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2970C1" w:rsidRDefault="005364DE"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color w:val="FF0000"/>
          <w:lang w:val="es-MX"/>
        </w:rPr>
        <w:sectPr w:rsidR="007D4651" w:rsidRPr="002970C1" w:rsidSect="00754057">
          <w:headerReference w:type="default" r:id="rId8"/>
          <w:footerReference w:type="default" r:id="rId9"/>
          <w:pgSz w:w="12240" w:h="15840" w:code="1"/>
          <w:pgMar w:top="1418" w:right="1418" w:bottom="1418" w:left="1418" w:header="709" w:footer="709" w:gutter="0"/>
          <w:cols w:space="708"/>
          <w:docGrid w:linePitch="360"/>
        </w:sectPr>
      </w:pPr>
      <w:bookmarkStart w:id="0" w:name="_GoBack"/>
      <w:bookmarkEnd w:id="0"/>
      <w:r w:rsidRPr="00454D94">
        <w:rPr>
          <w:rFonts w:ascii="Times New Roman" w:hAnsi="Times New Roman" w:cs="Times New Roman"/>
          <w:b/>
          <w:lang w:val="es-MX"/>
        </w:rPr>
        <w:t>R</w:t>
      </w:r>
      <w:r w:rsidR="00157402" w:rsidRPr="00454D94">
        <w:rPr>
          <w:rFonts w:ascii="Times New Roman" w:hAnsi="Times New Roman" w:cs="Times New Roman"/>
          <w:b/>
          <w:lang w:val="es-MX"/>
        </w:rPr>
        <w:t xml:space="preserve">esultado fiscal </w:t>
      </w:r>
      <w:r w:rsidRPr="00454D94">
        <w:rPr>
          <w:rFonts w:ascii="Times New Roman" w:hAnsi="Times New Roman" w:cs="Times New Roman"/>
          <w:b/>
          <w:lang w:val="es-MX"/>
        </w:rPr>
        <w:t>muestra un déficit moderado</w:t>
      </w:r>
    </w:p>
    <w:p w:rsidR="007D4651" w:rsidRPr="002970C1" w:rsidRDefault="007D4651" w:rsidP="007D4651">
      <w:pPr>
        <w:pStyle w:val="Sinespaciado"/>
        <w:rPr>
          <w:rFonts w:ascii="Times New Roman" w:hAnsi="Times New Roman" w:cs="Times New Roman"/>
          <w:b/>
          <w:color w:val="FF0000"/>
          <w:sz w:val="18"/>
          <w:lang w:val="es-MX"/>
        </w:rPr>
      </w:pPr>
    </w:p>
    <w:p w:rsidR="007D4651" w:rsidRPr="002970C1" w:rsidRDefault="007D4651" w:rsidP="007D4651">
      <w:pPr>
        <w:pStyle w:val="Sinespaciado"/>
        <w:jc w:val="center"/>
        <w:rPr>
          <w:rFonts w:ascii="Times New Roman" w:hAnsi="Times New Roman" w:cs="Times New Roman"/>
          <w:b/>
          <w:color w:val="FF0000"/>
          <w:lang w:val="es-MX"/>
        </w:rPr>
        <w:sectPr w:rsidR="007D4651" w:rsidRPr="002970C1" w:rsidSect="004E358C">
          <w:type w:val="continuous"/>
          <w:pgSz w:w="12240" w:h="15840"/>
          <w:pgMar w:top="1417" w:right="1701" w:bottom="1417" w:left="1701" w:header="708" w:footer="708" w:gutter="0"/>
          <w:cols w:space="708"/>
          <w:docGrid w:linePitch="360"/>
        </w:sectPr>
      </w:pPr>
    </w:p>
    <w:p w:rsidR="007D4651" w:rsidRPr="00C14065" w:rsidRDefault="007C0C8C" w:rsidP="008F312E">
      <w:pPr>
        <w:pStyle w:val="Sinespaciado"/>
        <w:jc w:val="both"/>
        <w:rPr>
          <w:rFonts w:ascii="Times New Roman" w:hAnsi="Times New Roman" w:cs="Times New Roman"/>
          <w:lang w:val="es-MX"/>
        </w:rPr>
      </w:pPr>
      <w:r w:rsidRPr="00C14065">
        <w:rPr>
          <w:rFonts w:ascii="Times New Roman" w:hAnsi="Times New Roman" w:cs="Times New Roman"/>
          <w:lang w:val="es-MX"/>
        </w:rPr>
        <w:lastRenderedPageBreak/>
        <w:t xml:space="preserve">Noviembre </w:t>
      </w:r>
      <w:r w:rsidR="00C14065" w:rsidRPr="00C14065">
        <w:rPr>
          <w:rFonts w:ascii="Times New Roman" w:hAnsi="Times New Roman" w:cs="Times New Roman"/>
          <w:lang w:val="es-MX"/>
        </w:rPr>
        <w:t>mostró</w:t>
      </w:r>
      <w:r w:rsidRPr="00C14065">
        <w:rPr>
          <w:rFonts w:ascii="Times New Roman" w:hAnsi="Times New Roman" w:cs="Times New Roman"/>
          <w:lang w:val="es-MX"/>
        </w:rPr>
        <w:t xml:space="preserve"> un moderado </w:t>
      </w:r>
      <w:r w:rsidR="00C14065" w:rsidRPr="00C14065">
        <w:rPr>
          <w:rFonts w:ascii="Times New Roman" w:hAnsi="Times New Roman" w:cs="Times New Roman"/>
          <w:lang w:val="es-MX"/>
        </w:rPr>
        <w:t>nivel de recaudación tributaria</w:t>
      </w:r>
      <w:r w:rsidRPr="00C14065">
        <w:rPr>
          <w:rFonts w:ascii="Times New Roman" w:hAnsi="Times New Roman" w:cs="Times New Roman"/>
          <w:lang w:val="es-MX"/>
        </w:rPr>
        <w:t xml:space="preserve"> comparado con lo observado en octubre debido a que no se dieron vencimiento</w:t>
      </w:r>
      <w:r w:rsidR="00C14065" w:rsidRPr="00C14065">
        <w:rPr>
          <w:rFonts w:ascii="Times New Roman" w:hAnsi="Times New Roman" w:cs="Times New Roman"/>
          <w:lang w:val="es-MX"/>
        </w:rPr>
        <w:t>s</w:t>
      </w:r>
      <w:r w:rsidRPr="00C14065">
        <w:rPr>
          <w:rFonts w:ascii="Times New Roman" w:hAnsi="Times New Roman" w:cs="Times New Roman"/>
          <w:lang w:val="es-MX"/>
        </w:rPr>
        <w:t xml:space="preserve"> importantes como el </w:t>
      </w:r>
      <w:r w:rsidR="00C14065" w:rsidRPr="00C14065">
        <w:rPr>
          <w:rFonts w:ascii="Times New Roman" w:hAnsi="Times New Roman" w:cs="Times New Roman"/>
          <w:lang w:val="es-MX"/>
        </w:rPr>
        <w:t xml:space="preserve">del </w:t>
      </w:r>
      <w:r w:rsidRPr="00C14065">
        <w:rPr>
          <w:rFonts w:ascii="Times New Roman" w:hAnsi="Times New Roman" w:cs="Times New Roman"/>
          <w:lang w:val="es-MX"/>
        </w:rPr>
        <w:t>ISO y el ISR sobre utilidades.  No obstante, nuevamente se obtuvo un nivel considerable de ingresos por adeudos judiciales que superaron los Q</w:t>
      </w:r>
      <w:r w:rsidR="006F157C" w:rsidRPr="00C14065">
        <w:rPr>
          <w:rFonts w:ascii="Times New Roman" w:hAnsi="Times New Roman" w:cs="Times New Roman"/>
          <w:lang w:val="es-MX"/>
        </w:rPr>
        <w:t xml:space="preserve"> </w:t>
      </w:r>
      <w:r w:rsidRPr="00C14065">
        <w:rPr>
          <w:rFonts w:ascii="Times New Roman" w:hAnsi="Times New Roman" w:cs="Times New Roman"/>
          <w:lang w:val="es-MX"/>
        </w:rPr>
        <w:t xml:space="preserve">240 millones, asimismo el comercio exterior tuvo un mayor dinamismo que incidió positivamente en el IVA importaciones.  Por el lado del gasto, siguió la recuperación del gasto público, el cual muestra un crecimiento positivo superior a lo experimentado en noviembre de 2015.  De esa </w:t>
      </w:r>
      <w:r w:rsidRPr="00C14065">
        <w:rPr>
          <w:rFonts w:ascii="Times New Roman" w:hAnsi="Times New Roman" w:cs="Times New Roman"/>
          <w:lang w:val="es-MX"/>
        </w:rPr>
        <w:lastRenderedPageBreak/>
        <w:t>cuenta, el déficit fiscal al 30 de noviembre de este año se ubicó en Q 2,313.8 millones, que contrasta con el déficit observado a esa misma fecha del 2015         (Q 4,675.3 millones).  Dadas la expectativas que se tienen para diciembre, el déficit podría situarse al final del año en un máximo de 1.0% del PIB.  Dicha estimación podría ser menor, principalmente si la SAT muestra nuevamente un aumento en la recaudación por adeudos judiciales y si la ejecución de la cuota financiera sigue siendo moderada.</w:t>
      </w:r>
    </w:p>
    <w:p w:rsidR="007D4651" w:rsidRPr="00C14065" w:rsidRDefault="007D4651" w:rsidP="007D4651">
      <w:pPr>
        <w:pStyle w:val="Sinespaciado"/>
        <w:jc w:val="both"/>
        <w:rPr>
          <w:rFonts w:ascii="Times New Roman" w:hAnsi="Times New Roman" w:cs="Times New Roman"/>
          <w:lang w:val="es-MX"/>
        </w:rPr>
      </w:pPr>
    </w:p>
    <w:p w:rsidR="007D4651" w:rsidRPr="00C14065" w:rsidRDefault="007D4651" w:rsidP="007D4651">
      <w:pPr>
        <w:pStyle w:val="Sinespaciado"/>
        <w:jc w:val="center"/>
        <w:rPr>
          <w:rFonts w:ascii="Times New Roman" w:hAnsi="Times New Roman" w:cs="Times New Roman"/>
          <w:b/>
          <w:lang w:val="es-MX"/>
        </w:rPr>
        <w:sectPr w:rsidR="007D4651" w:rsidRPr="00C14065" w:rsidSect="004E358C">
          <w:type w:val="continuous"/>
          <w:pgSz w:w="12240" w:h="15840"/>
          <w:pgMar w:top="1417" w:right="1701" w:bottom="1417" w:left="1701" w:header="708" w:footer="708" w:gutter="0"/>
          <w:cols w:num="2" w:space="708"/>
          <w:docGrid w:linePitch="360"/>
        </w:sectPr>
      </w:pPr>
    </w:p>
    <w:p w:rsidR="007D4651" w:rsidRPr="00C14065" w:rsidRDefault="007D4651" w:rsidP="007D4651">
      <w:pPr>
        <w:pStyle w:val="Sinespaciado"/>
        <w:jc w:val="center"/>
        <w:rPr>
          <w:rFonts w:ascii="Times New Roman" w:hAnsi="Times New Roman" w:cs="Times New Roman"/>
          <w:b/>
          <w:lang w:val="es-MX"/>
        </w:rPr>
      </w:pPr>
    </w:p>
    <w:p w:rsidR="007D4651" w:rsidRPr="00C14065" w:rsidRDefault="007D4651" w:rsidP="007D4651">
      <w:pPr>
        <w:pStyle w:val="Sinespaciado"/>
        <w:jc w:val="center"/>
        <w:rPr>
          <w:rFonts w:ascii="Times New Roman" w:hAnsi="Times New Roman" w:cs="Times New Roman"/>
          <w:b/>
          <w:lang w:val="es-MX"/>
        </w:rPr>
        <w:sectPr w:rsidR="007D4651" w:rsidRPr="00C14065" w:rsidSect="007D4651">
          <w:type w:val="continuous"/>
          <w:pgSz w:w="12240" w:h="15840" w:code="1"/>
          <w:pgMar w:top="1418" w:right="1418" w:bottom="1418" w:left="1418" w:header="709" w:footer="709" w:gutter="0"/>
          <w:cols w:num="2" w:space="708"/>
          <w:docGrid w:linePitch="360"/>
        </w:sectPr>
      </w:pPr>
    </w:p>
    <w:p w:rsidR="007D4651" w:rsidRPr="00C14065" w:rsidRDefault="007D4651" w:rsidP="00910163">
      <w:pPr>
        <w:pStyle w:val="Sinespaciado"/>
        <w:jc w:val="center"/>
        <w:rPr>
          <w:rFonts w:ascii="Times New Roman" w:hAnsi="Times New Roman" w:cs="Times New Roman"/>
          <w:b/>
          <w:lang w:val="es-MX"/>
        </w:rPr>
      </w:pPr>
      <w:r w:rsidRPr="00C14065">
        <w:rPr>
          <w:rFonts w:ascii="Times New Roman" w:hAnsi="Times New Roman" w:cs="Times New Roman"/>
          <w:b/>
          <w:lang w:val="es-MX"/>
        </w:rPr>
        <w:lastRenderedPageBreak/>
        <w:t>Resultado Presupuestario</w:t>
      </w:r>
    </w:p>
    <w:p w:rsidR="00BC79C1" w:rsidRPr="00C14065" w:rsidRDefault="00BC79C1" w:rsidP="00BC79C1">
      <w:pPr>
        <w:pStyle w:val="Sinespaciado"/>
        <w:jc w:val="center"/>
        <w:rPr>
          <w:rFonts w:ascii="Times New Roman" w:hAnsi="Times New Roman" w:cs="Times New Roman"/>
          <w:sz w:val="18"/>
          <w:lang w:val="es-MX"/>
        </w:rPr>
      </w:pPr>
      <w:r w:rsidRPr="00C14065">
        <w:rPr>
          <w:rFonts w:ascii="Times New Roman" w:hAnsi="Times New Roman" w:cs="Times New Roman"/>
          <w:sz w:val="18"/>
          <w:lang w:val="es-MX"/>
        </w:rPr>
        <w:t>Millones de quetzales</w:t>
      </w:r>
    </w:p>
    <w:p w:rsidR="007D4651" w:rsidRPr="00C14065" w:rsidRDefault="007C0C8C" w:rsidP="007D4651">
      <w:pPr>
        <w:pStyle w:val="Sinespaciado"/>
        <w:jc w:val="center"/>
        <w:rPr>
          <w:rFonts w:ascii="Times New Roman" w:hAnsi="Times New Roman" w:cs="Times New Roman"/>
          <w:lang w:val="es-MX"/>
        </w:rPr>
      </w:pPr>
      <w:r w:rsidRPr="00C14065">
        <w:rPr>
          <w:rFonts w:ascii="Times New Roman" w:hAnsi="Times New Roman" w:cs="Times New Roman"/>
          <w:noProof/>
          <w:sz w:val="18"/>
          <w:lang w:eastAsia="es-GT"/>
        </w:rPr>
        <w:drawing>
          <wp:inline distT="0" distB="0" distL="0" distR="0" wp14:anchorId="5C735DBF" wp14:editId="50E0564E">
            <wp:extent cx="3935895" cy="2934375"/>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8705" cy="2943926"/>
                    </a:xfrm>
                    <a:prstGeom prst="rect">
                      <a:avLst/>
                    </a:prstGeom>
                    <a:noFill/>
                  </pic:spPr>
                </pic:pic>
              </a:graphicData>
            </a:graphic>
          </wp:inline>
        </w:drawing>
      </w:r>
    </w:p>
    <w:p w:rsidR="007D4651" w:rsidRPr="00454D94" w:rsidRDefault="007D4651" w:rsidP="00CC3420">
      <w:pPr>
        <w:pStyle w:val="Sinespaciado"/>
        <w:ind w:left="1416" w:firstLine="708"/>
        <w:jc w:val="both"/>
        <w:rPr>
          <w:rFonts w:ascii="Times New Roman" w:hAnsi="Times New Roman" w:cs="Times New Roman"/>
          <w:sz w:val="16"/>
        </w:rPr>
      </w:pPr>
      <w:r w:rsidRPr="00454D94">
        <w:rPr>
          <w:rFonts w:ascii="Times New Roman" w:hAnsi="Times New Roman" w:cs="Times New Roman"/>
          <w:sz w:val="16"/>
        </w:rPr>
        <w:t>Fuente: Dirección de Análisis y Política fiscal</w:t>
      </w:r>
    </w:p>
    <w:p w:rsidR="00DF71A8" w:rsidRPr="00454D94" w:rsidRDefault="00DF71A8" w:rsidP="007D4651">
      <w:pPr>
        <w:spacing w:after="0" w:line="240" w:lineRule="auto"/>
        <w:rPr>
          <w:rFonts w:ascii="Times New Roman" w:hAnsi="Times New Roman" w:cs="Times New Roman"/>
          <w:lang w:val="es-MX"/>
        </w:rPr>
      </w:pPr>
    </w:p>
    <w:p w:rsidR="00DF71A8" w:rsidRPr="00454D94" w:rsidRDefault="00DF71A8" w:rsidP="007D4651">
      <w:pPr>
        <w:spacing w:after="0" w:line="240" w:lineRule="auto"/>
        <w:rPr>
          <w:rFonts w:ascii="Times New Roman" w:hAnsi="Times New Roman" w:cs="Times New Roman"/>
          <w:lang w:val="es-MX"/>
        </w:rPr>
        <w:sectPr w:rsidR="00DF71A8" w:rsidRPr="00454D94" w:rsidSect="007D4651">
          <w:type w:val="continuous"/>
          <w:pgSz w:w="12240" w:h="15840" w:code="1"/>
          <w:pgMar w:top="1418" w:right="1418" w:bottom="1418" w:left="1418" w:header="709" w:footer="709" w:gutter="0"/>
          <w:cols w:space="708"/>
          <w:docGrid w:linePitch="360"/>
        </w:sectPr>
      </w:pPr>
    </w:p>
    <w:p w:rsidR="00E16925" w:rsidRPr="00454D94" w:rsidRDefault="007B3D0C" w:rsidP="007B3D0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454D94">
        <w:rPr>
          <w:rFonts w:ascii="Times New Roman" w:hAnsi="Times New Roman" w:cs="Times New Roman"/>
          <w:b/>
          <w:lang w:val="es-MX"/>
        </w:rPr>
        <w:lastRenderedPageBreak/>
        <w:t xml:space="preserve">La meta mensual de </w:t>
      </w:r>
      <w:r w:rsidR="003551C3" w:rsidRPr="00454D94">
        <w:rPr>
          <w:rFonts w:ascii="Times New Roman" w:hAnsi="Times New Roman" w:cs="Times New Roman"/>
          <w:b/>
          <w:lang w:val="es-MX"/>
        </w:rPr>
        <w:t>noviembre</w:t>
      </w:r>
      <w:r w:rsidRPr="00454D94">
        <w:rPr>
          <w:rFonts w:ascii="Times New Roman" w:hAnsi="Times New Roman" w:cs="Times New Roman"/>
          <w:b/>
          <w:lang w:val="es-MX"/>
        </w:rPr>
        <w:t xml:space="preserve"> </w:t>
      </w:r>
      <w:r w:rsidR="00B21010" w:rsidRPr="00454D94">
        <w:rPr>
          <w:rFonts w:ascii="Times New Roman" w:hAnsi="Times New Roman" w:cs="Times New Roman"/>
          <w:b/>
          <w:lang w:val="es-MX"/>
        </w:rPr>
        <w:t xml:space="preserve">se </w:t>
      </w:r>
      <w:r w:rsidR="002F47C2" w:rsidRPr="00454D94">
        <w:rPr>
          <w:rFonts w:ascii="Times New Roman" w:hAnsi="Times New Roman" w:cs="Times New Roman"/>
          <w:b/>
          <w:lang w:val="es-MX"/>
        </w:rPr>
        <w:t>superó</w:t>
      </w:r>
    </w:p>
    <w:p w:rsidR="00E16925" w:rsidRPr="00454D94" w:rsidRDefault="00E16925" w:rsidP="00E16925">
      <w:pPr>
        <w:rPr>
          <w:rFonts w:ascii="Times New Roman" w:hAnsi="Times New Roman" w:cs="Times New Roman"/>
          <w:b/>
          <w:lang w:val="es-MX"/>
        </w:rPr>
        <w:sectPr w:rsidR="00E16925" w:rsidRPr="00454D94"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p>
    <w:p w:rsidR="00E16925" w:rsidRPr="00454D94" w:rsidRDefault="00E16925" w:rsidP="00E16925">
      <w:pPr>
        <w:pStyle w:val="Sinespaciado"/>
        <w:rPr>
          <w:rFonts w:ascii="Times New Roman" w:hAnsi="Times New Roman" w:cs="Times New Roman"/>
          <w:b/>
          <w:sz w:val="18"/>
          <w:lang w:val="es-MX"/>
        </w:rPr>
      </w:pPr>
    </w:p>
    <w:p w:rsidR="00E16925" w:rsidRPr="00454D94" w:rsidRDefault="00E16925" w:rsidP="00E16925">
      <w:pPr>
        <w:pStyle w:val="Sinespaciado"/>
        <w:jc w:val="center"/>
        <w:rPr>
          <w:rFonts w:ascii="Times New Roman" w:hAnsi="Times New Roman" w:cs="Times New Roman"/>
          <w:b/>
          <w:lang w:val="es-MX"/>
        </w:rPr>
        <w:sectPr w:rsidR="00E16925" w:rsidRPr="00454D94" w:rsidSect="004E358C">
          <w:type w:val="continuous"/>
          <w:pgSz w:w="12240" w:h="15840"/>
          <w:pgMar w:top="1417" w:right="1701" w:bottom="1417" w:left="1701" w:header="708" w:footer="708" w:gutter="0"/>
          <w:cols w:space="708"/>
          <w:docGrid w:linePitch="360"/>
        </w:sectPr>
      </w:pPr>
    </w:p>
    <w:p w:rsidR="00011E71" w:rsidRPr="00454D94" w:rsidRDefault="00011E71" w:rsidP="00011E71">
      <w:pPr>
        <w:spacing w:after="0" w:line="240" w:lineRule="auto"/>
        <w:jc w:val="both"/>
        <w:rPr>
          <w:rFonts w:ascii="Times New Roman" w:hAnsi="Times New Roman" w:cs="Times New Roman"/>
          <w:lang w:val="es-MX"/>
        </w:rPr>
      </w:pPr>
      <w:r w:rsidRPr="00454D94">
        <w:rPr>
          <w:rFonts w:ascii="Times New Roman" w:hAnsi="Times New Roman" w:cs="Times New Roman"/>
          <w:lang w:val="es-MX"/>
        </w:rPr>
        <w:lastRenderedPageBreak/>
        <w:t>La ejecución mensual respecto a presupuesto fue 102.2%, con relación al año anterior la meta mensual fue superada por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 xml:space="preserve">468.8  millones impulsada principalmente por el ISR </w:t>
      </w:r>
      <w:r w:rsidRPr="00454D94">
        <w:rPr>
          <w:rFonts w:ascii="Times New Roman" w:hAnsi="Times New Roman" w:cs="Times New Roman"/>
          <w:lang w:val="es-MX"/>
        </w:rPr>
        <w:lastRenderedPageBreak/>
        <w:t xml:space="preserve">e  IVA total que en conjunto determinan el 80.1% de la recaudación total y aportan </w:t>
      </w:r>
      <w:r w:rsidR="00454D94">
        <w:rPr>
          <w:rFonts w:ascii="Times New Roman" w:hAnsi="Times New Roman" w:cs="Times New Roman"/>
          <w:lang w:val="es-MX"/>
        </w:rPr>
        <w:t xml:space="preserve">       </w:t>
      </w:r>
      <w:r w:rsidRPr="00454D94">
        <w:rPr>
          <w:rFonts w:ascii="Times New Roman" w:hAnsi="Times New Roman" w:cs="Times New Roman"/>
          <w:lang w:val="es-MX"/>
        </w:rPr>
        <w:t>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3,183.1 millones de los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3,973.9 millones recaudados.</w:t>
      </w:r>
    </w:p>
    <w:p w:rsidR="00011E71" w:rsidRPr="00454D94" w:rsidRDefault="00011E71" w:rsidP="00011E71">
      <w:pPr>
        <w:spacing w:after="0" w:line="240" w:lineRule="auto"/>
        <w:jc w:val="both"/>
        <w:rPr>
          <w:rFonts w:ascii="Times New Roman" w:hAnsi="Times New Roman" w:cs="Times New Roman"/>
          <w:lang w:val="es-MX"/>
        </w:rPr>
      </w:pPr>
    </w:p>
    <w:p w:rsidR="00011E71" w:rsidRPr="00454D94" w:rsidRDefault="00011E71" w:rsidP="00011E71">
      <w:pPr>
        <w:spacing w:after="0" w:line="240" w:lineRule="auto"/>
        <w:jc w:val="center"/>
        <w:rPr>
          <w:rFonts w:ascii="Times New Roman" w:hAnsi="Times New Roman" w:cs="Times New Roman"/>
          <w:b/>
          <w:lang w:val="es-MX"/>
        </w:rPr>
      </w:pPr>
      <w:r w:rsidRPr="00454D94">
        <w:rPr>
          <w:rFonts w:ascii="Times New Roman" w:hAnsi="Times New Roman" w:cs="Times New Roman"/>
          <w:b/>
          <w:lang w:val="es-MX"/>
        </w:rPr>
        <w:t>Recaudación observada vrs meta y 2015</w:t>
      </w:r>
    </w:p>
    <w:p w:rsidR="00011E71" w:rsidRPr="00454D94" w:rsidRDefault="00011E71" w:rsidP="00011E71">
      <w:pPr>
        <w:spacing w:after="0" w:line="240" w:lineRule="auto"/>
        <w:jc w:val="center"/>
        <w:rPr>
          <w:rFonts w:ascii="Times New Roman" w:hAnsi="Times New Roman" w:cs="Times New Roman"/>
          <w:b/>
          <w:sz w:val="18"/>
          <w:lang w:val="es-MX"/>
        </w:rPr>
      </w:pPr>
      <w:r w:rsidRPr="00454D94">
        <w:rPr>
          <w:rFonts w:ascii="Times New Roman" w:hAnsi="Times New Roman" w:cs="Times New Roman"/>
          <w:noProof/>
          <w:lang w:eastAsia="es-GT"/>
        </w:rPr>
        <w:drawing>
          <wp:inline distT="0" distB="0" distL="0" distR="0" wp14:anchorId="1DAAFD32" wp14:editId="43C021C2">
            <wp:extent cx="3038475" cy="267652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1E71" w:rsidRPr="00454D94" w:rsidRDefault="00011E71" w:rsidP="00011E71">
      <w:pPr>
        <w:spacing w:after="0" w:line="240" w:lineRule="auto"/>
        <w:jc w:val="center"/>
        <w:rPr>
          <w:rFonts w:ascii="Times New Roman" w:hAnsi="Times New Roman" w:cs="Times New Roman"/>
          <w:sz w:val="18"/>
          <w:lang w:val="es-MX"/>
        </w:rPr>
      </w:pPr>
      <w:r w:rsidRPr="00454D94">
        <w:rPr>
          <w:rFonts w:ascii="Times New Roman" w:hAnsi="Times New Roman" w:cs="Times New Roman"/>
          <w:sz w:val="16"/>
          <w:lang w:val="es-MX"/>
        </w:rPr>
        <w:t>Fuente: Dirección de Análisis y Política Fiscal</w:t>
      </w:r>
    </w:p>
    <w:p w:rsidR="00011E71" w:rsidRPr="00454D94" w:rsidRDefault="00011E71" w:rsidP="00011E71">
      <w:pPr>
        <w:spacing w:after="0" w:line="240" w:lineRule="auto"/>
        <w:jc w:val="center"/>
        <w:rPr>
          <w:rFonts w:ascii="Times New Roman" w:hAnsi="Times New Roman" w:cs="Times New Roman"/>
          <w:lang w:val="es-MX"/>
        </w:rPr>
      </w:pPr>
    </w:p>
    <w:p w:rsidR="00011E71" w:rsidRPr="00454D94" w:rsidRDefault="00011E71" w:rsidP="00011E71">
      <w:pPr>
        <w:spacing w:after="0" w:line="240" w:lineRule="auto"/>
        <w:jc w:val="both"/>
        <w:rPr>
          <w:rFonts w:ascii="Times New Roman" w:hAnsi="Times New Roman" w:cs="Times New Roman"/>
          <w:lang w:val="es-MX"/>
        </w:rPr>
      </w:pPr>
      <w:r w:rsidRPr="00454D94">
        <w:rPr>
          <w:rFonts w:ascii="Times New Roman" w:hAnsi="Times New Roman" w:cs="Times New Roman"/>
          <w:lang w:val="es-MX"/>
        </w:rPr>
        <w:t>La recaudación acumulada tiene una ejecución de 99.1% respecto a la meta de presupuesto, la brecha negativa observada en octubre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558.1 millones) disminuyo en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84.8 millones ubicándola en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473.3 millones, el deterioro nuevamente se fundamenta en la baja recaudación del IVA total pero principalmente en el IVA asociado al comercio exterior el cual a la fecha tiene una brecha negativa de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1,280.3 millones, otro factor fundamental que contribuye al deterioro es la merma en recaudación de las regalías e hidrocarburos compartibles que a la fecha tienen una brecha negativa de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51.2 millones, factores positivos a destacar son el impulso positivo del ISR que de manera acumulada a noviembre supera la meta de presupuesto en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822.8 millones, los derechos arancelarios a la importación que de igual forma superan la meta de presupuesto en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137.2 millones y el impuesto a los derivados del petróleo que de igual forma supera la meta en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209.7 millones.</w:t>
      </w:r>
    </w:p>
    <w:p w:rsidR="00011E71" w:rsidRDefault="00011E71" w:rsidP="00011E71">
      <w:pPr>
        <w:spacing w:after="0" w:line="240" w:lineRule="auto"/>
        <w:jc w:val="both"/>
        <w:rPr>
          <w:rFonts w:ascii="Times New Roman" w:hAnsi="Times New Roman" w:cs="Times New Roman"/>
          <w:lang w:val="es-MX"/>
        </w:rPr>
      </w:pPr>
      <w:r w:rsidRPr="00454D94">
        <w:rPr>
          <w:rFonts w:ascii="Times New Roman" w:hAnsi="Times New Roman" w:cs="Times New Roman"/>
          <w:lang w:val="es-MX"/>
        </w:rPr>
        <w:t xml:space="preserve"> </w:t>
      </w:r>
    </w:p>
    <w:p w:rsidR="00454D94" w:rsidRPr="00454D94" w:rsidRDefault="00454D94" w:rsidP="00011E71">
      <w:pPr>
        <w:spacing w:after="0" w:line="240" w:lineRule="auto"/>
        <w:jc w:val="both"/>
        <w:rPr>
          <w:rFonts w:ascii="Times New Roman" w:hAnsi="Times New Roman" w:cs="Times New Roman"/>
          <w:lang w:val="es-MX"/>
        </w:rPr>
      </w:pPr>
    </w:p>
    <w:p w:rsidR="00011E71" w:rsidRPr="00454D94" w:rsidRDefault="00011E71" w:rsidP="00011E71">
      <w:pPr>
        <w:spacing w:after="0" w:line="240" w:lineRule="auto"/>
        <w:jc w:val="center"/>
        <w:rPr>
          <w:rFonts w:ascii="Times New Roman" w:hAnsi="Times New Roman" w:cs="Times New Roman"/>
          <w:b/>
          <w:lang w:val="es-MX"/>
        </w:rPr>
      </w:pPr>
      <w:r w:rsidRPr="00454D94">
        <w:rPr>
          <w:rFonts w:ascii="Times New Roman" w:hAnsi="Times New Roman" w:cs="Times New Roman"/>
          <w:b/>
          <w:lang w:val="es-MX"/>
        </w:rPr>
        <w:t xml:space="preserve">Variación de recaudación </w:t>
      </w:r>
    </w:p>
    <w:p w:rsidR="00011E71" w:rsidRPr="00454D94" w:rsidRDefault="00011E71" w:rsidP="00011E71">
      <w:pPr>
        <w:spacing w:after="0" w:line="240" w:lineRule="auto"/>
        <w:jc w:val="center"/>
        <w:rPr>
          <w:rFonts w:ascii="Times New Roman" w:hAnsi="Times New Roman" w:cs="Times New Roman"/>
          <w:sz w:val="18"/>
          <w:lang w:val="es-MX"/>
        </w:rPr>
      </w:pPr>
      <w:r w:rsidRPr="00454D94">
        <w:rPr>
          <w:rFonts w:ascii="Times New Roman" w:hAnsi="Times New Roman" w:cs="Times New Roman"/>
          <w:sz w:val="18"/>
          <w:lang w:val="es-MX"/>
        </w:rPr>
        <w:lastRenderedPageBreak/>
        <w:t>Millones de quetzales</w:t>
      </w:r>
    </w:p>
    <w:p w:rsidR="00011E71" w:rsidRPr="00454D94" w:rsidRDefault="00011E71" w:rsidP="00011E71">
      <w:pPr>
        <w:spacing w:after="0" w:line="240" w:lineRule="auto"/>
        <w:jc w:val="both"/>
        <w:rPr>
          <w:rFonts w:ascii="Times New Roman" w:hAnsi="Times New Roman" w:cs="Times New Roman"/>
          <w:lang w:val="es-MX"/>
        </w:rPr>
      </w:pPr>
      <w:r w:rsidRPr="00454D94">
        <w:rPr>
          <w:rFonts w:ascii="Times New Roman" w:hAnsi="Times New Roman" w:cs="Times New Roman"/>
          <w:noProof/>
          <w:lang w:eastAsia="es-GT"/>
        </w:rPr>
        <w:drawing>
          <wp:inline distT="0" distB="0" distL="0" distR="0" wp14:anchorId="2FED8D16" wp14:editId="474A60B4">
            <wp:extent cx="2895600" cy="249555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1E71" w:rsidRPr="00454D94" w:rsidRDefault="00011E71" w:rsidP="00011E71">
      <w:pPr>
        <w:spacing w:after="0" w:line="240" w:lineRule="auto"/>
        <w:jc w:val="center"/>
        <w:rPr>
          <w:rFonts w:ascii="Times New Roman" w:hAnsi="Times New Roman" w:cs="Times New Roman"/>
          <w:sz w:val="16"/>
          <w:lang w:val="es-MX"/>
        </w:rPr>
      </w:pPr>
      <w:r w:rsidRPr="00454D94">
        <w:rPr>
          <w:rFonts w:ascii="Times New Roman" w:hAnsi="Times New Roman" w:cs="Times New Roman"/>
          <w:sz w:val="16"/>
          <w:lang w:val="es-MX"/>
        </w:rPr>
        <w:t>Fuente: Dirección de Análisis y Política Fiscal</w:t>
      </w:r>
    </w:p>
    <w:p w:rsidR="00011E71" w:rsidRPr="00454D94" w:rsidRDefault="00011E71" w:rsidP="00011E71">
      <w:pPr>
        <w:spacing w:after="0" w:line="240" w:lineRule="auto"/>
        <w:jc w:val="both"/>
        <w:rPr>
          <w:rFonts w:ascii="Times New Roman" w:hAnsi="Times New Roman" w:cs="Times New Roman"/>
          <w:lang w:val="es-MX"/>
        </w:rPr>
      </w:pPr>
    </w:p>
    <w:p w:rsidR="00011E71" w:rsidRPr="00454D94" w:rsidRDefault="00011E71" w:rsidP="00011E71">
      <w:pPr>
        <w:spacing w:after="0" w:line="240" w:lineRule="auto"/>
        <w:jc w:val="both"/>
        <w:rPr>
          <w:rFonts w:ascii="Times New Roman" w:hAnsi="Times New Roman" w:cs="Times New Roman"/>
          <w:lang w:val="es-MX"/>
        </w:rPr>
      </w:pPr>
      <w:r w:rsidRPr="00454D94">
        <w:rPr>
          <w:rFonts w:ascii="Times New Roman" w:hAnsi="Times New Roman" w:cs="Times New Roman"/>
          <w:lang w:val="es-MX"/>
        </w:rPr>
        <w:t>La recaudación acumulada del ISR presenta crecimiento de 5.7% respecto a la meta de presupuesto y 19.3% de forma interanual.</w:t>
      </w:r>
    </w:p>
    <w:p w:rsidR="00011E71" w:rsidRPr="00454D94" w:rsidRDefault="00011E71" w:rsidP="00011E71">
      <w:pPr>
        <w:spacing w:after="0" w:line="240" w:lineRule="auto"/>
        <w:jc w:val="both"/>
        <w:rPr>
          <w:rFonts w:ascii="Times New Roman" w:hAnsi="Times New Roman" w:cs="Times New Roman"/>
          <w:lang w:val="es-MX"/>
        </w:rPr>
      </w:pPr>
    </w:p>
    <w:p w:rsidR="00011E71" w:rsidRPr="00454D94" w:rsidRDefault="00011E71" w:rsidP="00011E71">
      <w:pPr>
        <w:spacing w:after="0" w:line="240" w:lineRule="auto"/>
        <w:jc w:val="center"/>
        <w:rPr>
          <w:rFonts w:ascii="Times New Roman" w:hAnsi="Times New Roman" w:cs="Times New Roman"/>
          <w:b/>
          <w:lang w:val="es-MX"/>
        </w:rPr>
      </w:pPr>
      <w:r w:rsidRPr="00454D94">
        <w:rPr>
          <w:rFonts w:ascii="Times New Roman" w:hAnsi="Times New Roman" w:cs="Times New Roman"/>
          <w:b/>
          <w:lang w:val="es-MX"/>
        </w:rPr>
        <w:t>Variación de recaudación ISR 2016 - 2015</w:t>
      </w:r>
    </w:p>
    <w:p w:rsidR="00011E71" w:rsidRPr="00454D94" w:rsidRDefault="00011E71" w:rsidP="00454D94">
      <w:pPr>
        <w:spacing w:after="0" w:line="240" w:lineRule="auto"/>
        <w:jc w:val="center"/>
        <w:rPr>
          <w:rFonts w:ascii="Times New Roman" w:hAnsi="Times New Roman" w:cs="Times New Roman"/>
          <w:sz w:val="18"/>
          <w:lang w:val="es-MX"/>
        </w:rPr>
      </w:pPr>
      <w:r w:rsidRPr="00454D94">
        <w:rPr>
          <w:rFonts w:ascii="Times New Roman" w:hAnsi="Times New Roman" w:cs="Times New Roman"/>
          <w:sz w:val="18"/>
          <w:lang w:val="es-MX"/>
        </w:rPr>
        <w:t>Porcentajes</w:t>
      </w:r>
    </w:p>
    <w:p w:rsidR="00011E71" w:rsidRPr="00454D94" w:rsidRDefault="00011E71" w:rsidP="00011E71">
      <w:pPr>
        <w:spacing w:after="0" w:line="240" w:lineRule="auto"/>
        <w:jc w:val="both"/>
        <w:rPr>
          <w:rFonts w:ascii="Times New Roman" w:hAnsi="Times New Roman" w:cs="Times New Roman"/>
          <w:lang w:val="es-MX"/>
        </w:rPr>
      </w:pPr>
      <w:r w:rsidRPr="00454D94">
        <w:rPr>
          <w:rFonts w:ascii="Times New Roman" w:hAnsi="Times New Roman" w:cs="Times New Roman"/>
          <w:noProof/>
          <w:lang w:eastAsia="es-GT"/>
        </w:rPr>
        <w:drawing>
          <wp:inline distT="0" distB="0" distL="0" distR="0" wp14:anchorId="4D36FC23" wp14:editId="51739CFC">
            <wp:extent cx="2534478" cy="1928191"/>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1E71" w:rsidRPr="00454D94" w:rsidRDefault="00011E71" w:rsidP="00011E71">
      <w:pPr>
        <w:spacing w:after="0" w:line="240" w:lineRule="auto"/>
        <w:rPr>
          <w:rFonts w:ascii="Times New Roman" w:hAnsi="Times New Roman" w:cs="Times New Roman"/>
          <w:sz w:val="16"/>
          <w:lang w:val="es-MX"/>
        </w:rPr>
      </w:pPr>
      <w:r w:rsidRPr="00454D94">
        <w:rPr>
          <w:rFonts w:ascii="Times New Roman" w:hAnsi="Times New Roman" w:cs="Times New Roman"/>
          <w:sz w:val="16"/>
          <w:lang w:val="es-MX"/>
        </w:rPr>
        <w:t>Fuente: Dirección de Análisis y Política Fiscal</w:t>
      </w:r>
    </w:p>
    <w:p w:rsidR="00011E71" w:rsidRPr="00454D94" w:rsidRDefault="00011E71" w:rsidP="00011E71">
      <w:pPr>
        <w:spacing w:after="0" w:line="240" w:lineRule="auto"/>
        <w:jc w:val="both"/>
        <w:rPr>
          <w:rFonts w:ascii="Times New Roman" w:hAnsi="Times New Roman" w:cs="Times New Roman"/>
          <w:lang w:val="es-MX"/>
        </w:rPr>
      </w:pPr>
    </w:p>
    <w:p w:rsidR="00011E71" w:rsidRPr="00454D94" w:rsidRDefault="00011E71" w:rsidP="00011E71">
      <w:pPr>
        <w:spacing w:after="0" w:line="240" w:lineRule="auto"/>
        <w:jc w:val="both"/>
        <w:rPr>
          <w:rFonts w:ascii="Times New Roman" w:hAnsi="Times New Roman" w:cs="Times New Roman"/>
          <w:lang w:val="es-MX"/>
        </w:rPr>
      </w:pPr>
      <w:r w:rsidRPr="00454D94">
        <w:rPr>
          <w:rFonts w:ascii="Times New Roman" w:hAnsi="Times New Roman" w:cs="Times New Roman"/>
          <w:lang w:val="es-MX"/>
        </w:rPr>
        <w:t>El IVA total tiene una caída de 6.9%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1,646 millones) respecto a la meta de presupuesto, este comportamiento está influenciado por el deterioro acumulado a octubre del IVA asociado a las importaciones. De manera interanual el IVA total tiene un crecimiento de 3.8% (Q</w:t>
      </w:r>
      <w:r w:rsidR="002F47C2" w:rsidRPr="00454D94">
        <w:rPr>
          <w:rFonts w:ascii="Times New Roman" w:hAnsi="Times New Roman" w:cs="Times New Roman"/>
          <w:lang w:val="es-MX"/>
        </w:rPr>
        <w:t xml:space="preserve"> </w:t>
      </w:r>
      <w:r w:rsidRPr="00454D94">
        <w:rPr>
          <w:rFonts w:ascii="Times New Roman" w:hAnsi="Times New Roman" w:cs="Times New Roman"/>
          <w:lang w:val="es-MX"/>
        </w:rPr>
        <w:t>805.3 millones) influenciado por el crecimiento de 11.3% del IVA doméstico.</w:t>
      </w:r>
    </w:p>
    <w:p w:rsidR="00011E71" w:rsidRPr="00454D94" w:rsidRDefault="00011E71" w:rsidP="00011E71">
      <w:pPr>
        <w:spacing w:after="0" w:line="240" w:lineRule="auto"/>
        <w:jc w:val="both"/>
        <w:rPr>
          <w:rFonts w:ascii="Times New Roman" w:hAnsi="Times New Roman" w:cs="Times New Roman"/>
          <w:lang w:val="es-MX"/>
        </w:rPr>
      </w:pPr>
    </w:p>
    <w:p w:rsidR="00011E71" w:rsidRPr="00454D94" w:rsidRDefault="00011E71" w:rsidP="00011E71">
      <w:pPr>
        <w:spacing w:after="0" w:line="240" w:lineRule="auto"/>
        <w:jc w:val="both"/>
        <w:rPr>
          <w:rFonts w:ascii="Times New Roman" w:hAnsi="Times New Roman" w:cs="Times New Roman"/>
          <w:lang w:val="es-MX"/>
        </w:rPr>
      </w:pPr>
      <w:r w:rsidRPr="00454D94">
        <w:rPr>
          <w:rFonts w:ascii="Times New Roman" w:hAnsi="Times New Roman" w:cs="Times New Roman"/>
          <w:lang w:val="es-MX"/>
        </w:rPr>
        <w:t xml:space="preserve">Los productos industriales </w:t>
      </w:r>
      <w:r w:rsidRPr="00454D94">
        <w:rPr>
          <w:rFonts w:ascii="Times New Roman" w:hAnsi="Times New Roman" w:cs="Times New Roman"/>
          <w:i/>
          <w:lang w:val="es-MX"/>
        </w:rPr>
        <w:t>(bebidas, tabacos, cemento y derivados del petróleo)</w:t>
      </w:r>
      <w:r w:rsidRPr="00454D94">
        <w:rPr>
          <w:rFonts w:ascii="Times New Roman" w:hAnsi="Times New Roman" w:cs="Times New Roman"/>
          <w:lang w:val="es-MX"/>
        </w:rPr>
        <w:t xml:space="preserve"> mantienen un crecimiento positivo de 5.5% respecto a la meta de presupuesto y 1.7% respecto al año anterior, los crecimientos se fundamentan en el impulso de la recaudación de los derivados de petróleo que crece en 7.9% respecto a presupuesto y 8.4% con relación al año anterior, el impuesto a la bebidas que crece en 5.2% respecto a presupuesto y 5.7% de forma interanual y el de tabacos cae respecto a la meta de presupuesto 12.3% , para el caso del cemento crece respecto a lo presupuestado en 12.3% y tiene una caída respecto al año anterior la cual se explica por el cambio en la tasa del impuesto.</w:t>
      </w:r>
    </w:p>
    <w:p w:rsidR="00244AAA" w:rsidRPr="00454D94" w:rsidRDefault="00244AAA" w:rsidP="003551C3">
      <w:pPr>
        <w:spacing w:after="0" w:line="240" w:lineRule="auto"/>
        <w:jc w:val="both"/>
        <w:rPr>
          <w:rFonts w:ascii="Times New Roman" w:hAnsi="Times New Roman" w:cs="Times New Roman"/>
          <w:lang w:val="es-MX"/>
        </w:rPr>
      </w:pPr>
    </w:p>
    <w:p w:rsidR="00B21010" w:rsidRPr="00454D94" w:rsidRDefault="00B21010" w:rsidP="007B3D0C">
      <w:pPr>
        <w:spacing w:after="0" w:line="240" w:lineRule="auto"/>
        <w:jc w:val="both"/>
        <w:rPr>
          <w:rFonts w:ascii="Times New Roman" w:hAnsi="Times New Roman" w:cs="Times New Roman"/>
          <w:lang w:val="es-MX"/>
        </w:rPr>
        <w:sectPr w:rsidR="00B21010" w:rsidRPr="00454D94" w:rsidSect="004E358C">
          <w:type w:val="continuous"/>
          <w:pgSz w:w="12240" w:h="15840"/>
          <w:pgMar w:top="1417" w:right="1701" w:bottom="1417" w:left="1701" w:header="708" w:footer="708" w:gutter="0"/>
          <w:cols w:num="2" w:space="708"/>
          <w:docGrid w:linePitch="360"/>
        </w:sectPr>
      </w:pPr>
    </w:p>
    <w:p w:rsidR="00DD01C5" w:rsidRPr="00454D94" w:rsidRDefault="00DD01C5" w:rsidP="00B21010">
      <w:pPr>
        <w:spacing w:after="0" w:line="240" w:lineRule="auto"/>
        <w:jc w:val="both"/>
        <w:rPr>
          <w:rFonts w:ascii="Times New Roman" w:hAnsi="Times New Roman" w:cs="Times New Roman"/>
          <w:sz w:val="12"/>
          <w:lang w:val="es-MX"/>
        </w:rPr>
        <w:sectPr w:rsidR="00DD01C5" w:rsidRPr="00454D94" w:rsidSect="004E358C">
          <w:type w:val="continuous"/>
          <w:pgSz w:w="12240" w:h="15840"/>
          <w:pgMar w:top="1417" w:right="1701" w:bottom="1417" w:left="1701" w:header="708" w:footer="708" w:gutter="0"/>
          <w:cols w:num="2" w:space="708"/>
          <w:docGrid w:linePitch="360"/>
        </w:sectPr>
      </w:pPr>
    </w:p>
    <w:p w:rsidR="00EB0FC5" w:rsidRPr="00454D94" w:rsidRDefault="00EB0FC5" w:rsidP="00B21010">
      <w:pPr>
        <w:pStyle w:val="Prrafodelista"/>
        <w:ind w:left="0"/>
        <w:rPr>
          <w:rFonts w:ascii="Times New Roman" w:hAnsi="Times New Roman" w:cs="Times New Roman"/>
          <w:b/>
          <w:sz w:val="4"/>
          <w:lang w:val="es-MX"/>
        </w:rPr>
      </w:pPr>
    </w:p>
    <w:p w:rsidR="003551C3" w:rsidRPr="00454D94" w:rsidRDefault="003551C3" w:rsidP="003551C3">
      <w:pPr>
        <w:spacing w:after="0" w:line="240" w:lineRule="auto"/>
        <w:jc w:val="center"/>
        <w:rPr>
          <w:rFonts w:ascii="Times New Roman" w:hAnsi="Times New Roman" w:cs="Times New Roman"/>
          <w:b/>
          <w:lang w:val="es-MX"/>
        </w:rPr>
      </w:pPr>
      <w:r w:rsidRPr="00454D94">
        <w:rPr>
          <w:rFonts w:ascii="Times New Roman" w:hAnsi="Times New Roman" w:cs="Times New Roman"/>
          <w:b/>
          <w:lang w:val="es-MX"/>
        </w:rPr>
        <w:t>Recaudación acumulada al 30 de noviembre</w:t>
      </w:r>
    </w:p>
    <w:p w:rsidR="00DD01C5" w:rsidRPr="00454D94" w:rsidRDefault="00B21010" w:rsidP="00B21010">
      <w:pPr>
        <w:pStyle w:val="Prrafodelista"/>
        <w:ind w:left="0"/>
        <w:jc w:val="center"/>
        <w:rPr>
          <w:noProof/>
          <w:lang w:eastAsia="es-GT"/>
        </w:rPr>
      </w:pPr>
      <w:r w:rsidRPr="00454D94">
        <w:rPr>
          <w:rFonts w:ascii="Times New Roman" w:hAnsi="Times New Roman" w:cs="Times New Roman"/>
          <w:sz w:val="18"/>
          <w:lang w:val="es-MX"/>
        </w:rPr>
        <w:t>Millones de quetzales y porcentajes</w:t>
      </w:r>
    </w:p>
    <w:p w:rsidR="007B3D0C" w:rsidRPr="00454D94" w:rsidRDefault="00011E71" w:rsidP="00B21010">
      <w:pPr>
        <w:pStyle w:val="Prrafodelista"/>
        <w:ind w:left="0"/>
        <w:jc w:val="center"/>
        <w:rPr>
          <w:rFonts w:ascii="Times New Roman" w:hAnsi="Times New Roman" w:cs="Times New Roman"/>
          <w:b/>
          <w:sz w:val="16"/>
          <w:lang w:val="es-MX"/>
        </w:rPr>
      </w:pPr>
      <w:r w:rsidRPr="00454D94">
        <w:rPr>
          <w:noProof/>
          <w:lang w:eastAsia="es-GT"/>
        </w:rPr>
        <w:drawing>
          <wp:inline distT="0" distB="0" distL="0" distR="0" wp14:anchorId="7D8F63D5" wp14:editId="00F5E07D">
            <wp:extent cx="5640094" cy="3349487"/>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6802" cy="3359409"/>
                    </a:xfrm>
                    <a:prstGeom prst="rect">
                      <a:avLst/>
                    </a:prstGeom>
                    <a:noFill/>
                    <a:ln>
                      <a:noFill/>
                    </a:ln>
                  </pic:spPr>
                </pic:pic>
              </a:graphicData>
            </a:graphic>
          </wp:inline>
        </w:drawing>
      </w:r>
    </w:p>
    <w:p w:rsidR="00DD23C0" w:rsidRPr="00454D94" w:rsidRDefault="00A26C76" w:rsidP="00A26C76">
      <w:pPr>
        <w:jc w:val="both"/>
        <w:rPr>
          <w:rFonts w:ascii="Times New Roman" w:hAnsi="Times New Roman" w:cs="Times New Roman"/>
          <w:sz w:val="16"/>
          <w:lang w:val="es-MX"/>
        </w:rPr>
      </w:pPr>
      <w:r w:rsidRPr="00454D94">
        <w:rPr>
          <w:rFonts w:ascii="Times New Roman" w:hAnsi="Times New Roman" w:cs="Times New Roman"/>
          <w:sz w:val="18"/>
          <w:lang w:val="es-MX"/>
        </w:rPr>
        <w:t xml:space="preserve">       </w:t>
      </w:r>
      <w:r w:rsidR="00910163" w:rsidRPr="00454D94">
        <w:rPr>
          <w:rFonts w:ascii="Times New Roman" w:hAnsi="Times New Roman" w:cs="Times New Roman"/>
          <w:sz w:val="18"/>
          <w:lang w:val="es-MX"/>
        </w:rPr>
        <w:t xml:space="preserve">       </w:t>
      </w:r>
      <w:r w:rsidR="00CC3420" w:rsidRPr="00454D94">
        <w:rPr>
          <w:rFonts w:ascii="Times New Roman" w:hAnsi="Times New Roman" w:cs="Times New Roman"/>
          <w:sz w:val="18"/>
          <w:lang w:val="es-MX"/>
        </w:rPr>
        <w:tab/>
      </w:r>
      <w:r w:rsidR="00CC3420" w:rsidRPr="00454D94">
        <w:rPr>
          <w:rFonts w:ascii="Times New Roman" w:hAnsi="Times New Roman" w:cs="Times New Roman"/>
          <w:sz w:val="18"/>
          <w:lang w:val="es-MX"/>
        </w:rPr>
        <w:tab/>
      </w:r>
      <w:r w:rsidRPr="00454D94">
        <w:rPr>
          <w:rFonts w:ascii="Times New Roman" w:hAnsi="Times New Roman" w:cs="Times New Roman"/>
          <w:sz w:val="18"/>
          <w:lang w:val="es-MX"/>
        </w:rPr>
        <w:t xml:space="preserve"> </w:t>
      </w:r>
      <w:r w:rsidR="00DD01C5" w:rsidRPr="00454D94">
        <w:rPr>
          <w:rFonts w:ascii="Times New Roman" w:hAnsi="Times New Roman" w:cs="Times New Roman"/>
          <w:sz w:val="16"/>
          <w:lang w:val="es-MX"/>
        </w:rPr>
        <w:t>Fuente: Ministerio de Finanzas Públicas</w:t>
      </w:r>
    </w:p>
    <w:p w:rsidR="00FA3B81" w:rsidRPr="00454D94" w:rsidRDefault="007C0C8C"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454D94" w:rsidSect="00FA3B81">
          <w:headerReference w:type="default" r:id="rId17"/>
          <w:footerReference w:type="default" r:id="rId18"/>
          <w:type w:val="continuous"/>
          <w:pgSz w:w="12240" w:h="15840" w:code="1"/>
          <w:pgMar w:top="1418" w:right="1418" w:bottom="1418" w:left="1418" w:header="709" w:footer="709" w:gutter="0"/>
          <w:cols w:space="708"/>
          <w:docGrid w:linePitch="360"/>
        </w:sectPr>
      </w:pPr>
      <w:r w:rsidRPr="00454D94">
        <w:rPr>
          <w:rFonts w:ascii="Times New Roman" w:hAnsi="Times New Roman" w:cs="Times New Roman"/>
          <w:b/>
          <w:lang w:val="es-MX"/>
        </w:rPr>
        <w:t>En noviembre se recupera la e</w:t>
      </w:r>
      <w:r w:rsidR="00810A4C" w:rsidRPr="00454D94">
        <w:rPr>
          <w:rFonts w:ascii="Times New Roman" w:hAnsi="Times New Roman" w:cs="Times New Roman"/>
          <w:b/>
          <w:lang w:val="es-MX"/>
        </w:rPr>
        <w:t>jecución de g</w:t>
      </w:r>
      <w:r w:rsidR="00D532B4" w:rsidRPr="00454D94">
        <w:rPr>
          <w:rFonts w:ascii="Times New Roman" w:hAnsi="Times New Roman" w:cs="Times New Roman"/>
          <w:b/>
          <w:lang w:val="es-MX"/>
        </w:rPr>
        <w:t>asto</w:t>
      </w:r>
    </w:p>
    <w:p w:rsidR="00FA3B81" w:rsidRPr="00454D94" w:rsidRDefault="00FA3B81" w:rsidP="00FA3B81">
      <w:pPr>
        <w:pStyle w:val="Sinespaciado"/>
        <w:rPr>
          <w:rFonts w:ascii="Times New Roman" w:hAnsi="Times New Roman" w:cs="Times New Roman"/>
          <w:b/>
          <w:sz w:val="18"/>
          <w:lang w:val="es-MX"/>
        </w:rPr>
      </w:pPr>
    </w:p>
    <w:p w:rsidR="00FA3B81" w:rsidRPr="00454D94" w:rsidRDefault="00FA3B81" w:rsidP="00FA3B81">
      <w:pPr>
        <w:pStyle w:val="Sinespaciado"/>
        <w:jc w:val="center"/>
        <w:rPr>
          <w:rFonts w:ascii="Times New Roman" w:hAnsi="Times New Roman" w:cs="Times New Roman"/>
          <w:b/>
          <w:lang w:val="es-MX"/>
        </w:rPr>
        <w:sectPr w:rsidR="00FA3B81" w:rsidRPr="00454D94" w:rsidSect="004E358C">
          <w:type w:val="continuous"/>
          <w:pgSz w:w="12240" w:h="15840"/>
          <w:pgMar w:top="1417" w:right="1701" w:bottom="1417" w:left="1701" w:header="708" w:footer="708" w:gutter="0"/>
          <w:cols w:space="708"/>
          <w:docGrid w:linePitch="360"/>
        </w:sectPr>
      </w:pP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E</w:t>
      </w:r>
      <w:r w:rsidR="00C14065" w:rsidRPr="00454D94">
        <w:rPr>
          <w:rFonts w:ascii="Times New Roman" w:hAnsi="Times New Roman" w:cs="Times New Roman"/>
          <w:lang w:val="es-MX"/>
        </w:rPr>
        <w:t xml:space="preserve">ste mes, </w:t>
      </w:r>
      <w:r w:rsidRPr="00454D94">
        <w:rPr>
          <w:rFonts w:ascii="Times New Roman" w:hAnsi="Times New Roman" w:cs="Times New Roman"/>
          <w:lang w:val="es-MX"/>
        </w:rPr>
        <w:t>se observó un repunte en la ejecuc</w:t>
      </w:r>
      <w:r w:rsidR="00C14065" w:rsidRPr="00454D94">
        <w:rPr>
          <w:rFonts w:ascii="Times New Roman" w:hAnsi="Times New Roman" w:cs="Times New Roman"/>
          <w:lang w:val="es-MX"/>
        </w:rPr>
        <w:t>ión de gasto que estuvo motivado</w:t>
      </w:r>
      <w:r w:rsidRPr="00454D94">
        <w:rPr>
          <w:rFonts w:ascii="Times New Roman" w:hAnsi="Times New Roman" w:cs="Times New Roman"/>
          <w:lang w:val="es-MX"/>
        </w:rPr>
        <w:t xml:space="preserve"> por un aumento en la cuota financiera que se aprobó en la mayor parte de las instituciones. </w:t>
      </w:r>
    </w:p>
    <w:p w:rsidR="007C0C8C" w:rsidRPr="00454D94" w:rsidRDefault="007C0C8C" w:rsidP="007C0C8C">
      <w:pPr>
        <w:pStyle w:val="Sinespaciado"/>
        <w:jc w:val="both"/>
        <w:rPr>
          <w:rFonts w:ascii="Times New Roman" w:hAnsi="Times New Roman" w:cs="Times New Roman"/>
          <w:lang w:val="es-MX"/>
        </w:rPr>
      </w:pP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 xml:space="preserve">De esa cuenta, el nivel de ejecución de gasto observado al 30 de noviembre se ubicó en     Q 55,079.3 millones (sin incluir amortizaciones de deuda), mostrando prácticamente un crecimiento interanual de 3.0% con respecto a lo observado en igual fecha del año anterior.  Cifra que resultó mayor que el crecimiento interanual mostrado en noviembre de 2015 que fue de 1.4%.   </w:t>
      </w:r>
    </w:p>
    <w:p w:rsidR="007C0C8C" w:rsidRDefault="007C0C8C" w:rsidP="007C0C8C">
      <w:pPr>
        <w:pStyle w:val="Sinespaciado"/>
        <w:rPr>
          <w:rFonts w:ascii="Times New Roman" w:hAnsi="Times New Roman" w:cs="Times New Roman"/>
          <w:b/>
          <w:lang w:val="es-MX"/>
        </w:rPr>
      </w:pPr>
    </w:p>
    <w:p w:rsidR="00454D94" w:rsidRPr="00454D94" w:rsidRDefault="00454D94" w:rsidP="007C0C8C">
      <w:pPr>
        <w:pStyle w:val="Sinespaciado"/>
        <w:rPr>
          <w:rFonts w:ascii="Times New Roman" w:hAnsi="Times New Roman" w:cs="Times New Roman"/>
          <w:b/>
          <w:lang w:val="es-MX"/>
        </w:rPr>
      </w:pPr>
    </w:p>
    <w:p w:rsidR="007C0C8C" w:rsidRPr="00454D94" w:rsidRDefault="007C0C8C" w:rsidP="007C0C8C">
      <w:pPr>
        <w:pStyle w:val="Sinespaciado"/>
        <w:jc w:val="center"/>
        <w:rPr>
          <w:rFonts w:ascii="Times New Roman" w:hAnsi="Times New Roman" w:cs="Times New Roman"/>
          <w:b/>
          <w:lang w:val="es-MX"/>
        </w:rPr>
      </w:pPr>
      <w:r w:rsidRPr="00454D94">
        <w:rPr>
          <w:rFonts w:ascii="Times New Roman" w:hAnsi="Times New Roman" w:cs="Times New Roman"/>
          <w:b/>
          <w:lang w:val="es-MX"/>
        </w:rPr>
        <w:lastRenderedPageBreak/>
        <w:t>Ritmo de Ejecución del Gasto</w:t>
      </w:r>
    </w:p>
    <w:p w:rsidR="007C0C8C" w:rsidRPr="00454D94" w:rsidRDefault="007C0C8C" w:rsidP="007C0C8C">
      <w:pPr>
        <w:pStyle w:val="Sinespaciado"/>
        <w:jc w:val="center"/>
        <w:rPr>
          <w:rFonts w:ascii="Times New Roman" w:hAnsi="Times New Roman" w:cs="Times New Roman"/>
          <w:sz w:val="18"/>
          <w:lang w:val="es-MX"/>
        </w:rPr>
      </w:pPr>
      <w:r w:rsidRPr="00454D94">
        <w:rPr>
          <w:rFonts w:ascii="Times New Roman" w:hAnsi="Times New Roman" w:cs="Times New Roman"/>
          <w:sz w:val="18"/>
          <w:lang w:val="es-MX"/>
        </w:rPr>
        <w:t>Variación Interanual</w:t>
      </w:r>
    </w:p>
    <w:p w:rsidR="007C0C8C" w:rsidRPr="00454D94" w:rsidRDefault="007C0C8C" w:rsidP="007C0C8C">
      <w:pPr>
        <w:pStyle w:val="Sinespaciado"/>
        <w:jc w:val="both"/>
        <w:rPr>
          <w:rFonts w:ascii="Times New Roman" w:hAnsi="Times New Roman" w:cs="Times New Roman"/>
          <w:i/>
          <w:lang w:val="es-MX"/>
        </w:rPr>
      </w:pPr>
      <w:r w:rsidRPr="00454D94">
        <w:rPr>
          <w:rFonts w:ascii="Times New Roman" w:hAnsi="Times New Roman" w:cs="Times New Roman"/>
          <w:i/>
          <w:noProof/>
          <w:lang w:eastAsia="es-GT"/>
        </w:rPr>
        <w:drawing>
          <wp:inline distT="0" distB="0" distL="0" distR="0" wp14:anchorId="2F619592" wp14:editId="4DB3C3C0">
            <wp:extent cx="2791816" cy="2186608"/>
            <wp:effectExtent l="0" t="0" r="889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1816" cy="2186608"/>
                    </a:xfrm>
                    <a:prstGeom prst="rect">
                      <a:avLst/>
                    </a:prstGeom>
                    <a:noFill/>
                  </pic:spPr>
                </pic:pic>
              </a:graphicData>
            </a:graphic>
          </wp:inline>
        </w:drawing>
      </w:r>
    </w:p>
    <w:p w:rsidR="007C0C8C" w:rsidRPr="00454D94" w:rsidRDefault="007C0C8C" w:rsidP="007C0C8C">
      <w:pPr>
        <w:pStyle w:val="Sinespaciado"/>
        <w:rPr>
          <w:rFonts w:ascii="Times New Roman" w:hAnsi="Times New Roman" w:cs="Times New Roman"/>
          <w:sz w:val="16"/>
        </w:rPr>
      </w:pPr>
      <w:r w:rsidRPr="00454D94">
        <w:rPr>
          <w:rFonts w:ascii="Times New Roman" w:hAnsi="Times New Roman" w:cs="Times New Roman"/>
          <w:sz w:val="16"/>
        </w:rPr>
        <w:t>Fuente: Dirección de Análisis y Política fiscal</w:t>
      </w:r>
    </w:p>
    <w:p w:rsidR="007C0C8C" w:rsidRPr="00454D94" w:rsidRDefault="007C0C8C" w:rsidP="007C0C8C">
      <w:pPr>
        <w:pStyle w:val="Sinespaciado"/>
        <w:jc w:val="both"/>
        <w:rPr>
          <w:rFonts w:ascii="Times New Roman" w:hAnsi="Times New Roman" w:cs="Times New Roman"/>
        </w:rPr>
      </w:pPr>
    </w:p>
    <w:p w:rsidR="007C0C8C" w:rsidRPr="00454D94" w:rsidRDefault="00C14065" w:rsidP="007C0C8C">
      <w:pPr>
        <w:pStyle w:val="Sinespaciado"/>
        <w:jc w:val="both"/>
        <w:rPr>
          <w:rFonts w:ascii="Times New Roman" w:hAnsi="Times New Roman" w:cs="Times New Roman"/>
          <w:lang w:val="es-MX"/>
        </w:rPr>
      </w:pPr>
      <w:r w:rsidRPr="00454D94">
        <w:rPr>
          <w:rFonts w:ascii="Times New Roman" w:hAnsi="Times New Roman" w:cs="Times New Roman"/>
        </w:rPr>
        <w:t>S</w:t>
      </w:r>
      <w:r w:rsidR="007C0C8C" w:rsidRPr="00454D94">
        <w:rPr>
          <w:rFonts w:ascii="Times New Roman" w:hAnsi="Times New Roman" w:cs="Times New Roman"/>
          <w:lang w:val="es-MX"/>
        </w:rPr>
        <w:t xml:space="preserve">e observó una mayor ejecución en el rubro de bienes y servicios, el cual mostró su nivel más alto en lo que va del año (Q 736.6 millones) dicho gasto fue ejecutado en mayor proporción por los ministerios de gobernación, salud, entre otros.  No obstante, el ritmo de ejecución de este rubro sigue siendo negativo comparado a lo realizado el año anterior. </w:t>
      </w:r>
    </w:p>
    <w:p w:rsidR="007C0C8C" w:rsidRPr="00454D94" w:rsidRDefault="007C0C8C" w:rsidP="007C0C8C">
      <w:pPr>
        <w:pStyle w:val="Sinespaciado"/>
        <w:jc w:val="both"/>
        <w:rPr>
          <w:rFonts w:ascii="Times New Roman" w:hAnsi="Times New Roman" w:cs="Times New Roman"/>
          <w:lang w:val="es-MX"/>
        </w:rPr>
      </w:pP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Asimismo, las transferencias corrientes mostraron un alto nivel de ejecución tanto a nivel de entidades descentralizadas como las que se realizan al sector privado, esta última asociada al pago de las transferencias condicionadas de educación y salud, realizadas por el Ministerio de Desarrollo Social.</w:t>
      </w:r>
    </w:p>
    <w:p w:rsidR="007C0C8C" w:rsidRPr="00454D94" w:rsidRDefault="007C0C8C" w:rsidP="007C0C8C">
      <w:pPr>
        <w:pStyle w:val="Sinespaciado"/>
        <w:jc w:val="both"/>
        <w:rPr>
          <w:rFonts w:ascii="Times New Roman" w:hAnsi="Times New Roman" w:cs="Times New Roman"/>
          <w:lang w:val="es-MX"/>
        </w:rPr>
      </w:pPr>
    </w:p>
    <w:p w:rsidR="007C0C8C"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 xml:space="preserve">Por otro lado, rubros como las prestaciones a la seguridad social y el pago de intereses de deuda pública también muestran un alto ritmo de ejecución que fue importante para el dinamismo del gasto en noviembre. </w:t>
      </w:r>
    </w:p>
    <w:p w:rsidR="00454D94" w:rsidRDefault="00454D94" w:rsidP="007C0C8C">
      <w:pPr>
        <w:pStyle w:val="Sinespaciado"/>
        <w:jc w:val="both"/>
        <w:rPr>
          <w:rFonts w:ascii="Times New Roman" w:hAnsi="Times New Roman" w:cs="Times New Roman"/>
          <w:lang w:val="es-MX"/>
        </w:rPr>
      </w:pPr>
    </w:p>
    <w:p w:rsidR="00454D94" w:rsidRDefault="00454D94" w:rsidP="007C0C8C">
      <w:pPr>
        <w:pStyle w:val="Sinespaciado"/>
        <w:jc w:val="both"/>
        <w:rPr>
          <w:rFonts w:ascii="Times New Roman" w:hAnsi="Times New Roman" w:cs="Times New Roman"/>
          <w:lang w:val="es-MX"/>
        </w:rPr>
      </w:pPr>
    </w:p>
    <w:p w:rsidR="00454D94" w:rsidRDefault="00454D94" w:rsidP="007C0C8C">
      <w:pPr>
        <w:pStyle w:val="Sinespaciado"/>
        <w:jc w:val="both"/>
        <w:rPr>
          <w:rFonts w:ascii="Times New Roman" w:hAnsi="Times New Roman" w:cs="Times New Roman"/>
          <w:lang w:val="es-MX"/>
        </w:rPr>
      </w:pPr>
    </w:p>
    <w:p w:rsidR="00454D94" w:rsidRPr="00454D94" w:rsidRDefault="00454D94" w:rsidP="007C0C8C">
      <w:pPr>
        <w:pStyle w:val="Sinespaciado"/>
        <w:jc w:val="both"/>
        <w:rPr>
          <w:rFonts w:ascii="Times New Roman" w:hAnsi="Times New Roman" w:cs="Times New Roman"/>
          <w:lang w:val="es-MX"/>
        </w:rPr>
      </w:pPr>
    </w:p>
    <w:p w:rsidR="007C0C8C" w:rsidRPr="00454D94" w:rsidRDefault="007C0C8C" w:rsidP="007C0C8C">
      <w:pPr>
        <w:pStyle w:val="Sinespaciado"/>
        <w:jc w:val="center"/>
        <w:rPr>
          <w:rFonts w:ascii="Times New Roman" w:hAnsi="Times New Roman" w:cs="Times New Roman"/>
          <w:b/>
          <w:lang w:val="es-MX"/>
        </w:rPr>
      </w:pPr>
      <w:r w:rsidRPr="00454D94">
        <w:rPr>
          <w:rFonts w:ascii="Times New Roman" w:hAnsi="Times New Roman" w:cs="Times New Roman"/>
          <w:b/>
          <w:lang w:val="es-MX"/>
        </w:rPr>
        <w:lastRenderedPageBreak/>
        <w:t>Ritmo de Ejecución por Rubro de Gasto</w:t>
      </w:r>
    </w:p>
    <w:p w:rsidR="007C0C8C" w:rsidRPr="00454D94" w:rsidRDefault="007C0C8C" w:rsidP="007C0C8C">
      <w:pPr>
        <w:pStyle w:val="Sinespaciado"/>
        <w:jc w:val="center"/>
        <w:rPr>
          <w:rFonts w:ascii="Times New Roman" w:hAnsi="Times New Roman" w:cs="Times New Roman"/>
          <w:lang w:val="es-MX"/>
        </w:rPr>
      </w:pPr>
      <w:r w:rsidRPr="00454D94">
        <w:rPr>
          <w:rFonts w:ascii="Times New Roman" w:hAnsi="Times New Roman" w:cs="Times New Roman"/>
          <w:sz w:val="18"/>
          <w:lang w:val="es-MX"/>
        </w:rPr>
        <w:t>Variación Interanual</w:t>
      </w:r>
    </w:p>
    <w:p w:rsidR="007C0C8C" w:rsidRPr="00454D94" w:rsidRDefault="007C0C8C" w:rsidP="007C0C8C">
      <w:pPr>
        <w:pStyle w:val="Sinespaciado"/>
        <w:jc w:val="center"/>
        <w:rPr>
          <w:rFonts w:ascii="Times New Roman" w:hAnsi="Times New Roman" w:cs="Times New Roman"/>
          <w:lang w:val="es-MX"/>
        </w:rPr>
      </w:pPr>
      <w:r w:rsidRPr="00454D94">
        <w:rPr>
          <w:rFonts w:ascii="Times New Roman" w:hAnsi="Times New Roman" w:cs="Times New Roman"/>
          <w:noProof/>
          <w:lang w:eastAsia="es-GT"/>
        </w:rPr>
        <w:drawing>
          <wp:inline distT="0" distB="0" distL="0" distR="0" wp14:anchorId="44869938" wp14:editId="7AB0D786">
            <wp:extent cx="2723322" cy="2276061"/>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3322" cy="2276061"/>
                    </a:xfrm>
                    <a:prstGeom prst="rect">
                      <a:avLst/>
                    </a:prstGeom>
                    <a:noFill/>
                  </pic:spPr>
                </pic:pic>
              </a:graphicData>
            </a:graphic>
          </wp:inline>
        </w:drawing>
      </w:r>
    </w:p>
    <w:p w:rsidR="007C0C8C" w:rsidRPr="00454D94" w:rsidRDefault="007C0C8C" w:rsidP="007C0C8C">
      <w:pPr>
        <w:pStyle w:val="Sinespaciado"/>
        <w:jc w:val="both"/>
        <w:rPr>
          <w:rFonts w:ascii="Times New Roman" w:hAnsi="Times New Roman" w:cs="Times New Roman"/>
          <w:sz w:val="14"/>
        </w:rPr>
      </w:pPr>
      <w:r w:rsidRPr="00454D94">
        <w:rPr>
          <w:rFonts w:ascii="Times New Roman" w:hAnsi="Times New Roman" w:cs="Times New Roman"/>
          <w:sz w:val="14"/>
        </w:rPr>
        <w:t>Fuente: Dirección de Análisis y Política fiscal</w:t>
      </w:r>
    </w:p>
    <w:p w:rsidR="007C0C8C" w:rsidRPr="00454D94" w:rsidRDefault="007C0C8C" w:rsidP="007C0C8C">
      <w:pPr>
        <w:pStyle w:val="Sinespaciado"/>
        <w:jc w:val="center"/>
        <w:rPr>
          <w:rFonts w:ascii="Times New Roman" w:hAnsi="Times New Roman" w:cs="Times New Roman"/>
        </w:rPr>
      </w:pPr>
    </w:p>
    <w:p w:rsid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 xml:space="preserve">A pesar del mayor ritmo de ejecución, se observa que el gasto ejecutado con respecto al presupuesto vigente para este año, comparado con el inicio de cada administración en los últimos cuatro periodos, se puede observar que este se encuentra por debajo del promedio y de lo realizado en los últimas dos administraciones.   </w:t>
      </w:r>
    </w:p>
    <w:p w:rsidR="00454D94" w:rsidRDefault="00454D94" w:rsidP="007C0C8C">
      <w:pPr>
        <w:pStyle w:val="Sinespaciado"/>
        <w:jc w:val="both"/>
        <w:rPr>
          <w:rFonts w:ascii="Times New Roman" w:hAnsi="Times New Roman" w:cs="Times New Roman"/>
          <w:lang w:val="es-MX"/>
        </w:rPr>
      </w:pPr>
    </w:p>
    <w:p w:rsid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Es importante aclarar que en buena medida esta situación se debe a que esta administración tuvo que atender pagos de compromisos que no fueron liquidados en el período anterior por más de Q</w:t>
      </w:r>
      <w:r w:rsidR="006F157C" w:rsidRPr="00454D94">
        <w:rPr>
          <w:rFonts w:ascii="Times New Roman" w:hAnsi="Times New Roman" w:cs="Times New Roman"/>
          <w:lang w:val="es-MX"/>
        </w:rPr>
        <w:t xml:space="preserve"> </w:t>
      </w:r>
      <w:r w:rsidRPr="00454D94">
        <w:rPr>
          <w:rFonts w:ascii="Times New Roman" w:hAnsi="Times New Roman" w:cs="Times New Roman"/>
          <w:lang w:val="es-MX"/>
        </w:rPr>
        <w:t xml:space="preserve">1,000 millones, situación que no se dio en las administraciones pasadas.   </w:t>
      </w:r>
    </w:p>
    <w:p w:rsidR="00454D94" w:rsidRDefault="00454D94" w:rsidP="007C0C8C">
      <w:pPr>
        <w:pStyle w:val="Sinespaciado"/>
        <w:jc w:val="both"/>
        <w:rPr>
          <w:rFonts w:ascii="Times New Roman" w:hAnsi="Times New Roman" w:cs="Times New Roman"/>
          <w:lang w:val="es-MX"/>
        </w:rPr>
      </w:pP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Además el efecto en los cambios en la Ley de Contrataciones y el problema que se ha venido gestando con la ejecución de la inversión pública especialmente con desembolsos de préstamos ha sido otra limitante en la ejecución de este ejercicio fiscal.</w:t>
      </w:r>
    </w:p>
    <w:p w:rsidR="007C0C8C" w:rsidRPr="00454D94" w:rsidRDefault="007C0C8C" w:rsidP="007C0C8C">
      <w:pPr>
        <w:pStyle w:val="Sinespaciado"/>
        <w:jc w:val="both"/>
        <w:rPr>
          <w:rFonts w:ascii="Times New Roman" w:hAnsi="Times New Roman" w:cs="Times New Roman"/>
          <w:lang w:val="es-MX"/>
        </w:rPr>
      </w:pPr>
    </w:p>
    <w:p w:rsidR="007C0C8C" w:rsidRPr="00454D94" w:rsidRDefault="007C0C8C" w:rsidP="007C0C8C">
      <w:pPr>
        <w:pStyle w:val="Sinespaciado"/>
        <w:jc w:val="both"/>
        <w:rPr>
          <w:rFonts w:ascii="Times New Roman" w:hAnsi="Times New Roman" w:cs="Times New Roman"/>
          <w:lang w:val="es-MX"/>
        </w:rPr>
      </w:pPr>
    </w:p>
    <w:p w:rsidR="00C14065" w:rsidRPr="00454D94" w:rsidRDefault="00C14065" w:rsidP="007C0C8C">
      <w:pPr>
        <w:pStyle w:val="Sinespaciado"/>
        <w:jc w:val="both"/>
        <w:rPr>
          <w:rFonts w:ascii="Times New Roman" w:hAnsi="Times New Roman" w:cs="Times New Roman"/>
          <w:lang w:val="es-MX"/>
        </w:rPr>
      </w:pPr>
    </w:p>
    <w:p w:rsidR="007C0C8C" w:rsidRPr="00454D94" w:rsidRDefault="007C0C8C" w:rsidP="007C0C8C">
      <w:pPr>
        <w:pStyle w:val="Sinespaciado"/>
        <w:jc w:val="both"/>
        <w:rPr>
          <w:rFonts w:ascii="Times New Roman" w:hAnsi="Times New Roman" w:cs="Times New Roman"/>
          <w:lang w:val="es-MX"/>
        </w:rPr>
      </w:pPr>
    </w:p>
    <w:p w:rsidR="007C0C8C" w:rsidRPr="00454D94" w:rsidRDefault="007C0C8C" w:rsidP="007C0C8C">
      <w:pPr>
        <w:pStyle w:val="Sinespaciado"/>
        <w:jc w:val="center"/>
        <w:rPr>
          <w:rFonts w:ascii="Times New Roman" w:hAnsi="Times New Roman" w:cs="Times New Roman"/>
          <w:sz w:val="18"/>
          <w:lang w:val="es-MX"/>
        </w:rPr>
      </w:pPr>
      <w:r w:rsidRPr="00454D94">
        <w:rPr>
          <w:rFonts w:ascii="Times New Roman" w:hAnsi="Times New Roman" w:cs="Times New Roman"/>
          <w:b/>
          <w:lang w:val="es-MX"/>
        </w:rPr>
        <w:lastRenderedPageBreak/>
        <w:t>Grado de Ejecución</w:t>
      </w:r>
    </w:p>
    <w:p w:rsidR="007C0C8C" w:rsidRPr="00454D94" w:rsidRDefault="007C0C8C" w:rsidP="007C0C8C">
      <w:pPr>
        <w:pStyle w:val="Sinespaciado"/>
        <w:jc w:val="center"/>
        <w:rPr>
          <w:rFonts w:ascii="Times New Roman" w:hAnsi="Times New Roman" w:cs="Times New Roman"/>
          <w:sz w:val="18"/>
          <w:lang w:val="es-MX"/>
        </w:rPr>
      </w:pPr>
      <w:r w:rsidRPr="00454D94">
        <w:rPr>
          <w:rFonts w:ascii="Times New Roman" w:hAnsi="Times New Roman" w:cs="Times New Roman"/>
          <w:sz w:val="18"/>
          <w:lang w:val="es-MX"/>
        </w:rPr>
        <w:t xml:space="preserve">Al 30 de noviembre </w:t>
      </w:r>
    </w:p>
    <w:p w:rsidR="007C0C8C" w:rsidRPr="00454D94" w:rsidRDefault="007C0C8C" w:rsidP="007C0C8C">
      <w:pPr>
        <w:pStyle w:val="Sinespaciado"/>
        <w:jc w:val="center"/>
        <w:rPr>
          <w:rFonts w:ascii="Times New Roman" w:hAnsi="Times New Roman" w:cs="Times New Roman"/>
          <w:sz w:val="18"/>
          <w:lang w:val="es-MX"/>
        </w:rPr>
      </w:pPr>
      <w:r w:rsidRPr="00454D94">
        <w:rPr>
          <w:rFonts w:ascii="Times New Roman" w:hAnsi="Times New Roman" w:cs="Times New Roman"/>
          <w:sz w:val="18"/>
          <w:lang w:val="es-MX"/>
        </w:rPr>
        <w:t>del primer año de cada administración</w:t>
      </w: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noProof/>
          <w:lang w:eastAsia="es-GT"/>
        </w:rPr>
        <w:drawing>
          <wp:inline distT="0" distB="0" distL="0" distR="0" wp14:anchorId="39678902" wp14:editId="53FFDF80">
            <wp:extent cx="2468880" cy="2118360"/>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8880" cy="2118360"/>
                    </a:xfrm>
                    <a:prstGeom prst="rect">
                      <a:avLst/>
                    </a:prstGeom>
                    <a:noFill/>
                  </pic:spPr>
                </pic:pic>
              </a:graphicData>
            </a:graphic>
          </wp:inline>
        </w:drawing>
      </w:r>
    </w:p>
    <w:p w:rsidR="007C0C8C" w:rsidRPr="00454D94" w:rsidRDefault="007C0C8C" w:rsidP="007C0C8C">
      <w:pPr>
        <w:pStyle w:val="Sinespaciado"/>
        <w:jc w:val="both"/>
        <w:rPr>
          <w:rFonts w:ascii="Times New Roman" w:hAnsi="Times New Roman" w:cs="Times New Roman"/>
          <w:sz w:val="14"/>
        </w:rPr>
      </w:pPr>
      <w:r w:rsidRPr="00454D94">
        <w:rPr>
          <w:rFonts w:ascii="Times New Roman" w:hAnsi="Times New Roman" w:cs="Times New Roman"/>
          <w:sz w:val="14"/>
        </w:rPr>
        <w:t>Fuente: Dirección de Análisis y Política fiscal</w:t>
      </w:r>
    </w:p>
    <w:p w:rsidR="007C0C8C" w:rsidRPr="00454D94" w:rsidRDefault="007C0C8C" w:rsidP="007C0C8C">
      <w:pPr>
        <w:pStyle w:val="Sinespaciado"/>
        <w:jc w:val="both"/>
        <w:rPr>
          <w:rFonts w:ascii="Times New Roman" w:hAnsi="Times New Roman" w:cs="Times New Roman"/>
        </w:rPr>
      </w:pP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 xml:space="preserve">A nivel institucional, se puede apreciar que la mayor parte de las entidades muestran un grado de ejecución dentro del rango normal, de acuerdo a su comportamiento histórico.  Sin embargo, hay algunas excepciones como los ministerios de economía, comunicaciones y cultura en donde la ejecución no solo es baja si no por debajo de su comportamiento histórico, lo cual llama a la reflexión en cuanto al cumplimiento de los objetivos estratégicos e institucionales, lo cual afecta la materialización de la política de gobierno. </w:t>
      </w:r>
    </w:p>
    <w:p w:rsidR="007C0C8C" w:rsidRPr="00454D94" w:rsidRDefault="007C0C8C" w:rsidP="007C0C8C">
      <w:pPr>
        <w:pStyle w:val="Sinespaciado"/>
        <w:jc w:val="both"/>
        <w:rPr>
          <w:rFonts w:ascii="Times New Roman" w:hAnsi="Times New Roman" w:cs="Times New Roman"/>
          <w:lang w:val="es-MX"/>
        </w:rPr>
      </w:pPr>
    </w:p>
    <w:p w:rsidR="007C0C8C" w:rsidRPr="00454D94" w:rsidRDefault="007C0C8C" w:rsidP="007C0C8C">
      <w:pPr>
        <w:pStyle w:val="Sinespaciado"/>
        <w:jc w:val="center"/>
        <w:rPr>
          <w:rFonts w:ascii="Times New Roman" w:hAnsi="Times New Roman" w:cs="Times New Roman"/>
          <w:sz w:val="18"/>
          <w:lang w:val="es-MX"/>
        </w:rPr>
      </w:pPr>
      <w:r w:rsidRPr="00454D94">
        <w:rPr>
          <w:rFonts w:ascii="Times New Roman" w:hAnsi="Times New Roman" w:cs="Times New Roman"/>
          <w:b/>
          <w:lang w:val="es-MX"/>
        </w:rPr>
        <w:t>Normalidad en el Grado de Ejecución Institucional</w:t>
      </w:r>
    </w:p>
    <w:p w:rsidR="007C0C8C" w:rsidRPr="00454D94" w:rsidRDefault="007C0C8C" w:rsidP="007C0C8C">
      <w:pPr>
        <w:pStyle w:val="Sinespaciado"/>
        <w:jc w:val="center"/>
        <w:rPr>
          <w:rFonts w:ascii="Times New Roman" w:hAnsi="Times New Roman" w:cs="Times New Roman"/>
          <w:sz w:val="18"/>
          <w:lang w:val="es-MX"/>
        </w:rPr>
      </w:pPr>
      <w:r w:rsidRPr="00454D94">
        <w:rPr>
          <w:rFonts w:ascii="Times New Roman" w:hAnsi="Times New Roman" w:cs="Times New Roman"/>
          <w:sz w:val="18"/>
          <w:lang w:val="es-MX"/>
        </w:rPr>
        <w:t xml:space="preserve">Al 30 de noviembre de 2016 </w:t>
      </w:r>
    </w:p>
    <w:p w:rsidR="007C0C8C" w:rsidRPr="00454D94" w:rsidRDefault="007C0C8C" w:rsidP="007C0C8C">
      <w:pPr>
        <w:pStyle w:val="Sinespaciado"/>
        <w:jc w:val="both"/>
        <w:rPr>
          <w:rFonts w:ascii="Times New Roman" w:hAnsi="Times New Roman" w:cs="Times New Roman"/>
          <w:lang w:val="es-MX"/>
        </w:rPr>
      </w:pP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noProof/>
          <w:lang w:eastAsia="es-GT"/>
        </w:rPr>
        <w:drawing>
          <wp:inline distT="0" distB="0" distL="0" distR="0" wp14:anchorId="0EF05E32" wp14:editId="365A6F8B">
            <wp:extent cx="2560320" cy="1691640"/>
            <wp:effectExtent l="0" t="0" r="0" b="381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0561" cy="1691799"/>
                    </a:xfrm>
                    <a:prstGeom prst="rect">
                      <a:avLst/>
                    </a:prstGeom>
                    <a:noFill/>
                  </pic:spPr>
                </pic:pic>
              </a:graphicData>
            </a:graphic>
          </wp:inline>
        </w:drawing>
      </w: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sz w:val="16"/>
        </w:rPr>
        <w:t>Fuente: Dirección de Análisis y Política fiscal</w:t>
      </w:r>
    </w:p>
    <w:p w:rsidR="007C0C8C" w:rsidRPr="00454D94" w:rsidRDefault="007C0C8C" w:rsidP="007C0C8C">
      <w:pPr>
        <w:pStyle w:val="Sinespaciado"/>
        <w:jc w:val="both"/>
        <w:rPr>
          <w:rFonts w:ascii="Times New Roman" w:hAnsi="Times New Roman" w:cs="Times New Roman"/>
          <w:lang w:val="es-MX"/>
        </w:rPr>
      </w:pP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 xml:space="preserve">Desde la perspectiva del techo mensual de gasto (cuota financiera de octubre) con todas las fuentes de financiamiento, se ubicó en Q 6,106.4 millones, siendo la segunda cuota más alta después de la aprobada en julio. El nivel de ejecución fue equivalente al 93.2% (Q 5,692.9 millones). Del total ejecutado el 80.2% se financió con fuentes de origen tributario (fuentes 11, 21, 22 y 29).  </w:t>
      </w:r>
    </w:p>
    <w:p w:rsidR="007C0C8C" w:rsidRPr="00454D94" w:rsidRDefault="007C0C8C" w:rsidP="007C0C8C">
      <w:pPr>
        <w:pStyle w:val="Sinespaciado"/>
        <w:jc w:val="both"/>
        <w:rPr>
          <w:rFonts w:ascii="Times New Roman" w:hAnsi="Times New Roman" w:cs="Times New Roman"/>
          <w:lang w:val="es-MX"/>
        </w:rPr>
      </w:pPr>
    </w:p>
    <w:p w:rsidR="007C0C8C" w:rsidRPr="00454D94" w:rsidRDefault="007C0C8C" w:rsidP="007C0C8C">
      <w:pPr>
        <w:pStyle w:val="Sinespaciado"/>
        <w:jc w:val="center"/>
        <w:rPr>
          <w:rFonts w:ascii="Times New Roman" w:hAnsi="Times New Roman" w:cs="Times New Roman"/>
          <w:b/>
          <w:lang w:val="es-MX"/>
        </w:rPr>
      </w:pPr>
      <w:r w:rsidRPr="00454D94">
        <w:rPr>
          <w:rFonts w:ascii="Times New Roman" w:hAnsi="Times New Roman" w:cs="Times New Roman"/>
          <w:b/>
          <w:lang w:val="es-MX"/>
        </w:rPr>
        <w:t>Cuota Financiera para Noviembre</w:t>
      </w:r>
    </w:p>
    <w:p w:rsidR="007C0C8C" w:rsidRPr="00454D94" w:rsidRDefault="007C0C8C" w:rsidP="007C0C8C">
      <w:pPr>
        <w:pStyle w:val="Sinespaciado"/>
        <w:jc w:val="center"/>
        <w:rPr>
          <w:rFonts w:ascii="Times New Roman" w:hAnsi="Times New Roman" w:cs="Times New Roman"/>
          <w:sz w:val="18"/>
          <w:lang w:val="es-MX"/>
        </w:rPr>
      </w:pPr>
      <w:r w:rsidRPr="00454D94">
        <w:rPr>
          <w:rFonts w:ascii="Times New Roman" w:hAnsi="Times New Roman" w:cs="Times New Roman"/>
          <w:sz w:val="18"/>
          <w:lang w:val="es-MX"/>
        </w:rPr>
        <w:t>Millones de quetzales</w:t>
      </w: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noProof/>
          <w:sz w:val="16"/>
          <w:lang w:eastAsia="es-GT"/>
        </w:rPr>
        <w:drawing>
          <wp:inline distT="0" distB="0" distL="0" distR="0" wp14:anchorId="1478901A" wp14:editId="703CE433">
            <wp:extent cx="2538079" cy="177292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37348" cy="1772409"/>
                    </a:xfrm>
                    <a:prstGeom prst="rect">
                      <a:avLst/>
                    </a:prstGeom>
                    <a:noFill/>
                  </pic:spPr>
                </pic:pic>
              </a:graphicData>
            </a:graphic>
          </wp:inline>
        </w:drawing>
      </w:r>
      <w:r w:rsidRPr="00454D94">
        <w:rPr>
          <w:rFonts w:ascii="Times New Roman" w:hAnsi="Times New Roman" w:cs="Times New Roman"/>
          <w:sz w:val="16"/>
        </w:rPr>
        <w:t>Fuente: Dirección de Análisis y Política fiscal</w:t>
      </w:r>
    </w:p>
    <w:p w:rsidR="007C0C8C" w:rsidRPr="00454D94" w:rsidRDefault="007C0C8C" w:rsidP="007C0C8C">
      <w:pPr>
        <w:pStyle w:val="Sinespaciado"/>
        <w:jc w:val="both"/>
        <w:rPr>
          <w:rFonts w:ascii="Times New Roman" w:hAnsi="Times New Roman" w:cs="Times New Roman"/>
          <w:lang w:val="es-MX"/>
        </w:rPr>
      </w:pP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El ministerio de comunicaciones fue  nuevamente la institución que mostró el nivel más bajo de ejecución de la cuota (57.8%). Afectando con ello la construcción y mantenimiento de la obra vial.</w:t>
      </w:r>
    </w:p>
    <w:p w:rsidR="007C0C8C" w:rsidRPr="00454D94" w:rsidRDefault="007C0C8C" w:rsidP="007C0C8C">
      <w:pPr>
        <w:pStyle w:val="Sinespaciado"/>
        <w:jc w:val="both"/>
        <w:rPr>
          <w:rFonts w:ascii="Times New Roman" w:hAnsi="Times New Roman" w:cs="Times New Roman"/>
          <w:lang w:val="es-MX"/>
        </w:rPr>
      </w:pP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 xml:space="preserve">Por su parte, el gasto social, en los rubros de salud, educación y vivienda, se reporta una ejecución al cierre de octubre de Q 21,621.0 millones, al incorporar los compromisos de los Acuerdos de Paz en Seguridad Interna, Organismo Judicial, Corte de Constitucionalidad y Ministerio Público, el gasto social alcanza una ejecución de Q 28,345.6 millones. Lo cual equivale a un grado de ejecución presupuestaria de 81.2%.  nivel que está por arriba del mostrado por toda la administración central (80.8%), esto en cierto sentido muestra que la principal </w:t>
      </w:r>
      <w:r w:rsidRPr="00454D94">
        <w:rPr>
          <w:rFonts w:ascii="Times New Roman" w:hAnsi="Times New Roman" w:cs="Times New Roman"/>
          <w:lang w:val="es-MX"/>
        </w:rPr>
        <w:lastRenderedPageBreak/>
        <w:t>prioridad del gasto público está orientado al gasto de los Acuerdos de Paz.</w:t>
      </w:r>
    </w:p>
    <w:p w:rsidR="007C0C8C" w:rsidRPr="00454D94" w:rsidRDefault="007C0C8C" w:rsidP="007C0C8C">
      <w:pPr>
        <w:pStyle w:val="Sinespaciado"/>
        <w:jc w:val="both"/>
        <w:rPr>
          <w:rFonts w:ascii="Times New Roman" w:hAnsi="Times New Roman" w:cs="Times New Roman"/>
          <w:sz w:val="20"/>
          <w:lang w:val="es-MX"/>
        </w:rPr>
      </w:pPr>
      <w:r w:rsidRPr="00454D94">
        <w:rPr>
          <w:rFonts w:ascii="Times New Roman" w:hAnsi="Times New Roman" w:cs="Times New Roman"/>
          <w:lang w:val="es-MX"/>
        </w:rPr>
        <w:t xml:space="preserve"> </w:t>
      </w:r>
    </w:p>
    <w:p w:rsidR="007C0C8C" w:rsidRPr="00454D94" w:rsidRDefault="007C0C8C" w:rsidP="007C0C8C">
      <w:pPr>
        <w:pStyle w:val="Sinespaciado"/>
        <w:jc w:val="center"/>
        <w:rPr>
          <w:rFonts w:ascii="Times New Roman" w:hAnsi="Times New Roman" w:cs="Times New Roman"/>
          <w:b/>
          <w:lang w:val="es-MX"/>
        </w:rPr>
      </w:pPr>
      <w:r w:rsidRPr="00454D94">
        <w:rPr>
          <w:rFonts w:ascii="Times New Roman" w:hAnsi="Times New Roman" w:cs="Times New Roman"/>
          <w:b/>
          <w:lang w:val="es-MX"/>
        </w:rPr>
        <w:t>Gasto de los Acuerdos de Paz</w:t>
      </w:r>
    </w:p>
    <w:p w:rsidR="007C0C8C" w:rsidRPr="00454D94" w:rsidRDefault="007C0C8C" w:rsidP="007C0C8C">
      <w:pPr>
        <w:pStyle w:val="Sinespaciado"/>
        <w:jc w:val="center"/>
        <w:rPr>
          <w:rFonts w:ascii="Times New Roman" w:hAnsi="Times New Roman" w:cs="Times New Roman"/>
          <w:sz w:val="18"/>
          <w:lang w:val="es-MX"/>
        </w:rPr>
      </w:pPr>
      <w:r w:rsidRPr="00454D94">
        <w:rPr>
          <w:rFonts w:ascii="Times New Roman" w:hAnsi="Times New Roman" w:cs="Times New Roman"/>
          <w:sz w:val="18"/>
          <w:lang w:val="es-MX"/>
        </w:rPr>
        <w:t>Presupuesto y ejecución al 30 de noviembre 2016</w:t>
      </w:r>
    </w:p>
    <w:p w:rsidR="007C0C8C" w:rsidRPr="00454D94" w:rsidRDefault="007C0C8C" w:rsidP="007C0C8C">
      <w:pPr>
        <w:pStyle w:val="Sinespaciado"/>
        <w:jc w:val="both"/>
        <w:rPr>
          <w:rFonts w:ascii="Times New Roman" w:hAnsi="Times New Roman" w:cs="Times New Roman"/>
          <w:lang w:val="es-MX"/>
        </w:rPr>
      </w:pPr>
      <w:r w:rsidRPr="00454D94">
        <w:rPr>
          <w:noProof/>
          <w:lang w:eastAsia="es-GT"/>
        </w:rPr>
        <w:drawing>
          <wp:inline distT="0" distB="0" distL="0" distR="0" wp14:anchorId="2A1786EC" wp14:editId="639FE5B9">
            <wp:extent cx="2580640" cy="143764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1275" cy="1437994"/>
                    </a:xfrm>
                    <a:prstGeom prst="rect">
                      <a:avLst/>
                    </a:prstGeom>
                    <a:noFill/>
                    <a:ln>
                      <a:noFill/>
                    </a:ln>
                  </pic:spPr>
                </pic:pic>
              </a:graphicData>
            </a:graphic>
          </wp:inline>
        </w:drawing>
      </w:r>
    </w:p>
    <w:p w:rsidR="007C0C8C"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sz w:val="16"/>
        </w:rPr>
        <w:t>Fuente: Dirección de Análisis y Política fiscal</w:t>
      </w:r>
    </w:p>
    <w:p w:rsidR="007C0C8C" w:rsidRPr="00454D94" w:rsidRDefault="007C0C8C" w:rsidP="007C0C8C">
      <w:pPr>
        <w:pStyle w:val="Sinespaciado"/>
        <w:jc w:val="both"/>
        <w:rPr>
          <w:rFonts w:ascii="Times New Roman" w:hAnsi="Times New Roman" w:cs="Times New Roman"/>
          <w:lang w:val="es-MX"/>
        </w:rPr>
      </w:pPr>
    </w:p>
    <w:p w:rsidR="00DD23C0" w:rsidRPr="00454D94" w:rsidRDefault="007C0C8C" w:rsidP="007C0C8C">
      <w:pPr>
        <w:pStyle w:val="Sinespaciado"/>
        <w:jc w:val="both"/>
        <w:rPr>
          <w:rFonts w:ascii="Times New Roman" w:hAnsi="Times New Roman" w:cs="Times New Roman"/>
          <w:lang w:val="es-MX"/>
        </w:rPr>
      </w:pPr>
      <w:r w:rsidRPr="00454D94">
        <w:rPr>
          <w:rFonts w:ascii="Times New Roman" w:hAnsi="Times New Roman" w:cs="Times New Roman"/>
          <w:lang w:val="es-MX"/>
        </w:rPr>
        <w:t>A la fecha, únicamente el gasto con un bajo porcentaje de ejecución es vivienda 31.1%  y el que le sigue aunque es seguridad interna reportan un 72.8%, sin embargo las instituciones de justicia reportan grados de ejecución por arriba del 92%.</w:t>
      </w:r>
    </w:p>
    <w:p w:rsidR="00810A4C" w:rsidRPr="00454D94" w:rsidRDefault="00810A4C" w:rsidP="00810A4C">
      <w:pPr>
        <w:pStyle w:val="Sinespaciado"/>
        <w:jc w:val="both"/>
        <w:rPr>
          <w:rFonts w:ascii="Times New Roman" w:hAnsi="Times New Roman" w:cs="Times New Roman"/>
        </w:rPr>
        <w:sectPr w:rsidR="00810A4C" w:rsidRPr="00454D94" w:rsidSect="004E358C">
          <w:type w:val="continuous"/>
          <w:pgSz w:w="12240" w:h="15840"/>
          <w:pgMar w:top="1417" w:right="1701" w:bottom="1417" w:left="1701" w:header="708" w:footer="708" w:gutter="0"/>
          <w:cols w:num="2" w:space="708"/>
          <w:docGrid w:linePitch="360"/>
        </w:sectPr>
      </w:pPr>
    </w:p>
    <w:p w:rsidR="00810A4C" w:rsidRPr="00454D94" w:rsidRDefault="00810A4C" w:rsidP="00810A4C">
      <w:pPr>
        <w:pStyle w:val="Sinespaciado"/>
        <w:jc w:val="both"/>
        <w:rPr>
          <w:rFonts w:ascii="Times New Roman" w:hAnsi="Times New Roman" w:cs="Times New Roman"/>
        </w:rPr>
        <w:sectPr w:rsidR="00810A4C" w:rsidRPr="00454D94" w:rsidSect="00BC7539">
          <w:type w:val="continuous"/>
          <w:pgSz w:w="12240" w:h="15840"/>
          <w:pgMar w:top="1417" w:right="1701" w:bottom="1417" w:left="1701" w:header="708" w:footer="708" w:gutter="0"/>
          <w:cols w:num="2" w:space="708"/>
          <w:docGrid w:linePitch="360"/>
        </w:sectPr>
      </w:pPr>
    </w:p>
    <w:p w:rsidR="00DD23C0" w:rsidRPr="00454D94" w:rsidRDefault="00DD23C0" w:rsidP="00BC7539">
      <w:pPr>
        <w:pStyle w:val="Sinespaciado"/>
        <w:jc w:val="both"/>
        <w:rPr>
          <w:rFonts w:ascii="Times New Roman" w:hAnsi="Times New Roman" w:cs="Times New Roman"/>
          <w:sz w:val="16"/>
          <w:lang w:val="es-MX"/>
        </w:rPr>
      </w:pPr>
    </w:p>
    <w:p w:rsidR="00F76491" w:rsidRPr="00454D94" w:rsidRDefault="007C0C8C"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454D94" w:rsidSect="00FA3B81">
          <w:headerReference w:type="default" r:id="rId25"/>
          <w:footerReference w:type="default" r:id="rId26"/>
          <w:type w:val="continuous"/>
          <w:pgSz w:w="12240" w:h="15840" w:code="1"/>
          <w:pgMar w:top="1418" w:right="1418" w:bottom="1418" w:left="1418" w:header="709" w:footer="709" w:gutter="0"/>
          <w:cols w:space="708"/>
          <w:docGrid w:linePitch="360"/>
        </w:sectPr>
      </w:pPr>
      <w:r w:rsidRPr="00454D94">
        <w:rPr>
          <w:rFonts w:ascii="Times New Roman" w:hAnsi="Times New Roman" w:cs="Times New Roman"/>
          <w:b/>
          <w:lang w:val="es-MX"/>
        </w:rPr>
        <w:t xml:space="preserve">Finaliza la </w:t>
      </w:r>
      <w:r w:rsidR="004A73AA" w:rsidRPr="00454D94">
        <w:rPr>
          <w:rFonts w:ascii="Times New Roman" w:hAnsi="Times New Roman" w:cs="Times New Roman"/>
          <w:b/>
          <w:lang w:val="es-MX"/>
        </w:rPr>
        <w:t>colocación</w:t>
      </w:r>
      <w:r w:rsidRPr="00454D94">
        <w:rPr>
          <w:rFonts w:ascii="Times New Roman" w:hAnsi="Times New Roman" w:cs="Times New Roman"/>
          <w:b/>
          <w:lang w:val="es-MX"/>
        </w:rPr>
        <w:t xml:space="preserve"> de Bonos del Tesoro</w:t>
      </w:r>
    </w:p>
    <w:p w:rsidR="00F76491" w:rsidRPr="00454D94" w:rsidRDefault="00F76491" w:rsidP="00F76491">
      <w:pPr>
        <w:pStyle w:val="Sinespaciado"/>
        <w:rPr>
          <w:rFonts w:ascii="Times New Roman" w:hAnsi="Times New Roman" w:cs="Times New Roman"/>
          <w:b/>
          <w:sz w:val="24"/>
          <w:lang w:val="es-MX"/>
        </w:rPr>
      </w:pPr>
    </w:p>
    <w:p w:rsidR="00F76491" w:rsidRPr="00454D94" w:rsidRDefault="00F76491" w:rsidP="00F76491">
      <w:pPr>
        <w:pStyle w:val="Sinespaciado"/>
        <w:rPr>
          <w:rFonts w:ascii="Times New Roman" w:hAnsi="Times New Roman" w:cs="Times New Roman"/>
          <w:b/>
          <w:lang w:val="es-MX"/>
        </w:rPr>
        <w:sectPr w:rsidR="00F76491" w:rsidRPr="00454D94" w:rsidSect="004E358C">
          <w:type w:val="continuous"/>
          <w:pgSz w:w="12240" w:h="15840"/>
          <w:pgMar w:top="1417" w:right="1701" w:bottom="1417" w:left="1701" w:header="708" w:footer="708" w:gutter="0"/>
          <w:cols w:space="708"/>
          <w:docGrid w:linePitch="360"/>
        </w:sectPr>
      </w:pPr>
    </w:p>
    <w:p w:rsidR="007C0C8C" w:rsidRPr="00454D94" w:rsidRDefault="007C0C8C" w:rsidP="007C0C8C">
      <w:pPr>
        <w:pStyle w:val="Sinespaciado"/>
        <w:jc w:val="both"/>
        <w:rPr>
          <w:rFonts w:ascii="Times New Roman" w:hAnsi="Times New Roman" w:cs="Times New Roman"/>
        </w:rPr>
      </w:pPr>
      <w:r w:rsidRPr="00454D94">
        <w:rPr>
          <w:rFonts w:ascii="Times New Roman" w:hAnsi="Times New Roman" w:cs="Times New Roman"/>
        </w:rPr>
        <w:lastRenderedPageBreak/>
        <w:t xml:space="preserve">En cuanto al financiamiento del déficit existente a la fecha, </w:t>
      </w:r>
      <w:r w:rsidRPr="00454D94">
        <w:rPr>
          <w:rFonts w:ascii="Times New Roman" w:hAnsi="Times New Roman" w:cs="Times New Roman"/>
        </w:rPr>
        <w:tab/>
        <w:t>este se ha financiado únicamente con la emisión de Bonos del Tesoro en el mercado interno y externo.</w:t>
      </w:r>
    </w:p>
    <w:p w:rsidR="007C0C8C" w:rsidRPr="00454D94" w:rsidRDefault="007C0C8C" w:rsidP="007C0C8C">
      <w:pPr>
        <w:pStyle w:val="Sinespaciado"/>
        <w:jc w:val="both"/>
        <w:rPr>
          <w:rFonts w:ascii="Times New Roman" w:hAnsi="Times New Roman" w:cs="Times New Roman"/>
        </w:rPr>
      </w:pPr>
    </w:p>
    <w:p w:rsidR="007C0C8C" w:rsidRPr="00454D94" w:rsidRDefault="007C0C8C" w:rsidP="007C0C8C">
      <w:pPr>
        <w:pStyle w:val="Sinespaciado"/>
        <w:jc w:val="both"/>
        <w:rPr>
          <w:rFonts w:ascii="Times New Roman" w:hAnsi="Times New Roman" w:cs="Times New Roman"/>
        </w:rPr>
      </w:pPr>
      <w:r w:rsidRPr="00454D94">
        <w:rPr>
          <w:rFonts w:ascii="Times New Roman" w:hAnsi="Times New Roman" w:cs="Times New Roman"/>
        </w:rPr>
        <w:t xml:space="preserve">En ese sentido, en la última semana de noviembre finalizó la colocación de Bonos, adjudicando la totalidad del cupo autorizado por el Congreso (Q 9,426.5 millones).  </w:t>
      </w:r>
    </w:p>
    <w:p w:rsidR="007C0C8C" w:rsidRPr="00454D94" w:rsidRDefault="007C0C8C" w:rsidP="007C0C8C">
      <w:pPr>
        <w:pStyle w:val="Sinespaciado"/>
        <w:jc w:val="both"/>
        <w:rPr>
          <w:rFonts w:ascii="Times New Roman" w:hAnsi="Times New Roman" w:cs="Times New Roman"/>
        </w:rPr>
      </w:pPr>
    </w:p>
    <w:p w:rsidR="007C0C8C" w:rsidRPr="00454D94" w:rsidRDefault="007C0C8C" w:rsidP="007C0C8C">
      <w:pPr>
        <w:pStyle w:val="Sinespaciado"/>
        <w:jc w:val="both"/>
        <w:rPr>
          <w:rFonts w:ascii="Times New Roman" w:hAnsi="Times New Roman" w:cs="Times New Roman"/>
        </w:rPr>
      </w:pPr>
      <w:r w:rsidRPr="00454D94">
        <w:rPr>
          <w:rFonts w:ascii="Times New Roman" w:hAnsi="Times New Roman" w:cs="Times New Roman"/>
        </w:rPr>
        <w:t>Asimismo, se observó un aumento importante en los desembolsos de préstamos externos, derivado del ingreso de un préstamo del BCIE de apoyo a proyectos de infraestructura, que hizo que el total de desembolsos recibidos en lo que va del año se ubicara en Q 1,127.7 millones.</w:t>
      </w:r>
    </w:p>
    <w:p w:rsidR="00DD4D5D" w:rsidRPr="00454D94" w:rsidRDefault="00DD4D5D" w:rsidP="004A73AA">
      <w:pPr>
        <w:pStyle w:val="Sinespaciado"/>
        <w:jc w:val="both"/>
        <w:rPr>
          <w:rFonts w:ascii="Times New Roman" w:hAnsi="Times New Roman" w:cs="Times New Roman"/>
        </w:rPr>
      </w:pPr>
    </w:p>
    <w:p w:rsidR="00FA5DE4" w:rsidRPr="002970C1" w:rsidRDefault="00FA5DE4" w:rsidP="00FA5DE4">
      <w:pPr>
        <w:pStyle w:val="Sinespaciado"/>
        <w:jc w:val="both"/>
        <w:rPr>
          <w:rFonts w:ascii="Times New Roman" w:hAnsi="Times New Roman" w:cs="Times New Roman"/>
          <w:color w:val="FF0000"/>
        </w:rPr>
        <w:sectPr w:rsidR="00FA5DE4" w:rsidRPr="002970C1" w:rsidSect="004E358C">
          <w:type w:val="continuous"/>
          <w:pgSz w:w="12240" w:h="15840"/>
          <w:pgMar w:top="1417" w:right="1701" w:bottom="1417" w:left="1701" w:header="708" w:footer="708" w:gutter="0"/>
          <w:cols w:num="2" w:space="708"/>
          <w:docGrid w:linePitch="360"/>
        </w:sectPr>
      </w:pPr>
    </w:p>
    <w:p w:rsidR="00F76491" w:rsidRPr="002970C1" w:rsidRDefault="00F76491" w:rsidP="00F76491">
      <w:pPr>
        <w:rPr>
          <w:color w:val="FF0000"/>
          <w:sz w:val="12"/>
          <w:lang w:val="es-MX"/>
        </w:rPr>
        <w:sectPr w:rsidR="00F76491" w:rsidRPr="002970C1" w:rsidSect="004E358C">
          <w:type w:val="continuous"/>
          <w:pgSz w:w="12240" w:h="15840"/>
          <w:pgMar w:top="1417" w:right="1701" w:bottom="1417" w:left="1701" w:header="708" w:footer="708" w:gutter="0"/>
          <w:cols w:num="2" w:space="708"/>
          <w:docGrid w:linePitch="360"/>
        </w:sectPr>
      </w:pPr>
    </w:p>
    <w:p w:rsidR="00F76491" w:rsidRPr="002970C1" w:rsidRDefault="00F76491" w:rsidP="00F76491">
      <w:pPr>
        <w:pStyle w:val="Sinespaciado"/>
        <w:jc w:val="both"/>
        <w:rPr>
          <w:rFonts w:ascii="Times New Roman" w:hAnsi="Times New Roman" w:cs="Times New Roman"/>
          <w:color w:val="FF0000"/>
          <w:sz w:val="8"/>
          <w:lang w:val="es-MX"/>
        </w:rPr>
      </w:pPr>
    </w:p>
    <w:p w:rsidR="00494D1D" w:rsidRPr="002970C1"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color w:val="FF0000"/>
          <w:lang w:val="es-MX"/>
        </w:rPr>
        <w:sectPr w:rsidR="00494D1D" w:rsidRPr="002970C1" w:rsidSect="00FA3B81">
          <w:headerReference w:type="default" r:id="rId27"/>
          <w:footerReference w:type="default" r:id="rId28"/>
          <w:type w:val="continuous"/>
          <w:pgSz w:w="12240" w:h="15840" w:code="1"/>
          <w:pgMar w:top="1418" w:right="1418" w:bottom="1418" w:left="1418" w:header="709" w:footer="709" w:gutter="0"/>
          <w:cols w:space="708"/>
          <w:docGrid w:linePitch="360"/>
        </w:sectPr>
      </w:pPr>
      <w:r w:rsidRPr="00011E71">
        <w:rPr>
          <w:rFonts w:ascii="Times New Roman" w:hAnsi="Times New Roman" w:cs="Times New Roman"/>
          <w:b/>
          <w:lang w:val="es-MX"/>
        </w:rPr>
        <w:t>Ambientes macroeconómicos (externo e interno)</w:t>
      </w:r>
    </w:p>
    <w:p w:rsidR="00494D1D" w:rsidRPr="002970C1" w:rsidRDefault="00494D1D" w:rsidP="00494D1D">
      <w:pPr>
        <w:pStyle w:val="Sinespaciado"/>
        <w:rPr>
          <w:rFonts w:ascii="Times New Roman" w:hAnsi="Times New Roman" w:cs="Times New Roman"/>
          <w:b/>
          <w:color w:val="FF0000"/>
          <w:sz w:val="18"/>
          <w:lang w:val="es-MX"/>
        </w:rPr>
      </w:pPr>
    </w:p>
    <w:p w:rsidR="00494D1D" w:rsidRPr="002970C1" w:rsidRDefault="00494D1D" w:rsidP="00494D1D">
      <w:pPr>
        <w:pStyle w:val="Sinespaciado"/>
        <w:rPr>
          <w:rFonts w:ascii="Times New Roman" w:hAnsi="Times New Roman" w:cs="Times New Roman"/>
          <w:b/>
          <w:color w:val="FF0000"/>
          <w:lang w:val="es-MX"/>
        </w:rPr>
        <w:sectPr w:rsidR="00494D1D" w:rsidRPr="002970C1" w:rsidSect="004E358C">
          <w:type w:val="continuous"/>
          <w:pgSz w:w="12240" w:h="15840"/>
          <w:pgMar w:top="1417" w:right="1701" w:bottom="1417" w:left="1701" w:header="708" w:footer="708" w:gutter="0"/>
          <w:cols w:space="708"/>
          <w:docGrid w:linePitch="360"/>
        </w:sectPr>
      </w:pPr>
    </w:p>
    <w:p w:rsidR="00EE72DB" w:rsidRPr="00011E71" w:rsidRDefault="00011E71" w:rsidP="007C0C8C">
      <w:pPr>
        <w:pStyle w:val="Sinespaciado"/>
        <w:jc w:val="both"/>
        <w:rPr>
          <w:rFonts w:ascii="Times New Roman" w:hAnsi="Times New Roman" w:cs="Times New Roman"/>
          <w:lang w:val="es-MX"/>
        </w:rPr>
      </w:pPr>
      <w:r w:rsidRPr="00011E71">
        <w:rPr>
          <w:rFonts w:ascii="Times New Roman" w:hAnsi="Times New Roman" w:cs="Times New Roman"/>
          <w:lang w:val="es-MX"/>
        </w:rPr>
        <w:lastRenderedPageBreak/>
        <w:t>Este mes, l</w:t>
      </w:r>
      <w:r w:rsidR="007A6523" w:rsidRPr="00011E71">
        <w:rPr>
          <w:rFonts w:ascii="Times New Roman" w:hAnsi="Times New Roman" w:cs="Times New Roman"/>
          <w:lang w:val="es-MX"/>
        </w:rPr>
        <w:t xml:space="preserve">a OCDE </w:t>
      </w:r>
      <w:r w:rsidR="00C074EF" w:rsidRPr="00011E71">
        <w:rPr>
          <w:rFonts w:ascii="Times New Roman" w:hAnsi="Times New Roman" w:cs="Times New Roman"/>
          <w:lang w:val="es-MX"/>
        </w:rPr>
        <w:t xml:space="preserve">en su </w:t>
      </w:r>
      <w:r w:rsidR="007A6523" w:rsidRPr="00011E71">
        <w:rPr>
          <w:rFonts w:ascii="Times New Roman" w:hAnsi="Times New Roman" w:cs="Times New Roman"/>
          <w:lang w:val="es-MX"/>
        </w:rPr>
        <w:t>inf</w:t>
      </w:r>
      <w:r w:rsidRPr="00011E71">
        <w:rPr>
          <w:rFonts w:ascii="Times New Roman" w:hAnsi="Times New Roman" w:cs="Times New Roman"/>
          <w:lang w:val="es-MX"/>
        </w:rPr>
        <w:t>orme de Perspectivas Económicas</w:t>
      </w:r>
      <w:r w:rsidR="007A6523" w:rsidRPr="00011E71">
        <w:rPr>
          <w:rFonts w:ascii="Times New Roman" w:hAnsi="Times New Roman" w:cs="Times New Roman"/>
          <w:lang w:val="es-MX"/>
        </w:rPr>
        <w:t xml:space="preserve"> estimó que el crecimiento económico mundial se acelerará desde el 2.9% de este año al 3.3% en 2017 y alcanzará el 3.6% en 2018.  La organización revisó al alza sus estimaciones sobre la economía estadounidense, con un crecimiento de 1.5%, una décima más de lo calculado en septiembre, 2.3% en 2017 y 3.0% en 2018.  En la eurozona, el ascenso del PIB será de 1.7% en 2016, dos décimas más de lo avanzado hace dos meses, para Alemania 1.7% y Francia 1.2%, ambas con una décima menos, e Italia permanecerá sin cambios en </w:t>
      </w:r>
      <w:r w:rsidR="007A6523" w:rsidRPr="00011E71">
        <w:rPr>
          <w:rFonts w:ascii="Times New Roman" w:hAnsi="Times New Roman" w:cs="Times New Roman"/>
          <w:lang w:val="es-MX"/>
        </w:rPr>
        <w:lastRenderedPageBreak/>
        <w:t xml:space="preserve">0.8%.  Sobre el Reino Unido, mostró una percepción menos negativa que hace dos meses, elevando en dos décimas sus cálculos para 2016 en 2.0% y 1.2% para 2017.   Así mismo, persistió en su diagnóstico de que las perspectivas son "considerablemente más débiles" que antes de que los británicos votaran en junio por su salida de la UE, y eso pesará sobre todo a largo plazo.   Para China se espera un crecimiento no tan exuberante como en los años anteriores pero sin bajas abruptas; tras el 6.9% de 2015, debería situarse en el 6.7% en 2016, dos décimas más </w:t>
      </w:r>
      <w:r w:rsidR="007A6523" w:rsidRPr="00011E71">
        <w:rPr>
          <w:rFonts w:ascii="Times New Roman" w:hAnsi="Times New Roman" w:cs="Times New Roman"/>
          <w:lang w:val="es-MX"/>
        </w:rPr>
        <w:lastRenderedPageBreak/>
        <w:t>que en septiembre, en 6.4% en 2017 y en 6.1% en 2018.</w:t>
      </w:r>
    </w:p>
    <w:p w:rsidR="003D60E4" w:rsidRPr="00011E71" w:rsidRDefault="003D60E4" w:rsidP="007C0C8C">
      <w:pPr>
        <w:pStyle w:val="Sinespaciado"/>
        <w:jc w:val="both"/>
        <w:rPr>
          <w:rFonts w:ascii="Times New Roman" w:hAnsi="Times New Roman" w:cs="Times New Roman"/>
          <w:lang w:val="es-MX"/>
        </w:rPr>
      </w:pPr>
    </w:p>
    <w:p w:rsidR="007A6523" w:rsidRPr="00011E71" w:rsidRDefault="007A6523" w:rsidP="007A6523">
      <w:pPr>
        <w:pStyle w:val="Sinespaciado"/>
        <w:jc w:val="both"/>
        <w:rPr>
          <w:rFonts w:ascii="Times New Roman" w:hAnsi="Times New Roman" w:cs="Times New Roman"/>
          <w:lang w:val="es-MX"/>
        </w:rPr>
      </w:pPr>
      <w:r w:rsidRPr="00011E71">
        <w:rPr>
          <w:rFonts w:ascii="Times New Roman" w:hAnsi="Times New Roman" w:cs="Times New Roman"/>
          <w:lang w:val="es-MX"/>
        </w:rPr>
        <w:t>E</w:t>
      </w:r>
      <w:r w:rsidR="00011E71" w:rsidRPr="00011E71">
        <w:rPr>
          <w:rFonts w:ascii="Times New Roman" w:hAnsi="Times New Roman" w:cs="Times New Roman"/>
          <w:lang w:val="es-MX"/>
        </w:rPr>
        <w:t>n Estados Unidos, e</w:t>
      </w:r>
      <w:r w:rsidRPr="00011E71">
        <w:rPr>
          <w:rFonts w:ascii="Times New Roman" w:hAnsi="Times New Roman" w:cs="Times New Roman"/>
          <w:lang w:val="es-MX"/>
        </w:rPr>
        <w:t xml:space="preserve">l </w:t>
      </w:r>
      <w:r w:rsidR="00C074EF" w:rsidRPr="00011E71">
        <w:rPr>
          <w:rFonts w:ascii="Times New Roman" w:hAnsi="Times New Roman" w:cs="Times New Roman"/>
          <w:lang w:val="es-MX"/>
        </w:rPr>
        <w:t xml:space="preserve">crecimiento </w:t>
      </w:r>
      <w:r w:rsidR="00011E71" w:rsidRPr="00011E71">
        <w:rPr>
          <w:rFonts w:ascii="Times New Roman" w:hAnsi="Times New Roman" w:cs="Times New Roman"/>
          <w:lang w:val="es-MX"/>
        </w:rPr>
        <w:t>su</w:t>
      </w:r>
      <w:r w:rsidR="00C074EF" w:rsidRPr="00011E71">
        <w:rPr>
          <w:rFonts w:ascii="Times New Roman" w:hAnsi="Times New Roman" w:cs="Times New Roman"/>
          <w:lang w:val="es-MX"/>
        </w:rPr>
        <w:t xml:space="preserve"> economía</w:t>
      </w:r>
      <w:r w:rsidRPr="00011E71">
        <w:rPr>
          <w:rFonts w:ascii="Times New Roman" w:hAnsi="Times New Roman" w:cs="Times New Roman"/>
          <w:lang w:val="es-MX"/>
        </w:rPr>
        <w:t xml:space="preserve"> </w:t>
      </w:r>
      <w:r w:rsidR="00C074EF" w:rsidRPr="00011E71">
        <w:rPr>
          <w:rFonts w:ascii="Times New Roman" w:hAnsi="Times New Roman" w:cs="Times New Roman"/>
          <w:lang w:val="es-MX"/>
        </w:rPr>
        <w:t>durante el tercer trimestre mostró un incremento d</w:t>
      </w:r>
      <w:r w:rsidRPr="00011E71">
        <w:rPr>
          <w:rFonts w:ascii="Times New Roman" w:hAnsi="Times New Roman" w:cs="Times New Roman"/>
          <w:lang w:val="es-MX"/>
        </w:rPr>
        <w:t>el 3,2% en tasa interanual, tres décimas mayor que el dato mostrado en la primera estimación divulgada a finales de octubre, según información del Departamento de Comercio;  esta segunda estimación del Gobierno estadounidense muestra una mejora del consumo de 2.</w:t>
      </w:r>
      <w:r w:rsidR="003D38A7" w:rsidRPr="00011E71">
        <w:rPr>
          <w:rFonts w:ascii="Times New Roman" w:hAnsi="Times New Roman" w:cs="Times New Roman"/>
          <w:lang w:val="es-MX"/>
        </w:rPr>
        <w:t>8%,</w:t>
      </w:r>
      <w:r w:rsidRPr="00011E71">
        <w:rPr>
          <w:rFonts w:ascii="Times New Roman" w:hAnsi="Times New Roman" w:cs="Times New Roman"/>
          <w:lang w:val="es-MX"/>
        </w:rPr>
        <w:t xml:space="preserve"> de las inversiones de capital y las exportaciones en 10.</w:t>
      </w:r>
      <w:r w:rsidR="003D38A7" w:rsidRPr="00011E71">
        <w:rPr>
          <w:rFonts w:ascii="Times New Roman" w:hAnsi="Times New Roman" w:cs="Times New Roman"/>
          <w:lang w:val="es-MX"/>
        </w:rPr>
        <w:t>1% y una baja en el índice de precios del PIB de 1.5% mostrado en la primera lectura a 1.4%.</w:t>
      </w:r>
    </w:p>
    <w:p w:rsidR="007D0566" w:rsidRPr="00011E71" w:rsidRDefault="007D0566" w:rsidP="007A6523">
      <w:pPr>
        <w:pStyle w:val="Sinespaciado"/>
        <w:jc w:val="both"/>
        <w:rPr>
          <w:rFonts w:ascii="Times New Roman" w:hAnsi="Times New Roman" w:cs="Times New Roman"/>
          <w:lang w:val="es-MX"/>
        </w:rPr>
      </w:pPr>
    </w:p>
    <w:p w:rsidR="003D38A7" w:rsidRPr="00011E71" w:rsidRDefault="003D38A7" w:rsidP="007A6523">
      <w:pPr>
        <w:pStyle w:val="Sinespaciado"/>
        <w:jc w:val="both"/>
        <w:rPr>
          <w:rFonts w:ascii="Times New Roman" w:hAnsi="Times New Roman" w:cs="Times New Roman"/>
          <w:lang w:val="es-MX"/>
        </w:rPr>
      </w:pPr>
      <w:r w:rsidRPr="00011E71">
        <w:rPr>
          <w:rFonts w:ascii="Times New Roman" w:hAnsi="Times New Roman" w:cs="Times New Roman"/>
          <w:lang w:val="es-MX"/>
        </w:rPr>
        <w:t>La tasa de desempleo estadoun</w:t>
      </w:r>
      <w:r w:rsidR="00011E71" w:rsidRPr="00011E71">
        <w:rPr>
          <w:rFonts w:ascii="Times New Roman" w:hAnsi="Times New Roman" w:cs="Times New Roman"/>
          <w:lang w:val="es-MX"/>
        </w:rPr>
        <w:t>idense en noviembre fue de 4.6%;</w:t>
      </w:r>
      <w:r w:rsidRPr="00011E71">
        <w:rPr>
          <w:rFonts w:ascii="Times New Roman" w:hAnsi="Times New Roman" w:cs="Times New Roman"/>
          <w:lang w:val="es-MX"/>
        </w:rPr>
        <w:t xml:space="preserve"> los sectores que tuvieron resultados positivos fueron los de negocios, agregando 63,000 puestos de trabajo y los de servicios de salud, añadiendo 28,500 empleos.  El sector manufactura tuvo un desempeño negativo al despedir alrededor de 4,000 empleados, según el Departamento de Trabajo.</w:t>
      </w:r>
    </w:p>
    <w:p w:rsidR="00EE72DB" w:rsidRPr="00011E71" w:rsidRDefault="00EE72DB" w:rsidP="00C074EF">
      <w:pPr>
        <w:pStyle w:val="Sinespaciado"/>
        <w:jc w:val="both"/>
        <w:rPr>
          <w:rFonts w:ascii="Times New Roman" w:hAnsi="Times New Roman" w:cs="Times New Roman"/>
          <w:lang w:val="es-MX"/>
        </w:rPr>
      </w:pPr>
    </w:p>
    <w:p w:rsidR="007A6523" w:rsidRPr="00011E71" w:rsidRDefault="007A6523" w:rsidP="007A6523">
      <w:pPr>
        <w:pStyle w:val="Sinespaciado"/>
        <w:jc w:val="both"/>
        <w:rPr>
          <w:rFonts w:ascii="Times New Roman" w:hAnsi="Times New Roman" w:cs="Times New Roman"/>
          <w:lang w:val="es-MX"/>
        </w:rPr>
      </w:pPr>
      <w:r w:rsidRPr="00011E71">
        <w:rPr>
          <w:rFonts w:ascii="Times New Roman" w:hAnsi="Times New Roman" w:cs="Times New Roman"/>
          <w:lang w:val="es-MX"/>
        </w:rPr>
        <w:t xml:space="preserve">La economía de la Eurozona </w:t>
      </w:r>
      <w:r w:rsidR="003D38A7" w:rsidRPr="00011E71">
        <w:rPr>
          <w:rFonts w:ascii="Times New Roman" w:hAnsi="Times New Roman" w:cs="Times New Roman"/>
          <w:lang w:val="es-MX"/>
        </w:rPr>
        <w:t>continuó</w:t>
      </w:r>
      <w:r w:rsidRPr="00011E71">
        <w:rPr>
          <w:rFonts w:ascii="Times New Roman" w:hAnsi="Times New Roman" w:cs="Times New Roman"/>
          <w:lang w:val="es-MX"/>
        </w:rPr>
        <w:t xml:space="preserve"> </w:t>
      </w:r>
      <w:r w:rsidR="003D60E4" w:rsidRPr="00011E71">
        <w:rPr>
          <w:rFonts w:ascii="Times New Roman" w:hAnsi="Times New Roman" w:cs="Times New Roman"/>
          <w:lang w:val="es-MX"/>
        </w:rPr>
        <w:t xml:space="preserve">detenida </w:t>
      </w:r>
      <w:r w:rsidRPr="00011E71">
        <w:rPr>
          <w:rFonts w:ascii="Times New Roman" w:hAnsi="Times New Roman" w:cs="Times New Roman"/>
          <w:lang w:val="es-MX"/>
        </w:rPr>
        <w:t xml:space="preserve">durante el tercer trimestre del año, con un modesto crecimiento del 0.3% derivado de la caída sufrida por Alemania, cuya economía </w:t>
      </w:r>
      <w:r w:rsidR="003D38A7" w:rsidRPr="00011E71">
        <w:rPr>
          <w:rFonts w:ascii="Times New Roman" w:hAnsi="Times New Roman" w:cs="Times New Roman"/>
          <w:lang w:val="es-MX"/>
        </w:rPr>
        <w:t>limitadamente</w:t>
      </w:r>
      <w:r w:rsidRPr="00011E71">
        <w:rPr>
          <w:rFonts w:ascii="Times New Roman" w:hAnsi="Times New Roman" w:cs="Times New Roman"/>
          <w:lang w:val="es-MX"/>
        </w:rPr>
        <w:t xml:space="preserve"> consiguió crecer entre julio y septiembre un 0.2% del PIB, prácticamente la mitad que en el trimestre anterior; el conjunto de la Unión Europea mostro un crecimiento de 0,4%.  Según los datos adelantados publicados por la oficina europea de estadística (Eurostat), Bulgaria y Rumanía mostraron un avance del 0.8%, España, Chipre, Holanda y Eslovaquia crecieron 0.7%; Rumanía creció 0.6%, Grecia, Letonia, Austria, Finlandia y Reino Unido crecieron 0.5% cada uno e Italia mientras tanto, superó el estancamiento del segundo trimestre (0%) creciendo un 0.3% del PIB.  En cuanto a la tasa de crecimiento </w:t>
      </w:r>
      <w:r w:rsidRPr="00011E71">
        <w:rPr>
          <w:rFonts w:ascii="Times New Roman" w:hAnsi="Times New Roman" w:cs="Times New Roman"/>
          <w:lang w:val="es-MX"/>
        </w:rPr>
        <w:lastRenderedPageBreak/>
        <w:t xml:space="preserve">interanual durante el tercer trimestre se situó en el 1.6% entre los países del euro y en 1.8% en el conjunto de la Unión Europea. </w:t>
      </w:r>
    </w:p>
    <w:p w:rsidR="00651522" w:rsidRPr="00011E71" w:rsidRDefault="00651522" w:rsidP="00651522">
      <w:pPr>
        <w:pStyle w:val="Sinespaciado"/>
        <w:jc w:val="both"/>
        <w:rPr>
          <w:rFonts w:ascii="Times New Roman" w:hAnsi="Times New Roman" w:cs="Times New Roman"/>
          <w:lang w:val="es-MX"/>
        </w:rPr>
      </w:pPr>
    </w:p>
    <w:p w:rsidR="003D38A7" w:rsidRPr="00011E71" w:rsidRDefault="003D38A7" w:rsidP="00651522">
      <w:pPr>
        <w:pStyle w:val="Sinespaciado"/>
        <w:jc w:val="both"/>
        <w:rPr>
          <w:rFonts w:ascii="Times New Roman" w:hAnsi="Times New Roman" w:cs="Times New Roman"/>
          <w:lang w:val="es-MX"/>
        </w:rPr>
      </w:pPr>
      <w:r w:rsidRPr="00011E71">
        <w:rPr>
          <w:rFonts w:ascii="Times New Roman" w:hAnsi="Times New Roman" w:cs="Times New Roman"/>
          <w:lang w:val="es-MX"/>
        </w:rPr>
        <w:t>La economía de China</w:t>
      </w:r>
      <w:r w:rsidR="00CA6173" w:rsidRPr="00011E71">
        <w:rPr>
          <w:rFonts w:ascii="Times New Roman" w:hAnsi="Times New Roman" w:cs="Times New Roman"/>
          <w:lang w:val="es-MX"/>
        </w:rPr>
        <w:t xml:space="preserve"> por su parte, continúa hacia la estabilización con el apoyo de la reforma estructural enfocada en la oferta y de los cambios positivos en la dinámica económica; la agencia oficial de noticias Xinhua indicó que el PIB terminará el 2016 dentro del rango establecido por el gobierno de entre 6.5% y 7.0%, según el máximo organismo de toma de decisiones del Partido Comunista gobernante.</w:t>
      </w:r>
    </w:p>
    <w:p w:rsidR="00CA6173" w:rsidRPr="00011E71" w:rsidRDefault="00CA6173" w:rsidP="00651522">
      <w:pPr>
        <w:pStyle w:val="Sinespaciado"/>
        <w:jc w:val="both"/>
        <w:rPr>
          <w:rFonts w:ascii="Times New Roman" w:hAnsi="Times New Roman" w:cs="Times New Roman"/>
          <w:lang w:val="es-MX"/>
        </w:rPr>
      </w:pPr>
    </w:p>
    <w:p w:rsidR="007A6523" w:rsidRPr="00011E71" w:rsidRDefault="001C2FF5" w:rsidP="007A6523">
      <w:pPr>
        <w:spacing w:line="240" w:lineRule="auto"/>
        <w:jc w:val="both"/>
        <w:rPr>
          <w:rFonts w:ascii="Times New Roman" w:hAnsi="Times New Roman" w:cs="Times New Roman"/>
          <w:lang w:val="es-MX"/>
        </w:rPr>
      </w:pPr>
      <w:r w:rsidRPr="00011E71">
        <w:rPr>
          <w:rFonts w:ascii="Times New Roman" w:hAnsi="Times New Roman" w:cs="Times New Roman"/>
          <w:lang w:val="es-MX"/>
        </w:rPr>
        <w:t>En el entorno interno, en noviembre</w:t>
      </w:r>
      <w:r w:rsidR="007A6523" w:rsidRPr="00011E71">
        <w:rPr>
          <w:rFonts w:ascii="Times New Roman" w:hAnsi="Times New Roman" w:cs="Times New Roman"/>
          <w:lang w:val="es-MX"/>
        </w:rPr>
        <w:t xml:space="preserve"> la Junta Monetaria decidió mantener en 3.0% la tasa de interés líder de política monetaria, basado externamente en factores como la lenta recuperación del crecimiento económico mundial y de la permanencia de amplios márgenes de incertidumbre y volatilidad en los mercados financieros de los principales socios comerciales; y en el ámbito interno, la actividad económica continúa mostrando un comportamiento congruente con la estimación revisada de crecimiento del PIB para 2016 de entre 3.1% y 3.7%.  </w:t>
      </w:r>
    </w:p>
    <w:p w:rsidR="007C0C8C" w:rsidRPr="00011E71" w:rsidRDefault="001C2FF5" w:rsidP="007A6523">
      <w:pPr>
        <w:pStyle w:val="Sinespaciado"/>
        <w:jc w:val="both"/>
        <w:rPr>
          <w:rFonts w:ascii="Times New Roman" w:hAnsi="Times New Roman" w:cs="Times New Roman"/>
          <w:lang w:val="es-MX"/>
        </w:rPr>
      </w:pPr>
      <w:r w:rsidRPr="00011E71">
        <w:rPr>
          <w:rFonts w:ascii="Times New Roman" w:hAnsi="Times New Roman" w:cs="Times New Roman"/>
          <w:lang w:val="es-MX"/>
        </w:rPr>
        <w:t>El Banco de Guatemala consideró en base a f</w:t>
      </w:r>
      <w:r w:rsidR="007A6523" w:rsidRPr="00011E71">
        <w:rPr>
          <w:rFonts w:ascii="Times New Roman" w:hAnsi="Times New Roman" w:cs="Times New Roman"/>
          <w:lang w:val="es-MX"/>
        </w:rPr>
        <w:t>actores como la trayectoria del precio internacional del petróleo, el comportamiento de los combustibles, el desempeño de la política fiscal y la evolución de los precios de las materias primas</w:t>
      </w:r>
      <w:r w:rsidRPr="00011E71">
        <w:rPr>
          <w:rFonts w:ascii="Times New Roman" w:hAnsi="Times New Roman" w:cs="Times New Roman"/>
          <w:lang w:val="es-MX"/>
        </w:rPr>
        <w:t>,</w:t>
      </w:r>
      <w:r w:rsidR="007A6523" w:rsidRPr="00011E71">
        <w:rPr>
          <w:rFonts w:ascii="Times New Roman" w:hAnsi="Times New Roman" w:cs="Times New Roman"/>
          <w:lang w:val="es-MX"/>
        </w:rPr>
        <w:t xml:space="preserve"> mantener estable en noviembre la percepción sobre la situación económica actual y</w:t>
      </w:r>
      <w:r w:rsidRPr="00011E71">
        <w:rPr>
          <w:rFonts w:ascii="Times New Roman" w:hAnsi="Times New Roman" w:cs="Times New Roman"/>
          <w:lang w:val="es-MX"/>
        </w:rPr>
        <w:t xml:space="preserve"> el ambiente para los negocios. </w:t>
      </w:r>
      <w:r w:rsidR="007A6523" w:rsidRPr="00011E71">
        <w:rPr>
          <w:rFonts w:ascii="Times New Roman" w:hAnsi="Times New Roman" w:cs="Times New Roman"/>
          <w:lang w:val="es-MX"/>
        </w:rPr>
        <w:t xml:space="preserve"> El nivel del Índice de Confianza de la Actividad Económica se situó en 43.46 puntos, inferior en 3.72% al registrado en octubre.  </w:t>
      </w:r>
    </w:p>
    <w:p w:rsidR="007C0C8C" w:rsidRPr="00011E71" w:rsidRDefault="007C0C8C" w:rsidP="007A6523">
      <w:pPr>
        <w:pStyle w:val="Sinespaciado"/>
        <w:jc w:val="both"/>
        <w:rPr>
          <w:rFonts w:ascii="Times New Roman" w:hAnsi="Times New Roman" w:cs="Times New Roman"/>
          <w:lang w:val="es-MX"/>
        </w:rPr>
      </w:pPr>
    </w:p>
    <w:p w:rsidR="007A6523" w:rsidRPr="00011E71" w:rsidRDefault="007A6523" w:rsidP="007A6523">
      <w:pPr>
        <w:pStyle w:val="Sinespaciado"/>
        <w:jc w:val="both"/>
        <w:rPr>
          <w:rFonts w:ascii="Times New Roman" w:hAnsi="Times New Roman" w:cs="Times New Roman"/>
          <w:lang w:val="es-MX"/>
        </w:rPr>
      </w:pPr>
      <w:r w:rsidRPr="00011E71">
        <w:rPr>
          <w:rFonts w:ascii="Times New Roman" w:hAnsi="Times New Roman" w:cs="Times New Roman"/>
          <w:lang w:val="es-MX"/>
        </w:rPr>
        <w:t xml:space="preserve">El 76.2% de los analistas económicos entrevistados para la elaboración del indicador, consideran que no existirá cambio </w:t>
      </w:r>
      <w:r w:rsidRPr="00011E71">
        <w:rPr>
          <w:rFonts w:ascii="Times New Roman" w:hAnsi="Times New Roman" w:cs="Times New Roman"/>
          <w:lang w:val="es-MX"/>
        </w:rPr>
        <w:lastRenderedPageBreak/>
        <w:t>en el clima de los negocios para las actividades productivas del sector privado en los próximos seis meses; el 76.2% considera que la economía no está mejor que hace un año y el 52.4% espera que la evolución económica del país mejore durante los próximos seis meses.</w:t>
      </w:r>
    </w:p>
    <w:p w:rsidR="007D0566" w:rsidRPr="00011E71" w:rsidRDefault="007D0566" w:rsidP="007D0566">
      <w:pPr>
        <w:spacing w:after="0"/>
        <w:jc w:val="both"/>
        <w:rPr>
          <w:rFonts w:ascii="Times New Roman" w:hAnsi="Times New Roman" w:cs="Times New Roman"/>
          <w:lang w:val="es-MX"/>
        </w:rPr>
      </w:pPr>
    </w:p>
    <w:p w:rsidR="00364DD6" w:rsidRPr="00011E71" w:rsidRDefault="001C2FF5" w:rsidP="001C2FF5">
      <w:pPr>
        <w:jc w:val="both"/>
        <w:rPr>
          <w:rFonts w:ascii="Times New Roman" w:hAnsi="Times New Roman" w:cs="Times New Roman"/>
          <w:lang w:val="es-MX"/>
        </w:rPr>
      </w:pPr>
      <w:r w:rsidRPr="00011E71">
        <w:rPr>
          <w:rFonts w:ascii="Times New Roman" w:hAnsi="Times New Roman" w:cs="Times New Roman"/>
          <w:lang w:val="es-MX"/>
        </w:rPr>
        <w:lastRenderedPageBreak/>
        <w:t>Con respecto al ritmo inflacionario, el banco considera una proyección de 4.59% para noviembre y 4.69% para diciembre y se esperaría un crecimiento de 3.2% en el PIB Real en 2016 y 3.4% en 2017.</w:t>
      </w:r>
    </w:p>
    <w:p w:rsidR="003551C3" w:rsidRPr="002970C1" w:rsidRDefault="003551C3" w:rsidP="001C2FF5">
      <w:pPr>
        <w:jc w:val="both"/>
        <w:rPr>
          <w:rFonts w:ascii="Times New Roman" w:hAnsi="Times New Roman" w:cs="Times New Roman"/>
          <w:color w:val="FF0000"/>
          <w:lang w:val="es-MX"/>
        </w:rPr>
      </w:pPr>
    </w:p>
    <w:p w:rsidR="003551C3" w:rsidRPr="002970C1" w:rsidRDefault="003551C3" w:rsidP="001C2FF5">
      <w:pPr>
        <w:jc w:val="both"/>
        <w:rPr>
          <w:color w:val="FF0000"/>
          <w:lang w:val="es-MX"/>
        </w:rPr>
        <w:sectPr w:rsidR="003551C3" w:rsidRPr="002970C1" w:rsidSect="004E358C">
          <w:type w:val="continuous"/>
          <w:pgSz w:w="12240" w:h="15840"/>
          <w:pgMar w:top="1417" w:right="1701" w:bottom="1417" w:left="1701" w:header="708" w:footer="708" w:gutter="0"/>
          <w:cols w:num="2" w:space="708"/>
          <w:docGrid w:linePitch="360"/>
        </w:sectPr>
      </w:pPr>
    </w:p>
    <w:p w:rsidR="00364DD6" w:rsidRPr="002970C1" w:rsidRDefault="00364DD6" w:rsidP="00364DD6">
      <w:pPr>
        <w:pStyle w:val="Prrafodelista"/>
        <w:ind w:left="0"/>
        <w:jc w:val="both"/>
        <w:rPr>
          <w:rFonts w:ascii="Times New Roman" w:hAnsi="Times New Roman" w:cs="Times New Roman"/>
          <w:color w:val="FF0000"/>
        </w:rPr>
      </w:pPr>
    </w:p>
    <w:p w:rsidR="004E4FDE" w:rsidRPr="002970C1" w:rsidRDefault="004E4FDE" w:rsidP="004E4FDE">
      <w:pPr>
        <w:pStyle w:val="Sinespaciado"/>
        <w:jc w:val="both"/>
        <w:rPr>
          <w:rFonts w:ascii="Times New Roman" w:hAnsi="Times New Roman" w:cs="Times New Roman"/>
          <w:color w:val="FF0000"/>
          <w:lang w:val="es-MX"/>
        </w:rPr>
      </w:pPr>
      <w:r w:rsidRPr="002970C1">
        <w:rPr>
          <w:rFonts w:ascii="Times New Roman" w:hAnsi="Times New Roman" w:cs="Times New Roman"/>
          <w:color w:val="FF0000"/>
        </w:rPr>
        <w:t xml:space="preserve">  </w:t>
      </w:r>
    </w:p>
    <w:p w:rsidR="00416D41" w:rsidRPr="002970C1" w:rsidRDefault="00416D41" w:rsidP="0042387A">
      <w:pPr>
        <w:spacing w:after="0" w:line="240" w:lineRule="auto"/>
        <w:rPr>
          <w:rFonts w:ascii="Times New Roman" w:hAnsi="Times New Roman" w:cs="Times New Roman"/>
          <w:color w:val="FF0000"/>
          <w:lang w:val="es-MX"/>
        </w:rPr>
      </w:pPr>
    </w:p>
    <w:p w:rsidR="004A73AA" w:rsidRPr="002970C1" w:rsidRDefault="004A73AA" w:rsidP="0042387A">
      <w:pPr>
        <w:spacing w:after="0" w:line="240" w:lineRule="auto"/>
        <w:rPr>
          <w:rFonts w:ascii="Times New Roman" w:hAnsi="Times New Roman" w:cs="Times New Roman"/>
          <w:color w:val="FF0000"/>
          <w:lang w:val="es-MX"/>
        </w:rPr>
      </w:pPr>
    </w:p>
    <w:p w:rsidR="004A73AA" w:rsidRPr="002970C1" w:rsidRDefault="004A73AA" w:rsidP="0042387A">
      <w:pPr>
        <w:spacing w:after="0" w:line="240" w:lineRule="auto"/>
        <w:rPr>
          <w:rFonts w:ascii="Times New Roman" w:hAnsi="Times New Roman" w:cs="Times New Roman"/>
          <w:color w:val="FF0000"/>
          <w:lang w:val="es-MX"/>
        </w:rPr>
      </w:pPr>
    </w:p>
    <w:p w:rsidR="004A73AA" w:rsidRPr="002970C1" w:rsidRDefault="004A73AA" w:rsidP="0042387A">
      <w:pPr>
        <w:spacing w:after="0" w:line="240" w:lineRule="auto"/>
        <w:rPr>
          <w:rFonts w:ascii="Times New Roman" w:hAnsi="Times New Roman" w:cs="Times New Roman"/>
          <w:color w:val="FF0000"/>
          <w:lang w:val="es-MX"/>
        </w:rPr>
      </w:pPr>
    </w:p>
    <w:p w:rsidR="004A73AA" w:rsidRPr="002970C1" w:rsidRDefault="004A73AA" w:rsidP="0042387A">
      <w:pPr>
        <w:spacing w:after="0" w:line="240" w:lineRule="auto"/>
        <w:rPr>
          <w:rFonts w:ascii="Times New Roman" w:hAnsi="Times New Roman" w:cs="Times New Roman"/>
          <w:color w:val="FF0000"/>
          <w:lang w:val="es-MX"/>
        </w:rPr>
      </w:pPr>
    </w:p>
    <w:p w:rsidR="004A73AA" w:rsidRPr="002970C1" w:rsidRDefault="004A73AA" w:rsidP="0042387A">
      <w:pPr>
        <w:spacing w:after="0" w:line="240" w:lineRule="auto"/>
        <w:rPr>
          <w:rFonts w:ascii="Times New Roman" w:hAnsi="Times New Roman" w:cs="Times New Roman"/>
          <w:color w:val="FF0000"/>
          <w:lang w:val="es-MX"/>
        </w:rPr>
      </w:pPr>
    </w:p>
    <w:p w:rsidR="003551C3" w:rsidRPr="002970C1" w:rsidRDefault="003551C3" w:rsidP="0042387A">
      <w:pPr>
        <w:spacing w:after="0" w:line="240" w:lineRule="auto"/>
        <w:rPr>
          <w:rFonts w:ascii="Times New Roman" w:hAnsi="Times New Roman" w:cs="Times New Roman"/>
          <w:color w:val="FF0000"/>
          <w:lang w:val="es-MX"/>
        </w:rPr>
      </w:pPr>
    </w:p>
    <w:p w:rsidR="003551C3" w:rsidRPr="002970C1" w:rsidRDefault="003551C3" w:rsidP="0042387A">
      <w:pPr>
        <w:spacing w:after="0" w:line="240" w:lineRule="auto"/>
        <w:rPr>
          <w:rFonts w:ascii="Times New Roman" w:hAnsi="Times New Roman" w:cs="Times New Roman"/>
          <w:color w:val="FF0000"/>
          <w:lang w:val="es-MX"/>
        </w:rPr>
      </w:pPr>
    </w:p>
    <w:p w:rsidR="003551C3" w:rsidRPr="002970C1" w:rsidRDefault="003551C3" w:rsidP="0042387A">
      <w:pPr>
        <w:spacing w:after="0" w:line="240" w:lineRule="auto"/>
        <w:rPr>
          <w:rFonts w:ascii="Times New Roman" w:hAnsi="Times New Roman" w:cs="Times New Roman"/>
          <w:color w:val="FF0000"/>
          <w:lang w:val="es-MX"/>
        </w:rPr>
      </w:pPr>
    </w:p>
    <w:p w:rsidR="003551C3" w:rsidRPr="002970C1" w:rsidRDefault="003551C3" w:rsidP="0042387A">
      <w:pPr>
        <w:spacing w:after="0" w:line="240" w:lineRule="auto"/>
        <w:rPr>
          <w:rFonts w:ascii="Times New Roman" w:hAnsi="Times New Roman" w:cs="Times New Roman"/>
          <w:color w:val="FF0000"/>
          <w:lang w:val="es-MX"/>
        </w:rPr>
      </w:pPr>
    </w:p>
    <w:p w:rsidR="003551C3" w:rsidRPr="002970C1" w:rsidRDefault="003551C3" w:rsidP="0042387A">
      <w:pPr>
        <w:spacing w:after="0" w:line="240" w:lineRule="auto"/>
        <w:rPr>
          <w:rFonts w:ascii="Times New Roman" w:hAnsi="Times New Roman" w:cs="Times New Roman"/>
          <w:color w:val="FF0000"/>
          <w:lang w:val="es-MX"/>
        </w:rPr>
      </w:pPr>
    </w:p>
    <w:p w:rsidR="003551C3" w:rsidRPr="002970C1" w:rsidRDefault="003551C3" w:rsidP="0042387A">
      <w:pPr>
        <w:spacing w:after="0" w:line="240" w:lineRule="auto"/>
        <w:rPr>
          <w:rFonts w:ascii="Times New Roman" w:hAnsi="Times New Roman" w:cs="Times New Roman"/>
          <w:color w:val="FF0000"/>
          <w:lang w:val="es-MX"/>
        </w:rPr>
      </w:pPr>
    </w:p>
    <w:p w:rsidR="003551C3" w:rsidRPr="002970C1" w:rsidRDefault="003551C3" w:rsidP="0042387A">
      <w:pPr>
        <w:spacing w:after="0" w:line="240" w:lineRule="auto"/>
        <w:rPr>
          <w:rFonts w:ascii="Times New Roman" w:hAnsi="Times New Roman" w:cs="Times New Roman"/>
          <w:color w:val="FF0000"/>
          <w:lang w:val="es-MX"/>
        </w:rPr>
      </w:pPr>
    </w:p>
    <w:p w:rsidR="003551C3" w:rsidRPr="002970C1" w:rsidRDefault="003551C3" w:rsidP="0042387A">
      <w:pPr>
        <w:spacing w:after="0" w:line="240" w:lineRule="auto"/>
        <w:rPr>
          <w:rFonts w:ascii="Times New Roman" w:hAnsi="Times New Roman" w:cs="Times New Roman"/>
          <w:color w:val="FF0000"/>
          <w:lang w:val="es-MX"/>
        </w:rPr>
      </w:pPr>
    </w:p>
    <w:p w:rsidR="00416D41" w:rsidRPr="002970C1" w:rsidRDefault="00416D41" w:rsidP="00416D41">
      <w:pPr>
        <w:spacing w:after="0" w:line="240" w:lineRule="auto"/>
        <w:jc w:val="center"/>
        <w:rPr>
          <w:rFonts w:ascii="Times New Roman" w:hAnsi="Times New Roman" w:cs="Times New Roman"/>
          <w:color w:val="FF0000"/>
          <w:lang w:val="es-MX"/>
        </w:rPr>
      </w:pPr>
    </w:p>
    <w:sectPr w:rsidR="00416D41" w:rsidRPr="002970C1" w:rsidSect="00416D41">
      <w:headerReference w:type="default" r:id="rId29"/>
      <w:footerReference w:type="default" r:id="rId30"/>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2A" w:rsidRDefault="001F222A" w:rsidP="007D4651">
      <w:pPr>
        <w:spacing w:after="0" w:line="240" w:lineRule="auto"/>
      </w:pPr>
      <w:r>
        <w:separator/>
      </w:r>
    </w:p>
  </w:endnote>
  <w:endnote w:type="continuationSeparator" w:id="0">
    <w:p w:rsidR="001F222A" w:rsidRDefault="001F222A"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End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7B5149F5" wp14:editId="788F41E6">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7AD7B"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23423A" w:rsidRPr="0023423A">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66791B" w:rsidRDefault="006679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End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30417ED7" wp14:editId="5BABD0AD">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EE82AB"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23423A" w:rsidRPr="0023423A">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03057022"/>
      <w:docPartObj>
        <w:docPartGallery w:val="Page Numbers (Bottom of Page)"/>
        <w:docPartUnique/>
      </w:docPartObj>
    </w:sdtPr>
    <w:sdtEnd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192AA319" wp14:editId="13BFC1C3">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4D7249"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23423A" w:rsidRPr="0023423A">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20901799"/>
      <w:docPartObj>
        <w:docPartGallery w:val="Page Numbers (Bottom of Page)"/>
        <w:docPartUnique/>
      </w:docPartObj>
    </w:sdtPr>
    <w:sdtEnd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4263D65E" wp14:editId="0B23A2AD">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AE19DC"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011E71" w:rsidRPr="00011E71">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End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1CBF233C" wp14:editId="6BB7742F">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7F1FEB"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23423A" w:rsidRPr="0023423A">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039429106"/>
      <w:docPartObj>
        <w:docPartGallery w:val="Page Numbers (Bottom of Page)"/>
        <w:docPartUnique/>
      </w:docPartObj>
    </w:sdtPr>
    <w:sdtEndPr/>
    <w:sdtContent>
      <w:p w:rsidR="00416D41" w:rsidRDefault="00416D41">
        <w:pPr>
          <w:pStyle w:val="Piedepgina"/>
          <w:jc w:val="right"/>
          <w:rPr>
            <w:lang w:val="es-ES"/>
          </w:rPr>
        </w:pPr>
      </w:p>
      <w:p w:rsidR="00416D41" w:rsidRDefault="00416D4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138680E6" wp14:editId="2A0BB78C">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D13957"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16D41" w:rsidRDefault="00416D4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54D94" w:rsidRPr="00454D94">
          <w:rPr>
            <w:rFonts w:ascii="Times New Roman" w:hAnsi="Times New Roman" w:cs="Times New Roman"/>
            <w:b/>
            <w:noProof/>
            <w:color w:val="1F497D" w:themeColor="text2"/>
            <w:lang w:val="es-ES"/>
          </w:rPr>
          <w:t>9</w:t>
        </w:r>
        <w:r w:rsidRPr="007D4651">
          <w:rPr>
            <w:rFonts w:ascii="Times New Roman" w:hAnsi="Times New Roman" w:cs="Times New Roman"/>
            <w:b/>
            <w:color w:val="1F497D" w:themeColor="text2"/>
          </w:rPr>
          <w:fldChar w:fldCharType="end"/>
        </w:r>
        <w:r>
          <w:rPr>
            <w:lang w:val="es-ES"/>
          </w:rPr>
          <w:t xml:space="preserve"> </w:t>
        </w:r>
      </w:p>
    </w:sdtContent>
  </w:sdt>
  <w:p w:rsidR="00416D41" w:rsidRDefault="00416D41" w:rsidP="007D4651">
    <w:pPr>
      <w:pStyle w:val="Piedepgina"/>
      <w:tabs>
        <w:tab w:val="clear" w:pos="4419"/>
        <w:tab w:val="clear" w:pos="8838"/>
        <w:tab w:val="left" w:pos="5777"/>
      </w:tabs>
    </w:pPr>
  </w:p>
  <w:p w:rsidR="00416D41" w:rsidRDefault="00416D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2A" w:rsidRDefault="001F222A" w:rsidP="007D4651">
      <w:pPr>
        <w:spacing w:after="0" w:line="240" w:lineRule="auto"/>
      </w:pPr>
      <w:r>
        <w:separator/>
      </w:r>
    </w:p>
  </w:footnote>
  <w:footnote w:type="continuationSeparator" w:id="0">
    <w:p w:rsidR="001F222A" w:rsidRDefault="001F222A"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51" w:rsidRPr="007D4651" w:rsidRDefault="007D465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1312" behindDoc="1" locked="0" layoutInCell="1" allowOverlap="1" wp14:anchorId="49B97BB6" wp14:editId="6BCBD925">
          <wp:simplePos x="0" y="0"/>
          <wp:positionH relativeFrom="column">
            <wp:posOffset>-89849</wp:posOffset>
          </wp:positionH>
          <wp:positionV relativeFrom="paragraph">
            <wp:posOffset>-163027</wp:posOffset>
          </wp:positionV>
          <wp:extent cx="1697990" cy="914400"/>
          <wp:effectExtent l="0" t="0" r="0" b="0"/>
          <wp:wrapNone/>
          <wp:docPr id="5" name="Imagen 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D4651" w:rsidRPr="007D4651" w:rsidRDefault="007A652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35279B">
      <w:rPr>
        <w:rFonts w:ascii="Times New Roman" w:hAnsi="Times New Roman" w:cs="Times New Roman"/>
        <w:color w:val="1F497D" w:themeColor="text2"/>
        <w:lang w:val="es-MX"/>
      </w:rPr>
      <w:t>bre</w:t>
    </w:r>
    <w:r w:rsidR="007D4651" w:rsidRPr="007D4651">
      <w:rPr>
        <w:rFonts w:ascii="Times New Roman" w:hAnsi="Times New Roman" w:cs="Times New Roman"/>
        <w:color w:val="1F497D" w:themeColor="text2"/>
        <w:lang w:val="es-MX"/>
      </w:rPr>
      <w:t xml:space="preserve"> 2016</w:t>
    </w:r>
  </w:p>
  <w:p w:rsidR="007D4651" w:rsidRDefault="007D465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06564D17" wp14:editId="37D82D5E">
              <wp:simplePos x="0" y="0"/>
              <wp:positionH relativeFrom="column">
                <wp:posOffset>1710568</wp:posOffset>
              </wp:positionH>
              <wp:positionV relativeFrom="paragraph">
                <wp:posOffset>29118</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515AC" id="1 Rectángulo" o:spid="_x0000_s1026" style="position:absolute;margin-left:134.7pt;margin-top:2.3pt;width:40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3RGbA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66791B" w:rsidRPr="009F164F" w:rsidRDefault="007D4651" w:rsidP="00E16925">
    <w:pPr>
      <w:pStyle w:val="Encabezado"/>
      <w:rPr>
        <w:rFonts w:ascii="Times New Roman" w:hAnsi="Times New Roman" w:cs="Times New Roman"/>
        <w:b/>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25" w:rsidRPr="007D4651" w:rsidRDefault="00E1692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6432" behindDoc="1" locked="0" layoutInCell="1" allowOverlap="1" wp14:anchorId="76103BE8" wp14:editId="67D73C53">
          <wp:simplePos x="0" y="0"/>
          <wp:positionH relativeFrom="column">
            <wp:posOffset>-89849</wp:posOffset>
          </wp:positionH>
          <wp:positionV relativeFrom="paragraph">
            <wp:posOffset>-163027</wp:posOffset>
          </wp:positionV>
          <wp:extent cx="1697990" cy="914400"/>
          <wp:effectExtent l="0" t="0" r="0" b="0"/>
          <wp:wrapNone/>
          <wp:docPr id="9" name="Imagen 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16925" w:rsidRPr="007D4651" w:rsidRDefault="007A652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35279B">
      <w:rPr>
        <w:rFonts w:ascii="Times New Roman" w:hAnsi="Times New Roman" w:cs="Times New Roman"/>
        <w:color w:val="1F497D" w:themeColor="text2"/>
        <w:lang w:val="es-MX"/>
      </w:rPr>
      <w:t>bre</w:t>
    </w:r>
    <w:r w:rsidR="00E16925" w:rsidRPr="007D4651">
      <w:rPr>
        <w:rFonts w:ascii="Times New Roman" w:hAnsi="Times New Roman" w:cs="Times New Roman"/>
        <w:color w:val="1F497D" w:themeColor="text2"/>
        <w:lang w:val="es-MX"/>
      </w:rPr>
      <w:t xml:space="preserve"> 2016</w:t>
    </w:r>
  </w:p>
  <w:p w:rsidR="00E16925" w:rsidRDefault="00E1692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5408" behindDoc="0" locked="0" layoutInCell="1" allowOverlap="1" wp14:anchorId="47321E88" wp14:editId="68CA3433">
              <wp:simplePos x="0" y="0"/>
              <wp:positionH relativeFrom="column">
                <wp:posOffset>1710568</wp:posOffset>
              </wp:positionH>
              <wp:positionV relativeFrom="paragraph">
                <wp:posOffset>29118</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036C4" id="6 Rectángulo" o:spid="_x0000_s1026" style="position:absolute;margin-left:134.7pt;margin-top:2.3pt;width:406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FTgscI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16925" w:rsidRDefault="00E16925"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1" w:rsidRPr="007D4651" w:rsidRDefault="00FA3B8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0528" behindDoc="1" locked="0" layoutInCell="1" allowOverlap="1" wp14:anchorId="22EA66E4" wp14:editId="1579FBD1">
          <wp:simplePos x="0" y="0"/>
          <wp:positionH relativeFrom="column">
            <wp:posOffset>-89849</wp:posOffset>
          </wp:positionH>
          <wp:positionV relativeFrom="paragraph">
            <wp:posOffset>-163027</wp:posOffset>
          </wp:positionV>
          <wp:extent cx="1697990" cy="914400"/>
          <wp:effectExtent l="0" t="0" r="0" b="0"/>
          <wp:wrapNone/>
          <wp:docPr id="46" name="Imagen 4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A3B81" w:rsidRPr="007D4651" w:rsidRDefault="007A652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35279B">
      <w:rPr>
        <w:rFonts w:ascii="Times New Roman" w:hAnsi="Times New Roman" w:cs="Times New Roman"/>
        <w:color w:val="1F497D" w:themeColor="text2"/>
        <w:lang w:val="es-MX"/>
      </w:rPr>
      <w:t>bre</w:t>
    </w:r>
    <w:r w:rsidR="00FA3B81" w:rsidRPr="007D4651">
      <w:rPr>
        <w:rFonts w:ascii="Times New Roman" w:hAnsi="Times New Roman" w:cs="Times New Roman"/>
        <w:color w:val="1F497D" w:themeColor="text2"/>
        <w:lang w:val="es-MX"/>
      </w:rPr>
      <w:t xml:space="preserve"> 2016</w:t>
    </w:r>
  </w:p>
  <w:p w:rsidR="00FA3B81" w:rsidRDefault="00FA3B8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9504" behindDoc="0" locked="0" layoutInCell="1" allowOverlap="1" wp14:anchorId="03BE433E" wp14:editId="35264B7C">
              <wp:simplePos x="0" y="0"/>
              <wp:positionH relativeFrom="column">
                <wp:posOffset>1710568</wp:posOffset>
              </wp:positionH>
              <wp:positionV relativeFrom="paragraph">
                <wp:posOffset>29118</wp:posOffset>
              </wp:positionV>
              <wp:extent cx="5155894" cy="45719"/>
              <wp:effectExtent l="38100" t="38100" r="64135" b="88265"/>
              <wp:wrapNone/>
              <wp:docPr id="15" name="1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74AF3" id="15 Rectángulo" o:spid="_x0000_s1026" style="position:absolute;margin-left:134.7pt;margin-top:2.3pt;width:4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J9X2/A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A3B81" w:rsidRDefault="00FA3B81"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76CE5A2F" wp14:editId="6566BFAC">
          <wp:simplePos x="0" y="0"/>
          <wp:positionH relativeFrom="column">
            <wp:posOffset>-89849</wp:posOffset>
          </wp:positionH>
          <wp:positionV relativeFrom="paragraph">
            <wp:posOffset>-163027</wp:posOffset>
          </wp:positionV>
          <wp:extent cx="1697990" cy="914400"/>
          <wp:effectExtent l="0" t="0" r="0" b="0"/>
          <wp:wrapNone/>
          <wp:docPr id="37" name="Imagen 3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7A652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35279B">
      <w:rPr>
        <w:rFonts w:ascii="Times New Roman" w:hAnsi="Times New Roman" w:cs="Times New Roman"/>
        <w:color w:val="1F497D" w:themeColor="text2"/>
        <w:lang w:val="es-MX"/>
      </w:rPr>
      <w:t>bre</w:t>
    </w:r>
    <w:r w:rsidR="00F76491" w:rsidRPr="007D4651">
      <w:rPr>
        <w:rFonts w:ascii="Times New Roman" w:hAnsi="Times New Roman" w:cs="Times New Roman"/>
        <w:color w:val="1F497D" w:themeColor="text2"/>
        <w:lang w:val="es-MX"/>
      </w:rPr>
      <w:t xml:space="preserve">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31D41A67" wp14:editId="3105B0FE">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1DE20B"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1D" w:rsidRPr="004A73AA" w:rsidRDefault="00494D1D" w:rsidP="007D4651">
    <w:pPr>
      <w:pStyle w:val="Encabezado"/>
      <w:jc w:val="right"/>
      <w:rPr>
        <w:rFonts w:ascii="Times New Roman" w:hAnsi="Times New Roman" w:cs="Times New Roman"/>
        <w:b/>
        <w:color w:val="1F497D" w:themeColor="text2"/>
        <w:sz w:val="24"/>
        <w:lang w:val="es-MX"/>
      </w:rPr>
    </w:pPr>
    <w:r w:rsidRPr="004A73AA">
      <w:rPr>
        <w:noProof/>
        <w:color w:val="1F497D" w:themeColor="text2"/>
        <w:lang w:eastAsia="es-GT"/>
      </w:rPr>
      <w:drawing>
        <wp:anchor distT="0" distB="0" distL="114300" distR="114300" simplePos="0" relativeHeight="251678720" behindDoc="1" locked="0" layoutInCell="1" allowOverlap="1" wp14:anchorId="6FF7F094" wp14:editId="15D552CE">
          <wp:simplePos x="0" y="0"/>
          <wp:positionH relativeFrom="column">
            <wp:posOffset>-89849</wp:posOffset>
          </wp:positionH>
          <wp:positionV relativeFrom="paragraph">
            <wp:posOffset>-163027</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4A73AA">
      <w:rPr>
        <w:rFonts w:ascii="Times New Roman" w:hAnsi="Times New Roman" w:cs="Times New Roman"/>
        <w:b/>
        <w:color w:val="1F497D" w:themeColor="text2"/>
        <w:sz w:val="24"/>
        <w:lang w:val="es-MX"/>
      </w:rPr>
      <w:t>Informe de las Finanzas Públicas</w:t>
    </w:r>
  </w:p>
  <w:p w:rsidR="00494D1D" w:rsidRPr="004A73AA" w:rsidRDefault="007A652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35279B" w:rsidRPr="004A73AA">
      <w:rPr>
        <w:rFonts w:ascii="Times New Roman" w:hAnsi="Times New Roman" w:cs="Times New Roman"/>
        <w:color w:val="1F497D" w:themeColor="text2"/>
        <w:lang w:val="es-MX"/>
      </w:rPr>
      <w:t>bre</w:t>
    </w:r>
    <w:r w:rsidR="00494D1D" w:rsidRPr="004A73AA">
      <w:rPr>
        <w:rFonts w:ascii="Times New Roman" w:hAnsi="Times New Roman" w:cs="Times New Roman"/>
        <w:color w:val="1F497D" w:themeColor="text2"/>
        <w:lang w:val="es-MX"/>
      </w:rPr>
      <w:t xml:space="preserve"> 2016</w:t>
    </w:r>
  </w:p>
  <w:p w:rsidR="00494D1D" w:rsidRPr="004A73AA" w:rsidRDefault="00494D1D" w:rsidP="007D4651">
    <w:pPr>
      <w:pStyle w:val="Encabezado"/>
      <w:jc w:val="right"/>
      <w:rPr>
        <w:rFonts w:ascii="Times New Roman" w:hAnsi="Times New Roman" w:cs="Times New Roman"/>
        <w:color w:val="1F497D" w:themeColor="text2"/>
        <w:lang w:val="es-MX"/>
      </w:rPr>
    </w:pPr>
    <w:r w:rsidRPr="004A73AA">
      <w:rPr>
        <w:rFonts w:ascii="Times New Roman" w:hAnsi="Times New Roman" w:cs="Times New Roman"/>
        <w:noProof/>
        <w:color w:val="1F497D" w:themeColor="text2"/>
        <w:lang w:eastAsia="es-GT"/>
      </w:rPr>
      <mc:AlternateContent>
        <mc:Choice Requires="wps">
          <w:drawing>
            <wp:anchor distT="0" distB="0" distL="114300" distR="114300" simplePos="0" relativeHeight="251677696" behindDoc="0" locked="0" layoutInCell="1" allowOverlap="1" wp14:anchorId="33D67809" wp14:editId="45C7CAE2">
              <wp:simplePos x="0" y="0"/>
              <wp:positionH relativeFrom="column">
                <wp:posOffset>1710568</wp:posOffset>
              </wp:positionH>
              <wp:positionV relativeFrom="paragraph">
                <wp:posOffset>29118</wp:posOffset>
              </wp:positionV>
              <wp:extent cx="5155894" cy="45719"/>
              <wp:effectExtent l="38100" t="38100" r="64135" b="88265"/>
              <wp:wrapNone/>
              <wp:docPr id="25" name="2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A9448" id="25 Rectángulo" o:spid="_x0000_s1026" style="position:absolute;margin-left:134.7pt;margin-top:2.3pt;width:406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&#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VXKI2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94D1D" w:rsidRPr="004A73AA" w:rsidRDefault="00494D1D" w:rsidP="00E16925">
    <w:pPr>
      <w:pStyle w:val="Encabezado"/>
      <w:rPr>
        <w:rFonts w:ascii="Times New Roman" w:hAnsi="Times New Roman" w:cs="Times New Roman"/>
        <w:color w:val="1F497D" w:themeColor="text2"/>
        <w:lang w:val="es-MX"/>
      </w:rPr>
    </w:pPr>
    <w:r w:rsidRPr="004A73AA">
      <w:rPr>
        <w:rFonts w:ascii="Times New Roman" w:hAnsi="Times New Roman" w:cs="Times New Roman"/>
        <w:color w:val="1F497D" w:themeColor="text2"/>
        <w:lang w:val="es-MX"/>
      </w:rPr>
      <w:tab/>
    </w:r>
    <w:r w:rsidR="009F164F" w:rsidRPr="004A73AA">
      <w:rPr>
        <w:rFonts w:ascii="Times New Roman" w:hAnsi="Times New Roman" w:cs="Times New Roman"/>
        <w:b/>
        <w:color w:val="1F497D" w:themeColor="text2"/>
        <w:lang w:val="es-MX"/>
      </w:rPr>
      <w:t>Dirección de Análisis y Política Fiscal</w:t>
    </w:r>
  </w:p>
  <w:p w:rsidR="00494D1D" w:rsidRPr="007452E2" w:rsidRDefault="00494D1D"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41" w:rsidRPr="007D4651" w:rsidRDefault="00416D4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69D79481" wp14:editId="0E68F58E">
          <wp:simplePos x="0" y="0"/>
          <wp:positionH relativeFrom="column">
            <wp:posOffset>-89849</wp:posOffset>
          </wp:positionH>
          <wp:positionV relativeFrom="paragraph">
            <wp:posOffset>-163027</wp:posOffset>
          </wp:positionV>
          <wp:extent cx="1697990" cy="914400"/>
          <wp:effectExtent l="0" t="0" r="0" b="0"/>
          <wp:wrapNone/>
          <wp:docPr id="40" name="Imagen 4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16D41" w:rsidRPr="007D4651" w:rsidRDefault="004A73A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9F164F">
      <w:rPr>
        <w:rFonts w:ascii="Times New Roman" w:hAnsi="Times New Roman" w:cs="Times New Roman"/>
        <w:color w:val="1F497D" w:themeColor="text2"/>
        <w:lang w:val="es-MX"/>
      </w:rPr>
      <w:t>bre</w:t>
    </w:r>
    <w:r w:rsidR="00416D41" w:rsidRPr="007D4651">
      <w:rPr>
        <w:rFonts w:ascii="Times New Roman" w:hAnsi="Times New Roman" w:cs="Times New Roman"/>
        <w:color w:val="1F497D" w:themeColor="text2"/>
        <w:lang w:val="es-MX"/>
      </w:rPr>
      <w:t xml:space="preserve"> 2016</w:t>
    </w:r>
  </w:p>
  <w:p w:rsidR="00416D41" w:rsidRDefault="00416D4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6BA0F025" wp14:editId="1829B80D">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AAF22"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16D41" w:rsidRDefault="00416D41"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416D41" w:rsidRPr="00E16925" w:rsidRDefault="00416D4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6489"/>
    <w:rsid w:val="00011E71"/>
    <w:rsid w:val="00053517"/>
    <w:rsid w:val="0008348D"/>
    <w:rsid w:val="00087ADE"/>
    <w:rsid w:val="000D2FA4"/>
    <w:rsid w:val="00102939"/>
    <w:rsid w:val="00111B77"/>
    <w:rsid w:val="001259BA"/>
    <w:rsid w:val="00157402"/>
    <w:rsid w:val="00160EAC"/>
    <w:rsid w:val="00170604"/>
    <w:rsid w:val="00185253"/>
    <w:rsid w:val="001C2FF5"/>
    <w:rsid w:val="001D46C3"/>
    <w:rsid w:val="001D5A5B"/>
    <w:rsid w:val="001E0E10"/>
    <w:rsid w:val="001F222A"/>
    <w:rsid w:val="001F7141"/>
    <w:rsid w:val="002101C9"/>
    <w:rsid w:val="00213C92"/>
    <w:rsid w:val="0023423A"/>
    <w:rsid w:val="00240D86"/>
    <w:rsid w:val="00242202"/>
    <w:rsid w:val="00244AAA"/>
    <w:rsid w:val="00264C3A"/>
    <w:rsid w:val="002672D5"/>
    <w:rsid w:val="00281439"/>
    <w:rsid w:val="00281FB7"/>
    <w:rsid w:val="0029321A"/>
    <w:rsid w:val="00296D57"/>
    <w:rsid w:val="002970C1"/>
    <w:rsid w:val="002E3F4C"/>
    <w:rsid w:val="002F2A42"/>
    <w:rsid w:val="002F47C2"/>
    <w:rsid w:val="00302D40"/>
    <w:rsid w:val="00345216"/>
    <w:rsid w:val="0034700C"/>
    <w:rsid w:val="0035279B"/>
    <w:rsid w:val="003551C3"/>
    <w:rsid w:val="00364DD6"/>
    <w:rsid w:val="00367E12"/>
    <w:rsid w:val="00376802"/>
    <w:rsid w:val="00381A4F"/>
    <w:rsid w:val="00393E59"/>
    <w:rsid w:val="003A3726"/>
    <w:rsid w:val="003B13B4"/>
    <w:rsid w:val="003C7085"/>
    <w:rsid w:val="003D38A7"/>
    <w:rsid w:val="003D60E4"/>
    <w:rsid w:val="0040361C"/>
    <w:rsid w:val="00416D41"/>
    <w:rsid w:val="0042387A"/>
    <w:rsid w:val="00443621"/>
    <w:rsid w:val="00454D94"/>
    <w:rsid w:val="004575BA"/>
    <w:rsid w:val="004606FD"/>
    <w:rsid w:val="00464DB9"/>
    <w:rsid w:val="00474EC2"/>
    <w:rsid w:val="00494BC6"/>
    <w:rsid w:val="00494D1D"/>
    <w:rsid w:val="00495F43"/>
    <w:rsid w:val="004A6705"/>
    <w:rsid w:val="004A73AA"/>
    <w:rsid w:val="004B5B0F"/>
    <w:rsid w:val="004C208F"/>
    <w:rsid w:val="004D1F76"/>
    <w:rsid w:val="004D7482"/>
    <w:rsid w:val="004E358C"/>
    <w:rsid w:val="004E4FDE"/>
    <w:rsid w:val="004F72F9"/>
    <w:rsid w:val="005004C9"/>
    <w:rsid w:val="005016F6"/>
    <w:rsid w:val="005077A5"/>
    <w:rsid w:val="005364DE"/>
    <w:rsid w:val="005428C6"/>
    <w:rsid w:val="00573AB0"/>
    <w:rsid w:val="0059421A"/>
    <w:rsid w:val="005948F0"/>
    <w:rsid w:val="005979EB"/>
    <w:rsid w:val="005A1EFC"/>
    <w:rsid w:val="005A6ACE"/>
    <w:rsid w:val="005B1B53"/>
    <w:rsid w:val="005B6D05"/>
    <w:rsid w:val="005D2336"/>
    <w:rsid w:val="0060094A"/>
    <w:rsid w:val="00606D70"/>
    <w:rsid w:val="00610F84"/>
    <w:rsid w:val="00651522"/>
    <w:rsid w:val="006525C5"/>
    <w:rsid w:val="006553D6"/>
    <w:rsid w:val="00660888"/>
    <w:rsid w:val="0066791B"/>
    <w:rsid w:val="006A1473"/>
    <w:rsid w:val="006B0D82"/>
    <w:rsid w:val="006D1857"/>
    <w:rsid w:val="006D7BB6"/>
    <w:rsid w:val="006E27A5"/>
    <w:rsid w:val="006F157C"/>
    <w:rsid w:val="006F20A4"/>
    <w:rsid w:val="00715D8F"/>
    <w:rsid w:val="00741F6B"/>
    <w:rsid w:val="007452E2"/>
    <w:rsid w:val="00747C79"/>
    <w:rsid w:val="00754057"/>
    <w:rsid w:val="00784AF8"/>
    <w:rsid w:val="007A6523"/>
    <w:rsid w:val="007A7814"/>
    <w:rsid w:val="007B3D0C"/>
    <w:rsid w:val="007C0C8C"/>
    <w:rsid w:val="007C4E46"/>
    <w:rsid w:val="007D0566"/>
    <w:rsid w:val="007D38A9"/>
    <w:rsid w:val="007D4651"/>
    <w:rsid w:val="007E314A"/>
    <w:rsid w:val="00810A4C"/>
    <w:rsid w:val="00851B4B"/>
    <w:rsid w:val="00861640"/>
    <w:rsid w:val="00891B11"/>
    <w:rsid w:val="00892181"/>
    <w:rsid w:val="00892DE1"/>
    <w:rsid w:val="008E5C4F"/>
    <w:rsid w:val="008E7869"/>
    <w:rsid w:val="008F312E"/>
    <w:rsid w:val="00910163"/>
    <w:rsid w:val="00942163"/>
    <w:rsid w:val="00965F44"/>
    <w:rsid w:val="00993857"/>
    <w:rsid w:val="00997A06"/>
    <w:rsid w:val="009A12F9"/>
    <w:rsid w:val="009A3187"/>
    <w:rsid w:val="009A47FE"/>
    <w:rsid w:val="009A5380"/>
    <w:rsid w:val="009B7148"/>
    <w:rsid w:val="009D0D94"/>
    <w:rsid w:val="009D25F9"/>
    <w:rsid w:val="009D2C22"/>
    <w:rsid w:val="009F164F"/>
    <w:rsid w:val="00A26C76"/>
    <w:rsid w:val="00A64AE4"/>
    <w:rsid w:val="00A7383F"/>
    <w:rsid w:val="00A92D6E"/>
    <w:rsid w:val="00A970F8"/>
    <w:rsid w:val="00AA11B9"/>
    <w:rsid w:val="00AA7DB0"/>
    <w:rsid w:val="00AE2039"/>
    <w:rsid w:val="00B136D6"/>
    <w:rsid w:val="00B21010"/>
    <w:rsid w:val="00B2709E"/>
    <w:rsid w:val="00B5079C"/>
    <w:rsid w:val="00B667BC"/>
    <w:rsid w:val="00B86812"/>
    <w:rsid w:val="00BC7539"/>
    <w:rsid w:val="00BC79C1"/>
    <w:rsid w:val="00C074EF"/>
    <w:rsid w:val="00C14065"/>
    <w:rsid w:val="00C33674"/>
    <w:rsid w:val="00C41470"/>
    <w:rsid w:val="00C85696"/>
    <w:rsid w:val="00C935C2"/>
    <w:rsid w:val="00CA57D4"/>
    <w:rsid w:val="00CA6173"/>
    <w:rsid w:val="00CA65FF"/>
    <w:rsid w:val="00CB0938"/>
    <w:rsid w:val="00CC3420"/>
    <w:rsid w:val="00CD7760"/>
    <w:rsid w:val="00CF0F94"/>
    <w:rsid w:val="00CF2D98"/>
    <w:rsid w:val="00CF73B4"/>
    <w:rsid w:val="00D24DA4"/>
    <w:rsid w:val="00D30D15"/>
    <w:rsid w:val="00D40769"/>
    <w:rsid w:val="00D43052"/>
    <w:rsid w:val="00D50ABF"/>
    <w:rsid w:val="00D532B4"/>
    <w:rsid w:val="00D66D34"/>
    <w:rsid w:val="00D75C74"/>
    <w:rsid w:val="00D858E5"/>
    <w:rsid w:val="00DA53C7"/>
    <w:rsid w:val="00DA7B48"/>
    <w:rsid w:val="00DC44CF"/>
    <w:rsid w:val="00DD01C5"/>
    <w:rsid w:val="00DD23C0"/>
    <w:rsid w:val="00DD4AB3"/>
    <w:rsid w:val="00DD4D5D"/>
    <w:rsid w:val="00DF71A8"/>
    <w:rsid w:val="00DF786B"/>
    <w:rsid w:val="00E02A24"/>
    <w:rsid w:val="00E16925"/>
    <w:rsid w:val="00E3492D"/>
    <w:rsid w:val="00E43BF3"/>
    <w:rsid w:val="00E47F91"/>
    <w:rsid w:val="00E63798"/>
    <w:rsid w:val="00E85293"/>
    <w:rsid w:val="00EA37FC"/>
    <w:rsid w:val="00EB0FC5"/>
    <w:rsid w:val="00EB317F"/>
    <w:rsid w:val="00ED2C29"/>
    <w:rsid w:val="00EE72DB"/>
    <w:rsid w:val="00EF56F9"/>
    <w:rsid w:val="00F20D0D"/>
    <w:rsid w:val="00F229CE"/>
    <w:rsid w:val="00F644EA"/>
    <w:rsid w:val="00F75C84"/>
    <w:rsid w:val="00F76491"/>
    <w:rsid w:val="00FA3B81"/>
    <w:rsid w:val="00FA5DE4"/>
    <w:rsid w:val="00FB2C2F"/>
    <w:rsid w:val="00FD61B9"/>
    <w:rsid w:val="00FE65DB"/>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D75EC-30CA-48D7-978F-F9ACAD42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8.png"/><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7.png"/><Relationship Id="rId27" Type="http://schemas.openxmlformats.org/officeDocument/2006/relationships/header" Target="head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3627976735467"/>
          <c:y val="7.8889447329722084E-2"/>
          <c:w val="0.70934016968809144"/>
          <c:h val="0.75713259246849474"/>
        </c:manualLayout>
      </c:layout>
      <c:radarChart>
        <c:radarStyle val="filled"/>
        <c:varyColors val="0"/>
        <c:ser>
          <c:idx val="0"/>
          <c:order val="0"/>
          <c:tx>
            <c:strRef>
              <c:f>Hoja1!$B$1</c:f>
              <c:strCache>
                <c:ptCount val="1"/>
                <c:pt idx="0">
                  <c:v>Obs 2015</c:v>
                </c:pt>
              </c:strCache>
            </c:strRef>
          </c:tx>
          <c:cat>
            <c:strRef>
              <c:f>Hoja1!$A$2:$A$12</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Hoja1!$B$2:$B$12</c:f>
              <c:numCache>
                <c:formatCode>#,##0.0</c:formatCode>
                <c:ptCount val="11"/>
                <c:pt idx="0">
                  <c:v>4793.1929513699997</c:v>
                </c:pt>
                <c:pt idx="1">
                  <c:v>3340.3352861099997</c:v>
                </c:pt>
                <c:pt idx="2">
                  <c:v>4196.6591701000007</c:v>
                </c:pt>
                <c:pt idx="3">
                  <c:v>5113.6796767500009</c:v>
                </c:pt>
                <c:pt idx="4">
                  <c:v>3518.2657985399983</c:v>
                </c:pt>
                <c:pt idx="5">
                  <c:v>3532.4241271699993</c:v>
                </c:pt>
                <c:pt idx="6">
                  <c:v>5776.3105588500002</c:v>
                </c:pt>
                <c:pt idx="7">
                  <c:v>3540.7439999499993</c:v>
                </c:pt>
                <c:pt idx="8">
                  <c:v>3429.5416249600003</c:v>
                </c:pt>
                <c:pt idx="9">
                  <c:v>5353.8160054500004</c:v>
                </c:pt>
                <c:pt idx="10">
                  <c:v>3505.0848186400008</c:v>
                </c:pt>
              </c:numCache>
            </c:numRef>
          </c:val>
          <c:extLst>
            <c:ext xmlns:c16="http://schemas.microsoft.com/office/drawing/2014/chart" uri="{C3380CC4-5D6E-409C-BE32-E72D297353CC}">
              <c16:uniqueId val="{00000000-6852-48D4-811A-0F69DCE2A5F4}"/>
            </c:ext>
          </c:extLst>
        </c:ser>
        <c:dLbls>
          <c:showLegendKey val="0"/>
          <c:showVal val="0"/>
          <c:showCatName val="0"/>
          <c:showSerName val="0"/>
          <c:showPercent val="0"/>
          <c:showBubbleSize val="0"/>
        </c:dLbls>
        <c:axId val="24238720"/>
        <c:axId val="24257280"/>
      </c:radarChart>
      <c:radarChart>
        <c:radarStyle val="marker"/>
        <c:varyColors val="0"/>
        <c:ser>
          <c:idx val="1"/>
          <c:order val="1"/>
          <c:tx>
            <c:strRef>
              <c:f>Hoja1!$C$1</c:f>
              <c:strCache>
                <c:ptCount val="1"/>
                <c:pt idx="0">
                  <c:v>Obs 2016</c:v>
                </c:pt>
              </c:strCache>
            </c:strRef>
          </c:tx>
          <c:spPr>
            <a:ln w="19050">
              <a:solidFill>
                <a:srgbClr val="FF0000"/>
              </a:solidFill>
            </a:ln>
          </c:spPr>
          <c:marker>
            <c:symbol val="star"/>
            <c:size val="5"/>
            <c:spPr>
              <a:noFill/>
              <a:ln>
                <a:solidFill>
                  <a:srgbClr val="FF0000"/>
                </a:solidFill>
              </a:ln>
            </c:spPr>
          </c:marker>
          <c:cat>
            <c:strRef>
              <c:f>Hoja1!$A$2:$A$12</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Hoja1!$C$2:$C$12</c:f>
              <c:numCache>
                <c:formatCode>#,##0.0</c:formatCode>
                <c:ptCount val="11"/>
                <c:pt idx="0">
                  <c:v>4921.7370413000008</c:v>
                </c:pt>
                <c:pt idx="1">
                  <c:v>3350.36568291</c:v>
                </c:pt>
                <c:pt idx="2">
                  <c:v>4244.1582652600009</c:v>
                </c:pt>
                <c:pt idx="3">
                  <c:v>5310.2536938900012</c:v>
                </c:pt>
                <c:pt idx="4">
                  <c:v>4457.7989239899998</c:v>
                </c:pt>
                <c:pt idx="5">
                  <c:v>3828.188011589999</c:v>
                </c:pt>
                <c:pt idx="6">
                  <c:v>6257.3371342500013</c:v>
                </c:pt>
                <c:pt idx="7">
                  <c:v>4140.8641634599971</c:v>
                </c:pt>
                <c:pt idx="8">
                  <c:v>3665.0993921899994</c:v>
                </c:pt>
                <c:pt idx="9">
                  <c:v>5677.6576166800005</c:v>
                </c:pt>
                <c:pt idx="10">
                  <c:v>3973.8896845599998</c:v>
                </c:pt>
              </c:numCache>
            </c:numRef>
          </c:val>
          <c:extLst>
            <c:ext xmlns:c16="http://schemas.microsoft.com/office/drawing/2014/chart" uri="{C3380CC4-5D6E-409C-BE32-E72D297353CC}">
              <c16:uniqueId val="{00000001-6852-48D4-811A-0F69DCE2A5F4}"/>
            </c:ext>
          </c:extLst>
        </c:ser>
        <c:ser>
          <c:idx val="2"/>
          <c:order val="2"/>
          <c:tx>
            <c:strRef>
              <c:f>Hoja1!$D$1</c:f>
              <c:strCache>
                <c:ptCount val="1"/>
                <c:pt idx="0">
                  <c:v>Meta</c:v>
                </c:pt>
              </c:strCache>
            </c:strRef>
          </c:tx>
          <c:spPr>
            <a:ln w="19050">
              <a:solidFill>
                <a:schemeClr val="tx1"/>
              </a:solidFill>
              <a:prstDash val="sysDash"/>
            </a:ln>
          </c:spPr>
          <c:marker>
            <c:symbol val="circle"/>
            <c:size val="4"/>
            <c:spPr>
              <a:solidFill>
                <a:schemeClr val="tx1"/>
              </a:solidFill>
            </c:spPr>
          </c:marker>
          <c:cat>
            <c:strRef>
              <c:f>Hoja1!$A$2:$A$12</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Hoja1!$D$2:$D$12</c:f>
              <c:numCache>
                <c:formatCode>#,##0.0</c:formatCode>
                <c:ptCount val="11"/>
                <c:pt idx="0">
                  <c:v>4887.7148302026471</c:v>
                </c:pt>
                <c:pt idx="1">
                  <c:v>3439.2913989343078</c:v>
                </c:pt>
                <c:pt idx="2">
                  <c:v>4616.5192966087643</c:v>
                </c:pt>
                <c:pt idx="3">
                  <c:v>5639.1303698183019</c:v>
                </c:pt>
                <c:pt idx="4">
                  <c:v>3913.219141793998</c:v>
                </c:pt>
                <c:pt idx="5">
                  <c:v>3885.8640132168375</c:v>
                </c:pt>
                <c:pt idx="6">
                  <c:v>6336.2675583674245</c:v>
                </c:pt>
                <c:pt idx="7">
                  <c:v>3898.0072775394024</c:v>
                </c:pt>
                <c:pt idx="8">
                  <c:v>3806.013745442563</c:v>
                </c:pt>
                <c:pt idx="9">
                  <c:v>5991.5663818276753</c:v>
                </c:pt>
                <c:pt idx="10">
                  <c:v>3889.1505773036647</c:v>
                </c:pt>
              </c:numCache>
            </c:numRef>
          </c:val>
          <c:extLst>
            <c:ext xmlns:c16="http://schemas.microsoft.com/office/drawing/2014/chart" uri="{C3380CC4-5D6E-409C-BE32-E72D297353CC}">
              <c16:uniqueId val="{00000002-6852-48D4-811A-0F69DCE2A5F4}"/>
            </c:ext>
          </c:extLst>
        </c:ser>
        <c:dLbls>
          <c:showLegendKey val="0"/>
          <c:showVal val="0"/>
          <c:showCatName val="0"/>
          <c:showSerName val="0"/>
          <c:showPercent val="0"/>
          <c:showBubbleSize val="0"/>
        </c:dLbls>
        <c:axId val="24238720"/>
        <c:axId val="24257280"/>
      </c:radarChart>
      <c:catAx>
        <c:axId val="24238720"/>
        <c:scaling>
          <c:orientation val="minMax"/>
        </c:scaling>
        <c:delete val="0"/>
        <c:axPos val="b"/>
        <c:majorGridlines/>
        <c:numFmt formatCode="General" sourceLinked="1"/>
        <c:majorTickMark val="out"/>
        <c:minorTickMark val="none"/>
        <c:tickLblPos val="nextTo"/>
        <c:txPr>
          <a:bodyPr/>
          <a:lstStyle/>
          <a:p>
            <a:pPr>
              <a:defRPr sz="800" b="1"/>
            </a:pPr>
            <a:endParaRPr lang="es-GT"/>
          </a:p>
        </c:txPr>
        <c:crossAx val="24257280"/>
        <c:crosses val="autoZero"/>
        <c:auto val="1"/>
        <c:lblAlgn val="ctr"/>
        <c:lblOffset val="100"/>
        <c:noMultiLvlLbl val="0"/>
      </c:catAx>
      <c:valAx>
        <c:axId val="24257280"/>
        <c:scaling>
          <c:orientation val="minMax"/>
        </c:scaling>
        <c:delete val="0"/>
        <c:axPos val="l"/>
        <c:majorGridlines>
          <c:spPr>
            <a:ln>
              <a:solidFill>
                <a:schemeClr val="accent1">
                  <a:lumMod val="40000"/>
                  <a:lumOff val="60000"/>
                </a:schemeClr>
              </a:solidFill>
            </a:ln>
          </c:spPr>
        </c:majorGridlines>
        <c:numFmt formatCode="#,##0.0" sourceLinked="1"/>
        <c:majorTickMark val="cross"/>
        <c:minorTickMark val="none"/>
        <c:tickLblPos val="low"/>
        <c:txPr>
          <a:bodyPr/>
          <a:lstStyle/>
          <a:p>
            <a:pPr>
              <a:defRPr sz="800"/>
            </a:pPr>
            <a:endParaRPr lang="es-GT"/>
          </a:p>
        </c:txPr>
        <c:crossAx val="24238720"/>
        <c:crosses val="autoZero"/>
        <c:crossBetween val="between"/>
      </c:valAx>
    </c:plotArea>
    <c:legend>
      <c:legendPos val="r"/>
      <c:layout>
        <c:manualLayout>
          <c:xMode val="edge"/>
          <c:yMode val="edge"/>
          <c:x val="0"/>
          <c:y val="0.89108611423572048"/>
          <c:w val="0.95402298850574707"/>
          <c:h val="0.10628983877015373"/>
        </c:manualLayout>
      </c:layout>
      <c:overlay val="0"/>
      <c:txPr>
        <a:bodyPr/>
        <a:lstStyle/>
        <a:p>
          <a:pPr>
            <a:defRPr sz="800"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591103743611"/>
          <c:y val="4.3137254901960784E-2"/>
          <c:w val="0.70768959801077502"/>
          <c:h val="0.89759518295507179"/>
        </c:manualLayout>
      </c:layout>
      <c:barChart>
        <c:barDir val="bar"/>
        <c:grouping val="clustered"/>
        <c:varyColors val="0"/>
        <c:ser>
          <c:idx val="0"/>
          <c:order val="0"/>
          <c:tx>
            <c:strRef>
              <c:f>Hoja1!$B$1</c:f>
              <c:strCache>
                <c:ptCount val="1"/>
                <c:pt idx="0">
                  <c:v>2016-2015</c:v>
                </c:pt>
              </c:strCache>
            </c:strRef>
          </c:tx>
          <c:spPr>
            <a:solidFill>
              <a:srgbClr val="0070C0"/>
            </a:solidFill>
          </c:spPr>
          <c:invertIfNegative val="0"/>
          <c:dLbls>
            <c:spPr>
              <a:noFill/>
              <a:ln>
                <a:noFill/>
              </a:ln>
              <a:effectLst/>
            </c:spPr>
            <c:txPr>
              <a:bodyPr/>
              <a:lstStyle/>
              <a:p>
                <a:pPr>
                  <a:defRPr sz="600"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6"/>
                <c:pt idx="0">
                  <c:v>IVA imp</c:v>
                </c:pt>
                <c:pt idx="1">
                  <c:v>IVA dom</c:v>
                </c:pt>
                <c:pt idx="2">
                  <c:v>ISO</c:v>
                </c:pt>
                <c:pt idx="3">
                  <c:v>Regalías</c:v>
                </c:pt>
                <c:pt idx="4">
                  <c:v>Timbres</c:v>
                </c:pt>
                <c:pt idx="5">
                  <c:v>Salidas</c:v>
                </c:pt>
                <c:pt idx="6">
                  <c:v>IEMA</c:v>
                </c:pt>
                <c:pt idx="7">
                  <c:v>IETAAP</c:v>
                </c:pt>
                <c:pt idx="8">
                  <c:v>Otros</c:v>
                </c:pt>
                <c:pt idx="9">
                  <c:v>Propiedad</c:v>
                </c:pt>
                <c:pt idx="10">
                  <c:v>Cemento</c:v>
                </c:pt>
                <c:pt idx="11">
                  <c:v>Bebidas</c:v>
                </c:pt>
                <c:pt idx="12">
                  <c:v>Vehículos</c:v>
                </c:pt>
                <c:pt idx="13">
                  <c:v>DAI</c:v>
                </c:pt>
                <c:pt idx="14">
                  <c:v>Petróleo</c:v>
                </c:pt>
                <c:pt idx="15">
                  <c:v>ISR</c:v>
                </c:pt>
              </c:strCache>
            </c:strRef>
          </c:cat>
          <c:val>
            <c:numRef>
              <c:f>Hoja1!$B$2:$B$19</c:f>
              <c:numCache>
                <c:formatCode>#,##0.0</c:formatCode>
                <c:ptCount val="16"/>
                <c:pt idx="0">
                  <c:v>-299.26741477000178</c:v>
                </c:pt>
                <c:pt idx="1">
                  <c:v>1104.61699391</c:v>
                </c:pt>
                <c:pt idx="2">
                  <c:v>153.68517054999984</c:v>
                </c:pt>
                <c:pt idx="3">
                  <c:v>-70.111861690000012</c:v>
                </c:pt>
                <c:pt idx="4">
                  <c:v>25.902901549999967</c:v>
                </c:pt>
                <c:pt idx="5">
                  <c:v>14.705249490000028</c:v>
                </c:pt>
                <c:pt idx="6">
                  <c:v>0.72061359999999997</c:v>
                </c:pt>
                <c:pt idx="7">
                  <c:v>0.18391184000000016</c:v>
                </c:pt>
                <c:pt idx="8">
                  <c:v>1.1877308100000001</c:v>
                </c:pt>
                <c:pt idx="9">
                  <c:v>3.3254209100000018</c:v>
                </c:pt>
                <c:pt idx="10">
                  <c:v>-191.45698605999991</c:v>
                </c:pt>
                <c:pt idx="11">
                  <c:v>36.622809659999916</c:v>
                </c:pt>
                <c:pt idx="12">
                  <c:v>61.793845939999869</c:v>
                </c:pt>
                <c:pt idx="13">
                  <c:v>157.46169618999943</c:v>
                </c:pt>
                <c:pt idx="14">
                  <c:v>221.66254591999996</c:v>
                </c:pt>
                <c:pt idx="15">
                  <c:v>2460.40058555</c:v>
                </c:pt>
              </c:numCache>
            </c:numRef>
          </c:val>
          <c:extLst>
            <c:ext xmlns:c16="http://schemas.microsoft.com/office/drawing/2014/chart" uri="{C3380CC4-5D6E-409C-BE32-E72D297353CC}">
              <c16:uniqueId val="{00000000-7498-40FE-9AC0-A193E9B41EFE}"/>
            </c:ext>
          </c:extLst>
        </c:ser>
        <c:ser>
          <c:idx val="1"/>
          <c:order val="1"/>
          <c:tx>
            <c:strRef>
              <c:f>Hoja1!$C$1</c:f>
              <c:strCache>
                <c:ptCount val="1"/>
                <c:pt idx="0">
                  <c:v>2016-Presupuesto</c:v>
                </c:pt>
              </c:strCache>
            </c:strRef>
          </c:tx>
          <c:spPr>
            <a:solidFill>
              <a:srgbClr val="FF0000"/>
            </a:solidFill>
          </c:spPr>
          <c:invertIfNegative val="0"/>
          <c:dLbls>
            <c:spPr>
              <a:noFill/>
              <a:ln>
                <a:noFill/>
              </a:ln>
              <a:effectLst/>
            </c:spPr>
            <c:txPr>
              <a:bodyPr/>
              <a:lstStyle/>
              <a:p>
                <a:pPr>
                  <a:defRPr sz="600" b="1">
                    <a:solidFill>
                      <a:srgbClr val="FF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6"/>
                <c:pt idx="0">
                  <c:v>IVA imp</c:v>
                </c:pt>
                <c:pt idx="1">
                  <c:v>IVA dom</c:v>
                </c:pt>
                <c:pt idx="2">
                  <c:v>ISO</c:v>
                </c:pt>
                <c:pt idx="3">
                  <c:v>Regalías</c:v>
                </c:pt>
                <c:pt idx="4">
                  <c:v>Timbres</c:v>
                </c:pt>
                <c:pt idx="5">
                  <c:v>Salidas</c:v>
                </c:pt>
                <c:pt idx="6">
                  <c:v>IEMA</c:v>
                </c:pt>
                <c:pt idx="7">
                  <c:v>IETAAP</c:v>
                </c:pt>
                <c:pt idx="8">
                  <c:v>Otros</c:v>
                </c:pt>
                <c:pt idx="9">
                  <c:v>Propiedad</c:v>
                </c:pt>
                <c:pt idx="10">
                  <c:v>Cemento</c:v>
                </c:pt>
                <c:pt idx="11">
                  <c:v>Bebidas</c:v>
                </c:pt>
                <c:pt idx="12">
                  <c:v>Vehículos</c:v>
                </c:pt>
                <c:pt idx="13">
                  <c:v>DAI</c:v>
                </c:pt>
                <c:pt idx="14">
                  <c:v>Petróleo</c:v>
                </c:pt>
                <c:pt idx="15">
                  <c:v>ISR</c:v>
                </c:pt>
              </c:strCache>
            </c:strRef>
          </c:cat>
          <c:val>
            <c:numRef>
              <c:f>Hoja1!$C$2:$C$19</c:f>
              <c:numCache>
                <c:formatCode>#,##0.0</c:formatCode>
                <c:ptCount val="16"/>
                <c:pt idx="0">
                  <c:v>-1280.3483643900017</c:v>
                </c:pt>
                <c:pt idx="1">
                  <c:v>-365.66697061000013</c:v>
                </c:pt>
                <c:pt idx="2">
                  <c:v>-51.574820819999786</c:v>
                </c:pt>
                <c:pt idx="3">
                  <c:v>-51.176767267506932</c:v>
                </c:pt>
                <c:pt idx="4">
                  <c:v>-12.281394699999964</c:v>
                </c:pt>
                <c:pt idx="5">
                  <c:v>-4.8643485680779577</c:v>
                </c:pt>
                <c:pt idx="6">
                  <c:v>0.95400381999999995</c:v>
                </c:pt>
                <c:pt idx="7">
                  <c:v>1.31227717</c:v>
                </c:pt>
                <c:pt idx="8">
                  <c:v>1.4539319599999998</c:v>
                </c:pt>
                <c:pt idx="9">
                  <c:v>5.9867094800000036</c:v>
                </c:pt>
                <c:pt idx="10">
                  <c:v>12.029409360000002</c:v>
                </c:pt>
                <c:pt idx="11">
                  <c:v>33.649401539999985</c:v>
                </c:pt>
                <c:pt idx="12">
                  <c:v>52.996031150000022</c:v>
                </c:pt>
                <c:pt idx="13">
                  <c:v>137.17531510999947</c:v>
                </c:pt>
                <c:pt idx="14">
                  <c:v>209.72019176999993</c:v>
                </c:pt>
                <c:pt idx="15">
                  <c:v>822.82440459000281</c:v>
                </c:pt>
              </c:numCache>
            </c:numRef>
          </c:val>
          <c:extLst>
            <c:ext xmlns:c16="http://schemas.microsoft.com/office/drawing/2014/chart" uri="{C3380CC4-5D6E-409C-BE32-E72D297353CC}">
              <c16:uniqueId val="{00000001-7498-40FE-9AC0-A193E9B41EFE}"/>
            </c:ext>
          </c:extLst>
        </c:ser>
        <c:dLbls>
          <c:showLegendKey val="0"/>
          <c:showVal val="0"/>
          <c:showCatName val="0"/>
          <c:showSerName val="0"/>
          <c:showPercent val="0"/>
          <c:showBubbleSize val="0"/>
        </c:dLbls>
        <c:gapWidth val="42"/>
        <c:axId val="24344448"/>
        <c:axId val="24345984"/>
      </c:barChart>
      <c:catAx>
        <c:axId val="24344448"/>
        <c:scaling>
          <c:orientation val="minMax"/>
        </c:scaling>
        <c:delete val="0"/>
        <c:axPos val="l"/>
        <c:majorGridlines>
          <c:spPr>
            <a:ln>
              <a:solidFill>
                <a:srgbClr val="00B0F0">
                  <a:alpha val="30000"/>
                </a:srgbClr>
              </a:solidFill>
              <a:prstDash val="sysDash"/>
            </a:ln>
          </c:spPr>
        </c:majorGridlines>
        <c:numFmt formatCode="General" sourceLinked="0"/>
        <c:majorTickMark val="out"/>
        <c:minorTickMark val="none"/>
        <c:tickLblPos val="low"/>
        <c:spPr>
          <a:ln>
            <a:solidFill>
              <a:srgbClr val="00B0F0"/>
            </a:solidFill>
          </a:ln>
        </c:spPr>
        <c:txPr>
          <a:bodyPr/>
          <a:lstStyle/>
          <a:p>
            <a:pPr>
              <a:defRPr sz="800" b="1"/>
            </a:pPr>
            <a:endParaRPr lang="es-GT"/>
          </a:p>
        </c:txPr>
        <c:crossAx val="24345984"/>
        <c:crosses val="autoZero"/>
        <c:auto val="1"/>
        <c:lblAlgn val="ctr"/>
        <c:lblOffset val="100"/>
        <c:noMultiLvlLbl val="0"/>
      </c:catAx>
      <c:valAx>
        <c:axId val="24345984"/>
        <c:scaling>
          <c:orientation val="minMax"/>
          <c:min val="-2000"/>
        </c:scaling>
        <c:delete val="0"/>
        <c:axPos val="b"/>
        <c:majorGridlines>
          <c:spPr>
            <a:ln>
              <a:solidFill>
                <a:srgbClr val="00B0F0">
                  <a:alpha val="30000"/>
                </a:srgbClr>
              </a:solidFill>
              <a:prstDash val="sysDash"/>
            </a:ln>
          </c:spPr>
        </c:majorGridlines>
        <c:numFmt formatCode="#,##0" sourceLinked="0"/>
        <c:majorTickMark val="out"/>
        <c:minorTickMark val="none"/>
        <c:tickLblPos val="nextTo"/>
        <c:txPr>
          <a:bodyPr/>
          <a:lstStyle/>
          <a:p>
            <a:pPr>
              <a:defRPr sz="800" b="1"/>
            </a:pPr>
            <a:endParaRPr lang="es-GT"/>
          </a:p>
        </c:txPr>
        <c:crossAx val="24344448"/>
        <c:crosses val="autoZero"/>
        <c:crossBetween val="between"/>
      </c:valAx>
    </c:plotArea>
    <c:legend>
      <c:legendPos val="b"/>
      <c:layout>
        <c:manualLayout>
          <c:xMode val="edge"/>
          <c:yMode val="edge"/>
          <c:x val="0.68581195434616271"/>
          <c:y val="0.45040972931818635"/>
          <c:w val="0.30820037297969333"/>
          <c:h val="9.3220626833410536E-2"/>
        </c:manualLayout>
      </c:layout>
      <c:overlay val="0"/>
      <c:txPr>
        <a:bodyPr/>
        <a:lstStyle/>
        <a:p>
          <a:pPr>
            <a:defRPr sz="800" b="1"/>
          </a:pPr>
          <a:endParaRPr lang="es-GT"/>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600246002460024E-2"/>
          <c:y val="3.5650623885918005E-2"/>
          <c:w val="0.93603936039360391"/>
          <c:h val="0.86054056576261295"/>
        </c:manualLayout>
      </c:layout>
      <c:lineChart>
        <c:grouping val="standard"/>
        <c:varyColors val="0"/>
        <c:ser>
          <c:idx val="0"/>
          <c:order val="0"/>
          <c:tx>
            <c:strRef>
              <c:f>Hoja1!$B$1</c:f>
              <c:strCache>
                <c:ptCount val="1"/>
                <c:pt idx="0">
                  <c:v>Obs-2016</c:v>
                </c:pt>
              </c:strCache>
            </c:strRef>
          </c:tx>
          <c:dLbls>
            <c:dLbl>
              <c:idx val="7"/>
              <c:layout>
                <c:manualLayout>
                  <c:x val="-8.1879265812587018E-2"/>
                  <c:y val="4.8423718818634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8A-4B92-820D-C1DA57F5CCA3}"/>
                </c:ext>
              </c:extLst>
            </c:dLbl>
            <c:dLbl>
              <c:idx val="8"/>
              <c:layout>
                <c:manualLayout>
                  <c:x val="-6.8040516661163855E-2"/>
                  <c:y val="-4.28461176981635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8A-4B92-820D-C1DA57F5CCA3}"/>
                </c:ext>
              </c:extLst>
            </c:dLbl>
            <c:dLbl>
              <c:idx val="9"/>
              <c:layout>
                <c:manualLayout>
                  <c:x val="-8.1879265812587018E-2"/>
                  <c:y val="5.8564811764945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8A-4B92-820D-C1DA57F5CCA3}"/>
                </c:ext>
              </c:extLst>
            </c:dLbl>
            <c:numFmt formatCode="0.0%" sourceLinked="0"/>
            <c:spPr>
              <a:noFill/>
              <a:ln>
                <a:noFill/>
              </a:ln>
              <a:effectLst/>
            </c:spPr>
            <c:txPr>
              <a:bodyPr/>
              <a:lstStyle/>
              <a:p>
                <a:pPr>
                  <a:defRPr sz="600" b="1">
                    <a:solidFill>
                      <a:srgbClr val="0070C0"/>
                    </a:solidFill>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Ene</c:v>
                </c:pt>
                <c:pt idx="1">
                  <c:v>Feb</c:v>
                </c:pt>
                <c:pt idx="2">
                  <c:v>Mar</c:v>
                </c:pt>
                <c:pt idx="3">
                  <c:v>Abr</c:v>
                </c:pt>
                <c:pt idx="4">
                  <c:v>May</c:v>
                </c:pt>
                <c:pt idx="5">
                  <c:v>Jun</c:v>
                </c:pt>
                <c:pt idx="6">
                  <c:v>Jul</c:v>
                </c:pt>
                <c:pt idx="7">
                  <c:v>Ago</c:v>
                </c:pt>
                <c:pt idx="8">
                  <c:v>Sep</c:v>
                </c:pt>
                <c:pt idx="9">
                  <c:v>Oct</c:v>
                </c:pt>
                <c:pt idx="10">
                  <c:v>Nov</c:v>
                </c:pt>
              </c:strCache>
            </c:strRef>
          </c:cat>
          <c:val>
            <c:numRef>
              <c:f>Hoja1!$B$2:$B$12</c:f>
              <c:numCache>
                <c:formatCode>0.0%</c:formatCode>
                <c:ptCount val="11"/>
                <c:pt idx="0">
                  <c:v>2.597414359755601E-2</c:v>
                </c:pt>
                <c:pt idx="1">
                  <c:v>-4.4987491310084504E-2</c:v>
                </c:pt>
                <c:pt idx="2">
                  <c:v>1.8696642978055511E-3</c:v>
                </c:pt>
                <c:pt idx="3">
                  <c:v>1.2480307838625304E-2</c:v>
                </c:pt>
                <c:pt idx="4">
                  <c:v>0.1193746432931877</c:v>
                </c:pt>
                <c:pt idx="5">
                  <c:v>0.13155045891703909</c:v>
                </c:pt>
                <c:pt idx="6">
                  <c:v>0.17582026947811569</c:v>
                </c:pt>
                <c:pt idx="7">
                  <c:v>0.19391221947495341</c:v>
                </c:pt>
                <c:pt idx="8">
                  <c:v>0.18803071505378521</c:v>
                </c:pt>
                <c:pt idx="9">
                  <c:v>0.18696976415367761</c:v>
                </c:pt>
                <c:pt idx="10">
                  <c:v>0.193</c:v>
                </c:pt>
              </c:numCache>
            </c:numRef>
          </c:val>
          <c:smooth val="0"/>
          <c:extLst>
            <c:ext xmlns:c16="http://schemas.microsoft.com/office/drawing/2014/chart" uri="{C3380CC4-5D6E-409C-BE32-E72D297353CC}">
              <c16:uniqueId val="{00000003-418A-4B92-820D-C1DA57F5CCA3}"/>
            </c:ext>
          </c:extLst>
        </c:ser>
        <c:dLbls>
          <c:showLegendKey val="0"/>
          <c:showVal val="0"/>
          <c:showCatName val="0"/>
          <c:showSerName val="0"/>
          <c:showPercent val="0"/>
          <c:showBubbleSize val="0"/>
        </c:dLbls>
        <c:marker val="1"/>
        <c:smooth val="0"/>
        <c:axId val="24354176"/>
        <c:axId val="37205120"/>
      </c:lineChart>
      <c:catAx>
        <c:axId val="24354176"/>
        <c:scaling>
          <c:orientation val="minMax"/>
        </c:scaling>
        <c:delete val="0"/>
        <c:axPos val="b"/>
        <c:numFmt formatCode="General" sourceLinked="0"/>
        <c:majorTickMark val="out"/>
        <c:minorTickMark val="none"/>
        <c:tickLblPos val="low"/>
        <c:txPr>
          <a:bodyPr/>
          <a:lstStyle/>
          <a:p>
            <a:pPr>
              <a:defRPr sz="700" b="1"/>
            </a:pPr>
            <a:endParaRPr lang="es-GT"/>
          </a:p>
        </c:txPr>
        <c:crossAx val="37205120"/>
        <c:crosses val="autoZero"/>
        <c:auto val="1"/>
        <c:lblAlgn val="ctr"/>
        <c:lblOffset val="100"/>
        <c:noMultiLvlLbl val="0"/>
      </c:catAx>
      <c:valAx>
        <c:axId val="37205120"/>
        <c:scaling>
          <c:orientation val="minMax"/>
        </c:scaling>
        <c:delete val="1"/>
        <c:axPos val="l"/>
        <c:numFmt formatCode="0.0%" sourceLinked="1"/>
        <c:majorTickMark val="out"/>
        <c:minorTickMark val="none"/>
        <c:tickLblPos val="nextTo"/>
        <c:crossAx val="24354176"/>
        <c:crosses val="autoZero"/>
        <c:crossBetween val="between"/>
      </c:valAx>
    </c:plotArea>
    <c:legend>
      <c:legendPos val="b"/>
      <c:layout>
        <c:manualLayout>
          <c:xMode val="edge"/>
          <c:yMode val="edge"/>
          <c:x val="0.17976332543207188"/>
          <c:y val="0.81781503547797973"/>
          <c:w val="0.73334423162502616"/>
          <c:h val="7.4885981457640985E-2"/>
        </c:manualLayout>
      </c:layout>
      <c:overlay val="0"/>
      <c:txPr>
        <a:bodyPr/>
        <a:lstStyle/>
        <a:p>
          <a:pPr>
            <a:defRPr sz="800" b="1"/>
          </a:pPr>
          <a:endParaRPr lang="es-GT"/>
        </a:p>
      </c:txPr>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C58C-E3B7-4A3C-910E-9A30B1E7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2288</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2</cp:revision>
  <dcterms:created xsi:type="dcterms:W3CDTF">2018-05-15T15:03:00Z</dcterms:created>
  <dcterms:modified xsi:type="dcterms:W3CDTF">2018-05-15T15:03:00Z</dcterms:modified>
</cp:coreProperties>
</file>