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B8" w:rsidRDefault="004636B8" w:rsidP="00052EE7">
      <w:pPr>
        <w:pStyle w:val="Sinespaciado"/>
        <w:rPr>
          <w:rFonts w:ascii="Times New Roman" w:hAnsi="Times New Roman" w:cs="Times New Roman"/>
          <w:b/>
          <w:color w:val="FF0000"/>
          <w:sz w:val="16"/>
        </w:rPr>
      </w:pPr>
    </w:p>
    <w:p w:rsidR="004636B8" w:rsidRDefault="004636B8" w:rsidP="004636B8">
      <w:pPr>
        <w:jc w:val="center"/>
        <w:rPr>
          <w:rFonts w:ascii="Times New Roman" w:hAnsi="Times New Roman" w:cs="Times New Roman"/>
          <w:b/>
          <w:sz w:val="48"/>
        </w:rPr>
      </w:pPr>
    </w:p>
    <w:p w:rsidR="004636B8" w:rsidRDefault="004636B8" w:rsidP="004636B8">
      <w:pPr>
        <w:jc w:val="center"/>
        <w:rPr>
          <w:rFonts w:ascii="Times New Roman" w:hAnsi="Times New Roman" w:cs="Times New Roman"/>
          <w:b/>
          <w:sz w:val="48"/>
        </w:rPr>
      </w:pPr>
    </w:p>
    <w:p w:rsidR="004636B8" w:rsidRDefault="004636B8" w:rsidP="004636B8">
      <w:pPr>
        <w:jc w:val="center"/>
        <w:rPr>
          <w:rFonts w:ascii="Times New Roman" w:hAnsi="Times New Roman" w:cs="Times New Roman"/>
          <w:b/>
          <w:sz w:val="48"/>
        </w:rPr>
      </w:pPr>
    </w:p>
    <w:p w:rsidR="004636B8" w:rsidRDefault="004636B8" w:rsidP="004636B8">
      <w:pPr>
        <w:jc w:val="center"/>
        <w:rPr>
          <w:rFonts w:ascii="Times New Roman" w:hAnsi="Times New Roman" w:cs="Times New Roman"/>
          <w:b/>
          <w:sz w:val="48"/>
        </w:rPr>
      </w:pPr>
      <w:bookmarkStart w:id="0" w:name="_GoBack"/>
      <w:bookmarkEnd w:id="0"/>
    </w:p>
    <w:p w:rsidR="004636B8" w:rsidRDefault="004636B8" w:rsidP="004636B8">
      <w:pPr>
        <w:jc w:val="center"/>
        <w:rPr>
          <w:rFonts w:ascii="Times New Roman" w:hAnsi="Times New Roman" w:cs="Times New Roman"/>
          <w:b/>
          <w:sz w:val="48"/>
        </w:rPr>
      </w:pPr>
    </w:p>
    <w:p w:rsidR="004636B8" w:rsidRDefault="004636B8" w:rsidP="004636B8">
      <w:pPr>
        <w:jc w:val="center"/>
        <w:rPr>
          <w:rFonts w:ascii="Times New Roman" w:hAnsi="Times New Roman" w:cs="Times New Roman"/>
          <w:b/>
          <w:sz w:val="48"/>
        </w:rPr>
      </w:pPr>
    </w:p>
    <w:p w:rsidR="004636B8" w:rsidRDefault="004636B8" w:rsidP="004636B8">
      <w:pPr>
        <w:jc w:val="center"/>
        <w:rPr>
          <w:rFonts w:ascii="Times New Roman" w:hAnsi="Times New Roman" w:cs="Times New Roman"/>
          <w:b/>
          <w:sz w:val="48"/>
        </w:rPr>
      </w:pPr>
    </w:p>
    <w:p w:rsidR="004636B8" w:rsidRPr="004636B8" w:rsidRDefault="004636B8" w:rsidP="004636B8">
      <w:pPr>
        <w:jc w:val="center"/>
        <w:rPr>
          <w:rFonts w:ascii="Times New Roman" w:hAnsi="Times New Roman" w:cs="Times New Roman"/>
          <w:b/>
          <w:sz w:val="48"/>
        </w:rPr>
      </w:pPr>
      <w:r w:rsidRPr="004636B8">
        <w:rPr>
          <w:rFonts w:ascii="Times New Roman" w:hAnsi="Times New Roman" w:cs="Times New Roman"/>
          <w:b/>
          <w:sz w:val="48"/>
        </w:rPr>
        <w:t>Informe mensual de las Finanzas Públicas</w:t>
      </w:r>
    </w:p>
    <w:p w:rsidR="004636B8" w:rsidRDefault="004636B8" w:rsidP="004636B8">
      <w:pPr>
        <w:jc w:val="center"/>
        <w:rPr>
          <w:rFonts w:ascii="Times New Roman" w:hAnsi="Times New Roman" w:cs="Times New Roman"/>
          <w:b/>
          <w:color w:val="FF0000"/>
          <w:sz w:val="16"/>
        </w:rPr>
      </w:pPr>
      <w:r w:rsidRPr="004636B8">
        <w:rPr>
          <w:rFonts w:ascii="Times New Roman" w:hAnsi="Times New Roman" w:cs="Times New Roman"/>
          <w:b/>
          <w:sz w:val="48"/>
        </w:rPr>
        <w:t>Marzo 2015</w:t>
      </w:r>
      <w:r>
        <w:rPr>
          <w:rFonts w:ascii="Times New Roman" w:hAnsi="Times New Roman" w:cs="Times New Roman"/>
          <w:b/>
          <w:color w:val="FF0000"/>
          <w:sz w:val="16"/>
        </w:rPr>
        <w:br w:type="page"/>
      </w:r>
    </w:p>
    <w:p w:rsidR="00052EE7" w:rsidRPr="00220476" w:rsidRDefault="00052EE7" w:rsidP="00052EE7">
      <w:pPr>
        <w:pStyle w:val="Sinespaciado"/>
        <w:rPr>
          <w:rFonts w:ascii="Times New Roman" w:hAnsi="Times New Roman" w:cs="Times New Roman"/>
          <w:b/>
          <w:color w:val="FF0000"/>
          <w:sz w:val="16"/>
        </w:rPr>
      </w:pPr>
    </w:p>
    <w:p w:rsidR="00052EE7" w:rsidRPr="00220476" w:rsidRDefault="00220476" w:rsidP="00052EE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color w:val="FF0000"/>
          <w:lang w:val="es-MX"/>
        </w:rPr>
        <w:sectPr w:rsidR="00052EE7" w:rsidRPr="00220476" w:rsidSect="00BD010A">
          <w:headerReference w:type="default" r:id="rId8"/>
          <w:footerReference w:type="default" r:id="rId9"/>
          <w:type w:val="continuous"/>
          <w:pgSz w:w="12240" w:h="15840"/>
          <w:pgMar w:top="1417" w:right="1701" w:bottom="1417" w:left="1701" w:header="708" w:footer="708" w:gutter="0"/>
          <w:cols w:space="708"/>
          <w:docGrid w:linePitch="360"/>
        </w:sectPr>
      </w:pPr>
      <w:r w:rsidRPr="00220476">
        <w:rPr>
          <w:rFonts w:ascii="Times New Roman" w:hAnsi="Times New Roman" w:cs="Times New Roman"/>
          <w:b/>
          <w:lang w:val="es-MX"/>
        </w:rPr>
        <w:t xml:space="preserve">Brecha </w:t>
      </w:r>
      <w:r w:rsidR="00052EE7" w:rsidRPr="00220476">
        <w:rPr>
          <w:rFonts w:ascii="Times New Roman" w:hAnsi="Times New Roman" w:cs="Times New Roman"/>
          <w:b/>
          <w:lang w:val="es-MX"/>
        </w:rPr>
        <w:t>e</w:t>
      </w:r>
      <w:r w:rsidRPr="00220476">
        <w:rPr>
          <w:rFonts w:ascii="Times New Roman" w:hAnsi="Times New Roman" w:cs="Times New Roman"/>
          <w:b/>
          <w:lang w:val="es-MX"/>
        </w:rPr>
        <w:t>n</w:t>
      </w:r>
      <w:r w:rsidR="00052EE7" w:rsidRPr="00220476">
        <w:rPr>
          <w:rFonts w:ascii="Times New Roman" w:hAnsi="Times New Roman" w:cs="Times New Roman"/>
          <w:b/>
          <w:lang w:val="es-MX"/>
        </w:rPr>
        <w:t xml:space="preserve"> recaudación </w:t>
      </w:r>
      <w:r w:rsidRPr="00220476">
        <w:rPr>
          <w:rFonts w:ascii="Times New Roman" w:hAnsi="Times New Roman" w:cs="Times New Roman"/>
          <w:b/>
          <w:lang w:val="es-MX"/>
        </w:rPr>
        <w:t>tributaria</w:t>
      </w:r>
      <w:r w:rsidR="00052EE7" w:rsidRPr="00220476">
        <w:rPr>
          <w:rFonts w:ascii="Times New Roman" w:hAnsi="Times New Roman" w:cs="Times New Roman"/>
          <w:b/>
          <w:color w:val="FF0000"/>
          <w:lang w:val="es-MX"/>
        </w:rPr>
        <w:t xml:space="preserve"> </w:t>
      </w:r>
    </w:p>
    <w:p w:rsidR="00052EE7" w:rsidRPr="00B552C4" w:rsidRDefault="00052EE7" w:rsidP="00052EE7">
      <w:pPr>
        <w:spacing w:after="0" w:line="240" w:lineRule="auto"/>
        <w:jc w:val="both"/>
        <w:rPr>
          <w:rFonts w:ascii="Times New Roman" w:hAnsi="Times New Roman" w:cs="Times New Roman"/>
          <w:color w:val="FF0000"/>
          <w:sz w:val="20"/>
          <w:lang w:val="es-MX"/>
        </w:rPr>
      </w:pPr>
    </w:p>
    <w:p w:rsidR="00052EE7" w:rsidRPr="00B552C4" w:rsidRDefault="00052EE7" w:rsidP="00052EE7">
      <w:pPr>
        <w:spacing w:after="0" w:line="240" w:lineRule="auto"/>
        <w:jc w:val="both"/>
        <w:rPr>
          <w:rFonts w:ascii="Times New Roman" w:hAnsi="Times New Roman" w:cs="Times New Roman"/>
          <w:color w:val="FF0000"/>
          <w:sz w:val="20"/>
          <w:lang w:val="es-MX"/>
        </w:rPr>
        <w:sectPr w:rsidR="00052EE7" w:rsidRPr="00B552C4" w:rsidSect="00D90C85">
          <w:type w:val="continuous"/>
          <w:pgSz w:w="12240" w:h="15840"/>
          <w:pgMar w:top="1417" w:right="1701" w:bottom="1417" w:left="1701" w:header="708" w:footer="708" w:gutter="0"/>
          <w:cols w:space="708"/>
          <w:docGrid w:linePitch="360"/>
        </w:sectPr>
      </w:pPr>
    </w:p>
    <w:p w:rsidR="00220476" w:rsidRPr="00B552C4" w:rsidRDefault="00220476" w:rsidP="00F84ADD">
      <w:pPr>
        <w:spacing w:after="0" w:line="240" w:lineRule="auto"/>
        <w:jc w:val="both"/>
        <w:rPr>
          <w:rFonts w:ascii="Times New Roman" w:hAnsi="Times New Roman" w:cs="Times New Roman"/>
          <w:szCs w:val="24"/>
          <w:lang w:val="es-MX"/>
        </w:rPr>
      </w:pPr>
      <w:r w:rsidRPr="00B552C4">
        <w:rPr>
          <w:rFonts w:ascii="Times New Roman" w:hAnsi="Times New Roman" w:cs="Times New Roman"/>
          <w:szCs w:val="24"/>
          <w:lang w:val="es-MX"/>
        </w:rPr>
        <w:lastRenderedPageBreak/>
        <w:t xml:space="preserve">Cifras preliminares de recaudación al 31 de marzo (Q 12,330.2 millones) </w:t>
      </w:r>
      <w:r w:rsidR="00D5389F">
        <w:rPr>
          <w:rFonts w:ascii="Times New Roman" w:hAnsi="Times New Roman" w:cs="Times New Roman"/>
          <w:szCs w:val="24"/>
          <w:lang w:val="es-MX"/>
        </w:rPr>
        <w:t>registran un crecimiento de 3.4% (Q 404.7 millones) respecto al año anterior el cual está explicado por el rendimiento positivo observado en el Impuesto de solidaridad, el IVA total y los derivados del petróleo, con relación a la meta de presupuesto es preciso indicar que se tiene una brecha negativa de</w:t>
      </w:r>
      <w:r w:rsidRPr="00B552C4">
        <w:rPr>
          <w:rFonts w:ascii="Times New Roman" w:hAnsi="Times New Roman" w:cs="Times New Roman"/>
          <w:szCs w:val="24"/>
          <w:lang w:val="es-MX"/>
        </w:rPr>
        <w:t xml:space="preserve"> Q 588.8 millones</w:t>
      </w:r>
      <w:r w:rsidR="00D5389F">
        <w:rPr>
          <w:rFonts w:ascii="Times New Roman" w:hAnsi="Times New Roman" w:cs="Times New Roman"/>
          <w:szCs w:val="24"/>
          <w:lang w:val="es-MX"/>
        </w:rPr>
        <w:t xml:space="preserve"> de los cuales Q 237.2 millones corresponden al impuesto a la telefonía, </w:t>
      </w:r>
      <w:r w:rsidR="00D5389F" w:rsidRPr="00D5389F">
        <w:rPr>
          <w:rFonts w:ascii="Times New Roman" w:hAnsi="Times New Roman" w:cs="Times New Roman"/>
          <w:i/>
          <w:szCs w:val="24"/>
          <w:lang w:val="es-MX"/>
        </w:rPr>
        <w:t>(continúa suspendido de manera temporal por la Corte de Constitucionalidad)</w:t>
      </w:r>
      <w:r w:rsidR="00D5389F">
        <w:rPr>
          <w:rFonts w:ascii="Times New Roman" w:hAnsi="Times New Roman" w:cs="Times New Roman"/>
          <w:szCs w:val="24"/>
          <w:lang w:val="es-MX"/>
        </w:rPr>
        <w:t xml:space="preserve"> </w:t>
      </w:r>
      <w:r w:rsidR="00D5389F" w:rsidRPr="00D5389F">
        <w:rPr>
          <w:rFonts w:ascii="Times New Roman" w:hAnsi="Times New Roman" w:cs="Times New Roman"/>
          <w:szCs w:val="24"/>
          <w:lang w:val="es-MX"/>
        </w:rPr>
        <w:t xml:space="preserve">y </w:t>
      </w:r>
      <w:r w:rsidRPr="00D5389F">
        <w:rPr>
          <w:rFonts w:ascii="Times New Roman" w:hAnsi="Times New Roman" w:cs="Times New Roman"/>
          <w:szCs w:val="24"/>
          <w:lang w:val="es-MX"/>
        </w:rPr>
        <w:t xml:space="preserve">Q 238.9 millones por concepto de otros impuestos directos e indirectos, </w:t>
      </w:r>
      <w:r w:rsidR="00D5389F" w:rsidRPr="00D5389F">
        <w:rPr>
          <w:rFonts w:ascii="Times New Roman" w:hAnsi="Times New Roman" w:cs="Times New Roman"/>
          <w:szCs w:val="24"/>
          <w:lang w:val="es-MX"/>
        </w:rPr>
        <w:t xml:space="preserve">al descontar </w:t>
      </w:r>
      <w:r w:rsidRPr="00D5389F">
        <w:rPr>
          <w:rFonts w:ascii="Times New Roman" w:hAnsi="Times New Roman" w:cs="Times New Roman"/>
          <w:szCs w:val="24"/>
          <w:lang w:val="es-MX"/>
        </w:rPr>
        <w:t>estos rubros a la meta, la bre</w:t>
      </w:r>
      <w:r w:rsidR="00D5389F" w:rsidRPr="00D5389F">
        <w:rPr>
          <w:rFonts w:ascii="Times New Roman" w:hAnsi="Times New Roman" w:cs="Times New Roman"/>
          <w:szCs w:val="24"/>
          <w:lang w:val="es-MX"/>
        </w:rPr>
        <w:t>cha negativa que se genera es menor (</w:t>
      </w:r>
      <w:r w:rsidRPr="00D5389F">
        <w:rPr>
          <w:rFonts w:ascii="Times New Roman" w:hAnsi="Times New Roman" w:cs="Times New Roman"/>
          <w:szCs w:val="24"/>
          <w:lang w:val="es-MX"/>
        </w:rPr>
        <w:t xml:space="preserve">Q 112.7 millones ), </w:t>
      </w:r>
      <w:r w:rsidR="00D5389F">
        <w:rPr>
          <w:rFonts w:ascii="Times New Roman" w:hAnsi="Times New Roman" w:cs="Times New Roman"/>
          <w:szCs w:val="24"/>
          <w:lang w:val="es-MX"/>
        </w:rPr>
        <w:t xml:space="preserve">y se explica por rendimientos negativos que se observaron en algunos </w:t>
      </w:r>
      <w:r w:rsidR="00D5389F">
        <w:rPr>
          <w:rFonts w:ascii="Times New Roman" w:hAnsi="Times New Roman" w:cs="Times New Roman"/>
          <w:szCs w:val="24"/>
          <w:lang w:val="es-MX"/>
        </w:rPr>
        <w:lastRenderedPageBreak/>
        <w:t>impuestos como el Impuesto a la renta y el Impuesto al valor agregado los cuales en conjunto explican el 75.8% de la recaudación observada.</w:t>
      </w:r>
    </w:p>
    <w:p w:rsidR="00220476" w:rsidRPr="00B552C4" w:rsidRDefault="00220476" w:rsidP="007B6097">
      <w:pPr>
        <w:spacing w:after="0" w:line="240" w:lineRule="auto"/>
        <w:jc w:val="both"/>
        <w:rPr>
          <w:rFonts w:ascii="Times New Roman" w:hAnsi="Times New Roman" w:cs="Times New Roman"/>
          <w:szCs w:val="24"/>
          <w:lang w:val="es-MX"/>
        </w:rPr>
      </w:pPr>
    </w:p>
    <w:p w:rsidR="00220476" w:rsidRPr="00B552C4" w:rsidRDefault="00220476" w:rsidP="00F84ADD">
      <w:pPr>
        <w:spacing w:after="0" w:line="240" w:lineRule="auto"/>
        <w:jc w:val="both"/>
        <w:rPr>
          <w:rFonts w:ascii="Times New Roman" w:hAnsi="Times New Roman" w:cs="Times New Roman"/>
          <w:szCs w:val="24"/>
          <w:lang w:val="es-MX"/>
        </w:rPr>
      </w:pPr>
      <w:r w:rsidRPr="00B552C4">
        <w:rPr>
          <w:rFonts w:ascii="Times New Roman" w:hAnsi="Times New Roman" w:cs="Times New Roman"/>
          <w:szCs w:val="24"/>
          <w:lang w:val="es-MX"/>
        </w:rPr>
        <w:t>Factores positivos a destacar son el desempeño de impuestos asociados a los productos industriales (derivados del petróleo, bebidas, tabacos y cemento) los cual</w:t>
      </w:r>
      <w:r w:rsidR="00D5389F">
        <w:rPr>
          <w:rFonts w:ascii="Times New Roman" w:hAnsi="Times New Roman" w:cs="Times New Roman"/>
          <w:szCs w:val="24"/>
          <w:lang w:val="es-MX"/>
        </w:rPr>
        <w:t xml:space="preserve">es presentan un crecimiento de 20.7%  (Q 176.3 millones) respecto al año anterior, con relación a la meta de presupuesto se observa un crecimiento </w:t>
      </w:r>
      <w:r w:rsidR="00CC7672">
        <w:rPr>
          <w:rFonts w:ascii="Times New Roman" w:hAnsi="Times New Roman" w:cs="Times New Roman"/>
          <w:szCs w:val="24"/>
          <w:lang w:val="es-MX"/>
        </w:rPr>
        <w:t>de 5.6% (Q 54 millones) el cual está influenciado principalmente</w:t>
      </w:r>
      <w:r w:rsidRPr="00B552C4">
        <w:rPr>
          <w:rFonts w:ascii="Times New Roman" w:hAnsi="Times New Roman" w:cs="Times New Roman"/>
          <w:szCs w:val="24"/>
          <w:lang w:val="es-MX"/>
        </w:rPr>
        <w:t xml:space="preserve"> por el impuesto a los derivados del petróleo y el impuesto al saco de cemento el cual modifico su tasa pasando de Q 1.50 por saco de cemento de 42 kg a Q 5.0</w:t>
      </w:r>
      <w:r w:rsidR="00F84ADD" w:rsidRPr="00B552C4">
        <w:rPr>
          <w:rFonts w:ascii="Times New Roman" w:hAnsi="Times New Roman" w:cs="Times New Roman"/>
          <w:szCs w:val="24"/>
          <w:lang w:val="es-MX"/>
        </w:rPr>
        <w:t>.</w:t>
      </w:r>
    </w:p>
    <w:p w:rsidR="00220476" w:rsidRPr="00B552C4" w:rsidRDefault="00220476" w:rsidP="00F84ADD">
      <w:pPr>
        <w:spacing w:after="0" w:line="240" w:lineRule="auto"/>
        <w:jc w:val="both"/>
        <w:rPr>
          <w:rFonts w:ascii="Times New Roman" w:hAnsi="Times New Roman" w:cs="Times New Roman"/>
          <w:szCs w:val="24"/>
          <w:lang w:val="es-MX"/>
        </w:rPr>
      </w:pPr>
    </w:p>
    <w:p w:rsidR="00220476" w:rsidRPr="00B552C4" w:rsidRDefault="00220476" w:rsidP="00F84ADD">
      <w:pPr>
        <w:spacing w:after="0" w:line="240" w:lineRule="auto"/>
        <w:jc w:val="both"/>
        <w:rPr>
          <w:rFonts w:ascii="Times New Roman" w:hAnsi="Times New Roman" w:cs="Times New Roman"/>
          <w:szCs w:val="24"/>
          <w:lang w:val="es-MX"/>
        </w:rPr>
        <w:sectPr w:rsidR="00220476" w:rsidRPr="00B552C4" w:rsidSect="002820A9">
          <w:type w:val="continuous"/>
          <w:pgSz w:w="12240" w:h="15840"/>
          <w:pgMar w:top="1417" w:right="1701" w:bottom="1417" w:left="1701" w:header="708" w:footer="708" w:gutter="0"/>
          <w:cols w:num="2" w:space="708"/>
          <w:docGrid w:linePitch="360"/>
        </w:sectPr>
      </w:pPr>
    </w:p>
    <w:p w:rsidR="00220476" w:rsidRDefault="00220476" w:rsidP="00F84ADD">
      <w:pPr>
        <w:spacing w:after="0" w:line="240" w:lineRule="auto"/>
        <w:jc w:val="both"/>
        <w:rPr>
          <w:rFonts w:ascii="Times New Roman" w:hAnsi="Times New Roman" w:cs="Times New Roman"/>
          <w:sz w:val="24"/>
          <w:szCs w:val="24"/>
          <w:lang w:val="es-MX"/>
        </w:rPr>
      </w:pPr>
    </w:p>
    <w:p w:rsidR="00220476" w:rsidRDefault="00220476" w:rsidP="00F84ADD">
      <w:pPr>
        <w:spacing w:after="0" w:line="240" w:lineRule="auto"/>
        <w:jc w:val="center"/>
        <w:rPr>
          <w:rFonts w:ascii="Times New Roman" w:hAnsi="Times New Roman" w:cs="Times New Roman"/>
          <w:sz w:val="24"/>
          <w:szCs w:val="24"/>
          <w:lang w:val="es-MX"/>
        </w:rPr>
        <w:sectPr w:rsidR="00220476" w:rsidSect="00052EE7">
          <w:headerReference w:type="default" r:id="rId10"/>
          <w:footerReference w:type="default" r:id="rId11"/>
          <w:type w:val="continuous"/>
          <w:pgSz w:w="12240" w:h="15840"/>
          <w:pgMar w:top="1417" w:right="1701" w:bottom="1417" w:left="1701" w:header="708" w:footer="708" w:gutter="0"/>
          <w:cols w:num="2" w:space="708"/>
          <w:docGrid w:linePitch="360"/>
        </w:sectPr>
      </w:pPr>
    </w:p>
    <w:p w:rsidR="00220476" w:rsidRDefault="00220476" w:rsidP="00F84ADD">
      <w:pPr>
        <w:spacing w:after="0" w:line="240" w:lineRule="auto"/>
        <w:jc w:val="center"/>
        <w:rPr>
          <w:rFonts w:ascii="Times New Roman" w:hAnsi="Times New Roman" w:cs="Times New Roman"/>
          <w:sz w:val="24"/>
          <w:szCs w:val="24"/>
          <w:lang w:val="es-MX"/>
        </w:rPr>
        <w:sectPr w:rsidR="00220476" w:rsidSect="00220476">
          <w:type w:val="continuous"/>
          <w:pgSz w:w="12240" w:h="15840"/>
          <w:pgMar w:top="1417" w:right="1701" w:bottom="1417" w:left="1701" w:header="708" w:footer="708" w:gutter="0"/>
          <w:cols w:space="708"/>
          <w:docGrid w:linePitch="360"/>
        </w:sectPr>
      </w:pPr>
    </w:p>
    <w:p w:rsidR="006C50E5" w:rsidRPr="006C50E5" w:rsidRDefault="006C50E5" w:rsidP="006C50E5">
      <w:pPr>
        <w:spacing w:after="0" w:line="240" w:lineRule="auto"/>
        <w:ind w:firstLine="708"/>
        <w:jc w:val="center"/>
        <w:rPr>
          <w:rFonts w:ascii="Times New Roman" w:hAnsi="Times New Roman" w:cs="Times New Roman"/>
          <w:b/>
          <w:szCs w:val="24"/>
          <w:lang w:val="es-MX"/>
        </w:rPr>
      </w:pPr>
      <w:r w:rsidRPr="006C50E5">
        <w:rPr>
          <w:rFonts w:ascii="Times New Roman" w:hAnsi="Times New Roman" w:cs="Times New Roman"/>
          <w:b/>
          <w:szCs w:val="24"/>
          <w:lang w:val="es-MX"/>
        </w:rPr>
        <w:lastRenderedPageBreak/>
        <w:t>Ingresos Tributarios Netos al 31 de marzo de 2015</w:t>
      </w:r>
    </w:p>
    <w:p w:rsidR="006C50E5" w:rsidRPr="006C50E5" w:rsidRDefault="006C50E5" w:rsidP="006C50E5">
      <w:pPr>
        <w:spacing w:after="0" w:line="240" w:lineRule="auto"/>
        <w:ind w:firstLine="708"/>
        <w:jc w:val="center"/>
        <w:rPr>
          <w:rFonts w:ascii="Times New Roman" w:hAnsi="Times New Roman" w:cs="Times New Roman"/>
          <w:sz w:val="18"/>
          <w:szCs w:val="24"/>
          <w:lang w:val="es-MX"/>
        </w:rPr>
      </w:pPr>
      <w:r w:rsidRPr="006C50E5">
        <w:drawing>
          <wp:anchor distT="0" distB="0" distL="114300" distR="114300" simplePos="0" relativeHeight="251658240" behindDoc="0" locked="0" layoutInCell="1" allowOverlap="1" wp14:anchorId="370B103A" wp14:editId="3E7A4BA0">
            <wp:simplePos x="0" y="0"/>
            <wp:positionH relativeFrom="column">
              <wp:posOffset>-127635</wp:posOffset>
            </wp:positionH>
            <wp:positionV relativeFrom="paragraph">
              <wp:posOffset>135255</wp:posOffset>
            </wp:positionV>
            <wp:extent cx="5770880" cy="3390900"/>
            <wp:effectExtent l="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88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0E5">
        <w:rPr>
          <w:rFonts w:ascii="Times New Roman" w:hAnsi="Times New Roman" w:cs="Times New Roman"/>
          <w:sz w:val="18"/>
          <w:szCs w:val="24"/>
          <w:lang w:val="es-MX"/>
        </w:rPr>
        <w:t>Millones de Quetzales y Porcentajes</w:t>
      </w:r>
    </w:p>
    <w:p w:rsidR="00220476" w:rsidRDefault="00220476" w:rsidP="006C50E5">
      <w:pPr>
        <w:spacing w:after="0" w:line="240" w:lineRule="auto"/>
        <w:ind w:firstLine="708"/>
        <w:rPr>
          <w:rFonts w:ascii="Times New Roman" w:hAnsi="Times New Roman" w:cs="Times New Roman"/>
          <w:sz w:val="16"/>
          <w:szCs w:val="24"/>
          <w:lang w:val="es-MX"/>
        </w:rPr>
      </w:pPr>
      <w:r w:rsidRPr="00220476">
        <w:rPr>
          <w:rFonts w:ascii="Times New Roman" w:hAnsi="Times New Roman" w:cs="Times New Roman"/>
          <w:sz w:val="16"/>
          <w:szCs w:val="24"/>
          <w:lang w:val="es-MX"/>
        </w:rPr>
        <w:t>Fuente: Dirección de Análisis y Política Fiscal.</w:t>
      </w:r>
    </w:p>
    <w:p w:rsidR="004636B8" w:rsidRDefault="004636B8" w:rsidP="00220476">
      <w:pPr>
        <w:spacing w:after="0" w:line="240" w:lineRule="auto"/>
        <w:ind w:firstLine="708"/>
        <w:jc w:val="both"/>
        <w:rPr>
          <w:rFonts w:ascii="Times New Roman" w:hAnsi="Times New Roman" w:cs="Times New Roman"/>
          <w:sz w:val="16"/>
          <w:szCs w:val="24"/>
          <w:lang w:val="es-MX"/>
        </w:rPr>
      </w:pPr>
    </w:p>
    <w:p w:rsidR="00CC7672" w:rsidRDefault="00CC7672" w:rsidP="00220476">
      <w:pPr>
        <w:spacing w:after="0" w:line="240" w:lineRule="auto"/>
        <w:ind w:firstLine="708"/>
        <w:jc w:val="both"/>
        <w:rPr>
          <w:rFonts w:ascii="Times New Roman" w:hAnsi="Times New Roman" w:cs="Times New Roman"/>
          <w:sz w:val="16"/>
          <w:szCs w:val="24"/>
          <w:lang w:val="es-MX"/>
        </w:rPr>
      </w:pPr>
    </w:p>
    <w:p w:rsidR="00CC7672" w:rsidRDefault="00CC7672" w:rsidP="00220476">
      <w:pPr>
        <w:spacing w:after="0" w:line="240" w:lineRule="auto"/>
        <w:ind w:firstLine="708"/>
        <w:jc w:val="both"/>
        <w:rPr>
          <w:rFonts w:ascii="Times New Roman" w:hAnsi="Times New Roman" w:cs="Times New Roman"/>
          <w:sz w:val="16"/>
          <w:szCs w:val="24"/>
          <w:lang w:val="es-MX"/>
        </w:rPr>
      </w:pPr>
    </w:p>
    <w:p w:rsidR="00CC7672" w:rsidRDefault="00CC7672" w:rsidP="00220476">
      <w:pPr>
        <w:spacing w:after="0" w:line="240" w:lineRule="auto"/>
        <w:ind w:firstLine="708"/>
        <w:jc w:val="both"/>
        <w:rPr>
          <w:rFonts w:ascii="Times New Roman" w:hAnsi="Times New Roman" w:cs="Times New Roman"/>
          <w:sz w:val="16"/>
          <w:szCs w:val="24"/>
          <w:lang w:val="es-MX"/>
        </w:rPr>
      </w:pPr>
    </w:p>
    <w:p w:rsidR="004636B8" w:rsidRPr="00220476" w:rsidRDefault="004636B8" w:rsidP="00220476">
      <w:pPr>
        <w:spacing w:after="0" w:line="240" w:lineRule="auto"/>
        <w:ind w:firstLine="708"/>
        <w:jc w:val="both"/>
        <w:rPr>
          <w:rFonts w:ascii="Times New Roman" w:hAnsi="Times New Roman" w:cs="Times New Roman"/>
          <w:color w:val="FF0000"/>
          <w:sz w:val="12"/>
          <w:lang w:val="es-MX"/>
        </w:rPr>
      </w:pPr>
    </w:p>
    <w:p w:rsidR="00052EE7" w:rsidRPr="00E57DD1" w:rsidRDefault="00052EE7" w:rsidP="00052EE7">
      <w:pPr>
        <w:spacing w:after="0" w:line="240" w:lineRule="auto"/>
        <w:jc w:val="both"/>
        <w:rPr>
          <w:rFonts w:ascii="Times New Roman" w:hAnsi="Times New Roman" w:cs="Times New Roman"/>
          <w:color w:val="FF0000"/>
          <w:sz w:val="6"/>
          <w:lang w:val="es-MX"/>
        </w:rPr>
      </w:pPr>
    </w:p>
    <w:p w:rsidR="00582390" w:rsidRPr="007B6097" w:rsidRDefault="007B6097" w:rsidP="0058239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7B6097">
        <w:rPr>
          <w:rFonts w:ascii="Times New Roman" w:hAnsi="Times New Roman" w:cs="Times New Roman"/>
          <w:b/>
        </w:rPr>
        <w:lastRenderedPageBreak/>
        <w:t>Dinamismo en el gasto se focaliza hacia los sectores sociales</w:t>
      </w:r>
    </w:p>
    <w:p w:rsidR="00BD010A" w:rsidRPr="00220476" w:rsidRDefault="00BD010A" w:rsidP="00363CC7">
      <w:pPr>
        <w:pStyle w:val="Sinespaciado"/>
        <w:jc w:val="both"/>
        <w:rPr>
          <w:rFonts w:ascii="Times New Roman" w:hAnsi="Times New Roman" w:cs="Times New Roman"/>
          <w:color w:val="FF0000"/>
          <w:lang w:val="es-MX"/>
        </w:rPr>
      </w:pPr>
    </w:p>
    <w:p w:rsidR="00BD010A" w:rsidRPr="00220476" w:rsidRDefault="00BD010A" w:rsidP="00363CC7">
      <w:pPr>
        <w:pStyle w:val="Sinespaciado"/>
        <w:jc w:val="both"/>
        <w:rPr>
          <w:rFonts w:ascii="Times New Roman" w:hAnsi="Times New Roman" w:cs="Times New Roman"/>
          <w:color w:val="FF0000"/>
          <w:lang w:val="es-MX"/>
        </w:rPr>
        <w:sectPr w:rsidR="00BD010A" w:rsidRPr="00220476" w:rsidSect="00BD010A">
          <w:type w:val="continuous"/>
          <w:pgSz w:w="12240" w:h="15840"/>
          <w:pgMar w:top="1417" w:right="1701" w:bottom="1417" w:left="1701" w:header="708" w:footer="708" w:gutter="0"/>
          <w:cols w:space="708"/>
          <w:docGrid w:linePitch="360"/>
        </w:sect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lastRenderedPageBreak/>
        <w:t>La ejecución de gasto público al 31 de marzo de 2015, se situó en Q 14,477.1 millones, el cual muestra un ritmo de 21.7%, el cual  contrasta con el bajo crecimiento observado en igual fecha del año anterior (2.6%).  Este comportamiento en buena medida está asociado al uso intensivo de recursos procedentes del endeudamiento, bonos (roll over) y préstamos, además en el primer trimestre de 2014, por el contrario, el flujo de financiamiento fue mucho más moderado obligando a la autoridad fiscal a aplicar una férrea política contención.</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 xml:space="preserve">Sin embargo, en este año gracias a la aprobación del presupuesto, al flujo de recursos y al manejo financiero; ha permitido  facilitar la ejecución, cumpliendo con ello compromisos ineludibles y de importancia institucional. </w:t>
      </w:r>
    </w:p>
    <w:p w:rsidR="007B6097" w:rsidRDefault="007B6097" w:rsidP="007B6097">
      <w:pPr>
        <w:pStyle w:val="Sinespaciado"/>
        <w:jc w:val="both"/>
        <w:rPr>
          <w:rFonts w:ascii="Times New Roman" w:hAnsi="Times New Roman" w:cs="Times New Roman"/>
          <w:lang w:val="es-MX"/>
        </w:rPr>
      </w:pPr>
    </w:p>
    <w:p w:rsidR="007B6097" w:rsidRPr="007348EE" w:rsidRDefault="007B6097" w:rsidP="007B6097">
      <w:pPr>
        <w:pStyle w:val="Sinespaciado"/>
        <w:jc w:val="center"/>
        <w:rPr>
          <w:rFonts w:ascii="Times New Roman" w:hAnsi="Times New Roman" w:cs="Times New Roman"/>
          <w:b/>
          <w:lang w:val="es-MX"/>
        </w:rPr>
      </w:pPr>
      <w:r w:rsidRPr="007348EE">
        <w:rPr>
          <w:rFonts w:ascii="Times New Roman" w:hAnsi="Times New Roman" w:cs="Times New Roman"/>
          <w:b/>
          <w:lang w:val="es-MX"/>
        </w:rPr>
        <w:t>Ritmo de Ejecución de Gasto Público</w:t>
      </w:r>
    </w:p>
    <w:p w:rsidR="007B6097" w:rsidRDefault="007B6097" w:rsidP="007B6097">
      <w:pPr>
        <w:pStyle w:val="Sinespaciado"/>
        <w:jc w:val="center"/>
        <w:rPr>
          <w:rFonts w:ascii="Times New Roman" w:hAnsi="Times New Roman" w:cs="Times New Roman"/>
          <w:sz w:val="18"/>
          <w:lang w:val="es-MX"/>
        </w:rPr>
      </w:pPr>
      <w:r>
        <w:rPr>
          <w:rFonts w:ascii="Times New Roman" w:hAnsi="Times New Roman" w:cs="Times New Roman"/>
          <w:sz w:val="18"/>
          <w:lang w:val="es-MX"/>
        </w:rPr>
        <w:t>Mensual 2012 – 2015</w:t>
      </w:r>
    </w:p>
    <w:p w:rsidR="007B6097" w:rsidRPr="007348EE" w:rsidRDefault="007B6097" w:rsidP="007B6097">
      <w:pPr>
        <w:pStyle w:val="Sinespaciado"/>
        <w:jc w:val="center"/>
        <w:rPr>
          <w:rFonts w:ascii="Times New Roman" w:hAnsi="Times New Roman" w:cs="Times New Roman"/>
          <w:sz w:val="18"/>
          <w:lang w:val="es-MX"/>
        </w:rPr>
      </w:pPr>
      <w:r>
        <w:rPr>
          <w:rFonts w:ascii="Times New Roman" w:hAnsi="Times New Roman" w:cs="Times New Roman"/>
          <w:sz w:val="18"/>
          <w:lang w:val="es-MX"/>
        </w:rPr>
        <w:t>Porcentajes</w:t>
      </w: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5FCBA24B" wp14:editId="221DF895">
            <wp:extent cx="2686050" cy="1825963"/>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445" cy="1835748"/>
                    </a:xfrm>
                    <a:prstGeom prst="rect">
                      <a:avLst/>
                    </a:prstGeom>
                    <a:noFill/>
                  </pic:spPr>
                </pic:pic>
              </a:graphicData>
            </a:graphic>
          </wp:inline>
        </w:drawing>
      </w: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 xml:space="preserve">Dentro de los rubros que muestran mayor dinamismo, son las transferencias corrientes, debido que en este año se ha mejorado la oportunidad en el pago del aporte a las entidades descentralizadas y autónomas, debido al aumento relativo en las disponibilidades del gobierno, dentro de las que destacan el aporte ordinario y extraordinario al Tribunal Supremo Electoral, </w:t>
      </w:r>
      <w:r>
        <w:rPr>
          <w:rFonts w:ascii="Times New Roman" w:hAnsi="Times New Roman" w:cs="Times New Roman"/>
          <w:lang w:val="es-MX"/>
        </w:rPr>
        <w:lastRenderedPageBreak/>
        <w:t>entre otros.   Igualmente aumentaron las transferencias a ONG, realizadas principalmente por entidades como educación, salud, comunicaciones, entre otras entidades.</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Las remuneraciones también muestran un fuerte dinamismo, asociado principalmente al aumento salarial, efectuado en este año, al magisterio nacional (12%).</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Asimismo, los bienes y servicios siguen mostrando un ritmo de ejecución importante en ministerios como salud, gobernación, educación, las obligaciones, secretarías entre otros.</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Los intereses de la deuda pública aumentaron debido a que se anticipó el pago de los primeros días de abril, como resultado del asueto de semana santa, especialmente los intereses relacionados al eurobono.</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 xml:space="preserve">En el caso del gasto de inversión, destaca la mayor ejecución en proyectos de infraestructura realizados por el Ministerio de Comunicaciones. Asimismo, el aporte a las municipalidades y al FOPAVI </w:t>
      </w:r>
      <w:r w:rsidR="00E57DD1">
        <w:rPr>
          <w:rFonts w:ascii="Times New Roman" w:hAnsi="Times New Roman" w:cs="Times New Roman"/>
          <w:lang w:val="es-MX"/>
        </w:rPr>
        <w:t>ha</w:t>
      </w:r>
      <w:r>
        <w:rPr>
          <w:rFonts w:ascii="Times New Roman" w:hAnsi="Times New Roman" w:cs="Times New Roman"/>
          <w:lang w:val="es-MX"/>
        </w:rPr>
        <w:t xml:space="preserve"> elevado la ejecución de las transferencias de capital.</w:t>
      </w:r>
    </w:p>
    <w:p w:rsidR="007B6097" w:rsidRDefault="007B6097" w:rsidP="007B6097">
      <w:pPr>
        <w:pStyle w:val="Sinespaciado"/>
        <w:jc w:val="both"/>
        <w:rPr>
          <w:rFonts w:ascii="Times New Roman" w:hAnsi="Times New Roman" w:cs="Times New Roman"/>
          <w:lang w:val="es-MX"/>
        </w:rPr>
      </w:pPr>
    </w:p>
    <w:p w:rsidR="007B6097" w:rsidRPr="007348EE" w:rsidRDefault="007B6097" w:rsidP="007B6097">
      <w:pPr>
        <w:pStyle w:val="Sinespaciado"/>
        <w:jc w:val="center"/>
        <w:rPr>
          <w:rFonts w:ascii="Times New Roman" w:hAnsi="Times New Roman" w:cs="Times New Roman"/>
          <w:b/>
          <w:lang w:val="es-MX"/>
        </w:rPr>
      </w:pPr>
      <w:r>
        <w:rPr>
          <w:rFonts w:ascii="Times New Roman" w:hAnsi="Times New Roman" w:cs="Times New Roman"/>
          <w:b/>
          <w:lang w:val="es-MX"/>
        </w:rPr>
        <w:t>Variación Nominal del</w:t>
      </w:r>
      <w:r w:rsidRPr="007348EE">
        <w:rPr>
          <w:rFonts w:ascii="Times New Roman" w:hAnsi="Times New Roman" w:cs="Times New Roman"/>
          <w:b/>
          <w:lang w:val="es-MX"/>
        </w:rPr>
        <w:t xml:space="preserve"> Gasto Público</w:t>
      </w:r>
    </w:p>
    <w:p w:rsidR="007B6097" w:rsidRDefault="007B6097" w:rsidP="007B6097">
      <w:pPr>
        <w:pStyle w:val="Sinespaciado"/>
        <w:jc w:val="center"/>
        <w:rPr>
          <w:rFonts w:ascii="Times New Roman" w:hAnsi="Times New Roman" w:cs="Times New Roman"/>
          <w:lang w:val="es-MX"/>
        </w:rPr>
      </w:pPr>
      <w:r>
        <w:rPr>
          <w:rFonts w:ascii="Times New Roman" w:hAnsi="Times New Roman" w:cs="Times New Roman"/>
          <w:sz w:val="18"/>
          <w:lang w:val="es-MX"/>
        </w:rPr>
        <w:t>Marzo 2014 – 2015 Millones de Quetzales</w:t>
      </w:r>
      <w:r>
        <w:rPr>
          <w:rFonts w:ascii="Times New Roman" w:hAnsi="Times New Roman" w:cs="Times New Roman"/>
          <w:noProof/>
          <w:lang w:eastAsia="es-GT"/>
        </w:rPr>
        <w:drawing>
          <wp:inline distT="0" distB="0" distL="0" distR="0" wp14:anchorId="72D61DBB" wp14:editId="1B3F7237">
            <wp:extent cx="2505074" cy="18954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0208" cy="1899359"/>
                    </a:xfrm>
                    <a:prstGeom prst="rect">
                      <a:avLst/>
                    </a:prstGeom>
                    <a:noFill/>
                  </pic:spPr>
                </pic:pic>
              </a:graphicData>
            </a:graphic>
          </wp:inline>
        </w:drawing>
      </w:r>
    </w:p>
    <w:p w:rsidR="007B6097" w:rsidRPr="007B6097" w:rsidRDefault="007B6097" w:rsidP="007B6097">
      <w:pPr>
        <w:pStyle w:val="Sinespaciado"/>
        <w:jc w:val="both"/>
        <w:rPr>
          <w:rFonts w:ascii="Times New Roman" w:hAnsi="Times New Roman" w:cs="Times New Roman"/>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C7672" w:rsidRDefault="00CC7672"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El comportamiento del gasto </w:t>
      </w:r>
      <w:r w:rsidR="00CC7672">
        <w:rPr>
          <w:rFonts w:ascii="Times New Roman" w:hAnsi="Times New Roman" w:cs="Times New Roman"/>
          <w:lang w:val="es-MX"/>
        </w:rPr>
        <w:t>realizado, permitió</w:t>
      </w:r>
      <w:r>
        <w:rPr>
          <w:rFonts w:ascii="Times New Roman" w:hAnsi="Times New Roman" w:cs="Times New Roman"/>
          <w:lang w:val="es-MX"/>
        </w:rPr>
        <w:t xml:space="preserve"> que el grado de ejecución presupuestaria, se ubicara al 31 de marzo de 2015 en 21.6%, por arriba de lo obtenido en igual período de 2014 (18.8%) y superior al promedio de los años (2008-2014) que fue de 19.4%.</w:t>
      </w:r>
    </w:p>
    <w:p w:rsidR="007B6097" w:rsidRDefault="007B6097" w:rsidP="007B6097">
      <w:pPr>
        <w:pStyle w:val="Sinespaciado"/>
        <w:jc w:val="both"/>
        <w:rPr>
          <w:rFonts w:ascii="Times New Roman" w:hAnsi="Times New Roman" w:cs="Times New Roman"/>
          <w:lang w:val="es-MX"/>
        </w:rPr>
      </w:pPr>
    </w:p>
    <w:p w:rsidR="007B6097" w:rsidRPr="007348EE" w:rsidRDefault="007B6097" w:rsidP="007B6097">
      <w:pPr>
        <w:pStyle w:val="Sinespaciado"/>
        <w:jc w:val="center"/>
        <w:rPr>
          <w:rFonts w:ascii="Times New Roman" w:hAnsi="Times New Roman" w:cs="Times New Roman"/>
          <w:b/>
          <w:lang w:val="es-MX"/>
        </w:rPr>
      </w:pPr>
      <w:r>
        <w:rPr>
          <w:rFonts w:ascii="Times New Roman" w:hAnsi="Times New Roman" w:cs="Times New Roman"/>
          <w:b/>
          <w:lang w:val="es-MX"/>
        </w:rPr>
        <w:t>Variación Nominal del</w:t>
      </w:r>
      <w:r w:rsidRPr="007348EE">
        <w:rPr>
          <w:rFonts w:ascii="Times New Roman" w:hAnsi="Times New Roman" w:cs="Times New Roman"/>
          <w:b/>
          <w:lang w:val="es-MX"/>
        </w:rPr>
        <w:t xml:space="preserve"> Gasto Público</w:t>
      </w:r>
    </w:p>
    <w:p w:rsidR="007B6097" w:rsidRDefault="007B6097" w:rsidP="007B6097">
      <w:pPr>
        <w:pStyle w:val="Sinespaciado"/>
        <w:jc w:val="center"/>
        <w:rPr>
          <w:rFonts w:ascii="Times New Roman" w:hAnsi="Times New Roman" w:cs="Times New Roman"/>
          <w:sz w:val="18"/>
          <w:lang w:val="es-MX"/>
        </w:rPr>
      </w:pPr>
      <w:r>
        <w:rPr>
          <w:rFonts w:ascii="Times New Roman" w:hAnsi="Times New Roman" w:cs="Times New Roman"/>
          <w:sz w:val="18"/>
          <w:lang w:val="es-MX"/>
        </w:rPr>
        <w:t>Marzo 2014 – 2015</w:t>
      </w:r>
    </w:p>
    <w:p w:rsidR="007B6097" w:rsidRDefault="007B6097" w:rsidP="007B6097">
      <w:pPr>
        <w:pStyle w:val="Sinespaciado"/>
        <w:jc w:val="center"/>
        <w:rPr>
          <w:rFonts w:ascii="Times New Roman" w:hAnsi="Times New Roman" w:cs="Times New Roman"/>
          <w:sz w:val="18"/>
          <w:lang w:val="es-MX"/>
        </w:rPr>
      </w:pPr>
      <w:r>
        <w:rPr>
          <w:rFonts w:ascii="Times New Roman" w:hAnsi="Times New Roman" w:cs="Times New Roman"/>
          <w:sz w:val="18"/>
          <w:lang w:val="es-MX"/>
        </w:rPr>
        <w:t>Millones de Quetzales</w:t>
      </w:r>
    </w:p>
    <w:p w:rsidR="007B6097" w:rsidRDefault="007B6097" w:rsidP="007B6097">
      <w:pPr>
        <w:pStyle w:val="Sinespaciado"/>
        <w:jc w:val="both"/>
        <w:rPr>
          <w:rFonts w:ascii="Times New Roman" w:hAnsi="Times New Roman" w:cs="Times New Roman"/>
          <w:sz w:val="16"/>
        </w:rPr>
      </w:pPr>
      <w:r>
        <w:rPr>
          <w:rFonts w:ascii="Times New Roman" w:hAnsi="Times New Roman" w:cs="Times New Roman"/>
          <w:noProof/>
          <w:sz w:val="16"/>
          <w:lang w:eastAsia="es-GT"/>
        </w:rPr>
        <w:drawing>
          <wp:inline distT="0" distB="0" distL="0" distR="0" wp14:anchorId="6C0D7561" wp14:editId="5B5CFC6D">
            <wp:extent cx="2600325" cy="20002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2000250"/>
                    </a:xfrm>
                    <a:prstGeom prst="rect">
                      <a:avLst/>
                    </a:prstGeom>
                    <a:noFill/>
                  </pic:spPr>
                </pic:pic>
              </a:graphicData>
            </a:graphic>
          </wp:inline>
        </w:drawing>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B6097" w:rsidRDefault="007B6097" w:rsidP="007B6097">
      <w:pPr>
        <w:pStyle w:val="Sinespaciado"/>
        <w:jc w:val="both"/>
        <w:rPr>
          <w:rFonts w:ascii="Times New Roman" w:hAnsi="Times New Roman" w:cs="Times New Roman"/>
          <w:sz w:val="16"/>
        </w:rPr>
      </w:pPr>
    </w:p>
    <w:p w:rsidR="007B6097" w:rsidRDefault="007B6097" w:rsidP="007B6097">
      <w:pPr>
        <w:pStyle w:val="Sinespaciado"/>
        <w:jc w:val="both"/>
        <w:rPr>
          <w:rFonts w:ascii="Times New Roman" w:hAnsi="Times New Roman" w:cs="Times New Roman"/>
        </w:rPr>
      </w:pPr>
      <w:r>
        <w:rPr>
          <w:rFonts w:ascii="Times New Roman" w:hAnsi="Times New Roman" w:cs="Times New Roman"/>
        </w:rPr>
        <w:t xml:space="preserve">A pesar que la ejecución muestra un comportamiento bastante dinámico, se observa, contrario a lo que se podría esperar, una reducción en algunos rubros considerados como no prioritarios, cuyo nivel se encuentra por debajo de lo realizado en igual fecha del año anterior, lo cual muestra una política de austeridad, principalmente en rubros sensibles de gasto como viáticos, alimentos para personas, equipo de transporte, combustible, divulgación e información, entre otros.  Es importante indicar que se excluye la ejecución que hicieran algunas entidades en determinados rubros, tales como: educación, salud, gobernación y agricultura, ya que son importantes en el desarrollo de sus  actividades (alimentos para personas, combustibles, gasto en transporte, entre otros).  </w:t>
      </w:r>
      <w:r w:rsidR="00CC7672">
        <w:rPr>
          <w:rFonts w:ascii="Times New Roman" w:hAnsi="Times New Roman" w:cs="Times New Roman"/>
        </w:rPr>
        <w:t>Además,</w:t>
      </w:r>
      <w:r>
        <w:rPr>
          <w:rFonts w:ascii="Times New Roman" w:hAnsi="Times New Roman" w:cs="Times New Roman"/>
        </w:rPr>
        <w:t xml:space="preserve"> no todos estos rubros mostraron una reducción, algunos tuvieron </w:t>
      </w:r>
      <w:proofErr w:type="gramStart"/>
      <w:r w:rsidR="00CC7672">
        <w:rPr>
          <w:rFonts w:ascii="Times New Roman" w:hAnsi="Times New Roman" w:cs="Times New Roman"/>
        </w:rPr>
        <w:t>aumentos</w:t>
      </w:r>
      <w:proofErr w:type="gramEnd"/>
      <w:r>
        <w:rPr>
          <w:rFonts w:ascii="Times New Roman" w:hAnsi="Times New Roman" w:cs="Times New Roman"/>
        </w:rPr>
        <w:t xml:space="preserve"> pero poco significativos, lo sustancial es que en conjunto este tipo de gasto se redujo. </w:t>
      </w:r>
    </w:p>
    <w:p w:rsidR="00CC7672" w:rsidRDefault="00CC7672" w:rsidP="007B6097">
      <w:pPr>
        <w:pStyle w:val="Sinespaciado"/>
        <w:jc w:val="both"/>
        <w:rPr>
          <w:rFonts w:ascii="Times New Roman" w:hAnsi="Times New Roman" w:cs="Times New Roman"/>
        </w:rPr>
      </w:pPr>
    </w:p>
    <w:p w:rsidR="007B6097" w:rsidRPr="00017CB5" w:rsidRDefault="007B6097" w:rsidP="007B6097">
      <w:pPr>
        <w:pStyle w:val="Sinespaciado"/>
        <w:jc w:val="center"/>
        <w:rPr>
          <w:rFonts w:ascii="Times New Roman" w:hAnsi="Times New Roman" w:cs="Times New Roman"/>
          <w:b/>
        </w:rPr>
      </w:pPr>
      <w:r>
        <w:rPr>
          <w:rFonts w:ascii="Times New Roman" w:hAnsi="Times New Roman" w:cs="Times New Roman"/>
          <w:b/>
        </w:rPr>
        <w:lastRenderedPageBreak/>
        <w:t>Austeridad en el Gasto Público</w:t>
      </w:r>
    </w:p>
    <w:p w:rsidR="007B6097" w:rsidRDefault="007B6097" w:rsidP="007B6097">
      <w:pPr>
        <w:pStyle w:val="Sinespaciado"/>
        <w:jc w:val="center"/>
        <w:rPr>
          <w:rFonts w:ascii="Times New Roman" w:hAnsi="Times New Roman" w:cs="Times New Roman"/>
          <w:sz w:val="18"/>
        </w:rPr>
      </w:pPr>
      <w:r>
        <w:rPr>
          <w:rFonts w:ascii="Times New Roman" w:hAnsi="Times New Roman" w:cs="Times New Roman"/>
          <w:sz w:val="18"/>
        </w:rPr>
        <w:t>Acumulado a Marzo 2014 – 2015</w:t>
      </w:r>
    </w:p>
    <w:p w:rsidR="007B6097" w:rsidRPr="00017CB5" w:rsidRDefault="007B6097" w:rsidP="007B6097">
      <w:pPr>
        <w:pStyle w:val="Sinespaciado"/>
        <w:jc w:val="center"/>
        <w:rPr>
          <w:rFonts w:ascii="Times New Roman" w:hAnsi="Times New Roman" w:cs="Times New Roman"/>
          <w:sz w:val="18"/>
        </w:rPr>
      </w:pPr>
      <w:r>
        <w:rPr>
          <w:rFonts w:ascii="Times New Roman" w:hAnsi="Times New Roman" w:cs="Times New Roman"/>
          <w:sz w:val="18"/>
        </w:rPr>
        <w:t>Millones de Quetzales</w:t>
      </w:r>
    </w:p>
    <w:p w:rsidR="007B6097" w:rsidRDefault="007B6097" w:rsidP="007B6097">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194CDAE9" wp14:editId="3476D30B">
            <wp:extent cx="2571750" cy="16954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8688" cy="1700024"/>
                    </a:xfrm>
                    <a:prstGeom prst="rect">
                      <a:avLst/>
                    </a:prstGeom>
                    <a:noFill/>
                  </pic:spPr>
                </pic:pic>
              </a:graphicData>
            </a:graphic>
          </wp:inline>
        </w:drawing>
      </w:r>
    </w:p>
    <w:p w:rsidR="007B6097" w:rsidRDefault="007B6097" w:rsidP="007B609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B6097" w:rsidRDefault="007B6097" w:rsidP="007B6097">
      <w:pPr>
        <w:pStyle w:val="Sinespaciado"/>
        <w:jc w:val="both"/>
        <w:rPr>
          <w:rFonts w:ascii="Times New Roman" w:hAnsi="Times New Roman" w:cs="Times New Roman"/>
        </w:rPr>
      </w:pPr>
    </w:p>
    <w:p w:rsidR="007B6097" w:rsidRDefault="007B6097" w:rsidP="007B6097">
      <w:pPr>
        <w:pStyle w:val="Sinespaciado"/>
        <w:jc w:val="both"/>
        <w:rPr>
          <w:rFonts w:ascii="Times New Roman" w:hAnsi="Times New Roman" w:cs="Times New Roman"/>
        </w:rPr>
      </w:pPr>
      <w:r w:rsidRPr="00085621">
        <w:rPr>
          <w:rFonts w:ascii="Times New Roman" w:hAnsi="Times New Roman" w:cs="Times New Roman"/>
        </w:rPr>
        <w:t>La priorización del gasto</w:t>
      </w:r>
      <w:r>
        <w:rPr>
          <w:rFonts w:ascii="Times New Roman" w:hAnsi="Times New Roman" w:cs="Times New Roman"/>
        </w:rPr>
        <w:t>,</w:t>
      </w:r>
      <w:r w:rsidRPr="00085621">
        <w:rPr>
          <w:rFonts w:ascii="Times New Roman" w:hAnsi="Times New Roman" w:cs="Times New Roman"/>
        </w:rPr>
        <w:t xml:space="preserve"> en lo que va del año</w:t>
      </w:r>
      <w:r>
        <w:rPr>
          <w:rFonts w:ascii="Times New Roman" w:hAnsi="Times New Roman" w:cs="Times New Roman"/>
        </w:rPr>
        <w:t>.</w:t>
      </w:r>
      <w:r w:rsidRPr="00085621">
        <w:rPr>
          <w:rFonts w:ascii="Times New Roman" w:hAnsi="Times New Roman" w:cs="Times New Roman"/>
        </w:rPr>
        <w:t xml:space="preserve"> se sigue orientando a atender el gasto social (educación, salud y vivienda), que muestra</w:t>
      </w:r>
      <w:r>
        <w:rPr>
          <w:rFonts w:ascii="Times New Roman" w:hAnsi="Times New Roman" w:cs="Times New Roman"/>
        </w:rPr>
        <w:t>, en conjunto,</w:t>
      </w:r>
      <w:r w:rsidRPr="00085621">
        <w:rPr>
          <w:rFonts w:ascii="Times New Roman" w:hAnsi="Times New Roman" w:cs="Times New Roman"/>
        </w:rPr>
        <w:t xml:space="preserve"> un crecimiento interanual de 28.8% por arriba del gasto total (21.7%), lo que indica que en buena medida el gasto social es el que le ha dado dinamismo a la ejecución del gobierno.  Asimismo, el gasto en seguridad interna y los aportes a las princi</w:t>
      </w:r>
      <w:r>
        <w:rPr>
          <w:rFonts w:ascii="Times New Roman" w:hAnsi="Times New Roman" w:cs="Times New Roman"/>
        </w:rPr>
        <w:t>pales instituciones de justicia</w:t>
      </w:r>
      <w:r w:rsidRPr="00085621">
        <w:rPr>
          <w:rFonts w:ascii="Times New Roman" w:hAnsi="Times New Roman" w:cs="Times New Roman"/>
        </w:rPr>
        <w:t xml:space="preserve"> (MP, CC y OJ) muestran incrementos importantes, por</w:t>
      </w:r>
      <w:r>
        <w:rPr>
          <w:rFonts w:ascii="Times New Roman" w:hAnsi="Times New Roman" w:cs="Times New Roman"/>
        </w:rPr>
        <w:t xml:space="preserve"> </w:t>
      </w:r>
      <w:r w:rsidRPr="00085621">
        <w:rPr>
          <w:rFonts w:ascii="Times New Roman" w:hAnsi="Times New Roman" w:cs="Times New Roman"/>
        </w:rPr>
        <w:t xml:space="preserve">lo que el gasto de los Acuerdos de Paz </w:t>
      </w:r>
      <w:r>
        <w:rPr>
          <w:rFonts w:ascii="Times New Roman" w:hAnsi="Times New Roman" w:cs="Times New Roman"/>
        </w:rPr>
        <w:t xml:space="preserve"> (gasto social más seguridad interna y aportes a entidades de justicia) </w:t>
      </w:r>
      <w:r w:rsidRPr="00085621">
        <w:rPr>
          <w:rFonts w:ascii="Times New Roman" w:hAnsi="Times New Roman" w:cs="Times New Roman"/>
        </w:rPr>
        <w:t>crece en 27.8% con respecto a lo realizado en igual fecha del año anterior.</w:t>
      </w:r>
    </w:p>
    <w:p w:rsidR="007B6097" w:rsidRDefault="007B6097" w:rsidP="007B6097">
      <w:pPr>
        <w:pStyle w:val="Sinespaciado"/>
        <w:jc w:val="both"/>
        <w:rPr>
          <w:rFonts w:ascii="Times New Roman" w:hAnsi="Times New Roman" w:cs="Times New Roman"/>
        </w:rPr>
      </w:pPr>
    </w:p>
    <w:p w:rsidR="007B6097" w:rsidRDefault="007B6097" w:rsidP="007B6097">
      <w:pPr>
        <w:pStyle w:val="Sinespaciado"/>
        <w:jc w:val="center"/>
        <w:rPr>
          <w:rFonts w:ascii="Times New Roman" w:hAnsi="Times New Roman" w:cs="Times New Roman"/>
          <w:b/>
        </w:rPr>
      </w:pPr>
      <w:r>
        <w:rPr>
          <w:rFonts w:ascii="Times New Roman" w:hAnsi="Times New Roman" w:cs="Times New Roman"/>
          <w:b/>
        </w:rPr>
        <w:t>G</w:t>
      </w:r>
      <w:r w:rsidRPr="00085621">
        <w:rPr>
          <w:rFonts w:ascii="Times New Roman" w:hAnsi="Times New Roman" w:cs="Times New Roman"/>
          <w:b/>
        </w:rPr>
        <w:t>asto Social y de los Acuerdos de Paz</w:t>
      </w:r>
    </w:p>
    <w:p w:rsidR="007B6097" w:rsidRDefault="007B6097" w:rsidP="007B6097">
      <w:pPr>
        <w:pStyle w:val="Sinespaciado"/>
        <w:jc w:val="center"/>
        <w:rPr>
          <w:rFonts w:ascii="Times New Roman" w:hAnsi="Times New Roman" w:cs="Times New Roman"/>
          <w:sz w:val="18"/>
        </w:rPr>
      </w:pPr>
      <w:r w:rsidRPr="00085621">
        <w:rPr>
          <w:rFonts w:ascii="Times New Roman" w:hAnsi="Times New Roman" w:cs="Times New Roman"/>
          <w:sz w:val="18"/>
        </w:rPr>
        <w:t>Acumulado a Marzo 2014 – 2015</w:t>
      </w:r>
    </w:p>
    <w:p w:rsidR="007B6097" w:rsidRDefault="007B6097" w:rsidP="007B6097">
      <w:pPr>
        <w:pStyle w:val="Sinespaciado"/>
        <w:jc w:val="center"/>
        <w:rPr>
          <w:rFonts w:ascii="Times New Roman" w:hAnsi="Times New Roman" w:cs="Times New Roman"/>
          <w:b/>
        </w:rPr>
      </w:pPr>
      <w:r w:rsidRPr="00085621">
        <w:rPr>
          <w:rFonts w:ascii="Times New Roman" w:hAnsi="Times New Roman" w:cs="Times New Roman"/>
          <w:sz w:val="18"/>
        </w:rPr>
        <w:t>Millones de Quetzales y Porcentajes</w:t>
      </w:r>
    </w:p>
    <w:p w:rsidR="007B6097" w:rsidRDefault="007B6097" w:rsidP="007B6097">
      <w:pPr>
        <w:pStyle w:val="Sinespaciado"/>
        <w:jc w:val="center"/>
        <w:rPr>
          <w:rFonts w:ascii="Times New Roman" w:hAnsi="Times New Roman" w:cs="Times New Roman"/>
          <w:lang w:val="es-MX"/>
        </w:rPr>
      </w:pPr>
      <w:r w:rsidRPr="00210A8E">
        <w:rPr>
          <w:noProof/>
          <w:lang w:eastAsia="es-GT"/>
        </w:rPr>
        <w:drawing>
          <wp:inline distT="0" distB="0" distL="0" distR="0" wp14:anchorId="4D8B21E4" wp14:editId="6D9FF9F2">
            <wp:extent cx="2571750" cy="14287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8690" cy="1438161"/>
                    </a:xfrm>
                    <a:prstGeom prst="rect">
                      <a:avLst/>
                    </a:prstGeom>
                    <a:noFill/>
                    <a:ln>
                      <a:noFill/>
                    </a:ln>
                  </pic:spPr>
                </pic:pic>
              </a:graphicData>
            </a:graphic>
          </wp:inline>
        </w:drawing>
      </w:r>
    </w:p>
    <w:p w:rsidR="007B6097" w:rsidRPr="007B6097" w:rsidRDefault="007B6097" w:rsidP="007B609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 xml:space="preserve">La ejecución de gasto a nivel institucional, muestra que las entidades que son rectoras del gasto social son las que mayor dinamismo presentan, tal es el caso del Ministerio de </w:t>
      </w:r>
      <w:r>
        <w:rPr>
          <w:rFonts w:ascii="Times New Roman" w:hAnsi="Times New Roman" w:cs="Times New Roman"/>
          <w:lang w:val="es-MX"/>
        </w:rPr>
        <w:lastRenderedPageBreak/>
        <w:t xml:space="preserve">Educación que alcanzó un porcentaje de ejecución de 25.0%, nivel que es consistente con el desempeño de sus principales programas de educación primaria, preprimaria y el programa de apoyo al consumo adecuado de alimentos (alimentación escolar).  Por su parte el Ministerio de Salud también muestra un buen nivel de ejecución (21.4%) principalmente en el programa de recuperación de la salud (salud curativa) y salud preventiva.  Asimismo, el Ministerio de Gobernación con su programa relevante servicio de seguridad a las personas muestra una alta ejecución (23.9%) y en menor medida el programa relacionado a los privados de libertad. </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 xml:space="preserve">La inversión en infraestructura a través del Ministerio de Comunicaciones tiene una participación importante dentro del presupuesto vigente.  Sin embargo, muestra un grado de ejecución moderado (12.1%), que se debe a las operaciones pendientes de regularizar que corresponden a anticipos </w:t>
      </w:r>
      <w:r>
        <w:rPr>
          <w:rFonts w:ascii="Times New Roman" w:hAnsi="Times New Roman" w:cs="Times New Roman"/>
          <w:lang w:val="es-MX"/>
        </w:rPr>
        <w:lastRenderedPageBreak/>
        <w:t>otorgados entre febrero y marzo, los cuales se podrían liquidar en abril.  No obstante, el programa del subsidio para la vivienda popular si muestra un alto nivel de ejecución de 26.1%.</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El Ministerio de la Defensa Nacional, muestra, como en años anteriores, una ejecución al nivel del promedio institucional (21.6%) y el Ministerio de Trabajo a través del Programa del Adulto Mayor, logra un porcentaje de ejecución de 23.8%.</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Las obligaciones del Estado (en su mayoría aportes institucionales a entidades públicas y clases pasivas) y el servicio de la deuda pública, prácticamente absorben el 49% del total de gasto realizado a la fecha, con un grado de ejecución que en conjunto excede el 20%.</w:t>
      </w: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lang w:val="es-MX"/>
        </w:rPr>
        <w:t>El resto de entidades (11) incluyendo las secretarias, absorben 6% del gasto total ejecutado y muestran un grado de ejecución de 15.2% por debajo del promedio institucional.</w:t>
      </w:r>
    </w:p>
    <w:p w:rsidR="007B6097" w:rsidRDefault="007B6097" w:rsidP="007B6097">
      <w:pPr>
        <w:pStyle w:val="Sinespaciado"/>
        <w:jc w:val="both"/>
        <w:rPr>
          <w:rFonts w:ascii="Times New Roman" w:hAnsi="Times New Roman" w:cs="Times New Roman"/>
          <w:lang w:val="es-MX"/>
        </w:rPr>
        <w:sectPr w:rsidR="007B6097" w:rsidSect="00AE2C58">
          <w:type w:val="continuous"/>
          <w:pgSz w:w="12240" w:h="15840"/>
          <w:pgMar w:top="1417" w:right="1701" w:bottom="1417" w:left="1701" w:header="708" w:footer="708" w:gutter="0"/>
          <w:cols w:num="2" w:space="708"/>
          <w:docGrid w:linePitch="360"/>
        </w:sectPr>
      </w:pP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both"/>
        <w:rPr>
          <w:rFonts w:ascii="Times New Roman" w:hAnsi="Times New Roman" w:cs="Times New Roman"/>
          <w:lang w:val="es-MX"/>
        </w:rPr>
      </w:pPr>
    </w:p>
    <w:p w:rsidR="007B6097" w:rsidRDefault="007B6097" w:rsidP="007B6097">
      <w:pPr>
        <w:pStyle w:val="Sinespaciado"/>
        <w:jc w:val="center"/>
        <w:rPr>
          <w:rFonts w:ascii="Times New Roman" w:hAnsi="Times New Roman" w:cs="Times New Roman"/>
          <w:b/>
          <w:lang w:val="es-MX"/>
        </w:rPr>
        <w:sectPr w:rsidR="007B6097" w:rsidSect="00CC330D">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627" w:right="1701" w:bottom="1417" w:left="1701" w:header="680" w:footer="708" w:gutter="0"/>
          <w:cols w:num="2" w:space="708"/>
          <w:docGrid w:linePitch="360"/>
        </w:sectPr>
      </w:pPr>
    </w:p>
    <w:p w:rsidR="007B6097" w:rsidRPr="00147993" w:rsidRDefault="007B6097" w:rsidP="007B6097">
      <w:pPr>
        <w:pStyle w:val="Sinespaciado"/>
        <w:jc w:val="center"/>
        <w:rPr>
          <w:rFonts w:ascii="Times New Roman" w:hAnsi="Times New Roman" w:cs="Times New Roman"/>
          <w:b/>
          <w:lang w:val="es-MX"/>
        </w:rPr>
      </w:pPr>
      <w:r>
        <w:rPr>
          <w:rFonts w:ascii="Times New Roman" w:hAnsi="Times New Roman" w:cs="Times New Roman"/>
          <w:b/>
          <w:lang w:val="es-MX"/>
        </w:rPr>
        <w:lastRenderedPageBreak/>
        <w:t>E</w:t>
      </w:r>
      <w:r w:rsidRPr="00147993">
        <w:rPr>
          <w:rFonts w:ascii="Times New Roman" w:hAnsi="Times New Roman" w:cs="Times New Roman"/>
          <w:b/>
          <w:lang w:val="es-MX"/>
        </w:rPr>
        <w:t>ntidades con Mayor Ejecución y Algunos Programas Relevantes</w:t>
      </w:r>
    </w:p>
    <w:p w:rsidR="007B6097" w:rsidRPr="00147993" w:rsidRDefault="007B6097" w:rsidP="007B6097">
      <w:pPr>
        <w:pStyle w:val="Sinespaciado"/>
        <w:jc w:val="center"/>
        <w:rPr>
          <w:rFonts w:ascii="Times New Roman" w:hAnsi="Times New Roman" w:cs="Times New Roman"/>
          <w:sz w:val="18"/>
          <w:lang w:val="es-MX"/>
        </w:rPr>
      </w:pPr>
      <w:r w:rsidRPr="00147993">
        <w:rPr>
          <w:rFonts w:ascii="Times New Roman" w:hAnsi="Times New Roman" w:cs="Times New Roman"/>
          <w:sz w:val="18"/>
          <w:lang w:val="es-MX"/>
        </w:rPr>
        <w:t>Vigente y Ejecutado a Marzo de 2015</w:t>
      </w:r>
    </w:p>
    <w:p w:rsidR="007B6097" w:rsidRPr="00147993" w:rsidRDefault="007B6097" w:rsidP="007B6097">
      <w:pPr>
        <w:pStyle w:val="Sinespaciado"/>
        <w:jc w:val="center"/>
        <w:rPr>
          <w:rFonts w:ascii="Times New Roman" w:hAnsi="Times New Roman" w:cs="Times New Roman"/>
          <w:sz w:val="18"/>
          <w:lang w:val="es-MX"/>
        </w:rPr>
      </w:pPr>
      <w:r w:rsidRPr="00147993">
        <w:rPr>
          <w:rFonts w:ascii="Times New Roman" w:hAnsi="Times New Roman" w:cs="Times New Roman"/>
          <w:sz w:val="18"/>
          <w:lang w:val="es-MX"/>
        </w:rPr>
        <w:t>Millones de Quetzales</w:t>
      </w:r>
    </w:p>
    <w:p w:rsidR="007B6097" w:rsidRDefault="007B6097" w:rsidP="007B6097">
      <w:pPr>
        <w:pStyle w:val="Sinespaciado"/>
        <w:jc w:val="center"/>
        <w:rPr>
          <w:rFonts w:ascii="Times New Roman" w:hAnsi="Times New Roman" w:cs="Times New Roman"/>
          <w:lang w:val="es-MX"/>
        </w:rPr>
      </w:pPr>
      <w:r w:rsidRPr="000A6A09">
        <w:rPr>
          <w:noProof/>
          <w:lang w:eastAsia="es-GT"/>
        </w:rPr>
        <w:drawing>
          <wp:inline distT="0" distB="0" distL="0" distR="0" wp14:anchorId="15374578" wp14:editId="0470C9AA">
            <wp:extent cx="3657600" cy="2836273"/>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2836273"/>
                    </a:xfrm>
                    <a:prstGeom prst="rect">
                      <a:avLst/>
                    </a:prstGeom>
                    <a:noFill/>
                    <a:ln>
                      <a:noFill/>
                    </a:ln>
                  </pic:spPr>
                </pic:pic>
              </a:graphicData>
            </a:graphic>
          </wp:inline>
        </w:drawing>
      </w:r>
    </w:p>
    <w:p w:rsidR="007B6097" w:rsidRDefault="007B6097" w:rsidP="007B6097">
      <w:pPr>
        <w:pStyle w:val="Sinespaciado"/>
        <w:ind w:left="708"/>
        <w:jc w:val="both"/>
        <w:rPr>
          <w:rFonts w:ascii="Times New Roman" w:hAnsi="Times New Roman" w:cs="Times New Roman"/>
          <w:sz w:val="16"/>
        </w:rPr>
      </w:pPr>
      <w:r>
        <w:rPr>
          <w:rFonts w:ascii="Times New Roman" w:hAnsi="Times New Roman" w:cs="Times New Roman"/>
          <w:sz w:val="16"/>
        </w:rPr>
        <w:t xml:space="preserve">    </w:t>
      </w:r>
      <w:r>
        <w:rPr>
          <w:rFonts w:ascii="Times New Roman" w:hAnsi="Times New Roman" w:cs="Times New Roman"/>
          <w:sz w:val="16"/>
        </w:rPr>
        <w:tab/>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B6097" w:rsidRDefault="007B6097" w:rsidP="00270F41">
      <w:pPr>
        <w:pStyle w:val="Sinespaciado"/>
        <w:jc w:val="both"/>
        <w:rPr>
          <w:rFonts w:ascii="Times New Roman" w:hAnsi="Times New Roman" w:cs="Times New Roman"/>
          <w:color w:val="FF0000"/>
        </w:rPr>
      </w:pPr>
    </w:p>
    <w:p w:rsidR="00CC7672" w:rsidRDefault="00CC7672" w:rsidP="00270F41">
      <w:pPr>
        <w:pStyle w:val="Sinespaciado"/>
        <w:jc w:val="both"/>
        <w:rPr>
          <w:rFonts w:ascii="Times New Roman" w:hAnsi="Times New Roman" w:cs="Times New Roman"/>
          <w:color w:val="FF0000"/>
        </w:rPr>
        <w:sectPr w:rsidR="00CC7672" w:rsidSect="007B6097">
          <w:type w:val="continuous"/>
          <w:pgSz w:w="12240" w:h="15840"/>
          <w:pgMar w:top="1627" w:right="1701" w:bottom="1417" w:left="1701" w:header="680" w:footer="708" w:gutter="0"/>
          <w:cols w:space="708"/>
          <w:docGrid w:linePitch="360"/>
        </w:sectPr>
      </w:pPr>
    </w:p>
    <w:p w:rsidR="00336B3D" w:rsidRPr="007B6097" w:rsidRDefault="00336B3D" w:rsidP="00270F41">
      <w:pPr>
        <w:pStyle w:val="Sinespaciado"/>
        <w:jc w:val="both"/>
        <w:rPr>
          <w:rFonts w:ascii="Times New Roman" w:hAnsi="Times New Roman" w:cs="Times New Roman"/>
          <w:color w:val="FF0000"/>
          <w:sz w:val="6"/>
        </w:rPr>
      </w:pPr>
    </w:p>
    <w:p w:rsidR="00336B3D" w:rsidRPr="007B6097" w:rsidRDefault="00336B3D" w:rsidP="00336B3D">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7B6097">
        <w:rPr>
          <w:rFonts w:ascii="Times New Roman" w:hAnsi="Times New Roman" w:cs="Times New Roman"/>
          <w:b/>
        </w:rPr>
        <w:lastRenderedPageBreak/>
        <w:t>Importante movilización de recursos de endeudamiento</w:t>
      </w:r>
    </w:p>
    <w:p w:rsidR="00336B3D" w:rsidRPr="00220476" w:rsidRDefault="00336B3D" w:rsidP="007D057D">
      <w:pPr>
        <w:pStyle w:val="Sinespaciado"/>
        <w:rPr>
          <w:color w:val="FF0000"/>
          <w:lang w:val="es-MX"/>
        </w:rPr>
      </w:pPr>
    </w:p>
    <w:p w:rsidR="00336B3D" w:rsidRPr="00220476" w:rsidRDefault="00336B3D" w:rsidP="00336B3D">
      <w:pPr>
        <w:pStyle w:val="Sinespaciado"/>
        <w:jc w:val="both"/>
        <w:rPr>
          <w:rFonts w:ascii="Times New Roman" w:hAnsi="Times New Roman" w:cs="Times New Roman"/>
          <w:color w:val="FF0000"/>
        </w:rPr>
        <w:sectPr w:rsidR="00336B3D" w:rsidRPr="00220476" w:rsidSect="0013777B">
          <w:type w:val="continuous"/>
          <w:pgSz w:w="12240" w:h="15840"/>
          <w:pgMar w:top="1627" w:right="1701" w:bottom="1417" w:left="1701" w:header="708" w:footer="708" w:gutter="0"/>
          <w:cols w:space="708"/>
          <w:docGrid w:linePitch="360"/>
        </w:sectPr>
      </w:pPr>
    </w:p>
    <w:p w:rsidR="007B6097" w:rsidRDefault="007B6097" w:rsidP="007B6097">
      <w:pPr>
        <w:pStyle w:val="Sinespaciado"/>
        <w:jc w:val="both"/>
        <w:rPr>
          <w:rFonts w:ascii="Times New Roman" w:hAnsi="Times New Roman" w:cs="Times New Roman"/>
        </w:rPr>
      </w:pPr>
      <w:r>
        <w:rPr>
          <w:rFonts w:ascii="Times New Roman" w:hAnsi="Times New Roman" w:cs="Times New Roman"/>
        </w:rPr>
        <w:lastRenderedPageBreak/>
        <w:t>El comportamiento de los ingresos fiscales y la ejecución del gasto público, dan cuenta del  resultado fiscal que se obtuvo al cierre del primer trimestre de 2015, el cual fue deficitario  en Q 1,394.7 millones, por debajo del nivel contemplado en el presupuesto para el año (Q 9,930 millones).</w:t>
      </w:r>
    </w:p>
    <w:p w:rsidR="007B6097" w:rsidRDefault="007B6097" w:rsidP="007B6097">
      <w:pPr>
        <w:pStyle w:val="Sinespaciado"/>
        <w:jc w:val="both"/>
        <w:rPr>
          <w:rFonts w:ascii="Times New Roman" w:hAnsi="Times New Roman" w:cs="Times New Roman"/>
          <w:b/>
          <w:lang w:val="es-MX"/>
        </w:rPr>
      </w:pPr>
    </w:p>
    <w:p w:rsidR="007B6097" w:rsidRPr="007348EE" w:rsidRDefault="007B6097" w:rsidP="007B6097">
      <w:pPr>
        <w:pStyle w:val="Sinespaciado"/>
        <w:jc w:val="center"/>
        <w:rPr>
          <w:rFonts w:ascii="Times New Roman" w:hAnsi="Times New Roman" w:cs="Times New Roman"/>
          <w:b/>
          <w:lang w:val="es-MX"/>
        </w:rPr>
      </w:pPr>
      <w:r>
        <w:rPr>
          <w:rFonts w:ascii="Times New Roman" w:hAnsi="Times New Roman" w:cs="Times New Roman"/>
          <w:b/>
          <w:lang w:val="es-MX"/>
        </w:rPr>
        <w:t>Resultado Fiscal</w:t>
      </w:r>
    </w:p>
    <w:p w:rsidR="007B6097" w:rsidRDefault="007B6097" w:rsidP="007B6097">
      <w:pPr>
        <w:pStyle w:val="Sinespaciado"/>
        <w:jc w:val="center"/>
        <w:rPr>
          <w:rFonts w:ascii="Times New Roman" w:hAnsi="Times New Roman" w:cs="Times New Roman"/>
          <w:sz w:val="18"/>
          <w:lang w:val="es-MX"/>
        </w:rPr>
      </w:pPr>
      <w:r>
        <w:rPr>
          <w:rFonts w:ascii="Times New Roman" w:hAnsi="Times New Roman" w:cs="Times New Roman"/>
          <w:sz w:val="18"/>
          <w:lang w:val="es-MX"/>
        </w:rPr>
        <w:t>Al 31 de Marzo 2015</w:t>
      </w:r>
    </w:p>
    <w:p w:rsidR="007B6097" w:rsidRDefault="007B6097" w:rsidP="007B6097">
      <w:pPr>
        <w:pStyle w:val="Sinespaciado"/>
        <w:jc w:val="center"/>
        <w:rPr>
          <w:rFonts w:ascii="Times New Roman" w:hAnsi="Times New Roman" w:cs="Times New Roman"/>
        </w:rPr>
      </w:pPr>
      <w:r>
        <w:rPr>
          <w:rFonts w:ascii="Times New Roman" w:hAnsi="Times New Roman" w:cs="Times New Roman"/>
          <w:sz w:val="18"/>
          <w:lang w:val="es-MX"/>
        </w:rPr>
        <w:t>Millones de Quetzales</w:t>
      </w:r>
    </w:p>
    <w:p w:rsidR="007B6097" w:rsidRDefault="007B6097" w:rsidP="007B6097">
      <w:pPr>
        <w:pStyle w:val="Sinespaciado"/>
        <w:jc w:val="center"/>
        <w:rPr>
          <w:rFonts w:ascii="Times New Roman" w:hAnsi="Times New Roman" w:cs="Times New Roman"/>
        </w:rPr>
      </w:pPr>
      <w:r w:rsidRPr="006D5E91">
        <w:rPr>
          <w:noProof/>
          <w:lang w:eastAsia="es-GT"/>
        </w:rPr>
        <w:drawing>
          <wp:inline distT="0" distB="0" distL="0" distR="0" wp14:anchorId="06BF9788" wp14:editId="7F2502FC">
            <wp:extent cx="2505075" cy="145515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1120" cy="1458666"/>
                    </a:xfrm>
                    <a:prstGeom prst="rect">
                      <a:avLst/>
                    </a:prstGeom>
                    <a:noFill/>
                    <a:ln>
                      <a:noFill/>
                    </a:ln>
                  </pic:spPr>
                </pic:pic>
              </a:graphicData>
            </a:graphic>
          </wp:inline>
        </w:drawing>
      </w:r>
    </w:p>
    <w:p w:rsidR="007B6097" w:rsidRDefault="007B6097" w:rsidP="007B6097">
      <w:pPr>
        <w:pStyle w:val="Sinespaciado"/>
        <w:jc w:val="both"/>
        <w:rPr>
          <w:rFonts w:ascii="Times New Roman" w:hAnsi="Times New Roman" w:cs="Times New Roman"/>
          <w:lang w:val="es-MX"/>
        </w:rPr>
      </w:pPr>
      <w:r>
        <w:rPr>
          <w:rFonts w:ascii="Times New Roman" w:hAnsi="Times New Roman" w:cs="Times New Roman"/>
          <w:sz w:val="16"/>
        </w:rPr>
        <w:t xml:space="preserve">     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B6097" w:rsidRDefault="007B6097" w:rsidP="007B6097">
      <w:pPr>
        <w:pStyle w:val="Sinespaciado"/>
        <w:jc w:val="both"/>
        <w:rPr>
          <w:rFonts w:ascii="Times New Roman" w:hAnsi="Times New Roman" w:cs="Times New Roman"/>
        </w:rPr>
      </w:pPr>
    </w:p>
    <w:p w:rsidR="007B6097" w:rsidRDefault="007B6097" w:rsidP="007B6097">
      <w:pPr>
        <w:pStyle w:val="Sinespaciado"/>
        <w:jc w:val="both"/>
        <w:rPr>
          <w:rFonts w:ascii="Times New Roman" w:hAnsi="Times New Roman" w:cs="Times New Roman"/>
        </w:rPr>
      </w:pPr>
      <w:r>
        <w:rPr>
          <w:rFonts w:ascii="Times New Roman" w:hAnsi="Times New Roman" w:cs="Times New Roman"/>
        </w:rPr>
        <w:t xml:space="preserve">En cuanto al financiamiento, los desembolsos de préstamos externos muestran un comportamiento muy por arriba de lo observado en los últimos años, esto como resultado de una gestión mejor planificada y de una aprobación plena y oportuna de los préstamos por parte del Congreso de la República. </w:t>
      </w:r>
    </w:p>
    <w:p w:rsidR="007B6097" w:rsidRDefault="007B6097" w:rsidP="007B6097">
      <w:pPr>
        <w:pStyle w:val="Sinespaciado"/>
        <w:jc w:val="both"/>
        <w:rPr>
          <w:rFonts w:ascii="Times New Roman" w:hAnsi="Times New Roman" w:cs="Times New Roman"/>
        </w:rPr>
      </w:pPr>
    </w:p>
    <w:p w:rsidR="007B6097" w:rsidRDefault="007B6097" w:rsidP="007B6097">
      <w:pPr>
        <w:pStyle w:val="Sinespaciado"/>
        <w:jc w:val="both"/>
        <w:rPr>
          <w:rFonts w:ascii="Times New Roman" w:hAnsi="Times New Roman" w:cs="Times New Roman"/>
          <w:sz w:val="20"/>
        </w:rPr>
      </w:pPr>
      <w:r>
        <w:rPr>
          <w:rFonts w:ascii="Times New Roman" w:hAnsi="Times New Roman" w:cs="Times New Roman"/>
        </w:rPr>
        <w:t>De esa cuenta, el nivel de préstamos externos netos, al 31 de marzo de 2015, es positivo en Q</w:t>
      </w:r>
      <w:r w:rsidR="00B552C4">
        <w:rPr>
          <w:rFonts w:ascii="Times New Roman" w:hAnsi="Times New Roman" w:cs="Times New Roman"/>
        </w:rPr>
        <w:t xml:space="preserve"> </w:t>
      </w:r>
      <w:r>
        <w:rPr>
          <w:rFonts w:ascii="Times New Roman" w:hAnsi="Times New Roman" w:cs="Times New Roman"/>
        </w:rPr>
        <w:t>2,737.8 millones, mientras que en los años anteriores, este ha sido negativo por el bajo flujo de desembolsos recibidos.  En lo que va del año resaltan los préstamos de apoyo presupuestario del Banco Mundial “</w:t>
      </w:r>
      <w:r w:rsidRPr="00B1100B">
        <w:rPr>
          <w:rFonts w:ascii="Times New Roman" w:hAnsi="Times New Roman" w:cs="Times New Roman"/>
        </w:rPr>
        <w:t>para políticas de desarrollo de manejo fiscal y financiero mejorado para lograr mayores</w:t>
      </w:r>
      <w:r>
        <w:rPr>
          <w:rFonts w:ascii="Times New Roman" w:hAnsi="Times New Roman" w:cs="Times New Roman"/>
        </w:rPr>
        <w:t xml:space="preserve"> </w:t>
      </w:r>
      <w:r w:rsidRPr="00B1100B">
        <w:rPr>
          <w:rFonts w:ascii="Times New Roman" w:hAnsi="Times New Roman" w:cs="Times New Roman"/>
        </w:rPr>
        <w:t>Oportunidades</w:t>
      </w:r>
      <w:r>
        <w:rPr>
          <w:rFonts w:ascii="Times New Roman" w:hAnsi="Times New Roman" w:cs="Times New Roman"/>
        </w:rPr>
        <w:t>” por US$</w:t>
      </w:r>
      <w:r w:rsidR="00B552C4">
        <w:rPr>
          <w:rFonts w:ascii="Times New Roman" w:hAnsi="Times New Roman" w:cs="Times New Roman"/>
        </w:rPr>
        <w:t xml:space="preserve"> </w:t>
      </w:r>
      <w:r>
        <w:rPr>
          <w:rFonts w:ascii="Times New Roman" w:hAnsi="Times New Roman" w:cs="Times New Roman"/>
        </w:rPr>
        <w:t>340 millones y el préstamo del BCIE “</w:t>
      </w:r>
      <w:r w:rsidRPr="00B1100B">
        <w:rPr>
          <w:rFonts w:ascii="Times New Roman" w:hAnsi="Times New Roman" w:cs="Times New Roman"/>
          <w:sz w:val="20"/>
        </w:rPr>
        <w:t>apoyo a proyectos de inversión en infraestructura social y productiva</w:t>
      </w:r>
      <w:r>
        <w:rPr>
          <w:rFonts w:ascii="Times New Roman" w:hAnsi="Times New Roman" w:cs="Times New Roman"/>
          <w:sz w:val="20"/>
        </w:rPr>
        <w:t>” por US$</w:t>
      </w:r>
      <w:r w:rsidR="00B552C4">
        <w:rPr>
          <w:rFonts w:ascii="Times New Roman" w:hAnsi="Times New Roman" w:cs="Times New Roman"/>
          <w:sz w:val="20"/>
        </w:rPr>
        <w:t xml:space="preserve"> </w:t>
      </w:r>
      <w:r>
        <w:rPr>
          <w:rFonts w:ascii="Times New Roman" w:hAnsi="Times New Roman" w:cs="Times New Roman"/>
          <w:sz w:val="20"/>
        </w:rPr>
        <w:t>100 millones.</w:t>
      </w:r>
    </w:p>
    <w:p w:rsidR="007B6097" w:rsidRDefault="007B6097" w:rsidP="007B6097">
      <w:pPr>
        <w:pStyle w:val="Sinespaciado"/>
        <w:jc w:val="both"/>
        <w:rPr>
          <w:rFonts w:ascii="Times New Roman" w:hAnsi="Times New Roman" w:cs="Times New Roman"/>
          <w:sz w:val="20"/>
        </w:rPr>
      </w:pPr>
    </w:p>
    <w:p w:rsidR="007B6097" w:rsidRDefault="007B6097" w:rsidP="007B6097">
      <w:pPr>
        <w:pStyle w:val="Sinespaciado"/>
        <w:jc w:val="both"/>
        <w:rPr>
          <w:rFonts w:ascii="Times New Roman" w:hAnsi="Times New Roman" w:cs="Times New Roman"/>
          <w:sz w:val="20"/>
        </w:rPr>
      </w:pPr>
    </w:p>
    <w:p w:rsidR="007B6097" w:rsidRDefault="007B6097" w:rsidP="007B6097">
      <w:pPr>
        <w:pStyle w:val="Sinespaciado"/>
        <w:jc w:val="both"/>
        <w:rPr>
          <w:rFonts w:ascii="Times New Roman" w:hAnsi="Times New Roman" w:cs="Times New Roman"/>
          <w:sz w:val="20"/>
        </w:rPr>
      </w:pPr>
    </w:p>
    <w:p w:rsidR="004A3359" w:rsidRDefault="004A3359" w:rsidP="007B6097">
      <w:pPr>
        <w:pStyle w:val="Sinespaciado"/>
        <w:jc w:val="both"/>
        <w:rPr>
          <w:rFonts w:ascii="Times New Roman" w:hAnsi="Times New Roman" w:cs="Times New Roman"/>
          <w:sz w:val="20"/>
        </w:rPr>
      </w:pPr>
    </w:p>
    <w:p w:rsidR="007B6097" w:rsidRPr="00B1100B" w:rsidRDefault="007B6097" w:rsidP="007B6097">
      <w:pPr>
        <w:pStyle w:val="Sinespaciado"/>
        <w:jc w:val="both"/>
        <w:rPr>
          <w:rFonts w:ascii="Times New Roman" w:hAnsi="Times New Roman" w:cs="Times New Roman"/>
          <w:sz w:val="20"/>
        </w:rPr>
      </w:pPr>
    </w:p>
    <w:p w:rsidR="007B6097" w:rsidRPr="00A02E0D" w:rsidRDefault="007B6097" w:rsidP="007B6097">
      <w:pPr>
        <w:pStyle w:val="Sinespaciado"/>
        <w:jc w:val="center"/>
        <w:rPr>
          <w:rFonts w:ascii="Times New Roman" w:hAnsi="Times New Roman" w:cs="Times New Roman"/>
          <w:b/>
        </w:rPr>
      </w:pPr>
      <w:r w:rsidRPr="00A02E0D">
        <w:rPr>
          <w:rFonts w:ascii="Times New Roman" w:hAnsi="Times New Roman" w:cs="Times New Roman"/>
          <w:b/>
        </w:rPr>
        <w:lastRenderedPageBreak/>
        <w:t>Préstamos Externos Netos</w:t>
      </w:r>
    </w:p>
    <w:p w:rsidR="007B6097" w:rsidRPr="00A02E0D" w:rsidRDefault="007B6097" w:rsidP="007B6097">
      <w:pPr>
        <w:pStyle w:val="Sinespaciado"/>
        <w:jc w:val="center"/>
        <w:rPr>
          <w:rFonts w:ascii="Times New Roman" w:hAnsi="Times New Roman" w:cs="Times New Roman"/>
          <w:sz w:val="18"/>
        </w:rPr>
      </w:pPr>
      <w:r w:rsidRPr="00A02E0D">
        <w:rPr>
          <w:rFonts w:ascii="Times New Roman" w:hAnsi="Times New Roman" w:cs="Times New Roman"/>
          <w:sz w:val="18"/>
        </w:rPr>
        <w:t>Marzo de cada año</w:t>
      </w:r>
    </w:p>
    <w:p w:rsidR="007B6097" w:rsidRDefault="007B6097" w:rsidP="007B6097">
      <w:pPr>
        <w:pStyle w:val="Sinespaciado"/>
        <w:jc w:val="center"/>
        <w:rPr>
          <w:rFonts w:ascii="Times New Roman" w:hAnsi="Times New Roman" w:cs="Times New Roman"/>
        </w:rPr>
      </w:pPr>
      <w:r w:rsidRPr="00A02E0D">
        <w:rPr>
          <w:rFonts w:ascii="Times New Roman" w:hAnsi="Times New Roman" w:cs="Times New Roman"/>
          <w:sz w:val="18"/>
        </w:rPr>
        <w:t>Millones de Quetzales</w:t>
      </w:r>
    </w:p>
    <w:p w:rsidR="007B6097" w:rsidRDefault="007B6097" w:rsidP="007B6097">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49F081CC" wp14:editId="2AB03984">
            <wp:extent cx="2651377" cy="1885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2855" cy="1894115"/>
                    </a:xfrm>
                    <a:prstGeom prst="rect">
                      <a:avLst/>
                    </a:prstGeom>
                    <a:noFill/>
                  </pic:spPr>
                </pic:pic>
              </a:graphicData>
            </a:graphic>
          </wp:inline>
        </w:drawing>
      </w:r>
    </w:p>
    <w:p w:rsidR="007B6097" w:rsidRDefault="007B6097" w:rsidP="007B609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B6097" w:rsidRDefault="007B6097" w:rsidP="007B6097">
      <w:pPr>
        <w:pStyle w:val="Sinespaciado"/>
        <w:jc w:val="both"/>
        <w:rPr>
          <w:rFonts w:ascii="Times New Roman" w:hAnsi="Times New Roman" w:cs="Times New Roman"/>
        </w:rPr>
      </w:pPr>
    </w:p>
    <w:p w:rsidR="007B6097" w:rsidRDefault="007B6097" w:rsidP="007B6097">
      <w:pPr>
        <w:pStyle w:val="Sinespaciado"/>
        <w:jc w:val="both"/>
        <w:rPr>
          <w:rFonts w:ascii="Times New Roman" w:hAnsi="Times New Roman" w:cs="Times New Roman"/>
        </w:rPr>
      </w:pPr>
      <w:r>
        <w:rPr>
          <w:rFonts w:ascii="Times New Roman" w:hAnsi="Times New Roman" w:cs="Times New Roman"/>
        </w:rPr>
        <w:t xml:space="preserve">Asimismo, en cuanto a </w:t>
      </w:r>
      <w:r w:rsidRPr="001A16F1">
        <w:rPr>
          <w:rFonts w:ascii="Times New Roman" w:hAnsi="Times New Roman" w:cs="Times New Roman"/>
        </w:rPr>
        <w:t>la colocación de Bonos del Tesoro</w:t>
      </w:r>
      <w:r>
        <w:rPr>
          <w:rFonts w:ascii="Times New Roman" w:hAnsi="Times New Roman" w:cs="Times New Roman"/>
        </w:rPr>
        <w:t>, en lo que lo va del año se ha adjudicado Q</w:t>
      </w:r>
      <w:r w:rsidR="00E57DD1">
        <w:rPr>
          <w:rFonts w:ascii="Times New Roman" w:hAnsi="Times New Roman" w:cs="Times New Roman"/>
        </w:rPr>
        <w:t xml:space="preserve"> </w:t>
      </w:r>
      <w:r>
        <w:rPr>
          <w:rFonts w:ascii="Times New Roman" w:hAnsi="Times New Roman" w:cs="Times New Roman"/>
        </w:rPr>
        <w:t xml:space="preserve">7,021.7 millones.  Las condiciones a las que fueron colocados los títulos siguen siendo bastante favorables ya que en términos generales se mantuvo el costo promedio en 7.42% y el plazo medio es de 14 años.  Además el monto colocado a la fecha ha sido en su mayoría con prima o a la par.  </w:t>
      </w:r>
    </w:p>
    <w:p w:rsidR="007B6097" w:rsidRDefault="007B6097" w:rsidP="007B6097">
      <w:pPr>
        <w:pStyle w:val="Sinespaciado"/>
        <w:jc w:val="both"/>
        <w:rPr>
          <w:rFonts w:ascii="Times New Roman" w:hAnsi="Times New Roman" w:cs="Times New Roman"/>
        </w:rPr>
      </w:pPr>
    </w:p>
    <w:p w:rsidR="007B6097" w:rsidRDefault="007B6097" w:rsidP="007B6097">
      <w:pPr>
        <w:pStyle w:val="Sinespaciado"/>
        <w:jc w:val="center"/>
        <w:rPr>
          <w:rFonts w:ascii="Times New Roman" w:hAnsi="Times New Roman" w:cs="Times New Roman"/>
          <w:b/>
        </w:rPr>
      </w:pPr>
      <w:r w:rsidRPr="0071717E">
        <w:rPr>
          <w:rFonts w:ascii="Times New Roman" w:hAnsi="Times New Roman" w:cs="Times New Roman"/>
          <w:b/>
        </w:rPr>
        <w:t xml:space="preserve">Condiciones </w:t>
      </w:r>
      <w:r>
        <w:rPr>
          <w:rFonts w:ascii="Times New Roman" w:hAnsi="Times New Roman" w:cs="Times New Roman"/>
          <w:b/>
        </w:rPr>
        <w:t>f</w:t>
      </w:r>
      <w:r w:rsidRPr="0071717E">
        <w:rPr>
          <w:rFonts w:ascii="Times New Roman" w:hAnsi="Times New Roman" w:cs="Times New Roman"/>
          <w:b/>
        </w:rPr>
        <w:t>inanciera</w:t>
      </w:r>
      <w:r>
        <w:rPr>
          <w:rFonts w:ascii="Times New Roman" w:hAnsi="Times New Roman" w:cs="Times New Roman"/>
          <w:b/>
        </w:rPr>
        <w:t>s</w:t>
      </w:r>
      <w:r w:rsidRPr="0071717E">
        <w:rPr>
          <w:rFonts w:ascii="Times New Roman" w:hAnsi="Times New Roman" w:cs="Times New Roman"/>
          <w:b/>
        </w:rPr>
        <w:t xml:space="preserve"> de la colocación de</w:t>
      </w:r>
      <w:r w:rsidRPr="003527FC">
        <w:rPr>
          <w:rFonts w:ascii="Times New Roman" w:hAnsi="Times New Roman" w:cs="Times New Roman"/>
          <w:b/>
        </w:rPr>
        <w:t xml:space="preserve"> Bonos del Tesoro</w:t>
      </w:r>
    </w:p>
    <w:p w:rsidR="007B6097" w:rsidRPr="00293FD6" w:rsidRDefault="007B6097" w:rsidP="007B6097">
      <w:pPr>
        <w:pStyle w:val="Sinespaciado"/>
        <w:jc w:val="center"/>
        <w:rPr>
          <w:rFonts w:ascii="Times New Roman" w:hAnsi="Times New Roman" w:cs="Times New Roman"/>
          <w:sz w:val="18"/>
        </w:rPr>
      </w:pPr>
      <w:r w:rsidRPr="00293FD6">
        <w:rPr>
          <w:rFonts w:ascii="Times New Roman" w:hAnsi="Times New Roman" w:cs="Times New Roman"/>
          <w:sz w:val="18"/>
        </w:rPr>
        <w:t>Al 31 de Marzo de 2015</w:t>
      </w:r>
    </w:p>
    <w:p w:rsidR="007B6097" w:rsidRDefault="007B6097" w:rsidP="007B6097">
      <w:pPr>
        <w:pStyle w:val="Sinespaciado"/>
        <w:jc w:val="both"/>
        <w:rPr>
          <w:rFonts w:ascii="Times New Roman" w:hAnsi="Times New Roman" w:cs="Times New Roman"/>
        </w:rPr>
      </w:pPr>
      <w:r w:rsidRPr="0035195D">
        <w:rPr>
          <w:noProof/>
          <w:lang w:eastAsia="es-GT"/>
        </w:rPr>
        <w:drawing>
          <wp:inline distT="0" distB="0" distL="0" distR="0" wp14:anchorId="459B3E97" wp14:editId="6FBD0530">
            <wp:extent cx="2570672" cy="1164566"/>
            <wp:effectExtent l="0" t="0" r="127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1275" cy="1169369"/>
                    </a:xfrm>
                    <a:prstGeom prst="rect">
                      <a:avLst/>
                    </a:prstGeom>
                    <a:noFill/>
                    <a:ln>
                      <a:noFill/>
                    </a:ln>
                  </pic:spPr>
                </pic:pic>
              </a:graphicData>
            </a:graphic>
          </wp:inline>
        </w:drawing>
      </w:r>
    </w:p>
    <w:p w:rsidR="007B6097" w:rsidRDefault="007B6097" w:rsidP="007B609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B6097" w:rsidRDefault="007B6097" w:rsidP="007B6097">
      <w:pPr>
        <w:pStyle w:val="Sinespaciado"/>
        <w:jc w:val="both"/>
        <w:rPr>
          <w:rFonts w:ascii="Times New Roman" w:hAnsi="Times New Roman" w:cs="Times New Roman"/>
        </w:rPr>
      </w:pPr>
    </w:p>
    <w:p w:rsidR="007B6097" w:rsidRDefault="007B6097" w:rsidP="007B6097">
      <w:pPr>
        <w:pStyle w:val="Sinespaciado"/>
        <w:jc w:val="both"/>
        <w:rPr>
          <w:rFonts w:ascii="Times New Roman" w:hAnsi="Times New Roman" w:cs="Times New Roman"/>
        </w:rPr>
      </w:pPr>
      <w:r>
        <w:rPr>
          <w:rFonts w:ascii="Times New Roman" w:hAnsi="Times New Roman" w:cs="Times New Roman"/>
        </w:rPr>
        <w:t xml:space="preserve">Es importante indicar que la demanda de los títulos en marzo fue sustancialmente superior a la obtenida en febrero, evento que se dio por un aumento en la liquidez que buena medida estuvo asociado al aumento en el gasto público entre finales de febrero y lo que se dio en el transcurso de marzo, esto muestra que la dinámica del gasto favorece la liquidez de la banca, se estima que en abril la dinámica de gasto se mantenga, sin embargo hay factores </w:t>
      </w:r>
      <w:r>
        <w:rPr>
          <w:rFonts w:ascii="Times New Roman" w:hAnsi="Times New Roman" w:cs="Times New Roman"/>
        </w:rPr>
        <w:lastRenderedPageBreak/>
        <w:t>desmonetizantes que podrían minimizar, este aumento de liquidez, como es el caso del vencimiento de impuestos importantes como el ISR pago trimestral y el ISO.</w:t>
      </w:r>
    </w:p>
    <w:p w:rsidR="007B6097" w:rsidRDefault="007B6097" w:rsidP="007B6097">
      <w:pPr>
        <w:pStyle w:val="Sinespaciado"/>
        <w:jc w:val="both"/>
        <w:rPr>
          <w:rFonts w:ascii="Times New Roman" w:hAnsi="Times New Roman" w:cs="Times New Roman"/>
        </w:rPr>
      </w:pPr>
    </w:p>
    <w:p w:rsidR="007B6097" w:rsidRDefault="007B6097" w:rsidP="007B6097">
      <w:pPr>
        <w:pStyle w:val="Sinespaciado"/>
        <w:jc w:val="both"/>
        <w:rPr>
          <w:rFonts w:ascii="Times New Roman" w:hAnsi="Times New Roman" w:cs="Times New Roman"/>
        </w:rPr>
      </w:pPr>
      <w:r>
        <w:rPr>
          <w:rFonts w:ascii="Times New Roman" w:hAnsi="Times New Roman" w:cs="Times New Roman"/>
        </w:rPr>
        <w:t>Asimismo, del total colocado (Q</w:t>
      </w:r>
      <w:r w:rsidR="00E57DD1">
        <w:rPr>
          <w:rFonts w:ascii="Times New Roman" w:hAnsi="Times New Roman" w:cs="Times New Roman"/>
        </w:rPr>
        <w:t xml:space="preserve"> </w:t>
      </w:r>
      <w:r>
        <w:rPr>
          <w:rFonts w:ascii="Times New Roman" w:hAnsi="Times New Roman" w:cs="Times New Roman"/>
        </w:rPr>
        <w:t>7,021.7 millones), Q</w:t>
      </w:r>
      <w:r w:rsidR="00E57DD1">
        <w:rPr>
          <w:rFonts w:ascii="Times New Roman" w:hAnsi="Times New Roman" w:cs="Times New Roman"/>
        </w:rPr>
        <w:t xml:space="preserve"> </w:t>
      </w:r>
      <w:r>
        <w:rPr>
          <w:rFonts w:ascii="Times New Roman" w:hAnsi="Times New Roman" w:cs="Times New Roman"/>
        </w:rPr>
        <w:t>2,862.2 millones se destinaron a financiamiento del presupuesto de este año y Q</w:t>
      </w:r>
      <w:r w:rsidR="00E57DD1">
        <w:rPr>
          <w:rFonts w:ascii="Times New Roman" w:hAnsi="Times New Roman" w:cs="Times New Roman"/>
        </w:rPr>
        <w:t xml:space="preserve"> </w:t>
      </w:r>
      <w:r>
        <w:rPr>
          <w:rFonts w:ascii="Times New Roman" w:hAnsi="Times New Roman" w:cs="Times New Roman"/>
        </w:rPr>
        <w:t xml:space="preserve">4,159.5 millones a roll over, agotándose este tipo de colocación, el cual debe utilizarse para liquidar los vencimientos de bonos de este año.  </w:t>
      </w:r>
    </w:p>
    <w:p w:rsidR="007B6097" w:rsidRDefault="007B6097" w:rsidP="007B6097">
      <w:pPr>
        <w:pStyle w:val="Sinespaciado"/>
        <w:jc w:val="both"/>
        <w:rPr>
          <w:rFonts w:ascii="Times New Roman" w:hAnsi="Times New Roman" w:cs="Times New Roman"/>
        </w:rPr>
      </w:pPr>
    </w:p>
    <w:p w:rsidR="007B6097" w:rsidRDefault="007B6097" w:rsidP="007B6097">
      <w:pPr>
        <w:pStyle w:val="Sinespaciado"/>
        <w:jc w:val="both"/>
        <w:rPr>
          <w:rFonts w:ascii="Times New Roman" w:hAnsi="Times New Roman" w:cs="Times New Roman"/>
        </w:rPr>
      </w:pPr>
      <w:r>
        <w:rPr>
          <w:rFonts w:ascii="Times New Roman" w:hAnsi="Times New Roman" w:cs="Times New Roman"/>
        </w:rPr>
        <w:t>De esa cuenta, el monto pendiente de colocar es de Q</w:t>
      </w:r>
      <w:r w:rsidR="00E57DD1">
        <w:rPr>
          <w:rFonts w:ascii="Times New Roman" w:hAnsi="Times New Roman" w:cs="Times New Roman"/>
        </w:rPr>
        <w:t xml:space="preserve"> </w:t>
      </w:r>
      <w:r>
        <w:rPr>
          <w:rFonts w:ascii="Times New Roman" w:hAnsi="Times New Roman" w:cs="Times New Roman"/>
        </w:rPr>
        <w:t>1,137.8 millones,  el cual podría adjudicarse entre abril y mayo, con ello finalizaría la colocación de Bonos del Tesoro autorizada por el Congreso de la República en el presupuesto aprobado para este año.</w:t>
      </w:r>
    </w:p>
    <w:p w:rsidR="007B6097" w:rsidRDefault="007B6097" w:rsidP="007B6097">
      <w:pPr>
        <w:pStyle w:val="Sinespaciado"/>
        <w:jc w:val="both"/>
        <w:rPr>
          <w:rFonts w:ascii="Times New Roman" w:hAnsi="Times New Roman" w:cs="Times New Roman"/>
        </w:rPr>
      </w:pPr>
    </w:p>
    <w:p w:rsidR="00E57DD1" w:rsidRDefault="00E57DD1" w:rsidP="007B6097">
      <w:pPr>
        <w:pStyle w:val="Sinespaciado"/>
        <w:jc w:val="both"/>
        <w:rPr>
          <w:rFonts w:ascii="Times New Roman" w:hAnsi="Times New Roman" w:cs="Times New Roman"/>
        </w:rPr>
      </w:pPr>
    </w:p>
    <w:p w:rsidR="00E57DD1" w:rsidRDefault="00E57DD1" w:rsidP="007B6097">
      <w:pPr>
        <w:pStyle w:val="Sinespaciado"/>
        <w:jc w:val="both"/>
        <w:rPr>
          <w:rFonts w:ascii="Times New Roman" w:hAnsi="Times New Roman" w:cs="Times New Roman"/>
        </w:rPr>
      </w:pPr>
    </w:p>
    <w:p w:rsidR="00E57DD1" w:rsidRDefault="00E57DD1" w:rsidP="007B6097">
      <w:pPr>
        <w:pStyle w:val="Sinespaciado"/>
        <w:jc w:val="both"/>
        <w:rPr>
          <w:rFonts w:ascii="Times New Roman" w:hAnsi="Times New Roman" w:cs="Times New Roman"/>
        </w:rPr>
      </w:pPr>
    </w:p>
    <w:p w:rsidR="00CC7672" w:rsidRDefault="00CC7672" w:rsidP="007B6097">
      <w:pPr>
        <w:pStyle w:val="Sinespaciado"/>
        <w:jc w:val="both"/>
        <w:rPr>
          <w:rFonts w:ascii="Times New Roman" w:hAnsi="Times New Roman" w:cs="Times New Roman"/>
        </w:rPr>
      </w:pPr>
    </w:p>
    <w:p w:rsidR="00CC7672" w:rsidRDefault="00CC7672" w:rsidP="007B6097">
      <w:pPr>
        <w:pStyle w:val="Sinespaciado"/>
        <w:jc w:val="both"/>
        <w:rPr>
          <w:rFonts w:ascii="Times New Roman" w:hAnsi="Times New Roman" w:cs="Times New Roman"/>
        </w:rPr>
      </w:pPr>
    </w:p>
    <w:p w:rsidR="00CC7672" w:rsidRDefault="00CC7672" w:rsidP="007B6097">
      <w:pPr>
        <w:pStyle w:val="Sinespaciado"/>
        <w:jc w:val="both"/>
        <w:rPr>
          <w:rFonts w:ascii="Times New Roman" w:hAnsi="Times New Roman" w:cs="Times New Roman"/>
        </w:rPr>
      </w:pPr>
    </w:p>
    <w:p w:rsidR="00CC7672" w:rsidRDefault="00CC7672" w:rsidP="007B6097">
      <w:pPr>
        <w:pStyle w:val="Sinespaciado"/>
        <w:jc w:val="both"/>
        <w:rPr>
          <w:rFonts w:ascii="Times New Roman" w:hAnsi="Times New Roman" w:cs="Times New Roman"/>
        </w:rPr>
      </w:pPr>
    </w:p>
    <w:p w:rsidR="00CC7672" w:rsidRDefault="00CC7672" w:rsidP="007B6097">
      <w:pPr>
        <w:pStyle w:val="Sinespaciado"/>
        <w:jc w:val="both"/>
        <w:rPr>
          <w:rFonts w:ascii="Times New Roman" w:hAnsi="Times New Roman" w:cs="Times New Roman"/>
        </w:rPr>
      </w:pPr>
    </w:p>
    <w:p w:rsidR="00E57DD1" w:rsidRDefault="00E57DD1" w:rsidP="007B6097">
      <w:pPr>
        <w:pStyle w:val="Sinespaciado"/>
        <w:jc w:val="both"/>
        <w:rPr>
          <w:rFonts w:ascii="Times New Roman" w:hAnsi="Times New Roman" w:cs="Times New Roman"/>
        </w:rPr>
      </w:pPr>
    </w:p>
    <w:p w:rsidR="00E57DD1" w:rsidRDefault="00E57DD1" w:rsidP="007B6097">
      <w:pPr>
        <w:pStyle w:val="Sinespaciado"/>
        <w:jc w:val="both"/>
        <w:rPr>
          <w:rFonts w:ascii="Times New Roman" w:hAnsi="Times New Roman" w:cs="Times New Roman"/>
        </w:rPr>
      </w:pPr>
    </w:p>
    <w:p w:rsidR="00E57DD1" w:rsidRPr="00E57DD1" w:rsidRDefault="00E57DD1" w:rsidP="007B6097">
      <w:pPr>
        <w:pStyle w:val="Sinespaciado"/>
        <w:jc w:val="both"/>
        <w:rPr>
          <w:rFonts w:ascii="Times New Roman" w:hAnsi="Times New Roman" w:cs="Times New Roman"/>
          <w:sz w:val="8"/>
        </w:rPr>
      </w:pPr>
    </w:p>
    <w:p w:rsidR="007B6097" w:rsidRDefault="007B6097" w:rsidP="007B6097">
      <w:pPr>
        <w:pStyle w:val="Sinespaciado"/>
        <w:jc w:val="center"/>
        <w:rPr>
          <w:rFonts w:ascii="Times New Roman" w:hAnsi="Times New Roman" w:cs="Times New Roman"/>
          <w:b/>
        </w:rPr>
      </w:pPr>
      <w:r w:rsidRPr="00AC3ADF">
        <w:rPr>
          <w:rFonts w:ascii="Times New Roman" w:hAnsi="Times New Roman" w:cs="Times New Roman"/>
          <w:b/>
        </w:rPr>
        <w:t>Destino de la colo</w:t>
      </w:r>
      <w:r>
        <w:rPr>
          <w:rFonts w:ascii="Times New Roman" w:hAnsi="Times New Roman" w:cs="Times New Roman"/>
          <w:b/>
        </w:rPr>
        <w:t>cación de Bonos del Tesoro al 31</w:t>
      </w:r>
      <w:r w:rsidRPr="00AC3ADF">
        <w:rPr>
          <w:rFonts w:ascii="Times New Roman" w:hAnsi="Times New Roman" w:cs="Times New Roman"/>
          <w:b/>
        </w:rPr>
        <w:t xml:space="preserve"> de </w:t>
      </w:r>
      <w:r>
        <w:rPr>
          <w:rFonts w:ascii="Times New Roman" w:hAnsi="Times New Roman" w:cs="Times New Roman"/>
          <w:b/>
        </w:rPr>
        <w:t>Marzo</w:t>
      </w:r>
      <w:r w:rsidRPr="00AC3ADF">
        <w:rPr>
          <w:rFonts w:ascii="Times New Roman" w:hAnsi="Times New Roman" w:cs="Times New Roman"/>
          <w:b/>
        </w:rPr>
        <w:t xml:space="preserve"> de 2015</w:t>
      </w:r>
    </w:p>
    <w:p w:rsidR="007B6097" w:rsidRPr="00AC3ADF" w:rsidRDefault="007B6097" w:rsidP="007B6097">
      <w:pPr>
        <w:pStyle w:val="Sinespaciado"/>
        <w:jc w:val="center"/>
        <w:rPr>
          <w:rFonts w:ascii="Times New Roman" w:hAnsi="Times New Roman" w:cs="Times New Roman"/>
          <w:sz w:val="18"/>
        </w:rPr>
      </w:pPr>
      <w:r w:rsidRPr="00AC3ADF">
        <w:rPr>
          <w:rFonts w:ascii="Times New Roman" w:hAnsi="Times New Roman" w:cs="Times New Roman"/>
          <w:sz w:val="18"/>
        </w:rPr>
        <w:t>Millones de Quetzales y Porcentajes</w:t>
      </w:r>
    </w:p>
    <w:p w:rsidR="007B6097" w:rsidRDefault="007B6097" w:rsidP="007B6097">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417CF694" wp14:editId="720C5412">
            <wp:extent cx="2495550" cy="182943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08688" cy="1839066"/>
                    </a:xfrm>
                    <a:prstGeom prst="rect">
                      <a:avLst/>
                    </a:prstGeom>
                    <a:noFill/>
                  </pic:spPr>
                </pic:pic>
              </a:graphicData>
            </a:graphic>
          </wp:inline>
        </w:drawing>
      </w:r>
    </w:p>
    <w:p w:rsidR="007B6097" w:rsidRDefault="007B6097" w:rsidP="007B609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B6097" w:rsidRDefault="007B6097" w:rsidP="007B6097">
      <w:pPr>
        <w:pStyle w:val="Sinespaciado"/>
        <w:jc w:val="both"/>
        <w:rPr>
          <w:rFonts w:ascii="Times New Roman" w:hAnsi="Times New Roman" w:cs="Times New Roman"/>
        </w:rPr>
      </w:pPr>
    </w:p>
    <w:p w:rsidR="00A17871" w:rsidRPr="00CC7672" w:rsidRDefault="007B6097" w:rsidP="00A17871">
      <w:pPr>
        <w:pStyle w:val="Sinespaciado"/>
        <w:jc w:val="both"/>
        <w:rPr>
          <w:rFonts w:ascii="Times New Roman" w:hAnsi="Times New Roman" w:cs="Times New Roman"/>
        </w:rPr>
      </w:pPr>
      <w:r>
        <w:rPr>
          <w:rFonts w:ascii="Times New Roman" w:hAnsi="Times New Roman" w:cs="Times New Roman"/>
        </w:rPr>
        <w:t xml:space="preserve">Dado </w:t>
      </w:r>
      <w:r w:rsidRPr="00040D1F">
        <w:rPr>
          <w:rFonts w:ascii="Times New Roman" w:hAnsi="Times New Roman" w:cs="Times New Roman"/>
        </w:rPr>
        <w:t xml:space="preserve">que el nivel de financiamiento neto obtenido supera el nivel de déficit fiscal, una parte de dicho financiamiento, propició un aumentó en los depósitos del gobierno en el Banco de Guatemala, por lo que </w:t>
      </w:r>
      <w:r w:rsidR="004A3359" w:rsidRPr="00040D1F">
        <w:rPr>
          <w:rFonts w:ascii="Times New Roman" w:hAnsi="Times New Roman" w:cs="Times New Roman"/>
        </w:rPr>
        <w:t>este aumento en las disponibilidades del gobierno permitirá</w:t>
      </w:r>
      <w:r w:rsidRPr="00040D1F">
        <w:rPr>
          <w:rFonts w:ascii="Times New Roman" w:hAnsi="Times New Roman" w:cs="Times New Roman"/>
        </w:rPr>
        <w:t>, de acuerdo a lo contemplado en el presupuesto, financiar parte de los compromisos del Estado que deberán atenderse en lo que resta del presente ejercicio fiscal.</w:t>
      </w:r>
    </w:p>
    <w:p w:rsidR="00CC7672" w:rsidRDefault="00CC7672" w:rsidP="00A17871">
      <w:pPr>
        <w:pStyle w:val="Sinespaciado"/>
        <w:jc w:val="both"/>
        <w:rPr>
          <w:rFonts w:ascii="Times New Roman" w:hAnsi="Times New Roman" w:cs="Times New Roman"/>
          <w:color w:val="FF0000"/>
          <w:lang w:val="es-MX"/>
        </w:rPr>
      </w:pPr>
    </w:p>
    <w:p w:rsidR="004A3359" w:rsidRPr="00220476" w:rsidRDefault="004A3359" w:rsidP="00A17871">
      <w:pPr>
        <w:pStyle w:val="Sinespaciado"/>
        <w:jc w:val="both"/>
        <w:rPr>
          <w:rFonts w:ascii="Times New Roman" w:hAnsi="Times New Roman" w:cs="Times New Roman"/>
          <w:color w:val="FF0000"/>
          <w:lang w:val="es-MX"/>
        </w:rPr>
        <w:sectPr w:rsidR="004A3359" w:rsidRPr="00220476" w:rsidSect="00336B3D">
          <w:type w:val="continuous"/>
          <w:pgSz w:w="12240" w:h="15840"/>
          <w:pgMar w:top="1627" w:right="1701" w:bottom="1417" w:left="1701" w:header="708" w:footer="708" w:gutter="0"/>
          <w:cols w:num="2" w:space="708"/>
          <w:docGrid w:linePitch="360"/>
        </w:sectPr>
      </w:pPr>
    </w:p>
    <w:p w:rsidR="0013777B" w:rsidRPr="00E57DD1" w:rsidRDefault="006434D8" w:rsidP="00FD23D8">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E57DD1">
        <w:rPr>
          <w:rFonts w:ascii="Times New Roman" w:hAnsi="Times New Roman" w:cs="Times New Roman"/>
          <w:b/>
          <w:lang w:val="es-MX"/>
        </w:rPr>
        <w:lastRenderedPageBreak/>
        <w:t xml:space="preserve">Ambientes </w:t>
      </w:r>
      <w:r w:rsidR="00C621D5" w:rsidRPr="00E57DD1">
        <w:rPr>
          <w:rFonts w:ascii="Times New Roman" w:hAnsi="Times New Roman" w:cs="Times New Roman"/>
          <w:b/>
          <w:lang w:val="es-MX"/>
        </w:rPr>
        <w:t xml:space="preserve">macroeconómicos </w:t>
      </w:r>
      <w:r w:rsidRPr="00E57DD1">
        <w:rPr>
          <w:rFonts w:ascii="Times New Roman" w:hAnsi="Times New Roman" w:cs="Times New Roman"/>
          <w:b/>
          <w:lang w:val="es-MX"/>
        </w:rPr>
        <w:t xml:space="preserve">externo e interno </w:t>
      </w:r>
    </w:p>
    <w:p w:rsidR="009D2C51" w:rsidRPr="00220476" w:rsidRDefault="009D2C51" w:rsidP="0013777B">
      <w:pPr>
        <w:pStyle w:val="Sinespaciado"/>
        <w:rPr>
          <w:color w:val="FF0000"/>
        </w:rPr>
      </w:pPr>
    </w:p>
    <w:p w:rsidR="00C77295" w:rsidRPr="00220476" w:rsidRDefault="00C77295" w:rsidP="0013777B">
      <w:pPr>
        <w:pStyle w:val="Sinespaciado"/>
        <w:rPr>
          <w:color w:val="FF0000"/>
        </w:rPr>
        <w:sectPr w:rsidR="00C77295" w:rsidRPr="00220476" w:rsidSect="0013777B">
          <w:type w:val="continuous"/>
          <w:pgSz w:w="12240" w:h="15840"/>
          <w:pgMar w:top="1627" w:right="1701" w:bottom="1417" w:left="1701" w:header="708" w:footer="708" w:gutter="0"/>
          <w:cols w:space="708"/>
          <w:docGrid w:linePitch="360"/>
        </w:sectPr>
      </w:pPr>
    </w:p>
    <w:p w:rsidR="009D2C51" w:rsidRPr="00040D1F" w:rsidRDefault="009D2C51" w:rsidP="00040D1F">
      <w:pPr>
        <w:pStyle w:val="Sinespaciado"/>
        <w:jc w:val="both"/>
        <w:rPr>
          <w:rFonts w:ascii="Times New Roman" w:hAnsi="Times New Roman" w:cs="Times New Roman"/>
        </w:rPr>
      </w:pPr>
      <w:r w:rsidRPr="00040D1F">
        <w:rPr>
          <w:rFonts w:ascii="Times New Roman" w:hAnsi="Times New Roman" w:cs="Times New Roman"/>
        </w:rPr>
        <w:lastRenderedPageBreak/>
        <w:t xml:space="preserve">En el entorno macroeconómico internacional,  las declaraciones de la directora general del FMI, Christine Lagarde, indican que el crecimiento mundial es "simplemente insuficiente" y lo mantiene como moderado y muy similar al del año 2014 (3.4%).  </w:t>
      </w:r>
      <w:r w:rsidR="00C864F9" w:rsidRPr="00040D1F">
        <w:rPr>
          <w:rFonts w:ascii="Times New Roman" w:hAnsi="Times New Roman" w:cs="Times New Roman"/>
        </w:rPr>
        <w:t>También confirmó</w:t>
      </w:r>
      <w:r w:rsidRPr="00040D1F">
        <w:rPr>
          <w:rFonts w:ascii="Times New Roman" w:hAnsi="Times New Roman" w:cs="Times New Roman"/>
        </w:rPr>
        <w:t xml:space="preserve"> que en los EEUU y Reino Unido </w:t>
      </w:r>
      <w:r w:rsidR="00C864F9" w:rsidRPr="00040D1F">
        <w:rPr>
          <w:rFonts w:ascii="Times New Roman" w:hAnsi="Times New Roman" w:cs="Times New Roman"/>
        </w:rPr>
        <w:t>existe evidencia</w:t>
      </w:r>
      <w:r w:rsidRPr="00040D1F">
        <w:rPr>
          <w:rFonts w:ascii="Times New Roman" w:hAnsi="Times New Roman" w:cs="Times New Roman"/>
        </w:rPr>
        <w:t xml:space="preserve"> de un mayor dinamismo, y </w:t>
      </w:r>
      <w:r w:rsidR="00C864F9" w:rsidRPr="00040D1F">
        <w:rPr>
          <w:rFonts w:ascii="Times New Roman" w:hAnsi="Times New Roman" w:cs="Times New Roman"/>
        </w:rPr>
        <w:t xml:space="preserve">que </w:t>
      </w:r>
      <w:r w:rsidRPr="00040D1F">
        <w:rPr>
          <w:rFonts w:ascii="Times New Roman" w:hAnsi="Times New Roman" w:cs="Times New Roman"/>
        </w:rPr>
        <w:t>el panorama ha mejorado en la Eurozona, así como para el caso excepcional de la economía hindú (</w:t>
      </w:r>
      <w:r w:rsidR="00C864F9" w:rsidRPr="00040D1F">
        <w:rPr>
          <w:rFonts w:ascii="Times New Roman" w:hAnsi="Times New Roman" w:cs="Times New Roman"/>
        </w:rPr>
        <w:t xml:space="preserve">se </w:t>
      </w:r>
      <w:r w:rsidRPr="00040D1F">
        <w:rPr>
          <w:rFonts w:ascii="Times New Roman" w:hAnsi="Times New Roman" w:cs="Times New Roman"/>
        </w:rPr>
        <w:t xml:space="preserve">espera que la economía de la India crezca un 7.5% en el próximo año fiscal 2015-2016, que comienza en abril, frente </w:t>
      </w:r>
      <w:r w:rsidR="00C864F9" w:rsidRPr="00040D1F">
        <w:rPr>
          <w:rFonts w:ascii="Times New Roman" w:hAnsi="Times New Roman" w:cs="Times New Roman"/>
        </w:rPr>
        <w:t>al 7.2% del año fiscal en curso;</w:t>
      </w:r>
      <w:r w:rsidRPr="00040D1F">
        <w:rPr>
          <w:rFonts w:ascii="Times New Roman" w:hAnsi="Times New Roman" w:cs="Times New Roman"/>
        </w:rPr>
        <w:t xml:space="preserve"> a esa tasa, sería la economía que más rápido crece en el mundo), y el dinamismo alcanzado por la economía de Indonesia.  Sin embargo, las proyecciones para la mayoría de los países emergentes son menos buenas que el año </w:t>
      </w:r>
      <w:r w:rsidRPr="00040D1F">
        <w:rPr>
          <w:rFonts w:ascii="Times New Roman" w:hAnsi="Times New Roman" w:cs="Times New Roman"/>
        </w:rPr>
        <w:lastRenderedPageBreak/>
        <w:t>pasado. El descenso de los precios de los productos básicos y del petróleo ha</w:t>
      </w:r>
      <w:r w:rsidR="00B552C4" w:rsidRPr="00040D1F">
        <w:rPr>
          <w:rFonts w:ascii="Times New Roman" w:hAnsi="Times New Roman" w:cs="Times New Roman"/>
        </w:rPr>
        <w:t>n</w:t>
      </w:r>
      <w:r w:rsidRPr="00040D1F">
        <w:rPr>
          <w:rFonts w:ascii="Times New Roman" w:hAnsi="Times New Roman" w:cs="Times New Roman"/>
        </w:rPr>
        <w:t xml:space="preserve"> afectado los ingresos por exportaciones de algunos países clave de los mercados emergentes como Brasil y Rusia, mientras que la fortaleza del dólar estadounidense ha exacerbado las salidas de capital de varios de los principales mercados emergentes, incluyendo China, Tailandia, Malasia y Corea del Sur. China se desacelera, Rusia se acerca a dificultades económicas, Brasil se ha estancado y el Medio Oriente está acosado por la inestabilidad política y económica.</w:t>
      </w:r>
    </w:p>
    <w:p w:rsidR="009D2C51" w:rsidRPr="00040D1F" w:rsidRDefault="009D2C51" w:rsidP="00040D1F">
      <w:pPr>
        <w:pStyle w:val="Sinespaciado"/>
        <w:jc w:val="both"/>
        <w:rPr>
          <w:rFonts w:ascii="Times New Roman" w:hAnsi="Times New Roman" w:cs="Times New Roman"/>
        </w:rPr>
      </w:pPr>
    </w:p>
    <w:p w:rsidR="009D2C51" w:rsidRPr="00040D1F" w:rsidRDefault="009D2C51" w:rsidP="00040D1F">
      <w:pPr>
        <w:pStyle w:val="Sinespaciado"/>
        <w:jc w:val="both"/>
        <w:rPr>
          <w:rFonts w:ascii="Times New Roman" w:hAnsi="Times New Roman" w:cs="Times New Roman"/>
        </w:rPr>
      </w:pPr>
      <w:r w:rsidRPr="00040D1F">
        <w:rPr>
          <w:rFonts w:ascii="Times New Roman" w:hAnsi="Times New Roman" w:cs="Times New Roman"/>
        </w:rPr>
        <w:t xml:space="preserve">La evolución económica en los EEUU continua ganando impulso a pesar de haber registrado un leve descenso en el nivel de las contrataciones, pues de acuerdo al último informe del Departamento Estadounidense de </w:t>
      </w:r>
      <w:r w:rsidRPr="00040D1F">
        <w:rPr>
          <w:rFonts w:ascii="Times New Roman" w:hAnsi="Times New Roman" w:cs="Times New Roman"/>
        </w:rPr>
        <w:lastRenderedPageBreak/>
        <w:t xml:space="preserve">Trabajo, éste indicó que en marzo se crearon 126.000 nuevos empleos, el menor incremento mensual desde finales de 2013 y muy por debajo de los 245.000 previstos por los analistas. </w:t>
      </w:r>
    </w:p>
    <w:p w:rsidR="00B552C4" w:rsidRPr="00040D1F" w:rsidRDefault="00B552C4" w:rsidP="00040D1F">
      <w:pPr>
        <w:pStyle w:val="Sinespaciado"/>
        <w:jc w:val="both"/>
        <w:rPr>
          <w:rFonts w:ascii="Times New Roman" w:hAnsi="Times New Roman" w:cs="Times New Roman"/>
        </w:rPr>
      </w:pPr>
    </w:p>
    <w:p w:rsidR="009D2C51" w:rsidRPr="00040D1F" w:rsidRDefault="009D2C51" w:rsidP="00040D1F">
      <w:pPr>
        <w:pStyle w:val="Sinespaciado"/>
        <w:jc w:val="both"/>
        <w:rPr>
          <w:rFonts w:ascii="Times New Roman" w:hAnsi="Times New Roman" w:cs="Times New Roman"/>
        </w:rPr>
      </w:pPr>
      <w:r w:rsidRPr="00040D1F">
        <w:rPr>
          <w:rFonts w:ascii="Times New Roman" w:hAnsi="Times New Roman" w:cs="Times New Roman"/>
        </w:rPr>
        <w:t>En la Eurozona los indicadores publicados hoy por la OCDE, apuntan hacia un fortalecimiento del crecimiento en el conjunto de esta región. De acuerdo a estos resultados y conforme un informe de la OECD la Eurozona se encuentra en un "momento de fortalecimiento económico", con señales positivas de cambio, especialmente en Italia, Francia  y Alemania.</w:t>
      </w:r>
    </w:p>
    <w:p w:rsidR="009D2C51" w:rsidRPr="00040D1F" w:rsidRDefault="009D2C51" w:rsidP="00040D1F">
      <w:pPr>
        <w:pStyle w:val="Sinespaciado"/>
        <w:jc w:val="both"/>
        <w:rPr>
          <w:rFonts w:ascii="Times New Roman" w:hAnsi="Times New Roman" w:cs="Times New Roman"/>
        </w:rPr>
      </w:pPr>
    </w:p>
    <w:p w:rsidR="009D2C51" w:rsidRPr="00040D1F" w:rsidRDefault="009D2C51" w:rsidP="00040D1F">
      <w:pPr>
        <w:pStyle w:val="Sinespaciado"/>
        <w:jc w:val="both"/>
        <w:rPr>
          <w:rFonts w:ascii="Times New Roman" w:hAnsi="Times New Roman" w:cs="Times New Roman"/>
        </w:rPr>
      </w:pPr>
      <w:r w:rsidRPr="00040D1F">
        <w:rPr>
          <w:rFonts w:ascii="Times New Roman" w:hAnsi="Times New Roman" w:cs="Times New Roman"/>
        </w:rPr>
        <w:t xml:space="preserve">En el caso de la ralentización del crecimiento de China, a criterio de la Directora del FMI, éste  contribuye a la estabilidad económica y financiera global y a la sostenibilidad medioambiental. </w:t>
      </w:r>
    </w:p>
    <w:p w:rsidR="009D2C51" w:rsidRPr="00040D1F" w:rsidRDefault="009D2C51" w:rsidP="00040D1F">
      <w:pPr>
        <w:pStyle w:val="Sinespaciado"/>
        <w:jc w:val="both"/>
        <w:rPr>
          <w:rFonts w:ascii="Times New Roman" w:hAnsi="Times New Roman" w:cs="Times New Roman"/>
        </w:rPr>
      </w:pPr>
    </w:p>
    <w:p w:rsidR="009D2C51" w:rsidRPr="00040D1F" w:rsidRDefault="007E395A" w:rsidP="00040D1F">
      <w:pPr>
        <w:pStyle w:val="Sinespaciado"/>
        <w:jc w:val="both"/>
        <w:rPr>
          <w:rFonts w:ascii="Times New Roman" w:hAnsi="Times New Roman" w:cs="Times New Roman"/>
        </w:rPr>
      </w:pPr>
      <w:r w:rsidRPr="00040D1F">
        <w:rPr>
          <w:rFonts w:ascii="Times New Roman" w:hAnsi="Times New Roman" w:cs="Times New Roman"/>
        </w:rPr>
        <w:t>Con respecto a las proyecciones del crecimient</w:t>
      </w:r>
      <w:r w:rsidR="004A3359">
        <w:rPr>
          <w:rFonts w:ascii="Times New Roman" w:hAnsi="Times New Roman" w:cs="Times New Roman"/>
        </w:rPr>
        <w:t>o económico para América Latina</w:t>
      </w:r>
      <w:r w:rsidRPr="00040D1F">
        <w:rPr>
          <w:rFonts w:ascii="Times New Roman" w:hAnsi="Times New Roman" w:cs="Times New Roman"/>
        </w:rPr>
        <w:t xml:space="preserve"> en 2015, l</w:t>
      </w:r>
      <w:r w:rsidR="009D2C51" w:rsidRPr="00040D1F">
        <w:rPr>
          <w:rFonts w:ascii="Times New Roman" w:hAnsi="Times New Roman" w:cs="Times New Roman"/>
        </w:rPr>
        <w:t xml:space="preserve">a CEPAL en su reciente publicación “Balance Preliminar de las Economías de América Latina y el Caribe 2014” </w:t>
      </w:r>
      <w:r w:rsidRPr="00040D1F">
        <w:rPr>
          <w:rFonts w:ascii="Times New Roman" w:hAnsi="Times New Roman" w:cs="Times New Roman"/>
        </w:rPr>
        <w:t xml:space="preserve">las </w:t>
      </w:r>
      <w:r w:rsidR="009D2C51" w:rsidRPr="00040D1F">
        <w:rPr>
          <w:rFonts w:ascii="Times New Roman" w:hAnsi="Times New Roman" w:cs="Times New Roman"/>
        </w:rPr>
        <w:t>revisó a la baja</w:t>
      </w:r>
      <w:r w:rsidRPr="00040D1F">
        <w:rPr>
          <w:rFonts w:ascii="Times New Roman" w:hAnsi="Times New Roman" w:cs="Times New Roman"/>
        </w:rPr>
        <w:t xml:space="preserve">, </w:t>
      </w:r>
      <w:r w:rsidR="00040D1F">
        <w:rPr>
          <w:rFonts w:ascii="Times New Roman" w:hAnsi="Times New Roman" w:cs="Times New Roman"/>
        </w:rPr>
        <w:t>debido</w:t>
      </w:r>
      <w:r w:rsidRPr="00040D1F">
        <w:rPr>
          <w:rFonts w:ascii="Times New Roman" w:hAnsi="Times New Roman" w:cs="Times New Roman"/>
        </w:rPr>
        <w:t xml:space="preserve"> a </w:t>
      </w:r>
      <w:r w:rsidR="009D2C51" w:rsidRPr="00040D1F">
        <w:rPr>
          <w:rFonts w:ascii="Times New Roman" w:hAnsi="Times New Roman" w:cs="Times New Roman"/>
        </w:rPr>
        <w:t xml:space="preserve">la influencia de un entorno global caracterizado por una dinámica económica menor a la esperada a fines de 2014. </w:t>
      </w:r>
      <w:r w:rsidR="00040D1F">
        <w:rPr>
          <w:rFonts w:ascii="Times New Roman" w:hAnsi="Times New Roman" w:cs="Times New Roman"/>
        </w:rPr>
        <w:t xml:space="preserve"> </w:t>
      </w:r>
      <w:r w:rsidR="009D2C51" w:rsidRPr="00040D1F">
        <w:rPr>
          <w:rFonts w:ascii="Times New Roman" w:hAnsi="Times New Roman" w:cs="Times New Roman"/>
        </w:rPr>
        <w:t>A nivel subregional, la CEPAL proyecta una tasa de crecimiento cercana a cero para América del Sur, mientras que en Centroamérica y México alcanzaría 3.2 % y en el Caribe 1.9%.</w:t>
      </w:r>
    </w:p>
    <w:p w:rsidR="00B552C4" w:rsidRPr="00040D1F" w:rsidRDefault="00B552C4" w:rsidP="00040D1F">
      <w:pPr>
        <w:pStyle w:val="Sinespaciado"/>
        <w:jc w:val="both"/>
        <w:rPr>
          <w:rFonts w:ascii="Times New Roman" w:hAnsi="Times New Roman" w:cs="Times New Roman"/>
        </w:rPr>
      </w:pPr>
    </w:p>
    <w:p w:rsidR="00150921" w:rsidRDefault="00C00F4E" w:rsidP="00040D1F">
      <w:pPr>
        <w:pStyle w:val="Sinespaciado"/>
        <w:jc w:val="both"/>
        <w:rPr>
          <w:rFonts w:ascii="Times New Roman" w:hAnsi="Times New Roman" w:cs="Times New Roman"/>
        </w:rPr>
      </w:pPr>
      <w:r w:rsidRPr="00040D1F">
        <w:rPr>
          <w:rFonts w:ascii="Times New Roman" w:hAnsi="Times New Roman" w:cs="Times New Roman"/>
        </w:rPr>
        <w:t xml:space="preserve">En el ámbito nacional, </w:t>
      </w:r>
      <w:r w:rsidR="00150921">
        <w:rPr>
          <w:rFonts w:ascii="Times New Roman" w:hAnsi="Times New Roman" w:cs="Times New Roman"/>
        </w:rPr>
        <w:t>f</w:t>
      </w:r>
      <w:r w:rsidR="00150921" w:rsidRPr="007E395A">
        <w:rPr>
          <w:rFonts w:ascii="Times New Roman" w:hAnsi="Times New Roman" w:cs="Times New Roman"/>
        </w:rPr>
        <w:t xml:space="preserve">actores como el buen desempeño de la actividad económica y la tendencia general de los precios que se mantienen dentro de la meta de inflación principalmente, incidieron en la decisión de la Junta Monetaria de mantener en marzo el nivel de la tasa de interés líder de política monetaria en 3.5%.  </w:t>
      </w:r>
    </w:p>
    <w:p w:rsidR="00F47547" w:rsidRPr="00040D1F" w:rsidRDefault="00F47547" w:rsidP="00040D1F">
      <w:pPr>
        <w:pStyle w:val="Sinespaciado"/>
        <w:jc w:val="both"/>
        <w:rPr>
          <w:rFonts w:ascii="Times New Roman" w:hAnsi="Times New Roman" w:cs="Times New Roman"/>
        </w:rPr>
      </w:pPr>
    </w:p>
    <w:p w:rsidR="009D2C51" w:rsidRPr="00040D1F" w:rsidRDefault="009D2C51" w:rsidP="00040D1F">
      <w:pPr>
        <w:pStyle w:val="Sinespaciado"/>
        <w:jc w:val="both"/>
        <w:rPr>
          <w:rFonts w:ascii="Times New Roman" w:hAnsi="Times New Roman" w:cs="Times New Roman"/>
        </w:rPr>
      </w:pPr>
      <w:r w:rsidRPr="00040D1F">
        <w:rPr>
          <w:rFonts w:ascii="Times New Roman" w:hAnsi="Times New Roman" w:cs="Times New Roman"/>
        </w:rPr>
        <w:t xml:space="preserve">Continúa siendo positivo el comportamiento de los niveles de liquidez interna y del crédito en la economía, que de acuerdo a información de la Superintendencia de Bancos, se concentra en financiamiento al consumo y al </w:t>
      </w:r>
      <w:r w:rsidRPr="00040D1F">
        <w:rPr>
          <w:rFonts w:ascii="Times New Roman" w:hAnsi="Times New Roman" w:cs="Times New Roman"/>
        </w:rPr>
        <w:lastRenderedPageBreak/>
        <w:t xml:space="preserve">comercio interno, en una escala mayor a los otros sectores de la actividad económica.   </w:t>
      </w:r>
    </w:p>
    <w:p w:rsidR="009D2C51" w:rsidRPr="00040D1F" w:rsidRDefault="009D2C51" w:rsidP="00040D1F">
      <w:pPr>
        <w:pStyle w:val="Sinespaciado"/>
        <w:jc w:val="both"/>
        <w:rPr>
          <w:rFonts w:ascii="Times New Roman" w:hAnsi="Times New Roman" w:cs="Times New Roman"/>
        </w:rPr>
      </w:pPr>
    </w:p>
    <w:p w:rsidR="00040D1F" w:rsidRDefault="008107FE" w:rsidP="00040D1F">
      <w:pPr>
        <w:pStyle w:val="Sinespaciado"/>
        <w:jc w:val="both"/>
        <w:rPr>
          <w:rFonts w:ascii="Times New Roman" w:hAnsi="Times New Roman" w:cs="Times New Roman"/>
        </w:rPr>
      </w:pPr>
      <w:r w:rsidRPr="00040D1F">
        <w:rPr>
          <w:rFonts w:ascii="Times New Roman" w:hAnsi="Times New Roman" w:cs="Times New Roman"/>
        </w:rPr>
        <w:t>L</w:t>
      </w:r>
      <w:r w:rsidR="00EB0332" w:rsidRPr="00040D1F">
        <w:rPr>
          <w:rFonts w:ascii="Times New Roman" w:hAnsi="Times New Roman" w:cs="Times New Roman"/>
        </w:rPr>
        <w:t>os niveles de inflación en marzo</w:t>
      </w:r>
      <w:r w:rsidRPr="00040D1F">
        <w:rPr>
          <w:rFonts w:ascii="Times New Roman" w:hAnsi="Times New Roman" w:cs="Times New Roman"/>
        </w:rPr>
        <w:t xml:space="preserve"> registraron</w:t>
      </w:r>
      <w:r w:rsidR="00EB0332" w:rsidRPr="00040D1F">
        <w:rPr>
          <w:rFonts w:ascii="Times New Roman" w:hAnsi="Times New Roman" w:cs="Times New Roman"/>
        </w:rPr>
        <w:t xml:space="preserve"> una variación intermensual de 0.21</w:t>
      </w:r>
      <w:r w:rsidRPr="00040D1F">
        <w:rPr>
          <w:rFonts w:ascii="Times New Roman" w:hAnsi="Times New Roman" w:cs="Times New Roman"/>
        </w:rPr>
        <w:t>% e interanual de 2.</w:t>
      </w:r>
      <w:r w:rsidR="00EB0332" w:rsidRPr="00040D1F">
        <w:rPr>
          <w:rFonts w:ascii="Times New Roman" w:hAnsi="Times New Roman" w:cs="Times New Roman"/>
        </w:rPr>
        <w:t>4</w:t>
      </w:r>
      <w:r w:rsidRPr="00040D1F">
        <w:rPr>
          <w:rFonts w:ascii="Times New Roman" w:hAnsi="Times New Roman" w:cs="Times New Roman"/>
        </w:rPr>
        <w:t>3%</w:t>
      </w:r>
      <w:r w:rsidR="00EB0332" w:rsidRPr="00040D1F">
        <w:rPr>
          <w:rFonts w:ascii="Times New Roman" w:hAnsi="Times New Roman" w:cs="Times New Roman"/>
        </w:rPr>
        <w:t xml:space="preserve"> y una variación acumulada de 0.17%;</w:t>
      </w:r>
      <w:r w:rsidRPr="00040D1F">
        <w:rPr>
          <w:rFonts w:ascii="Times New Roman" w:hAnsi="Times New Roman" w:cs="Times New Roman"/>
        </w:rPr>
        <w:t xml:space="preserve"> el costo de adquisición de la Canast</w:t>
      </w:r>
      <w:r w:rsidR="00EB0332" w:rsidRPr="00040D1F">
        <w:rPr>
          <w:rFonts w:ascii="Times New Roman" w:hAnsi="Times New Roman" w:cs="Times New Roman"/>
        </w:rPr>
        <w:t xml:space="preserve">a Básica Alimentaria aumentó </w:t>
      </w:r>
      <w:r w:rsidR="00B552C4" w:rsidRPr="00040D1F">
        <w:rPr>
          <w:rFonts w:ascii="Times New Roman" w:hAnsi="Times New Roman" w:cs="Times New Roman"/>
        </w:rPr>
        <w:t xml:space="preserve">    </w:t>
      </w:r>
      <w:r w:rsidR="00EB0332" w:rsidRPr="00040D1F">
        <w:rPr>
          <w:rFonts w:ascii="Times New Roman" w:hAnsi="Times New Roman" w:cs="Times New Roman"/>
        </w:rPr>
        <w:t>Q 0.6</w:t>
      </w:r>
      <w:r w:rsidRPr="00040D1F">
        <w:rPr>
          <w:rFonts w:ascii="Times New Roman" w:hAnsi="Times New Roman" w:cs="Times New Roman"/>
        </w:rPr>
        <w:t xml:space="preserve">0 con relación al registrado el mes anterior </w:t>
      </w:r>
      <w:r w:rsidR="00EB0332" w:rsidRPr="00040D1F">
        <w:rPr>
          <w:rFonts w:ascii="Times New Roman" w:hAnsi="Times New Roman" w:cs="Times New Roman"/>
        </w:rPr>
        <w:t xml:space="preserve"> y respecto a marzo 2014 se incrementó Q 337.20.  E</w:t>
      </w:r>
      <w:r w:rsidRPr="00040D1F">
        <w:rPr>
          <w:rFonts w:ascii="Times New Roman" w:hAnsi="Times New Roman" w:cs="Times New Roman"/>
        </w:rPr>
        <w:t>l costo de adquisición de la C</w:t>
      </w:r>
      <w:r w:rsidR="00EB0332" w:rsidRPr="00040D1F">
        <w:rPr>
          <w:rFonts w:ascii="Times New Roman" w:hAnsi="Times New Roman" w:cs="Times New Roman"/>
        </w:rPr>
        <w:t>anasta Básica Vital aumentó Q 1.10</w:t>
      </w:r>
      <w:r w:rsidRPr="00040D1F">
        <w:rPr>
          <w:rFonts w:ascii="Times New Roman" w:hAnsi="Times New Roman" w:cs="Times New Roman"/>
        </w:rPr>
        <w:t xml:space="preserve"> con respecto al mes anterior</w:t>
      </w:r>
      <w:r w:rsidR="00EB0332" w:rsidRPr="00040D1F">
        <w:rPr>
          <w:rFonts w:ascii="Times New Roman" w:hAnsi="Times New Roman" w:cs="Times New Roman"/>
        </w:rPr>
        <w:t xml:space="preserve"> y respecto a marzo 2014 se incrementó </w:t>
      </w:r>
      <w:r w:rsidR="00B552C4" w:rsidRPr="00040D1F">
        <w:rPr>
          <w:rFonts w:ascii="Times New Roman" w:hAnsi="Times New Roman" w:cs="Times New Roman"/>
        </w:rPr>
        <w:t xml:space="preserve">        </w:t>
      </w:r>
      <w:r w:rsidR="00EB0332" w:rsidRPr="00040D1F">
        <w:rPr>
          <w:rFonts w:ascii="Times New Roman" w:hAnsi="Times New Roman" w:cs="Times New Roman"/>
        </w:rPr>
        <w:t>Q 615.33</w:t>
      </w:r>
      <w:r w:rsidRPr="00040D1F">
        <w:rPr>
          <w:rFonts w:ascii="Times New Roman" w:hAnsi="Times New Roman" w:cs="Times New Roman"/>
        </w:rPr>
        <w:t>, según el informe del INE.</w:t>
      </w:r>
      <w:r w:rsidR="00506166" w:rsidRPr="00040D1F">
        <w:rPr>
          <w:rFonts w:ascii="Times New Roman" w:hAnsi="Times New Roman" w:cs="Times New Roman"/>
        </w:rPr>
        <w:t xml:space="preserve">   </w:t>
      </w:r>
    </w:p>
    <w:p w:rsidR="00040D1F" w:rsidRDefault="00040D1F" w:rsidP="00040D1F">
      <w:pPr>
        <w:pStyle w:val="Sinespaciado"/>
        <w:jc w:val="both"/>
        <w:rPr>
          <w:rFonts w:ascii="Times New Roman" w:hAnsi="Times New Roman" w:cs="Times New Roman"/>
        </w:rPr>
      </w:pPr>
    </w:p>
    <w:p w:rsidR="001F3551" w:rsidRDefault="00506166" w:rsidP="00040D1F">
      <w:pPr>
        <w:pStyle w:val="Sinespaciado"/>
        <w:jc w:val="both"/>
        <w:rPr>
          <w:rFonts w:ascii="Times New Roman" w:hAnsi="Times New Roman" w:cs="Times New Roman"/>
        </w:rPr>
      </w:pPr>
      <w:r w:rsidRPr="00040D1F">
        <w:rPr>
          <w:rFonts w:ascii="Times New Roman" w:hAnsi="Times New Roman" w:cs="Times New Roman"/>
        </w:rPr>
        <w:t xml:space="preserve">La actividad económica continúa mostrando crecimiento, la más reciente publicación de los resultados del IMAE indica que existió un crecimiento de 4.8% en febrero 2015, impulsado por el desempeño de las actividades económicas como Transporte, almacenamiento y comunicaciones, Comercio al por mayor y menor y Servicios privados.   Se esperaría que el ritmo de la actividad económica para el primer trimestre del 2015 continúe evolucionando positivamente debido al estímulo que provocan los precios de los combustibles, la estabilidad en el tipo de cambio nominal y el fortalecimiento del mercado interno.   </w:t>
      </w:r>
    </w:p>
    <w:p w:rsidR="00404BC4" w:rsidRDefault="00404BC4" w:rsidP="00040D1F">
      <w:pPr>
        <w:pStyle w:val="Sinespaciado"/>
        <w:jc w:val="both"/>
        <w:rPr>
          <w:rFonts w:ascii="Times New Roman" w:hAnsi="Times New Roman" w:cs="Times New Roman"/>
        </w:rPr>
      </w:pPr>
    </w:p>
    <w:p w:rsidR="00404BC4" w:rsidRDefault="00404BC4" w:rsidP="00040D1F">
      <w:pPr>
        <w:pStyle w:val="Sinespaciado"/>
        <w:jc w:val="both"/>
        <w:rPr>
          <w:rFonts w:ascii="Times New Roman" w:hAnsi="Times New Roman" w:cs="Times New Roman"/>
        </w:rPr>
      </w:pPr>
    </w:p>
    <w:p w:rsidR="00404BC4" w:rsidRDefault="00404BC4" w:rsidP="00040D1F">
      <w:pPr>
        <w:pStyle w:val="Sinespaciado"/>
        <w:jc w:val="both"/>
        <w:rPr>
          <w:rFonts w:ascii="Times New Roman" w:hAnsi="Times New Roman" w:cs="Times New Roman"/>
        </w:rPr>
      </w:pPr>
    </w:p>
    <w:sectPr w:rsidR="00404BC4" w:rsidSect="00404BC4">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627" w:right="1701" w:bottom="1418" w:left="1701" w:header="680"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43" w:rsidRDefault="00D13E43" w:rsidP="00A6098E">
      <w:pPr>
        <w:spacing w:after="0" w:line="240" w:lineRule="auto"/>
      </w:pPr>
      <w:r>
        <w:separator/>
      </w:r>
    </w:p>
  </w:endnote>
  <w:endnote w:type="continuationSeparator" w:id="0">
    <w:p w:rsidR="00D13E43" w:rsidRDefault="00D13E43" w:rsidP="00A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11538"/>
      <w:docPartObj>
        <w:docPartGallery w:val="Page Numbers (Bottom of Page)"/>
        <w:docPartUnique/>
      </w:docPartObj>
    </w:sdtPr>
    <w:sdtEndPr>
      <w:rPr>
        <w:rFonts w:ascii="Times New Roman" w:hAnsi="Times New Roman"/>
        <w:color w:val="4F81BD" w:themeColor="accent1"/>
        <w:sz w:val="20"/>
        <w:szCs w:val="20"/>
      </w:rPr>
    </w:sdtEndPr>
    <w:sdtContent>
      <w:p w:rsidR="00052EE7" w:rsidRDefault="00052EE7" w:rsidP="00A46956">
        <w:pPr>
          <w:pStyle w:val="Encabezado"/>
          <w:jc w:val="right"/>
        </w:pPr>
      </w:p>
      <w:p w:rsidR="00052EE7" w:rsidRDefault="00052EE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6912" behindDoc="0" locked="0" layoutInCell="1" allowOverlap="1" wp14:anchorId="4CB0AE4C" wp14:editId="311B6CA2">
                  <wp:simplePos x="0" y="0"/>
                  <wp:positionH relativeFrom="column">
                    <wp:posOffset>1663700</wp:posOffset>
                  </wp:positionH>
                  <wp:positionV relativeFrom="paragraph">
                    <wp:posOffset>-7620</wp:posOffset>
                  </wp:positionV>
                  <wp:extent cx="4010025" cy="0"/>
                  <wp:effectExtent l="0" t="0" r="9525" b="19050"/>
                  <wp:wrapNone/>
                  <wp:docPr id="5"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B811EC" id="6 Conector recto"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sn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pbr7Jw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052EE7" w:rsidRPr="007A041E" w:rsidRDefault="00052EE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6C50E5">
      <w:rPr>
        <w:rFonts w:ascii="Times New Roman" w:hAnsi="Times New Roman"/>
        <w:b/>
        <w:noProof/>
        <w:color w:val="4F81BD" w:themeColor="accent1"/>
        <w:sz w:val="20"/>
        <w:szCs w:val="20"/>
      </w:rPr>
      <w:t>2</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207572"/>
      <w:docPartObj>
        <w:docPartGallery w:val="Page Numbers (Bottom of Page)"/>
        <w:docPartUnique/>
      </w:docPartObj>
    </w:sdtPr>
    <w:sdtEndPr>
      <w:rPr>
        <w:rFonts w:ascii="Times New Roman" w:hAnsi="Times New Roman"/>
        <w:color w:val="4F81BD" w:themeColor="accent1"/>
        <w:sz w:val="20"/>
        <w:szCs w:val="20"/>
      </w:rPr>
    </w:sdtEndPr>
    <w:sdtContent>
      <w:p w:rsidR="007A041E" w:rsidRDefault="007A041E" w:rsidP="00A46956">
        <w:pPr>
          <w:pStyle w:val="Encabezado"/>
          <w:jc w:val="right"/>
        </w:pPr>
      </w:p>
      <w:p w:rsidR="004B2DD6" w:rsidRDefault="004B2DD6"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63360" behindDoc="0" locked="0" layoutInCell="1" allowOverlap="1" wp14:anchorId="15E57001" wp14:editId="1E069EE5">
                  <wp:simplePos x="0" y="0"/>
                  <wp:positionH relativeFrom="column">
                    <wp:posOffset>1663700</wp:posOffset>
                  </wp:positionH>
                  <wp:positionV relativeFrom="paragraph">
                    <wp:posOffset>-7620</wp:posOffset>
                  </wp:positionV>
                  <wp:extent cx="4010025" cy="0"/>
                  <wp:effectExtent l="0" t="0" r="9525" b="19050"/>
                  <wp:wrapNone/>
                  <wp:docPr id="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A6F087" id="6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kG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WHPZBg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4B2DD6" w:rsidRPr="007A041E" w:rsidRDefault="004B2DD6"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6C50E5">
      <w:rPr>
        <w:rFonts w:ascii="Times New Roman" w:hAnsi="Times New Roman"/>
        <w:b/>
        <w:noProof/>
        <w:color w:val="4F81BD" w:themeColor="accent1"/>
        <w:sz w:val="20"/>
        <w:szCs w:val="20"/>
      </w:rPr>
      <w:t>5</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p w:rsidR="00AA31E8" w:rsidRDefault="00AA31E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633798"/>
      <w:docPartObj>
        <w:docPartGallery w:val="Page Numbers (Bottom of Page)"/>
        <w:docPartUnique/>
      </w:docPartObj>
    </w:sdtPr>
    <w:sdtEndPr>
      <w:rPr>
        <w:rFonts w:asciiTheme="minorHAnsi" w:hAnsiTheme="minorHAnsi" w:cstheme="minorBidi"/>
        <w:color w:val="4F81BD" w:themeColor="accent1"/>
        <w:sz w:val="20"/>
        <w:szCs w:val="20"/>
      </w:rPr>
    </w:sdtEndPr>
    <w:sdtContent>
      <w:p w:rsidR="004B2DD6" w:rsidRDefault="004B2DD6" w:rsidP="00A46956">
        <w:pPr>
          <w:pStyle w:val="Encabezado"/>
          <w:jc w:val="right"/>
          <w:rPr>
            <w:color w:val="4F81BD" w:themeColor="accent1"/>
            <w:sz w:val="20"/>
            <w:szCs w:val="20"/>
          </w:rPr>
        </w:pPr>
        <w:r w:rsidRPr="009B3CA9">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67456" behindDoc="0" locked="0" layoutInCell="1" allowOverlap="1" wp14:anchorId="659C96D3" wp14:editId="4352F704">
                  <wp:simplePos x="0" y="0"/>
                  <wp:positionH relativeFrom="column">
                    <wp:posOffset>1663700</wp:posOffset>
                  </wp:positionH>
                  <wp:positionV relativeFrom="paragraph">
                    <wp:posOffset>-7620</wp:posOffset>
                  </wp:positionV>
                  <wp:extent cx="4010025" cy="0"/>
                  <wp:effectExtent l="0" t="0" r="9525" b="19050"/>
                  <wp:wrapNone/>
                  <wp:docPr id="2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D992988" id="6 Conector recto"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" strokecolor="#4579b8">
                  <o:lock v:ext="edit" shapetype="f"/>
                </v:line>
              </w:pict>
            </mc:Fallback>
          </mc:AlternateContent>
        </w:r>
        <w:r w:rsidRPr="009B3CA9">
          <w:rPr>
            <w:rFonts w:ascii="Times New Roman" w:hAnsi="Times New Roman" w:cs="Times New Roman"/>
            <w:color w:val="0F243E" w:themeColor="text2" w:themeShade="80"/>
            <w:sz w:val="20"/>
            <w:szCs w:val="20"/>
          </w:rPr>
          <w:t>Dirección de Análisis y Política Fiscal</w:t>
        </w:r>
        <w:r w:rsidRPr="009B3CA9">
          <w:rPr>
            <w:rFonts w:ascii="Times New Roman" w:hAnsi="Times New Roman" w:cs="Times New Roman"/>
            <w:color w:val="4F81BD" w:themeColor="accent1"/>
            <w:sz w:val="20"/>
            <w:szCs w:val="20"/>
          </w:rPr>
          <w:t xml:space="preserve"> </w:t>
        </w:r>
      </w:p>
    </w:sdtContent>
  </w:sdt>
  <w:p w:rsidR="004B2DD6" w:rsidRPr="007A041E" w:rsidRDefault="004B2DD6" w:rsidP="007A041E">
    <w:pPr>
      <w:pStyle w:val="Piedepgina"/>
      <w:jc w:val="right"/>
      <w:rPr>
        <w:rFonts w:ascii="Times New Roman" w:hAnsi="Times New Roman" w:cs="Times New Roman"/>
        <w:color w:val="4F81BD" w:themeColor="accent1"/>
        <w:sz w:val="20"/>
        <w:szCs w:val="20"/>
      </w:rPr>
    </w:pPr>
    <w:r w:rsidRPr="009B3CA9">
      <w:rPr>
        <w:rFonts w:ascii="Times New Roman" w:hAnsi="Times New Roman" w:cs="Times New Roman"/>
        <w:b/>
        <w:color w:val="4F81BD" w:themeColor="accent1"/>
        <w:sz w:val="20"/>
        <w:szCs w:val="20"/>
      </w:rPr>
      <w:t xml:space="preserve">Página </w:t>
    </w:r>
    <w:r w:rsidRPr="009B3CA9">
      <w:rPr>
        <w:rFonts w:ascii="Times New Roman" w:hAnsi="Times New Roman" w:cs="Times New Roman"/>
        <w:b/>
        <w:color w:val="4F81BD" w:themeColor="accent1"/>
        <w:sz w:val="20"/>
        <w:szCs w:val="20"/>
      </w:rPr>
      <w:fldChar w:fldCharType="begin"/>
    </w:r>
    <w:r w:rsidRPr="009B3CA9">
      <w:rPr>
        <w:rFonts w:ascii="Times New Roman" w:hAnsi="Times New Roman" w:cs="Times New Roman"/>
        <w:b/>
        <w:color w:val="4F81BD" w:themeColor="accent1"/>
        <w:sz w:val="20"/>
        <w:szCs w:val="20"/>
      </w:rPr>
      <w:instrText>PAGE   \* MERGEFORMAT</w:instrText>
    </w:r>
    <w:r w:rsidRPr="009B3CA9">
      <w:rPr>
        <w:rFonts w:ascii="Times New Roman" w:hAnsi="Times New Roman" w:cs="Times New Roman"/>
        <w:b/>
        <w:color w:val="4F81BD" w:themeColor="accent1"/>
        <w:sz w:val="20"/>
        <w:szCs w:val="20"/>
      </w:rPr>
      <w:fldChar w:fldCharType="separate"/>
    </w:r>
    <w:r w:rsidR="006C50E5">
      <w:rPr>
        <w:rFonts w:ascii="Times New Roman" w:hAnsi="Times New Roman" w:cs="Times New Roman"/>
        <w:b/>
        <w:noProof/>
        <w:color w:val="4F81BD" w:themeColor="accent1"/>
        <w:sz w:val="20"/>
        <w:szCs w:val="20"/>
      </w:rPr>
      <w:t>7</w:t>
    </w:r>
    <w:r w:rsidRPr="009B3CA9">
      <w:rPr>
        <w:rFonts w:ascii="Times New Roman" w:hAnsi="Times New Roman" w:cs="Times New Roman"/>
        <w:b/>
        <w:color w:val="4F81BD" w:themeColor="accent1"/>
        <w:sz w:val="20"/>
        <w:szCs w:val="20"/>
      </w:rPr>
      <w:fldChar w:fldCharType="end"/>
    </w:r>
    <w:r w:rsidR="007A041E">
      <w:rPr>
        <w:rFonts w:ascii="Times New Roman" w:hAnsi="Times New Roman" w:cs="Times New Roman"/>
        <w:color w:val="4F81BD" w:themeColor="accent1"/>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p w:rsidR="004B2DD6" w:rsidRDefault="004B2DD6"/>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162148"/>
      <w:docPartObj>
        <w:docPartGallery w:val="Page Numbers (Bottom of Page)"/>
        <w:docPartUnique/>
      </w:docPartObj>
    </w:sdtPr>
    <w:sdtEndPr>
      <w:rPr>
        <w:rFonts w:ascii="Times New Roman" w:hAnsi="Times New Roman" w:cs="Times New Roman"/>
        <w:color w:val="4F81BD" w:themeColor="accent1"/>
        <w:sz w:val="20"/>
        <w:szCs w:val="20"/>
      </w:rPr>
    </w:sdtEndPr>
    <w:sdtContent>
      <w:p w:rsidR="007A041E" w:rsidRPr="007A041E" w:rsidRDefault="007A041E" w:rsidP="007A041E">
        <w:pPr>
          <w:pStyle w:val="Encabezado"/>
          <w:rPr>
            <w:sz w:val="2"/>
            <w:szCs w:val="2"/>
          </w:rPr>
        </w:pPr>
      </w:p>
      <w:p w:rsidR="004B2DD6" w:rsidRPr="005D13A6" w:rsidRDefault="004B2DD6" w:rsidP="00017573">
        <w:pPr>
          <w:pStyle w:val="Encabezado"/>
          <w:ind w:right="-93"/>
          <w:jc w:val="right"/>
          <w:rPr>
            <w:rFonts w:ascii="Times New Roman" w:hAnsi="Times New Roman" w:cs="Times New Roman"/>
            <w:color w:val="4F81BD" w:themeColor="accent1"/>
            <w:sz w:val="20"/>
            <w:szCs w:val="20"/>
          </w:rPr>
        </w:pPr>
        <w:r w:rsidRPr="005D13A6">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71552" behindDoc="0" locked="0" layoutInCell="1" allowOverlap="1" wp14:anchorId="151601DB" wp14:editId="0851EBDB">
                  <wp:simplePos x="0" y="0"/>
                  <wp:positionH relativeFrom="column">
                    <wp:posOffset>1851025</wp:posOffset>
                  </wp:positionH>
                  <wp:positionV relativeFrom="paragraph">
                    <wp:posOffset>-7620</wp:posOffset>
                  </wp:positionV>
                  <wp:extent cx="4010025" cy="0"/>
                  <wp:effectExtent l="0" t="0" r="9525" b="19050"/>
                  <wp:wrapNone/>
                  <wp:docPr id="2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415F2B" id="6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75pt,-.6pt" to="4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Ty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" strokecolor="#4579b8">
                  <o:lock v:ext="edit" shapetype="f"/>
                </v:line>
              </w:pict>
            </mc:Fallback>
          </mc:AlternateContent>
        </w:r>
        <w:r w:rsidRPr="005D13A6">
          <w:rPr>
            <w:rFonts w:ascii="Times New Roman" w:hAnsi="Times New Roman" w:cs="Times New Roman"/>
            <w:color w:val="0F243E" w:themeColor="text2" w:themeShade="80"/>
            <w:sz w:val="20"/>
            <w:szCs w:val="20"/>
          </w:rPr>
          <w:t>Dirección de Análisis y Política Fiscal</w:t>
        </w:r>
        <w:r w:rsidRPr="005D13A6">
          <w:rPr>
            <w:rFonts w:ascii="Times New Roman" w:hAnsi="Times New Roman" w:cs="Times New Roman"/>
            <w:color w:val="4F81BD" w:themeColor="accent1"/>
            <w:sz w:val="20"/>
            <w:szCs w:val="20"/>
          </w:rPr>
          <w:t xml:space="preserve"> </w:t>
        </w:r>
      </w:p>
    </w:sdtContent>
  </w:sdt>
  <w:p w:rsidR="004B2DD6" w:rsidRPr="007A041E" w:rsidRDefault="004B2DD6" w:rsidP="00017573">
    <w:pPr>
      <w:pStyle w:val="Piedepgina"/>
      <w:ind w:right="-93"/>
      <w:jc w:val="right"/>
      <w:rPr>
        <w:rFonts w:ascii="Times New Roman" w:hAnsi="Times New Roman" w:cs="Times New Roman"/>
        <w:color w:val="4F81BD" w:themeColor="accent1"/>
        <w:sz w:val="20"/>
        <w:szCs w:val="20"/>
      </w:rPr>
    </w:pPr>
    <w:r w:rsidRPr="005D13A6">
      <w:rPr>
        <w:rFonts w:ascii="Times New Roman" w:hAnsi="Times New Roman" w:cs="Times New Roman"/>
        <w:b/>
        <w:color w:val="4F81BD" w:themeColor="accent1"/>
        <w:sz w:val="20"/>
        <w:szCs w:val="20"/>
      </w:rPr>
      <w:t xml:space="preserve">Página </w:t>
    </w:r>
    <w:r w:rsidRPr="005D13A6">
      <w:rPr>
        <w:rFonts w:ascii="Times New Roman" w:hAnsi="Times New Roman" w:cs="Times New Roman"/>
        <w:b/>
        <w:color w:val="4F81BD" w:themeColor="accent1"/>
        <w:sz w:val="20"/>
        <w:szCs w:val="20"/>
      </w:rPr>
      <w:fldChar w:fldCharType="begin"/>
    </w:r>
    <w:r w:rsidRPr="005D13A6">
      <w:rPr>
        <w:rFonts w:ascii="Times New Roman" w:hAnsi="Times New Roman" w:cs="Times New Roman"/>
        <w:b/>
        <w:color w:val="4F81BD" w:themeColor="accent1"/>
        <w:sz w:val="20"/>
        <w:szCs w:val="20"/>
      </w:rPr>
      <w:instrText>PAGE   \* MERGEFORMAT</w:instrText>
    </w:r>
    <w:r w:rsidRPr="005D13A6">
      <w:rPr>
        <w:rFonts w:ascii="Times New Roman" w:hAnsi="Times New Roman" w:cs="Times New Roman"/>
        <w:b/>
        <w:color w:val="4F81BD" w:themeColor="accent1"/>
        <w:sz w:val="20"/>
        <w:szCs w:val="20"/>
      </w:rPr>
      <w:fldChar w:fldCharType="separate"/>
    </w:r>
    <w:r w:rsidR="006C50E5">
      <w:rPr>
        <w:rFonts w:ascii="Times New Roman" w:hAnsi="Times New Roman" w:cs="Times New Roman"/>
        <w:b/>
        <w:noProof/>
        <w:color w:val="4F81BD" w:themeColor="accent1"/>
        <w:sz w:val="20"/>
        <w:szCs w:val="20"/>
      </w:rPr>
      <w:t>8</w:t>
    </w:r>
    <w:r w:rsidRPr="005D13A6">
      <w:rPr>
        <w:rFonts w:ascii="Times New Roman" w:hAnsi="Times New Roman" w:cs="Times New Roman"/>
        <w:b/>
        <w:color w:val="4F81BD" w:themeColor="accent1"/>
        <w:sz w:val="20"/>
        <w:szCs w:val="20"/>
      </w:rPr>
      <w:fldChar w:fldCharType="end"/>
    </w:r>
    <w:r w:rsidR="007A041E">
      <w:rPr>
        <w:rFonts w:ascii="Times New Roman" w:hAnsi="Times New Roman" w:cs="Times New Roman"/>
        <w:color w:val="4F81BD" w:themeColor="accent1"/>
        <w:sz w:val="20"/>
        <w:szCs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43" w:rsidRDefault="00D13E43" w:rsidP="00A6098E">
      <w:pPr>
        <w:spacing w:after="0" w:line="240" w:lineRule="auto"/>
      </w:pPr>
      <w:r>
        <w:separator/>
      </w:r>
    </w:p>
  </w:footnote>
  <w:footnote w:type="continuationSeparator" w:id="0">
    <w:p w:rsidR="00D13E43" w:rsidRDefault="00D13E43" w:rsidP="00A6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E7" w:rsidRPr="004920BA" w:rsidRDefault="00052EE7"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5888" behindDoc="1" locked="0" layoutInCell="1" allowOverlap="1" wp14:anchorId="48FA304E" wp14:editId="411C08DC">
          <wp:simplePos x="0" y="0"/>
          <wp:positionH relativeFrom="margin">
            <wp:posOffset>158750</wp:posOffset>
          </wp:positionH>
          <wp:positionV relativeFrom="margin">
            <wp:posOffset>-565150</wp:posOffset>
          </wp:positionV>
          <wp:extent cx="1733550" cy="474345"/>
          <wp:effectExtent l="0" t="0" r="0" b="1905"/>
          <wp:wrapNone/>
          <wp:docPr id="1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052EE7" w:rsidRDefault="00052EE7"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4864" behindDoc="0" locked="0" layoutInCell="1" allowOverlap="1" wp14:anchorId="6B8CC8AB" wp14:editId="12FB45C7">
              <wp:simplePos x="0" y="0"/>
              <wp:positionH relativeFrom="column">
                <wp:posOffset>1986915</wp:posOffset>
              </wp:positionH>
              <wp:positionV relativeFrom="paragraph">
                <wp:posOffset>146050</wp:posOffset>
              </wp:positionV>
              <wp:extent cx="4010025" cy="0"/>
              <wp:effectExtent l="0" t="0" r="9525" b="19050"/>
              <wp:wrapNone/>
              <wp:docPr id="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CF45F6" id="6 Conector recto"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Lz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Pr>
        <w:rFonts w:ascii="Times New Roman" w:hAnsi="Times New Roman"/>
        <w:color w:val="0F243E" w:themeColor="text2" w:themeShade="80"/>
        <w:sz w:val="20"/>
        <w:szCs w:val="20"/>
      </w:rPr>
      <w:t xml:space="preserve">Marzo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Pr="004920BA" w:rsidRDefault="004B2DD6"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1312" behindDoc="1" locked="0" layoutInCell="1" allowOverlap="1" wp14:anchorId="73D7D30B" wp14:editId="39C84C74">
          <wp:simplePos x="0" y="0"/>
          <wp:positionH relativeFrom="margin">
            <wp:posOffset>158750</wp:posOffset>
          </wp:positionH>
          <wp:positionV relativeFrom="margin">
            <wp:posOffset>-565150</wp:posOffset>
          </wp:positionV>
          <wp:extent cx="1733550" cy="474345"/>
          <wp:effectExtent l="0" t="0" r="0" b="1905"/>
          <wp:wrapNone/>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4B2DD6" w:rsidRDefault="004B2DD6"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9264" behindDoc="0" locked="0" layoutInCell="1" allowOverlap="1" wp14:anchorId="5429C77F" wp14:editId="61D7264E">
              <wp:simplePos x="0" y="0"/>
              <wp:positionH relativeFrom="column">
                <wp:posOffset>1986915</wp:posOffset>
              </wp:positionH>
              <wp:positionV relativeFrom="paragraph">
                <wp:posOffset>146050</wp:posOffset>
              </wp:positionV>
              <wp:extent cx="4010025" cy="0"/>
              <wp:effectExtent l="0" t="0" r="9525" b="19050"/>
              <wp:wrapNone/>
              <wp:docPr id="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B87D3A4"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kDQ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CMRnZA0CAAAc&#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8C313F">
      <w:rPr>
        <w:rFonts w:ascii="Times New Roman" w:hAnsi="Times New Roman"/>
        <w:color w:val="0F243E" w:themeColor="text2" w:themeShade="80"/>
        <w:sz w:val="20"/>
        <w:szCs w:val="20"/>
      </w:rPr>
      <w:t>Marz</w:t>
    </w:r>
    <w:r w:rsidR="00F6224F">
      <w:rPr>
        <w:rFonts w:ascii="Times New Roman" w:hAnsi="Times New Roman"/>
        <w:color w:val="0F243E" w:themeColor="text2" w:themeShade="80"/>
        <w:sz w:val="20"/>
        <w:szCs w:val="20"/>
      </w:rPr>
      <w:t>o</w:t>
    </w:r>
    <w:r w:rsidR="001967A7">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sidR="001967A7">
      <w:rPr>
        <w:rFonts w:ascii="Times New Roman" w:hAnsi="Times New Roman"/>
        <w:color w:val="0F243E" w:themeColor="text2" w:themeShade="80"/>
        <w:sz w:val="20"/>
        <w:szCs w:val="20"/>
      </w:rPr>
      <w:t>5</w:t>
    </w:r>
  </w:p>
  <w:p w:rsidR="00AA31E8" w:rsidRDefault="00AA31E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Pr="004920BA" w:rsidRDefault="004B2DD6" w:rsidP="005D13A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6432" behindDoc="1" locked="0" layoutInCell="1" allowOverlap="1" wp14:anchorId="27DEDEAC" wp14:editId="2C1142E1">
          <wp:simplePos x="0" y="0"/>
          <wp:positionH relativeFrom="margin">
            <wp:posOffset>158750</wp:posOffset>
          </wp:positionH>
          <wp:positionV relativeFrom="margin">
            <wp:posOffset>-641350</wp:posOffset>
          </wp:positionV>
          <wp:extent cx="1733550" cy="474345"/>
          <wp:effectExtent l="0" t="0" r="0" b="1905"/>
          <wp:wrapNone/>
          <wp:docPr id="2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b/>
        <w:color w:val="0F243E" w:themeColor="text2" w:themeShade="80"/>
      </w:rPr>
      <w:t xml:space="preserve">                 </w:t>
    </w:r>
    <w:r>
      <w:rPr>
        <w:b/>
        <w:color w:val="0F243E" w:themeColor="text2" w:themeShade="80"/>
      </w:rPr>
      <w:t xml:space="preserve">                              </w:t>
    </w:r>
    <w:r w:rsidRPr="004920BA">
      <w:rPr>
        <w:rFonts w:ascii="Times New Roman" w:hAnsi="Times New Roman"/>
        <w:b/>
        <w:color w:val="0F243E" w:themeColor="text2" w:themeShade="80"/>
      </w:rPr>
      <w:t xml:space="preserve">Informe de las Finanzas Públicas </w:t>
    </w:r>
  </w:p>
  <w:p w:rsidR="00F6224F" w:rsidRDefault="004B2DD6" w:rsidP="00F6224F">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73600" behindDoc="0" locked="0" layoutInCell="1" allowOverlap="1" wp14:anchorId="2D3F75C6" wp14:editId="76960411">
              <wp:simplePos x="0" y="0"/>
              <wp:positionH relativeFrom="column">
                <wp:posOffset>1986915</wp:posOffset>
              </wp:positionH>
              <wp:positionV relativeFrom="paragraph">
                <wp:posOffset>146050</wp:posOffset>
              </wp:positionV>
              <wp:extent cx="4010025" cy="0"/>
              <wp:effectExtent l="0" t="0" r="9525" b="19050"/>
              <wp:wrapNone/>
              <wp:docPr id="3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97B589" id="6 Conector recto"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Mf7DPw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E57DD1">
      <w:rPr>
        <w:rFonts w:ascii="Times New Roman" w:hAnsi="Times New Roman"/>
        <w:color w:val="0F243E" w:themeColor="text2" w:themeShade="80"/>
        <w:sz w:val="20"/>
        <w:szCs w:val="20"/>
      </w:rPr>
      <w:t>Marzo</w:t>
    </w:r>
    <w:r w:rsidR="00F6224F">
      <w:rPr>
        <w:rFonts w:ascii="Times New Roman" w:hAnsi="Times New Roman"/>
        <w:color w:val="0F243E" w:themeColor="text2" w:themeShade="80"/>
        <w:sz w:val="20"/>
        <w:szCs w:val="20"/>
      </w:rPr>
      <w:t xml:space="preserve"> </w:t>
    </w:r>
    <w:r w:rsidR="00F6224F" w:rsidRPr="004920BA">
      <w:rPr>
        <w:rFonts w:ascii="Times New Roman" w:hAnsi="Times New Roman"/>
        <w:color w:val="0F243E" w:themeColor="text2" w:themeShade="80"/>
        <w:sz w:val="20"/>
        <w:szCs w:val="20"/>
      </w:rPr>
      <w:t>201</w:t>
    </w:r>
    <w:r w:rsidR="00F6224F">
      <w:rPr>
        <w:rFonts w:ascii="Times New Roman" w:hAnsi="Times New Roman"/>
        <w:color w:val="0F243E" w:themeColor="text2" w:themeShade="80"/>
        <w:sz w:val="20"/>
        <w:szCs w:val="20"/>
      </w:rPr>
      <w:t>5</w:t>
    </w:r>
  </w:p>
  <w:p w:rsidR="009A1D84" w:rsidRDefault="009A1D84" w:rsidP="009A1D84">
    <w:pPr>
      <w:pStyle w:val="Encabezado"/>
      <w:jc w:val="right"/>
      <w:rPr>
        <w:rFonts w:ascii="Times New Roman" w:hAnsi="Times New Roman"/>
        <w:color w:val="0F243E" w:themeColor="text2" w:themeShade="80"/>
        <w:sz w:val="20"/>
        <w:szCs w:val="20"/>
      </w:rPr>
    </w:pPr>
  </w:p>
  <w:p w:rsidR="004B2DD6" w:rsidRPr="0076629E" w:rsidRDefault="004B2DD6" w:rsidP="0076629E">
    <w:pPr>
      <w:pStyle w:val="Encabezado"/>
      <w:jc w:val="right"/>
      <w:rPr>
        <w:rFonts w:ascii="Times New Roman" w:hAnsi="Times New Roman"/>
        <w:color w:val="0F243E" w:themeColor="text2" w:themeShade="80"/>
        <w:sz w:val="20"/>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p w:rsidR="004B2DD6" w:rsidRDefault="004B2DD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8" w:rsidRPr="004920BA" w:rsidRDefault="009B52B8" w:rsidP="009B52B8">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1792" behindDoc="1" locked="0" layoutInCell="1" allowOverlap="1" wp14:anchorId="51D7AD93" wp14:editId="5A2ABB5D">
          <wp:simplePos x="0" y="0"/>
          <wp:positionH relativeFrom="margin">
            <wp:posOffset>158750</wp:posOffset>
          </wp:positionH>
          <wp:positionV relativeFrom="margin">
            <wp:posOffset>-641350</wp:posOffset>
          </wp:positionV>
          <wp:extent cx="1733550" cy="474345"/>
          <wp:effectExtent l="0" t="0" r="0" b="190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b/>
        <w:color w:val="0F243E" w:themeColor="text2" w:themeShade="80"/>
      </w:rPr>
      <w:t xml:space="preserve">                 </w:t>
    </w:r>
    <w:r>
      <w:rPr>
        <w:b/>
        <w:color w:val="0F243E" w:themeColor="text2" w:themeShade="80"/>
      </w:rPr>
      <w:t xml:space="preserve">                              </w:t>
    </w:r>
    <w:r w:rsidRPr="004920BA">
      <w:rPr>
        <w:rFonts w:ascii="Times New Roman" w:hAnsi="Times New Roman"/>
        <w:b/>
        <w:color w:val="0F243E" w:themeColor="text2" w:themeShade="80"/>
      </w:rPr>
      <w:t xml:space="preserve">Informe de las Finanzas Públicas </w:t>
    </w:r>
  </w:p>
  <w:p w:rsidR="00F6224F" w:rsidRDefault="009B52B8" w:rsidP="00F6224F">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2816" behindDoc="0" locked="0" layoutInCell="1" allowOverlap="1" wp14:anchorId="3462CC42" wp14:editId="4D42C1EA">
              <wp:simplePos x="0" y="0"/>
              <wp:positionH relativeFrom="column">
                <wp:posOffset>2057282</wp:posOffset>
              </wp:positionH>
              <wp:positionV relativeFrom="paragraph">
                <wp:posOffset>146050</wp:posOffset>
              </wp:positionV>
              <wp:extent cx="4010025" cy="0"/>
              <wp:effectExtent l="0" t="0" r="9525" b="19050"/>
              <wp:wrapNone/>
              <wp:docPr id="2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7E442E" id="6 Conector recto"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2pt,11.5pt" to="47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A2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7B54AB">
      <w:rPr>
        <w:rFonts w:ascii="Times New Roman" w:hAnsi="Times New Roman"/>
        <w:color w:val="0F243E" w:themeColor="text2" w:themeShade="80"/>
        <w:sz w:val="20"/>
        <w:szCs w:val="20"/>
      </w:rPr>
      <w:t>Febr</w:t>
    </w:r>
    <w:r w:rsidR="00F6224F">
      <w:rPr>
        <w:rFonts w:ascii="Times New Roman" w:hAnsi="Times New Roman"/>
        <w:color w:val="0F243E" w:themeColor="text2" w:themeShade="80"/>
        <w:sz w:val="20"/>
        <w:szCs w:val="20"/>
      </w:rPr>
      <w:t xml:space="preserve">ero </w:t>
    </w:r>
    <w:r w:rsidR="00F6224F" w:rsidRPr="004920BA">
      <w:rPr>
        <w:rFonts w:ascii="Times New Roman" w:hAnsi="Times New Roman"/>
        <w:color w:val="0F243E" w:themeColor="text2" w:themeShade="80"/>
        <w:sz w:val="20"/>
        <w:szCs w:val="20"/>
      </w:rPr>
      <w:t>201</w:t>
    </w:r>
    <w:r w:rsidR="00F6224F">
      <w:rPr>
        <w:rFonts w:ascii="Times New Roman" w:hAnsi="Times New Roman"/>
        <w:color w:val="0F243E" w:themeColor="text2" w:themeShade="80"/>
        <w:sz w:val="20"/>
        <w:szCs w:val="20"/>
      </w:rPr>
      <w:t>5</w:t>
    </w:r>
  </w:p>
  <w:p w:rsidR="004B2DD6" w:rsidRPr="004A1025" w:rsidRDefault="004B2DD6" w:rsidP="00444213">
    <w:pPr>
      <w:pStyle w:val="Encabezado"/>
      <w:jc w:val="right"/>
      <w:rPr>
        <w:rFonts w:ascii="Times New Roman" w:hAnsi="Times New Roman"/>
        <w:color w:val="0F243E" w:themeColor="text2" w:themeShade="80"/>
        <w:sz w:val="20"/>
        <w:szCs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790"/>
    <w:multiLevelType w:val="hybridMultilevel"/>
    <w:tmpl w:val="49F478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B7B0D4A"/>
    <w:multiLevelType w:val="hybridMultilevel"/>
    <w:tmpl w:val="FE2ED948"/>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C0D7CD2"/>
    <w:multiLevelType w:val="hybridMultilevel"/>
    <w:tmpl w:val="0BFE6956"/>
    <w:lvl w:ilvl="0" w:tplc="4D12FE22">
      <w:start w:val="2013"/>
      <w:numFmt w:val="bullet"/>
      <w:lvlText w:val=""/>
      <w:lvlJc w:val="left"/>
      <w:pPr>
        <w:ind w:left="720" w:hanging="360"/>
      </w:pPr>
      <w:rPr>
        <w:rFonts w:ascii="Symbol" w:eastAsiaTheme="minorHAns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17A33FB"/>
    <w:multiLevelType w:val="hybridMultilevel"/>
    <w:tmpl w:val="E036167E"/>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7F126D8"/>
    <w:multiLevelType w:val="hybridMultilevel"/>
    <w:tmpl w:val="BC5A826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1ADE6A16"/>
    <w:multiLevelType w:val="hybridMultilevel"/>
    <w:tmpl w:val="3ECA2A0C"/>
    <w:lvl w:ilvl="0" w:tplc="100A000F">
      <w:start w:val="1"/>
      <w:numFmt w:val="decimal"/>
      <w:lvlText w:val="%1."/>
      <w:lvlJc w:val="left"/>
      <w:pPr>
        <w:ind w:left="360" w:hanging="360"/>
      </w:pPr>
    </w:lvl>
    <w:lvl w:ilvl="1" w:tplc="100A0001">
      <w:start w:val="1"/>
      <w:numFmt w:val="bullet"/>
      <w:lvlText w:val=""/>
      <w:lvlJc w:val="left"/>
      <w:pPr>
        <w:ind w:left="1080" w:hanging="360"/>
      </w:pPr>
      <w:rPr>
        <w:rFonts w:ascii="Symbol" w:hAnsi="Symbol" w:hint="default"/>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1CD54EBA"/>
    <w:multiLevelType w:val="hybridMultilevel"/>
    <w:tmpl w:val="02CE1684"/>
    <w:lvl w:ilvl="0" w:tplc="100A0001">
      <w:start w:val="1"/>
      <w:numFmt w:val="bullet"/>
      <w:lvlText w:val=""/>
      <w:lvlJc w:val="left"/>
      <w:pPr>
        <w:ind w:left="1080" w:hanging="360"/>
      </w:pPr>
      <w:rPr>
        <w:rFonts w:ascii="Symbol" w:hAnsi="Symbol"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7" w15:restartNumberingAfterBreak="0">
    <w:nsid w:val="1D627E0D"/>
    <w:multiLevelType w:val="hybridMultilevel"/>
    <w:tmpl w:val="2AEE32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B227E5A"/>
    <w:multiLevelType w:val="hybridMultilevel"/>
    <w:tmpl w:val="1CA41C5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34EB554F"/>
    <w:multiLevelType w:val="hybridMultilevel"/>
    <w:tmpl w:val="0F3E003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15:restartNumberingAfterBreak="0">
    <w:nsid w:val="383C26A3"/>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1" w15:restartNumberingAfterBreak="0">
    <w:nsid w:val="4AFE3836"/>
    <w:multiLevelType w:val="hybridMultilevel"/>
    <w:tmpl w:val="7F0671B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2" w15:restartNumberingAfterBreak="0">
    <w:nsid w:val="52F01983"/>
    <w:multiLevelType w:val="hybridMultilevel"/>
    <w:tmpl w:val="C5BEC19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570B08F8"/>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4" w15:restartNumberingAfterBreak="0">
    <w:nsid w:val="5B3378EA"/>
    <w:multiLevelType w:val="hybridMultilevel"/>
    <w:tmpl w:val="EA1029B4"/>
    <w:lvl w:ilvl="0" w:tplc="1174EC28">
      <w:start w:val="1"/>
      <w:numFmt w:val="decimal"/>
      <w:lvlText w:val="%1."/>
      <w:lvlJc w:val="left"/>
      <w:pPr>
        <w:ind w:left="1080" w:hanging="360"/>
      </w:pPr>
      <w:rPr>
        <w:rFonts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5" w15:restartNumberingAfterBreak="0">
    <w:nsid w:val="5B940A8B"/>
    <w:multiLevelType w:val="hybridMultilevel"/>
    <w:tmpl w:val="6C045D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71B27820"/>
    <w:multiLevelType w:val="hybridMultilevel"/>
    <w:tmpl w:val="7108C1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74C45B97"/>
    <w:multiLevelType w:val="hybridMultilevel"/>
    <w:tmpl w:val="07F6A57E"/>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15:restartNumberingAfterBreak="0">
    <w:nsid w:val="766D1754"/>
    <w:multiLevelType w:val="hybridMultilevel"/>
    <w:tmpl w:val="728AA336"/>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7B042D2F"/>
    <w:multiLevelType w:val="hybridMultilevel"/>
    <w:tmpl w:val="4482B69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0" w15:restartNumberingAfterBreak="0">
    <w:nsid w:val="7D306B01"/>
    <w:multiLevelType w:val="hybridMultilevel"/>
    <w:tmpl w:val="9BE4F1AE"/>
    <w:lvl w:ilvl="0" w:tplc="071C361E">
      <w:start w:val="201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9"/>
  </w:num>
  <w:num w:numId="2">
    <w:abstractNumId w:val="9"/>
  </w:num>
  <w:num w:numId="3">
    <w:abstractNumId w:val="12"/>
  </w:num>
  <w:num w:numId="4">
    <w:abstractNumId w:val="2"/>
  </w:num>
  <w:num w:numId="5">
    <w:abstractNumId w:val="20"/>
  </w:num>
  <w:num w:numId="6">
    <w:abstractNumId w:val="8"/>
  </w:num>
  <w:num w:numId="7">
    <w:abstractNumId w:val="5"/>
  </w:num>
  <w:num w:numId="8">
    <w:abstractNumId w:val="4"/>
  </w:num>
  <w:num w:numId="9">
    <w:abstractNumId w:val="11"/>
  </w:num>
  <w:num w:numId="10">
    <w:abstractNumId w:val="7"/>
  </w:num>
  <w:num w:numId="11">
    <w:abstractNumId w:val="17"/>
  </w:num>
  <w:num w:numId="12">
    <w:abstractNumId w:val="16"/>
  </w:num>
  <w:num w:numId="13">
    <w:abstractNumId w:val="0"/>
  </w:num>
  <w:num w:numId="14">
    <w:abstractNumId w:val="18"/>
  </w:num>
  <w:num w:numId="15">
    <w:abstractNumId w:val="14"/>
  </w:num>
  <w:num w:numId="16">
    <w:abstractNumId w:val="3"/>
  </w:num>
  <w:num w:numId="17">
    <w:abstractNumId w:val="1"/>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D"/>
    <w:rsid w:val="0000279B"/>
    <w:rsid w:val="000037EF"/>
    <w:rsid w:val="00004A29"/>
    <w:rsid w:val="000102D0"/>
    <w:rsid w:val="00011009"/>
    <w:rsid w:val="0001479D"/>
    <w:rsid w:val="00014EF9"/>
    <w:rsid w:val="00017573"/>
    <w:rsid w:val="000202C4"/>
    <w:rsid w:val="00020A54"/>
    <w:rsid w:val="000218E4"/>
    <w:rsid w:val="00022090"/>
    <w:rsid w:val="00023B9B"/>
    <w:rsid w:val="00025E27"/>
    <w:rsid w:val="00030F3B"/>
    <w:rsid w:val="00033317"/>
    <w:rsid w:val="00040D1F"/>
    <w:rsid w:val="000428F3"/>
    <w:rsid w:val="000446C3"/>
    <w:rsid w:val="00051051"/>
    <w:rsid w:val="00052DB1"/>
    <w:rsid w:val="00052DBD"/>
    <w:rsid w:val="00052EE7"/>
    <w:rsid w:val="00055163"/>
    <w:rsid w:val="000615FB"/>
    <w:rsid w:val="0006199A"/>
    <w:rsid w:val="00062716"/>
    <w:rsid w:val="00062BB8"/>
    <w:rsid w:val="00064896"/>
    <w:rsid w:val="00064B05"/>
    <w:rsid w:val="000652DE"/>
    <w:rsid w:val="0006628E"/>
    <w:rsid w:val="00066D0C"/>
    <w:rsid w:val="00067D3D"/>
    <w:rsid w:val="0007086E"/>
    <w:rsid w:val="000735AF"/>
    <w:rsid w:val="00081520"/>
    <w:rsid w:val="000830CB"/>
    <w:rsid w:val="00083BF1"/>
    <w:rsid w:val="00085DF8"/>
    <w:rsid w:val="00086944"/>
    <w:rsid w:val="00086B4B"/>
    <w:rsid w:val="00090C9C"/>
    <w:rsid w:val="000915C8"/>
    <w:rsid w:val="00094984"/>
    <w:rsid w:val="00096FBD"/>
    <w:rsid w:val="0009796C"/>
    <w:rsid w:val="000A388B"/>
    <w:rsid w:val="000A45A1"/>
    <w:rsid w:val="000A488B"/>
    <w:rsid w:val="000B3282"/>
    <w:rsid w:val="000B494E"/>
    <w:rsid w:val="000C0211"/>
    <w:rsid w:val="000C205B"/>
    <w:rsid w:val="000C45CB"/>
    <w:rsid w:val="000C5FBE"/>
    <w:rsid w:val="000D07E2"/>
    <w:rsid w:val="000D3651"/>
    <w:rsid w:val="000D40DE"/>
    <w:rsid w:val="000D6132"/>
    <w:rsid w:val="000E35C8"/>
    <w:rsid w:val="000E6714"/>
    <w:rsid w:val="000F05F1"/>
    <w:rsid w:val="000F0645"/>
    <w:rsid w:val="000F0CEC"/>
    <w:rsid w:val="000F1AFB"/>
    <w:rsid w:val="000F2CC8"/>
    <w:rsid w:val="000F460A"/>
    <w:rsid w:val="000F49D2"/>
    <w:rsid w:val="000F4EE1"/>
    <w:rsid w:val="000F6631"/>
    <w:rsid w:val="000F6714"/>
    <w:rsid w:val="000F75D7"/>
    <w:rsid w:val="00101652"/>
    <w:rsid w:val="00104229"/>
    <w:rsid w:val="00104BCC"/>
    <w:rsid w:val="00106B9F"/>
    <w:rsid w:val="00107767"/>
    <w:rsid w:val="00107C39"/>
    <w:rsid w:val="001106EC"/>
    <w:rsid w:val="0011279A"/>
    <w:rsid w:val="001130E0"/>
    <w:rsid w:val="00114616"/>
    <w:rsid w:val="00114776"/>
    <w:rsid w:val="00115D0D"/>
    <w:rsid w:val="001218CD"/>
    <w:rsid w:val="00121DB5"/>
    <w:rsid w:val="001224F9"/>
    <w:rsid w:val="001261A9"/>
    <w:rsid w:val="001304C1"/>
    <w:rsid w:val="00132927"/>
    <w:rsid w:val="00132D19"/>
    <w:rsid w:val="0013412B"/>
    <w:rsid w:val="001351DD"/>
    <w:rsid w:val="00135A13"/>
    <w:rsid w:val="0013777B"/>
    <w:rsid w:val="00143FCD"/>
    <w:rsid w:val="00145B27"/>
    <w:rsid w:val="00147046"/>
    <w:rsid w:val="00150921"/>
    <w:rsid w:val="0015238F"/>
    <w:rsid w:val="00153937"/>
    <w:rsid w:val="00157581"/>
    <w:rsid w:val="00157E21"/>
    <w:rsid w:val="001635FC"/>
    <w:rsid w:val="00163822"/>
    <w:rsid w:val="00164007"/>
    <w:rsid w:val="00164613"/>
    <w:rsid w:val="00166761"/>
    <w:rsid w:val="001672D5"/>
    <w:rsid w:val="00170835"/>
    <w:rsid w:val="00174B50"/>
    <w:rsid w:val="00175142"/>
    <w:rsid w:val="00175925"/>
    <w:rsid w:val="0017625F"/>
    <w:rsid w:val="001767DB"/>
    <w:rsid w:val="00177CC8"/>
    <w:rsid w:val="001800B5"/>
    <w:rsid w:val="00180A63"/>
    <w:rsid w:val="00182206"/>
    <w:rsid w:val="001864CE"/>
    <w:rsid w:val="0018768E"/>
    <w:rsid w:val="00190529"/>
    <w:rsid w:val="00190784"/>
    <w:rsid w:val="001924F3"/>
    <w:rsid w:val="00193707"/>
    <w:rsid w:val="001953B7"/>
    <w:rsid w:val="001967A7"/>
    <w:rsid w:val="00197BF1"/>
    <w:rsid w:val="001A2FBE"/>
    <w:rsid w:val="001B01B9"/>
    <w:rsid w:val="001B657B"/>
    <w:rsid w:val="001C18D9"/>
    <w:rsid w:val="001C220C"/>
    <w:rsid w:val="001C2708"/>
    <w:rsid w:val="001C37C1"/>
    <w:rsid w:val="001C3BD6"/>
    <w:rsid w:val="001C68B5"/>
    <w:rsid w:val="001C7C21"/>
    <w:rsid w:val="001D03A3"/>
    <w:rsid w:val="001D339A"/>
    <w:rsid w:val="001D63C1"/>
    <w:rsid w:val="001E0B82"/>
    <w:rsid w:val="001E236D"/>
    <w:rsid w:val="001E2662"/>
    <w:rsid w:val="001E28F7"/>
    <w:rsid w:val="001E4C8B"/>
    <w:rsid w:val="001E5EB7"/>
    <w:rsid w:val="001E7116"/>
    <w:rsid w:val="001F3551"/>
    <w:rsid w:val="001F6B3A"/>
    <w:rsid w:val="001F734B"/>
    <w:rsid w:val="0020581F"/>
    <w:rsid w:val="00205BED"/>
    <w:rsid w:val="00207C28"/>
    <w:rsid w:val="00213F7F"/>
    <w:rsid w:val="00220476"/>
    <w:rsid w:val="002205DA"/>
    <w:rsid w:val="00222A73"/>
    <w:rsid w:val="002231A2"/>
    <w:rsid w:val="002237F4"/>
    <w:rsid w:val="00223941"/>
    <w:rsid w:val="00233052"/>
    <w:rsid w:val="00234D4F"/>
    <w:rsid w:val="0023606E"/>
    <w:rsid w:val="00242B4A"/>
    <w:rsid w:val="00244507"/>
    <w:rsid w:val="00246CBB"/>
    <w:rsid w:val="00250FFF"/>
    <w:rsid w:val="00252BB9"/>
    <w:rsid w:val="00254173"/>
    <w:rsid w:val="00256CB7"/>
    <w:rsid w:val="0026057C"/>
    <w:rsid w:val="00261690"/>
    <w:rsid w:val="002648CE"/>
    <w:rsid w:val="00265B78"/>
    <w:rsid w:val="00266309"/>
    <w:rsid w:val="00270F41"/>
    <w:rsid w:val="00274449"/>
    <w:rsid w:val="002765D6"/>
    <w:rsid w:val="00276765"/>
    <w:rsid w:val="00280FEF"/>
    <w:rsid w:val="00285083"/>
    <w:rsid w:val="00290D97"/>
    <w:rsid w:val="0029370F"/>
    <w:rsid w:val="00295A33"/>
    <w:rsid w:val="00297DDA"/>
    <w:rsid w:val="00297E65"/>
    <w:rsid w:val="002A04DD"/>
    <w:rsid w:val="002A1B95"/>
    <w:rsid w:val="002A518F"/>
    <w:rsid w:val="002A7890"/>
    <w:rsid w:val="002C0CF5"/>
    <w:rsid w:val="002C56BD"/>
    <w:rsid w:val="002D2D6B"/>
    <w:rsid w:val="002D396D"/>
    <w:rsid w:val="002D512C"/>
    <w:rsid w:val="002D56D4"/>
    <w:rsid w:val="002E0141"/>
    <w:rsid w:val="002E0E0F"/>
    <w:rsid w:val="002E256D"/>
    <w:rsid w:val="002E2627"/>
    <w:rsid w:val="002E2846"/>
    <w:rsid w:val="002E35E1"/>
    <w:rsid w:val="002E39F1"/>
    <w:rsid w:val="002E3B8C"/>
    <w:rsid w:val="002E4033"/>
    <w:rsid w:val="002E5DD8"/>
    <w:rsid w:val="002E65BD"/>
    <w:rsid w:val="002E7046"/>
    <w:rsid w:val="002F556A"/>
    <w:rsid w:val="002F5A60"/>
    <w:rsid w:val="0030095F"/>
    <w:rsid w:val="003019EB"/>
    <w:rsid w:val="00301FDF"/>
    <w:rsid w:val="00304798"/>
    <w:rsid w:val="00304E9C"/>
    <w:rsid w:val="00307197"/>
    <w:rsid w:val="003079EC"/>
    <w:rsid w:val="00307BF2"/>
    <w:rsid w:val="003105D9"/>
    <w:rsid w:val="00310CAD"/>
    <w:rsid w:val="003131DA"/>
    <w:rsid w:val="00313C71"/>
    <w:rsid w:val="003140BC"/>
    <w:rsid w:val="00314DD4"/>
    <w:rsid w:val="00315983"/>
    <w:rsid w:val="00321222"/>
    <w:rsid w:val="00321919"/>
    <w:rsid w:val="00322042"/>
    <w:rsid w:val="0032228F"/>
    <w:rsid w:val="0032279A"/>
    <w:rsid w:val="00324D8A"/>
    <w:rsid w:val="0032582D"/>
    <w:rsid w:val="00325E48"/>
    <w:rsid w:val="00332AE5"/>
    <w:rsid w:val="00335649"/>
    <w:rsid w:val="00336B3D"/>
    <w:rsid w:val="00336C66"/>
    <w:rsid w:val="003370C6"/>
    <w:rsid w:val="0033711E"/>
    <w:rsid w:val="00337156"/>
    <w:rsid w:val="00340B24"/>
    <w:rsid w:val="00340DF7"/>
    <w:rsid w:val="00343A25"/>
    <w:rsid w:val="003442D7"/>
    <w:rsid w:val="003444DF"/>
    <w:rsid w:val="003459D6"/>
    <w:rsid w:val="003461BF"/>
    <w:rsid w:val="00346DC4"/>
    <w:rsid w:val="00347D04"/>
    <w:rsid w:val="0035404C"/>
    <w:rsid w:val="003540F5"/>
    <w:rsid w:val="003552A1"/>
    <w:rsid w:val="00356D2C"/>
    <w:rsid w:val="003576D2"/>
    <w:rsid w:val="00363CC7"/>
    <w:rsid w:val="00364D0C"/>
    <w:rsid w:val="00364F00"/>
    <w:rsid w:val="003671AA"/>
    <w:rsid w:val="00367319"/>
    <w:rsid w:val="0037079B"/>
    <w:rsid w:val="00374679"/>
    <w:rsid w:val="0038703A"/>
    <w:rsid w:val="00390A86"/>
    <w:rsid w:val="00392616"/>
    <w:rsid w:val="003945DF"/>
    <w:rsid w:val="003A2318"/>
    <w:rsid w:val="003A5D6A"/>
    <w:rsid w:val="003A618F"/>
    <w:rsid w:val="003B2BB1"/>
    <w:rsid w:val="003B450E"/>
    <w:rsid w:val="003B4583"/>
    <w:rsid w:val="003B4E8D"/>
    <w:rsid w:val="003B7BE9"/>
    <w:rsid w:val="003C6336"/>
    <w:rsid w:val="003C635E"/>
    <w:rsid w:val="003D02EE"/>
    <w:rsid w:val="003D0A2F"/>
    <w:rsid w:val="003D16F0"/>
    <w:rsid w:val="003D2958"/>
    <w:rsid w:val="003D796A"/>
    <w:rsid w:val="003E100D"/>
    <w:rsid w:val="003E4AE1"/>
    <w:rsid w:val="003E688B"/>
    <w:rsid w:val="003E6D42"/>
    <w:rsid w:val="003F0BD0"/>
    <w:rsid w:val="003F1A34"/>
    <w:rsid w:val="003F3A77"/>
    <w:rsid w:val="003F5CC7"/>
    <w:rsid w:val="003F6806"/>
    <w:rsid w:val="00402D20"/>
    <w:rsid w:val="00403C43"/>
    <w:rsid w:val="00404A7D"/>
    <w:rsid w:val="00404BC4"/>
    <w:rsid w:val="00406291"/>
    <w:rsid w:val="00407AA3"/>
    <w:rsid w:val="00407F52"/>
    <w:rsid w:val="00415FEB"/>
    <w:rsid w:val="00416D15"/>
    <w:rsid w:val="00420914"/>
    <w:rsid w:val="004211F9"/>
    <w:rsid w:val="004224A4"/>
    <w:rsid w:val="00422591"/>
    <w:rsid w:val="0042376B"/>
    <w:rsid w:val="00427CE0"/>
    <w:rsid w:val="00430E61"/>
    <w:rsid w:val="004316FA"/>
    <w:rsid w:val="00432456"/>
    <w:rsid w:val="00433974"/>
    <w:rsid w:val="00434261"/>
    <w:rsid w:val="004359E1"/>
    <w:rsid w:val="00436029"/>
    <w:rsid w:val="00436C67"/>
    <w:rsid w:val="00436F94"/>
    <w:rsid w:val="00440106"/>
    <w:rsid w:val="00440FE3"/>
    <w:rsid w:val="004427C8"/>
    <w:rsid w:val="00442AD8"/>
    <w:rsid w:val="00444213"/>
    <w:rsid w:val="00445FA0"/>
    <w:rsid w:val="0044606C"/>
    <w:rsid w:val="00447E34"/>
    <w:rsid w:val="00450227"/>
    <w:rsid w:val="004519CA"/>
    <w:rsid w:val="00454F98"/>
    <w:rsid w:val="004555CF"/>
    <w:rsid w:val="00456F13"/>
    <w:rsid w:val="00461CB3"/>
    <w:rsid w:val="004636B8"/>
    <w:rsid w:val="00463788"/>
    <w:rsid w:val="0046593C"/>
    <w:rsid w:val="004673CB"/>
    <w:rsid w:val="00470AD4"/>
    <w:rsid w:val="00471344"/>
    <w:rsid w:val="00473D12"/>
    <w:rsid w:val="00480B7D"/>
    <w:rsid w:val="004836DB"/>
    <w:rsid w:val="00490CAA"/>
    <w:rsid w:val="004916BF"/>
    <w:rsid w:val="004932FC"/>
    <w:rsid w:val="00497A4C"/>
    <w:rsid w:val="004A1025"/>
    <w:rsid w:val="004A3359"/>
    <w:rsid w:val="004A437D"/>
    <w:rsid w:val="004A7194"/>
    <w:rsid w:val="004B2DD6"/>
    <w:rsid w:val="004B3B4B"/>
    <w:rsid w:val="004B5C7B"/>
    <w:rsid w:val="004B67DD"/>
    <w:rsid w:val="004C164F"/>
    <w:rsid w:val="004C2927"/>
    <w:rsid w:val="004C3723"/>
    <w:rsid w:val="004C42C7"/>
    <w:rsid w:val="004C7C69"/>
    <w:rsid w:val="004D1837"/>
    <w:rsid w:val="004D1925"/>
    <w:rsid w:val="004D1D66"/>
    <w:rsid w:val="004D1E5F"/>
    <w:rsid w:val="004D510B"/>
    <w:rsid w:val="004D5601"/>
    <w:rsid w:val="004D56B4"/>
    <w:rsid w:val="004D679A"/>
    <w:rsid w:val="004D6D48"/>
    <w:rsid w:val="004E178E"/>
    <w:rsid w:val="004E298E"/>
    <w:rsid w:val="004E4357"/>
    <w:rsid w:val="004E4AB2"/>
    <w:rsid w:val="004E5632"/>
    <w:rsid w:val="004E7747"/>
    <w:rsid w:val="004F1BAA"/>
    <w:rsid w:val="004F33E6"/>
    <w:rsid w:val="004F408F"/>
    <w:rsid w:val="004F77A2"/>
    <w:rsid w:val="00502FD1"/>
    <w:rsid w:val="00503509"/>
    <w:rsid w:val="005047E7"/>
    <w:rsid w:val="00506166"/>
    <w:rsid w:val="00506A83"/>
    <w:rsid w:val="00506D20"/>
    <w:rsid w:val="00511646"/>
    <w:rsid w:val="00517DFB"/>
    <w:rsid w:val="00524E28"/>
    <w:rsid w:val="00530288"/>
    <w:rsid w:val="0053086F"/>
    <w:rsid w:val="00531564"/>
    <w:rsid w:val="00532B8D"/>
    <w:rsid w:val="005348D5"/>
    <w:rsid w:val="00536E71"/>
    <w:rsid w:val="00541BA8"/>
    <w:rsid w:val="005448EC"/>
    <w:rsid w:val="00545F34"/>
    <w:rsid w:val="00547D82"/>
    <w:rsid w:val="00550F63"/>
    <w:rsid w:val="00552AE0"/>
    <w:rsid w:val="005535BC"/>
    <w:rsid w:val="00553601"/>
    <w:rsid w:val="00555101"/>
    <w:rsid w:val="00555326"/>
    <w:rsid w:val="00556C09"/>
    <w:rsid w:val="00561ED2"/>
    <w:rsid w:val="00562345"/>
    <w:rsid w:val="00563AE6"/>
    <w:rsid w:val="00566FC1"/>
    <w:rsid w:val="005673A7"/>
    <w:rsid w:val="005674F3"/>
    <w:rsid w:val="005709C4"/>
    <w:rsid w:val="005709F1"/>
    <w:rsid w:val="00570A24"/>
    <w:rsid w:val="005715C1"/>
    <w:rsid w:val="00582390"/>
    <w:rsid w:val="00582E23"/>
    <w:rsid w:val="00585E3A"/>
    <w:rsid w:val="005866ED"/>
    <w:rsid w:val="00591262"/>
    <w:rsid w:val="00593B7D"/>
    <w:rsid w:val="005A1C38"/>
    <w:rsid w:val="005A1F0A"/>
    <w:rsid w:val="005A21EB"/>
    <w:rsid w:val="005A6D23"/>
    <w:rsid w:val="005A6D47"/>
    <w:rsid w:val="005B0980"/>
    <w:rsid w:val="005B0ABD"/>
    <w:rsid w:val="005B49D0"/>
    <w:rsid w:val="005B70C8"/>
    <w:rsid w:val="005B78FE"/>
    <w:rsid w:val="005B7E2A"/>
    <w:rsid w:val="005C7988"/>
    <w:rsid w:val="005D13A6"/>
    <w:rsid w:val="005D220A"/>
    <w:rsid w:val="005D6A2E"/>
    <w:rsid w:val="005E0EBE"/>
    <w:rsid w:val="005E1A9A"/>
    <w:rsid w:val="005E24B7"/>
    <w:rsid w:val="005E3B49"/>
    <w:rsid w:val="005F1D4B"/>
    <w:rsid w:val="005F3652"/>
    <w:rsid w:val="005F486C"/>
    <w:rsid w:val="005F615F"/>
    <w:rsid w:val="00600038"/>
    <w:rsid w:val="006013DD"/>
    <w:rsid w:val="006035F3"/>
    <w:rsid w:val="0060390C"/>
    <w:rsid w:val="00604709"/>
    <w:rsid w:val="0060580D"/>
    <w:rsid w:val="0061060D"/>
    <w:rsid w:val="00611193"/>
    <w:rsid w:val="0061149F"/>
    <w:rsid w:val="0061268A"/>
    <w:rsid w:val="006127C4"/>
    <w:rsid w:val="00616AB0"/>
    <w:rsid w:val="00617FEF"/>
    <w:rsid w:val="00621B84"/>
    <w:rsid w:val="00621C8A"/>
    <w:rsid w:val="0062206B"/>
    <w:rsid w:val="00622C9A"/>
    <w:rsid w:val="00624926"/>
    <w:rsid w:val="00625915"/>
    <w:rsid w:val="006270F5"/>
    <w:rsid w:val="00631BA2"/>
    <w:rsid w:val="006338A2"/>
    <w:rsid w:val="00635EF9"/>
    <w:rsid w:val="00636CA1"/>
    <w:rsid w:val="006431F0"/>
    <w:rsid w:val="006434D8"/>
    <w:rsid w:val="006447EF"/>
    <w:rsid w:val="00647116"/>
    <w:rsid w:val="00647B24"/>
    <w:rsid w:val="00650200"/>
    <w:rsid w:val="00651BD9"/>
    <w:rsid w:val="00652185"/>
    <w:rsid w:val="00657C5C"/>
    <w:rsid w:val="00657F3A"/>
    <w:rsid w:val="00662125"/>
    <w:rsid w:val="00662C0E"/>
    <w:rsid w:val="006640DF"/>
    <w:rsid w:val="00665599"/>
    <w:rsid w:val="00665AB1"/>
    <w:rsid w:val="00667C0E"/>
    <w:rsid w:val="006700AA"/>
    <w:rsid w:val="00670857"/>
    <w:rsid w:val="006728E4"/>
    <w:rsid w:val="00675739"/>
    <w:rsid w:val="006760F8"/>
    <w:rsid w:val="006778BF"/>
    <w:rsid w:val="0068048F"/>
    <w:rsid w:val="0069219D"/>
    <w:rsid w:val="0069472F"/>
    <w:rsid w:val="006A51AF"/>
    <w:rsid w:val="006A6DAC"/>
    <w:rsid w:val="006B195A"/>
    <w:rsid w:val="006B2D1F"/>
    <w:rsid w:val="006B2EC5"/>
    <w:rsid w:val="006B3BC8"/>
    <w:rsid w:val="006B4755"/>
    <w:rsid w:val="006B54A8"/>
    <w:rsid w:val="006C0D85"/>
    <w:rsid w:val="006C29D9"/>
    <w:rsid w:val="006C32F8"/>
    <w:rsid w:val="006C4E5C"/>
    <w:rsid w:val="006C50E5"/>
    <w:rsid w:val="006C7F9E"/>
    <w:rsid w:val="006D0D12"/>
    <w:rsid w:val="006D0FF4"/>
    <w:rsid w:val="006D1164"/>
    <w:rsid w:val="006D7AED"/>
    <w:rsid w:val="006D7DB2"/>
    <w:rsid w:val="006E1FA6"/>
    <w:rsid w:val="006E223E"/>
    <w:rsid w:val="006E3038"/>
    <w:rsid w:val="006E6120"/>
    <w:rsid w:val="006E7E46"/>
    <w:rsid w:val="006F1F3C"/>
    <w:rsid w:val="006F2296"/>
    <w:rsid w:val="006F2299"/>
    <w:rsid w:val="006F26E2"/>
    <w:rsid w:val="006F7629"/>
    <w:rsid w:val="00701821"/>
    <w:rsid w:val="00702185"/>
    <w:rsid w:val="007057D1"/>
    <w:rsid w:val="0070602D"/>
    <w:rsid w:val="0071021D"/>
    <w:rsid w:val="007118D5"/>
    <w:rsid w:val="007150D3"/>
    <w:rsid w:val="00716641"/>
    <w:rsid w:val="00716B30"/>
    <w:rsid w:val="00716E0D"/>
    <w:rsid w:val="00717C8A"/>
    <w:rsid w:val="007214A2"/>
    <w:rsid w:val="00721678"/>
    <w:rsid w:val="0072264D"/>
    <w:rsid w:val="00722FB7"/>
    <w:rsid w:val="00726446"/>
    <w:rsid w:val="00734634"/>
    <w:rsid w:val="00735EB9"/>
    <w:rsid w:val="00735F1A"/>
    <w:rsid w:val="00736435"/>
    <w:rsid w:val="00736B2A"/>
    <w:rsid w:val="007378F6"/>
    <w:rsid w:val="00740E61"/>
    <w:rsid w:val="007418E1"/>
    <w:rsid w:val="00741A68"/>
    <w:rsid w:val="00742DE1"/>
    <w:rsid w:val="007443B5"/>
    <w:rsid w:val="00744BE8"/>
    <w:rsid w:val="00746D0F"/>
    <w:rsid w:val="00747124"/>
    <w:rsid w:val="007521DF"/>
    <w:rsid w:val="007552DE"/>
    <w:rsid w:val="00757037"/>
    <w:rsid w:val="00760DA7"/>
    <w:rsid w:val="00763BB6"/>
    <w:rsid w:val="00764713"/>
    <w:rsid w:val="00764CEC"/>
    <w:rsid w:val="007657FE"/>
    <w:rsid w:val="0076615E"/>
    <w:rsid w:val="0076629E"/>
    <w:rsid w:val="00767783"/>
    <w:rsid w:val="0077090E"/>
    <w:rsid w:val="0077556D"/>
    <w:rsid w:val="00775A30"/>
    <w:rsid w:val="00777D8B"/>
    <w:rsid w:val="00784370"/>
    <w:rsid w:val="00784DEA"/>
    <w:rsid w:val="007852B9"/>
    <w:rsid w:val="00787FA7"/>
    <w:rsid w:val="00790104"/>
    <w:rsid w:val="007936FF"/>
    <w:rsid w:val="00793ED4"/>
    <w:rsid w:val="007977E2"/>
    <w:rsid w:val="00797A01"/>
    <w:rsid w:val="007A041E"/>
    <w:rsid w:val="007A1273"/>
    <w:rsid w:val="007A29B0"/>
    <w:rsid w:val="007A2B5C"/>
    <w:rsid w:val="007B2B63"/>
    <w:rsid w:val="007B3D9C"/>
    <w:rsid w:val="007B54AB"/>
    <w:rsid w:val="007B6097"/>
    <w:rsid w:val="007B743B"/>
    <w:rsid w:val="007C192C"/>
    <w:rsid w:val="007C2981"/>
    <w:rsid w:val="007C5BFA"/>
    <w:rsid w:val="007C5F73"/>
    <w:rsid w:val="007C7EA1"/>
    <w:rsid w:val="007D057D"/>
    <w:rsid w:val="007E0642"/>
    <w:rsid w:val="007E395A"/>
    <w:rsid w:val="007F29D0"/>
    <w:rsid w:val="007F7B47"/>
    <w:rsid w:val="00800730"/>
    <w:rsid w:val="0080098E"/>
    <w:rsid w:val="00800CFA"/>
    <w:rsid w:val="008025D8"/>
    <w:rsid w:val="008029E4"/>
    <w:rsid w:val="00803C6E"/>
    <w:rsid w:val="0080505B"/>
    <w:rsid w:val="0080534A"/>
    <w:rsid w:val="008057E8"/>
    <w:rsid w:val="008107FE"/>
    <w:rsid w:val="0081346B"/>
    <w:rsid w:val="00815509"/>
    <w:rsid w:val="0081628F"/>
    <w:rsid w:val="008162FC"/>
    <w:rsid w:val="00822104"/>
    <w:rsid w:val="00822539"/>
    <w:rsid w:val="00823BCA"/>
    <w:rsid w:val="008243E2"/>
    <w:rsid w:val="00826AA6"/>
    <w:rsid w:val="00830E8B"/>
    <w:rsid w:val="0083359A"/>
    <w:rsid w:val="0083521C"/>
    <w:rsid w:val="0083602E"/>
    <w:rsid w:val="0083785F"/>
    <w:rsid w:val="008378D1"/>
    <w:rsid w:val="008463BF"/>
    <w:rsid w:val="00846488"/>
    <w:rsid w:val="00847F5F"/>
    <w:rsid w:val="00851CC8"/>
    <w:rsid w:val="00855EF4"/>
    <w:rsid w:val="008562B4"/>
    <w:rsid w:val="00861F4B"/>
    <w:rsid w:val="008629B0"/>
    <w:rsid w:val="00863C4D"/>
    <w:rsid w:val="008662A9"/>
    <w:rsid w:val="008673E0"/>
    <w:rsid w:val="008753AB"/>
    <w:rsid w:val="0087766A"/>
    <w:rsid w:val="008836D1"/>
    <w:rsid w:val="008847AA"/>
    <w:rsid w:val="00884E5A"/>
    <w:rsid w:val="00885BAD"/>
    <w:rsid w:val="00886006"/>
    <w:rsid w:val="00887348"/>
    <w:rsid w:val="00892329"/>
    <w:rsid w:val="008963C3"/>
    <w:rsid w:val="00896DE7"/>
    <w:rsid w:val="008A3EAA"/>
    <w:rsid w:val="008A42E3"/>
    <w:rsid w:val="008A75FD"/>
    <w:rsid w:val="008B06DB"/>
    <w:rsid w:val="008B0B37"/>
    <w:rsid w:val="008B37AD"/>
    <w:rsid w:val="008B4661"/>
    <w:rsid w:val="008B4CF6"/>
    <w:rsid w:val="008B577B"/>
    <w:rsid w:val="008B611F"/>
    <w:rsid w:val="008B691C"/>
    <w:rsid w:val="008C313F"/>
    <w:rsid w:val="008C3BFC"/>
    <w:rsid w:val="008D247A"/>
    <w:rsid w:val="008E46A9"/>
    <w:rsid w:val="008E61A3"/>
    <w:rsid w:val="008E734C"/>
    <w:rsid w:val="008F0C53"/>
    <w:rsid w:val="008F47E5"/>
    <w:rsid w:val="008F4B86"/>
    <w:rsid w:val="00901F8E"/>
    <w:rsid w:val="009020CE"/>
    <w:rsid w:val="00902F5B"/>
    <w:rsid w:val="00903CF5"/>
    <w:rsid w:val="00903F2C"/>
    <w:rsid w:val="00906BBB"/>
    <w:rsid w:val="0090797A"/>
    <w:rsid w:val="009104F5"/>
    <w:rsid w:val="00914654"/>
    <w:rsid w:val="0091469A"/>
    <w:rsid w:val="009151DD"/>
    <w:rsid w:val="00916A8E"/>
    <w:rsid w:val="00916C0C"/>
    <w:rsid w:val="0091783F"/>
    <w:rsid w:val="00920FAC"/>
    <w:rsid w:val="00921C18"/>
    <w:rsid w:val="009238B7"/>
    <w:rsid w:val="00926F94"/>
    <w:rsid w:val="009326DC"/>
    <w:rsid w:val="00934636"/>
    <w:rsid w:val="00934ECA"/>
    <w:rsid w:val="009364C8"/>
    <w:rsid w:val="00943C98"/>
    <w:rsid w:val="00944E6F"/>
    <w:rsid w:val="00947ECC"/>
    <w:rsid w:val="00957AD9"/>
    <w:rsid w:val="00961979"/>
    <w:rsid w:val="0096719D"/>
    <w:rsid w:val="009736C6"/>
    <w:rsid w:val="009738A1"/>
    <w:rsid w:val="009762C4"/>
    <w:rsid w:val="00980AA6"/>
    <w:rsid w:val="009811FF"/>
    <w:rsid w:val="00982866"/>
    <w:rsid w:val="00983722"/>
    <w:rsid w:val="00984AE5"/>
    <w:rsid w:val="00987E64"/>
    <w:rsid w:val="00990E6B"/>
    <w:rsid w:val="0099161E"/>
    <w:rsid w:val="009926B0"/>
    <w:rsid w:val="00997630"/>
    <w:rsid w:val="0099791D"/>
    <w:rsid w:val="009A19C4"/>
    <w:rsid w:val="009A1D84"/>
    <w:rsid w:val="009A3425"/>
    <w:rsid w:val="009B155E"/>
    <w:rsid w:val="009B2773"/>
    <w:rsid w:val="009B3CA9"/>
    <w:rsid w:val="009B51FB"/>
    <w:rsid w:val="009B52B8"/>
    <w:rsid w:val="009B70F5"/>
    <w:rsid w:val="009B73CB"/>
    <w:rsid w:val="009C3535"/>
    <w:rsid w:val="009C59C7"/>
    <w:rsid w:val="009C7BF6"/>
    <w:rsid w:val="009D05A1"/>
    <w:rsid w:val="009D14D4"/>
    <w:rsid w:val="009D1A16"/>
    <w:rsid w:val="009D2C51"/>
    <w:rsid w:val="009D355D"/>
    <w:rsid w:val="009D366F"/>
    <w:rsid w:val="009D6C80"/>
    <w:rsid w:val="009E09C1"/>
    <w:rsid w:val="009E41F9"/>
    <w:rsid w:val="009E43DE"/>
    <w:rsid w:val="009E582D"/>
    <w:rsid w:val="009E76A6"/>
    <w:rsid w:val="009E7CF4"/>
    <w:rsid w:val="009F18C1"/>
    <w:rsid w:val="009F4130"/>
    <w:rsid w:val="00A02A0B"/>
    <w:rsid w:val="00A02E65"/>
    <w:rsid w:val="00A03A90"/>
    <w:rsid w:val="00A03BC6"/>
    <w:rsid w:val="00A03CA5"/>
    <w:rsid w:val="00A03EF3"/>
    <w:rsid w:val="00A07566"/>
    <w:rsid w:val="00A1174D"/>
    <w:rsid w:val="00A126A4"/>
    <w:rsid w:val="00A13FF8"/>
    <w:rsid w:val="00A140B5"/>
    <w:rsid w:val="00A14729"/>
    <w:rsid w:val="00A1718F"/>
    <w:rsid w:val="00A17871"/>
    <w:rsid w:val="00A17A2D"/>
    <w:rsid w:val="00A17C10"/>
    <w:rsid w:val="00A21808"/>
    <w:rsid w:val="00A2614E"/>
    <w:rsid w:val="00A267EB"/>
    <w:rsid w:val="00A26984"/>
    <w:rsid w:val="00A269D9"/>
    <w:rsid w:val="00A32F6E"/>
    <w:rsid w:val="00A34DC6"/>
    <w:rsid w:val="00A37724"/>
    <w:rsid w:val="00A37AA1"/>
    <w:rsid w:val="00A45145"/>
    <w:rsid w:val="00A45EB9"/>
    <w:rsid w:val="00A46956"/>
    <w:rsid w:val="00A47434"/>
    <w:rsid w:val="00A50A88"/>
    <w:rsid w:val="00A51DB0"/>
    <w:rsid w:val="00A52031"/>
    <w:rsid w:val="00A5549C"/>
    <w:rsid w:val="00A563E5"/>
    <w:rsid w:val="00A6098E"/>
    <w:rsid w:val="00A6156E"/>
    <w:rsid w:val="00A61899"/>
    <w:rsid w:val="00A646D6"/>
    <w:rsid w:val="00A64A6D"/>
    <w:rsid w:val="00A64E63"/>
    <w:rsid w:val="00A66833"/>
    <w:rsid w:val="00A67849"/>
    <w:rsid w:val="00A742D8"/>
    <w:rsid w:val="00A7436A"/>
    <w:rsid w:val="00A757E5"/>
    <w:rsid w:val="00A770AC"/>
    <w:rsid w:val="00A7715A"/>
    <w:rsid w:val="00A82E87"/>
    <w:rsid w:val="00A839BD"/>
    <w:rsid w:val="00A85B6D"/>
    <w:rsid w:val="00A91711"/>
    <w:rsid w:val="00A92B93"/>
    <w:rsid w:val="00A93959"/>
    <w:rsid w:val="00A93BDF"/>
    <w:rsid w:val="00A961C6"/>
    <w:rsid w:val="00A96755"/>
    <w:rsid w:val="00A96D93"/>
    <w:rsid w:val="00A97DFB"/>
    <w:rsid w:val="00AA0AA8"/>
    <w:rsid w:val="00AA31E8"/>
    <w:rsid w:val="00AA35A2"/>
    <w:rsid w:val="00AA50E3"/>
    <w:rsid w:val="00AB0994"/>
    <w:rsid w:val="00AB1DCC"/>
    <w:rsid w:val="00AB2BB4"/>
    <w:rsid w:val="00AB4206"/>
    <w:rsid w:val="00AB5E6E"/>
    <w:rsid w:val="00AB6A3F"/>
    <w:rsid w:val="00AB78F6"/>
    <w:rsid w:val="00AC10A1"/>
    <w:rsid w:val="00AC2FAB"/>
    <w:rsid w:val="00AC4E23"/>
    <w:rsid w:val="00AC4F76"/>
    <w:rsid w:val="00AD011C"/>
    <w:rsid w:val="00AD0C1C"/>
    <w:rsid w:val="00AE060E"/>
    <w:rsid w:val="00AE146B"/>
    <w:rsid w:val="00AE3079"/>
    <w:rsid w:val="00AE4993"/>
    <w:rsid w:val="00AE572F"/>
    <w:rsid w:val="00AE5FE1"/>
    <w:rsid w:val="00AF056E"/>
    <w:rsid w:val="00AF06EE"/>
    <w:rsid w:val="00AF4EBA"/>
    <w:rsid w:val="00B00D42"/>
    <w:rsid w:val="00B02351"/>
    <w:rsid w:val="00B027E9"/>
    <w:rsid w:val="00B04188"/>
    <w:rsid w:val="00B041A8"/>
    <w:rsid w:val="00B12F78"/>
    <w:rsid w:val="00B15D32"/>
    <w:rsid w:val="00B15D96"/>
    <w:rsid w:val="00B202CE"/>
    <w:rsid w:val="00B22209"/>
    <w:rsid w:val="00B22880"/>
    <w:rsid w:val="00B22D06"/>
    <w:rsid w:val="00B26334"/>
    <w:rsid w:val="00B266F6"/>
    <w:rsid w:val="00B35730"/>
    <w:rsid w:val="00B35A88"/>
    <w:rsid w:val="00B4046F"/>
    <w:rsid w:val="00B41EBE"/>
    <w:rsid w:val="00B4449D"/>
    <w:rsid w:val="00B44A9B"/>
    <w:rsid w:val="00B512A6"/>
    <w:rsid w:val="00B51D69"/>
    <w:rsid w:val="00B5212A"/>
    <w:rsid w:val="00B521BB"/>
    <w:rsid w:val="00B53352"/>
    <w:rsid w:val="00B552C4"/>
    <w:rsid w:val="00B566D3"/>
    <w:rsid w:val="00B568DB"/>
    <w:rsid w:val="00B604F4"/>
    <w:rsid w:val="00B632EB"/>
    <w:rsid w:val="00B65111"/>
    <w:rsid w:val="00B7072A"/>
    <w:rsid w:val="00B71FA6"/>
    <w:rsid w:val="00B729A5"/>
    <w:rsid w:val="00B73E4A"/>
    <w:rsid w:val="00B81B5B"/>
    <w:rsid w:val="00B81C48"/>
    <w:rsid w:val="00B826E6"/>
    <w:rsid w:val="00B83C31"/>
    <w:rsid w:val="00B849B1"/>
    <w:rsid w:val="00B8674F"/>
    <w:rsid w:val="00B8728C"/>
    <w:rsid w:val="00B9025B"/>
    <w:rsid w:val="00B91C2D"/>
    <w:rsid w:val="00B9355A"/>
    <w:rsid w:val="00B937ED"/>
    <w:rsid w:val="00B93CDA"/>
    <w:rsid w:val="00B95AEC"/>
    <w:rsid w:val="00B9765C"/>
    <w:rsid w:val="00BA1004"/>
    <w:rsid w:val="00BA1135"/>
    <w:rsid w:val="00BA16C0"/>
    <w:rsid w:val="00BA329F"/>
    <w:rsid w:val="00BA3DF0"/>
    <w:rsid w:val="00BA3E49"/>
    <w:rsid w:val="00BA3FF2"/>
    <w:rsid w:val="00BA551C"/>
    <w:rsid w:val="00BA69F7"/>
    <w:rsid w:val="00BA7342"/>
    <w:rsid w:val="00BA7CE7"/>
    <w:rsid w:val="00BB0073"/>
    <w:rsid w:val="00BB0C9B"/>
    <w:rsid w:val="00BB360D"/>
    <w:rsid w:val="00BC3B91"/>
    <w:rsid w:val="00BC4769"/>
    <w:rsid w:val="00BC4B72"/>
    <w:rsid w:val="00BC5F79"/>
    <w:rsid w:val="00BC6419"/>
    <w:rsid w:val="00BC66A3"/>
    <w:rsid w:val="00BD010A"/>
    <w:rsid w:val="00BD2AFE"/>
    <w:rsid w:val="00BD415C"/>
    <w:rsid w:val="00BD4F1D"/>
    <w:rsid w:val="00BD5C52"/>
    <w:rsid w:val="00BD771B"/>
    <w:rsid w:val="00BE3BBF"/>
    <w:rsid w:val="00BE3C73"/>
    <w:rsid w:val="00BE4933"/>
    <w:rsid w:val="00BE4B85"/>
    <w:rsid w:val="00BE56F0"/>
    <w:rsid w:val="00BE64FE"/>
    <w:rsid w:val="00BE7AF5"/>
    <w:rsid w:val="00BF0705"/>
    <w:rsid w:val="00BF5E5F"/>
    <w:rsid w:val="00BF6C0F"/>
    <w:rsid w:val="00BF7D1A"/>
    <w:rsid w:val="00C00F4E"/>
    <w:rsid w:val="00C02EEC"/>
    <w:rsid w:val="00C045C6"/>
    <w:rsid w:val="00C06D16"/>
    <w:rsid w:val="00C071AD"/>
    <w:rsid w:val="00C0787C"/>
    <w:rsid w:val="00C1022E"/>
    <w:rsid w:val="00C11218"/>
    <w:rsid w:val="00C1127D"/>
    <w:rsid w:val="00C15939"/>
    <w:rsid w:val="00C16C89"/>
    <w:rsid w:val="00C2155B"/>
    <w:rsid w:val="00C220A8"/>
    <w:rsid w:val="00C22706"/>
    <w:rsid w:val="00C24927"/>
    <w:rsid w:val="00C25D94"/>
    <w:rsid w:val="00C260B4"/>
    <w:rsid w:val="00C27347"/>
    <w:rsid w:val="00C2795C"/>
    <w:rsid w:val="00C313B0"/>
    <w:rsid w:val="00C35E71"/>
    <w:rsid w:val="00C410C8"/>
    <w:rsid w:val="00C414AB"/>
    <w:rsid w:val="00C44BAD"/>
    <w:rsid w:val="00C470C8"/>
    <w:rsid w:val="00C473B1"/>
    <w:rsid w:val="00C51D74"/>
    <w:rsid w:val="00C52500"/>
    <w:rsid w:val="00C57357"/>
    <w:rsid w:val="00C575A9"/>
    <w:rsid w:val="00C60B70"/>
    <w:rsid w:val="00C621D5"/>
    <w:rsid w:val="00C63EC7"/>
    <w:rsid w:val="00C640B8"/>
    <w:rsid w:val="00C6764A"/>
    <w:rsid w:val="00C70DC6"/>
    <w:rsid w:val="00C72FE8"/>
    <w:rsid w:val="00C74559"/>
    <w:rsid w:val="00C758CD"/>
    <w:rsid w:val="00C77295"/>
    <w:rsid w:val="00C821EB"/>
    <w:rsid w:val="00C8223F"/>
    <w:rsid w:val="00C864F9"/>
    <w:rsid w:val="00C87857"/>
    <w:rsid w:val="00C9060C"/>
    <w:rsid w:val="00C931AE"/>
    <w:rsid w:val="00C94B24"/>
    <w:rsid w:val="00C96F67"/>
    <w:rsid w:val="00C9705F"/>
    <w:rsid w:val="00CA1B97"/>
    <w:rsid w:val="00CA1D13"/>
    <w:rsid w:val="00CA29C0"/>
    <w:rsid w:val="00CA4413"/>
    <w:rsid w:val="00CA6BC3"/>
    <w:rsid w:val="00CA7FBA"/>
    <w:rsid w:val="00CB21E9"/>
    <w:rsid w:val="00CB3B7C"/>
    <w:rsid w:val="00CB3DF3"/>
    <w:rsid w:val="00CB513E"/>
    <w:rsid w:val="00CB5240"/>
    <w:rsid w:val="00CB581A"/>
    <w:rsid w:val="00CB7F6F"/>
    <w:rsid w:val="00CC330D"/>
    <w:rsid w:val="00CC40D2"/>
    <w:rsid w:val="00CC4421"/>
    <w:rsid w:val="00CC671B"/>
    <w:rsid w:val="00CC69C1"/>
    <w:rsid w:val="00CC7672"/>
    <w:rsid w:val="00CD08C9"/>
    <w:rsid w:val="00CD09E9"/>
    <w:rsid w:val="00CD19A7"/>
    <w:rsid w:val="00CD2A75"/>
    <w:rsid w:val="00CD387F"/>
    <w:rsid w:val="00CD3D9D"/>
    <w:rsid w:val="00CD4BA5"/>
    <w:rsid w:val="00CE65F2"/>
    <w:rsid w:val="00CF2AFC"/>
    <w:rsid w:val="00CF466E"/>
    <w:rsid w:val="00CF6817"/>
    <w:rsid w:val="00D01BC7"/>
    <w:rsid w:val="00D111D3"/>
    <w:rsid w:val="00D12209"/>
    <w:rsid w:val="00D13E43"/>
    <w:rsid w:val="00D163B0"/>
    <w:rsid w:val="00D17AD7"/>
    <w:rsid w:val="00D21E1E"/>
    <w:rsid w:val="00D22FD7"/>
    <w:rsid w:val="00D24646"/>
    <w:rsid w:val="00D259D0"/>
    <w:rsid w:val="00D2685F"/>
    <w:rsid w:val="00D27289"/>
    <w:rsid w:val="00D31D2F"/>
    <w:rsid w:val="00D32286"/>
    <w:rsid w:val="00D34468"/>
    <w:rsid w:val="00D368FF"/>
    <w:rsid w:val="00D37887"/>
    <w:rsid w:val="00D408BB"/>
    <w:rsid w:val="00D43F57"/>
    <w:rsid w:val="00D440C2"/>
    <w:rsid w:val="00D46EE9"/>
    <w:rsid w:val="00D51F65"/>
    <w:rsid w:val="00D52AE2"/>
    <w:rsid w:val="00D5379A"/>
    <w:rsid w:val="00D5389F"/>
    <w:rsid w:val="00D5645A"/>
    <w:rsid w:val="00D60DCF"/>
    <w:rsid w:val="00D60FC8"/>
    <w:rsid w:val="00D62446"/>
    <w:rsid w:val="00D628B2"/>
    <w:rsid w:val="00D64CA5"/>
    <w:rsid w:val="00D72A1C"/>
    <w:rsid w:val="00D74F8E"/>
    <w:rsid w:val="00D754D3"/>
    <w:rsid w:val="00D75D3E"/>
    <w:rsid w:val="00D767E9"/>
    <w:rsid w:val="00D81C77"/>
    <w:rsid w:val="00D8200F"/>
    <w:rsid w:val="00D8208E"/>
    <w:rsid w:val="00D841AA"/>
    <w:rsid w:val="00D846CF"/>
    <w:rsid w:val="00D84890"/>
    <w:rsid w:val="00D85E8E"/>
    <w:rsid w:val="00D87917"/>
    <w:rsid w:val="00D90C85"/>
    <w:rsid w:val="00D92D27"/>
    <w:rsid w:val="00D93050"/>
    <w:rsid w:val="00D9371B"/>
    <w:rsid w:val="00D93949"/>
    <w:rsid w:val="00D95551"/>
    <w:rsid w:val="00D962B0"/>
    <w:rsid w:val="00D97912"/>
    <w:rsid w:val="00DA0020"/>
    <w:rsid w:val="00DA1B07"/>
    <w:rsid w:val="00DA2FC0"/>
    <w:rsid w:val="00DA4EAF"/>
    <w:rsid w:val="00DA6CFE"/>
    <w:rsid w:val="00DB2700"/>
    <w:rsid w:val="00DB3147"/>
    <w:rsid w:val="00DB41FC"/>
    <w:rsid w:val="00DB5B5F"/>
    <w:rsid w:val="00DB5E5A"/>
    <w:rsid w:val="00DB69B6"/>
    <w:rsid w:val="00DC0B8A"/>
    <w:rsid w:val="00DC14E7"/>
    <w:rsid w:val="00DC6052"/>
    <w:rsid w:val="00DD176F"/>
    <w:rsid w:val="00DD2F1E"/>
    <w:rsid w:val="00DD3972"/>
    <w:rsid w:val="00DD50E1"/>
    <w:rsid w:val="00DD74E7"/>
    <w:rsid w:val="00DE0678"/>
    <w:rsid w:val="00DE4B18"/>
    <w:rsid w:val="00DF006D"/>
    <w:rsid w:val="00DF2E48"/>
    <w:rsid w:val="00DF3F83"/>
    <w:rsid w:val="00E02C79"/>
    <w:rsid w:val="00E031EB"/>
    <w:rsid w:val="00E124C2"/>
    <w:rsid w:val="00E124CF"/>
    <w:rsid w:val="00E12CF9"/>
    <w:rsid w:val="00E16CD1"/>
    <w:rsid w:val="00E23C8B"/>
    <w:rsid w:val="00E25654"/>
    <w:rsid w:val="00E25C89"/>
    <w:rsid w:val="00E2792F"/>
    <w:rsid w:val="00E317F7"/>
    <w:rsid w:val="00E33EE6"/>
    <w:rsid w:val="00E35995"/>
    <w:rsid w:val="00E3720E"/>
    <w:rsid w:val="00E37B82"/>
    <w:rsid w:val="00E40CB4"/>
    <w:rsid w:val="00E449A5"/>
    <w:rsid w:val="00E45620"/>
    <w:rsid w:val="00E4688C"/>
    <w:rsid w:val="00E47D28"/>
    <w:rsid w:val="00E47D79"/>
    <w:rsid w:val="00E501CA"/>
    <w:rsid w:val="00E54B79"/>
    <w:rsid w:val="00E550F5"/>
    <w:rsid w:val="00E57636"/>
    <w:rsid w:val="00E57DD1"/>
    <w:rsid w:val="00E600FB"/>
    <w:rsid w:val="00E61CD5"/>
    <w:rsid w:val="00E636C5"/>
    <w:rsid w:val="00E6539C"/>
    <w:rsid w:val="00E66CA8"/>
    <w:rsid w:val="00E7004B"/>
    <w:rsid w:val="00E70618"/>
    <w:rsid w:val="00E71AD2"/>
    <w:rsid w:val="00E73470"/>
    <w:rsid w:val="00E81E7F"/>
    <w:rsid w:val="00E81F01"/>
    <w:rsid w:val="00E82538"/>
    <w:rsid w:val="00E831CA"/>
    <w:rsid w:val="00E8378E"/>
    <w:rsid w:val="00E85033"/>
    <w:rsid w:val="00E854C6"/>
    <w:rsid w:val="00E85926"/>
    <w:rsid w:val="00E864AE"/>
    <w:rsid w:val="00E87978"/>
    <w:rsid w:val="00E9006E"/>
    <w:rsid w:val="00E93933"/>
    <w:rsid w:val="00E96D95"/>
    <w:rsid w:val="00EA08D2"/>
    <w:rsid w:val="00EA129B"/>
    <w:rsid w:val="00EA6187"/>
    <w:rsid w:val="00EA6E87"/>
    <w:rsid w:val="00EB0332"/>
    <w:rsid w:val="00EB182C"/>
    <w:rsid w:val="00EB4344"/>
    <w:rsid w:val="00EC5A5E"/>
    <w:rsid w:val="00EC7647"/>
    <w:rsid w:val="00EC7A4F"/>
    <w:rsid w:val="00ED46F8"/>
    <w:rsid w:val="00ED47B8"/>
    <w:rsid w:val="00ED4904"/>
    <w:rsid w:val="00ED6115"/>
    <w:rsid w:val="00EE237D"/>
    <w:rsid w:val="00EE38BF"/>
    <w:rsid w:val="00EE4CD4"/>
    <w:rsid w:val="00EE524F"/>
    <w:rsid w:val="00EE675A"/>
    <w:rsid w:val="00EF09B1"/>
    <w:rsid w:val="00EF0C52"/>
    <w:rsid w:val="00EF1445"/>
    <w:rsid w:val="00EF21C8"/>
    <w:rsid w:val="00EF28F1"/>
    <w:rsid w:val="00EF2C1A"/>
    <w:rsid w:val="00EF6487"/>
    <w:rsid w:val="00EF7D07"/>
    <w:rsid w:val="00F00C83"/>
    <w:rsid w:val="00F035E4"/>
    <w:rsid w:val="00F049DD"/>
    <w:rsid w:val="00F04C63"/>
    <w:rsid w:val="00F05535"/>
    <w:rsid w:val="00F13E1A"/>
    <w:rsid w:val="00F153F2"/>
    <w:rsid w:val="00F1792B"/>
    <w:rsid w:val="00F17C21"/>
    <w:rsid w:val="00F2077C"/>
    <w:rsid w:val="00F2463E"/>
    <w:rsid w:val="00F251AB"/>
    <w:rsid w:val="00F306A4"/>
    <w:rsid w:val="00F32F7A"/>
    <w:rsid w:val="00F334C1"/>
    <w:rsid w:val="00F35807"/>
    <w:rsid w:val="00F40E86"/>
    <w:rsid w:val="00F42939"/>
    <w:rsid w:val="00F440A7"/>
    <w:rsid w:val="00F47547"/>
    <w:rsid w:val="00F54283"/>
    <w:rsid w:val="00F56512"/>
    <w:rsid w:val="00F6224F"/>
    <w:rsid w:val="00F62743"/>
    <w:rsid w:val="00F6585D"/>
    <w:rsid w:val="00F669F0"/>
    <w:rsid w:val="00F72240"/>
    <w:rsid w:val="00F77C41"/>
    <w:rsid w:val="00F77F92"/>
    <w:rsid w:val="00F82626"/>
    <w:rsid w:val="00F834E9"/>
    <w:rsid w:val="00F83B9D"/>
    <w:rsid w:val="00F84ADD"/>
    <w:rsid w:val="00F86A9E"/>
    <w:rsid w:val="00F90F6F"/>
    <w:rsid w:val="00F92177"/>
    <w:rsid w:val="00F92D46"/>
    <w:rsid w:val="00F955F4"/>
    <w:rsid w:val="00F95FDF"/>
    <w:rsid w:val="00FA150E"/>
    <w:rsid w:val="00FA483C"/>
    <w:rsid w:val="00FA7515"/>
    <w:rsid w:val="00FB2388"/>
    <w:rsid w:val="00FB5C61"/>
    <w:rsid w:val="00FB7F2A"/>
    <w:rsid w:val="00FC5BFC"/>
    <w:rsid w:val="00FC6B89"/>
    <w:rsid w:val="00FC76CA"/>
    <w:rsid w:val="00FD23D8"/>
    <w:rsid w:val="00FD5E4C"/>
    <w:rsid w:val="00FD6D58"/>
    <w:rsid w:val="00FD736A"/>
    <w:rsid w:val="00FE0279"/>
    <w:rsid w:val="00FE18F3"/>
    <w:rsid w:val="00FE3F2E"/>
    <w:rsid w:val="00FE504C"/>
    <w:rsid w:val="00FE6F7A"/>
    <w:rsid w:val="00FE75D7"/>
    <w:rsid w:val="00FF0FB3"/>
    <w:rsid w:val="00FF67A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A1E0"/>
  <w15:docId w15:val="{3ADB71AB-523D-4C2A-970A-35394AC2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5DD8"/>
    <w:pPr>
      <w:spacing w:after="0" w:line="240" w:lineRule="auto"/>
    </w:pPr>
  </w:style>
  <w:style w:type="paragraph" w:styleId="Textodeglobo">
    <w:name w:val="Balloon Text"/>
    <w:basedOn w:val="Normal"/>
    <w:link w:val="TextodegloboCar"/>
    <w:uiPriority w:val="99"/>
    <w:semiHidden/>
    <w:unhideWhenUsed/>
    <w:rsid w:val="00C9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24"/>
    <w:rPr>
      <w:rFonts w:ascii="Tahoma" w:hAnsi="Tahoma" w:cs="Tahoma"/>
      <w:sz w:val="16"/>
      <w:szCs w:val="16"/>
    </w:rPr>
  </w:style>
  <w:style w:type="paragraph" w:styleId="Encabezado">
    <w:name w:val="header"/>
    <w:basedOn w:val="Normal"/>
    <w:link w:val="EncabezadoCar"/>
    <w:uiPriority w:val="99"/>
    <w:unhideWhenUsed/>
    <w:rsid w:val="00A609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98E"/>
  </w:style>
  <w:style w:type="paragraph" w:styleId="Piedepgina">
    <w:name w:val="footer"/>
    <w:basedOn w:val="Normal"/>
    <w:link w:val="PiedepginaCar"/>
    <w:uiPriority w:val="99"/>
    <w:unhideWhenUsed/>
    <w:rsid w:val="00A60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98E"/>
  </w:style>
  <w:style w:type="paragraph" w:styleId="NormalWeb">
    <w:name w:val="Normal (Web)"/>
    <w:basedOn w:val="Normal"/>
    <w:uiPriority w:val="99"/>
    <w:unhideWhenUsed/>
    <w:rsid w:val="004F33E6"/>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inespaciadoCar">
    <w:name w:val="Sin espaciado Car"/>
    <w:basedOn w:val="Fuentedeprrafopredeter"/>
    <w:link w:val="Sinespaciado"/>
    <w:uiPriority w:val="1"/>
    <w:locked/>
    <w:rsid w:val="004F33E6"/>
  </w:style>
  <w:style w:type="character" w:styleId="Hipervnculo">
    <w:name w:val="Hyperlink"/>
    <w:basedOn w:val="Fuentedeprrafopredeter"/>
    <w:uiPriority w:val="99"/>
    <w:unhideWhenUsed/>
    <w:rsid w:val="006B54A8"/>
    <w:rPr>
      <w:color w:val="0000FF" w:themeColor="hyperlink"/>
      <w:u w:val="single"/>
    </w:rPr>
  </w:style>
  <w:style w:type="paragraph" w:styleId="Textonotapie">
    <w:name w:val="footnote text"/>
    <w:basedOn w:val="Normal"/>
    <w:link w:val="TextonotapieCar"/>
    <w:uiPriority w:val="99"/>
    <w:semiHidden/>
    <w:unhideWhenUsed/>
    <w:rsid w:val="006F1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1F3C"/>
    <w:rPr>
      <w:sz w:val="20"/>
      <w:szCs w:val="20"/>
    </w:rPr>
  </w:style>
  <w:style w:type="character" w:styleId="Refdenotaalpie">
    <w:name w:val="footnote reference"/>
    <w:basedOn w:val="Fuentedeprrafopredeter"/>
    <w:uiPriority w:val="99"/>
    <w:semiHidden/>
    <w:unhideWhenUsed/>
    <w:rsid w:val="006F1F3C"/>
    <w:rPr>
      <w:vertAlign w:val="superscript"/>
    </w:rPr>
  </w:style>
  <w:style w:type="character" w:styleId="Hipervnculovisitado">
    <w:name w:val="FollowedHyperlink"/>
    <w:basedOn w:val="Fuentedeprrafopredeter"/>
    <w:uiPriority w:val="99"/>
    <w:semiHidden/>
    <w:unhideWhenUsed/>
    <w:rsid w:val="00B937ED"/>
    <w:rPr>
      <w:color w:val="800080" w:themeColor="followedHyperlink"/>
      <w:u w:val="single"/>
    </w:rPr>
  </w:style>
  <w:style w:type="paragraph" w:styleId="Prrafodelista">
    <w:name w:val="List Paragraph"/>
    <w:basedOn w:val="Normal"/>
    <w:uiPriority w:val="34"/>
    <w:qFormat/>
    <w:rsid w:val="001D339A"/>
    <w:pPr>
      <w:ind w:left="720"/>
      <w:contextualSpacing/>
      <w:jc w:val="both"/>
    </w:pPr>
    <w:rPr>
      <w:rFonts w:ascii="Times New Roman" w:hAnsi="Times New Roman"/>
    </w:rPr>
  </w:style>
  <w:style w:type="table" w:styleId="Tablaconcuadrcula">
    <w:name w:val="Table Grid"/>
    <w:basedOn w:val="Tablanormal"/>
    <w:uiPriority w:val="59"/>
    <w:rsid w:val="004C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0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8957">
      <w:bodyDiv w:val="1"/>
      <w:marLeft w:val="0"/>
      <w:marRight w:val="0"/>
      <w:marTop w:val="0"/>
      <w:marBottom w:val="0"/>
      <w:divBdr>
        <w:top w:val="none" w:sz="0" w:space="0" w:color="auto"/>
        <w:left w:val="none" w:sz="0" w:space="0" w:color="auto"/>
        <w:bottom w:val="none" w:sz="0" w:space="0" w:color="auto"/>
        <w:right w:val="none" w:sz="0" w:space="0" w:color="auto"/>
      </w:divBdr>
    </w:div>
    <w:div w:id="87775366">
      <w:bodyDiv w:val="1"/>
      <w:marLeft w:val="0"/>
      <w:marRight w:val="0"/>
      <w:marTop w:val="0"/>
      <w:marBottom w:val="0"/>
      <w:divBdr>
        <w:top w:val="none" w:sz="0" w:space="0" w:color="auto"/>
        <w:left w:val="none" w:sz="0" w:space="0" w:color="auto"/>
        <w:bottom w:val="none" w:sz="0" w:space="0" w:color="auto"/>
        <w:right w:val="none" w:sz="0" w:space="0" w:color="auto"/>
      </w:divBdr>
    </w:div>
    <w:div w:id="133060234">
      <w:bodyDiv w:val="1"/>
      <w:marLeft w:val="0"/>
      <w:marRight w:val="0"/>
      <w:marTop w:val="0"/>
      <w:marBottom w:val="0"/>
      <w:divBdr>
        <w:top w:val="none" w:sz="0" w:space="0" w:color="auto"/>
        <w:left w:val="none" w:sz="0" w:space="0" w:color="auto"/>
        <w:bottom w:val="none" w:sz="0" w:space="0" w:color="auto"/>
        <w:right w:val="none" w:sz="0" w:space="0" w:color="auto"/>
      </w:divBdr>
    </w:div>
    <w:div w:id="304236382">
      <w:bodyDiv w:val="1"/>
      <w:marLeft w:val="0"/>
      <w:marRight w:val="0"/>
      <w:marTop w:val="0"/>
      <w:marBottom w:val="0"/>
      <w:divBdr>
        <w:top w:val="none" w:sz="0" w:space="0" w:color="auto"/>
        <w:left w:val="none" w:sz="0" w:space="0" w:color="auto"/>
        <w:bottom w:val="none" w:sz="0" w:space="0" w:color="auto"/>
        <w:right w:val="none" w:sz="0" w:space="0" w:color="auto"/>
      </w:divBdr>
    </w:div>
    <w:div w:id="317267169">
      <w:bodyDiv w:val="1"/>
      <w:marLeft w:val="0"/>
      <w:marRight w:val="0"/>
      <w:marTop w:val="0"/>
      <w:marBottom w:val="0"/>
      <w:divBdr>
        <w:top w:val="none" w:sz="0" w:space="0" w:color="auto"/>
        <w:left w:val="none" w:sz="0" w:space="0" w:color="auto"/>
        <w:bottom w:val="none" w:sz="0" w:space="0" w:color="auto"/>
        <w:right w:val="none" w:sz="0" w:space="0" w:color="auto"/>
      </w:divBdr>
    </w:div>
    <w:div w:id="649213026">
      <w:bodyDiv w:val="1"/>
      <w:marLeft w:val="0"/>
      <w:marRight w:val="0"/>
      <w:marTop w:val="0"/>
      <w:marBottom w:val="0"/>
      <w:divBdr>
        <w:top w:val="none" w:sz="0" w:space="0" w:color="auto"/>
        <w:left w:val="none" w:sz="0" w:space="0" w:color="auto"/>
        <w:bottom w:val="none" w:sz="0" w:space="0" w:color="auto"/>
        <w:right w:val="none" w:sz="0" w:space="0" w:color="auto"/>
      </w:divBdr>
    </w:div>
    <w:div w:id="880827965">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38429322">
      <w:bodyDiv w:val="1"/>
      <w:marLeft w:val="0"/>
      <w:marRight w:val="0"/>
      <w:marTop w:val="0"/>
      <w:marBottom w:val="0"/>
      <w:divBdr>
        <w:top w:val="none" w:sz="0" w:space="0" w:color="auto"/>
        <w:left w:val="none" w:sz="0" w:space="0" w:color="auto"/>
        <w:bottom w:val="none" w:sz="0" w:space="0" w:color="auto"/>
        <w:right w:val="none" w:sz="0" w:space="0" w:color="auto"/>
      </w:divBdr>
    </w:div>
    <w:div w:id="1096171030">
      <w:bodyDiv w:val="1"/>
      <w:marLeft w:val="0"/>
      <w:marRight w:val="0"/>
      <w:marTop w:val="0"/>
      <w:marBottom w:val="0"/>
      <w:divBdr>
        <w:top w:val="none" w:sz="0" w:space="0" w:color="auto"/>
        <w:left w:val="none" w:sz="0" w:space="0" w:color="auto"/>
        <w:bottom w:val="none" w:sz="0" w:space="0" w:color="auto"/>
        <w:right w:val="none" w:sz="0" w:space="0" w:color="auto"/>
      </w:divBdr>
    </w:div>
    <w:div w:id="1719085067">
      <w:bodyDiv w:val="1"/>
      <w:marLeft w:val="0"/>
      <w:marRight w:val="0"/>
      <w:marTop w:val="0"/>
      <w:marBottom w:val="0"/>
      <w:divBdr>
        <w:top w:val="none" w:sz="0" w:space="0" w:color="auto"/>
        <w:left w:val="none" w:sz="0" w:space="0" w:color="auto"/>
        <w:bottom w:val="none" w:sz="0" w:space="0" w:color="auto"/>
        <w:right w:val="none" w:sz="0" w:space="0" w:color="auto"/>
      </w:divBdr>
      <w:divsChild>
        <w:div w:id="1278223015">
          <w:marLeft w:val="0"/>
          <w:marRight w:val="0"/>
          <w:marTop w:val="0"/>
          <w:marBottom w:val="0"/>
          <w:divBdr>
            <w:top w:val="none" w:sz="0" w:space="0" w:color="auto"/>
            <w:left w:val="none" w:sz="0" w:space="0" w:color="auto"/>
            <w:bottom w:val="none" w:sz="0" w:space="0" w:color="auto"/>
            <w:right w:val="none" w:sz="0" w:space="0" w:color="auto"/>
          </w:divBdr>
          <w:divsChild>
            <w:div w:id="1524630340">
              <w:marLeft w:val="0"/>
              <w:marRight w:val="0"/>
              <w:marTop w:val="0"/>
              <w:marBottom w:val="0"/>
              <w:divBdr>
                <w:top w:val="none" w:sz="0" w:space="0" w:color="auto"/>
                <w:left w:val="none" w:sz="0" w:space="0" w:color="auto"/>
                <w:bottom w:val="none" w:sz="0" w:space="0" w:color="auto"/>
                <w:right w:val="none" w:sz="0" w:space="0" w:color="auto"/>
              </w:divBdr>
              <w:divsChild>
                <w:div w:id="704016197">
                  <w:marLeft w:val="0"/>
                  <w:marRight w:val="0"/>
                  <w:marTop w:val="0"/>
                  <w:marBottom w:val="0"/>
                  <w:divBdr>
                    <w:top w:val="none" w:sz="0" w:space="0" w:color="auto"/>
                    <w:left w:val="none" w:sz="0" w:space="0" w:color="auto"/>
                    <w:bottom w:val="none" w:sz="0" w:space="0" w:color="auto"/>
                    <w:right w:val="none" w:sz="0" w:space="0" w:color="auto"/>
                  </w:divBdr>
                  <w:divsChild>
                    <w:div w:id="1894996699">
                      <w:marLeft w:val="0"/>
                      <w:marRight w:val="0"/>
                      <w:marTop w:val="0"/>
                      <w:marBottom w:val="0"/>
                      <w:divBdr>
                        <w:top w:val="none" w:sz="0" w:space="0" w:color="auto"/>
                        <w:left w:val="none" w:sz="0" w:space="0" w:color="auto"/>
                        <w:bottom w:val="none" w:sz="0" w:space="0" w:color="auto"/>
                        <w:right w:val="none" w:sz="0" w:space="0" w:color="auto"/>
                      </w:divBdr>
                      <w:divsChild>
                        <w:div w:id="1278492299">
                          <w:marLeft w:val="0"/>
                          <w:marRight w:val="0"/>
                          <w:marTop w:val="0"/>
                          <w:marBottom w:val="0"/>
                          <w:divBdr>
                            <w:top w:val="none" w:sz="0" w:space="0" w:color="auto"/>
                            <w:left w:val="none" w:sz="0" w:space="0" w:color="auto"/>
                            <w:bottom w:val="none" w:sz="0" w:space="0" w:color="auto"/>
                            <w:right w:val="none" w:sz="0" w:space="0" w:color="auto"/>
                          </w:divBdr>
                          <w:divsChild>
                            <w:div w:id="199710835">
                              <w:marLeft w:val="0"/>
                              <w:marRight w:val="0"/>
                              <w:marTop w:val="0"/>
                              <w:marBottom w:val="0"/>
                              <w:divBdr>
                                <w:top w:val="none" w:sz="0" w:space="0" w:color="auto"/>
                                <w:left w:val="none" w:sz="0" w:space="0" w:color="auto"/>
                                <w:bottom w:val="none" w:sz="0" w:space="0" w:color="auto"/>
                                <w:right w:val="none" w:sz="0" w:space="0" w:color="auto"/>
                              </w:divBdr>
                              <w:divsChild>
                                <w:div w:id="1023170690">
                                  <w:marLeft w:val="0"/>
                                  <w:marRight w:val="0"/>
                                  <w:marTop w:val="0"/>
                                  <w:marBottom w:val="0"/>
                                  <w:divBdr>
                                    <w:top w:val="none" w:sz="0" w:space="0" w:color="auto"/>
                                    <w:left w:val="none" w:sz="0" w:space="0" w:color="auto"/>
                                    <w:bottom w:val="none" w:sz="0" w:space="0" w:color="auto"/>
                                    <w:right w:val="none" w:sz="0" w:space="0" w:color="auto"/>
                                  </w:divBdr>
                                  <w:divsChild>
                                    <w:div w:id="383409800">
                                      <w:marLeft w:val="0"/>
                                      <w:marRight w:val="0"/>
                                      <w:marTop w:val="0"/>
                                      <w:marBottom w:val="0"/>
                                      <w:divBdr>
                                        <w:top w:val="none" w:sz="0" w:space="0" w:color="auto"/>
                                        <w:left w:val="none" w:sz="0" w:space="0" w:color="auto"/>
                                        <w:bottom w:val="none" w:sz="0" w:space="0" w:color="auto"/>
                                        <w:right w:val="none" w:sz="0" w:space="0" w:color="auto"/>
                                      </w:divBdr>
                                      <w:divsChild>
                                        <w:div w:id="1871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516617">
      <w:bodyDiv w:val="1"/>
      <w:marLeft w:val="0"/>
      <w:marRight w:val="0"/>
      <w:marTop w:val="0"/>
      <w:marBottom w:val="0"/>
      <w:divBdr>
        <w:top w:val="none" w:sz="0" w:space="0" w:color="auto"/>
        <w:left w:val="none" w:sz="0" w:space="0" w:color="auto"/>
        <w:bottom w:val="none" w:sz="0" w:space="0" w:color="auto"/>
        <w:right w:val="none" w:sz="0" w:space="0" w:color="auto"/>
      </w:divBdr>
    </w:div>
    <w:div w:id="21191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9.emf"/><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5.xml"/><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image" Target="media/image11.emf"/><Relationship Id="rId30" Type="http://schemas.openxmlformats.org/officeDocument/2006/relationships/header" Target="header7.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7DB5-7D0C-4B75-90C2-7123B542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2591</Words>
  <Characters>14255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Rodas Anleu</dc:creator>
  <cp:lastModifiedBy>Saul Enrique De León Meneses</cp:lastModifiedBy>
  <cp:revision>5</cp:revision>
  <cp:lastPrinted>2014-03-08T04:17:00Z</cp:lastPrinted>
  <dcterms:created xsi:type="dcterms:W3CDTF">2018-05-15T20:24:00Z</dcterms:created>
  <dcterms:modified xsi:type="dcterms:W3CDTF">2018-05-15T21:24:00Z</dcterms:modified>
</cp:coreProperties>
</file>