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51" w:rsidRPr="008B12FF" w:rsidRDefault="00157402" w:rsidP="008F312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7D4651" w:rsidRPr="008B12FF" w:rsidSect="00754057">
          <w:headerReference w:type="default" r:id="rId8"/>
          <w:footerReference w:type="default" r:id="rId9"/>
          <w:pgSz w:w="12240" w:h="15840" w:code="1"/>
          <w:pgMar w:top="1418" w:right="1418" w:bottom="1418" w:left="1418" w:header="709" w:footer="709" w:gutter="0"/>
          <w:cols w:space="708"/>
          <w:docGrid w:linePitch="360"/>
        </w:sectPr>
      </w:pPr>
      <w:bookmarkStart w:id="0" w:name="_GoBack"/>
      <w:bookmarkEnd w:id="0"/>
      <w:r w:rsidRPr="008B12FF">
        <w:rPr>
          <w:rFonts w:ascii="Times New Roman" w:hAnsi="Times New Roman" w:cs="Times New Roman"/>
          <w:b/>
          <w:lang w:val="es-MX"/>
        </w:rPr>
        <w:t>C</w:t>
      </w:r>
      <w:r w:rsidR="00FD61B9" w:rsidRPr="008B12FF">
        <w:rPr>
          <w:rFonts w:ascii="Times New Roman" w:hAnsi="Times New Roman" w:cs="Times New Roman"/>
          <w:b/>
          <w:lang w:val="es-MX"/>
        </w:rPr>
        <w:t>o</w:t>
      </w:r>
      <w:r w:rsidRPr="008B12FF">
        <w:rPr>
          <w:rFonts w:ascii="Times New Roman" w:hAnsi="Times New Roman" w:cs="Times New Roman"/>
          <w:b/>
          <w:lang w:val="es-MX"/>
        </w:rPr>
        <w:t>mportamiento del resultado fiscal podría predecir un déficit bajo al final del año</w:t>
      </w:r>
    </w:p>
    <w:p w:rsidR="007D4651" w:rsidRPr="008B12FF" w:rsidRDefault="007D4651" w:rsidP="007D4651">
      <w:pPr>
        <w:pStyle w:val="Sinespaciado"/>
        <w:rPr>
          <w:rFonts w:ascii="Times New Roman" w:hAnsi="Times New Roman" w:cs="Times New Roman"/>
          <w:b/>
          <w:color w:val="FF0000"/>
          <w:sz w:val="18"/>
          <w:lang w:val="es-MX"/>
        </w:rPr>
      </w:pPr>
    </w:p>
    <w:p w:rsidR="007D4651" w:rsidRPr="008B12FF" w:rsidRDefault="007D4651" w:rsidP="007D4651">
      <w:pPr>
        <w:pStyle w:val="Sinespaciado"/>
        <w:jc w:val="center"/>
        <w:rPr>
          <w:rFonts w:ascii="Times New Roman" w:hAnsi="Times New Roman" w:cs="Times New Roman"/>
          <w:b/>
          <w:color w:val="FF0000"/>
          <w:lang w:val="es-MX"/>
        </w:rPr>
        <w:sectPr w:rsidR="007D4651" w:rsidRPr="008B12FF" w:rsidSect="00213F7F">
          <w:type w:val="continuous"/>
          <w:pgSz w:w="12240" w:h="15840"/>
          <w:pgMar w:top="1417" w:right="1701" w:bottom="1417" w:left="1701" w:header="708" w:footer="708" w:gutter="0"/>
          <w:cols w:space="708"/>
          <w:docGrid w:linePitch="360"/>
        </w:sectPr>
      </w:pPr>
    </w:p>
    <w:p w:rsidR="008B12FF" w:rsidRDefault="008B12FF" w:rsidP="008B12FF">
      <w:pPr>
        <w:pStyle w:val="Sinespaciado"/>
        <w:jc w:val="both"/>
        <w:rPr>
          <w:rFonts w:ascii="Times New Roman" w:hAnsi="Times New Roman" w:cs="Times New Roman"/>
          <w:color w:val="000000" w:themeColor="text1"/>
          <w:lang w:val="es-MX"/>
        </w:rPr>
      </w:pPr>
      <w:r>
        <w:rPr>
          <w:rFonts w:ascii="Times New Roman" w:hAnsi="Times New Roman" w:cs="Times New Roman"/>
          <w:color w:val="000000" w:themeColor="text1"/>
          <w:lang w:val="es-MX"/>
        </w:rPr>
        <w:lastRenderedPageBreak/>
        <w:t xml:space="preserve">El resultado fiscal ha sido favorable derivado de la mejora considerable que ha tenido la recaudación tributaria, que crece de manera acelerado dado el buen desempeño de la Administración Tributaria.  Sin embargo, el gasto público que en este segundo cuatrimestre se relajó, no fue suficiente para aprovechar los recursos disponibles para aumentar su ejecución y que las entidades pudieran dotar de más y mejores servicios para la población.  De esa cuenta, el déficit fiscal al 31 de agosto de </w:t>
      </w:r>
      <w:r>
        <w:rPr>
          <w:rFonts w:ascii="Times New Roman" w:hAnsi="Times New Roman" w:cs="Times New Roman"/>
          <w:color w:val="000000" w:themeColor="text1"/>
          <w:lang w:val="es-MX"/>
        </w:rPr>
        <w:lastRenderedPageBreak/>
        <w:t xml:space="preserve">este año se ubicó en Q 68.5 millones, que contrasta con el déficit observado a esa misma fecha del 2015 y de lo que se tenía previsto en el presupuesto para 2016.    Dado este comportamiento y lo que podría ejecutarse en términos de ingreso y gasto en lo que resta del año, el déficit fiscal quedará muy por debajo de lo estimado en el presupuesto vigente. </w:t>
      </w:r>
    </w:p>
    <w:p w:rsidR="007D4651" w:rsidRPr="008B12FF" w:rsidRDefault="007D4651" w:rsidP="008F312E">
      <w:pPr>
        <w:pStyle w:val="Sinespaciado"/>
        <w:jc w:val="both"/>
        <w:rPr>
          <w:rFonts w:ascii="Times New Roman" w:hAnsi="Times New Roman" w:cs="Times New Roman"/>
          <w:color w:val="FF0000"/>
          <w:lang w:val="es-MX"/>
        </w:rPr>
      </w:pPr>
    </w:p>
    <w:p w:rsidR="007D4651" w:rsidRPr="008B12FF" w:rsidRDefault="007D4651" w:rsidP="007D4651">
      <w:pPr>
        <w:pStyle w:val="Sinespaciado"/>
        <w:jc w:val="both"/>
        <w:rPr>
          <w:rFonts w:ascii="Times New Roman" w:hAnsi="Times New Roman" w:cs="Times New Roman"/>
          <w:color w:val="FF0000"/>
          <w:lang w:val="es-MX"/>
        </w:rPr>
      </w:pPr>
    </w:p>
    <w:p w:rsidR="007D4651" w:rsidRPr="008B12FF" w:rsidRDefault="007D4651" w:rsidP="007D4651">
      <w:pPr>
        <w:pStyle w:val="Sinespaciado"/>
        <w:jc w:val="center"/>
        <w:rPr>
          <w:rFonts w:ascii="Times New Roman" w:hAnsi="Times New Roman" w:cs="Times New Roman"/>
          <w:b/>
          <w:color w:val="FF0000"/>
          <w:lang w:val="es-MX"/>
        </w:rPr>
        <w:sectPr w:rsidR="007D4651" w:rsidRPr="008B12FF" w:rsidSect="005D6A2E">
          <w:type w:val="continuous"/>
          <w:pgSz w:w="12240" w:h="15840"/>
          <w:pgMar w:top="1417" w:right="1701" w:bottom="1417" w:left="1701" w:header="708" w:footer="708" w:gutter="0"/>
          <w:cols w:num="2" w:space="708"/>
          <w:docGrid w:linePitch="360"/>
        </w:sectPr>
      </w:pPr>
    </w:p>
    <w:p w:rsidR="007D4651" w:rsidRPr="008B12FF" w:rsidRDefault="007D4651" w:rsidP="007D4651">
      <w:pPr>
        <w:pStyle w:val="Sinespaciado"/>
        <w:jc w:val="center"/>
        <w:rPr>
          <w:rFonts w:ascii="Times New Roman" w:hAnsi="Times New Roman" w:cs="Times New Roman"/>
          <w:b/>
          <w:color w:val="FF0000"/>
          <w:lang w:val="es-MX"/>
        </w:rPr>
      </w:pPr>
    </w:p>
    <w:p w:rsidR="007D4651" w:rsidRPr="008B12FF" w:rsidRDefault="007D4651" w:rsidP="007D4651">
      <w:pPr>
        <w:pStyle w:val="Sinespaciado"/>
        <w:jc w:val="center"/>
        <w:rPr>
          <w:rFonts w:ascii="Times New Roman" w:hAnsi="Times New Roman" w:cs="Times New Roman"/>
          <w:b/>
          <w:lang w:val="es-MX"/>
        </w:rPr>
        <w:sectPr w:rsidR="007D4651" w:rsidRPr="008B12FF" w:rsidSect="007D4651">
          <w:type w:val="continuous"/>
          <w:pgSz w:w="12240" w:h="15840" w:code="1"/>
          <w:pgMar w:top="1418" w:right="1418" w:bottom="1418" w:left="1418" w:header="709" w:footer="709" w:gutter="0"/>
          <w:cols w:num="2" w:space="708"/>
          <w:docGrid w:linePitch="360"/>
        </w:sectPr>
      </w:pPr>
    </w:p>
    <w:p w:rsidR="007D4651" w:rsidRPr="008B12FF" w:rsidRDefault="007D4651" w:rsidP="00910163">
      <w:pPr>
        <w:pStyle w:val="Sinespaciado"/>
        <w:jc w:val="center"/>
        <w:rPr>
          <w:rFonts w:ascii="Times New Roman" w:hAnsi="Times New Roman" w:cs="Times New Roman"/>
          <w:b/>
          <w:lang w:val="es-MX"/>
        </w:rPr>
      </w:pPr>
      <w:r w:rsidRPr="008B12FF">
        <w:rPr>
          <w:rFonts w:ascii="Times New Roman" w:hAnsi="Times New Roman" w:cs="Times New Roman"/>
          <w:b/>
          <w:lang w:val="es-MX"/>
        </w:rPr>
        <w:lastRenderedPageBreak/>
        <w:t>Resultado Presupuestario</w:t>
      </w:r>
    </w:p>
    <w:p w:rsidR="00BC79C1" w:rsidRPr="008B12FF" w:rsidRDefault="008F312E" w:rsidP="00BC79C1">
      <w:pPr>
        <w:pStyle w:val="Sinespaciado"/>
        <w:jc w:val="center"/>
        <w:rPr>
          <w:rFonts w:ascii="Times New Roman" w:hAnsi="Times New Roman" w:cs="Times New Roman"/>
          <w:b/>
          <w:lang w:val="es-MX"/>
        </w:rPr>
      </w:pPr>
      <w:r w:rsidRPr="008B12FF">
        <w:rPr>
          <w:rFonts w:ascii="Times New Roman" w:hAnsi="Times New Roman" w:cs="Times New Roman"/>
          <w:b/>
          <w:lang w:val="es-MX"/>
        </w:rPr>
        <w:t>Al 31</w:t>
      </w:r>
      <w:r w:rsidR="00BC79C1" w:rsidRPr="008B12FF">
        <w:rPr>
          <w:rFonts w:ascii="Times New Roman" w:hAnsi="Times New Roman" w:cs="Times New Roman"/>
          <w:b/>
          <w:lang w:val="es-MX"/>
        </w:rPr>
        <w:t xml:space="preserve"> de </w:t>
      </w:r>
      <w:r w:rsidR="00157402" w:rsidRPr="008B12FF">
        <w:rPr>
          <w:rFonts w:ascii="Times New Roman" w:hAnsi="Times New Roman" w:cs="Times New Roman"/>
          <w:b/>
          <w:lang w:val="es-MX"/>
        </w:rPr>
        <w:t>agosto</w:t>
      </w:r>
      <w:r w:rsidR="00BC79C1" w:rsidRPr="008B12FF">
        <w:rPr>
          <w:rFonts w:ascii="Times New Roman" w:hAnsi="Times New Roman" w:cs="Times New Roman"/>
          <w:b/>
          <w:lang w:val="es-MX"/>
        </w:rPr>
        <w:t xml:space="preserve"> de cada año</w:t>
      </w:r>
    </w:p>
    <w:p w:rsidR="00BC79C1" w:rsidRPr="008B12FF" w:rsidRDefault="00BC79C1" w:rsidP="00BC79C1">
      <w:pPr>
        <w:pStyle w:val="Sinespaciado"/>
        <w:jc w:val="center"/>
        <w:rPr>
          <w:rFonts w:ascii="Times New Roman" w:hAnsi="Times New Roman" w:cs="Times New Roman"/>
          <w:sz w:val="18"/>
          <w:lang w:val="es-MX"/>
        </w:rPr>
      </w:pPr>
      <w:r w:rsidRPr="008B12FF">
        <w:rPr>
          <w:rFonts w:ascii="Times New Roman" w:hAnsi="Times New Roman" w:cs="Times New Roman"/>
          <w:sz w:val="18"/>
          <w:lang w:val="es-MX"/>
        </w:rPr>
        <w:t>Millones de quetzales</w:t>
      </w:r>
    </w:p>
    <w:p w:rsidR="007D4651" w:rsidRPr="008B12FF" w:rsidRDefault="008B12FF" w:rsidP="007D4651">
      <w:pPr>
        <w:pStyle w:val="Sinespaciado"/>
        <w:jc w:val="center"/>
        <w:rPr>
          <w:rFonts w:ascii="Times New Roman" w:hAnsi="Times New Roman" w:cs="Times New Roman"/>
          <w:lang w:val="es-MX"/>
        </w:rPr>
      </w:pPr>
      <w:r w:rsidRPr="008B12FF">
        <w:rPr>
          <w:rFonts w:ascii="Times New Roman" w:hAnsi="Times New Roman" w:cs="Times New Roman"/>
          <w:noProof/>
          <w:lang w:eastAsia="es-GT"/>
        </w:rPr>
        <w:drawing>
          <wp:inline distT="0" distB="0" distL="0" distR="0" wp14:anchorId="09F3F584" wp14:editId="6F1E8E1C">
            <wp:extent cx="3230880" cy="2408758"/>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325" cy="2409835"/>
                    </a:xfrm>
                    <a:prstGeom prst="rect">
                      <a:avLst/>
                    </a:prstGeom>
                    <a:noFill/>
                  </pic:spPr>
                </pic:pic>
              </a:graphicData>
            </a:graphic>
          </wp:inline>
        </w:drawing>
      </w:r>
    </w:p>
    <w:p w:rsidR="007D4651" w:rsidRPr="008B12FF" w:rsidRDefault="007D4651" w:rsidP="00CC3420">
      <w:pPr>
        <w:pStyle w:val="Sinespaciado"/>
        <w:ind w:left="1416" w:firstLine="708"/>
        <w:jc w:val="both"/>
        <w:rPr>
          <w:rFonts w:ascii="Times New Roman" w:hAnsi="Times New Roman" w:cs="Times New Roman"/>
          <w:sz w:val="16"/>
        </w:rPr>
      </w:pPr>
      <w:r w:rsidRPr="008B12FF">
        <w:rPr>
          <w:rFonts w:ascii="Times New Roman" w:hAnsi="Times New Roman" w:cs="Times New Roman"/>
          <w:sz w:val="16"/>
        </w:rPr>
        <w:t>Fuente: Dirección de Análisis y Política fiscal</w:t>
      </w:r>
    </w:p>
    <w:p w:rsidR="00DF71A8" w:rsidRPr="008B12FF" w:rsidRDefault="00DF71A8" w:rsidP="007D4651">
      <w:pPr>
        <w:spacing w:after="0" w:line="240" w:lineRule="auto"/>
        <w:rPr>
          <w:rFonts w:ascii="Times New Roman" w:hAnsi="Times New Roman" w:cs="Times New Roman"/>
          <w:color w:val="FF0000"/>
          <w:lang w:val="es-MX"/>
        </w:rPr>
      </w:pPr>
    </w:p>
    <w:p w:rsidR="00DF71A8" w:rsidRPr="008B12FF" w:rsidRDefault="00DF71A8" w:rsidP="007D4651">
      <w:pPr>
        <w:spacing w:after="0" w:line="240" w:lineRule="auto"/>
        <w:rPr>
          <w:rFonts w:ascii="Times New Roman" w:hAnsi="Times New Roman" w:cs="Times New Roman"/>
          <w:color w:val="FF0000"/>
          <w:lang w:val="es-MX"/>
        </w:rPr>
        <w:sectPr w:rsidR="00DF71A8" w:rsidRPr="008B12FF" w:rsidSect="007D4651">
          <w:type w:val="continuous"/>
          <w:pgSz w:w="12240" w:h="15840" w:code="1"/>
          <w:pgMar w:top="1418" w:right="1418" w:bottom="1418" w:left="1418" w:header="709" w:footer="709" w:gutter="0"/>
          <w:cols w:space="708"/>
          <w:docGrid w:linePitch="360"/>
        </w:sectPr>
      </w:pPr>
    </w:p>
    <w:p w:rsidR="00E16925" w:rsidRPr="00887661" w:rsidRDefault="00B21010" w:rsidP="00CC3420">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pPr>
      <w:r w:rsidRPr="00887661">
        <w:rPr>
          <w:rFonts w:ascii="Times New Roman" w:hAnsi="Times New Roman" w:cs="Times New Roman"/>
          <w:b/>
          <w:lang w:val="es-MX"/>
        </w:rPr>
        <w:lastRenderedPageBreak/>
        <w:t>La meta mensual de agosto se superó</w:t>
      </w:r>
    </w:p>
    <w:p w:rsidR="00E16925" w:rsidRPr="008B12FF" w:rsidRDefault="00E16925" w:rsidP="00E16925">
      <w:pPr>
        <w:rPr>
          <w:rFonts w:ascii="Times New Roman" w:hAnsi="Times New Roman" w:cs="Times New Roman"/>
          <w:b/>
          <w:color w:val="FF0000"/>
          <w:lang w:val="es-MX"/>
        </w:rPr>
        <w:sectPr w:rsidR="00E16925" w:rsidRPr="008B12FF" w:rsidSect="00E16925">
          <w:headerReference w:type="default" r:id="rId11"/>
          <w:footerReference w:type="default" r:id="rId12"/>
          <w:type w:val="continuous"/>
          <w:pgSz w:w="12240" w:h="15840" w:code="1"/>
          <w:pgMar w:top="1418" w:right="1418" w:bottom="1418" w:left="1418" w:header="709" w:footer="709" w:gutter="0"/>
          <w:cols w:space="708"/>
          <w:docGrid w:linePitch="360"/>
        </w:sectPr>
      </w:pPr>
    </w:p>
    <w:p w:rsidR="00E16925" w:rsidRPr="008B12FF" w:rsidRDefault="00E16925" w:rsidP="00E16925">
      <w:pPr>
        <w:pStyle w:val="Sinespaciado"/>
        <w:rPr>
          <w:rFonts w:ascii="Times New Roman" w:hAnsi="Times New Roman" w:cs="Times New Roman"/>
          <w:b/>
          <w:color w:val="FF0000"/>
          <w:sz w:val="18"/>
          <w:lang w:val="es-MX"/>
        </w:rPr>
      </w:pPr>
    </w:p>
    <w:p w:rsidR="00E16925" w:rsidRPr="008B12FF" w:rsidRDefault="00E16925" w:rsidP="00E16925">
      <w:pPr>
        <w:pStyle w:val="Sinespaciado"/>
        <w:jc w:val="center"/>
        <w:rPr>
          <w:rFonts w:ascii="Times New Roman" w:hAnsi="Times New Roman" w:cs="Times New Roman"/>
          <w:b/>
          <w:color w:val="FF0000"/>
          <w:lang w:val="es-MX"/>
        </w:rPr>
        <w:sectPr w:rsidR="00E16925" w:rsidRPr="008B12FF" w:rsidSect="00213F7F">
          <w:type w:val="continuous"/>
          <w:pgSz w:w="12240" w:h="15840"/>
          <w:pgMar w:top="1417" w:right="1701" w:bottom="1417" w:left="1701" w:header="708" w:footer="708" w:gutter="0"/>
          <w:cols w:space="708"/>
          <w:docGrid w:linePitch="360"/>
        </w:sectPr>
      </w:pPr>
    </w:p>
    <w:p w:rsidR="00AD03E8" w:rsidRDefault="00AD03E8" w:rsidP="00AD03E8">
      <w:pPr>
        <w:spacing w:after="0" w:line="240" w:lineRule="auto"/>
        <w:jc w:val="both"/>
        <w:rPr>
          <w:rFonts w:ascii="Times New Roman" w:hAnsi="Times New Roman" w:cs="Times New Roman"/>
          <w:lang w:val="es-MX"/>
        </w:rPr>
      </w:pPr>
      <w:r w:rsidRPr="00887661">
        <w:rPr>
          <w:rFonts w:ascii="Times New Roman" w:hAnsi="Times New Roman" w:cs="Times New Roman"/>
          <w:color w:val="000000" w:themeColor="text1"/>
          <w:lang w:val="es-MX"/>
        </w:rPr>
        <w:lastRenderedPageBreak/>
        <w:t>La ejecución mensual respecto a presupuesto fue 106.2%, dicho logro obedece al desempeño positivo en el ISR que superó la meta establecida en Q</w:t>
      </w:r>
      <w:r w:rsidR="00887661" w:rsidRPr="00887661">
        <w:rPr>
          <w:rFonts w:ascii="Times New Roman" w:hAnsi="Times New Roman" w:cs="Times New Roman"/>
          <w:color w:val="000000" w:themeColor="text1"/>
          <w:lang w:val="es-MX"/>
        </w:rPr>
        <w:t xml:space="preserve"> </w:t>
      </w:r>
      <w:r w:rsidRPr="00887661">
        <w:rPr>
          <w:rFonts w:ascii="Times New Roman" w:hAnsi="Times New Roman" w:cs="Times New Roman"/>
          <w:color w:val="000000" w:themeColor="text1"/>
          <w:lang w:val="es-MX"/>
        </w:rPr>
        <w:t>185.6 millones, además de una leve mejora en el IVA total que únicamente dejo de percibir Q</w:t>
      </w:r>
      <w:r w:rsidR="00887661" w:rsidRPr="00887661">
        <w:rPr>
          <w:rFonts w:ascii="Times New Roman" w:hAnsi="Times New Roman" w:cs="Times New Roman"/>
          <w:color w:val="000000" w:themeColor="text1"/>
          <w:lang w:val="es-MX"/>
        </w:rPr>
        <w:t xml:space="preserve"> </w:t>
      </w:r>
      <w:r w:rsidRPr="00887661">
        <w:rPr>
          <w:rFonts w:ascii="Times New Roman" w:hAnsi="Times New Roman" w:cs="Times New Roman"/>
          <w:color w:val="000000" w:themeColor="text1"/>
          <w:lang w:val="es-MX"/>
        </w:rPr>
        <w:t>69.9 millones, otros aspectos importantes a destacar de manera mensual son el ingreso de Q</w:t>
      </w:r>
      <w:r w:rsidR="00887661" w:rsidRPr="00887661">
        <w:rPr>
          <w:rFonts w:ascii="Times New Roman" w:hAnsi="Times New Roman" w:cs="Times New Roman"/>
          <w:color w:val="000000" w:themeColor="text1"/>
          <w:lang w:val="es-MX"/>
        </w:rPr>
        <w:t xml:space="preserve"> </w:t>
      </w:r>
      <w:r w:rsidRPr="00887661">
        <w:rPr>
          <w:rFonts w:ascii="Times New Roman" w:hAnsi="Times New Roman" w:cs="Times New Roman"/>
          <w:color w:val="000000" w:themeColor="text1"/>
          <w:lang w:val="es-MX"/>
        </w:rPr>
        <w:t>48.4 millones en regalías e hidrocarburos compartibles de un programado de Q</w:t>
      </w:r>
      <w:r w:rsidR="00887661" w:rsidRPr="00887661">
        <w:rPr>
          <w:rFonts w:ascii="Times New Roman" w:hAnsi="Times New Roman" w:cs="Times New Roman"/>
          <w:color w:val="000000" w:themeColor="text1"/>
          <w:lang w:val="es-MX"/>
        </w:rPr>
        <w:t xml:space="preserve"> </w:t>
      </w:r>
      <w:r w:rsidRPr="009F78B7">
        <w:rPr>
          <w:rFonts w:ascii="Times New Roman" w:hAnsi="Times New Roman" w:cs="Times New Roman"/>
          <w:lang w:val="es-MX"/>
        </w:rPr>
        <w:t xml:space="preserve">18 </w:t>
      </w:r>
      <w:r w:rsidRPr="009F78B7">
        <w:rPr>
          <w:rFonts w:ascii="Times New Roman" w:hAnsi="Times New Roman" w:cs="Times New Roman"/>
          <w:lang w:val="es-MX"/>
        </w:rPr>
        <w:lastRenderedPageBreak/>
        <w:t>millones, el impuesto a los timbres fiscales no logró alcanzar la meta establecida en presupuesto dejando de percibir Q</w:t>
      </w:r>
      <w:r w:rsidR="00887661">
        <w:rPr>
          <w:rFonts w:ascii="Times New Roman" w:hAnsi="Times New Roman" w:cs="Times New Roman"/>
          <w:lang w:val="es-MX"/>
        </w:rPr>
        <w:t xml:space="preserve"> </w:t>
      </w:r>
      <w:r w:rsidRPr="009F78B7">
        <w:rPr>
          <w:rFonts w:ascii="Times New Roman" w:hAnsi="Times New Roman" w:cs="Times New Roman"/>
          <w:lang w:val="es-MX"/>
        </w:rPr>
        <w:t>4.2 millones.</w:t>
      </w:r>
    </w:p>
    <w:p w:rsidR="00AD03E8" w:rsidRPr="009F78B7" w:rsidRDefault="00AD03E8" w:rsidP="00AD03E8">
      <w:pPr>
        <w:spacing w:after="0" w:line="240" w:lineRule="auto"/>
        <w:jc w:val="both"/>
        <w:rPr>
          <w:rFonts w:ascii="Times New Roman" w:hAnsi="Times New Roman" w:cs="Times New Roman"/>
          <w:lang w:val="es-MX"/>
        </w:rPr>
      </w:pPr>
    </w:p>
    <w:p w:rsidR="00AD03E8" w:rsidRDefault="00AD03E8" w:rsidP="00AD03E8">
      <w:pPr>
        <w:spacing w:after="0" w:line="240" w:lineRule="auto"/>
        <w:jc w:val="both"/>
        <w:rPr>
          <w:rFonts w:ascii="Times New Roman" w:hAnsi="Times New Roman" w:cs="Times New Roman"/>
          <w:lang w:val="es-MX"/>
        </w:rPr>
      </w:pPr>
      <w:r w:rsidRPr="009F78B7">
        <w:rPr>
          <w:rFonts w:ascii="Times New Roman" w:hAnsi="Times New Roman" w:cs="Times New Roman"/>
          <w:lang w:val="es-MX"/>
        </w:rPr>
        <w:t xml:space="preserve">Con relación al año anterior es preciso indicar que  </w:t>
      </w:r>
      <w:r>
        <w:rPr>
          <w:rFonts w:ascii="Times New Roman" w:hAnsi="Times New Roman" w:cs="Times New Roman"/>
          <w:lang w:val="es-MX"/>
        </w:rPr>
        <w:t xml:space="preserve">solo en el mes se logró un aumento en la recaudación de </w:t>
      </w:r>
      <w:r w:rsidRPr="009F78B7">
        <w:rPr>
          <w:rFonts w:ascii="Times New Roman" w:hAnsi="Times New Roman" w:cs="Times New Roman"/>
          <w:lang w:val="es-MX"/>
        </w:rPr>
        <w:t>Q</w:t>
      </w:r>
      <w:r w:rsidR="00887661">
        <w:rPr>
          <w:rFonts w:ascii="Times New Roman" w:hAnsi="Times New Roman" w:cs="Times New Roman"/>
          <w:lang w:val="es-MX"/>
        </w:rPr>
        <w:t xml:space="preserve"> </w:t>
      </w:r>
      <w:r w:rsidRPr="009F78B7">
        <w:rPr>
          <w:rFonts w:ascii="Times New Roman" w:hAnsi="Times New Roman" w:cs="Times New Roman"/>
          <w:lang w:val="es-MX"/>
        </w:rPr>
        <w:t>600.1 millones impulsada principalmente por el ISR e IVA que en conjunto determinan el 79% de la rec</w:t>
      </w:r>
      <w:r>
        <w:rPr>
          <w:rFonts w:ascii="Times New Roman" w:hAnsi="Times New Roman" w:cs="Times New Roman"/>
          <w:lang w:val="es-MX"/>
        </w:rPr>
        <w:t xml:space="preserve">audación </w:t>
      </w:r>
      <w:r>
        <w:rPr>
          <w:rFonts w:ascii="Times New Roman" w:hAnsi="Times New Roman" w:cs="Times New Roman"/>
          <w:lang w:val="es-MX"/>
        </w:rPr>
        <w:lastRenderedPageBreak/>
        <w:t>total y aportan Q</w:t>
      </w:r>
      <w:r w:rsidR="00887661">
        <w:rPr>
          <w:rFonts w:ascii="Times New Roman" w:hAnsi="Times New Roman" w:cs="Times New Roman"/>
          <w:lang w:val="es-MX"/>
        </w:rPr>
        <w:t xml:space="preserve"> </w:t>
      </w:r>
      <w:r>
        <w:rPr>
          <w:rFonts w:ascii="Times New Roman" w:hAnsi="Times New Roman" w:cs="Times New Roman"/>
          <w:lang w:val="es-MX"/>
        </w:rPr>
        <w:t>3,283 millones a los Q</w:t>
      </w:r>
      <w:r w:rsidR="00887661">
        <w:rPr>
          <w:rFonts w:ascii="Times New Roman" w:hAnsi="Times New Roman" w:cs="Times New Roman"/>
          <w:lang w:val="es-MX"/>
        </w:rPr>
        <w:t xml:space="preserve"> </w:t>
      </w:r>
      <w:r>
        <w:rPr>
          <w:rFonts w:ascii="Times New Roman" w:hAnsi="Times New Roman" w:cs="Times New Roman"/>
          <w:lang w:val="es-MX"/>
        </w:rPr>
        <w:t>4,140.9 millones recaudados.</w:t>
      </w:r>
    </w:p>
    <w:p w:rsidR="00B21010" w:rsidRPr="008B12FF" w:rsidRDefault="00B21010" w:rsidP="00B21010">
      <w:pPr>
        <w:spacing w:after="0" w:line="240" w:lineRule="auto"/>
        <w:jc w:val="both"/>
        <w:rPr>
          <w:rFonts w:ascii="Times New Roman" w:hAnsi="Times New Roman" w:cs="Times New Roman"/>
          <w:color w:val="FF0000"/>
          <w:sz w:val="12"/>
          <w:lang w:val="es-MX"/>
        </w:rPr>
      </w:pPr>
    </w:p>
    <w:p w:rsidR="00B21010" w:rsidRPr="00AD03E8" w:rsidRDefault="00B21010" w:rsidP="00B21010">
      <w:pPr>
        <w:spacing w:after="0" w:line="240" w:lineRule="auto"/>
        <w:jc w:val="center"/>
        <w:rPr>
          <w:rFonts w:ascii="Times New Roman" w:hAnsi="Times New Roman" w:cs="Times New Roman"/>
          <w:b/>
          <w:lang w:val="es-MX"/>
        </w:rPr>
      </w:pPr>
      <w:r w:rsidRPr="00AD03E8">
        <w:rPr>
          <w:rFonts w:ascii="Times New Roman" w:hAnsi="Times New Roman" w:cs="Times New Roman"/>
          <w:b/>
          <w:lang w:val="es-MX"/>
        </w:rPr>
        <w:t>Recaudación observada vrs meta y 2015</w:t>
      </w:r>
    </w:p>
    <w:p w:rsidR="00B21010" w:rsidRPr="00AD03E8" w:rsidRDefault="00B21010" w:rsidP="00B21010">
      <w:pPr>
        <w:spacing w:after="0" w:line="240" w:lineRule="auto"/>
        <w:jc w:val="center"/>
        <w:rPr>
          <w:rFonts w:ascii="Times New Roman" w:hAnsi="Times New Roman" w:cs="Times New Roman"/>
          <w:b/>
          <w:sz w:val="18"/>
          <w:lang w:val="es-MX"/>
        </w:rPr>
      </w:pPr>
      <w:r w:rsidRPr="00AD03E8">
        <w:rPr>
          <w:rFonts w:ascii="Times New Roman" w:hAnsi="Times New Roman" w:cs="Times New Roman"/>
          <w:noProof/>
          <w:lang w:eastAsia="es-GT"/>
        </w:rPr>
        <w:drawing>
          <wp:inline distT="0" distB="0" distL="0" distR="0" wp14:anchorId="6C7E8B40" wp14:editId="4DB11A6C">
            <wp:extent cx="2223247" cy="1972236"/>
            <wp:effectExtent l="0" t="0" r="5715"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1010" w:rsidRPr="00AD03E8" w:rsidRDefault="00B21010" w:rsidP="00B21010">
      <w:pPr>
        <w:spacing w:after="0" w:line="240" w:lineRule="auto"/>
        <w:jc w:val="center"/>
        <w:rPr>
          <w:rFonts w:ascii="Times New Roman" w:hAnsi="Times New Roman" w:cs="Times New Roman"/>
          <w:sz w:val="16"/>
          <w:lang w:val="es-MX"/>
        </w:rPr>
      </w:pPr>
      <w:r w:rsidRPr="00AD03E8">
        <w:rPr>
          <w:rFonts w:ascii="Times New Roman" w:hAnsi="Times New Roman" w:cs="Times New Roman"/>
          <w:sz w:val="16"/>
          <w:lang w:val="es-MX"/>
        </w:rPr>
        <w:t>Fuente: Dirección de Análisis y Política Fiscal</w:t>
      </w:r>
    </w:p>
    <w:p w:rsidR="00B21010" w:rsidRPr="008B12FF" w:rsidRDefault="00B21010" w:rsidP="00B21010">
      <w:pPr>
        <w:spacing w:after="0" w:line="240" w:lineRule="auto"/>
        <w:jc w:val="center"/>
        <w:rPr>
          <w:rFonts w:ascii="Times New Roman" w:hAnsi="Times New Roman" w:cs="Times New Roman"/>
          <w:color w:val="FF0000"/>
          <w:lang w:val="es-MX"/>
        </w:rPr>
      </w:pPr>
    </w:p>
    <w:p w:rsidR="00AD03E8" w:rsidRDefault="00AD03E8" w:rsidP="00AD03E8">
      <w:pPr>
        <w:spacing w:after="0" w:line="240" w:lineRule="auto"/>
        <w:jc w:val="both"/>
        <w:rPr>
          <w:rFonts w:ascii="Times New Roman" w:hAnsi="Times New Roman" w:cs="Times New Roman"/>
          <w:lang w:val="es-MX"/>
        </w:rPr>
      </w:pPr>
      <w:r>
        <w:rPr>
          <w:rFonts w:ascii="Times New Roman" w:hAnsi="Times New Roman" w:cs="Times New Roman"/>
          <w:lang w:val="es-MX"/>
        </w:rPr>
        <w:t>La recaudación acumulada tiene una ejecución de 99.7% respecto a la meta de presupuesto, la brecha negativa observada en julio (Q</w:t>
      </w:r>
      <w:r w:rsidR="00887661">
        <w:rPr>
          <w:rFonts w:ascii="Times New Roman" w:hAnsi="Times New Roman" w:cs="Times New Roman"/>
          <w:lang w:val="es-MX"/>
        </w:rPr>
        <w:t xml:space="preserve"> </w:t>
      </w:r>
      <w:r>
        <w:rPr>
          <w:rFonts w:ascii="Times New Roman" w:hAnsi="Times New Roman" w:cs="Times New Roman"/>
          <w:lang w:val="es-MX"/>
        </w:rPr>
        <w:t>348.2 millones) se cerró a Q</w:t>
      </w:r>
      <w:r w:rsidR="00887661">
        <w:rPr>
          <w:rFonts w:ascii="Times New Roman" w:hAnsi="Times New Roman" w:cs="Times New Roman"/>
          <w:lang w:val="es-MX"/>
        </w:rPr>
        <w:t xml:space="preserve"> </w:t>
      </w:r>
      <w:r>
        <w:rPr>
          <w:rFonts w:ascii="Times New Roman" w:hAnsi="Times New Roman" w:cs="Times New Roman"/>
          <w:lang w:val="es-MX"/>
        </w:rPr>
        <w:t>105.3 millones este logro se fundamenta en la recaudación de impuestos como el ISR, derivados de petróleo y el IVA doméstico.</w:t>
      </w:r>
    </w:p>
    <w:p w:rsidR="00B21010" w:rsidRPr="008B12FF" w:rsidRDefault="00B21010" w:rsidP="00B21010">
      <w:pPr>
        <w:spacing w:after="0" w:line="240" w:lineRule="auto"/>
        <w:jc w:val="both"/>
        <w:rPr>
          <w:rFonts w:ascii="Times New Roman" w:hAnsi="Times New Roman" w:cs="Times New Roman"/>
          <w:color w:val="FF0000"/>
          <w:sz w:val="12"/>
          <w:lang w:val="es-MX"/>
        </w:rPr>
      </w:pPr>
    </w:p>
    <w:p w:rsidR="00B21010" w:rsidRPr="00AD03E8" w:rsidRDefault="00B21010" w:rsidP="00B21010">
      <w:pPr>
        <w:spacing w:after="0" w:line="240" w:lineRule="auto"/>
        <w:jc w:val="center"/>
        <w:rPr>
          <w:rFonts w:ascii="Times New Roman" w:hAnsi="Times New Roman" w:cs="Times New Roman"/>
          <w:b/>
          <w:lang w:val="es-MX"/>
        </w:rPr>
      </w:pPr>
      <w:r w:rsidRPr="00AD03E8">
        <w:rPr>
          <w:rFonts w:ascii="Times New Roman" w:hAnsi="Times New Roman" w:cs="Times New Roman"/>
          <w:b/>
          <w:lang w:val="es-MX"/>
        </w:rPr>
        <w:t xml:space="preserve">Variación de recaudación </w:t>
      </w:r>
    </w:p>
    <w:p w:rsidR="00B21010" w:rsidRPr="00AD03E8" w:rsidRDefault="00B21010" w:rsidP="00B21010">
      <w:pPr>
        <w:spacing w:after="0" w:line="240" w:lineRule="auto"/>
        <w:jc w:val="center"/>
        <w:rPr>
          <w:rFonts w:ascii="Times New Roman" w:hAnsi="Times New Roman" w:cs="Times New Roman"/>
          <w:sz w:val="18"/>
          <w:lang w:val="es-MX"/>
        </w:rPr>
      </w:pPr>
      <w:r w:rsidRPr="00AD03E8">
        <w:rPr>
          <w:rFonts w:ascii="Times New Roman" w:hAnsi="Times New Roman" w:cs="Times New Roman"/>
          <w:sz w:val="18"/>
          <w:lang w:val="es-MX"/>
        </w:rPr>
        <w:t>Millones de quetzales</w:t>
      </w:r>
    </w:p>
    <w:p w:rsidR="00B21010" w:rsidRPr="00AD03E8" w:rsidRDefault="00B21010" w:rsidP="00B21010">
      <w:pPr>
        <w:spacing w:after="0" w:line="240" w:lineRule="auto"/>
        <w:jc w:val="both"/>
        <w:rPr>
          <w:rFonts w:ascii="Times New Roman" w:hAnsi="Times New Roman" w:cs="Times New Roman"/>
          <w:lang w:val="es-MX"/>
        </w:rPr>
      </w:pPr>
      <w:r w:rsidRPr="00AD03E8">
        <w:rPr>
          <w:rFonts w:ascii="Times New Roman" w:hAnsi="Times New Roman" w:cs="Times New Roman"/>
          <w:noProof/>
          <w:lang w:eastAsia="es-GT"/>
        </w:rPr>
        <w:drawing>
          <wp:inline distT="0" distB="0" distL="0" distR="0" wp14:anchorId="6434FE49" wp14:editId="600C2C62">
            <wp:extent cx="2250141" cy="2375647"/>
            <wp:effectExtent l="0" t="0" r="0" b="571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1010" w:rsidRPr="00AD03E8" w:rsidRDefault="00B21010" w:rsidP="00B21010">
      <w:pPr>
        <w:spacing w:after="0" w:line="240" w:lineRule="auto"/>
        <w:jc w:val="center"/>
        <w:rPr>
          <w:rFonts w:ascii="Times New Roman" w:hAnsi="Times New Roman" w:cs="Times New Roman"/>
          <w:sz w:val="16"/>
          <w:lang w:val="es-MX"/>
        </w:rPr>
      </w:pPr>
      <w:r w:rsidRPr="00AD03E8">
        <w:rPr>
          <w:rFonts w:ascii="Times New Roman" w:hAnsi="Times New Roman" w:cs="Times New Roman"/>
          <w:sz w:val="16"/>
          <w:lang w:val="es-MX"/>
        </w:rPr>
        <w:t>Fuente: Dirección de Análisis y Política Fiscal</w:t>
      </w:r>
    </w:p>
    <w:p w:rsidR="00B21010" w:rsidRPr="008B12FF" w:rsidRDefault="00B21010" w:rsidP="00B21010">
      <w:pPr>
        <w:spacing w:after="0" w:line="240" w:lineRule="auto"/>
        <w:jc w:val="both"/>
        <w:rPr>
          <w:rFonts w:ascii="Times New Roman" w:hAnsi="Times New Roman" w:cs="Times New Roman"/>
          <w:color w:val="FF0000"/>
          <w:lang w:val="es-MX"/>
        </w:rPr>
      </w:pPr>
    </w:p>
    <w:p w:rsidR="00AD03E8" w:rsidRDefault="00AD03E8" w:rsidP="00AD03E8">
      <w:pPr>
        <w:spacing w:after="0" w:line="240" w:lineRule="auto"/>
        <w:jc w:val="both"/>
        <w:rPr>
          <w:rFonts w:ascii="Times New Roman" w:hAnsi="Times New Roman" w:cs="Times New Roman"/>
          <w:lang w:val="es-MX"/>
        </w:rPr>
      </w:pPr>
      <w:r>
        <w:rPr>
          <w:rFonts w:ascii="Times New Roman" w:hAnsi="Times New Roman" w:cs="Times New Roman"/>
          <w:lang w:val="es-MX"/>
        </w:rPr>
        <w:t xml:space="preserve">El impuesto a la renta crece en 7.6% respecto a la meta de presupuesto y de forma interanual </w:t>
      </w:r>
      <w:r>
        <w:rPr>
          <w:rFonts w:ascii="Times New Roman" w:hAnsi="Times New Roman" w:cs="Times New Roman"/>
          <w:lang w:val="es-MX"/>
        </w:rPr>
        <w:lastRenderedPageBreak/>
        <w:t xml:space="preserve">19.4%, dicho crecimiento se fundamenta en el esfuerzo de SAT mediante los procesos de recuperación de adeudos tributarios en tribunales. </w:t>
      </w:r>
    </w:p>
    <w:p w:rsidR="00AD03E8" w:rsidRDefault="00AD03E8" w:rsidP="00AD03E8">
      <w:pPr>
        <w:spacing w:after="0" w:line="240" w:lineRule="auto"/>
        <w:jc w:val="both"/>
        <w:rPr>
          <w:rFonts w:ascii="Times New Roman" w:hAnsi="Times New Roman" w:cs="Times New Roman"/>
          <w:lang w:val="es-MX"/>
        </w:rPr>
      </w:pPr>
    </w:p>
    <w:p w:rsidR="00B21010" w:rsidRPr="008B12FF" w:rsidRDefault="00AD03E8" w:rsidP="00AD03E8">
      <w:pPr>
        <w:spacing w:after="0" w:line="240" w:lineRule="auto"/>
        <w:jc w:val="both"/>
        <w:rPr>
          <w:rFonts w:ascii="Times New Roman" w:hAnsi="Times New Roman" w:cs="Times New Roman"/>
          <w:color w:val="FF0000"/>
          <w:lang w:val="es-MX"/>
        </w:rPr>
      </w:pPr>
      <w:r>
        <w:rPr>
          <w:rFonts w:ascii="Times New Roman" w:hAnsi="Times New Roman" w:cs="Times New Roman"/>
          <w:lang w:val="es-MX"/>
        </w:rPr>
        <w:t xml:space="preserve">El IVA total tiene una caída de 7.2% </w:t>
      </w:r>
      <w:r w:rsidR="00887661">
        <w:rPr>
          <w:rFonts w:ascii="Times New Roman" w:hAnsi="Times New Roman" w:cs="Times New Roman"/>
          <w:lang w:val="es-MX"/>
        </w:rPr>
        <w:t xml:space="preserve">          </w:t>
      </w:r>
      <w:r>
        <w:rPr>
          <w:rFonts w:ascii="Times New Roman" w:hAnsi="Times New Roman" w:cs="Times New Roman"/>
          <w:lang w:val="es-MX"/>
        </w:rPr>
        <w:t>(Q</w:t>
      </w:r>
      <w:r w:rsidR="00887661">
        <w:rPr>
          <w:rFonts w:ascii="Times New Roman" w:hAnsi="Times New Roman" w:cs="Times New Roman"/>
          <w:lang w:val="es-MX"/>
        </w:rPr>
        <w:t xml:space="preserve"> </w:t>
      </w:r>
      <w:r>
        <w:rPr>
          <w:rFonts w:ascii="Times New Roman" w:hAnsi="Times New Roman" w:cs="Times New Roman"/>
          <w:lang w:val="es-MX"/>
        </w:rPr>
        <w:t>1,236.4 millones) respecto a la meta de presupuesto, dicha caída se fundamenta por el deterioro acumulado a julio en la recaudación de aduanas, ya que para agosto el monto que se dejó de percibir es menor al observado en meses anteriores lo cual puede ser  indicio de una mejora en la recaudación en las principales aduanas del país.</w:t>
      </w:r>
      <w:r w:rsidR="00B21010" w:rsidRPr="008B12FF">
        <w:rPr>
          <w:rFonts w:ascii="Times New Roman" w:hAnsi="Times New Roman" w:cs="Times New Roman"/>
          <w:color w:val="FF0000"/>
          <w:lang w:val="es-MX"/>
        </w:rPr>
        <w:t xml:space="preserve"> </w:t>
      </w:r>
    </w:p>
    <w:p w:rsidR="00B21010" w:rsidRPr="008B12FF" w:rsidRDefault="00B21010" w:rsidP="00B21010">
      <w:pPr>
        <w:spacing w:after="0" w:line="240" w:lineRule="auto"/>
        <w:jc w:val="both"/>
        <w:rPr>
          <w:rFonts w:ascii="Times New Roman" w:hAnsi="Times New Roman" w:cs="Times New Roman"/>
          <w:color w:val="FF0000"/>
          <w:lang w:val="es-MX"/>
        </w:rPr>
      </w:pPr>
    </w:p>
    <w:p w:rsidR="00B21010" w:rsidRPr="00887661" w:rsidRDefault="00B21010" w:rsidP="00B21010">
      <w:pPr>
        <w:spacing w:after="0" w:line="240" w:lineRule="auto"/>
        <w:jc w:val="both"/>
        <w:rPr>
          <w:rFonts w:ascii="Times New Roman" w:hAnsi="Times New Roman" w:cs="Times New Roman"/>
          <w:b/>
          <w:lang w:val="es-MX"/>
        </w:rPr>
      </w:pPr>
      <w:r w:rsidRPr="00887661">
        <w:rPr>
          <w:rFonts w:ascii="Times New Roman" w:hAnsi="Times New Roman" w:cs="Times New Roman"/>
          <w:b/>
          <w:lang w:val="es-MX"/>
        </w:rPr>
        <w:t>Ejecución de recaudación en aduanas</w:t>
      </w:r>
    </w:p>
    <w:p w:rsidR="00B21010" w:rsidRPr="00887661" w:rsidRDefault="00B21010" w:rsidP="00B21010">
      <w:pPr>
        <w:spacing w:after="0" w:line="240" w:lineRule="auto"/>
        <w:jc w:val="both"/>
        <w:rPr>
          <w:rFonts w:ascii="Times New Roman" w:hAnsi="Times New Roman" w:cs="Times New Roman"/>
          <w:lang w:val="es-MX"/>
        </w:rPr>
      </w:pPr>
      <w:r w:rsidRPr="00887661">
        <w:rPr>
          <w:rFonts w:ascii="Times New Roman" w:hAnsi="Times New Roman" w:cs="Times New Roman"/>
          <w:noProof/>
          <w:lang w:eastAsia="es-GT"/>
        </w:rPr>
        <w:drawing>
          <wp:inline distT="0" distB="0" distL="0" distR="0" wp14:anchorId="24C10653" wp14:editId="1C1C5168">
            <wp:extent cx="2626659" cy="2796988"/>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21010" w:rsidRPr="00887661" w:rsidRDefault="00B21010" w:rsidP="00B21010">
      <w:pPr>
        <w:spacing w:after="0" w:line="240" w:lineRule="auto"/>
        <w:jc w:val="center"/>
        <w:rPr>
          <w:rFonts w:ascii="Times New Roman" w:hAnsi="Times New Roman" w:cs="Times New Roman"/>
          <w:sz w:val="16"/>
          <w:lang w:val="es-MX"/>
        </w:rPr>
      </w:pPr>
      <w:r w:rsidRPr="00887661">
        <w:rPr>
          <w:rFonts w:ascii="Times New Roman" w:hAnsi="Times New Roman" w:cs="Times New Roman"/>
          <w:sz w:val="16"/>
          <w:lang w:val="es-MX"/>
        </w:rPr>
        <w:t>Fuente: Dirección de Análisis y Política Fiscal</w:t>
      </w:r>
    </w:p>
    <w:p w:rsidR="00B21010" w:rsidRPr="00887661" w:rsidRDefault="00B21010" w:rsidP="00B21010">
      <w:pPr>
        <w:spacing w:after="0" w:line="240" w:lineRule="auto"/>
        <w:jc w:val="both"/>
        <w:rPr>
          <w:rFonts w:ascii="Times New Roman" w:hAnsi="Times New Roman" w:cs="Times New Roman"/>
          <w:lang w:val="es-MX"/>
        </w:rPr>
      </w:pPr>
    </w:p>
    <w:p w:rsidR="00AD03E8" w:rsidRDefault="00AD03E8" w:rsidP="00AD03E8">
      <w:pPr>
        <w:spacing w:after="0" w:line="240" w:lineRule="auto"/>
        <w:jc w:val="both"/>
        <w:rPr>
          <w:rFonts w:ascii="Times New Roman" w:hAnsi="Times New Roman" w:cs="Times New Roman"/>
          <w:lang w:val="es-MX"/>
        </w:rPr>
      </w:pPr>
      <w:r>
        <w:rPr>
          <w:rFonts w:ascii="Times New Roman" w:hAnsi="Times New Roman" w:cs="Times New Roman"/>
          <w:lang w:val="es-MX"/>
        </w:rPr>
        <w:t>De manera interanual el IVA total tiene un crecimiento de 3.1% (Q</w:t>
      </w:r>
      <w:r w:rsidR="00887661">
        <w:rPr>
          <w:rFonts w:ascii="Times New Roman" w:hAnsi="Times New Roman" w:cs="Times New Roman"/>
          <w:lang w:val="es-MX"/>
        </w:rPr>
        <w:t xml:space="preserve"> </w:t>
      </w:r>
      <w:r>
        <w:rPr>
          <w:rFonts w:ascii="Times New Roman" w:hAnsi="Times New Roman" w:cs="Times New Roman"/>
          <w:lang w:val="es-MX"/>
        </w:rPr>
        <w:t>472.5 millones) influenciado por el crecimiento (10.2</w:t>
      </w:r>
      <w:r w:rsidR="00887661">
        <w:rPr>
          <w:rFonts w:ascii="Times New Roman" w:hAnsi="Times New Roman" w:cs="Times New Roman"/>
          <w:lang w:val="es-MX"/>
        </w:rPr>
        <w:t>%</w:t>
      </w:r>
      <w:r>
        <w:rPr>
          <w:rFonts w:ascii="Times New Roman" w:hAnsi="Times New Roman" w:cs="Times New Roman"/>
          <w:lang w:val="es-MX"/>
        </w:rPr>
        <w:t>) del IVA doméstico, estos resultados sin recaudación extraordinaria están influenciados en gran medida por la brecha negativa (Q</w:t>
      </w:r>
      <w:r w:rsidR="00887661">
        <w:rPr>
          <w:rFonts w:ascii="Times New Roman" w:hAnsi="Times New Roman" w:cs="Times New Roman"/>
          <w:lang w:val="es-MX"/>
        </w:rPr>
        <w:t xml:space="preserve"> </w:t>
      </w:r>
      <w:r>
        <w:rPr>
          <w:rFonts w:ascii="Times New Roman" w:hAnsi="Times New Roman" w:cs="Times New Roman"/>
          <w:lang w:val="es-MX"/>
        </w:rPr>
        <w:t>914.6 millones) de recaudación de aduanas que se generó de enero a julio.</w:t>
      </w:r>
    </w:p>
    <w:p w:rsidR="00AD03E8" w:rsidRDefault="00AD03E8" w:rsidP="00AD03E8">
      <w:pPr>
        <w:spacing w:after="0" w:line="240" w:lineRule="auto"/>
        <w:jc w:val="both"/>
        <w:rPr>
          <w:rFonts w:ascii="Times New Roman" w:hAnsi="Times New Roman" w:cs="Times New Roman"/>
          <w:lang w:val="es-MX"/>
        </w:rPr>
      </w:pPr>
    </w:p>
    <w:p w:rsidR="00AD03E8" w:rsidRDefault="00AD03E8" w:rsidP="00AD03E8">
      <w:pPr>
        <w:spacing w:after="0" w:line="240" w:lineRule="auto"/>
        <w:jc w:val="both"/>
        <w:rPr>
          <w:rFonts w:ascii="Times New Roman" w:hAnsi="Times New Roman" w:cs="Times New Roman"/>
          <w:lang w:val="es-MX"/>
        </w:rPr>
        <w:sectPr w:rsidR="00AD03E8" w:rsidSect="006F5A21">
          <w:type w:val="continuous"/>
          <w:pgSz w:w="12240" w:h="15840"/>
          <w:pgMar w:top="1417" w:right="1701" w:bottom="1417" w:left="1701" w:header="708" w:footer="708" w:gutter="0"/>
          <w:cols w:num="2" w:space="708"/>
          <w:docGrid w:linePitch="360"/>
        </w:sectPr>
      </w:pPr>
      <w:r>
        <w:rPr>
          <w:rFonts w:ascii="Times New Roman" w:hAnsi="Times New Roman" w:cs="Times New Roman"/>
          <w:lang w:val="es-MX"/>
        </w:rPr>
        <w:lastRenderedPageBreak/>
        <w:t xml:space="preserve">Los productos industriales </w:t>
      </w:r>
      <w:r w:rsidRPr="00D65A2E">
        <w:rPr>
          <w:rFonts w:ascii="Times New Roman" w:hAnsi="Times New Roman" w:cs="Times New Roman"/>
          <w:i/>
          <w:lang w:val="es-MX"/>
        </w:rPr>
        <w:t>(bebidas, tabacos, cemento y derivados del petróleo)</w:t>
      </w:r>
      <w:r>
        <w:rPr>
          <w:rFonts w:ascii="Times New Roman" w:hAnsi="Times New Roman" w:cs="Times New Roman"/>
          <w:lang w:val="es-MX"/>
        </w:rPr>
        <w:t xml:space="preserve"> mantienen un crecimiento positivo 6.1% respecto a la meta de presupuesto y 2.2% respecto al año anterior, los crecimientos se fundamentan en el impulso de la recaudación de los derivados de petróleo que crecen arriba del 8%, el impuesto a la bebidas con crecimientos arriba del 5%, el de tabacos cae respecto a la meta de presupuesto 9.5% y cemento que crece respecto a lo presupuestado en 15.7%.</w:t>
      </w:r>
    </w:p>
    <w:p w:rsidR="00DD01C5" w:rsidRPr="008B12FF" w:rsidRDefault="00DD01C5" w:rsidP="00B21010">
      <w:pPr>
        <w:spacing w:after="0" w:line="240" w:lineRule="auto"/>
        <w:jc w:val="both"/>
        <w:rPr>
          <w:rFonts w:ascii="Times New Roman" w:hAnsi="Times New Roman" w:cs="Times New Roman"/>
          <w:color w:val="FF0000"/>
          <w:lang w:val="es-MX"/>
        </w:rPr>
        <w:sectPr w:rsidR="00DD01C5" w:rsidRPr="008B12FF" w:rsidSect="005A694E">
          <w:type w:val="continuous"/>
          <w:pgSz w:w="12240" w:h="15840"/>
          <w:pgMar w:top="1417" w:right="1701" w:bottom="1417" w:left="1701" w:header="708" w:footer="708" w:gutter="0"/>
          <w:cols w:num="2" w:space="708"/>
          <w:docGrid w:linePitch="360"/>
        </w:sectPr>
      </w:pPr>
    </w:p>
    <w:p w:rsidR="00EB0FC5" w:rsidRPr="008B12FF" w:rsidRDefault="00EB0FC5" w:rsidP="00B21010">
      <w:pPr>
        <w:pStyle w:val="Prrafodelista"/>
        <w:ind w:left="0"/>
        <w:rPr>
          <w:rFonts w:ascii="Times New Roman" w:hAnsi="Times New Roman" w:cs="Times New Roman"/>
          <w:b/>
          <w:color w:val="FF0000"/>
          <w:sz w:val="4"/>
          <w:lang w:val="es-MX"/>
        </w:rPr>
      </w:pPr>
    </w:p>
    <w:p w:rsidR="00B21010" w:rsidRPr="00887661" w:rsidRDefault="00B21010" w:rsidP="00B21010">
      <w:pPr>
        <w:pStyle w:val="Prrafodelista"/>
        <w:jc w:val="center"/>
        <w:rPr>
          <w:rFonts w:ascii="Times New Roman" w:hAnsi="Times New Roman" w:cs="Times New Roman"/>
          <w:b/>
          <w:sz w:val="20"/>
          <w:lang w:val="es-MX"/>
        </w:rPr>
      </w:pPr>
      <w:r w:rsidRPr="00887661">
        <w:rPr>
          <w:rFonts w:ascii="Times New Roman" w:hAnsi="Times New Roman" w:cs="Times New Roman"/>
          <w:b/>
          <w:sz w:val="20"/>
          <w:lang w:val="es-MX"/>
        </w:rPr>
        <w:t>Recaudación tributaria acumulada al 31 de agosto</w:t>
      </w:r>
    </w:p>
    <w:p w:rsidR="00DD01C5" w:rsidRPr="00887661" w:rsidRDefault="00B21010" w:rsidP="00B21010">
      <w:pPr>
        <w:pStyle w:val="Prrafodelista"/>
        <w:ind w:left="0"/>
        <w:jc w:val="center"/>
        <w:rPr>
          <w:rFonts w:ascii="Times New Roman" w:hAnsi="Times New Roman" w:cs="Times New Roman"/>
          <w:b/>
          <w:sz w:val="16"/>
        </w:rPr>
      </w:pPr>
      <w:r w:rsidRPr="00887661">
        <w:rPr>
          <w:rFonts w:ascii="Times New Roman" w:hAnsi="Times New Roman" w:cs="Times New Roman"/>
          <w:sz w:val="18"/>
          <w:lang w:val="es-MX"/>
        </w:rPr>
        <w:t>Millones de quetzales y porcentajes</w:t>
      </w:r>
      <w:r w:rsidR="00887661" w:rsidRPr="00887661">
        <w:rPr>
          <w:noProof/>
          <w:lang w:eastAsia="es-GT"/>
        </w:rPr>
        <w:drawing>
          <wp:inline distT="0" distB="0" distL="0" distR="0" wp14:anchorId="7FB9E113" wp14:editId="18FCA4FB">
            <wp:extent cx="5790199" cy="4000500"/>
            <wp:effectExtent l="0" t="0" r="127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4411" cy="4010319"/>
                    </a:xfrm>
                    <a:prstGeom prst="rect">
                      <a:avLst/>
                    </a:prstGeom>
                    <a:noFill/>
                    <a:ln>
                      <a:noFill/>
                    </a:ln>
                  </pic:spPr>
                </pic:pic>
              </a:graphicData>
            </a:graphic>
          </wp:inline>
        </w:drawing>
      </w:r>
    </w:p>
    <w:p w:rsidR="00DD23C0" w:rsidRPr="00887661" w:rsidRDefault="00A26C76" w:rsidP="00A26C76">
      <w:pPr>
        <w:jc w:val="both"/>
        <w:rPr>
          <w:rFonts w:ascii="Times New Roman" w:hAnsi="Times New Roman" w:cs="Times New Roman"/>
          <w:sz w:val="16"/>
          <w:lang w:val="es-MX"/>
        </w:rPr>
      </w:pPr>
      <w:r w:rsidRPr="00887661">
        <w:rPr>
          <w:rFonts w:ascii="Times New Roman" w:hAnsi="Times New Roman" w:cs="Times New Roman"/>
          <w:sz w:val="18"/>
          <w:lang w:val="es-MX"/>
        </w:rPr>
        <w:t xml:space="preserve">       </w:t>
      </w:r>
      <w:r w:rsidR="00910163" w:rsidRPr="00887661">
        <w:rPr>
          <w:rFonts w:ascii="Times New Roman" w:hAnsi="Times New Roman" w:cs="Times New Roman"/>
          <w:sz w:val="18"/>
          <w:lang w:val="es-MX"/>
        </w:rPr>
        <w:t xml:space="preserve">       </w:t>
      </w:r>
      <w:r w:rsidR="00CC3420" w:rsidRPr="00887661">
        <w:rPr>
          <w:rFonts w:ascii="Times New Roman" w:hAnsi="Times New Roman" w:cs="Times New Roman"/>
          <w:sz w:val="18"/>
          <w:lang w:val="es-MX"/>
        </w:rPr>
        <w:tab/>
      </w:r>
      <w:r w:rsidR="00CC3420" w:rsidRPr="00887661">
        <w:rPr>
          <w:rFonts w:ascii="Times New Roman" w:hAnsi="Times New Roman" w:cs="Times New Roman"/>
          <w:sz w:val="18"/>
          <w:lang w:val="es-MX"/>
        </w:rPr>
        <w:tab/>
      </w:r>
      <w:r w:rsidRPr="00887661">
        <w:rPr>
          <w:rFonts w:ascii="Times New Roman" w:hAnsi="Times New Roman" w:cs="Times New Roman"/>
          <w:sz w:val="18"/>
          <w:lang w:val="es-MX"/>
        </w:rPr>
        <w:t xml:space="preserve"> </w:t>
      </w:r>
      <w:r w:rsidR="00DD01C5" w:rsidRPr="00887661">
        <w:rPr>
          <w:rFonts w:ascii="Times New Roman" w:hAnsi="Times New Roman" w:cs="Times New Roman"/>
          <w:sz w:val="16"/>
          <w:lang w:val="es-MX"/>
        </w:rPr>
        <w:t>Fuente: Ministerio de Finanzas Públicas</w:t>
      </w:r>
    </w:p>
    <w:p w:rsidR="00FA3B81" w:rsidRPr="000E31DD" w:rsidRDefault="00D532B4"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A3B81" w:rsidRPr="000E31DD" w:rsidSect="00FA3B81">
          <w:headerReference w:type="default" r:id="rId17"/>
          <w:footerReference w:type="default" r:id="rId18"/>
          <w:type w:val="continuous"/>
          <w:pgSz w:w="12240" w:h="15840" w:code="1"/>
          <w:pgMar w:top="1418" w:right="1418" w:bottom="1418" w:left="1418" w:header="709" w:footer="709" w:gutter="0"/>
          <w:cols w:space="708"/>
          <w:docGrid w:linePitch="360"/>
        </w:sectPr>
      </w:pPr>
      <w:r w:rsidRPr="000E31DD">
        <w:rPr>
          <w:rFonts w:ascii="Times New Roman" w:hAnsi="Times New Roman" w:cs="Times New Roman"/>
          <w:b/>
          <w:lang w:val="es-MX"/>
        </w:rPr>
        <w:t>Cuatrimestr</w:t>
      </w:r>
      <w:r w:rsidR="00FB2C2F" w:rsidRPr="000E31DD">
        <w:rPr>
          <w:rFonts w:ascii="Times New Roman" w:hAnsi="Times New Roman" w:cs="Times New Roman"/>
          <w:b/>
          <w:lang w:val="es-MX"/>
        </w:rPr>
        <w:t>e</w:t>
      </w:r>
      <w:r w:rsidRPr="000E31DD">
        <w:rPr>
          <w:rFonts w:ascii="Times New Roman" w:hAnsi="Times New Roman" w:cs="Times New Roman"/>
          <w:b/>
          <w:lang w:val="es-MX"/>
        </w:rPr>
        <w:t xml:space="preserve"> cierra con leve recuperación en el gasto</w:t>
      </w:r>
    </w:p>
    <w:p w:rsidR="00FA3B81" w:rsidRPr="008B12FF" w:rsidRDefault="00FA3B81" w:rsidP="00FA3B81">
      <w:pPr>
        <w:pStyle w:val="Sinespaciado"/>
        <w:rPr>
          <w:rFonts w:ascii="Times New Roman" w:hAnsi="Times New Roman" w:cs="Times New Roman"/>
          <w:b/>
          <w:color w:val="FF0000"/>
          <w:sz w:val="18"/>
          <w:lang w:val="es-MX"/>
        </w:rPr>
      </w:pPr>
    </w:p>
    <w:p w:rsidR="00FA3B81" w:rsidRPr="008B12FF" w:rsidRDefault="00FA3B81" w:rsidP="00FA3B81">
      <w:pPr>
        <w:pStyle w:val="Sinespaciado"/>
        <w:jc w:val="center"/>
        <w:rPr>
          <w:rFonts w:ascii="Times New Roman" w:hAnsi="Times New Roman" w:cs="Times New Roman"/>
          <w:b/>
          <w:color w:val="FF0000"/>
          <w:lang w:val="es-MX"/>
        </w:rPr>
        <w:sectPr w:rsidR="00FA3B81" w:rsidRPr="008B12FF" w:rsidSect="00213F7F">
          <w:type w:val="continuous"/>
          <w:pgSz w:w="12240" w:h="15840"/>
          <w:pgMar w:top="1417" w:right="1701" w:bottom="1417" w:left="1701" w:header="708" w:footer="708" w:gutter="0"/>
          <w:cols w:space="708"/>
          <w:docGrid w:linePitch="360"/>
        </w:sectPr>
      </w:pPr>
    </w:p>
    <w:p w:rsidR="008B12FF" w:rsidRDefault="008B12FF" w:rsidP="008B12FF">
      <w:pPr>
        <w:pStyle w:val="Sinespaciado"/>
        <w:jc w:val="both"/>
        <w:rPr>
          <w:rFonts w:ascii="Times New Roman" w:hAnsi="Times New Roman" w:cs="Times New Roman"/>
          <w:lang w:val="es-MX"/>
        </w:rPr>
      </w:pPr>
      <w:r>
        <w:rPr>
          <w:rFonts w:ascii="Times New Roman" w:hAnsi="Times New Roman" w:cs="Times New Roman"/>
          <w:lang w:val="es-MX"/>
        </w:rPr>
        <w:t xml:space="preserve">A pesar del incremento en la recaudación tributaria y la relajación en la política de gasto público que se realiza mediante la aprobación de cuotas financieras para las instituciones, las cuales muestran que se ha aprobado casi la totalidad del monto solicitado,  reflejándose una leve recuperación en la ejecución con respecto a lo observado en los meses anteriores.  Este moderado comportamiento se debe principalmente por la baja gestión en algunas instituciones, las cuales no solicitan un monto mayor en la referida cuota, debido a problemas en su planeación financiera y en la gestión de desembolsos de préstamos y </w:t>
      </w:r>
      <w:r>
        <w:rPr>
          <w:rFonts w:ascii="Times New Roman" w:hAnsi="Times New Roman" w:cs="Times New Roman"/>
          <w:lang w:val="es-MX"/>
        </w:rPr>
        <w:lastRenderedPageBreak/>
        <w:t>donaciones con los organismos financieros internacionales.</w:t>
      </w:r>
    </w:p>
    <w:p w:rsidR="008B12FF" w:rsidRDefault="008B12FF" w:rsidP="008B12FF">
      <w:pPr>
        <w:pStyle w:val="Sinespaciado"/>
        <w:jc w:val="both"/>
        <w:rPr>
          <w:rFonts w:ascii="Times New Roman" w:hAnsi="Times New Roman" w:cs="Times New Roman"/>
          <w:lang w:val="es-MX"/>
        </w:rPr>
      </w:pPr>
    </w:p>
    <w:p w:rsidR="008B12FF" w:rsidRDefault="008B12FF" w:rsidP="008B12FF">
      <w:pPr>
        <w:pStyle w:val="Sinespaciado"/>
        <w:jc w:val="both"/>
        <w:rPr>
          <w:rFonts w:ascii="Times New Roman" w:hAnsi="Times New Roman" w:cs="Times New Roman"/>
          <w:lang w:val="es-MX"/>
        </w:rPr>
      </w:pPr>
      <w:r>
        <w:rPr>
          <w:rFonts w:ascii="Times New Roman" w:hAnsi="Times New Roman" w:cs="Times New Roman"/>
          <w:lang w:val="es-MX"/>
        </w:rPr>
        <w:t xml:space="preserve">De esa cuenta, el nivel de ejecución de gasto observado al 31 de agosto se ubicó en </w:t>
      </w:r>
      <w:r w:rsidR="00887661">
        <w:rPr>
          <w:rFonts w:ascii="Times New Roman" w:hAnsi="Times New Roman" w:cs="Times New Roman"/>
          <w:lang w:val="es-MX"/>
        </w:rPr>
        <w:t xml:space="preserve">          </w:t>
      </w:r>
      <w:r>
        <w:rPr>
          <w:rFonts w:ascii="Times New Roman" w:hAnsi="Times New Roman" w:cs="Times New Roman"/>
          <w:lang w:val="es-MX"/>
        </w:rPr>
        <w:t>Q</w:t>
      </w:r>
      <w:r w:rsidR="00887661">
        <w:rPr>
          <w:rFonts w:ascii="Times New Roman" w:hAnsi="Times New Roman" w:cs="Times New Roman"/>
          <w:lang w:val="es-MX"/>
        </w:rPr>
        <w:t xml:space="preserve"> </w:t>
      </w:r>
      <w:r>
        <w:rPr>
          <w:rFonts w:ascii="Times New Roman" w:hAnsi="Times New Roman" w:cs="Times New Roman"/>
          <w:lang w:val="es-MX"/>
        </w:rPr>
        <w:t xml:space="preserve">38,776.8 </w:t>
      </w:r>
      <w:r w:rsidRPr="00F92177">
        <w:rPr>
          <w:rFonts w:ascii="Times New Roman" w:hAnsi="Times New Roman" w:cs="Times New Roman"/>
          <w:lang w:val="es-MX"/>
        </w:rPr>
        <w:t>millones</w:t>
      </w:r>
      <w:r>
        <w:rPr>
          <w:rFonts w:ascii="Times New Roman" w:hAnsi="Times New Roman" w:cs="Times New Roman"/>
          <w:lang w:val="es-MX"/>
        </w:rPr>
        <w:t xml:space="preserve"> (sin incluir amortizaciones de deuda)</w:t>
      </w:r>
      <w:r w:rsidRPr="00F92177">
        <w:rPr>
          <w:rFonts w:ascii="Times New Roman" w:hAnsi="Times New Roman" w:cs="Times New Roman"/>
          <w:lang w:val="es-MX"/>
        </w:rPr>
        <w:t xml:space="preserve">, </w:t>
      </w:r>
      <w:r>
        <w:rPr>
          <w:rFonts w:ascii="Times New Roman" w:hAnsi="Times New Roman" w:cs="Times New Roman"/>
          <w:lang w:val="es-MX"/>
        </w:rPr>
        <w:t xml:space="preserve">el cual muestra una contracción (crecimiento negativo) con respecto a lo observado en igual fecha del año anterior de 3.9%.  Cifra que contrasta con el crecimiento interanual observado en agosto de 2015 (2.6%).  </w:t>
      </w:r>
      <w:r w:rsidRPr="00F92177">
        <w:rPr>
          <w:rFonts w:ascii="Times New Roman" w:hAnsi="Times New Roman" w:cs="Times New Roman"/>
          <w:lang w:val="es-MX"/>
        </w:rPr>
        <w:t xml:space="preserve"> </w:t>
      </w:r>
    </w:p>
    <w:p w:rsidR="008B12FF" w:rsidRDefault="008B12FF" w:rsidP="008B12FF">
      <w:pPr>
        <w:pStyle w:val="Sinespaciado"/>
        <w:jc w:val="both"/>
        <w:rPr>
          <w:rFonts w:ascii="Times New Roman" w:hAnsi="Times New Roman" w:cs="Times New Roman"/>
          <w:lang w:val="es-MX"/>
        </w:rPr>
      </w:pPr>
    </w:p>
    <w:p w:rsidR="008B12FF" w:rsidRPr="00C27D73" w:rsidRDefault="008B12FF" w:rsidP="008B12FF">
      <w:pPr>
        <w:pStyle w:val="Sinespaciado"/>
        <w:jc w:val="center"/>
        <w:rPr>
          <w:rFonts w:ascii="Times New Roman" w:hAnsi="Times New Roman" w:cs="Times New Roman"/>
          <w:b/>
          <w:lang w:val="es-MX"/>
        </w:rPr>
      </w:pPr>
      <w:r w:rsidRPr="00C27D73">
        <w:rPr>
          <w:rFonts w:ascii="Times New Roman" w:hAnsi="Times New Roman" w:cs="Times New Roman"/>
          <w:b/>
          <w:lang w:val="es-MX"/>
        </w:rPr>
        <w:t>Ritmo de Ejecución del Gasto</w:t>
      </w:r>
    </w:p>
    <w:p w:rsidR="008B12FF" w:rsidRPr="00C27D73" w:rsidRDefault="008B12FF" w:rsidP="008B12FF">
      <w:pPr>
        <w:pStyle w:val="Sinespaciado"/>
        <w:jc w:val="center"/>
        <w:rPr>
          <w:rFonts w:ascii="Times New Roman" w:hAnsi="Times New Roman" w:cs="Times New Roman"/>
          <w:sz w:val="18"/>
          <w:lang w:val="es-MX"/>
        </w:rPr>
      </w:pPr>
      <w:r w:rsidRPr="00C27D73">
        <w:rPr>
          <w:rFonts w:ascii="Times New Roman" w:hAnsi="Times New Roman" w:cs="Times New Roman"/>
          <w:sz w:val="18"/>
          <w:lang w:val="es-MX"/>
        </w:rPr>
        <w:t>Variación Interanual</w:t>
      </w:r>
    </w:p>
    <w:p w:rsidR="008B12FF" w:rsidRPr="00C27D73" w:rsidRDefault="008B12FF" w:rsidP="008B12FF">
      <w:pPr>
        <w:pStyle w:val="Sinespaciado"/>
        <w:jc w:val="both"/>
        <w:rPr>
          <w:rFonts w:ascii="Times New Roman" w:hAnsi="Times New Roman" w:cs="Times New Roman"/>
          <w:i/>
          <w:lang w:val="es-MX"/>
        </w:rPr>
      </w:pPr>
      <w:r w:rsidRPr="007333C7">
        <w:rPr>
          <w:noProof/>
          <w:lang w:eastAsia="es-GT"/>
        </w:rPr>
        <w:drawing>
          <wp:inline distT="0" distB="0" distL="0" distR="0" wp14:anchorId="21CC0F9B" wp14:editId="2C7F7205">
            <wp:extent cx="2528083" cy="1954836"/>
            <wp:effectExtent l="0" t="0" r="5715"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28705" cy="1955317"/>
                    </a:xfrm>
                    <a:prstGeom prst="rect">
                      <a:avLst/>
                    </a:prstGeom>
                    <a:noFill/>
                    <a:ln>
                      <a:noFill/>
                    </a:ln>
                  </pic:spPr>
                </pic:pic>
              </a:graphicData>
            </a:graphic>
          </wp:inline>
        </w:drawing>
      </w:r>
    </w:p>
    <w:p w:rsidR="008B12FF" w:rsidRPr="00C27D73" w:rsidRDefault="008B12FF" w:rsidP="008B12FF">
      <w:pPr>
        <w:pStyle w:val="Sinespaciado"/>
        <w:rPr>
          <w:rFonts w:ascii="Times New Roman" w:hAnsi="Times New Roman" w:cs="Times New Roman"/>
          <w:sz w:val="16"/>
        </w:rPr>
      </w:pPr>
      <w:r w:rsidRPr="00C27D73">
        <w:rPr>
          <w:rFonts w:ascii="Times New Roman" w:hAnsi="Times New Roman" w:cs="Times New Roman"/>
          <w:sz w:val="16"/>
        </w:rPr>
        <w:t>Fuente: Dirección de Análisis y Política fiscal</w:t>
      </w:r>
    </w:p>
    <w:p w:rsidR="008B12FF" w:rsidRPr="009D459C" w:rsidRDefault="008B12FF" w:rsidP="008B12FF">
      <w:pPr>
        <w:pStyle w:val="Sinespaciado"/>
        <w:jc w:val="both"/>
        <w:rPr>
          <w:rFonts w:ascii="Times New Roman" w:hAnsi="Times New Roman" w:cs="Times New Roman"/>
        </w:rPr>
      </w:pPr>
    </w:p>
    <w:p w:rsidR="008B12FF" w:rsidRDefault="008B12FF" w:rsidP="008B12FF">
      <w:pPr>
        <w:pStyle w:val="Sinespaciado"/>
        <w:jc w:val="both"/>
        <w:rPr>
          <w:rFonts w:ascii="Times New Roman" w:hAnsi="Times New Roman" w:cs="Times New Roman"/>
          <w:color w:val="000000" w:themeColor="text1"/>
          <w:lang w:val="es-MX"/>
        </w:rPr>
      </w:pPr>
      <w:r>
        <w:rPr>
          <w:rFonts w:ascii="Times New Roman" w:hAnsi="Times New Roman" w:cs="Times New Roman"/>
          <w:color w:val="000000" w:themeColor="text1"/>
          <w:lang w:val="es-MX"/>
        </w:rPr>
        <w:t xml:space="preserve">La variación negativa en el gasto se debe principalmente a la baja ejecución en los rubros de bienes y servicios e inversión real directa, los cuales están asociados con los problemas en la planificación institucional y la baja gestión de las operaciones de la cooperación internacional, especialmente en los Ministerios de Comunicaciones, Desarrollo Social, entre otros. </w:t>
      </w:r>
    </w:p>
    <w:p w:rsidR="008B12FF" w:rsidRDefault="008B12FF" w:rsidP="008B12FF">
      <w:pPr>
        <w:pStyle w:val="Sinespaciado"/>
        <w:jc w:val="both"/>
        <w:rPr>
          <w:rFonts w:ascii="Times New Roman" w:hAnsi="Times New Roman" w:cs="Times New Roman"/>
          <w:color w:val="000000" w:themeColor="text1"/>
          <w:lang w:val="es-MX"/>
        </w:rPr>
      </w:pPr>
    </w:p>
    <w:p w:rsidR="008B12FF" w:rsidRDefault="008B12FF" w:rsidP="008B12FF">
      <w:pPr>
        <w:pStyle w:val="Sinespaciado"/>
        <w:jc w:val="both"/>
        <w:rPr>
          <w:rFonts w:ascii="Times New Roman" w:hAnsi="Times New Roman" w:cs="Times New Roman"/>
          <w:color w:val="000000" w:themeColor="text1"/>
          <w:lang w:val="es-MX"/>
        </w:rPr>
      </w:pPr>
      <w:r>
        <w:rPr>
          <w:rFonts w:ascii="Times New Roman" w:hAnsi="Times New Roman" w:cs="Times New Roman"/>
          <w:color w:val="000000" w:themeColor="text1"/>
          <w:lang w:val="es-MX"/>
        </w:rPr>
        <w:t xml:space="preserve">Por su parte, hay rubros de gasto que muestran un mejor ritmo en su ejecución, siendo estas las prestaciones a la seguridad social derivado del aumento a los pensionados que devengan montos menores al salario mínimo y las transferencias </w:t>
      </w:r>
      <w:r>
        <w:rPr>
          <w:rFonts w:ascii="Times New Roman" w:hAnsi="Times New Roman" w:cs="Times New Roman"/>
          <w:color w:val="000000" w:themeColor="text1"/>
          <w:lang w:val="es-MX"/>
        </w:rPr>
        <w:lastRenderedPageBreak/>
        <w:t>corrientes especialmente por los aportes adicionales aprobados para el Ministerio Público, Organismos Judicial y Universidad de San Carlos, entre otros.</w:t>
      </w:r>
    </w:p>
    <w:p w:rsidR="008B12FF" w:rsidRDefault="008B12FF" w:rsidP="008B12FF">
      <w:pPr>
        <w:pStyle w:val="Sinespaciado"/>
        <w:jc w:val="center"/>
        <w:rPr>
          <w:rFonts w:ascii="Times New Roman" w:hAnsi="Times New Roman" w:cs="Times New Roman"/>
          <w:lang w:val="es-MX"/>
        </w:rPr>
      </w:pPr>
    </w:p>
    <w:p w:rsidR="008B12FF" w:rsidRDefault="008B12FF" w:rsidP="008B12FF">
      <w:pPr>
        <w:pStyle w:val="Sinespaciado"/>
        <w:jc w:val="both"/>
        <w:rPr>
          <w:rFonts w:ascii="Times New Roman" w:hAnsi="Times New Roman" w:cs="Times New Roman"/>
          <w:color w:val="000000" w:themeColor="text1"/>
        </w:rPr>
      </w:pPr>
      <w:r>
        <w:rPr>
          <w:rFonts w:ascii="Times New Roman" w:hAnsi="Times New Roman" w:cs="Times New Roman"/>
          <w:color w:val="000000" w:themeColor="text1"/>
          <w:lang w:val="es-MX"/>
        </w:rPr>
        <w:t>Es importante mencionar que a pesar del leve relajamiento de gasto, la política de austeridad se mantiene ya que al evaluar la ejecución d</w:t>
      </w:r>
      <w:r w:rsidRPr="00022903">
        <w:rPr>
          <w:rFonts w:ascii="Times New Roman" w:hAnsi="Times New Roman" w:cs="Times New Roman"/>
          <w:color w:val="000000" w:themeColor="text1"/>
          <w:lang w:val="es-MX"/>
        </w:rPr>
        <w:t xml:space="preserve">el </w:t>
      </w:r>
      <w:r w:rsidRPr="00022903">
        <w:rPr>
          <w:rFonts w:ascii="Times New Roman" w:hAnsi="Times New Roman" w:cs="Times New Roman"/>
          <w:color w:val="000000" w:themeColor="text1"/>
        </w:rPr>
        <w:t>gasto considerado como superfluo</w:t>
      </w:r>
      <w:r w:rsidRPr="00022903">
        <w:rPr>
          <w:rStyle w:val="Refdenotaalpie"/>
          <w:rFonts w:ascii="Times New Roman" w:hAnsi="Times New Roman" w:cs="Times New Roman"/>
          <w:color w:val="000000" w:themeColor="text1"/>
        </w:rPr>
        <w:footnoteReference w:id="1"/>
      </w:r>
      <w:r w:rsidRPr="00022903">
        <w:rPr>
          <w:rFonts w:ascii="Times New Roman" w:hAnsi="Times New Roman" w:cs="Times New Roman"/>
          <w:color w:val="000000" w:themeColor="text1"/>
        </w:rPr>
        <w:t xml:space="preserve"> muestra un nivel de </w:t>
      </w:r>
      <w:r>
        <w:rPr>
          <w:rFonts w:ascii="Times New Roman" w:hAnsi="Times New Roman" w:cs="Times New Roman"/>
          <w:color w:val="000000" w:themeColor="text1"/>
        </w:rPr>
        <w:t>Q</w:t>
      </w:r>
      <w:r w:rsidR="00887661">
        <w:rPr>
          <w:rFonts w:ascii="Times New Roman" w:hAnsi="Times New Roman" w:cs="Times New Roman"/>
          <w:color w:val="000000" w:themeColor="text1"/>
        </w:rPr>
        <w:t xml:space="preserve"> </w:t>
      </w:r>
      <w:r>
        <w:rPr>
          <w:rFonts w:ascii="Times New Roman" w:hAnsi="Times New Roman" w:cs="Times New Roman"/>
          <w:color w:val="000000" w:themeColor="text1"/>
        </w:rPr>
        <w:t>342.5</w:t>
      </w:r>
      <w:r w:rsidRPr="00022903">
        <w:rPr>
          <w:rFonts w:ascii="Times New Roman" w:hAnsi="Times New Roman" w:cs="Times New Roman"/>
          <w:color w:val="000000" w:themeColor="text1"/>
        </w:rPr>
        <w:t xml:space="preserve"> millones, </w:t>
      </w:r>
      <w:r>
        <w:rPr>
          <w:rFonts w:ascii="Times New Roman" w:hAnsi="Times New Roman" w:cs="Times New Roman"/>
          <w:color w:val="000000" w:themeColor="text1"/>
        </w:rPr>
        <w:t>mostrando una contracción importante de 23.5</w:t>
      </w:r>
      <w:r w:rsidRPr="00022903">
        <w:rPr>
          <w:rFonts w:ascii="Times New Roman" w:hAnsi="Times New Roman" w:cs="Times New Roman"/>
          <w:color w:val="000000" w:themeColor="text1"/>
        </w:rPr>
        <w:t xml:space="preserve">% con respecto al nivel observado en </w:t>
      </w:r>
      <w:r>
        <w:rPr>
          <w:rFonts w:ascii="Times New Roman" w:hAnsi="Times New Roman" w:cs="Times New Roman"/>
          <w:color w:val="000000" w:themeColor="text1"/>
        </w:rPr>
        <w:t>agosto</w:t>
      </w:r>
      <w:r w:rsidRPr="00022903">
        <w:rPr>
          <w:rFonts w:ascii="Times New Roman" w:hAnsi="Times New Roman" w:cs="Times New Roman"/>
          <w:color w:val="000000" w:themeColor="text1"/>
        </w:rPr>
        <w:t xml:space="preserve"> del año anterior, es decir, una reducción de gasto superfluo de </w:t>
      </w:r>
      <w:r w:rsidR="00887661">
        <w:rPr>
          <w:rFonts w:ascii="Times New Roman" w:hAnsi="Times New Roman" w:cs="Times New Roman"/>
          <w:color w:val="000000" w:themeColor="text1"/>
        </w:rPr>
        <w:t xml:space="preserve">    </w:t>
      </w:r>
      <w:r w:rsidRPr="00022903">
        <w:rPr>
          <w:rFonts w:ascii="Times New Roman" w:hAnsi="Times New Roman" w:cs="Times New Roman"/>
          <w:color w:val="000000" w:themeColor="text1"/>
        </w:rPr>
        <w:t>Q</w:t>
      </w:r>
      <w:r w:rsidR="00887661">
        <w:rPr>
          <w:rFonts w:ascii="Times New Roman" w:hAnsi="Times New Roman" w:cs="Times New Roman"/>
          <w:color w:val="000000" w:themeColor="text1"/>
        </w:rPr>
        <w:t xml:space="preserve"> </w:t>
      </w:r>
      <w:r>
        <w:rPr>
          <w:rFonts w:ascii="Times New Roman" w:hAnsi="Times New Roman" w:cs="Times New Roman"/>
          <w:color w:val="000000" w:themeColor="text1"/>
        </w:rPr>
        <w:t>105.5</w:t>
      </w:r>
      <w:r w:rsidRPr="00022903">
        <w:rPr>
          <w:rFonts w:ascii="Times New Roman" w:hAnsi="Times New Roman" w:cs="Times New Roman"/>
          <w:color w:val="000000" w:themeColor="text1"/>
        </w:rPr>
        <w:t xml:space="preserve"> millones. Dicha disminución, a la fecha, afecta a</w:t>
      </w:r>
      <w:r>
        <w:rPr>
          <w:rFonts w:ascii="Times New Roman" w:hAnsi="Times New Roman" w:cs="Times New Roman"/>
          <w:color w:val="000000" w:themeColor="text1"/>
        </w:rPr>
        <w:t xml:space="preserve"> la mayor parte de</w:t>
      </w:r>
      <w:r w:rsidRPr="00022903">
        <w:rPr>
          <w:rFonts w:ascii="Times New Roman" w:hAnsi="Times New Roman" w:cs="Times New Roman"/>
          <w:color w:val="000000" w:themeColor="text1"/>
        </w:rPr>
        <w:t xml:space="preserve"> los renglones que componen este </w:t>
      </w:r>
      <w:r>
        <w:rPr>
          <w:rFonts w:ascii="Times New Roman" w:hAnsi="Times New Roman" w:cs="Times New Roman"/>
          <w:color w:val="000000" w:themeColor="text1"/>
        </w:rPr>
        <w:t xml:space="preserve">tipo de </w:t>
      </w:r>
      <w:r w:rsidRPr="00022903">
        <w:rPr>
          <w:rFonts w:ascii="Times New Roman" w:hAnsi="Times New Roman" w:cs="Times New Roman"/>
          <w:color w:val="000000" w:themeColor="text1"/>
        </w:rPr>
        <w:t>gasto.</w:t>
      </w:r>
    </w:p>
    <w:p w:rsidR="008B12FF" w:rsidRDefault="008B12FF" w:rsidP="008B12FF">
      <w:pPr>
        <w:pStyle w:val="Sinespaciado"/>
        <w:jc w:val="both"/>
        <w:rPr>
          <w:rFonts w:ascii="Times New Roman" w:hAnsi="Times New Roman" w:cs="Times New Roman"/>
          <w:color w:val="000000" w:themeColor="text1"/>
        </w:rPr>
      </w:pPr>
    </w:p>
    <w:p w:rsidR="008B12FF" w:rsidRDefault="008B12FF" w:rsidP="008B12FF">
      <w:pPr>
        <w:pStyle w:val="Sinespaciado"/>
        <w:jc w:val="center"/>
        <w:rPr>
          <w:rFonts w:ascii="Times New Roman" w:hAnsi="Times New Roman" w:cs="Times New Roman"/>
          <w:b/>
        </w:rPr>
      </w:pPr>
      <w:r>
        <w:rPr>
          <w:rFonts w:ascii="Times New Roman" w:hAnsi="Times New Roman" w:cs="Times New Roman"/>
          <w:b/>
        </w:rPr>
        <w:t>Gasto S</w:t>
      </w:r>
      <w:r w:rsidRPr="00017CB5">
        <w:rPr>
          <w:rFonts w:ascii="Times New Roman" w:hAnsi="Times New Roman" w:cs="Times New Roman"/>
          <w:b/>
        </w:rPr>
        <w:t>uperfluo</w:t>
      </w:r>
    </w:p>
    <w:p w:rsidR="008B12FF" w:rsidRDefault="008B12FF" w:rsidP="008B12FF">
      <w:pPr>
        <w:pStyle w:val="Sinespaciado"/>
        <w:jc w:val="center"/>
        <w:rPr>
          <w:rFonts w:ascii="Times New Roman" w:hAnsi="Times New Roman" w:cs="Times New Roman"/>
          <w:sz w:val="18"/>
        </w:rPr>
      </w:pPr>
      <w:r>
        <w:rPr>
          <w:rFonts w:ascii="Times New Roman" w:hAnsi="Times New Roman" w:cs="Times New Roman"/>
          <w:sz w:val="18"/>
        </w:rPr>
        <w:t>Millones de q</w:t>
      </w:r>
      <w:r w:rsidRPr="00890632">
        <w:rPr>
          <w:rFonts w:ascii="Times New Roman" w:hAnsi="Times New Roman" w:cs="Times New Roman"/>
          <w:sz w:val="18"/>
        </w:rPr>
        <w:t>uetzales</w:t>
      </w:r>
    </w:p>
    <w:p w:rsidR="008B12FF" w:rsidRPr="00961484" w:rsidRDefault="008B12FF" w:rsidP="008B12FF">
      <w:pPr>
        <w:pStyle w:val="Sinespaciado"/>
        <w:jc w:val="both"/>
        <w:rPr>
          <w:rFonts w:ascii="Times New Roman" w:hAnsi="Times New Roman" w:cs="Times New Roman"/>
          <w:sz w:val="12"/>
        </w:rPr>
      </w:pPr>
      <w:r w:rsidRPr="00961484">
        <w:rPr>
          <w:rFonts w:ascii="Times New Roman" w:hAnsi="Times New Roman" w:cs="Times New Roman"/>
          <w:sz w:val="12"/>
        </w:rPr>
        <w:t xml:space="preserve">Acumulado a Agosto de cada año             </w:t>
      </w:r>
      <w:r>
        <w:rPr>
          <w:rFonts w:ascii="Times New Roman" w:hAnsi="Times New Roman" w:cs="Times New Roman"/>
          <w:sz w:val="12"/>
        </w:rPr>
        <w:t xml:space="preserve">     </w:t>
      </w:r>
      <w:r w:rsidRPr="00961484">
        <w:rPr>
          <w:rFonts w:ascii="Times New Roman" w:hAnsi="Times New Roman" w:cs="Times New Roman"/>
          <w:sz w:val="12"/>
        </w:rPr>
        <w:t xml:space="preserve">   Variación por rubro a Agosto                  </w:t>
      </w:r>
    </w:p>
    <w:p w:rsidR="008B12FF" w:rsidRPr="00961484" w:rsidRDefault="008B12FF" w:rsidP="008B12FF">
      <w:pPr>
        <w:pStyle w:val="Sinespaciado"/>
        <w:jc w:val="both"/>
        <w:rPr>
          <w:rFonts w:ascii="Times New Roman" w:hAnsi="Times New Roman" w:cs="Times New Roman"/>
          <w:sz w:val="12"/>
        </w:rPr>
      </w:pPr>
      <w:r w:rsidRPr="00961484">
        <w:rPr>
          <w:rFonts w:ascii="Times New Roman" w:hAnsi="Times New Roman" w:cs="Times New Roman"/>
          <w:sz w:val="12"/>
        </w:rPr>
        <w:t xml:space="preserve">                                                                           </w:t>
      </w:r>
      <w:r>
        <w:rPr>
          <w:rFonts w:ascii="Times New Roman" w:hAnsi="Times New Roman" w:cs="Times New Roman"/>
          <w:sz w:val="12"/>
        </w:rPr>
        <w:t xml:space="preserve">            </w:t>
      </w:r>
      <w:r w:rsidRPr="00961484">
        <w:rPr>
          <w:rFonts w:ascii="Times New Roman" w:hAnsi="Times New Roman" w:cs="Times New Roman"/>
          <w:sz w:val="12"/>
        </w:rPr>
        <w:t xml:space="preserve"> 2015-2016</w:t>
      </w:r>
    </w:p>
    <w:p w:rsidR="008B12FF" w:rsidRDefault="008B12FF" w:rsidP="008B12FF">
      <w:pPr>
        <w:pStyle w:val="Sinespaciado"/>
        <w:jc w:val="both"/>
        <w:rPr>
          <w:rFonts w:ascii="Times New Roman" w:hAnsi="Times New Roman" w:cs="Times New Roman"/>
          <w:sz w:val="16"/>
        </w:rPr>
      </w:pPr>
      <w:r>
        <w:rPr>
          <w:rFonts w:ascii="Times New Roman" w:hAnsi="Times New Roman" w:cs="Times New Roman"/>
          <w:noProof/>
          <w:sz w:val="16"/>
          <w:lang w:eastAsia="es-GT"/>
        </w:rPr>
        <w:drawing>
          <wp:inline distT="0" distB="0" distL="0" distR="0" wp14:anchorId="3045F2F3" wp14:editId="0686128C">
            <wp:extent cx="2636519" cy="120396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43212" cy="1207016"/>
                    </a:xfrm>
                    <a:prstGeom prst="rect">
                      <a:avLst/>
                    </a:prstGeom>
                    <a:noFill/>
                  </pic:spPr>
                </pic:pic>
              </a:graphicData>
            </a:graphic>
          </wp:inline>
        </w:drawing>
      </w:r>
    </w:p>
    <w:p w:rsidR="008B12FF" w:rsidRDefault="008B12FF" w:rsidP="008B12FF">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8B12FF" w:rsidRDefault="008B12FF" w:rsidP="008B12FF">
      <w:pPr>
        <w:pStyle w:val="Sinespaciado"/>
        <w:jc w:val="both"/>
        <w:rPr>
          <w:rFonts w:ascii="Times New Roman" w:hAnsi="Times New Roman" w:cs="Times New Roman"/>
          <w:color w:val="000000" w:themeColor="text1"/>
          <w:lang w:val="es-MX"/>
        </w:rPr>
      </w:pPr>
    </w:p>
    <w:p w:rsidR="008B12FF" w:rsidRDefault="008B12FF" w:rsidP="008B12FF">
      <w:pPr>
        <w:pStyle w:val="Sinespaciado"/>
        <w:jc w:val="both"/>
        <w:rPr>
          <w:rFonts w:ascii="Times New Roman" w:hAnsi="Times New Roman" w:cs="Times New Roman"/>
          <w:color w:val="000000" w:themeColor="text1"/>
          <w:lang w:val="es-MX"/>
        </w:rPr>
      </w:pPr>
      <w:r>
        <w:rPr>
          <w:rFonts w:ascii="Times New Roman" w:hAnsi="Times New Roman" w:cs="Times New Roman"/>
          <w:color w:val="000000" w:themeColor="text1"/>
          <w:lang w:val="es-MX"/>
        </w:rPr>
        <w:t xml:space="preserve">El relajamiento en la política de gasto se puede apreciar con el incremento de la cuota financiera entre cuatrimestres, en el segundo cuatrimestre, esta aumentó 21%, sin embargo la ejecución aumentó únicamente el 18.5% en dicho cuatrimestre, evidenciado un menor </w:t>
      </w:r>
      <w:r>
        <w:rPr>
          <w:rFonts w:ascii="Times New Roman" w:hAnsi="Times New Roman" w:cs="Times New Roman"/>
          <w:color w:val="000000" w:themeColor="text1"/>
          <w:lang w:val="es-MX"/>
        </w:rPr>
        <w:lastRenderedPageBreak/>
        <w:t>grado de ejecución con respecto a lo observado en el 1er. Cuatrimestre.</w:t>
      </w:r>
    </w:p>
    <w:p w:rsidR="008B12FF" w:rsidRDefault="008B12FF" w:rsidP="008B12FF">
      <w:pPr>
        <w:pStyle w:val="Sinespaciado"/>
        <w:jc w:val="both"/>
        <w:rPr>
          <w:rFonts w:ascii="Times New Roman" w:hAnsi="Times New Roman" w:cs="Times New Roman"/>
          <w:color w:val="000000" w:themeColor="text1"/>
          <w:lang w:val="es-MX"/>
        </w:rPr>
      </w:pPr>
    </w:p>
    <w:p w:rsidR="008B12FF" w:rsidRPr="00DD3893" w:rsidRDefault="008B12FF" w:rsidP="008B12FF">
      <w:pPr>
        <w:pStyle w:val="Sinespaciado"/>
        <w:jc w:val="center"/>
        <w:rPr>
          <w:rFonts w:ascii="Times New Roman" w:hAnsi="Times New Roman" w:cs="Times New Roman"/>
          <w:b/>
          <w:color w:val="000000" w:themeColor="text1"/>
          <w:lang w:val="es-MX"/>
        </w:rPr>
      </w:pPr>
      <w:r w:rsidRPr="00DD3893">
        <w:rPr>
          <w:rFonts w:ascii="Times New Roman" w:hAnsi="Times New Roman" w:cs="Times New Roman"/>
          <w:b/>
          <w:color w:val="000000" w:themeColor="text1"/>
          <w:lang w:val="es-MX"/>
        </w:rPr>
        <w:t xml:space="preserve">Cuota Financiera </w:t>
      </w:r>
    </w:p>
    <w:p w:rsidR="008B12FF" w:rsidRPr="00DD3893" w:rsidRDefault="008B12FF" w:rsidP="008B12FF">
      <w:pPr>
        <w:pStyle w:val="Sinespaciado"/>
        <w:jc w:val="center"/>
        <w:rPr>
          <w:rFonts w:ascii="Times New Roman" w:hAnsi="Times New Roman" w:cs="Times New Roman"/>
          <w:color w:val="000000" w:themeColor="text1"/>
          <w:sz w:val="18"/>
          <w:lang w:val="es-MX"/>
        </w:rPr>
      </w:pPr>
      <w:r>
        <w:rPr>
          <w:rFonts w:ascii="Times New Roman" w:hAnsi="Times New Roman" w:cs="Times New Roman"/>
          <w:color w:val="000000" w:themeColor="text1"/>
          <w:sz w:val="18"/>
          <w:lang w:val="es-MX"/>
        </w:rPr>
        <w:t>Primer y segundo cuatrimestre de</w:t>
      </w:r>
      <w:r w:rsidRPr="00DD3893">
        <w:rPr>
          <w:rFonts w:ascii="Times New Roman" w:hAnsi="Times New Roman" w:cs="Times New Roman"/>
          <w:color w:val="000000" w:themeColor="text1"/>
          <w:sz w:val="18"/>
          <w:lang w:val="es-MX"/>
        </w:rPr>
        <w:t xml:space="preserve"> 2016</w:t>
      </w:r>
    </w:p>
    <w:p w:rsidR="008B12FF" w:rsidRPr="00DD3893" w:rsidRDefault="008B12FF" w:rsidP="008B12FF">
      <w:pPr>
        <w:pStyle w:val="Sinespaciado"/>
        <w:jc w:val="center"/>
        <w:rPr>
          <w:rFonts w:ascii="Times New Roman" w:hAnsi="Times New Roman" w:cs="Times New Roman"/>
          <w:color w:val="000000" w:themeColor="text1"/>
          <w:sz w:val="18"/>
          <w:lang w:val="es-MX"/>
        </w:rPr>
      </w:pPr>
      <w:r w:rsidRPr="00DD3893">
        <w:rPr>
          <w:rFonts w:ascii="Times New Roman" w:hAnsi="Times New Roman" w:cs="Times New Roman"/>
          <w:color w:val="000000" w:themeColor="text1"/>
          <w:sz w:val="18"/>
          <w:lang w:val="es-MX"/>
        </w:rPr>
        <w:t>Millones de quetzales y Porcentajes</w:t>
      </w:r>
    </w:p>
    <w:p w:rsidR="008B12FF" w:rsidRDefault="008B12FF" w:rsidP="008B12FF">
      <w:pPr>
        <w:pStyle w:val="Sinespaciado"/>
        <w:jc w:val="both"/>
        <w:rPr>
          <w:rFonts w:ascii="Times New Roman" w:hAnsi="Times New Roman" w:cs="Times New Roman"/>
          <w:color w:val="000000" w:themeColor="text1"/>
          <w:lang w:val="es-MX"/>
        </w:rPr>
      </w:pPr>
      <w:r w:rsidRPr="000B232D">
        <w:rPr>
          <w:noProof/>
          <w:lang w:eastAsia="es-GT"/>
        </w:rPr>
        <w:drawing>
          <wp:inline distT="0" distB="0" distL="0" distR="0" wp14:anchorId="60823629" wp14:editId="7E64B0A9">
            <wp:extent cx="2580640" cy="9398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81275" cy="940031"/>
                    </a:xfrm>
                    <a:prstGeom prst="rect">
                      <a:avLst/>
                    </a:prstGeom>
                    <a:noFill/>
                    <a:ln>
                      <a:noFill/>
                    </a:ln>
                  </pic:spPr>
                </pic:pic>
              </a:graphicData>
            </a:graphic>
          </wp:inline>
        </w:drawing>
      </w:r>
    </w:p>
    <w:p w:rsidR="008B12FF" w:rsidRDefault="008B12FF" w:rsidP="008B12FF">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8B12FF" w:rsidRDefault="008B12FF" w:rsidP="008B12FF">
      <w:pPr>
        <w:pStyle w:val="Sinespaciado"/>
        <w:jc w:val="both"/>
        <w:rPr>
          <w:rFonts w:ascii="Times New Roman" w:hAnsi="Times New Roman" w:cs="Times New Roman"/>
          <w:color w:val="000000" w:themeColor="text1"/>
        </w:rPr>
      </w:pPr>
    </w:p>
    <w:p w:rsidR="008B12FF" w:rsidRDefault="008B12FF" w:rsidP="008B12FF">
      <w:pPr>
        <w:pStyle w:val="Sinespaciado"/>
        <w:jc w:val="both"/>
        <w:rPr>
          <w:rFonts w:ascii="Times New Roman" w:hAnsi="Times New Roman" w:cs="Times New Roman"/>
          <w:color w:val="000000" w:themeColor="text1"/>
          <w:lang w:val="es-MX"/>
        </w:rPr>
      </w:pPr>
      <w:r>
        <w:rPr>
          <w:rFonts w:ascii="Times New Roman" w:hAnsi="Times New Roman" w:cs="Times New Roman"/>
          <w:color w:val="000000" w:themeColor="text1"/>
          <w:lang w:val="es-MX"/>
        </w:rPr>
        <w:t xml:space="preserve">A nivel institucional </w:t>
      </w:r>
      <w:r w:rsidRPr="00022903">
        <w:rPr>
          <w:rFonts w:ascii="Times New Roman" w:hAnsi="Times New Roman" w:cs="Times New Roman"/>
          <w:color w:val="000000" w:themeColor="text1"/>
          <w:lang w:val="es-MX"/>
        </w:rPr>
        <w:t xml:space="preserve">la ejecución del gasto </w:t>
      </w:r>
      <w:r>
        <w:rPr>
          <w:rFonts w:ascii="Times New Roman" w:hAnsi="Times New Roman" w:cs="Times New Roman"/>
          <w:color w:val="000000" w:themeColor="text1"/>
          <w:lang w:val="es-MX"/>
        </w:rPr>
        <w:t xml:space="preserve">refleja que la mayor parte muestran una reducción interanual, la cual es muy evidente en entidades como comunicaciones y desarrollo social que redujo su ejecución en más del 50% con respecto a lo observado en 2015,  hay otras entidades como las secretarías, energía, cultura, gobernación en donde muestran una reducción promedio de 12.2% y en cambio otras como salud, economía, ambiente, entre otras muestran una contracción más moderada que en promedio es cercana al 3%.   Asimismo, hay 4 entidades que si muestran un crecimiento en la ejecución como educación, relaciones exteriores, la PGN y las obligaciones del Estado.  </w:t>
      </w:r>
    </w:p>
    <w:p w:rsidR="008B12FF" w:rsidRDefault="008B12FF" w:rsidP="008B12FF">
      <w:pPr>
        <w:pStyle w:val="Sinespaciado"/>
        <w:jc w:val="both"/>
        <w:rPr>
          <w:rFonts w:ascii="Times New Roman" w:hAnsi="Times New Roman" w:cs="Times New Roman"/>
          <w:color w:val="000000" w:themeColor="text1"/>
          <w:lang w:val="es-MX"/>
        </w:rPr>
      </w:pPr>
    </w:p>
    <w:p w:rsidR="008B12FF" w:rsidRPr="00F614A6" w:rsidRDefault="008B12FF" w:rsidP="008B12FF">
      <w:pPr>
        <w:pStyle w:val="Sinespaciado"/>
        <w:jc w:val="center"/>
        <w:rPr>
          <w:rFonts w:ascii="Times New Roman" w:hAnsi="Times New Roman" w:cs="Times New Roman"/>
          <w:b/>
          <w:color w:val="000000" w:themeColor="text1"/>
          <w:lang w:val="es-MX"/>
        </w:rPr>
      </w:pPr>
      <w:r w:rsidRPr="00F614A6">
        <w:rPr>
          <w:rFonts w:ascii="Times New Roman" w:hAnsi="Times New Roman" w:cs="Times New Roman"/>
          <w:b/>
          <w:color w:val="000000" w:themeColor="text1"/>
          <w:lang w:val="es-MX"/>
        </w:rPr>
        <w:t>Ejecución Presupuestaria Institucional</w:t>
      </w:r>
    </w:p>
    <w:p w:rsidR="008B12FF" w:rsidRDefault="008B12FF" w:rsidP="008B12FF">
      <w:pPr>
        <w:pStyle w:val="Sinespaciado"/>
        <w:jc w:val="center"/>
        <w:rPr>
          <w:rFonts w:ascii="Times New Roman" w:hAnsi="Times New Roman" w:cs="Times New Roman"/>
          <w:color w:val="000000" w:themeColor="text1"/>
          <w:lang w:val="es-MX"/>
        </w:rPr>
      </w:pPr>
      <w:r>
        <w:rPr>
          <w:rFonts w:ascii="Times New Roman" w:hAnsi="Times New Roman" w:cs="Times New Roman"/>
          <w:color w:val="000000" w:themeColor="text1"/>
          <w:sz w:val="18"/>
          <w:lang w:val="es-MX"/>
        </w:rPr>
        <w:t>Variación Interanual</w:t>
      </w:r>
    </w:p>
    <w:p w:rsidR="008B12FF" w:rsidRPr="00887661" w:rsidRDefault="008B12FF" w:rsidP="008B12FF">
      <w:pPr>
        <w:pStyle w:val="Sinespaciado"/>
        <w:jc w:val="both"/>
        <w:rPr>
          <w:rFonts w:ascii="Times New Roman" w:hAnsi="Times New Roman" w:cs="Times New Roman"/>
          <w:color w:val="000000" w:themeColor="text1"/>
          <w:lang w:val="es-MX"/>
        </w:rPr>
      </w:pPr>
      <w:r>
        <w:rPr>
          <w:rFonts w:ascii="Times New Roman" w:hAnsi="Times New Roman" w:cs="Times New Roman"/>
          <w:noProof/>
          <w:color w:val="000000" w:themeColor="text1"/>
          <w:lang w:eastAsia="es-GT"/>
        </w:rPr>
        <w:drawing>
          <wp:inline distT="0" distB="0" distL="0" distR="0" wp14:anchorId="77DA4791" wp14:editId="0BF86F67">
            <wp:extent cx="2537011" cy="1748118"/>
            <wp:effectExtent l="0" t="0" r="0"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37011" cy="1748118"/>
                    </a:xfrm>
                    <a:prstGeom prst="rect">
                      <a:avLst/>
                    </a:prstGeom>
                    <a:noFill/>
                  </pic:spPr>
                </pic:pic>
              </a:graphicData>
            </a:graphic>
          </wp:inline>
        </w:drawing>
      </w: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8B12FF" w:rsidRDefault="008B12FF" w:rsidP="008B12FF">
      <w:pPr>
        <w:pStyle w:val="Sinespaciado"/>
        <w:jc w:val="both"/>
        <w:rPr>
          <w:rFonts w:ascii="Times New Roman" w:hAnsi="Times New Roman" w:cs="Times New Roman"/>
          <w:sz w:val="16"/>
        </w:rPr>
      </w:pPr>
    </w:p>
    <w:p w:rsidR="008B12FF" w:rsidRDefault="008B12FF" w:rsidP="008B12FF">
      <w:pPr>
        <w:pStyle w:val="Sinespaciad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Por otro lado, uno de los principales compromisos del gobierno está asociado al Plan de la Alianza para la Prosperidad Triángulo Norte -</w:t>
      </w:r>
      <w:r w:rsidRPr="00022903">
        <w:rPr>
          <w:rFonts w:ascii="Times New Roman" w:hAnsi="Times New Roman" w:cs="Times New Roman"/>
          <w:color w:val="000000" w:themeColor="text1"/>
        </w:rPr>
        <w:t>PAPTN</w:t>
      </w:r>
      <w:r>
        <w:rPr>
          <w:rFonts w:ascii="Times New Roman" w:hAnsi="Times New Roman" w:cs="Times New Roman"/>
          <w:color w:val="000000" w:themeColor="text1"/>
        </w:rPr>
        <w:t xml:space="preserve">-.  En ese sentido, </w:t>
      </w:r>
      <w:r w:rsidRPr="00022903">
        <w:rPr>
          <w:rFonts w:ascii="Times New Roman" w:hAnsi="Times New Roman" w:cs="Times New Roman"/>
          <w:color w:val="000000" w:themeColor="text1"/>
        </w:rPr>
        <w:t xml:space="preserve">al cierre de </w:t>
      </w:r>
      <w:r>
        <w:rPr>
          <w:rFonts w:ascii="Times New Roman" w:hAnsi="Times New Roman" w:cs="Times New Roman"/>
          <w:color w:val="000000" w:themeColor="text1"/>
        </w:rPr>
        <w:t>agosto</w:t>
      </w:r>
      <w:r w:rsidRPr="0002290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de 2016 se </w:t>
      </w:r>
      <w:r w:rsidRPr="00022903">
        <w:rPr>
          <w:rFonts w:ascii="Times New Roman" w:hAnsi="Times New Roman" w:cs="Times New Roman"/>
          <w:color w:val="000000" w:themeColor="text1"/>
        </w:rPr>
        <w:t xml:space="preserve">reporta una ejecución de </w:t>
      </w:r>
      <w:r>
        <w:rPr>
          <w:rFonts w:ascii="Times New Roman" w:hAnsi="Times New Roman" w:cs="Times New Roman"/>
          <w:color w:val="000000" w:themeColor="text1"/>
        </w:rPr>
        <w:t>Q</w:t>
      </w:r>
      <w:r w:rsidR="00887661">
        <w:rPr>
          <w:rFonts w:ascii="Times New Roman" w:hAnsi="Times New Roman" w:cs="Times New Roman"/>
          <w:color w:val="000000" w:themeColor="text1"/>
        </w:rPr>
        <w:t xml:space="preserve"> </w:t>
      </w:r>
      <w:r>
        <w:rPr>
          <w:rFonts w:ascii="Times New Roman" w:hAnsi="Times New Roman" w:cs="Times New Roman"/>
          <w:color w:val="000000" w:themeColor="text1"/>
        </w:rPr>
        <w:t>1,633.3 millones, equivalente al 29.0</w:t>
      </w:r>
      <w:r w:rsidRPr="00022903">
        <w:rPr>
          <w:rFonts w:ascii="Times New Roman" w:hAnsi="Times New Roman" w:cs="Times New Roman"/>
          <w:color w:val="000000" w:themeColor="text1"/>
        </w:rPr>
        <w:t xml:space="preserve">% </w:t>
      </w:r>
      <w:r>
        <w:rPr>
          <w:rFonts w:ascii="Times New Roman" w:hAnsi="Times New Roman" w:cs="Times New Roman"/>
          <w:color w:val="000000" w:themeColor="text1"/>
        </w:rPr>
        <w:t>del</w:t>
      </w:r>
      <w:r w:rsidRPr="00022903">
        <w:rPr>
          <w:rFonts w:ascii="Times New Roman" w:hAnsi="Times New Roman" w:cs="Times New Roman"/>
          <w:color w:val="000000" w:themeColor="text1"/>
        </w:rPr>
        <w:t xml:space="preserve"> presupuesto vigente, </w:t>
      </w:r>
      <w:r>
        <w:rPr>
          <w:rFonts w:ascii="Times New Roman" w:hAnsi="Times New Roman" w:cs="Times New Roman"/>
          <w:color w:val="000000" w:themeColor="text1"/>
        </w:rPr>
        <w:t>el cual se considera relativamente bajo, no obstante la ejecución en Ministerios que realizan intervenciones importantes como educación, trabajo, salud y gobernación muestra una ejecución más dinámica.  No obstante, en Comunicaciones, Desarrollo Social y Economía la ejecución de los programas relativos al Plan se encuentra muy por debajo del promedio institucional.  En la medida en que se dinamicen las operaciones de préstamos externos que inciden en la inversión, se espera que la ejecución del Plan mejore considerablemente.</w:t>
      </w:r>
    </w:p>
    <w:p w:rsidR="008B12FF" w:rsidRDefault="008B12FF" w:rsidP="008B12FF">
      <w:pPr>
        <w:pStyle w:val="Sinespaciado"/>
        <w:jc w:val="both"/>
        <w:rPr>
          <w:rFonts w:ascii="Times New Roman" w:hAnsi="Times New Roman" w:cs="Times New Roman"/>
          <w:color w:val="FF0000"/>
        </w:rPr>
      </w:pPr>
    </w:p>
    <w:p w:rsidR="008B12FF" w:rsidRPr="00580047" w:rsidRDefault="008B12FF" w:rsidP="008B12FF">
      <w:pPr>
        <w:pStyle w:val="Sinespaciado"/>
        <w:jc w:val="center"/>
        <w:rPr>
          <w:rFonts w:ascii="Times New Roman" w:hAnsi="Times New Roman" w:cs="Times New Roman"/>
          <w:b/>
        </w:rPr>
      </w:pPr>
      <w:r w:rsidRPr="00580047">
        <w:rPr>
          <w:rFonts w:ascii="Times New Roman" w:hAnsi="Times New Roman" w:cs="Times New Roman"/>
          <w:b/>
        </w:rPr>
        <w:t>Ejecución por entidad del PAPTN</w:t>
      </w:r>
    </w:p>
    <w:p w:rsidR="008B12FF" w:rsidRPr="00EC35C2" w:rsidRDefault="008B12FF" w:rsidP="008B12FF">
      <w:pPr>
        <w:pStyle w:val="Sinespaciado"/>
        <w:jc w:val="center"/>
        <w:rPr>
          <w:rFonts w:ascii="Times New Roman" w:hAnsi="Times New Roman" w:cs="Times New Roman"/>
          <w:sz w:val="18"/>
        </w:rPr>
      </w:pPr>
      <w:r w:rsidRPr="00EC35C2">
        <w:rPr>
          <w:rFonts w:ascii="Times New Roman" w:hAnsi="Times New Roman" w:cs="Times New Roman"/>
          <w:sz w:val="18"/>
        </w:rPr>
        <w:t xml:space="preserve">Acumulado a </w:t>
      </w:r>
      <w:r>
        <w:rPr>
          <w:rFonts w:ascii="Times New Roman" w:hAnsi="Times New Roman" w:cs="Times New Roman"/>
          <w:sz w:val="18"/>
        </w:rPr>
        <w:t>agosto</w:t>
      </w:r>
      <w:r w:rsidRPr="00EC35C2">
        <w:rPr>
          <w:rFonts w:ascii="Times New Roman" w:hAnsi="Times New Roman" w:cs="Times New Roman"/>
          <w:sz w:val="18"/>
        </w:rPr>
        <w:t xml:space="preserve"> 2016</w:t>
      </w:r>
    </w:p>
    <w:p w:rsidR="008B12FF" w:rsidRDefault="008B12FF" w:rsidP="008B12FF">
      <w:pPr>
        <w:pStyle w:val="Sinespaciado"/>
        <w:jc w:val="center"/>
        <w:rPr>
          <w:rFonts w:ascii="Times New Roman" w:hAnsi="Times New Roman" w:cs="Times New Roman"/>
          <w:sz w:val="18"/>
        </w:rPr>
      </w:pPr>
      <w:r w:rsidRPr="00580047">
        <w:rPr>
          <w:rFonts w:ascii="Times New Roman" w:hAnsi="Times New Roman" w:cs="Times New Roman"/>
          <w:sz w:val="18"/>
        </w:rPr>
        <w:t>Millones de quetzales</w:t>
      </w:r>
    </w:p>
    <w:p w:rsidR="008B12FF" w:rsidRDefault="008B12FF" w:rsidP="008B12FF">
      <w:pPr>
        <w:pStyle w:val="Sinespaciado"/>
        <w:jc w:val="center"/>
        <w:rPr>
          <w:rFonts w:ascii="Times New Roman" w:hAnsi="Times New Roman" w:cs="Times New Roman"/>
          <w:sz w:val="18"/>
        </w:rPr>
      </w:pPr>
      <w:r w:rsidRPr="00E2579D">
        <w:rPr>
          <w:noProof/>
          <w:lang w:eastAsia="es-GT"/>
        </w:rPr>
        <w:drawing>
          <wp:inline distT="0" distB="0" distL="0" distR="0" wp14:anchorId="54D68148" wp14:editId="442A9035">
            <wp:extent cx="2713113" cy="181087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12526" cy="1810479"/>
                    </a:xfrm>
                    <a:prstGeom prst="rect">
                      <a:avLst/>
                    </a:prstGeom>
                    <a:noFill/>
                    <a:ln>
                      <a:noFill/>
                    </a:ln>
                  </pic:spPr>
                </pic:pic>
              </a:graphicData>
            </a:graphic>
          </wp:inline>
        </w:drawing>
      </w:r>
    </w:p>
    <w:p w:rsidR="008B12FF" w:rsidRPr="00010252" w:rsidRDefault="008B12FF" w:rsidP="008B12FF">
      <w:pPr>
        <w:pStyle w:val="Sinespaciado"/>
        <w:rPr>
          <w:rFonts w:ascii="Times New Roman" w:hAnsi="Times New Roman" w:cs="Times New Roman"/>
          <w:sz w:val="18"/>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F76491" w:rsidRPr="008B12FF" w:rsidRDefault="00F76491" w:rsidP="00F76491">
      <w:pPr>
        <w:spacing w:line="240" w:lineRule="auto"/>
        <w:jc w:val="both"/>
        <w:rPr>
          <w:rFonts w:ascii="Times New Roman" w:hAnsi="Times New Roman" w:cs="Times New Roman"/>
          <w:color w:val="FF0000"/>
          <w:szCs w:val="24"/>
          <w:lang w:val="es-MX"/>
        </w:rPr>
      </w:pPr>
    </w:p>
    <w:p w:rsidR="00DD23C0" w:rsidRPr="008B12FF" w:rsidRDefault="00DD23C0" w:rsidP="00F76491">
      <w:pPr>
        <w:spacing w:line="240" w:lineRule="auto"/>
        <w:jc w:val="both"/>
        <w:rPr>
          <w:rFonts w:ascii="Times New Roman" w:hAnsi="Times New Roman" w:cs="Times New Roman"/>
          <w:color w:val="FF0000"/>
          <w:szCs w:val="24"/>
          <w:lang w:val="es-MX"/>
        </w:rPr>
      </w:pPr>
    </w:p>
    <w:p w:rsidR="00F76491" w:rsidRPr="008B12FF" w:rsidRDefault="00F76491" w:rsidP="00F76491">
      <w:pPr>
        <w:jc w:val="both"/>
        <w:rPr>
          <w:rFonts w:ascii="Times New Roman" w:hAnsi="Times New Roman" w:cs="Times New Roman"/>
          <w:color w:val="FF0000"/>
          <w:sz w:val="12"/>
          <w:szCs w:val="24"/>
          <w:lang w:val="es-MX"/>
        </w:rPr>
      </w:pPr>
    </w:p>
    <w:p w:rsidR="00DD23C0" w:rsidRPr="008B12FF" w:rsidRDefault="00DD23C0" w:rsidP="00F76491">
      <w:pPr>
        <w:jc w:val="both"/>
        <w:rPr>
          <w:rFonts w:ascii="Times New Roman" w:hAnsi="Times New Roman" w:cs="Times New Roman"/>
          <w:color w:val="FF0000"/>
          <w:sz w:val="12"/>
          <w:szCs w:val="24"/>
          <w:lang w:val="es-MX"/>
        </w:rPr>
        <w:sectPr w:rsidR="00DD23C0" w:rsidRPr="008B12FF" w:rsidSect="00BC7539">
          <w:type w:val="continuous"/>
          <w:pgSz w:w="12240" w:h="15840"/>
          <w:pgMar w:top="1417" w:right="1701" w:bottom="1417" w:left="1701" w:header="708" w:footer="708" w:gutter="0"/>
          <w:cols w:num="2" w:space="708"/>
          <w:docGrid w:linePitch="360"/>
        </w:sectPr>
      </w:pPr>
    </w:p>
    <w:p w:rsidR="00DD23C0" w:rsidRPr="008B12FF" w:rsidRDefault="00DD23C0" w:rsidP="00BC7539">
      <w:pPr>
        <w:pStyle w:val="Sinespaciado"/>
        <w:jc w:val="both"/>
        <w:rPr>
          <w:rFonts w:ascii="Times New Roman" w:hAnsi="Times New Roman" w:cs="Times New Roman"/>
          <w:color w:val="FF0000"/>
          <w:sz w:val="16"/>
          <w:lang w:val="es-MX"/>
        </w:rPr>
      </w:pPr>
    </w:p>
    <w:p w:rsidR="00F76491" w:rsidRPr="008B12FF" w:rsidRDefault="008B12FF"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76491" w:rsidRPr="008B12FF" w:rsidSect="00FA3B81">
          <w:headerReference w:type="default" r:id="rId24"/>
          <w:footerReference w:type="default" r:id="rId25"/>
          <w:type w:val="continuous"/>
          <w:pgSz w:w="12240" w:h="15840" w:code="1"/>
          <w:pgMar w:top="1418" w:right="1418" w:bottom="1418" w:left="1418" w:header="709" w:footer="709" w:gutter="0"/>
          <w:cols w:space="708"/>
          <w:docGrid w:linePitch="360"/>
        </w:sectPr>
      </w:pPr>
      <w:r w:rsidRPr="008B12FF">
        <w:rPr>
          <w:rFonts w:ascii="Times New Roman" w:hAnsi="Times New Roman" w:cs="Times New Roman"/>
          <w:b/>
          <w:lang w:val="es-MX"/>
        </w:rPr>
        <w:t>Últimos eventos muestran baja demanda en los títulos del gobierno</w:t>
      </w:r>
    </w:p>
    <w:p w:rsidR="00F76491" w:rsidRPr="008B12FF" w:rsidRDefault="00F76491" w:rsidP="00F76491">
      <w:pPr>
        <w:pStyle w:val="Sinespaciado"/>
        <w:rPr>
          <w:rFonts w:ascii="Times New Roman" w:hAnsi="Times New Roman" w:cs="Times New Roman"/>
          <w:b/>
          <w:color w:val="FF0000"/>
          <w:sz w:val="24"/>
          <w:lang w:val="es-MX"/>
        </w:rPr>
      </w:pPr>
    </w:p>
    <w:p w:rsidR="00F76491" w:rsidRPr="008B12FF" w:rsidRDefault="00F76491" w:rsidP="00F76491">
      <w:pPr>
        <w:pStyle w:val="Sinespaciado"/>
        <w:rPr>
          <w:rFonts w:ascii="Times New Roman" w:hAnsi="Times New Roman" w:cs="Times New Roman"/>
          <w:b/>
          <w:color w:val="FF0000"/>
          <w:lang w:val="es-MX"/>
        </w:rPr>
        <w:sectPr w:rsidR="00F76491" w:rsidRPr="008B12FF" w:rsidSect="00213F7F">
          <w:type w:val="continuous"/>
          <w:pgSz w:w="12240" w:h="15840"/>
          <w:pgMar w:top="1417" w:right="1701" w:bottom="1417" w:left="1701" w:header="708" w:footer="708" w:gutter="0"/>
          <w:cols w:space="708"/>
          <w:docGrid w:linePitch="360"/>
        </w:sectPr>
      </w:pPr>
    </w:p>
    <w:p w:rsidR="008B12FF" w:rsidRDefault="008B12FF" w:rsidP="008B12FF">
      <w:pPr>
        <w:pStyle w:val="Sinespaciado"/>
        <w:jc w:val="both"/>
        <w:rPr>
          <w:rFonts w:ascii="Times New Roman" w:hAnsi="Times New Roman" w:cs="Times New Roman"/>
        </w:rPr>
      </w:pPr>
      <w:r>
        <w:rPr>
          <w:rFonts w:ascii="Times New Roman" w:hAnsi="Times New Roman" w:cs="Times New Roman"/>
        </w:rPr>
        <w:lastRenderedPageBreak/>
        <w:t>En cuanto al financiamiento del déficit presupuestario, persiste el bajo nivel de desembolsos de préstamos externos, los cuales están por debajo en Q 4,666.3 millones, con respecto de lo que se obtuvo  en igual fecha del año anterior, esta situación se debe a que en este año no se contrataron préstamos de apoyo presupuestario con los organismos financieros multilaterales.</w:t>
      </w:r>
    </w:p>
    <w:p w:rsidR="008B12FF" w:rsidRDefault="008B12FF" w:rsidP="008B12FF">
      <w:pPr>
        <w:pStyle w:val="Sinespaciado"/>
        <w:jc w:val="both"/>
        <w:rPr>
          <w:rFonts w:ascii="Times New Roman" w:hAnsi="Times New Roman" w:cs="Times New Roman"/>
        </w:rPr>
      </w:pPr>
      <w:r>
        <w:rPr>
          <w:rFonts w:ascii="Times New Roman" w:hAnsi="Times New Roman" w:cs="Times New Roman"/>
        </w:rPr>
        <w:t xml:space="preserve"> </w:t>
      </w:r>
    </w:p>
    <w:p w:rsidR="008B12FF" w:rsidRDefault="008B12FF" w:rsidP="008B12FF">
      <w:pPr>
        <w:pStyle w:val="Sinespaciado"/>
        <w:jc w:val="both"/>
        <w:rPr>
          <w:rFonts w:ascii="Times New Roman" w:hAnsi="Times New Roman" w:cs="Times New Roman"/>
        </w:rPr>
      </w:pPr>
      <w:r>
        <w:rPr>
          <w:rFonts w:ascii="Times New Roman" w:hAnsi="Times New Roman" w:cs="Times New Roman"/>
        </w:rPr>
        <w:t>De esa cuenta, únicamente el 11.6% de los préstamos programados en el presupuesto de este año se ha logrado desembolsar, lo que tiene efectos negativos en el gasto público especialmente en la inversión.</w:t>
      </w:r>
    </w:p>
    <w:p w:rsidR="008B12FF" w:rsidRDefault="008B12FF" w:rsidP="008B12FF">
      <w:pPr>
        <w:pStyle w:val="Sinespaciado"/>
        <w:jc w:val="both"/>
        <w:rPr>
          <w:rFonts w:ascii="Times New Roman" w:hAnsi="Times New Roman" w:cs="Times New Roman"/>
        </w:rPr>
      </w:pPr>
    </w:p>
    <w:p w:rsidR="008B12FF" w:rsidRDefault="008B12FF" w:rsidP="008B12FF">
      <w:pPr>
        <w:pStyle w:val="Sinespaciado"/>
        <w:jc w:val="both"/>
        <w:rPr>
          <w:rFonts w:ascii="Times New Roman" w:hAnsi="Times New Roman" w:cs="Times New Roman"/>
        </w:rPr>
      </w:pPr>
      <w:r>
        <w:rPr>
          <w:rFonts w:ascii="Times New Roman" w:hAnsi="Times New Roman" w:cs="Times New Roman"/>
        </w:rPr>
        <w:t xml:space="preserve">Este bajo flujo de desembolsos reportados en lo que va del año, ha conducido a un financiamiento externo neto negativo de        Q 1,557.3 millones, ya que las amortizaciones de deuda son mayores a los desembolsos captados.  </w:t>
      </w:r>
    </w:p>
    <w:p w:rsidR="008B12FF" w:rsidRDefault="008B12FF" w:rsidP="008B12FF">
      <w:pPr>
        <w:pStyle w:val="Sinespaciado"/>
        <w:jc w:val="both"/>
        <w:rPr>
          <w:rFonts w:ascii="Times New Roman" w:hAnsi="Times New Roman" w:cs="Times New Roman"/>
          <w:color w:val="000000" w:themeColor="text1"/>
        </w:rPr>
      </w:pPr>
    </w:p>
    <w:p w:rsidR="008B12FF" w:rsidRDefault="008B12FF" w:rsidP="008B12FF">
      <w:pPr>
        <w:pStyle w:val="Sinespaciado"/>
        <w:jc w:val="both"/>
        <w:rPr>
          <w:rFonts w:ascii="Times New Roman" w:hAnsi="Times New Roman" w:cs="Times New Roman"/>
          <w:color w:val="000000" w:themeColor="text1"/>
        </w:rPr>
      </w:pPr>
      <w:r w:rsidRPr="00995554">
        <w:rPr>
          <w:rFonts w:ascii="Times New Roman" w:hAnsi="Times New Roman" w:cs="Times New Roman"/>
          <w:color w:val="000000" w:themeColor="text1"/>
        </w:rPr>
        <w:t xml:space="preserve">En lo que respecta a la colocación de Bonos del Tesoro, </w:t>
      </w:r>
      <w:r>
        <w:rPr>
          <w:rFonts w:ascii="Times New Roman" w:hAnsi="Times New Roman" w:cs="Times New Roman"/>
          <w:color w:val="000000" w:themeColor="text1"/>
        </w:rPr>
        <w:t>en lo que va del año</w:t>
      </w:r>
      <w:r w:rsidRPr="00995554">
        <w:rPr>
          <w:rFonts w:ascii="Times New Roman" w:hAnsi="Times New Roman" w:cs="Times New Roman"/>
          <w:color w:val="000000" w:themeColor="text1"/>
        </w:rPr>
        <w:t xml:space="preserve">, se han realizado </w:t>
      </w:r>
      <w:r>
        <w:rPr>
          <w:rFonts w:ascii="Times New Roman" w:hAnsi="Times New Roman" w:cs="Times New Roman"/>
          <w:color w:val="000000" w:themeColor="text1"/>
        </w:rPr>
        <w:t>21</w:t>
      </w:r>
      <w:r w:rsidRPr="00995554">
        <w:rPr>
          <w:rFonts w:ascii="Times New Roman" w:hAnsi="Times New Roman" w:cs="Times New Roman"/>
          <w:color w:val="000000" w:themeColor="text1"/>
        </w:rPr>
        <w:t xml:space="preserve"> eventos de subasta y licitación</w:t>
      </w:r>
      <w:r>
        <w:rPr>
          <w:rFonts w:ascii="Times New Roman" w:hAnsi="Times New Roman" w:cs="Times New Roman"/>
          <w:color w:val="000000" w:themeColor="text1"/>
        </w:rPr>
        <w:t xml:space="preserve"> </w:t>
      </w:r>
      <w:r>
        <w:rPr>
          <w:rFonts w:ascii="Times New Roman" w:hAnsi="Times New Roman" w:cs="Times New Roman"/>
          <w:color w:val="000000" w:themeColor="text1"/>
        </w:rPr>
        <w:lastRenderedPageBreak/>
        <w:t xml:space="preserve">en el mercado doméstico, </w:t>
      </w:r>
      <w:r w:rsidRPr="00995554">
        <w:rPr>
          <w:rFonts w:ascii="Times New Roman" w:hAnsi="Times New Roman" w:cs="Times New Roman"/>
          <w:color w:val="000000" w:themeColor="text1"/>
        </w:rPr>
        <w:t xml:space="preserve"> de los cuales se ha recibido una demanda acumulada de </w:t>
      </w:r>
      <w:r>
        <w:rPr>
          <w:rFonts w:ascii="Times New Roman" w:hAnsi="Times New Roman" w:cs="Times New Roman"/>
          <w:color w:val="000000" w:themeColor="text1"/>
        </w:rPr>
        <w:t xml:space="preserve">            </w:t>
      </w:r>
      <w:r w:rsidRPr="00995554">
        <w:rPr>
          <w:rFonts w:ascii="Times New Roman" w:hAnsi="Times New Roman" w:cs="Times New Roman"/>
          <w:color w:val="000000" w:themeColor="text1"/>
        </w:rPr>
        <w:t>Q</w:t>
      </w:r>
      <w:r>
        <w:rPr>
          <w:rFonts w:ascii="Times New Roman" w:hAnsi="Times New Roman" w:cs="Times New Roman"/>
          <w:color w:val="000000" w:themeColor="text1"/>
        </w:rPr>
        <w:t xml:space="preserve"> 19,787.4</w:t>
      </w:r>
      <w:r w:rsidRPr="00995554">
        <w:rPr>
          <w:rFonts w:ascii="Times New Roman" w:hAnsi="Times New Roman" w:cs="Times New Roman"/>
          <w:color w:val="000000" w:themeColor="text1"/>
        </w:rPr>
        <w:t xml:space="preserve"> millones. De los cuales se ha adjudicado, conforme a las necesidades de caja, Q</w:t>
      </w:r>
      <w:r>
        <w:rPr>
          <w:rFonts w:ascii="Times New Roman" w:hAnsi="Times New Roman" w:cs="Times New Roman"/>
          <w:color w:val="000000" w:themeColor="text1"/>
        </w:rPr>
        <w:t xml:space="preserve"> 6,632.5</w:t>
      </w:r>
      <w:r w:rsidRPr="00995554">
        <w:rPr>
          <w:rFonts w:ascii="Times New Roman" w:hAnsi="Times New Roman" w:cs="Times New Roman"/>
          <w:color w:val="000000" w:themeColor="text1"/>
        </w:rPr>
        <w:t xml:space="preserve"> millones, orientándose</w:t>
      </w:r>
      <w:r>
        <w:rPr>
          <w:rFonts w:ascii="Times New Roman" w:hAnsi="Times New Roman" w:cs="Times New Roman"/>
          <w:color w:val="000000" w:themeColor="text1"/>
        </w:rPr>
        <w:t xml:space="preserve"> dichos recursos a roll over y</w:t>
      </w:r>
      <w:r w:rsidRPr="00995554">
        <w:rPr>
          <w:rFonts w:ascii="Times New Roman" w:hAnsi="Times New Roman" w:cs="Times New Roman"/>
          <w:color w:val="000000" w:themeColor="text1"/>
        </w:rPr>
        <w:t xml:space="preserve"> a financiar el presupuesto de este año.</w:t>
      </w:r>
      <w:r>
        <w:rPr>
          <w:rFonts w:ascii="Times New Roman" w:hAnsi="Times New Roman" w:cs="Times New Roman"/>
          <w:color w:val="000000" w:themeColor="text1"/>
        </w:rPr>
        <w:t xml:space="preserve">  </w:t>
      </w:r>
    </w:p>
    <w:p w:rsidR="008B12FF" w:rsidRDefault="008B12FF" w:rsidP="008B12FF">
      <w:pPr>
        <w:pStyle w:val="Sinespaciado"/>
        <w:jc w:val="both"/>
        <w:rPr>
          <w:rFonts w:ascii="Times New Roman" w:hAnsi="Times New Roman" w:cs="Times New Roman"/>
          <w:color w:val="000000" w:themeColor="text1"/>
        </w:rPr>
      </w:pPr>
    </w:p>
    <w:p w:rsidR="008B12FF" w:rsidRDefault="008B12FF" w:rsidP="008B12FF">
      <w:pPr>
        <w:pStyle w:val="Sinespaciado"/>
        <w:jc w:val="both"/>
        <w:rPr>
          <w:rFonts w:ascii="Times New Roman" w:hAnsi="Times New Roman" w:cs="Times New Roman"/>
          <w:color w:val="000000" w:themeColor="text1"/>
        </w:rPr>
      </w:pPr>
      <w:r>
        <w:rPr>
          <w:rFonts w:ascii="Times New Roman" w:hAnsi="Times New Roman" w:cs="Times New Roman"/>
          <w:color w:val="000000" w:themeColor="text1"/>
        </w:rPr>
        <w:t>Es importante mencionar que en las últimas dos colocaciones hubo una reducción importante en la demanda de títulos del gobierno, a pesar que el nivel de liquidez en el sistema supera los Q 4,000 millones.  Esta situación se espera cambie en los próximos meses, de lo contrario podría afectar la disponibilidad de recursos para el financiamiento del gasto público.</w:t>
      </w:r>
    </w:p>
    <w:p w:rsidR="008B12FF" w:rsidRDefault="008B12FF" w:rsidP="008B12FF">
      <w:pPr>
        <w:pStyle w:val="Sinespaciado"/>
        <w:jc w:val="both"/>
        <w:rPr>
          <w:rFonts w:ascii="Times New Roman" w:hAnsi="Times New Roman" w:cs="Times New Roman"/>
          <w:color w:val="000000" w:themeColor="text1"/>
        </w:rPr>
      </w:pPr>
    </w:p>
    <w:p w:rsidR="008B12FF" w:rsidRPr="008B12FF" w:rsidRDefault="008B12FF" w:rsidP="008B12FF">
      <w:pPr>
        <w:pStyle w:val="Sinespaciado"/>
        <w:jc w:val="both"/>
        <w:rPr>
          <w:rFonts w:ascii="Times New Roman" w:hAnsi="Times New Roman" w:cs="Times New Roman"/>
          <w:color w:val="FF0000"/>
        </w:rPr>
      </w:pPr>
      <w:r>
        <w:rPr>
          <w:rFonts w:ascii="Times New Roman" w:hAnsi="Times New Roman" w:cs="Times New Roman"/>
          <w:lang w:val="es-MX"/>
        </w:rPr>
        <w:t xml:space="preserve">Derivado de lo anterior, el monto pendiente de colocar conforme al máximo autorizado por el Congreso de la República es de Q 2,920.5 millones, los cuales se estiman colocar en el mercado interno. </w:t>
      </w:r>
    </w:p>
    <w:p w:rsidR="00D532B4" w:rsidRPr="008B12FF" w:rsidRDefault="00D532B4" w:rsidP="00D532B4">
      <w:pPr>
        <w:pStyle w:val="Sinespaciado"/>
        <w:jc w:val="both"/>
        <w:rPr>
          <w:rFonts w:ascii="Times New Roman" w:hAnsi="Times New Roman" w:cs="Times New Roman"/>
          <w:color w:val="FF0000"/>
        </w:rPr>
      </w:pPr>
    </w:p>
    <w:p w:rsidR="00DD4D5D" w:rsidRPr="008B12FF" w:rsidRDefault="00DD4D5D" w:rsidP="00DD4D5D">
      <w:pPr>
        <w:pStyle w:val="Sinespaciado"/>
        <w:jc w:val="both"/>
        <w:rPr>
          <w:rFonts w:ascii="Times New Roman" w:hAnsi="Times New Roman" w:cs="Times New Roman"/>
          <w:color w:val="FF0000"/>
        </w:rPr>
      </w:pPr>
    </w:p>
    <w:p w:rsidR="004F72F9" w:rsidRPr="008B12FF" w:rsidRDefault="004F72F9" w:rsidP="004F72F9">
      <w:pPr>
        <w:pStyle w:val="Sinespaciado"/>
        <w:jc w:val="both"/>
        <w:rPr>
          <w:rFonts w:ascii="Times New Roman" w:hAnsi="Times New Roman" w:cs="Times New Roman"/>
          <w:color w:val="FF0000"/>
        </w:rPr>
      </w:pPr>
    </w:p>
    <w:p w:rsidR="00FA5DE4" w:rsidRPr="008B12FF" w:rsidRDefault="00FA5DE4" w:rsidP="00FA5DE4">
      <w:pPr>
        <w:pStyle w:val="Sinespaciado"/>
        <w:jc w:val="both"/>
        <w:rPr>
          <w:rFonts w:ascii="Times New Roman" w:hAnsi="Times New Roman" w:cs="Times New Roman"/>
          <w:color w:val="FF0000"/>
        </w:rPr>
        <w:sectPr w:rsidR="00FA5DE4" w:rsidRPr="008B12FF" w:rsidSect="00516433">
          <w:type w:val="continuous"/>
          <w:pgSz w:w="12240" w:h="15840"/>
          <w:pgMar w:top="1417" w:right="1701" w:bottom="1417" w:left="1701" w:header="708" w:footer="708" w:gutter="0"/>
          <w:cols w:num="2" w:space="708"/>
          <w:docGrid w:linePitch="360"/>
        </w:sectPr>
      </w:pPr>
    </w:p>
    <w:p w:rsidR="00DD4D5D" w:rsidRPr="008B12FF" w:rsidRDefault="00DD4D5D" w:rsidP="008B12FF">
      <w:pPr>
        <w:pStyle w:val="Sinespaciado"/>
        <w:jc w:val="both"/>
        <w:rPr>
          <w:rFonts w:ascii="Times New Roman" w:hAnsi="Times New Roman" w:cs="Times New Roman"/>
          <w:color w:val="FF0000"/>
          <w:sz w:val="14"/>
          <w:lang w:val="es-MX"/>
        </w:rPr>
      </w:pPr>
    </w:p>
    <w:p w:rsidR="00DD4D5D" w:rsidRPr="008B12FF" w:rsidRDefault="00DD4D5D" w:rsidP="00F76491">
      <w:pPr>
        <w:pStyle w:val="Sinespaciado"/>
        <w:ind w:left="360"/>
        <w:jc w:val="both"/>
        <w:rPr>
          <w:rFonts w:ascii="Times New Roman" w:hAnsi="Times New Roman" w:cs="Times New Roman"/>
          <w:color w:val="FF0000"/>
          <w:sz w:val="14"/>
          <w:lang w:val="es-MX"/>
        </w:rPr>
      </w:pPr>
    </w:p>
    <w:p w:rsidR="00DD4D5D" w:rsidRPr="008B12FF" w:rsidRDefault="00DD4D5D" w:rsidP="00F76491">
      <w:pPr>
        <w:pStyle w:val="Sinespaciado"/>
        <w:ind w:left="360"/>
        <w:jc w:val="both"/>
        <w:rPr>
          <w:rFonts w:ascii="Times New Roman" w:hAnsi="Times New Roman" w:cs="Times New Roman"/>
          <w:color w:val="FF0000"/>
          <w:sz w:val="14"/>
          <w:lang w:val="es-MX"/>
        </w:rPr>
      </w:pPr>
    </w:p>
    <w:p w:rsidR="00F76491" w:rsidRPr="008B12FF" w:rsidRDefault="00F76491" w:rsidP="00F76491">
      <w:pPr>
        <w:rPr>
          <w:color w:val="FF0000"/>
          <w:lang w:val="es-MX"/>
        </w:rPr>
        <w:sectPr w:rsidR="00F76491" w:rsidRPr="008B12FF" w:rsidSect="00516433">
          <w:type w:val="continuous"/>
          <w:pgSz w:w="12240" w:h="15840"/>
          <w:pgMar w:top="1417" w:right="1701" w:bottom="1417" w:left="1701" w:header="708" w:footer="708" w:gutter="0"/>
          <w:cols w:num="2" w:space="708"/>
          <w:docGrid w:linePitch="360"/>
        </w:sectPr>
      </w:pPr>
    </w:p>
    <w:p w:rsidR="00F76491" w:rsidRPr="008B12FF" w:rsidRDefault="00F76491" w:rsidP="00F76491">
      <w:pPr>
        <w:pStyle w:val="Sinespaciado"/>
        <w:jc w:val="both"/>
        <w:rPr>
          <w:rFonts w:ascii="Times New Roman" w:hAnsi="Times New Roman" w:cs="Times New Roman"/>
          <w:color w:val="FF0000"/>
          <w:sz w:val="8"/>
          <w:lang w:val="es-MX"/>
        </w:rPr>
      </w:pPr>
    </w:p>
    <w:p w:rsidR="00494D1D" w:rsidRPr="00887661" w:rsidRDefault="0042387A" w:rsidP="0042387A">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94D1D" w:rsidRPr="00887661" w:rsidSect="00FA3B81">
          <w:headerReference w:type="default" r:id="rId26"/>
          <w:footerReference w:type="default" r:id="rId27"/>
          <w:type w:val="continuous"/>
          <w:pgSz w:w="12240" w:h="15840" w:code="1"/>
          <w:pgMar w:top="1418" w:right="1418" w:bottom="1418" w:left="1418" w:header="709" w:footer="709" w:gutter="0"/>
          <w:cols w:space="708"/>
          <w:docGrid w:linePitch="360"/>
        </w:sectPr>
      </w:pPr>
      <w:r w:rsidRPr="00887661">
        <w:rPr>
          <w:rFonts w:ascii="Times New Roman" w:hAnsi="Times New Roman" w:cs="Times New Roman"/>
          <w:b/>
          <w:lang w:val="es-MX"/>
        </w:rPr>
        <w:t>Ambientes macroeconómicos (externo e interno)</w:t>
      </w:r>
    </w:p>
    <w:p w:rsidR="00494D1D" w:rsidRPr="00887661" w:rsidRDefault="00494D1D" w:rsidP="00494D1D">
      <w:pPr>
        <w:pStyle w:val="Sinespaciado"/>
        <w:rPr>
          <w:rFonts w:ascii="Times New Roman" w:hAnsi="Times New Roman" w:cs="Times New Roman"/>
          <w:b/>
          <w:sz w:val="18"/>
          <w:lang w:val="es-MX"/>
        </w:rPr>
      </w:pPr>
    </w:p>
    <w:p w:rsidR="00494D1D" w:rsidRPr="00887661" w:rsidRDefault="00494D1D" w:rsidP="00494D1D">
      <w:pPr>
        <w:pStyle w:val="Sinespaciado"/>
        <w:rPr>
          <w:rFonts w:ascii="Times New Roman" w:hAnsi="Times New Roman" w:cs="Times New Roman"/>
          <w:b/>
          <w:lang w:val="es-MX"/>
        </w:rPr>
        <w:sectPr w:rsidR="00494D1D" w:rsidRPr="00887661" w:rsidSect="00213F7F">
          <w:type w:val="continuous"/>
          <w:pgSz w:w="12240" w:h="15840"/>
          <w:pgMar w:top="1417" w:right="1701" w:bottom="1417" w:left="1701" w:header="708" w:footer="708" w:gutter="0"/>
          <w:cols w:space="708"/>
          <w:docGrid w:linePitch="360"/>
        </w:sectPr>
      </w:pPr>
    </w:p>
    <w:p w:rsidR="00E3492D" w:rsidRPr="00887661" w:rsidRDefault="00E3492D" w:rsidP="00CA57D4">
      <w:pPr>
        <w:pStyle w:val="Prrafodelista"/>
        <w:ind w:left="0"/>
        <w:jc w:val="both"/>
        <w:rPr>
          <w:rFonts w:ascii="Times New Roman" w:hAnsi="Times New Roman" w:cs="Times New Roman"/>
          <w:lang w:val="es-MX"/>
        </w:rPr>
      </w:pPr>
      <w:r w:rsidRPr="00887661">
        <w:rPr>
          <w:rFonts w:ascii="Times New Roman" w:hAnsi="Times New Roman" w:cs="Times New Roman"/>
          <w:lang w:val="es-MX"/>
        </w:rPr>
        <w:lastRenderedPageBreak/>
        <w:t xml:space="preserve">El PIB de Estados Unidos experimentó  un crecimiento anualizado del 1,1% en el segundo trimestre, una décima por debajo de la primera estimación del dato, que supone una aceleración con respecto a la expansión del 0,8% en los tres primeros meses del año, según los datos publicados por el Departamento de Comercio.  El crecimiento de la economía estadounidense en el segundo trimestre refleja principalmente la contribución positiva del gasto en consumo personal y de las exportaciones, que se vieron parcialmente compensadas por las </w:t>
      </w:r>
      <w:r w:rsidRPr="00887661">
        <w:rPr>
          <w:rFonts w:ascii="Times New Roman" w:hAnsi="Times New Roman" w:cs="Times New Roman"/>
          <w:lang w:val="es-MX"/>
        </w:rPr>
        <w:lastRenderedPageBreak/>
        <w:t>contribuciones negativas de la inversión en inventarios privados, la inversión fija residencial, así como el gasto público estatal y local y la inversión fija no residencial.</w:t>
      </w:r>
    </w:p>
    <w:p w:rsidR="00E3492D" w:rsidRPr="00887661" w:rsidRDefault="00E3492D" w:rsidP="00E3492D">
      <w:pPr>
        <w:pStyle w:val="Prrafodelista"/>
        <w:ind w:left="0"/>
        <w:rPr>
          <w:rFonts w:ascii="Times New Roman" w:hAnsi="Times New Roman" w:cs="Times New Roman"/>
          <w:lang w:val="es-MX"/>
        </w:rPr>
      </w:pPr>
    </w:p>
    <w:p w:rsidR="00E3492D" w:rsidRPr="00887661" w:rsidRDefault="00E3492D" w:rsidP="00E3492D">
      <w:pPr>
        <w:pStyle w:val="Prrafodelista"/>
        <w:ind w:left="0"/>
        <w:jc w:val="both"/>
        <w:rPr>
          <w:rFonts w:ascii="Times New Roman" w:hAnsi="Times New Roman" w:cs="Times New Roman"/>
          <w:lang w:val="es-MX"/>
        </w:rPr>
      </w:pPr>
      <w:r w:rsidRPr="00887661">
        <w:rPr>
          <w:rFonts w:ascii="Times New Roman" w:hAnsi="Times New Roman" w:cs="Times New Roman"/>
          <w:lang w:val="es-MX"/>
        </w:rPr>
        <w:t xml:space="preserve">El gasto en consumo personal registró un crecimiento anualizado del 4,4% desde el 1,6% en el primer trimestre, mientras las exportaciones crecieron un 1,2%, tras caer un 0,7% en los tres primeros meses de 2016, aunque las importaciones subieron un 0,3%, después de bajar un 0,6% en el primer trimestre; el consumo </w:t>
      </w:r>
      <w:r w:rsidRPr="00887661">
        <w:rPr>
          <w:rFonts w:ascii="Times New Roman" w:hAnsi="Times New Roman" w:cs="Times New Roman"/>
          <w:lang w:val="es-MX"/>
        </w:rPr>
        <w:lastRenderedPageBreak/>
        <w:t>y la inversión del Gobierno experimentó en el segundo trimestre una bajada anualizada del 1,5%, tras haberse incrementado un 1,6% en los tres meses anteriores.</w:t>
      </w:r>
    </w:p>
    <w:p w:rsidR="00887661" w:rsidRPr="00887661" w:rsidRDefault="00997A06" w:rsidP="00376802">
      <w:pPr>
        <w:pStyle w:val="Sinespaciado"/>
        <w:jc w:val="both"/>
        <w:rPr>
          <w:rFonts w:ascii="Times New Roman" w:hAnsi="Times New Roman" w:cs="Times New Roman"/>
          <w:sz w:val="18"/>
        </w:rPr>
      </w:pPr>
      <w:r w:rsidRPr="00887661">
        <w:rPr>
          <w:rFonts w:ascii="Times New Roman" w:hAnsi="Times New Roman" w:cs="Times New Roman"/>
        </w:rPr>
        <w:t xml:space="preserve"> </w:t>
      </w:r>
    </w:p>
    <w:p w:rsidR="00CA65FF" w:rsidRPr="00887661" w:rsidRDefault="00B2709E" w:rsidP="00376802">
      <w:pPr>
        <w:pStyle w:val="Sinespaciado"/>
        <w:jc w:val="both"/>
        <w:rPr>
          <w:rFonts w:ascii="Times New Roman" w:hAnsi="Times New Roman" w:cs="Times New Roman"/>
        </w:rPr>
      </w:pPr>
      <w:r w:rsidRPr="00887661">
        <w:rPr>
          <w:rFonts w:ascii="Times New Roman" w:hAnsi="Times New Roman" w:cs="Times New Roman"/>
        </w:rPr>
        <w:t xml:space="preserve">La tasa de desempleo estadounidense </w:t>
      </w:r>
      <w:r w:rsidR="00610F84" w:rsidRPr="00887661">
        <w:rPr>
          <w:rFonts w:ascii="Times New Roman" w:hAnsi="Times New Roman" w:cs="Times New Roman"/>
        </w:rPr>
        <w:t>se mantuvo sin cambios en agosto, ubicándose en 4.9%.  Las nóminas agrícolas subieron en 151,000 empleos, con un declive de las contrataciones en los sectores de manufacturas y construcción, según el Departamento de Trabajo.</w:t>
      </w:r>
    </w:p>
    <w:p w:rsidR="00610F84" w:rsidRPr="00887661" w:rsidRDefault="00610F84" w:rsidP="00376802">
      <w:pPr>
        <w:pStyle w:val="Sinespaciado"/>
        <w:jc w:val="both"/>
        <w:rPr>
          <w:rFonts w:ascii="Times New Roman" w:hAnsi="Times New Roman" w:cs="Times New Roman"/>
          <w:sz w:val="20"/>
        </w:rPr>
      </w:pPr>
    </w:p>
    <w:p w:rsidR="00CA65FF" w:rsidRPr="00887661" w:rsidRDefault="00CA65FF" w:rsidP="00CA65FF">
      <w:pPr>
        <w:pStyle w:val="Sinespaciado"/>
        <w:jc w:val="center"/>
        <w:rPr>
          <w:rFonts w:ascii="Times New Roman" w:hAnsi="Times New Roman" w:cs="Times New Roman"/>
          <w:b/>
          <w:lang w:val="es-MX"/>
        </w:rPr>
      </w:pPr>
      <w:r w:rsidRPr="00887661">
        <w:rPr>
          <w:rFonts w:ascii="Times New Roman" w:hAnsi="Times New Roman" w:cs="Times New Roman"/>
          <w:b/>
          <w:lang w:val="es-MX"/>
        </w:rPr>
        <w:t>Tasa de desempleo Estados Unidos</w:t>
      </w:r>
    </w:p>
    <w:p w:rsidR="00CA65FF" w:rsidRPr="00887661" w:rsidRDefault="00610F84" w:rsidP="00CA65FF">
      <w:pPr>
        <w:pStyle w:val="Sinespaciado"/>
        <w:jc w:val="center"/>
        <w:rPr>
          <w:rFonts w:ascii="Times New Roman" w:hAnsi="Times New Roman" w:cs="Times New Roman"/>
          <w:sz w:val="18"/>
          <w:lang w:val="es-MX"/>
        </w:rPr>
      </w:pPr>
      <w:r w:rsidRPr="00887661">
        <w:rPr>
          <w:rFonts w:ascii="Times New Roman" w:hAnsi="Times New Roman" w:cs="Times New Roman"/>
          <w:sz w:val="18"/>
          <w:lang w:val="es-MX"/>
        </w:rPr>
        <w:t>Agosto</w:t>
      </w:r>
      <w:r w:rsidR="00CA65FF" w:rsidRPr="00887661">
        <w:rPr>
          <w:rFonts w:ascii="Times New Roman" w:hAnsi="Times New Roman" w:cs="Times New Roman"/>
          <w:sz w:val="18"/>
          <w:lang w:val="es-MX"/>
        </w:rPr>
        <w:t xml:space="preserve"> 2015 – 2016</w:t>
      </w:r>
    </w:p>
    <w:p w:rsidR="00CA65FF" w:rsidRPr="00887661" w:rsidRDefault="00CA65FF" w:rsidP="00CA65FF">
      <w:pPr>
        <w:pStyle w:val="Sinespaciado"/>
        <w:jc w:val="center"/>
        <w:rPr>
          <w:rFonts w:ascii="Times New Roman" w:hAnsi="Times New Roman" w:cs="Times New Roman"/>
          <w:sz w:val="18"/>
          <w:lang w:val="es-MX"/>
        </w:rPr>
      </w:pPr>
      <w:r w:rsidRPr="00887661">
        <w:rPr>
          <w:rFonts w:ascii="Times New Roman" w:hAnsi="Times New Roman" w:cs="Times New Roman"/>
          <w:sz w:val="18"/>
          <w:lang w:val="es-MX"/>
        </w:rPr>
        <w:t>Porcentaje</w:t>
      </w:r>
    </w:p>
    <w:p w:rsidR="00CA65FF" w:rsidRPr="00887661" w:rsidRDefault="00610F84" w:rsidP="00CA65FF">
      <w:pPr>
        <w:pStyle w:val="Sinespaciado"/>
        <w:jc w:val="both"/>
        <w:rPr>
          <w:rFonts w:ascii="Times New Roman" w:hAnsi="Times New Roman" w:cs="Times New Roman"/>
          <w:lang w:val="es-MX"/>
        </w:rPr>
      </w:pPr>
      <w:r w:rsidRPr="00887661">
        <w:rPr>
          <w:noProof/>
          <w:shd w:val="clear" w:color="auto" w:fill="1F497D" w:themeFill="text2"/>
          <w:lang w:eastAsia="es-GT"/>
        </w:rPr>
        <w:drawing>
          <wp:inline distT="0" distB="0" distL="0" distR="0" wp14:anchorId="11892E34" wp14:editId="56BE48D2">
            <wp:extent cx="2761129" cy="1281953"/>
            <wp:effectExtent l="0" t="0" r="1270" b="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A65FF" w:rsidRPr="00887661" w:rsidRDefault="00CA65FF" w:rsidP="00CA65FF">
      <w:pPr>
        <w:pStyle w:val="Sinespaciado"/>
        <w:jc w:val="both"/>
        <w:rPr>
          <w:rFonts w:ascii="Times New Roman" w:hAnsi="Times New Roman" w:cs="Times New Roman"/>
        </w:rPr>
      </w:pPr>
      <w:r w:rsidRPr="00887661">
        <w:rPr>
          <w:rFonts w:ascii="Times New Roman" w:hAnsi="Times New Roman" w:cs="Times New Roman"/>
          <w:sz w:val="16"/>
          <w:szCs w:val="12"/>
          <w:lang w:val="es-MX"/>
        </w:rPr>
        <w:t xml:space="preserve">Fuente: Trading </w:t>
      </w:r>
      <w:r w:rsidRPr="00887661">
        <w:rPr>
          <w:rFonts w:ascii="Times New Roman" w:hAnsi="Times New Roman" w:cs="Times New Roman"/>
          <w:sz w:val="16"/>
          <w:szCs w:val="12"/>
        </w:rPr>
        <w:t>economics</w:t>
      </w:r>
      <w:r w:rsidRPr="00887661">
        <w:rPr>
          <w:rFonts w:ascii="Times New Roman" w:hAnsi="Times New Roman" w:cs="Times New Roman"/>
          <w:sz w:val="16"/>
          <w:szCs w:val="12"/>
          <w:lang w:val="es-MX"/>
        </w:rPr>
        <w:t>.</w:t>
      </w:r>
    </w:p>
    <w:p w:rsidR="00B2709E" w:rsidRPr="00887661" w:rsidRDefault="00B2709E" w:rsidP="00376802">
      <w:pPr>
        <w:pStyle w:val="Sinespaciado"/>
        <w:jc w:val="both"/>
        <w:rPr>
          <w:rFonts w:ascii="Times New Roman" w:hAnsi="Times New Roman" w:cs="Times New Roman"/>
          <w:sz w:val="18"/>
        </w:rPr>
      </w:pPr>
    </w:p>
    <w:p w:rsidR="00E3492D" w:rsidRPr="00887661" w:rsidRDefault="00E3492D" w:rsidP="00E3492D">
      <w:pPr>
        <w:pStyle w:val="Prrafodelista"/>
        <w:ind w:left="0"/>
        <w:jc w:val="both"/>
        <w:rPr>
          <w:rFonts w:ascii="Times New Roman" w:hAnsi="Times New Roman" w:cs="Times New Roman"/>
          <w:lang w:val="es-MX"/>
        </w:rPr>
      </w:pPr>
      <w:r w:rsidRPr="00887661">
        <w:rPr>
          <w:rFonts w:ascii="Times New Roman" w:hAnsi="Times New Roman" w:cs="Times New Roman"/>
          <w:lang w:val="es-MX"/>
        </w:rPr>
        <w:t>En la zona euro, su economía</w:t>
      </w:r>
      <w:r w:rsidR="00887661">
        <w:rPr>
          <w:rFonts w:ascii="Times New Roman" w:hAnsi="Times New Roman" w:cs="Times New Roman"/>
          <w:lang w:val="es-MX"/>
        </w:rPr>
        <w:t xml:space="preserve"> creció</w:t>
      </w:r>
      <w:r w:rsidRPr="00887661">
        <w:rPr>
          <w:rFonts w:ascii="Times New Roman" w:hAnsi="Times New Roman" w:cs="Times New Roman"/>
          <w:lang w:val="es-MX"/>
        </w:rPr>
        <w:t xml:space="preserve"> 0.3% en el segundo trimestre, mostrando una desaceleración frente al 0.6% registrado en el primer trimestre, como consecuencia del estancamiento en el PIB de Francia, Italia y Austria.  El crecimiento económico de Alemania también fue menor de lo esperado, producto de un debilitamiento de la inversión en construcción y maquinaria.  </w:t>
      </w:r>
      <w:r w:rsidR="00887661" w:rsidRPr="00887661">
        <w:rPr>
          <w:rFonts w:ascii="Times New Roman" w:hAnsi="Times New Roman" w:cs="Times New Roman"/>
          <w:lang w:val="es-MX"/>
        </w:rPr>
        <w:t>L</w:t>
      </w:r>
      <w:r w:rsidRPr="00887661">
        <w:rPr>
          <w:rFonts w:ascii="Times New Roman" w:hAnsi="Times New Roman" w:cs="Times New Roman"/>
          <w:lang w:val="es-MX"/>
        </w:rPr>
        <w:t>as mayores tasas de crecimiento entre los países del euro correspondieron a Eslovaquia con 0.9%, seguido por España y Chipre con 0.7%.  Por su parte, el PIB de la Unión Europea en su conjunto creció en el segundo trimestre 0.7% trimestral y 1.8% anual. Del conjunto, el mayor ritmo de crecimiento se observó en Rumania con 1.5% y Hungría con 1.1%, mientras que en Reino Unido el crecimiento se aceleró al 0.6% desde el 0.4% del primer trimestre.</w:t>
      </w:r>
    </w:p>
    <w:p w:rsidR="001259BA" w:rsidRPr="00887661" w:rsidRDefault="001259BA" w:rsidP="00FF58D4">
      <w:pPr>
        <w:pStyle w:val="Sinespaciado"/>
        <w:jc w:val="both"/>
        <w:rPr>
          <w:rFonts w:ascii="Times New Roman" w:hAnsi="Times New Roman" w:cs="Times New Roman"/>
          <w:sz w:val="18"/>
        </w:rPr>
      </w:pPr>
    </w:p>
    <w:p w:rsidR="00185253" w:rsidRPr="00887661" w:rsidRDefault="00185253" w:rsidP="00FF58D4">
      <w:pPr>
        <w:pStyle w:val="Sinespaciado"/>
        <w:jc w:val="both"/>
        <w:rPr>
          <w:rFonts w:ascii="Times New Roman" w:hAnsi="Times New Roman" w:cs="Times New Roman"/>
        </w:rPr>
      </w:pPr>
      <w:r w:rsidRPr="00887661">
        <w:rPr>
          <w:rFonts w:ascii="Times New Roman" w:hAnsi="Times New Roman" w:cs="Times New Roman"/>
        </w:rPr>
        <w:t xml:space="preserve">El BCE, decidió mantener en el precio del dinero en el mínimo histórico del 0% y seguir adelante con su programa de compra de deuda por 80.000 </w:t>
      </w:r>
      <w:r w:rsidRPr="00887661">
        <w:rPr>
          <w:rFonts w:ascii="Times New Roman" w:hAnsi="Times New Roman" w:cs="Times New Roman"/>
        </w:rPr>
        <w:lastRenderedPageBreak/>
        <w:t>millones cada mes, hasta marzo del 2017 o hasta una fecha posterior si fuera necesario.  Los nuevos pronósticos del BCE contemplan una tasa de inflación armonizada del 0,2% al cierre de 2016, en línea con los pronósticos de junio, mientras que el próximo año se situará en el 1,2%, frente al 1,3% previsto con anterioridad, y en 2018 llegará al 1,6%, en línea con el pronóstico precedente, con ayuda de la política monetaria del BCE.</w:t>
      </w:r>
    </w:p>
    <w:p w:rsidR="00185253" w:rsidRPr="00887661" w:rsidRDefault="00185253" w:rsidP="00FF58D4">
      <w:pPr>
        <w:pStyle w:val="Sinespaciado"/>
        <w:jc w:val="both"/>
        <w:rPr>
          <w:rFonts w:ascii="Times New Roman" w:hAnsi="Times New Roman" w:cs="Times New Roman"/>
          <w:sz w:val="18"/>
        </w:rPr>
      </w:pPr>
    </w:p>
    <w:p w:rsidR="00E3492D" w:rsidRPr="00887661" w:rsidRDefault="00E3492D" w:rsidP="00E3492D">
      <w:pPr>
        <w:pStyle w:val="Prrafodelista"/>
        <w:ind w:left="0"/>
        <w:jc w:val="both"/>
        <w:rPr>
          <w:rFonts w:ascii="Times New Roman" w:hAnsi="Times New Roman" w:cs="Times New Roman"/>
          <w:lang w:val="es-MX"/>
        </w:rPr>
      </w:pPr>
      <w:r w:rsidRPr="00887661">
        <w:rPr>
          <w:rFonts w:ascii="Times New Roman" w:hAnsi="Times New Roman" w:cs="Times New Roman"/>
          <w:lang w:val="es-MX"/>
        </w:rPr>
        <w:t>El crecimiento de los países miembros de la OCDE durante el segundo trimestre del año reportó un repunte en 0.3 por ciento comparado con el 0.4 por ciento del mismo periodo de 2015, la economía global continúa desacelerando su ritmo de crecimiento.</w:t>
      </w:r>
      <w:r w:rsidRPr="00887661">
        <w:t xml:space="preserve"> </w:t>
      </w:r>
      <w:r w:rsidRPr="00887661">
        <w:rPr>
          <w:rFonts w:ascii="Times New Roman" w:hAnsi="Times New Roman" w:cs="Times New Roman"/>
          <w:lang w:val="es-MX"/>
        </w:rPr>
        <w:t>Las siete economías más grandes disminuyeron su expansión a una tasa de 0.2 por ciento, respecto a 0.3 por ciento de un año atrás y a 0.4 por ciento en el trimestre inmediato anterior.  De este grupo las excepciones fueron Reino Unido, antes del referéndum del Brexit y Estados Unidos, economías que crecieron 0.6 y 0.3 por ciento, respectivamente, comparado con 0.4 y 0.2 por ciento en el trimestre inmediato anterior. Sin embargo, si se compara el repunte del PIB de estos países con un año atrás, los dos muestran un menor crecimiento, ya que entre abril y junio de 2015 crecieron 0.9 y 1.0 por ciento, respectivamente.</w:t>
      </w:r>
    </w:p>
    <w:p w:rsidR="00E3492D" w:rsidRPr="00887661" w:rsidRDefault="00E3492D" w:rsidP="00E3492D">
      <w:pPr>
        <w:pStyle w:val="Prrafodelista"/>
        <w:ind w:left="0"/>
        <w:jc w:val="both"/>
        <w:rPr>
          <w:rFonts w:ascii="Times New Roman" w:hAnsi="Times New Roman" w:cs="Times New Roman"/>
          <w:sz w:val="18"/>
          <w:lang w:val="es-MX"/>
        </w:rPr>
      </w:pPr>
    </w:p>
    <w:p w:rsidR="006F20A4" w:rsidRPr="00887661" w:rsidRDefault="001E0E10" w:rsidP="006F20A4">
      <w:pPr>
        <w:spacing w:after="0" w:line="240" w:lineRule="auto"/>
        <w:jc w:val="both"/>
        <w:rPr>
          <w:rFonts w:ascii="Times New Roman" w:hAnsi="Times New Roman" w:cs="Times New Roman"/>
        </w:rPr>
      </w:pPr>
      <w:r w:rsidRPr="00887661">
        <w:rPr>
          <w:rFonts w:ascii="Times New Roman" w:hAnsi="Times New Roman" w:cs="Times New Roman"/>
        </w:rPr>
        <w:t>E</w:t>
      </w:r>
      <w:r w:rsidR="00C935C2" w:rsidRPr="00887661">
        <w:rPr>
          <w:rFonts w:ascii="Times New Roman" w:hAnsi="Times New Roman" w:cs="Times New Roman"/>
        </w:rPr>
        <w:t>n</w:t>
      </w:r>
      <w:r w:rsidRPr="00887661">
        <w:rPr>
          <w:rFonts w:ascii="Times New Roman" w:hAnsi="Times New Roman" w:cs="Times New Roman"/>
        </w:rPr>
        <w:t xml:space="preserve"> ámbito nacional</w:t>
      </w:r>
      <w:r w:rsidR="00C935C2" w:rsidRPr="00887661">
        <w:rPr>
          <w:rFonts w:ascii="Times New Roman" w:hAnsi="Times New Roman" w:cs="Times New Roman"/>
        </w:rPr>
        <w:t>,</w:t>
      </w:r>
      <w:r w:rsidR="00B2709E" w:rsidRPr="00887661">
        <w:rPr>
          <w:rFonts w:ascii="Times New Roman" w:hAnsi="Times New Roman" w:cs="Times New Roman"/>
        </w:rPr>
        <w:t xml:space="preserve"> </w:t>
      </w:r>
      <w:r w:rsidR="00C935C2" w:rsidRPr="00887661">
        <w:rPr>
          <w:rFonts w:ascii="Times New Roman" w:hAnsi="Times New Roman" w:cs="Times New Roman"/>
        </w:rPr>
        <w:t>la percepción sobre la situación económica actual y el ambiente para los negocios registró</w:t>
      </w:r>
      <w:r w:rsidR="006525C5" w:rsidRPr="00887661">
        <w:rPr>
          <w:rFonts w:ascii="Times New Roman" w:hAnsi="Times New Roman" w:cs="Times New Roman"/>
        </w:rPr>
        <w:t xml:space="preserve"> algunas variaciones hacia la baja</w:t>
      </w:r>
      <w:r w:rsidR="006F20A4" w:rsidRPr="00887661">
        <w:rPr>
          <w:rFonts w:ascii="Times New Roman" w:hAnsi="Times New Roman" w:cs="Times New Roman"/>
        </w:rPr>
        <w:t>;</w:t>
      </w:r>
      <w:r w:rsidR="006525C5" w:rsidRPr="00887661">
        <w:rPr>
          <w:rFonts w:ascii="Times New Roman" w:hAnsi="Times New Roman" w:cs="Times New Roman"/>
        </w:rPr>
        <w:t xml:space="preserve">  </w:t>
      </w:r>
      <w:r w:rsidR="006F20A4" w:rsidRPr="00887661">
        <w:rPr>
          <w:rFonts w:ascii="Times New Roman" w:hAnsi="Times New Roman" w:cs="Times New Roman"/>
        </w:rPr>
        <w:t>el nivel del Índice de Confianza de la Ac</w:t>
      </w:r>
      <w:r w:rsidR="00C935C2" w:rsidRPr="00887661">
        <w:rPr>
          <w:rFonts w:ascii="Times New Roman" w:hAnsi="Times New Roman" w:cs="Times New Roman"/>
        </w:rPr>
        <w:t>tividad Económica se situó en 37.50 puntos, inferior en 16.67</w:t>
      </w:r>
      <w:r w:rsidR="006F20A4" w:rsidRPr="00887661">
        <w:rPr>
          <w:rFonts w:ascii="Times New Roman" w:hAnsi="Times New Roman" w:cs="Times New Roman"/>
        </w:rPr>
        <w:t>% al registra</w:t>
      </w:r>
      <w:r w:rsidR="00C935C2" w:rsidRPr="00887661">
        <w:rPr>
          <w:rFonts w:ascii="Times New Roman" w:hAnsi="Times New Roman" w:cs="Times New Roman"/>
        </w:rPr>
        <w:t>do el mes anterior y mayor en 73.05</w:t>
      </w:r>
      <w:r w:rsidR="006F20A4" w:rsidRPr="00887661">
        <w:rPr>
          <w:rFonts w:ascii="Times New Roman" w:hAnsi="Times New Roman" w:cs="Times New Roman"/>
        </w:rPr>
        <w:t xml:space="preserve">% respecto al registrado en </w:t>
      </w:r>
      <w:r w:rsidR="00C935C2" w:rsidRPr="00887661">
        <w:rPr>
          <w:rFonts w:ascii="Times New Roman" w:hAnsi="Times New Roman" w:cs="Times New Roman"/>
        </w:rPr>
        <w:t>agosto</w:t>
      </w:r>
      <w:r w:rsidR="006F20A4" w:rsidRPr="00887661">
        <w:rPr>
          <w:rFonts w:ascii="Times New Roman" w:hAnsi="Times New Roman" w:cs="Times New Roman"/>
        </w:rPr>
        <w:t xml:space="preserve"> 2015.  Es importante indicar que dicho índice se ubica en la zona de contracción, por debajo de 50 puntos.</w:t>
      </w:r>
    </w:p>
    <w:p w:rsidR="00281FB7" w:rsidRPr="00887661" w:rsidRDefault="00281FB7" w:rsidP="001F7141">
      <w:pPr>
        <w:pStyle w:val="Sinespaciado"/>
        <w:jc w:val="both"/>
        <w:rPr>
          <w:rFonts w:ascii="Times New Roman" w:hAnsi="Times New Roman" w:cs="Times New Roman"/>
          <w:sz w:val="18"/>
        </w:rPr>
      </w:pPr>
    </w:p>
    <w:p w:rsidR="001F7141" w:rsidRPr="00887661" w:rsidRDefault="000D2FA4" w:rsidP="001F7141">
      <w:pPr>
        <w:pStyle w:val="Sinespaciado"/>
        <w:jc w:val="both"/>
        <w:rPr>
          <w:rFonts w:ascii="Times New Roman" w:hAnsi="Times New Roman" w:cs="Times New Roman"/>
          <w:lang w:val="es-MX"/>
        </w:rPr>
      </w:pPr>
      <w:r w:rsidRPr="00887661">
        <w:rPr>
          <w:rFonts w:ascii="Times New Roman" w:hAnsi="Times New Roman" w:cs="Times New Roman"/>
        </w:rPr>
        <w:t>E</w:t>
      </w:r>
      <w:r w:rsidR="001F7141" w:rsidRPr="00887661">
        <w:rPr>
          <w:rFonts w:ascii="Times New Roman" w:hAnsi="Times New Roman" w:cs="Times New Roman"/>
          <w:lang w:val="es-MX"/>
        </w:rPr>
        <w:t>l comportamiento del nivel general de precios de la economía registró un</w:t>
      </w:r>
      <w:r w:rsidRPr="00887661">
        <w:rPr>
          <w:rFonts w:ascii="Times New Roman" w:hAnsi="Times New Roman" w:cs="Times New Roman"/>
          <w:lang w:val="es-MX"/>
        </w:rPr>
        <w:t>a variación intermensual de 0.</w:t>
      </w:r>
      <w:r w:rsidR="00610F84" w:rsidRPr="00887661">
        <w:rPr>
          <w:rFonts w:ascii="Times New Roman" w:hAnsi="Times New Roman" w:cs="Times New Roman"/>
          <w:lang w:val="es-MX"/>
        </w:rPr>
        <w:t>18</w:t>
      </w:r>
      <w:r w:rsidR="001F7141" w:rsidRPr="00887661">
        <w:rPr>
          <w:rFonts w:ascii="Times New Roman" w:hAnsi="Times New Roman" w:cs="Times New Roman"/>
          <w:lang w:val="es-MX"/>
        </w:rPr>
        <w:t xml:space="preserve">% e </w:t>
      </w:r>
      <w:r w:rsidRPr="00887661">
        <w:rPr>
          <w:rFonts w:ascii="Times New Roman" w:hAnsi="Times New Roman" w:cs="Times New Roman"/>
          <w:lang w:val="es-MX"/>
        </w:rPr>
        <w:t>interanual de 4.</w:t>
      </w:r>
      <w:r w:rsidR="00610F84" w:rsidRPr="00887661">
        <w:rPr>
          <w:rFonts w:ascii="Times New Roman" w:hAnsi="Times New Roman" w:cs="Times New Roman"/>
          <w:lang w:val="es-MX"/>
        </w:rPr>
        <w:t>74</w:t>
      </w:r>
      <w:r w:rsidR="001F7141" w:rsidRPr="00887661">
        <w:rPr>
          <w:rFonts w:ascii="Times New Roman" w:hAnsi="Times New Roman" w:cs="Times New Roman"/>
          <w:lang w:val="es-MX"/>
        </w:rPr>
        <w:t xml:space="preserve">%. </w:t>
      </w:r>
      <w:r w:rsidR="006525C5" w:rsidRPr="00887661">
        <w:rPr>
          <w:rFonts w:ascii="Times New Roman" w:hAnsi="Times New Roman" w:cs="Times New Roman"/>
          <w:lang w:val="es-MX"/>
        </w:rPr>
        <w:lastRenderedPageBreak/>
        <w:t>Los</w:t>
      </w:r>
      <w:r w:rsidRPr="00887661">
        <w:rPr>
          <w:rFonts w:ascii="Times New Roman" w:hAnsi="Times New Roman" w:cs="Times New Roman"/>
          <w:lang w:val="es-MX"/>
        </w:rPr>
        <w:t xml:space="preserve"> niveles de inflación continúan dentro del rango propuesto por el Banco de Guat</w:t>
      </w:r>
      <w:r w:rsidR="006525C5" w:rsidRPr="00887661">
        <w:rPr>
          <w:rFonts w:ascii="Times New Roman" w:hAnsi="Times New Roman" w:cs="Times New Roman"/>
          <w:lang w:val="es-MX"/>
        </w:rPr>
        <w:t>emala de 4.0% +/- 1 punto porcentual. Se esperaría que a final del año el</w:t>
      </w:r>
      <w:r w:rsidR="00610F84" w:rsidRPr="00887661">
        <w:rPr>
          <w:rFonts w:ascii="Times New Roman" w:hAnsi="Times New Roman" w:cs="Times New Roman"/>
          <w:lang w:val="es-MX"/>
        </w:rPr>
        <w:t xml:space="preserve"> ritmo inflacionario sea de 4.49</w:t>
      </w:r>
      <w:r w:rsidR="006525C5" w:rsidRPr="00887661">
        <w:rPr>
          <w:rFonts w:ascii="Times New Roman" w:hAnsi="Times New Roman" w:cs="Times New Roman"/>
          <w:lang w:val="es-MX"/>
        </w:rPr>
        <w:t>%</w:t>
      </w:r>
      <w:r w:rsidR="00610F84" w:rsidRPr="00887661">
        <w:rPr>
          <w:rFonts w:ascii="Times New Roman" w:hAnsi="Times New Roman" w:cs="Times New Roman"/>
          <w:lang w:val="es-MX"/>
        </w:rPr>
        <w:t xml:space="preserve"> y para diciembre 2017 en 4.54</w:t>
      </w:r>
      <w:r w:rsidR="006525C5" w:rsidRPr="00887661">
        <w:rPr>
          <w:rFonts w:ascii="Times New Roman" w:hAnsi="Times New Roman" w:cs="Times New Roman"/>
          <w:lang w:val="es-MX"/>
        </w:rPr>
        <w:t>%.</w:t>
      </w:r>
    </w:p>
    <w:p w:rsidR="003A3726" w:rsidRPr="00887661" w:rsidRDefault="003A3726" w:rsidP="004E4FDE">
      <w:pPr>
        <w:pStyle w:val="Sinespaciado"/>
        <w:jc w:val="both"/>
        <w:rPr>
          <w:rFonts w:ascii="Times New Roman" w:hAnsi="Times New Roman" w:cs="Times New Roman"/>
          <w:sz w:val="18"/>
          <w:lang w:val="es-MX"/>
        </w:rPr>
      </w:pPr>
    </w:p>
    <w:p w:rsidR="001F7141" w:rsidRPr="00887661" w:rsidRDefault="001F7141" w:rsidP="001F7141">
      <w:pPr>
        <w:pStyle w:val="Sinespaciado"/>
        <w:jc w:val="center"/>
        <w:rPr>
          <w:rFonts w:ascii="Times New Roman" w:hAnsi="Times New Roman" w:cs="Times New Roman"/>
          <w:b/>
          <w:lang w:val="es-MX"/>
        </w:rPr>
      </w:pPr>
      <w:r w:rsidRPr="00887661">
        <w:rPr>
          <w:rFonts w:ascii="Times New Roman" w:hAnsi="Times New Roman" w:cs="Times New Roman"/>
          <w:b/>
          <w:lang w:val="es-MX"/>
        </w:rPr>
        <w:t>Ritmo Inflacionario Total</w:t>
      </w:r>
    </w:p>
    <w:p w:rsidR="001F7141" w:rsidRPr="00887661" w:rsidRDefault="004B5B0F" w:rsidP="001F7141">
      <w:pPr>
        <w:pStyle w:val="Sinespaciado"/>
        <w:jc w:val="center"/>
        <w:rPr>
          <w:rFonts w:ascii="Times New Roman" w:hAnsi="Times New Roman" w:cs="Times New Roman"/>
          <w:sz w:val="18"/>
          <w:lang w:val="es-MX"/>
        </w:rPr>
      </w:pPr>
      <w:r w:rsidRPr="00887661">
        <w:rPr>
          <w:rFonts w:ascii="Times New Roman" w:hAnsi="Times New Roman" w:cs="Times New Roman"/>
          <w:sz w:val="18"/>
          <w:lang w:val="es-MX"/>
        </w:rPr>
        <w:t>Agosto</w:t>
      </w:r>
      <w:r w:rsidR="001F7141" w:rsidRPr="00887661">
        <w:rPr>
          <w:rFonts w:ascii="Times New Roman" w:hAnsi="Times New Roman" w:cs="Times New Roman"/>
          <w:sz w:val="18"/>
          <w:lang w:val="es-MX"/>
        </w:rPr>
        <w:t xml:space="preserve"> 2014 - 2016, porcentaje</w:t>
      </w:r>
    </w:p>
    <w:p w:rsidR="001F7141" w:rsidRPr="00887661" w:rsidRDefault="004B5B0F" w:rsidP="00213C92">
      <w:pPr>
        <w:pStyle w:val="Sinespaciado"/>
        <w:jc w:val="center"/>
        <w:rPr>
          <w:rFonts w:ascii="Times New Roman" w:hAnsi="Times New Roman" w:cs="Times New Roman"/>
          <w:sz w:val="18"/>
          <w:lang w:val="es-MX"/>
        </w:rPr>
      </w:pPr>
      <w:r w:rsidRPr="00887661">
        <w:rPr>
          <w:noProof/>
          <w:lang w:eastAsia="es-GT"/>
        </w:rPr>
        <w:drawing>
          <wp:inline distT="0" distB="0" distL="0" distR="0" wp14:anchorId="6032AEF2" wp14:editId="136E5973">
            <wp:extent cx="2760980" cy="1650836"/>
            <wp:effectExtent l="0" t="0" r="1270" b="6985"/>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F7141" w:rsidRPr="00887661" w:rsidRDefault="001F7141" w:rsidP="001F7141">
      <w:pPr>
        <w:pStyle w:val="Sinespaciado"/>
        <w:jc w:val="both"/>
        <w:rPr>
          <w:rFonts w:ascii="Times New Roman" w:hAnsi="Times New Roman" w:cs="Times New Roman"/>
          <w:sz w:val="16"/>
        </w:rPr>
      </w:pPr>
      <w:r w:rsidRPr="00887661">
        <w:rPr>
          <w:rFonts w:ascii="Times New Roman" w:hAnsi="Times New Roman" w:cs="Times New Roman"/>
          <w:sz w:val="16"/>
        </w:rPr>
        <w:t>Fuente: INE</w:t>
      </w:r>
    </w:p>
    <w:p w:rsidR="001F7141" w:rsidRPr="00887661" w:rsidRDefault="001F7141" w:rsidP="004E4FDE">
      <w:pPr>
        <w:pStyle w:val="Sinespaciado"/>
        <w:jc w:val="both"/>
        <w:rPr>
          <w:rFonts w:ascii="Times New Roman" w:hAnsi="Times New Roman" w:cs="Times New Roman"/>
        </w:rPr>
      </w:pPr>
    </w:p>
    <w:p w:rsidR="004E4FDE" w:rsidRPr="00887661" w:rsidRDefault="004E4FDE" w:rsidP="004E4FDE">
      <w:pPr>
        <w:pStyle w:val="Sinespaciado"/>
        <w:jc w:val="both"/>
        <w:rPr>
          <w:rFonts w:ascii="Times New Roman" w:hAnsi="Times New Roman" w:cs="Times New Roman"/>
          <w:lang w:val="es-MX"/>
        </w:rPr>
      </w:pPr>
      <w:r w:rsidRPr="00887661">
        <w:rPr>
          <w:rFonts w:ascii="Times New Roman" w:hAnsi="Times New Roman" w:cs="Times New Roman"/>
        </w:rPr>
        <w:lastRenderedPageBreak/>
        <w:t xml:space="preserve">El costo de adquisición de la Canasta Básica Alimentaria </w:t>
      </w:r>
      <w:r w:rsidR="002101C9" w:rsidRPr="00887661">
        <w:rPr>
          <w:rFonts w:ascii="Times New Roman" w:hAnsi="Times New Roman" w:cs="Times New Roman"/>
        </w:rPr>
        <w:t>aumentó</w:t>
      </w:r>
      <w:r w:rsidRPr="00887661">
        <w:rPr>
          <w:rFonts w:ascii="Times New Roman" w:hAnsi="Times New Roman" w:cs="Times New Roman"/>
        </w:rPr>
        <w:t xml:space="preserve"> Q </w:t>
      </w:r>
      <w:r w:rsidR="00610F84" w:rsidRPr="00887661">
        <w:rPr>
          <w:rFonts w:ascii="Times New Roman" w:hAnsi="Times New Roman" w:cs="Times New Roman"/>
        </w:rPr>
        <w:t>15</w:t>
      </w:r>
      <w:r w:rsidRPr="00887661">
        <w:rPr>
          <w:rFonts w:ascii="Times New Roman" w:hAnsi="Times New Roman" w:cs="Times New Roman"/>
        </w:rPr>
        <w:t>.</w:t>
      </w:r>
      <w:r w:rsidR="00610F84" w:rsidRPr="00887661">
        <w:rPr>
          <w:rFonts w:ascii="Times New Roman" w:hAnsi="Times New Roman" w:cs="Times New Roman"/>
        </w:rPr>
        <w:t>45</w:t>
      </w:r>
      <w:r w:rsidRPr="00887661">
        <w:rPr>
          <w:rFonts w:ascii="Times New Roman" w:hAnsi="Times New Roman" w:cs="Times New Roman"/>
        </w:rPr>
        <w:t xml:space="preserve"> con relación al registrado </w:t>
      </w:r>
      <w:r w:rsidR="00610F84" w:rsidRPr="00887661">
        <w:rPr>
          <w:rFonts w:ascii="Times New Roman" w:hAnsi="Times New Roman" w:cs="Times New Roman"/>
        </w:rPr>
        <w:t>en jul</w:t>
      </w:r>
      <w:r w:rsidR="006F20A4" w:rsidRPr="00887661">
        <w:rPr>
          <w:rFonts w:ascii="Times New Roman" w:hAnsi="Times New Roman" w:cs="Times New Roman"/>
        </w:rPr>
        <w:t>io</w:t>
      </w:r>
      <w:r w:rsidRPr="00887661">
        <w:rPr>
          <w:rFonts w:ascii="Times New Roman" w:hAnsi="Times New Roman" w:cs="Times New Roman"/>
        </w:rPr>
        <w:t xml:space="preserve"> y respecto al </w:t>
      </w:r>
      <w:r w:rsidR="006F20A4" w:rsidRPr="00887661">
        <w:rPr>
          <w:rFonts w:ascii="Times New Roman" w:hAnsi="Times New Roman" w:cs="Times New Roman"/>
        </w:rPr>
        <w:t>año anterior se incrementó Q</w:t>
      </w:r>
      <w:r w:rsidR="00610F84" w:rsidRPr="00887661">
        <w:rPr>
          <w:rFonts w:ascii="Times New Roman" w:hAnsi="Times New Roman" w:cs="Times New Roman"/>
        </w:rPr>
        <w:t xml:space="preserve"> 427.65</w:t>
      </w:r>
      <w:r w:rsidRPr="00887661">
        <w:rPr>
          <w:rFonts w:ascii="Times New Roman" w:hAnsi="Times New Roman" w:cs="Times New Roman"/>
        </w:rPr>
        <w:t xml:space="preserve">.  El costo de adquisición de la Canasta Básica Vital también </w:t>
      </w:r>
      <w:r w:rsidR="002101C9" w:rsidRPr="00887661">
        <w:rPr>
          <w:rFonts w:ascii="Times New Roman" w:hAnsi="Times New Roman" w:cs="Times New Roman"/>
        </w:rPr>
        <w:t>au</w:t>
      </w:r>
      <w:r w:rsidR="006F20A4" w:rsidRPr="00887661">
        <w:rPr>
          <w:rFonts w:ascii="Times New Roman" w:hAnsi="Times New Roman" w:cs="Times New Roman"/>
        </w:rPr>
        <w:t>mentó</w:t>
      </w:r>
      <w:r w:rsidR="00610F84" w:rsidRPr="00887661">
        <w:rPr>
          <w:rFonts w:ascii="Times New Roman" w:hAnsi="Times New Roman" w:cs="Times New Roman"/>
        </w:rPr>
        <w:t xml:space="preserve">           </w:t>
      </w:r>
      <w:r w:rsidR="006F20A4" w:rsidRPr="00887661">
        <w:rPr>
          <w:rFonts w:ascii="Times New Roman" w:hAnsi="Times New Roman" w:cs="Times New Roman"/>
        </w:rPr>
        <w:t xml:space="preserve"> Q</w:t>
      </w:r>
      <w:r w:rsidR="004B5B0F" w:rsidRPr="00887661">
        <w:rPr>
          <w:rFonts w:ascii="Times New Roman" w:hAnsi="Times New Roman" w:cs="Times New Roman"/>
        </w:rPr>
        <w:t xml:space="preserve"> </w:t>
      </w:r>
      <w:r w:rsidR="00610F84" w:rsidRPr="00887661">
        <w:rPr>
          <w:rFonts w:ascii="Times New Roman" w:hAnsi="Times New Roman" w:cs="Times New Roman"/>
        </w:rPr>
        <w:t>28</w:t>
      </w:r>
      <w:r w:rsidR="006F20A4" w:rsidRPr="00887661">
        <w:rPr>
          <w:rFonts w:ascii="Times New Roman" w:hAnsi="Times New Roman" w:cs="Times New Roman"/>
        </w:rPr>
        <w:t>.</w:t>
      </w:r>
      <w:r w:rsidR="00610F84" w:rsidRPr="00887661">
        <w:rPr>
          <w:rFonts w:ascii="Times New Roman" w:hAnsi="Times New Roman" w:cs="Times New Roman"/>
        </w:rPr>
        <w:t>20</w:t>
      </w:r>
      <w:r w:rsidRPr="00887661">
        <w:rPr>
          <w:rFonts w:ascii="Times New Roman" w:hAnsi="Times New Roman" w:cs="Times New Roman"/>
        </w:rPr>
        <w:t xml:space="preserve"> con relaci</w:t>
      </w:r>
      <w:r w:rsidR="002101C9" w:rsidRPr="00887661">
        <w:rPr>
          <w:rFonts w:ascii="Times New Roman" w:hAnsi="Times New Roman" w:cs="Times New Roman"/>
        </w:rPr>
        <w:t xml:space="preserve">ón al mes anterior y respecto a </w:t>
      </w:r>
      <w:r w:rsidR="00610F84" w:rsidRPr="00887661">
        <w:rPr>
          <w:rFonts w:ascii="Times New Roman" w:hAnsi="Times New Roman" w:cs="Times New Roman"/>
        </w:rPr>
        <w:t>agosto</w:t>
      </w:r>
      <w:r w:rsidR="00C85696" w:rsidRPr="00887661">
        <w:rPr>
          <w:rFonts w:ascii="Times New Roman" w:hAnsi="Times New Roman" w:cs="Times New Roman"/>
        </w:rPr>
        <w:t xml:space="preserve"> 2015</w:t>
      </w:r>
      <w:r w:rsidRPr="00887661">
        <w:rPr>
          <w:rFonts w:ascii="Times New Roman" w:hAnsi="Times New Roman" w:cs="Times New Roman"/>
        </w:rPr>
        <w:t xml:space="preserve"> se </w:t>
      </w:r>
      <w:r w:rsidR="00610F84" w:rsidRPr="00887661">
        <w:rPr>
          <w:rFonts w:ascii="Times New Roman" w:hAnsi="Times New Roman" w:cs="Times New Roman"/>
        </w:rPr>
        <w:t>incrementó Q 7</w:t>
      </w:r>
      <w:r w:rsidR="006F20A4" w:rsidRPr="00887661">
        <w:rPr>
          <w:rFonts w:ascii="Times New Roman" w:hAnsi="Times New Roman" w:cs="Times New Roman"/>
        </w:rPr>
        <w:t>8</w:t>
      </w:r>
      <w:r w:rsidR="00610F84" w:rsidRPr="00887661">
        <w:rPr>
          <w:rFonts w:ascii="Times New Roman" w:hAnsi="Times New Roman" w:cs="Times New Roman"/>
        </w:rPr>
        <w:t>0.39</w:t>
      </w:r>
      <w:r w:rsidRPr="00887661">
        <w:rPr>
          <w:rFonts w:ascii="Times New Roman" w:hAnsi="Times New Roman" w:cs="Times New Roman"/>
        </w:rPr>
        <w:t xml:space="preserve">.  </w:t>
      </w:r>
    </w:p>
    <w:p w:rsidR="00416D41" w:rsidRDefault="00416D41" w:rsidP="0042387A">
      <w:pPr>
        <w:spacing w:after="0" w:line="240" w:lineRule="auto"/>
        <w:rPr>
          <w:rFonts w:ascii="Times New Roman" w:hAnsi="Times New Roman" w:cs="Times New Roman"/>
          <w:lang w:val="es-MX"/>
        </w:rPr>
      </w:pPr>
    </w:p>
    <w:p w:rsidR="00887661" w:rsidRDefault="00887661" w:rsidP="0042387A">
      <w:pPr>
        <w:spacing w:after="0" w:line="240" w:lineRule="auto"/>
        <w:rPr>
          <w:rFonts w:ascii="Times New Roman" w:hAnsi="Times New Roman" w:cs="Times New Roman"/>
          <w:lang w:val="es-MX"/>
        </w:rPr>
      </w:pPr>
    </w:p>
    <w:p w:rsidR="00887661" w:rsidRDefault="00887661" w:rsidP="0042387A">
      <w:pPr>
        <w:spacing w:after="0" w:line="240" w:lineRule="auto"/>
        <w:rPr>
          <w:rFonts w:ascii="Times New Roman" w:hAnsi="Times New Roman" w:cs="Times New Roman"/>
          <w:lang w:val="es-MX"/>
        </w:rPr>
      </w:pPr>
    </w:p>
    <w:p w:rsidR="00887661" w:rsidRDefault="00887661" w:rsidP="0042387A">
      <w:pPr>
        <w:spacing w:after="0" w:line="240" w:lineRule="auto"/>
        <w:rPr>
          <w:rFonts w:ascii="Times New Roman" w:hAnsi="Times New Roman" w:cs="Times New Roman"/>
          <w:lang w:val="es-MX"/>
        </w:rPr>
      </w:pPr>
    </w:p>
    <w:p w:rsidR="00887661" w:rsidRDefault="00887661" w:rsidP="0042387A">
      <w:pPr>
        <w:spacing w:after="0" w:line="240" w:lineRule="auto"/>
        <w:rPr>
          <w:rFonts w:ascii="Times New Roman" w:hAnsi="Times New Roman" w:cs="Times New Roman"/>
          <w:lang w:val="es-MX"/>
        </w:rPr>
      </w:pPr>
    </w:p>
    <w:p w:rsidR="00887661" w:rsidRDefault="00887661" w:rsidP="0042387A">
      <w:pPr>
        <w:spacing w:after="0" w:line="240" w:lineRule="auto"/>
        <w:rPr>
          <w:rFonts w:ascii="Times New Roman" w:hAnsi="Times New Roman" w:cs="Times New Roman"/>
          <w:lang w:val="es-MX"/>
        </w:rPr>
      </w:pPr>
    </w:p>
    <w:p w:rsidR="00887661" w:rsidRDefault="00887661" w:rsidP="0042387A">
      <w:pPr>
        <w:spacing w:after="0" w:line="240" w:lineRule="auto"/>
        <w:rPr>
          <w:rFonts w:ascii="Times New Roman" w:hAnsi="Times New Roman" w:cs="Times New Roman"/>
          <w:lang w:val="es-MX"/>
        </w:rPr>
      </w:pPr>
    </w:p>
    <w:p w:rsidR="00887661" w:rsidRDefault="00887661" w:rsidP="0042387A">
      <w:pPr>
        <w:spacing w:after="0" w:line="240" w:lineRule="auto"/>
        <w:rPr>
          <w:rFonts w:ascii="Times New Roman" w:hAnsi="Times New Roman" w:cs="Times New Roman"/>
          <w:lang w:val="es-MX"/>
        </w:rPr>
      </w:pPr>
    </w:p>
    <w:p w:rsidR="00887661" w:rsidRDefault="00887661" w:rsidP="0042387A">
      <w:pPr>
        <w:spacing w:after="0" w:line="240" w:lineRule="auto"/>
        <w:rPr>
          <w:rFonts w:ascii="Times New Roman" w:hAnsi="Times New Roman" w:cs="Times New Roman"/>
          <w:lang w:val="es-MX"/>
        </w:rPr>
      </w:pPr>
    </w:p>
    <w:p w:rsidR="00887661" w:rsidRDefault="00887661" w:rsidP="0042387A">
      <w:pPr>
        <w:spacing w:after="0" w:line="240" w:lineRule="auto"/>
        <w:rPr>
          <w:rFonts w:ascii="Times New Roman" w:hAnsi="Times New Roman" w:cs="Times New Roman"/>
          <w:lang w:val="es-MX"/>
        </w:rPr>
      </w:pPr>
    </w:p>
    <w:p w:rsidR="00887661" w:rsidRDefault="00887661" w:rsidP="0042387A">
      <w:pPr>
        <w:spacing w:after="0" w:line="240" w:lineRule="auto"/>
        <w:rPr>
          <w:rFonts w:ascii="Times New Roman" w:hAnsi="Times New Roman" w:cs="Times New Roman"/>
          <w:lang w:val="es-MX"/>
        </w:rPr>
      </w:pPr>
    </w:p>
    <w:p w:rsidR="00887661" w:rsidRDefault="00887661" w:rsidP="0042387A">
      <w:pPr>
        <w:spacing w:after="0" w:line="240" w:lineRule="auto"/>
        <w:rPr>
          <w:rFonts w:ascii="Times New Roman" w:hAnsi="Times New Roman" w:cs="Times New Roman"/>
          <w:lang w:val="es-MX"/>
        </w:rPr>
      </w:pPr>
    </w:p>
    <w:p w:rsidR="00887661" w:rsidRDefault="00887661" w:rsidP="0042387A">
      <w:pPr>
        <w:spacing w:after="0" w:line="240" w:lineRule="auto"/>
        <w:rPr>
          <w:rFonts w:ascii="Times New Roman" w:hAnsi="Times New Roman" w:cs="Times New Roman"/>
          <w:lang w:val="es-MX"/>
        </w:rPr>
      </w:pPr>
    </w:p>
    <w:p w:rsidR="00887661" w:rsidRPr="00887661" w:rsidRDefault="00887661" w:rsidP="0042387A">
      <w:pPr>
        <w:spacing w:after="0" w:line="240" w:lineRule="auto"/>
        <w:rPr>
          <w:rFonts w:ascii="Times New Roman" w:hAnsi="Times New Roman" w:cs="Times New Roman"/>
          <w:lang w:val="es-MX"/>
        </w:rPr>
        <w:sectPr w:rsidR="00887661" w:rsidRPr="00887661" w:rsidSect="007D4651">
          <w:type w:val="continuous"/>
          <w:pgSz w:w="12240" w:h="15840" w:code="1"/>
          <w:pgMar w:top="1418" w:right="1418" w:bottom="1418" w:left="1418" w:header="709" w:footer="709" w:gutter="0"/>
          <w:cols w:num="2" w:space="708"/>
          <w:docGrid w:linePitch="360"/>
        </w:sectPr>
      </w:pPr>
    </w:p>
    <w:p w:rsidR="0042387A" w:rsidRPr="008B12FF" w:rsidRDefault="0042387A" w:rsidP="0042387A">
      <w:pPr>
        <w:spacing w:after="0" w:line="240" w:lineRule="auto"/>
        <w:rPr>
          <w:rFonts w:ascii="Times New Roman" w:hAnsi="Times New Roman" w:cs="Times New Roman"/>
          <w:color w:val="FF0000"/>
          <w:lang w:val="es-MX"/>
        </w:rPr>
      </w:pPr>
    </w:p>
    <w:p w:rsidR="00416D41" w:rsidRPr="008B12FF" w:rsidRDefault="00416D41" w:rsidP="00416D41">
      <w:pPr>
        <w:spacing w:after="0" w:line="240" w:lineRule="auto"/>
        <w:jc w:val="center"/>
        <w:rPr>
          <w:rFonts w:ascii="Times New Roman" w:hAnsi="Times New Roman" w:cs="Times New Roman"/>
          <w:color w:val="FF0000"/>
          <w:lang w:val="es-MX"/>
        </w:rPr>
      </w:pPr>
    </w:p>
    <w:sectPr w:rsidR="00416D41" w:rsidRPr="008B12FF" w:rsidSect="00416D41">
      <w:headerReference w:type="default" r:id="rId30"/>
      <w:footerReference w:type="default" r:id="rId31"/>
      <w:type w:val="continuous"/>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7A7" w:rsidRDefault="007177A7" w:rsidP="007D4651">
      <w:pPr>
        <w:spacing w:after="0" w:line="240" w:lineRule="auto"/>
      </w:pPr>
      <w:r>
        <w:separator/>
      </w:r>
    </w:p>
  </w:endnote>
  <w:endnote w:type="continuationSeparator" w:id="0">
    <w:p w:rsidR="007177A7" w:rsidRDefault="007177A7"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89789790"/>
      <w:docPartObj>
        <w:docPartGallery w:val="Page Numbers (Bottom of Page)"/>
        <w:docPartUnique/>
      </w:docPartObj>
    </w:sdtPr>
    <w:sdtEndPr/>
    <w:sdtContent>
      <w:p w:rsidR="007D4651" w:rsidRDefault="007D4651">
        <w:pPr>
          <w:pStyle w:val="Piedepgina"/>
          <w:jc w:val="right"/>
          <w:rPr>
            <w:lang w:val="es-ES"/>
          </w:rPr>
        </w:pPr>
      </w:p>
      <w:p w:rsidR="007D4651" w:rsidRDefault="007D465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3360" behindDoc="0" locked="0" layoutInCell="1" allowOverlap="1" wp14:anchorId="7FAE6A49" wp14:editId="61306DDA">
                  <wp:simplePos x="0" y="0"/>
                  <wp:positionH relativeFrom="column">
                    <wp:posOffset>1776669</wp:posOffset>
                  </wp:positionH>
                  <wp:positionV relativeFrom="paragraph">
                    <wp:posOffset>70516</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F705D0" id="3 Rectángulo" o:spid="_x0000_s1026" style="position:absolute;margin-left:139.9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Dziu1g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7D4651" w:rsidRDefault="007D465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331871" w:rsidRPr="00331871">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rsidR="007D4651" w:rsidRDefault="007D4651" w:rsidP="007D4651">
    <w:pPr>
      <w:pStyle w:val="Piedepgina"/>
      <w:tabs>
        <w:tab w:val="clear" w:pos="4419"/>
        <w:tab w:val="clear" w:pos="8838"/>
        <w:tab w:val="left" w:pos="5777"/>
      </w:tabs>
    </w:pPr>
  </w:p>
  <w:p w:rsidR="0066791B" w:rsidRDefault="0066791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59405431"/>
      <w:docPartObj>
        <w:docPartGallery w:val="Page Numbers (Bottom of Page)"/>
        <w:docPartUnique/>
      </w:docPartObj>
    </w:sdtPr>
    <w:sdtEndPr/>
    <w:sdtContent>
      <w:p w:rsidR="00E16925" w:rsidRDefault="00E16925">
        <w:pPr>
          <w:pStyle w:val="Piedepgina"/>
          <w:jc w:val="right"/>
          <w:rPr>
            <w:lang w:val="es-ES"/>
          </w:rPr>
        </w:pPr>
      </w:p>
      <w:p w:rsidR="00E16925" w:rsidRDefault="00E16925"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7456" behindDoc="0" locked="0" layoutInCell="1" allowOverlap="1" wp14:anchorId="244D57E3" wp14:editId="4631538A">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CE4B62"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E16925" w:rsidRDefault="00E16925">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331871" w:rsidRPr="00331871">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E16925" w:rsidRDefault="00E16925" w:rsidP="007D4651">
    <w:pPr>
      <w:pStyle w:val="Piedepgina"/>
      <w:tabs>
        <w:tab w:val="clear" w:pos="4419"/>
        <w:tab w:val="clear" w:pos="8838"/>
        <w:tab w:val="left" w:pos="5777"/>
      </w:tabs>
    </w:pPr>
  </w:p>
  <w:p w:rsidR="00E16925" w:rsidRDefault="00E1692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203057022"/>
      <w:docPartObj>
        <w:docPartGallery w:val="Page Numbers (Bottom of Page)"/>
        <w:docPartUnique/>
      </w:docPartObj>
    </w:sdtPr>
    <w:sdtEndPr/>
    <w:sdtContent>
      <w:p w:rsidR="00FA3B81" w:rsidRDefault="00FA3B81">
        <w:pPr>
          <w:pStyle w:val="Piedepgina"/>
          <w:jc w:val="right"/>
          <w:rPr>
            <w:lang w:val="es-ES"/>
          </w:rPr>
        </w:pPr>
      </w:p>
      <w:p w:rsidR="00FA3B81" w:rsidRDefault="00FA3B8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1552" behindDoc="0" locked="0" layoutInCell="1" allowOverlap="1" wp14:anchorId="325C57BF" wp14:editId="1B9EFC2D">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EDD907"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FA3B81" w:rsidRDefault="00FA3B8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331871" w:rsidRPr="00331871">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FA3B81" w:rsidRDefault="00FA3B81" w:rsidP="007D4651">
    <w:pPr>
      <w:pStyle w:val="Piedepgina"/>
      <w:tabs>
        <w:tab w:val="clear" w:pos="4419"/>
        <w:tab w:val="clear" w:pos="8838"/>
        <w:tab w:val="left" w:pos="5777"/>
      </w:tabs>
    </w:pPr>
  </w:p>
  <w:p w:rsidR="00FA3B81" w:rsidRDefault="00FA3B8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520901799"/>
      <w:docPartObj>
        <w:docPartGallery w:val="Page Numbers (Bottom of Page)"/>
        <w:docPartUnique/>
      </w:docPartObj>
    </w:sdtPr>
    <w:sdtEndPr/>
    <w:sdtContent>
      <w:p w:rsidR="00F76491" w:rsidRDefault="00F76491">
        <w:pPr>
          <w:pStyle w:val="Piedepgina"/>
          <w:jc w:val="right"/>
          <w:rPr>
            <w:lang w:val="es-ES"/>
          </w:rPr>
        </w:pPr>
      </w:p>
      <w:p w:rsidR="00F76491" w:rsidRDefault="00F7649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5648" behindDoc="0" locked="0" layoutInCell="1" allowOverlap="1" wp14:anchorId="447C62A9" wp14:editId="72E1C907">
                  <wp:simplePos x="0" y="0"/>
                  <wp:positionH relativeFrom="column">
                    <wp:posOffset>1776669</wp:posOffset>
                  </wp:positionH>
                  <wp:positionV relativeFrom="paragraph">
                    <wp:posOffset>70516</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348C69" id="23 Rectángulo" o:spid="_x0000_s1026" style="position:absolute;margin-left:139.9pt;margin-top:5.55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YItCnj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F76491" w:rsidRDefault="00F7649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331871" w:rsidRPr="00331871">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F76491" w:rsidRDefault="00F76491" w:rsidP="007D4651">
    <w:pPr>
      <w:pStyle w:val="Piedepgina"/>
      <w:tabs>
        <w:tab w:val="clear" w:pos="4419"/>
        <w:tab w:val="clear" w:pos="8838"/>
        <w:tab w:val="left" w:pos="5777"/>
      </w:tabs>
    </w:pPr>
  </w:p>
  <w:p w:rsidR="00F76491" w:rsidRDefault="00F7649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650588095"/>
      <w:docPartObj>
        <w:docPartGallery w:val="Page Numbers (Bottom of Page)"/>
        <w:docPartUnique/>
      </w:docPartObj>
    </w:sdtPr>
    <w:sdtEndPr/>
    <w:sdtContent>
      <w:p w:rsidR="00494D1D" w:rsidRDefault="00494D1D">
        <w:pPr>
          <w:pStyle w:val="Piedepgina"/>
          <w:jc w:val="right"/>
          <w:rPr>
            <w:lang w:val="es-ES"/>
          </w:rPr>
        </w:pPr>
      </w:p>
      <w:p w:rsidR="00494D1D" w:rsidRDefault="00494D1D"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9744" behindDoc="0" locked="0" layoutInCell="1" allowOverlap="1" wp14:anchorId="154BD44E" wp14:editId="191C712E">
                  <wp:simplePos x="0" y="0"/>
                  <wp:positionH relativeFrom="column">
                    <wp:posOffset>1776669</wp:posOffset>
                  </wp:positionH>
                  <wp:positionV relativeFrom="paragraph">
                    <wp:posOffset>70516</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ED56A1" id="26 Rectángulo" o:spid="_x0000_s1026" style="position:absolute;margin-left:139.9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LgM0AD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494D1D" w:rsidRDefault="00494D1D">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331871" w:rsidRPr="00331871">
          <w:rPr>
            <w:rFonts w:ascii="Times New Roman" w:hAnsi="Times New Roman" w:cs="Times New Roman"/>
            <w:b/>
            <w:noProof/>
            <w:color w:val="1F497D" w:themeColor="text2"/>
            <w:lang w:val="es-ES"/>
          </w:rPr>
          <w:t>8</w:t>
        </w:r>
        <w:r w:rsidRPr="007D4651">
          <w:rPr>
            <w:rFonts w:ascii="Times New Roman" w:hAnsi="Times New Roman" w:cs="Times New Roman"/>
            <w:b/>
            <w:color w:val="1F497D" w:themeColor="text2"/>
          </w:rPr>
          <w:fldChar w:fldCharType="end"/>
        </w:r>
        <w:r>
          <w:rPr>
            <w:lang w:val="es-ES"/>
          </w:rPr>
          <w:t xml:space="preserve"> </w:t>
        </w:r>
      </w:p>
    </w:sdtContent>
  </w:sdt>
  <w:p w:rsidR="00494D1D" w:rsidRDefault="00494D1D" w:rsidP="007D4651">
    <w:pPr>
      <w:pStyle w:val="Piedepgina"/>
      <w:tabs>
        <w:tab w:val="clear" w:pos="4419"/>
        <w:tab w:val="clear" w:pos="8838"/>
        <w:tab w:val="left" w:pos="5777"/>
      </w:tabs>
    </w:pPr>
  </w:p>
  <w:p w:rsidR="00494D1D" w:rsidRDefault="00494D1D"/>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039429106"/>
      <w:docPartObj>
        <w:docPartGallery w:val="Page Numbers (Bottom of Page)"/>
        <w:docPartUnique/>
      </w:docPartObj>
    </w:sdtPr>
    <w:sdtEndPr/>
    <w:sdtContent>
      <w:p w:rsidR="00416D41" w:rsidRDefault="00416D41">
        <w:pPr>
          <w:pStyle w:val="Piedepgina"/>
          <w:jc w:val="right"/>
          <w:rPr>
            <w:lang w:val="es-ES"/>
          </w:rPr>
        </w:pPr>
      </w:p>
      <w:p w:rsidR="00416D41" w:rsidRDefault="00416D4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83840" behindDoc="0" locked="0" layoutInCell="1" allowOverlap="1" wp14:anchorId="59C23539" wp14:editId="0A80BE80">
                  <wp:simplePos x="0" y="0"/>
                  <wp:positionH relativeFrom="column">
                    <wp:posOffset>1776669</wp:posOffset>
                  </wp:positionH>
                  <wp:positionV relativeFrom="paragraph">
                    <wp:posOffset>70516</wp:posOffset>
                  </wp:positionV>
                  <wp:extent cx="5155565" cy="45719"/>
                  <wp:effectExtent l="38100" t="38100" r="64135" b="88265"/>
                  <wp:wrapNone/>
                  <wp:docPr id="39" name="39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1F4923" id="39 Rectángulo" o:spid="_x0000_s1026" style="position:absolute;margin-left:139.9pt;margin-top:5.55pt;width:405.95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Y7PgMAAKcHAAAOAAAAZHJzL2Uyb0RvYy54bWysVdtO2zAYvp+0d7B8P3JoA7QiRRWIaRID&#10;RJm4dh3noDm2ZztN2dvsWfZi+22nobAKoWk3yW/7+w/+/oPPzrctRxumTSNFjpOjGCMmqCwaUeX4&#10;28PVp1OMjCWiIFwKluMnZvD54uOHs17NWSpryQumERgRZt6rHNfWqnkUGVqzlpgjqZiAw1LqllhY&#10;6ioqNOnBesujNI6Po17qQmlJmTGwexkO8cLbL0tG7W1ZGmYRzzHEZv1X++/afaPFGZlXmqi6oUMY&#10;5B+iaEkjwOlo6pJYgjrd/GWqbaiWRpb2iMo2kmXZUObvALdJ4le3WdVEMX8XIMeokSbz/8zSm82d&#10;Rk2R48kMI0FayNFkhu6BuN+/RNVx6SjqlZkDcqXu9LAyILr7bkvduj/cBG09rU8jrWxrEYXNLMmy&#10;7DjDiMLZNDtJZs5m9KystLGfmWyRE3Kswbknk2yujQ3QHWTguLhqOPeyAUgQkJJAzCTN4tRr+xpi&#10;F1yjDYHsE0qZsMngujL7SifpLI4PKa2rYIt37VdZBEMABXAIa/Th7/PSaDp1OOdmRAUDzmhQf6lw&#10;EPxW2JmP5ICHt5QSp/ROV5CjakcwbwQirquhjQwlnEHNjGxqMmaECxeQkC5D4ZZhh/luHLIlO8v0&#10;qi56tOadvidgK4tPISxUNK4EJqcQpltAq6YnIWJEeAUzxnKMtLSPja19f7iAnEdXIWOy15zQ736b&#10;cFWTwLvLxy5xA9qnbQzGr/bijFzdh0r3kn3izLni4p6V0DRQ22+Wms9MTQoW/Id0HSocb9ChSyBt&#10;tJ0cKp6XqR3wTjXEPSq/I8OjhvcshR2V20ZIfcg7HxuoDHigbI8aJ65l8QQjBVIUSkXRqwZSc02M&#10;vSMahivkFR4Mewufkss+x3KQMKql/nlo3+Fh5sEpRj0M6xybHx3RDCP+RUDTz5LpFMxav4AJk8JC&#10;75+s909E115ImAgJFLKiXnR4y3diqWX7CO/K0nmFIyIo+M4xtXq3uLDhEYGXibLl0sNgoitir8VK&#10;UWfcserK7GH7SLQaZpuFoXgjd4OdzF+NuIB1mkIuOyvLxs+/Z14HvuE18MU6vFzuudlfe9Tz+7r4&#10;Aw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2T2O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416D41" w:rsidRDefault="00416D4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887661" w:rsidRPr="00887661">
          <w:rPr>
            <w:rFonts w:ascii="Times New Roman" w:hAnsi="Times New Roman" w:cs="Times New Roman"/>
            <w:b/>
            <w:noProof/>
            <w:color w:val="1F497D" w:themeColor="text2"/>
            <w:lang w:val="es-ES"/>
          </w:rPr>
          <w:t>9</w:t>
        </w:r>
        <w:r w:rsidRPr="007D4651">
          <w:rPr>
            <w:rFonts w:ascii="Times New Roman" w:hAnsi="Times New Roman" w:cs="Times New Roman"/>
            <w:b/>
            <w:color w:val="1F497D" w:themeColor="text2"/>
          </w:rPr>
          <w:fldChar w:fldCharType="end"/>
        </w:r>
        <w:r>
          <w:rPr>
            <w:lang w:val="es-ES"/>
          </w:rPr>
          <w:t xml:space="preserve"> </w:t>
        </w:r>
      </w:p>
    </w:sdtContent>
  </w:sdt>
  <w:p w:rsidR="00416D41" w:rsidRDefault="00416D41" w:rsidP="007D4651">
    <w:pPr>
      <w:pStyle w:val="Piedepgina"/>
      <w:tabs>
        <w:tab w:val="clear" w:pos="4419"/>
        <w:tab w:val="clear" w:pos="8838"/>
        <w:tab w:val="left" w:pos="5777"/>
      </w:tabs>
    </w:pPr>
  </w:p>
  <w:p w:rsidR="00416D41" w:rsidRDefault="00416D4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7A7" w:rsidRDefault="007177A7" w:rsidP="007D4651">
      <w:pPr>
        <w:spacing w:after="0" w:line="240" w:lineRule="auto"/>
      </w:pPr>
      <w:r>
        <w:separator/>
      </w:r>
    </w:p>
  </w:footnote>
  <w:footnote w:type="continuationSeparator" w:id="0">
    <w:p w:rsidR="007177A7" w:rsidRDefault="007177A7" w:rsidP="007D4651">
      <w:pPr>
        <w:spacing w:after="0" w:line="240" w:lineRule="auto"/>
      </w:pPr>
      <w:r>
        <w:continuationSeparator/>
      </w:r>
    </w:p>
  </w:footnote>
  <w:footnote w:id="1">
    <w:p w:rsidR="008B12FF" w:rsidRPr="00782B4D" w:rsidRDefault="008B12FF" w:rsidP="008B12FF">
      <w:pPr>
        <w:pStyle w:val="Sinespaciado"/>
        <w:jc w:val="both"/>
        <w:rPr>
          <w:rFonts w:ascii="Times New Roman" w:hAnsi="Times New Roman" w:cs="Times New Roman"/>
          <w:sz w:val="18"/>
          <w:szCs w:val="16"/>
          <w:lang w:val="es-MX"/>
        </w:rPr>
      </w:pPr>
      <w:r>
        <w:rPr>
          <w:rStyle w:val="Refdenotaalpie"/>
        </w:rPr>
        <w:footnoteRef/>
      </w:r>
      <w:r>
        <w:t xml:space="preserve"> </w:t>
      </w:r>
      <w:r w:rsidRPr="00782B4D">
        <w:rPr>
          <w:rFonts w:ascii="Times New Roman" w:hAnsi="Times New Roman" w:cs="Times New Roman"/>
          <w:sz w:val="18"/>
          <w:szCs w:val="16"/>
        </w:rPr>
        <w:t xml:space="preserve">Los renglones de gasto que integran este componente considerado como superfluo son: </w:t>
      </w:r>
      <w:r w:rsidRPr="00782B4D">
        <w:rPr>
          <w:rFonts w:ascii="Times New Roman" w:hAnsi="Times New Roman" w:cs="Times New Roman"/>
          <w:sz w:val="18"/>
          <w:szCs w:val="16"/>
          <w:lang w:val="es-MX"/>
        </w:rPr>
        <w:t>Divulgación de información (121), Viáticos (131,132,133,134 y 135), Transporte de personas (141), Combustibles y lubricantes (262),Útiles de oficina (291),Otros materiales y suministros (299), Equipo de oficina (322), Equipo de transporte (325), Equipo de cómputo (328), Alimentos para personas (211)</w:t>
      </w:r>
    </w:p>
    <w:p w:rsidR="008B12FF" w:rsidRDefault="008B12FF" w:rsidP="008B12FF">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51" w:rsidRPr="007D4651" w:rsidRDefault="007D465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61312" behindDoc="1" locked="0" layoutInCell="1" allowOverlap="1" wp14:anchorId="0B0DB50D" wp14:editId="27E76241">
          <wp:simplePos x="0" y="0"/>
          <wp:positionH relativeFrom="column">
            <wp:posOffset>-89849</wp:posOffset>
          </wp:positionH>
          <wp:positionV relativeFrom="paragraph">
            <wp:posOffset>-163027</wp:posOffset>
          </wp:positionV>
          <wp:extent cx="1697990" cy="914400"/>
          <wp:effectExtent l="0" t="0" r="0" b="0"/>
          <wp:wrapNone/>
          <wp:docPr id="5" name="Imagen 5"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7D4651" w:rsidRPr="007D4651" w:rsidRDefault="009D0D94"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Agosto</w:t>
    </w:r>
    <w:r w:rsidR="007D4651" w:rsidRPr="007D4651">
      <w:rPr>
        <w:rFonts w:ascii="Times New Roman" w:hAnsi="Times New Roman" w:cs="Times New Roman"/>
        <w:color w:val="1F497D" w:themeColor="text2"/>
        <w:lang w:val="es-MX"/>
      </w:rPr>
      <w:t xml:space="preserve"> 2016</w:t>
    </w:r>
  </w:p>
  <w:p w:rsidR="007D4651" w:rsidRDefault="007D465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59264" behindDoc="0" locked="0" layoutInCell="1" allowOverlap="1" wp14:anchorId="72B129BB" wp14:editId="119AEE23">
              <wp:simplePos x="0" y="0"/>
              <wp:positionH relativeFrom="column">
                <wp:posOffset>1710568</wp:posOffset>
              </wp:positionH>
              <wp:positionV relativeFrom="paragraph">
                <wp:posOffset>29118</wp:posOffset>
              </wp:positionV>
              <wp:extent cx="5155894" cy="45719"/>
              <wp:effectExtent l="38100" t="38100" r="64135" b="88265"/>
              <wp:wrapNone/>
              <wp:docPr id="1"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7C4A2D" id="1 Rectángulo" o:spid="_x0000_s1026" style="position:absolute;margin-left:134.7pt;margin-top:2.3pt;width:40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mwPQMAAKUHAAAOAAAAZHJzL2Uyb0RvYy54bWysVUtu2zAQ3RfoHQjuG1mO3dhG5MBIkKJA&#10;2gRxiqxpivqgFMmStGX3Nj1LL9YZUlac1AiCohtpSL75cN7M8Pxi20iyEdbVWmU0PRlQIhTXea3K&#10;jH57uP4wocR5pnImtRIZ3QlHL+bv3523ZiaGutIyF5aAEeVmrclo5b2ZJYnjlWiYO9FGKDgstG2Y&#10;h6Utk9yyFqw3MhkOBh+TVtvcWM2Fc7B7FQ/pPNgvCsH9bVE44YnMKMTmw9eG7wq/yfyczUrLTFXz&#10;Lgz2D1E0rFbgtDd1xTwja1v/ZaqpudVOF/6E6ybRRVFzEe4At0kHL26zrJgR4S6QHGf6NLn/Z5Z/&#10;3dxZUufAHSWKNUBRSu4hbb9/qXItNSaoNW4GuKW5s93KgYi33Ra2wT/cg2xDUnd9UsXWEw6b43Q8&#10;nkxHlHA4G43P0inaTJ6UjXX+k9ANQSGjFpyHVLLNjfMRuod0Gc6vaymD7AASBWI0pOV0OB4Mg3ao&#10;IHEpLdkw4J5xLpRPO9elO1Q6G04Hg2NKqzLakuvmi86jIYACOIbV+wj3eW50OEIcuulR0QAajerP&#10;FY6CXwt7HCI54uE1pRSV3ugKOCr3CZa1Igx7GprIcSZFqJjuHpb1jEiFASmNDMXTuCNCL3Zs6bUX&#10;dlnlLVnJtb1nYGs8mEBYJK+xBE4nECYuoFGHZzFiwmQJE8ZLSqz2j7WvQndgQOgRK6QneyUZ/x62&#10;mTQVi3lHPvbEdehAWx9MWB3EmWDdx0oPkt9Jga6kuhcFtAzU9qulFpipWC6i/0jXscIJBhFdQNJ6&#10;2+mx4nlObYdH1Rh3r/wGhnuN4Fkr3ys3tdL2mHfZN1AR8ZCyg9SguNL5DgYKUBRLxfDrGqi5Yc7f&#10;MQujFXiF58LfwqeQus2o7iRKKm1/HttHPEw8OKWkhVGdUfdjzaygRH5W0PTTdDQCsz4sYMIMYWEP&#10;T1aHJ2rdXGqYCDDvnOFBRLyXe7GwunmEV2WBXuGIKQ6+M8q93S8ufXxC4F3iYrEIMJjnhvkbtTQc&#10;jWNWscweto/Mmm62eRiKX/V+rLPZixEXsaip9GLtdVGH+feU1y7f8BaEYu3eLXxsDtcB9fS6z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O3RGbA9AwAApQ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66791B" w:rsidRDefault="007D4651"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E16925" w:rsidRPr="00E16925" w:rsidRDefault="00E16925" w:rsidP="00E16925">
    <w:pPr>
      <w:pStyle w:val="Encabezado"/>
      <w:rPr>
        <w:rFonts w:ascii="Times New Roman" w:hAnsi="Times New Roman" w:cs="Times New Roman"/>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25" w:rsidRPr="007D4651" w:rsidRDefault="00E16925"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66432" behindDoc="1" locked="0" layoutInCell="1" allowOverlap="1" wp14:anchorId="2601611A" wp14:editId="1DF6F2FF">
          <wp:simplePos x="0" y="0"/>
          <wp:positionH relativeFrom="column">
            <wp:posOffset>-89849</wp:posOffset>
          </wp:positionH>
          <wp:positionV relativeFrom="paragraph">
            <wp:posOffset>-163027</wp:posOffset>
          </wp:positionV>
          <wp:extent cx="1697990" cy="914400"/>
          <wp:effectExtent l="0" t="0" r="0" b="0"/>
          <wp:wrapNone/>
          <wp:docPr id="9" name="Imagen 9"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16925" w:rsidRPr="007D4651" w:rsidRDefault="009D0D94"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Agosto</w:t>
    </w:r>
    <w:r w:rsidR="00E16925" w:rsidRPr="007D4651">
      <w:rPr>
        <w:rFonts w:ascii="Times New Roman" w:hAnsi="Times New Roman" w:cs="Times New Roman"/>
        <w:color w:val="1F497D" w:themeColor="text2"/>
        <w:lang w:val="es-MX"/>
      </w:rPr>
      <w:t xml:space="preserve"> 2016</w:t>
    </w:r>
  </w:p>
  <w:p w:rsidR="00E16925" w:rsidRDefault="00E16925"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65408" behindDoc="0" locked="0" layoutInCell="1" allowOverlap="1" wp14:anchorId="25D4DE3B" wp14:editId="725E3CBF">
              <wp:simplePos x="0" y="0"/>
              <wp:positionH relativeFrom="column">
                <wp:posOffset>1710568</wp:posOffset>
              </wp:positionH>
              <wp:positionV relativeFrom="paragraph">
                <wp:posOffset>29118</wp:posOffset>
              </wp:positionV>
              <wp:extent cx="5155894" cy="45719"/>
              <wp:effectExtent l="38100" t="38100" r="64135" b="88265"/>
              <wp:wrapNone/>
              <wp:docPr id="6" name="6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029633" id="6 Rectángulo" o:spid="_x0000_s1026" style="position:absolute;margin-left:134.7pt;margin-top:2.3pt;width:406pt;height: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HCPQMAAKUHAAAOAAAAZHJzL2Uyb0RvYy54bWysVd1O2zAUvp+0d7B8P9KUFtqKFFUgpkkM&#10;EGXi+tRxfjTH9mynLXubPctebMd2GgqrEJp2kxzb3/nxd358dr5tBFlzY2slM5oeDSjhkqm8lmVG&#10;vz1cfZpQYh3IHISSPKNP3NLz+ccPZxs940NVKZFzQ9CItLONzmjlnJ4liWUVb8AeKc0lHhbKNOBw&#10;acokN7BB641IhoPBSbJRJtdGMW4t7l7GQzoP9ouCM3dbFJY7IjKKsbnwNeG78t9kfgaz0oCuataF&#10;Af8QRQO1RKe9qUtwQFpT/2WqqZlRVhXuiKkmUUVRMx7ugLdJB69us6xA83AXJMfqnib7/8yym/Wd&#10;IXWe0RNKJDSYohNyj7T9/iXLVihP0EbbGeKW+s50K4uiv+22MI3/4z3INpD61JPKt44w3Byn4/Fk&#10;OqKE4dlofJpOvc3kWVkb6z5z1RAvZNSg80AlrK+ti9AdpGM4v6qFCLJFSBSIVkjL8XA8GAbtUEH8&#10;QhiyBsw9MMalSzvXpd1XOh1OB4NDSqsy2hJt81Xl0RBCERzD6n2E+7w0Ohx5nHfTo6IBbzSqv1Q4&#10;CH4r7HGI5ICHt5RSr/ROV5ijckewqCUB39PYRJaB4FgxPZsG+owI6QOSymco3jLu8NCLXbZU67hZ&#10;VvmGrERr7gFtjQcTDIvktS+B4wmG6RfYqMPTGDEBUeKEcYISo9xj7arQHT4g79FXSJ/slQD2PWyD&#10;0BVE3n0+donr0CFtfTBhtRdn4us+VnqQ3JPg3pWQ97zAlsHafrPUQmYqyHn0H9N1qHCCQY8ukLTe&#10;dnqoeF6mtsN71Rh3r/yODPcawbOSrlduaqnMIe+ib6Ai4pGyPWq8uFL5Ew4UTFEsFc2uakzNNVh3&#10;BwZHK+YVnwt3i59CqE1GVSdRUinz89C+x+PEw1NKNjiqM2p/tGA4JeKLxKafpqMRmnVhgRNmiAuz&#10;f7LaP5Ftc6FwIqRYyJoF0eOd2ImFUc0jvioL7xWPQDL0nVHmzG5x4eITgu8S44tFgOE81+Cu5VIz&#10;b9yz6svsYfsIRnezzeFQvFG7sQ6zVyMuYr2mVIvWqaIO8++Z145vfAtCsXbvln9s9tcB9fy6z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FTgscI9AwAApQ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E16925" w:rsidRDefault="00E16925"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E16925" w:rsidRPr="00E16925" w:rsidRDefault="00E16925" w:rsidP="00E16925">
    <w:pPr>
      <w:pStyle w:val="Encabezado"/>
      <w:rPr>
        <w:rFonts w:ascii="Times New Roman" w:hAnsi="Times New Roman" w:cs="Times New Roman"/>
        <w:lang w:val="es-MX"/>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81" w:rsidRPr="007D4651" w:rsidRDefault="00FA3B8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0528" behindDoc="1" locked="0" layoutInCell="1" allowOverlap="1" wp14:anchorId="035784D9" wp14:editId="4F903A8B">
          <wp:simplePos x="0" y="0"/>
          <wp:positionH relativeFrom="column">
            <wp:posOffset>-89849</wp:posOffset>
          </wp:positionH>
          <wp:positionV relativeFrom="paragraph">
            <wp:posOffset>-163027</wp:posOffset>
          </wp:positionV>
          <wp:extent cx="1697990" cy="914400"/>
          <wp:effectExtent l="0" t="0" r="0" b="0"/>
          <wp:wrapNone/>
          <wp:docPr id="46" name="Imagen 46"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FA3B81" w:rsidRPr="007D4651" w:rsidRDefault="009D0D94"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Agosto</w:t>
    </w:r>
    <w:r w:rsidR="00FA3B81" w:rsidRPr="007D4651">
      <w:rPr>
        <w:rFonts w:ascii="Times New Roman" w:hAnsi="Times New Roman" w:cs="Times New Roman"/>
        <w:color w:val="1F497D" w:themeColor="text2"/>
        <w:lang w:val="es-MX"/>
      </w:rPr>
      <w:t xml:space="preserve"> 2016</w:t>
    </w:r>
  </w:p>
  <w:p w:rsidR="00FA3B81" w:rsidRDefault="00FA3B8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69504" behindDoc="0" locked="0" layoutInCell="1" allowOverlap="1" wp14:anchorId="6B22CBCC" wp14:editId="30F14121">
              <wp:simplePos x="0" y="0"/>
              <wp:positionH relativeFrom="column">
                <wp:posOffset>1710568</wp:posOffset>
              </wp:positionH>
              <wp:positionV relativeFrom="paragraph">
                <wp:posOffset>29118</wp:posOffset>
              </wp:positionV>
              <wp:extent cx="5155894" cy="45719"/>
              <wp:effectExtent l="38100" t="38100" r="64135" b="88265"/>
              <wp:wrapNone/>
              <wp:docPr id="15" name="15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0E4BD9" id="15 Rectángulo" o:spid="_x0000_s1026" style="position:absolute;margin-left:134.7pt;margin-top:2.3pt;width:406pt;height: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vwPQMAAKcHAAAOAAAAZHJzL2Uyb0RvYy54bWysVd1O2zAUvp+0d7B8P5KUZrQVKapATJPY&#10;QJSJa9dxmmiO7dnu395mz7IX2zl2GgqrEJp2kxzb3/n9jo/PL7atJGthXaNVQbOTlBKhuC4btSzo&#10;t4frDyNKnGeqZFIrUdCdcPRi+v7d+cZMxEDXWpbCEjCi3GRjClp7byZJ4ngtWuZOtBEKDittW+Zh&#10;aZdJadkGrLcyGaTpx2SjbWms5sI52L2Kh3Qa7FeV4P62qpzwRBYUYvPha8N3gd9kes4mS8tM3fAu&#10;DPYPUbSsUeC0N3XFPCMr2/xlqm241U5X/oTrNtFV1XARcoBssvRFNvOaGRFygeI405fJ/T+z/Ov6&#10;zpKmBO5yShRrgaMsJ/dQuN+/1HIlNZZoY9wEkHNzZ7uVAxHz3Va2xT9kQrahrLu+rGLrCYfNPMvz&#10;0XhICYezYX6WjdFm8qRsrPOfhG4JCgW14DwUk61vnI/QPaSrcXndSBlkB5AoEKOhMKeDPB0E7dBD&#10;4lJasmbAPuNcKJ91rpfuUOlsME7TY0qLZbQlV+0XXUZDAAVwDKv3EfJ5bnQwRBy66VHRABqN6s8V&#10;joJfCzsPkRzx8JpShkpvdAUcLfcFlo0iDG81XCPHmRTYM/s8LOsZkQoDUhoZilnGHRFuY8eWXnlh&#10;53W5IQu5svcMbOXpCMIiZYMtcDqCMHEBV3VwFiMmTC5hxnhJidX+sfF1uB8YEHrEDunJXkjGv4dt&#10;Jk3NYt2Rjz1xHTrQ1gcTVgdxJtj3sdOD5HdSoCup7kUFlwZ6+9VWC8zUrBTRf6TrWOMEg4iuoGi9&#10;7exY8zyntsOjaoy7V34Dw71G8KyV75XbRml7zLvsL1AV8VCyg9KguNDlDkYKUBRbxfDrBqi5Yc7f&#10;MQvDFXiFB8PfwqeSelNQ3UmU1Nr+PLaPeJh5cErJBoZ1Qd2PFbOCEvlZwaUfZ8MhmPVhARNmAAt7&#10;eLI4PFGr9lLDRMigkQ0PIuK93IuV1e0jvCsz9ApHTHHwXVDu7X5x6eMjAi8TF7NZgMFEN8zfqLnh&#10;aByrim32sH1k1nSzzcNQ/Kr3g51NXoy4iEVNpWcrr6smzL+nunb1htcgNGv3cuFzc7gOqKf3dfoH&#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J9X2/A9AwAApw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FA3B81" w:rsidRDefault="00FA3B81"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FA3B81" w:rsidRPr="00E16925" w:rsidRDefault="00FA3B81" w:rsidP="00E16925">
    <w:pPr>
      <w:pStyle w:val="Encabezado"/>
      <w:rPr>
        <w:rFonts w:ascii="Times New Roman" w:hAnsi="Times New Roman" w:cs="Times New Roman"/>
        <w:lang w:val="es-MX"/>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91" w:rsidRPr="007D4651" w:rsidRDefault="00F7649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4624" behindDoc="1" locked="0" layoutInCell="1" allowOverlap="1" wp14:anchorId="60C882BA" wp14:editId="074BFE81">
          <wp:simplePos x="0" y="0"/>
          <wp:positionH relativeFrom="column">
            <wp:posOffset>-89849</wp:posOffset>
          </wp:positionH>
          <wp:positionV relativeFrom="paragraph">
            <wp:posOffset>-163027</wp:posOffset>
          </wp:positionV>
          <wp:extent cx="1697990" cy="914400"/>
          <wp:effectExtent l="0" t="0" r="0" b="0"/>
          <wp:wrapNone/>
          <wp:docPr id="37" name="Imagen 3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F76491" w:rsidRPr="007D4651" w:rsidRDefault="00DD23C0"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Agosto</w:t>
    </w:r>
    <w:r w:rsidR="00F76491" w:rsidRPr="007D4651">
      <w:rPr>
        <w:rFonts w:ascii="Times New Roman" w:hAnsi="Times New Roman" w:cs="Times New Roman"/>
        <w:color w:val="1F497D" w:themeColor="text2"/>
        <w:lang w:val="es-MX"/>
      </w:rPr>
      <w:t xml:space="preserve"> 2016</w:t>
    </w:r>
  </w:p>
  <w:p w:rsidR="00F76491" w:rsidRDefault="00F7649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3600" behindDoc="0" locked="0" layoutInCell="1" allowOverlap="1" wp14:anchorId="096F41AE" wp14:editId="0C376723">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C5AD31"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F76491" w:rsidRDefault="00F76491"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F76491" w:rsidRPr="00E16925" w:rsidRDefault="00F76491" w:rsidP="00E16925">
    <w:pPr>
      <w:pStyle w:val="Encabezado"/>
      <w:rPr>
        <w:rFonts w:ascii="Times New Roman" w:hAnsi="Times New Roman" w:cs="Times New Roman"/>
        <w:lang w:val="es-MX"/>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1D" w:rsidRPr="007D4651" w:rsidRDefault="00494D1D"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8720" behindDoc="1" locked="0" layoutInCell="1" allowOverlap="1" wp14:anchorId="43114EA2" wp14:editId="0A028827">
          <wp:simplePos x="0" y="0"/>
          <wp:positionH relativeFrom="column">
            <wp:posOffset>-89849</wp:posOffset>
          </wp:positionH>
          <wp:positionV relativeFrom="paragraph">
            <wp:posOffset>-163027</wp:posOffset>
          </wp:positionV>
          <wp:extent cx="1697990" cy="914400"/>
          <wp:effectExtent l="0" t="0" r="0" b="0"/>
          <wp:wrapNone/>
          <wp:docPr id="27" name="Imagen 2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494D1D" w:rsidRPr="007D4651" w:rsidRDefault="009D0D94"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Agosto</w:t>
    </w:r>
    <w:r w:rsidR="00494D1D" w:rsidRPr="007D4651">
      <w:rPr>
        <w:rFonts w:ascii="Times New Roman" w:hAnsi="Times New Roman" w:cs="Times New Roman"/>
        <w:color w:val="1F497D" w:themeColor="text2"/>
        <w:lang w:val="es-MX"/>
      </w:rPr>
      <w:t xml:space="preserve"> 2016</w:t>
    </w:r>
  </w:p>
  <w:p w:rsidR="00494D1D" w:rsidRDefault="00494D1D"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7696" behindDoc="0" locked="0" layoutInCell="1" allowOverlap="1" wp14:anchorId="1E2DF7D8" wp14:editId="6489CB5E">
              <wp:simplePos x="0" y="0"/>
              <wp:positionH relativeFrom="column">
                <wp:posOffset>1710568</wp:posOffset>
              </wp:positionH>
              <wp:positionV relativeFrom="paragraph">
                <wp:posOffset>29118</wp:posOffset>
              </wp:positionV>
              <wp:extent cx="5155894" cy="45719"/>
              <wp:effectExtent l="38100" t="38100" r="64135" b="88265"/>
              <wp:wrapNone/>
              <wp:docPr id="25" name="25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15AEC3" id="25 Rectángulo" o:spid="_x0000_s1026" style="position:absolute;margin-left:134.7pt;margin-top:2.3pt;width:406pt;height:3.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I2PgMAAKcHAAAOAAAAZHJzL2Uyb0RvYy54bWysVdtu2yAYvp+0d0Dcrz40XpOoThW16jSp&#10;W6umU68JxgcNAwMcJ3ubPctebD/guGkXVdW0G/sHvv/A9x84v9i2HG2YNo0UOU5OYoyYoLJoRJXj&#10;bw/XH6YYGUtEQbgULMc7ZvDF4v27817NWSpryQumERgRZt6rHNfWqnkUGVqzlpgTqZiAw1LqllhY&#10;6ioqNOnBesujNI4/Rr3UhdKSMmNg9yoc4oW3X5aM2tuyNMwinmOIzfqv9t+1+0aLczKvNFF1Q4cw&#10;yD9E0ZJGgNPR1BWxBHW6+ctU21AtjSztCZVtJMuyoczfAW6TxC9us6qJYv4uQI5RI03m/5mlXzd3&#10;GjVFjtMMI0FayFGaoXsg7vcvUXVcOop6ZeaAXKk7PawMiO6+21K37g83QVtP626klW0torCZJVk2&#10;nU0wonA2yc6SmbMZPSkrbewnJlvkhBxrcO7JJJsbYwN0Dxk4Lq4bzr1sABIEpCQQc5pmceq1fQ2x&#10;S67RhkD2CaVM2GRwXZlDpbN0FsfHlNZVsMW79ossgiGAAjiENfrw93luNJ04nHMzooIBZzSoP1c4&#10;Cn4t7MxHcsTDa0qJU3qjK8hRtSeYNwIR19XQRoYSzqBmRjY1GTPChQtISJehcMuww3w3DtmSnWV6&#10;VRc9WvNO3xOwlcVTCAsVjSuB0ymE6RbQqulZiBgRXsGMsRwjLe1jY2vfHy4g59FVyJjsNSf0u98m&#10;XNUk8O7ysU/cgPZpG4Pxq4M4I1f3odK9ZHecOVdc3LMSmgZq+9VS85mpScGC/5CuY4XjDTp0CaSN&#10;tpNjxfM8tQPeqYa4R+U3ZHjU8J6lsKNy2wipj3nnYwOVAQ+UHVDjxLUsdjBSIEWhVBS9biA1N8TY&#10;O6JhuEJe4cGwt/ApuexzLAcJo1rqn8f2HR5mHpxi1MOwzrH50RHNMOKfBTT9LJlMwKz1C5gwKSz0&#10;4cn68ER07aWEiZBAISvqRYe3fC+WWraP8K4snVc4IoKC7xxTq/eLSxseEXiZKFsuPQwmuiL2RqwU&#10;dcYdq67MHraPRKthtlkYil/lfrCT+YsRF7BOU8hlZ2XZ+Pn3xOvAN7wGvliHl8s9N4drj3p6Xxd/&#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BVXKI2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494D1D" w:rsidRDefault="00494D1D"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494D1D" w:rsidRPr="00E16925" w:rsidRDefault="00494D1D" w:rsidP="00E16925">
    <w:pPr>
      <w:pStyle w:val="Encabezado"/>
      <w:rPr>
        <w:rFonts w:ascii="Times New Roman" w:hAnsi="Times New Roman" w:cs="Times New Roman"/>
        <w:lang w:val="es-MX"/>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41" w:rsidRPr="007D4651" w:rsidRDefault="00416D4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2816" behindDoc="1" locked="0" layoutInCell="1" allowOverlap="1" wp14:anchorId="0991E0CB" wp14:editId="3C698D16">
          <wp:simplePos x="0" y="0"/>
          <wp:positionH relativeFrom="column">
            <wp:posOffset>-89849</wp:posOffset>
          </wp:positionH>
          <wp:positionV relativeFrom="paragraph">
            <wp:posOffset>-163027</wp:posOffset>
          </wp:positionV>
          <wp:extent cx="1697990" cy="914400"/>
          <wp:effectExtent l="0" t="0" r="0" b="0"/>
          <wp:wrapNone/>
          <wp:docPr id="40" name="Imagen 40"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416D41" w:rsidRPr="007D4651" w:rsidRDefault="00416D41"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Agosto</w:t>
    </w:r>
    <w:r w:rsidRPr="007D4651">
      <w:rPr>
        <w:rFonts w:ascii="Times New Roman" w:hAnsi="Times New Roman" w:cs="Times New Roman"/>
        <w:color w:val="1F497D" w:themeColor="text2"/>
        <w:lang w:val="es-MX"/>
      </w:rPr>
      <w:t xml:space="preserve"> 2016</w:t>
    </w:r>
  </w:p>
  <w:p w:rsidR="00416D41" w:rsidRDefault="00416D4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81792" behindDoc="0" locked="0" layoutInCell="1" allowOverlap="1" wp14:anchorId="38564774" wp14:editId="61000B66">
              <wp:simplePos x="0" y="0"/>
              <wp:positionH relativeFrom="column">
                <wp:posOffset>1710568</wp:posOffset>
              </wp:positionH>
              <wp:positionV relativeFrom="paragraph">
                <wp:posOffset>29118</wp:posOffset>
              </wp:positionV>
              <wp:extent cx="5155894" cy="45719"/>
              <wp:effectExtent l="38100" t="38100" r="64135" b="88265"/>
              <wp:wrapNone/>
              <wp:docPr id="38" name="38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E28714" id="38 Rectángulo" o:spid="_x0000_s1026" style="position:absolute;margin-left:134.7pt;margin-top:2.3pt;width:406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PiPwMAAKcHAAAOAAAAZHJzL2Uyb0RvYy54bWysVclu2zAQvRfoPxC8N7Jku7GNyIGRIEWB&#10;tAniFDmPKWpBKZIl6SX9m35Lf6xDUlac1AiCoheJy5uF7w2HZ+e7VpANN7ZRMqfpyYASLpkqGlnl&#10;9Nv91YcJJdaBLEAoyXP6yC09n79/d7bVM56pWomCG4JOpJ1tdU5r5/QsSSyreQv2RGkucbNUpgWH&#10;U1MlhYEtem9Fkg0GH5OtMoU2inFrcfUybtJ58F+WnLmbsrTcEZFTzM2Frwnflf8m8zOYVQZ03bAu&#10;DfiHLFpoJAbtXV2CA7I2zV+u2oYZZVXpTphqE1WWDePhDHiadPDiNMsaNA9nQXKs7mmy/88t+7q5&#10;NaQpcjpEpSS0qNFwQu6QuN+/ZLUWylO01XaGyKW+Nd3M4tCfd1ea1v/xJGQXaH3saeU7RxgujtPx&#10;eDIdUcJwbzQ+TafeZ/JkrI11n7hqiR/k1GDwQCZsrq2L0D2k47i4aoQIY4uQOCBaITHDbDzIgnWo&#10;IX4hDNkAqg+McenSLnRlD41Os+lgcMxoVUVfYt1+UUV0hFAEx7T6GOE8z51mI4/zYXpUdOCdRvPn&#10;BkfBr6U9DpkcifCaUeqN3hgKNar2BItGEvC3Gq+RZSA41kzPpoFeESF9QlJ5heIp4woPt7FTS60d&#10;N8u62JKVWJs7QF/jwQTTIkXjS2A4wTT9BK9qdhozJiAq7DFOUGKUe2hcHe6HT8hH9BXSi70SwL6H&#10;ZRC6hsi712MvXIcOsvXJhNlBnomv+1jpYeQeBfehhLzjJV4arO1XSy0oU0PBY/wo17HCCQ49ukTS&#10;et/pseJ5Lm2H96Yx7974DQr3FiGykq43bhupzLHoor9AZcQjZQfU+OFKFY/YUlCiWCqaXTUozTVY&#10;dwsGmyvqig+Gu8FPKdQ2p6obUVIr8/PYusdjz8NdSrbYrHNqf6zBcErEZ4mXfpqORujWhQl2mAwn&#10;5nBndbgj1+2Fwo6QYiFrFoYe78R+WBrVPuC7svBRcQskw9g5Zc7sJxcuPiL4MjG+WAQYdnQN7lou&#10;NfPOPau+zO53D2B019scNsWvat/YYfaixUWst5RqsXaqbEL/e+K14xtfg1Cs3cvln5vDe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k2nT4j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416D41" w:rsidRDefault="00416D41"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416D41" w:rsidRPr="00E16925" w:rsidRDefault="00416D41" w:rsidP="00E16925">
    <w:pPr>
      <w:pStyle w:val="Encabezado"/>
      <w:rPr>
        <w:rFonts w:ascii="Times New Roman" w:hAnsi="Times New Roman" w:cs="Times New Roman"/>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41F5"/>
    <w:multiLevelType w:val="hybridMultilevel"/>
    <w:tmpl w:val="6C9AD4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 w15:restartNumberingAfterBreak="0">
    <w:nsid w:val="318C7F52"/>
    <w:multiLevelType w:val="hybridMultilevel"/>
    <w:tmpl w:val="8BEAF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 w15:restartNumberingAfterBreak="0">
    <w:nsid w:val="5EB178D6"/>
    <w:multiLevelType w:val="hybridMultilevel"/>
    <w:tmpl w:val="8794A3C4"/>
    <w:lvl w:ilvl="0" w:tplc="06C04D0C">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51"/>
    <w:rsid w:val="00006489"/>
    <w:rsid w:val="00053517"/>
    <w:rsid w:val="00087ADE"/>
    <w:rsid w:val="000D2FA4"/>
    <w:rsid w:val="000E31DD"/>
    <w:rsid w:val="00111B77"/>
    <w:rsid w:val="001259BA"/>
    <w:rsid w:val="00157402"/>
    <w:rsid w:val="00160EAC"/>
    <w:rsid w:val="00185253"/>
    <w:rsid w:val="001D01FB"/>
    <w:rsid w:val="001D46C3"/>
    <w:rsid w:val="001E0E10"/>
    <w:rsid w:val="001F7141"/>
    <w:rsid w:val="002101C9"/>
    <w:rsid w:val="00213C92"/>
    <w:rsid w:val="00240D86"/>
    <w:rsid w:val="00242202"/>
    <w:rsid w:val="00264C3A"/>
    <w:rsid w:val="002672D5"/>
    <w:rsid w:val="00281FB7"/>
    <w:rsid w:val="00296D57"/>
    <w:rsid w:val="002E3F4C"/>
    <w:rsid w:val="002F2A42"/>
    <w:rsid w:val="00331871"/>
    <w:rsid w:val="00345216"/>
    <w:rsid w:val="0034700C"/>
    <w:rsid w:val="00376802"/>
    <w:rsid w:val="00393E59"/>
    <w:rsid w:val="003A3726"/>
    <w:rsid w:val="003C7085"/>
    <w:rsid w:val="00416D41"/>
    <w:rsid w:val="0042387A"/>
    <w:rsid w:val="004575BA"/>
    <w:rsid w:val="004606FD"/>
    <w:rsid w:val="00494D1D"/>
    <w:rsid w:val="00495F43"/>
    <w:rsid w:val="004A6705"/>
    <w:rsid w:val="004B5B0F"/>
    <w:rsid w:val="004C208F"/>
    <w:rsid w:val="004E4FDE"/>
    <w:rsid w:val="004F72F9"/>
    <w:rsid w:val="005004C9"/>
    <w:rsid w:val="005077A5"/>
    <w:rsid w:val="005428C6"/>
    <w:rsid w:val="005A1EFC"/>
    <w:rsid w:val="005B1B53"/>
    <w:rsid w:val="005B6D05"/>
    <w:rsid w:val="00606D70"/>
    <w:rsid w:val="00610F84"/>
    <w:rsid w:val="006525C5"/>
    <w:rsid w:val="006553D6"/>
    <w:rsid w:val="0066791B"/>
    <w:rsid w:val="006A1473"/>
    <w:rsid w:val="006B0D82"/>
    <w:rsid w:val="006D1857"/>
    <w:rsid w:val="006D7BB6"/>
    <w:rsid w:val="006E27A5"/>
    <w:rsid w:val="006F20A4"/>
    <w:rsid w:val="00715D8F"/>
    <w:rsid w:val="007177A7"/>
    <w:rsid w:val="00741F6B"/>
    <w:rsid w:val="00753591"/>
    <w:rsid w:val="00754057"/>
    <w:rsid w:val="0078479F"/>
    <w:rsid w:val="00784AF8"/>
    <w:rsid w:val="007A7814"/>
    <w:rsid w:val="007C4E46"/>
    <w:rsid w:val="007D38A9"/>
    <w:rsid w:val="007D4651"/>
    <w:rsid w:val="007E314A"/>
    <w:rsid w:val="00851B4B"/>
    <w:rsid w:val="00861640"/>
    <w:rsid w:val="00887661"/>
    <w:rsid w:val="00891B11"/>
    <w:rsid w:val="00892DE1"/>
    <w:rsid w:val="008B12FF"/>
    <w:rsid w:val="008E5C4F"/>
    <w:rsid w:val="008E7869"/>
    <w:rsid w:val="008F312E"/>
    <w:rsid w:val="00910163"/>
    <w:rsid w:val="00993857"/>
    <w:rsid w:val="00997A06"/>
    <w:rsid w:val="009A12F9"/>
    <w:rsid w:val="009A3187"/>
    <w:rsid w:val="009A47FE"/>
    <w:rsid w:val="009B7148"/>
    <w:rsid w:val="009D0D94"/>
    <w:rsid w:val="009D25F9"/>
    <w:rsid w:val="00A26C76"/>
    <w:rsid w:val="00A64AE4"/>
    <w:rsid w:val="00A92D6E"/>
    <w:rsid w:val="00A970F8"/>
    <w:rsid w:val="00AA11B9"/>
    <w:rsid w:val="00AD03E8"/>
    <w:rsid w:val="00AE2039"/>
    <w:rsid w:val="00B21010"/>
    <w:rsid w:val="00B2709E"/>
    <w:rsid w:val="00B5079C"/>
    <w:rsid w:val="00B667BC"/>
    <w:rsid w:val="00B86812"/>
    <w:rsid w:val="00BC7539"/>
    <w:rsid w:val="00BC79C1"/>
    <w:rsid w:val="00C33674"/>
    <w:rsid w:val="00C85696"/>
    <w:rsid w:val="00C935C2"/>
    <w:rsid w:val="00CA57D4"/>
    <w:rsid w:val="00CA65FF"/>
    <w:rsid w:val="00CC3420"/>
    <w:rsid w:val="00CD7760"/>
    <w:rsid w:val="00CF2D98"/>
    <w:rsid w:val="00CF73B4"/>
    <w:rsid w:val="00D30D15"/>
    <w:rsid w:val="00D40769"/>
    <w:rsid w:val="00D43052"/>
    <w:rsid w:val="00D50ABF"/>
    <w:rsid w:val="00D532B4"/>
    <w:rsid w:val="00D66D34"/>
    <w:rsid w:val="00D75C74"/>
    <w:rsid w:val="00D858E5"/>
    <w:rsid w:val="00DA7B48"/>
    <w:rsid w:val="00DC44CF"/>
    <w:rsid w:val="00DD01C5"/>
    <w:rsid w:val="00DD23C0"/>
    <w:rsid w:val="00DD4AB3"/>
    <w:rsid w:val="00DD4D5D"/>
    <w:rsid w:val="00DF71A8"/>
    <w:rsid w:val="00E16925"/>
    <w:rsid w:val="00E3492D"/>
    <w:rsid w:val="00EA37FC"/>
    <w:rsid w:val="00EB0FC5"/>
    <w:rsid w:val="00ED2C29"/>
    <w:rsid w:val="00F20D0D"/>
    <w:rsid w:val="00F229CE"/>
    <w:rsid w:val="00F644EA"/>
    <w:rsid w:val="00F76491"/>
    <w:rsid w:val="00FA3B81"/>
    <w:rsid w:val="00FA5DE4"/>
    <w:rsid w:val="00FB2C2F"/>
    <w:rsid w:val="00FD61B9"/>
    <w:rsid w:val="00FE65DB"/>
    <w:rsid w:val="00FF58D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A72D54-954E-4451-AB1A-9063FE97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2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png"/><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8.emf"/><Relationship Id="rId28"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image" Target="media/image4.emf"/><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image" Target="media/image7.png"/><Relationship Id="rId27" Type="http://schemas.openxmlformats.org/officeDocument/2006/relationships/footer" Target="footer5.xml"/><Relationship Id="rId30"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edeleon.DC-DI01\Desktop\grafico%20imae%201908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deleon.DC-DI01\Desktop\graficos%20para%20imformes%20mensu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3627976735467"/>
          <c:y val="7.8889447329722084E-2"/>
          <c:w val="0.70934016968809144"/>
          <c:h val="0.75713259246849474"/>
        </c:manualLayout>
      </c:layout>
      <c:radarChart>
        <c:radarStyle val="filled"/>
        <c:varyColors val="0"/>
        <c:ser>
          <c:idx val="0"/>
          <c:order val="0"/>
          <c:tx>
            <c:strRef>
              <c:f>Hoja1!$B$1</c:f>
              <c:strCache>
                <c:ptCount val="1"/>
                <c:pt idx="0">
                  <c:v>Obs 2015</c:v>
                </c:pt>
              </c:strCache>
            </c:strRef>
          </c:tx>
          <c:cat>
            <c:strRef>
              <c:f>Hoja1!$A$2:$A$9</c:f>
              <c:strCache>
                <c:ptCount val="8"/>
                <c:pt idx="0">
                  <c:v>Ene</c:v>
                </c:pt>
                <c:pt idx="1">
                  <c:v>Feb</c:v>
                </c:pt>
                <c:pt idx="2">
                  <c:v>Mar</c:v>
                </c:pt>
                <c:pt idx="3">
                  <c:v>Abr</c:v>
                </c:pt>
                <c:pt idx="4">
                  <c:v>May</c:v>
                </c:pt>
                <c:pt idx="5">
                  <c:v>Jun</c:v>
                </c:pt>
                <c:pt idx="6">
                  <c:v>Jul</c:v>
                </c:pt>
                <c:pt idx="7">
                  <c:v>Ago</c:v>
                </c:pt>
              </c:strCache>
            </c:strRef>
          </c:cat>
          <c:val>
            <c:numRef>
              <c:f>Hoja1!$B$2:$B$9</c:f>
              <c:numCache>
                <c:formatCode>General</c:formatCode>
                <c:ptCount val="8"/>
                <c:pt idx="0">
                  <c:v>4793.1929513699997</c:v>
                </c:pt>
                <c:pt idx="1">
                  <c:v>3340.3352861099997</c:v>
                </c:pt>
                <c:pt idx="2">
                  <c:v>4196.6591701000007</c:v>
                </c:pt>
                <c:pt idx="3">
                  <c:v>5113.6796767500009</c:v>
                </c:pt>
                <c:pt idx="4">
                  <c:v>3518.2657985399983</c:v>
                </c:pt>
                <c:pt idx="5">
                  <c:v>3532.4241271699993</c:v>
                </c:pt>
                <c:pt idx="6">
                  <c:v>5776.3105588500002</c:v>
                </c:pt>
                <c:pt idx="7">
                  <c:v>3540.7439999499993</c:v>
                </c:pt>
              </c:numCache>
            </c:numRef>
          </c:val>
          <c:extLst>
            <c:ext xmlns:c16="http://schemas.microsoft.com/office/drawing/2014/chart" uri="{C3380CC4-5D6E-409C-BE32-E72D297353CC}">
              <c16:uniqueId val="{00000000-7192-4C26-B4C4-ACD299514554}"/>
            </c:ext>
          </c:extLst>
        </c:ser>
        <c:dLbls>
          <c:showLegendKey val="0"/>
          <c:showVal val="0"/>
          <c:showCatName val="0"/>
          <c:showSerName val="0"/>
          <c:showPercent val="0"/>
          <c:showBubbleSize val="0"/>
        </c:dLbls>
        <c:axId val="156686592"/>
        <c:axId val="156762496"/>
      </c:radarChart>
      <c:radarChart>
        <c:radarStyle val="marker"/>
        <c:varyColors val="0"/>
        <c:ser>
          <c:idx val="1"/>
          <c:order val="1"/>
          <c:tx>
            <c:strRef>
              <c:f>Hoja1!$C$1</c:f>
              <c:strCache>
                <c:ptCount val="1"/>
                <c:pt idx="0">
                  <c:v>Obs 2016</c:v>
                </c:pt>
              </c:strCache>
            </c:strRef>
          </c:tx>
          <c:spPr>
            <a:ln w="34925">
              <a:solidFill>
                <a:srgbClr val="FF0000"/>
              </a:solidFill>
            </a:ln>
          </c:spPr>
          <c:marker>
            <c:symbol val="star"/>
            <c:size val="7"/>
            <c:spPr>
              <a:noFill/>
            </c:spPr>
          </c:marker>
          <c:cat>
            <c:strRef>
              <c:f>Hoja1!$A$2:$A$9</c:f>
              <c:strCache>
                <c:ptCount val="8"/>
                <c:pt idx="0">
                  <c:v>Ene</c:v>
                </c:pt>
                <c:pt idx="1">
                  <c:v>Feb</c:v>
                </c:pt>
                <c:pt idx="2">
                  <c:v>Mar</c:v>
                </c:pt>
                <c:pt idx="3">
                  <c:v>Abr</c:v>
                </c:pt>
                <c:pt idx="4">
                  <c:v>May</c:v>
                </c:pt>
                <c:pt idx="5">
                  <c:v>Jun</c:v>
                </c:pt>
                <c:pt idx="6">
                  <c:v>Jul</c:v>
                </c:pt>
                <c:pt idx="7">
                  <c:v>Ago</c:v>
                </c:pt>
              </c:strCache>
            </c:strRef>
          </c:cat>
          <c:val>
            <c:numRef>
              <c:f>Hoja1!$C$2:$C$9</c:f>
              <c:numCache>
                <c:formatCode>General</c:formatCode>
                <c:ptCount val="8"/>
                <c:pt idx="0">
                  <c:v>4921.7370413000008</c:v>
                </c:pt>
                <c:pt idx="1">
                  <c:v>3350.36568291</c:v>
                </c:pt>
                <c:pt idx="2">
                  <c:v>4244.1582652600009</c:v>
                </c:pt>
                <c:pt idx="3">
                  <c:v>5310.2536938900012</c:v>
                </c:pt>
                <c:pt idx="4">
                  <c:v>4457.7989239899998</c:v>
                </c:pt>
                <c:pt idx="5">
                  <c:v>3828.188011589999</c:v>
                </c:pt>
                <c:pt idx="6">
                  <c:v>6257.3371342500013</c:v>
                </c:pt>
                <c:pt idx="7">
                  <c:v>4140.8641634599971</c:v>
                </c:pt>
              </c:numCache>
            </c:numRef>
          </c:val>
          <c:extLst>
            <c:ext xmlns:c16="http://schemas.microsoft.com/office/drawing/2014/chart" uri="{C3380CC4-5D6E-409C-BE32-E72D297353CC}">
              <c16:uniqueId val="{00000001-7192-4C26-B4C4-ACD299514554}"/>
            </c:ext>
          </c:extLst>
        </c:ser>
        <c:ser>
          <c:idx val="2"/>
          <c:order val="2"/>
          <c:tx>
            <c:strRef>
              <c:f>Hoja1!$D$1</c:f>
              <c:strCache>
                <c:ptCount val="1"/>
                <c:pt idx="0">
                  <c:v>Meta</c:v>
                </c:pt>
              </c:strCache>
            </c:strRef>
          </c:tx>
          <c:spPr>
            <a:ln w="25400">
              <a:solidFill>
                <a:schemeClr val="tx1"/>
              </a:solidFill>
              <a:prstDash val="sysDash"/>
            </a:ln>
          </c:spPr>
          <c:marker>
            <c:symbol val="circle"/>
            <c:size val="7"/>
            <c:spPr>
              <a:solidFill>
                <a:schemeClr val="tx1"/>
              </a:solidFill>
            </c:spPr>
          </c:marker>
          <c:cat>
            <c:strRef>
              <c:f>Hoja1!$A$2:$A$9</c:f>
              <c:strCache>
                <c:ptCount val="8"/>
                <c:pt idx="0">
                  <c:v>Ene</c:v>
                </c:pt>
                <c:pt idx="1">
                  <c:v>Feb</c:v>
                </c:pt>
                <c:pt idx="2">
                  <c:v>Mar</c:v>
                </c:pt>
                <c:pt idx="3">
                  <c:v>Abr</c:v>
                </c:pt>
                <c:pt idx="4">
                  <c:v>May</c:v>
                </c:pt>
                <c:pt idx="5">
                  <c:v>Jun</c:v>
                </c:pt>
                <c:pt idx="6">
                  <c:v>Jul</c:v>
                </c:pt>
                <c:pt idx="7">
                  <c:v>Ago</c:v>
                </c:pt>
              </c:strCache>
            </c:strRef>
          </c:cat>
          <c:val>
            <c:numRef>
              <c:f>Hoja1!$D$2:$D$9</c:f>
              <c:numCache>
                <c:formatCode>General</c:formatCode>
                <c:ptCount val="8"/>
                <c:pt idx="0">
                  <c:v>4887.7148302026471</c:v>
                </c:pt>
                <c:pt idx="1">
                  <c:v>3439.2913989343078</c:v>
                </c:pt>
                <c:pt idx="2">
                  <c:v>4616.5192966087643</c:v>
                </c:pt>
                <c:pt idx="3">
                  <c:v>5639.1303698183019</c:v>
                </c:pt>
                <c:pt idx="4">
                  <c:v>3913.219141793998</c:v>
                </c:pt>
                <c:pt idx="5">
                  <c:v>3885.8640132168375</c:v>
                </c:pt>
                <c:pt idx="6">
                  <c:v>6336.2675583674245</c:v>
                </c:pt>
                <c:pt idx="7">
                  <c:v>3898.0072775394024</c:v>
                </c:pt>
              </c:numCache>
            </c:numRef>
          </c:val>
          <c:extLst>
            <c:ext xmlns:c16="http://schemas.microsoft.com/office/drawing/2014/chart" uri="{C3380CC4-5D6E-409C-BE32-E72D297353CC}">
              <c16:uniqueId val="{00000002-7192-4C26-B4C4-ACD299514554}"/>
            </c:ext>
          </c:extLst>
        </c:ser>
        <c:dLbls>
          <c:showLegendKey val="0"/>
          <c:showVal val="0"/>
          <c:showCatName val="0"/>
          <c:showSerName val="0"/>
          <c:showPercent val="0"/>
          <c:showBubbleSize val="0"/>
        </c:dLbls>
        <c:axId val="156686592"/>
        <c:axId val="156762496"/>
      </c:radarChart>
      <c:catAx>
        <c:axId val="156686592"/>
        <c:scaling>
          <c:orientation val="minMax"/>
        </c:scaling>
        <c:delete val="0"/>
        <c:axPos val="b"/>
        <c:majorGridlines/>
        <c:numFmt formatCode="General" sourceLinked="1"/>
        <c:majorTickMark val="out"/>
        <c:minorTickMark val="none"/>
        <c:tickLblPos val="nextTo"/>
        <c:txPr>
          <a:bodyPr/>
          <a:lstStyle/>
          <a:p>
            <a:pPr>
              <a:defRPr b="1"/>
            </a:pPr>
            <a:endParaRPr lang="es-GT"/>
          </a:p>
        </c:txPr>
        <c:crossAx val="156762496"/>
        <c:crosses val="autoZero"/>
        <c:auto val="1"/>
        <c:lblAlgn val="ctr"/>
        <c:lblOffset val="100"/>
        <c:noMultiLvlLbl val="0"/>
      </c:catAx>
      <c:valAx>
        <c:axId val="156762496"/>
        <c:scaling>
          <c:orientation val="minMax"/>
        </c:scaling>
        <c:delete val="0"/>
        <c:axPos val="l"/>
        <c:majorGridlines>
          <c:spPr>
            <a:ln>
              <a:solidFill>
                <a:schemeClr val="accent1">
                  <a:lumMod val="40000"/>
                  <a:lumOff val="60000"/>
                </a:schemeClr>
              </a:solidFill>
            </a:ln>
          </c:spPr>
        </c:majorGridlines>
        <c:numFmt formatCode="General" sourceLinked="1"/>
        <c:majorTickMark val="cross"/>
        <c:minorTickMark val="none"/>
        <c:tickLblPos val="low"/>
        <c:txPr>
          <a:bodyPr/>
          <a:lstStyle/>
          <a:p>
            <a:pPr>
              <a:defRPr sz="800"/>
            </a:pPr>
            <a:endParaRPr lang="es-GT"/>
          </a:p>
        </c:txPr>
        <c:crossAx val="156686592"/>
        <c:crosses val="autoZero"/>
        <c:crossBetween val="between"/>
      </c:valAx>
    </c:plotArea>
    <c:legend>
      <c:legendPos val="r"/>
      <c:layout>
        <c:manualLayout>
          <c:xMode val="edge"/>
          <c:yMode val="edge"/>
          <c:x val="0"/>
          <c:y val="0.88408598171107255"/>
          <c:w val="0.95402298850574707"/>
          <c:h val="0.11334656085386535"/>
        </c:manualLayout>
      </c:layout>
      <c:overlay val="0"/>
      <c:txPr>
        <a:bodyPr/>
        <a:lstStyle/>
        <a:p>
          <a:pPr>
            <a:defRPr sz="700" b="1"/>
          </a:pPr>
          <a:endParaRPr lang="es-GT"/>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4591103743611"/>
          <c:y val="4.3137254901960784E-2"/>
          <c:w val="0.70768959801077502"/>
          <c:h val="0.89759518295507179"/>
        </c:manualLayout>
      </c:layout>
      <c:barChart>
        <c:barDir val="bar"/>
        <c:grouping val="clustered"/>
        <c:varyColors val="0"/>
        <c:ser>
          <c:idx val="0"/>
          <c:order val="0"/>
          <c:tx>
            <c:strRef>
              <c:f>Hoja1!$B$1</c:f>
              <c:strCache>
                <c:ptCount val="1"/>
                <c:pt idx="0">
                  <c:v>2016-2015</c:v>
                </c:pt>
              </c:strCache>
            </c:strRef>
          </c:tx>
          <c:spPr>
            <a:solidFill>
              <a:srgbClr val="0070C0"/>
            </a:solidFill>
          </c:spPr>
          <c:invertIfNegative val="0"/>
          <c:dLbls>
            <c:spPr>
              <a:noFill/>
              <a:ln>
                <a:noFill/>
              </a:ln>
              <a:effectLst/>
            </c:spPr>
            <c:txPr>
              <a:bodyPr/>
              <a:lstStyle/>
              <a:p>
                <a:pPr>
                  <a:defRPr sz="500" b="1">
                    <a:solidFill>
                      <a:srgbClr val="0070C0"/>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Hoja1!$A$2:$A$19</c:f>
              <c:strCache>
                <c:ptCount val="14"/>
                <c:pt idx="0">
                  <c:v>IVA imp</c:v>
                </c:pt>
                <c:pt idx="1">
                  <c:v>Cemento</c:v>
                </c:pt>
                <c:pt idx="2">
                  <c:v>Regalías</c:v>
                </c:pt>
                <c:pt idx="3">
                  <c:v>Timbres</c:v>
                </c:pt>
                <c:pt idx="4">
                  <c:v>Tabacos</c:v>
                </c:pt>
                <c:pt idx="5">
                  <c:v>Salidas</c:v>
                </c:pt>
                <c:pt idx="6">
                  <c:v>Bebidas</c:v>
                </c:pt>
                <c:pt idx="7">
                  <c:v>IPRIMA</c:v>
                </c:pt>
                <c:pt idx="8">
                  <c:v>Vehículos</c:v>
                </c:pt>
                <c:pt idx="9">
                  <c:v>DAI</c:v>
                </c:pt>
                <c:pt idx="10">
                  <c:v>ISO</c:v>
                </c:pt>
                <c:pt idx="11">
                  <c:v>Petróleo</c:v>
                </c:pt>
                <c:pt idx="12">
                  <c:v>IVA dom</c:v>
                </c:pt>
                <c:pt idx="13">
                  <c:v>ISR</c:v>
                </c:pt>
              </c:strCache>
            </c:strRef>
          </c:cat>
          <c:val>
            <c:numRef>
              <c:f>Hoja1!$B$2:$B$19</c:f>
              <c:numCache>
                <c:formatCode>#,##0.0</c:formatCode>
                <c:ptCount val="14"/>
                <c:pt idx="0">
                  <c:v>-262.57636519000062</c:v>
                </c:pt>
                <c:pt idx="1">
                  <c:v>-145.67116307999999</c:v>
                </c:pt>
                <c:pt idx="2">
                  <c:v>-68.540666039999991</c:v>
                </c:pt>
                <c:pt idx="3">
                  <c:v>6.5793529699999738</c:v>
                </c:pt>
                <c:pt idx="4">
                  <c:v>8.540794940000012</c:v>
                </c:pt>
                <c:pt idx="5">
                  <c:v>19.148878730000007</c:v>
                </c:pt>
                <c:pt idx="6">
                  <c:v>30.486772210000026</c:v>
                </c:pt>
                <c:pt idx="7">
                  <c:v>36.43005562999997</c:v>
                </c:pt>
                <c:pt idx="8">
                  <c:v>57.827875219999896</c:v>
                </c:pt>
                <c:pt idx="9">
                  <c:v>141.9749600099999</c:v>
                </c:pt>
                <c:pt idx="10">
                  <c:v>142.42501465999931</c:v>
                </c:pt>
                <c:pt idx="11">
                  <c:v>168.75928435999981</c:v>
                </c:pt>
                <c:pt idx="12">
                  <c:v>735.03378346000045</c:v>
                </c:pt>
                <c:pt idx="13">
                  <c:v>1824.6859221399991</c:v>
                </c:pt>
              </c:numCache>
            </c:numRef>
          </c:val>
          <c:extLst>
            <c:ext xmlns:c16="http://schemas.microsoft.com/office/drawing/2014/chart" uri="{C3380CC4-5D6E-409C-BE32-E72D297353CC}">
              <c16:uniqueId val="{00000000-462D-4D34-A8ED-FC7A93CFB081}"/>
            </c:ext>
          </c:extLst>
        </c:ser>
        <c:ser>
          <c:idx val="1"/>
          <c:order val="1"/>
          <c:tx>
            <c:strRef>
              <c:f>Hoja1!$C$1</c:f>
              <c:strCache>
                <c:ptCount val="1"/>
                <c:pt idx="0">
                  <c:v>2016-Presupuesto</c:v>
                </c:pt>
              </c:strCache>
            </c:strRef>
          </c:tx>
          <c:spPr>
            <a:solidFill>
              <a:srgbClr val="FF0000"/>
            </a:solidFill>
          </c:spPr>
          <c:invertIfNegative val="0"/>
          <c:dLbls>
            <c:spPr>
              <a:noFill/>
              <a:ln>
                <a:noFill/>
              </a:ln>
              <a:effectLst/>
            </c:spPr>
            <c:txPr>
              <a:bodyPr/>
              <a:lstStyle/>
              <a:p>
                <a:pPr>
                  <a:defRPr sz="500" b="1">
                    <a:solidFill>
                      <a:srgbClr val="FF0000"/>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Hoja1!$A$2:$A$19</c:f>
              <c:strCache>
                <c:ptCount val="14"/>
                <c:pt idx="0">
                  <c:v>IVA imp</c:v>
                </c:pt>
                <c:pt idx="1">
                  <c:v>Cemento</c:v>
                </c:pt>
                <c:pt idx="2">
                  <c:v>Regalías</c:v>
                </c:pt>
                <c:pt idx="3">
                  <c:v>Timbres</c:v>
                </c:pt>
                <c:pt idx="4">
                  <c:v>Tabacos</c:v>
                </c:pt>
                <c:pt idx="5">
                  <c:v>Salidas</c:v>
                </c:pt>
                <c:pt idx="6">
                  <c:v>Bebidas</c:v>
                </c:pt>
                <c:pt idx="7">
                  <c:v>IPRIMA</c:v>
                </c:pt>
                <c:pt idx="8">
                  <c:v>Vehículos</c:v>
                </c:pt>
                <c:pt idx="9">
                  <c:v>DAI</c:v>
                </c:pt>
                <c:pt idx="10">
                  <c:v>ISO</c:v>
                </c:pt>
                <c:pt idx="11">
                  <c:v>Petróleo</c:v>
                </c:pt>
                <c:pt idx="12">
                  <c:v>IVA dom</c:v>
                </c:pt>
                <c:pt idx="13">
                  <c:v>ISR</c:v>
                </c:pt>
              </c:strCache>
            </c:strRef>
          </c:cat>
          <c:val>
            <c:numRef>
              <c:f>Hoja1!$C$2:$C$19</c:f>
              <c:numCache>
                <c:formatCode>#,##0.0</c:formatCode>
                <c:ptCount val="14"/>
                <c:pt idx="0">
                  <c:v>-953.46273784999994</c:v>
                </c:pt>
                <c:pt idx="1">
                  <c:v>11.228300910000002</c:v>
                </c:pt>
                <c:pt idx="2">
                  <c:v>-30.200549766486205</c:v>
                </c:pt>
                <c:pt idx="3">
                  <c:v>-19.078702370000002</c:v>
                </c:pt>
                <c:pt idx="4">
                  <c:v>-27.56682275999998</c:v>
                </c:pt>
                <c:pt idx="5">
                  <c:v>1.6925339448058878</c:v>
                </c:pt>
                <c:pt idx="6">
                  <c:v>24.245151830000111</c:v>
                </c:pt>
                <c:pt idx="7">
                  <c:v>54.307511529999942</c:v>
                </c:pt>
                <c:pt idx="8">
                  <c:v>50.763830799999937</c:v>
                </c:pt>
                <c:pt idx="9">
                  <c:v>129.03110848000006</c:v>
                </c:pt>
                <c:pt idx="10">
                  <c:v>-22.857794020000256</c:v>
                </c:pt>
                <c:pt idx="11">
                  <c:v>161.52301628999976</c:v>
                </c:pt>
                <c:pt idx="12">
                  <c:v>-282.94175351000013</c:v>
                </c:pt>
                <c:pt idx="13">
                  <c:v>790.91190665000067</c:v>
                </c:pt>
              </c:numCache>
            </c:numRef>
          </c:val>
          <c:extLst>
            <c:ext xmlns:c16="http://schemas.microsoft.com/office/drawing/2014/chart" uri="{C3380CC4-5D6E-409C-BE32-E72D297353CC}">
              <c16:uniqueId val="{00000001-462D-4D34-A8ED-FC7A93CFB081}"/>
            </c:ext>
          </c:extLst>
        </c:ser>
        <c:dLbls>
          <c:showLegendKey val="0"/>
          <c:showVal val="0"/>
          <c:showCatName val="0"/>
          <c:showSerName val="0"/>
          <c:showPercent val="0"/>
          <c:showBubbleSize val="0"/>
        </c:dLbls>
        <c:gapWidth val="42"/>
        <c:axId val="165095296"/>
        <c:axId val="165096832"/>
      </c:barChart>
      <c:catAx>
        <c:axId val="165095296"/>
        <c:scaling>
          <c:orientation val="minMax"/>
        </c:scaling>
        <c:delete val="0"/>
        <c:axPos val="l"/>
        <c:majorGridlines>
          <c:spPr>
            <a:ln>
              <a:solidFill>
                <a:srgbClr val="00B0F0">
                  <a:alpha val="30000"/>
                </a:srgbClr>
              </a:solidFill>
              <a:prstDash val="sysDash"/>
            </a:ln>
          </c:spPr>
        </c:majorGridlines>
        <c:numFmt formatCode="General" sourceLinked="0"/>
        <c:majorTickMark val="out"/>
        <c:minorTickMark val="none"/>
        <c:tickLblPos val="low"/>
        <c:spPr>
          <a:ln>
            <a:solidFill>
              <a:srgbClr val="00B0F0"/>
            </a:solidFill>
          </a:ln>
        </c:spPr>
        <c:txPr>
          <a:bodyPr/>
          <a:lstStyle/>
          <a:p>
            <a:pPr>
              <a:defRPr sz="800" b="1"/>
            </a:pPr>
            <a:endParaRPr lang="es-GT"/>
          </a:p>
        </c:txPr>
        <c:crossAx val="165096832"/>
        <c:crosses val="autoZero"/>
        <c:auto val="1"/>
        <c:lblAlgn val="ctr"/>
        <c:lblOffset val="100"/>
        <c:noMultiLvlLbl val="0"/>
      </c:catAx>
      <c:valAx>
        <c:axId val="165096832"/>
        <c:scaling>
          <c:orientation val="minMax"/>
        </c:scaling>
        <c:delete val="0"/>
        <c:axPos val="b"/>
        <c:majorGridlines>
          <c:spPr>
            <a:ln>
              <a:solidFill>
                <a:srgbClr val="00B0F0">
                  <a:alpha val="30000"/>
                </a:srgbClr>
              </a:solidFill>
              <a:prstDash val="sysDash"/>
            </a:ln>
          </c:spPr>
        </c:majorGridlines>
        <c:numFmt formatCode="#,##0" sourceLinked="0"/>
        <c:majorTickMark val="out"/>
        <c:minorTickMark val="none"/>
        <c:tickLblPos val="nextTo"/>
        <c:txPr>
          <a:bodyPr/>
          <a:lstStyle/>
          <a:p>
            <a:pPr>
              <a:defRPr sz="800" b="1"/>
            </a:pPr>
            <a:endParaRPr lang="es-GT"/>
          </a:p>
        </c:txPr>
        <c:crossAx val="165095296"/>
        <c:crosses val="autoZero"/>
        <c:crossBetween val="between"/>
      </c:valAx>
    </c:plotArea>
    <c:legend>
      <c:legendPos val="b"/>
      <c:layout>
        <c:manualLayout>
          <c:xMode val="edge"/>
          <c:yMode val="edge"/>
          <c:x val="0.6551101671501588"/>
          <c:y val="0.73030878493129536"/>
          <c:w val="0.34206478616228936"/>
          <c:h val="0.18410100490519002"/>
        </c:manualLayout>
      </c:layout>
      <c:overlay val="0"/>
      <c:txPr>
        <a:bodyPr/>
        <a:lstStyle/>
        <a:p>
          <a:pPr>
            <a:defRPr sz="700" b="1"/>
          </a:pPr>
          <a:endParaRPr lang="es-GT"/>
        </a:p>
      </c:txPr>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423523146563203"/>
          <c:y val="2.8891099803860256E-2"/>
          <c:w val="0.56169462512838064"/>
          <c:h val="0.89836171200621584"/>
        </c:manualLayout>
      </c:layout>
      <c:barChart>
        <c:barDir val="bar"/>
        <c:grouping val="clustered"/>
        <c:varyColors val="0"/>
        <c:ser>
          <c:idx val="0"/>
          <c:order val="0"/>
          <c:tx>
            <c:strRef>
              <c:f>Hoja1!$B$1</c:f>
              <c:strCache>
                <c:ptCount val="1"/>
                <c:pt idx="0">
                  <c:v>Obs/Meta</c:v>
                </c:pt>
              </c:strCache>
            </c:strRef>
          </c:tx>
          <c:spPr>
            <a:solidFill>
              <a:srgbClr val="FF0000"/>
            </a:solidFill>
          </c:spPr>
          <c:invertIfNegative val="0"/>
          <c:dPt>
            <c:idx val="0"/>
            <c:invertIfNegative val="0"/>
            <c:bubble3D val="0"/>
            <c:spPr>
              <a:solidFill>
                <a:srgbClr val="00B050"/>
              </a:solidFill>
            </c:spPr>
            <c:extLst>
              <c:ext xmlns:c16="http://schemas.microsoft.com/office/drawing/2014/chart" uri="{C3380CC4-5D6E-409C-BE32-E72D297353CC}">
                <c16:uniqueId val="{00000001-1366-42D8-85D3-A569EDB16EFD}"/>
              </c:ext>
            </c:extLst>
          </c:dPt>
          <c:dPt>
            <c:idx val="1"/>
            <c:invertIfNegative val="0"/>
            <c:bubble3D val="0"/>
            <c:spPr>
              <a:solidFill>
                <a:srgbClr val="00B050"/>
              </a:solidFill>
            </c:spPr>
            <c:extLst>
              <c:ext xmlns:c16="http://schemas.microsoft.com/office/drawing/2014/chart" uri="{C3380CC4-5D6E-409C-BE32-E72D297353CC}">
                <c16:uniqueId val="{00000003-1366-42D8-85D3-A569EDB16EFD}"/>
              </c:ext>
            </c:extLst>
          </c:dPt>
          <c:dPt>
            <c:idx val="2"/>
            <c:invertIfNegative val="0"/>
            <c:bubble3D val="0"/>
            <c:spPr>
              <a:solidFill>
                <a:srgbClr val="00B050"/>
              </a:solidFill>
            </c:spPr>
            <c:extLst>
              <c:ext xmlns:c16="http://schemas.microsoft.com/office/drawing/2014/chart" uri="{C3380CC4-5D6E-409C-BE32-E72D297353CC}">
                <c16:uniqueId val="{00000005-1366-42D8-85D3-A569EDB16EFD}"/>
              </c:ext>
            </c:extLst>
          </c:dPt>
          <c:dPt>
            <c:idx val="3"/>
            <c:invertIfNegative val="0"/>
            <c:bubble3D val="0"/>
            <c:spPr>
              <a:solidFill>
                <a:srgbClr val="00B050"/>
              </a:solidFill>
            </c:spPr>
            <c:extLst>
              <c:ext xmlns:c16="http://schemas.microsoft.com/office/drawing/2014/chart" uri="{C3380CC4-5D6E-409C-BE32-E72D297353CC}">
                <c16:uniqueId val="{00000007-1366-42D8-85D3-A569EDB16EFD}"/>
              </c:ext>
            </c:extLst>
          </c:dPt>
          <c:dPt>
            <c:idx val="4"/>
            <c:invertIfNegative val="0"/>
            <c:bubble3D val="0"/>
            <c:spPr>
              <a:solidFill>
                <a:srgbClr val="00B050"/>
              </a:solidFill>
            </c:spPr>
            <c:extLst>
              <c:ext xmlns:c16="http://schemas.microsoft.com/office/drawing/2014/chart" uri="{C3380CC4-5D6E-409C-BE32-E72D297353CC}">
                <c16:uniqueId val="{00000009-1366-42D8-85D3-A569EDB16EFD}"/>
              </c:ext>
            </c:extLst>
          </c:dPt>
          <c:dLbls>
            <c:dLbl>
              <c:idx val="0"/>
              <c:spPr/>
              <c:txPr>
                <a:bodyPr/>
                <a:lstStyle/>
                <a:p>
                  <a:pPr>
                    <a:defRPr sz="700" b="1">
                      <a:solidFill>
                        <a:srgbClr val="00B050"/>
                      </a:solidFill>
                    </a:defRPr>
                  </a:pPr>
                  <a:endParaRPr lang="es-GT"/>
                </a:p>
              </c:txPr>
              <c:showLegendKey val="0"/>
              <c:showVal val="1"/>
              <c:showCatName val="0"/>
              <c:showSerName val="0"/>
              <c:showPercent val="0"/>
              <c:showBubbleSize val="0"/>
              <c:extLst>
                <c:ext xmlns:c16="http://schemas.microsoft.com/office/drawing/2014/chart" uri="{C3380CC4-5D6E-409C-BE32-E72D297353CC}">
                  <c16:uniqueId val="{00000001-1366-42D8-85D3-A569EDB16EFD}"/>
                </c:ext>
              </c:extLst>
            </c:dLbl>
            <c:dLbl>
              <c:idx val="1"/>
              <c:spPr/>
              <c:txPr>
                <a:bodyPr/>
                <a:lstStyle/>
                <a:p>
                  <a:pPr>
                    <a:defRPr sz="700" b="1">
                      <a:solidFill>
                        <a:srgbClr val="00B050"/>
                      </a:solidFill>
                    </a:defRPr>
                  </a:pPr>
                  <a:endParaRPr lang="es-GT"/>
                </a:p>
              </c:txPr>
              <c:showLegendKey val="0"/>
              <c:showVal val="1"/>
              <c:showCatName val="0"/>
              <c:showSerName val="0"/>
              <c:showPercent val="0"/>
              <c:showBubbleSize val="0"/>
              <c:extLst>
                <c:ext xmlns:c16="http://schemas.microsoft.com/office/drawing/2014/chart" uri="{C3380CC4-5D6E-409C-BE32-E72D297353CC}">
                  <c16:uniqueId val="{00000003-1366-42D8-85D3-A569EDB16EFD}"/>
                </c:ext>
              </c:extLst>
            </c:dLbl>
            <c:dLbl>
              <c:idx val="2"/>
              <c:spPr/>
              <c:txPr>
                <a:bodyPr/>
                <a:lstStyle/>
                <a:p>
                  <a:pPr>
                    <a:defRPr sz="700" b="1">
                      <a:solidFill>
                        <a:srgbClr val="00B050"/>
                      </a:solidFill>
                    </a:defRPr>
                  </a:pPr>
                  <a:endParaRPr lang="es-GT"/>
                </a:p>
              </c:txPr>
              <c:showLegendKey val="0"/>
              <c:showVal val="1"/>
              <c:showCatName val="0"/>
              <c:showSerName val="0"/>
              <c:showPercent val="0"/>
              <c:showBubbleSize val="0"/>
              <c:extLst>
                <c:ext xmlns:c16="http://schemas.microsoft.com/office/drawing/2014/chart" uri="{C3380CC4-5D6E-409C-BE32-E72D297353CC}">
                  <c16:uniqueId val="{00000005-1366-42D8-85D3-A569EDB16EFD}"/>
                </c:ext>
              </c:extLst>
            </c:dLbl>
            <c:dLbl>
              <c:idx val="3"/>
              <c:spPr/>
              <c:txPr>
                <a:bodyPr/>
                <a:lstStyle/>
                <a:p>
                  <a:pPr>
                    <a:defRPr sz="700" b="1">
                      <a:solidFill>
                        <a:srgbClr val="00B050"/>
                      </a:solidFill>
                    </a:defRPr>
                  </a:pPr>
                  <a:endParaRPr lang="es-GT"/>
                </a:p>
              </c:txPr>
              <c:showLegendKey val="0"/>
              <c:showVal val="1"/>
              <c:showCatName val="0"/>
              <c:showSerName val="0"/>
              <c:showPercent val="0"/>
              <c:showBubbleSize val="0"/>
              <c:extLst>
                <c:ext xmlns:c16="http://schemas.microsoft.com/office/drawing/2014/chart" uri="{C3380CC4-5D6E-409C-BE32-E72D297353CC}">
                  <c16:uniqueId val="{00000007-1366-42D8-85D3-A569EDB16EFD}"/>
                </c:ext>
              </c:extLst>
            </c:dLbl>
            <c:dLbl>
              <c:idx val="4"/>
              <c:spPr/>
              <c:txPr>
                <a:bodyPr/>
                <a:lstStyle/>
                <a:p>
                  <a:pPr>
                    <a:defRPr sz="700" b="1">
                      <a:solidFill>
                        <a:srgbClr val="00B050"/>
                      </a:solidFill>
                    </a:defRPr>
                  </a:pPr>
                  <a:endParaRPr lang="es-GT"/>
                </a:p>
              </c:txPr>
              <c:showLegendKey val="0"/>
              <c:showVal val="1"/>
              <c:showCatName val="0"/>
              <c:showSerName val="0"/>
              <c:showPercent val="0"/>
              <c:showBubbleSize val="0"/>
              <c:extLst>
                <c:ext xmlns:c16="http://schemas.microsoft.com/office/drawing/2014/chart" uri="{C3380CC4-5D6E-409C-BE32-E72D297353CC}">
                  <c16:uniqueId val="{00000009-1366-42D8-85D3-A569EDB16EFD}"/>
                </c:ext>
              </c:extLst>
            </c:dLbl>
            <c:spPr>
              <a:noFill/>
              <a:ln>
                <a:noFill/>
              </a:ln>
              <a:effectLst/>
            </c:spPr>
            <c:txPr>
              <a:bodyPr/>
              <a:lstStyle/>
              <a:p>
                <a:pPr>
                  <a:defRPr sz="700" b="1">
                    <a:solidFill>
                      <a:srgbClr val="FF0000"/>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Hoja1!$A$2:$A$18</c:f>
              <c:strCache>
                <c:ptCount val="13"/>
                <c:pt idx="0">
                  <c:v>Melchor de Mencos</c:v>
                </c:pt>
                <c:pt idx="1">
                  <c:v>El Carmen</c:v>
                </c:pt>
                <c:pt idx="2">
                  <c:v>El Florido</c:v>
                </c:pt>
                <c:pt idx="3">
                  <c:v>Santo Tomás</c:v>
                </c:pt>
                <c:pt idx="4">
                  <c:v>Puerto Quetzal </c:v>
                </c:pt>
                <c:pt idx="5">
                  <c:v>Express Aéreo</c:v>
                </c:pt>
                <c:pt idx="6">
                  <c:v>San Cristóbal</c:v>
                </c:pt>
                <c:pt idx="7">
                  <c:v>Agua Caliente</c:v>
                </c:pt>
                <c:pt idx="8">
                  <c:v>Pedro de Alvarado</c:v>
                </c:pt>
                <c:pt idx="9">
                  <c:v>La Ermita</c:v>
                </c:pt>
                <c:pt idx="10">
                  <c:v>La Mesilla</c:v>
                </c:pt>
                <c:pt idx="11">
                  <c:v>Valle Nuevo</c:v>
                </c:pt>
                <c:pt idx="12">
                  <c:v>El Ceibo</c:v>
                </c:pt>
              </c:strCache>
            </c:strRef>
          </c:cat>
          <c:val>
            <c:numRef>
              <c:f>Hoja1!$B$2:$B$18</c:f>
              <c:numCache>
                <c:formatCode>0.0%</c:formatCode>
                <c:ptCount val="13"/>
                <c:pt idx="0">
                  <c:v>0.51950198808120862</c:v>
                </c:pt>
                <c:pt idx="1">
                  <c:v>0.1725102777295624</c:v>
                </c:pt>
                <c:pt idx="2">
                  <c:v>0.12541680105485908</c:v>
                </c:pt>
                <c:pt idx="3">
                  <c:v>1.3515352579036799E-2</c:v>
                </c:pt>
                <c:pt idx="4">
                  <c:v>3.255935498033713E-3</c:v>
                </c:pt>
                <c:pt idx="5">
                  <c:v>-8.9639540725201527E-3</c:v>
                </c:pt>
                <c:pt idx="6">
                  <c:v>-3.468656629493605E-2</c:v>
                </c:pt>
                <c:pt idx="7">
                  <c:v>-0.12646483780313478</c:v>
                </c:pt>
                <c:pt idx="8">
                  <c:v>-0.1301896146769439</c:v>
                </c:pt>
                <c:pt idx="9">
                  <c:v>-0.15151368528767317</c:v>
                </c:pt>
                <c:pt idx="10">
                  <c:v>-0.22678721565538829</c:v>
                </c:pt>
                <c:pt idx="11">
                  <c:v>-0.32972258155225409</c:v>
                </c:pt>
                <c:pt idx="12">
                  <c:v>-0.62792006514105414</c:v>
                </c:pt>
              </c:numCache>
            </c:numRef>
          </c:val>
          <c:extLst>
            <c:ext xmlns:c16="http://schemas.microsoft.com/office/drawing/2014/chart" uri="{C3380CC4-5D6E-409C-BE32-E72D297353CC}">
              <c16:uniqueId val="{0000000A-1366-42D8-85D3-A569EDB16EFD}"/>
            </c:ext>
          </c:extLst>
        </c:ser>
        <c:dLbls>
          <c:showLegendKey val="0"/>
          <c:showVal val="0"/>
          <c:showCatName val="0"/>
          <c:showSerName val="0"/>
          <c:showPercent val="0"/>
          <c:showBubbleSize val="0"/>
        </c:dLbls>
        <c:gapWidth val="42"/>
        <c:axId val="78601600"/>
        <c:axId val="78640256"/>
      </c:barChart>
      <c:catAx>
        <c:axId val="78601600"/>
        <c:scaling>
          <c:orientation val="minMax"/>
        </c:scaling>
        <c:delete val="0"/>
        <c:axPos val="l"/>
        <c:majorGridlines>
          <c:spPr>
            <a:ln>
              <a:solidFill>
                <a:srgbClr val="00B0F0">
                  <a:alpha val="30000"/>
                </a:srgbClr>
              </a:solidFill>
              <a:prstDash val="sysDash"/>
            </a:ln>
          </c:spPr>
        </c:majorGridlines>
        <c:numFmt formatCode="General" sourceLinked="0"/>
        <c:majorTickMark val="out"/>
        <c:minorTickMark val="none"/>
        <c:tickLblPos val="low"/>
        <c:spPr>
          <a:ln>
            <a:solidFill>
              <a:srgbClr val="00B0F0"/>
            </a:solidFill>
          </a:ln>
        </c:spPr>
        <c:txPr>
          <a:bodyPr/>
          <a:lstStyle/>
          <a:p>
            <a:pPr>
              <a:defRPr sz="700" b="1"/>
            </a:pPr>
            <a:endParaRPr lang="es-GT"/>
          </a:p>
        </c:txPr>
        <c:crossAx val="78640256"/>
        <c:crosses val="autoZero"/>
        <c:auto val="1"/>
        <c:lblAlgn val="ctr"/>
        <c:lblOffset val="100"/>
        <c:noMultiLvlLbl val="0"/>
      </c:catAx>
      <c:valAx>
        <c:axId val="78640256"/>
        <c:scaling>
          <c:orientation val="minMax"/>
          <c:min val="-1.5"/>
        </c:scaling>
        <c:delete val="0"/>
        <c:axPos val="b"/>
        <c:majorGridlines>
          <c:spPr>
            <a:ln>
              <a:solidFill>
                <a:srgbClr val="00B0F0">
                  <a:alpha val="30000"/>
                </a:srgbClr>
              </a:solidFill>
              <a:prstDash val="sysDash"/>
            </a:ln>
          </c:spPr>
        </c:majorGridlines>
        <c:numFmt formatCode="0%" sourceLinked="0"/>
        <c:majorTickMark val="out"/>
        <c:minorTickMark val="none"/>
        <c:tickLblPos val="nextTo"/>
        <c:txPr>
          <a:bodyPr/>
          <a:lstStyle/>
          <a:p>
            <a:pPr>
              <a:defRPr sz="800"/>
            </a:pPr>
            <a:endParaRPr lang="es-GT"/>
          </a:p>
        </c:txPr>
        <c:crossAx val="78601600"/>
        <c:crosses val="autoZero"/>
        <c:crossBetween val="between"/>
      </c:valAx>
    </c:plotArea>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20035174017585"/>
          <c:y val="3.8288301868589725E-2"/>
          <c:w val="0.84220440261936336"/>
          <c:h val="0.78745350466161057"/>
        </c:manualLayout>
      </c:layout>
      <c:barChart>
        <c:barDir val="col"/>
        <c:grouping val="clustered"/>
        <c:varyColors val="0"/>
        <c:ser>
          <c:idx val="0"/>
          <c:order val="0"/>
          <c:spPr>
            <a:solidFill>
              <a:schemeClr val="bg2">
                <a:lumMod val="90000"/>
              </a:schemeClr>
            </a:solidFill>
            <a:effectLst>
              <a:outerShdw blurRad="50800" dist="38100" dir="2700000" algn="tl" rotWithShape="0">
                <a:prstClr val="black">
                  <a:alpha val="40000"/>
                </a:prstClr>
              </a:outerShdw>
            </a:effectLst>
          </c:spPr>
          <c:invertIfNegative val="0"/>
          <c:dPt>
            <c:idx val="12"/>
            <c:invertIfNegative val="0"/>
            <c:bubble3D val="0"/>
            <c:spPr>
              <a:solidFill>
                <a:schemeClr val="accent2"/>
              </a:solidFill>
              <a:effectLst>
                <a:outerShdw blurRad="50800" dist="38100" dir="2700000" algn="tl" rotWithShape="0">
                  <a:prstClr val="black">
                    <a:alpha val="40000"/>
                  </a:prstClr>
                </a:outerShdw>
              </a:effectLst>
            </c:spPr>
            <c:extLst>
              <c:ext xmlns:c16="http://schemas.microsoft.com/office/drawing/2014/chart" uri="{C3380CC4-5D6E-409C-BE32-E72D297353CC}">
                <c16:uniqueId val="{00000001-01E5-4F36-87C9-263F7AEAED62}"/>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1E5-4F36-87C9-263F7AEAED62}"/>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1E5-4F36-87C9-263F7AEAED62}"/>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1E5-4F36-87C9-263F7AEAED62}"/>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1E5-4F36-87C9-263F7AEAED62}"/>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1E5-4F36-87C9-263F7AEAED62}"/>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1E5-4F36-87C9-263F7AEAED62}"/>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1E5-4F36-87C9-263F7AEAED62}"/>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1E5-4F36-87C9-263F7AEAED62}"/>
                </c:ext>
              </c:extLst>
            </c:dLbl>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1E5-4F36-87C9-263F7AEAED62}"/>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1E5-4F36-87C9-263F7AEAED62}"/>
                </c:ext>
              </c:extLst>
            </c:dLbl>
            <c:dLbl>
              <c:idx val="1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1E5-4F36-87C9-263F7AEAED62}"/>
                </c:ext>
              </c:extLst>
            </c:dLbl>
            <c:dLbl>
              <c:idx val="1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1E5-4F36-87C9-263F7AEAED62}"/>
                </c:ext>
              </c:extLst>
            </c:dLbl>
            <c:dLbl>
              <c:idx val="12"/>
              <c:numFmt formatCode="#,##0.0" sourceLinked="0"/>
              <c:spPr/>
              <c:txPr>
                <a:bodyPr/>
                <a:lstStyle/>
                <a:p>
                  <a:pPr>
                    <a:defRPr b="1"/>
                  </a:pPr>
                  <a:endParaRPr lang="es-G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1E5-4F36-87C9-263F7AEAED62}"/>
                </c:ext>
              </c:extLst>
            </c:dLbl>
            <c:numFmt formatCode="#,##0.0" sourceLinked="0"/>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'[grafico imae 19082016.xlsx]Hoja2'!$B$8:$B$20</c:f>
              <c:numCache>
                <c:formatCode>mmm\-yy</c:formatCode>
                <c:ptCount val="13"/>
                <c:pt idx="0">
                  <c:v>42217</c:v>
                </c:pt>
                <c:pt idx="1">
                  <c:v>42248</c:v>
                </c:pt>
                <c:pt idx="2">
                  <c:v>42278</c:v>
                </c:pt>
                <c:pt idx="3">
                  <c:v>42309</c:v>
                </c:pt>
                <c:pt idx="4">
                  <c:v>42339</c:v>
                </c:pt>
                <c:pt idx="5">
                  <c:v>42370</c:v>
                </c:pt>
                <c:pt idx="6">
                  <c:v>42401</c:v>
                </c:pt>
                <c:pt idx="7">
                  <c:v>42430</c:v>
                </c:pt>
                <c:pt idx="8">
                  <c:v>42461</c:v>
                </c:pt>
                <c:pt idx="9">
                  <c:v>42491</c:v>
                </c:pt>
                <c:pt idx="10">
                  <c:v>42522</c:v>
                </c:pt>
                <c:pt idx="11">
                  <c:v>42552</c:v>
                </c:pt>
                <c:pt idx="12">
                  <c:v>42583</c:v>
                </c:pt>
              </c:numCache>
            </c:numRef>
          </c:cat>
          <c:val>
            <c:numRef>
              <c:f>'[grafico imae 19082016.xlsx]Hoja2'!$C$8:$C$20</c:f>
              <c:numCache>
                <c:formatCode>General</c:formatCode>
                <c:ptCount val="13"/>
                <c:pt idx="0">
                  <c:v>5.0999999999999996</c:v>
                </c:pt>
                <c:pt idx="1">
                  <c:v>5.0999999999999996</c:v>
                </c:pt>
                <c:pt idx="2">
                  <c:v>5</c:v>
                </c:pt>
                <c:pt idx="3">
                  <c:v>5</c:v>
                </c:pt>
                <c:pt idx="4">
                  <c:v>5</c:v>
                </c:pt>
                <c:pt idx="5">
                  <c:v>5</c:v>
                </c:pt>
                <c:pt idx="6">
                  <c:v>4.9000000000000004</c:v>
                </c:pt>
                <c:pt idx="7">
                  <c:v>4.9000000000000004</c:v>
                </c:pt>
                <c:pt idx="8">
                  <c:v>5</c:v>
                </c:pt>
                <c:pt idx="9">
                  <c:v>5</c:v>
                </c:pt>
                <c:pt idx="10">
                  <c:v>4.7</c:v>
                </c:pt>
                <c:pt idx="11">
                  <c:v>4.9000000000000004</c:v>
                </c:pt>
                <c:pt idx="12">
                  <c:v>4.9000000000000004</c:v>
                </c:pt>
              </c:numCache>
            </c:numRef>
          </c:val>
          <c:extLst>
            <c:ext xmlns:c16="http://schemas.microsoft.com/office/drawing/2014/chart" uri="{C3380CC4-5D6E-409C-BE32-E72D297353CC}">
              <c16:uniqueId val="{0000000E-01E5-4F36-87C9-263F7AEAED62}"/>
            </c:ext>
          </c:extLst>
        </c:ser>
        <c:dLbls>
          <c:showLegendKey val="0"/>
          <c:showVal val="0"/>
          <c:showCatName val="0"/>
          <c:showSerName val="0"/>
          <c:showPercent val="0"/>
          <c:showBubbleSize val="0"/>
        </c:dLbls>
        <c:gapWidth val="80"/>
        <c:axId val="98436992"/>
        <c:axId val="98438528"/>
      </c:barChart>
      <c:dateAx>
        <c:axId val="98436992"/>
        <c:scaling>
          <c:orientation val="minMax"/>
        </c:scaling>
        <c:delete val="0"/>
        <c:axPos val="b"/>
        <c:numFmt formatCode="mmm\-yy" sourceLinked="1"/>
        <c:majorTickMark val="out"/>
        <c:minorTickMark val="none"/>
        <c:tickLblPos val="nextTo"/>
        <c:txPr>
          <a:bodyPr/>
          <a:lstStyle/>
          <a:p>
            <a:pPr>
              <a:defRPr sz="600"/>
            </a:pPr>
            <a:endParaRPr lang="es-GT"/>
          </a:p>
        </c:txPr>
        <c:crossAx val="98438528"/>
        <c:crosses val="autoZero"/>
        <c:auto val="1"/>
        <c:lblOffset val="100"/>
        <c:baseTimeUnit val="months"/>
      </c:dateAx>
      <c:valAx>
        <c:axId val="98438528"/>
        <c:scaling>
          <c:orientation val="minMax"/>
        </c:scaling>
        <c:delete val="0"/>
        <c:axPos val="l"/>
        <c:numFmt formatCode="#,##0.0" sourceLinked="0"/>
        <c:majorTickMark val="out"/>
        <c:minorTickMark val="none"/>
        <c:tickLblPos val="nextTo"/>
        <c:crossAx val="98436992"/>
        <c:crosses val="autoZero"/>
        <c:crossBetween val="between"/>
      </c:valAx>
    </c:plotArea>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w="9525"/>
            <a:effectLst>
              <a:outerShdw blurRad="50800" dist="38100" dir="2700000" algn="tl" rotWithShape="0">
                <a:prstClr val="black">
                  <a:alpha val="40000"/>
                </a:prstClr>
              </a:outerShdw>
            </a:effectLst>
          </c:spPr>
          <c:marker>
            <c:symbol val="none"/>
          </c:marker>
          <c:dLbls>
            <c:dLbl>
              <c:idx val="1"/>
              <c:layout>
                <c:manualLayout>
                  <c:x val="-5.8333333333333334E-2"/>
                  <c:y val="-3.71660859465737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257-486B-8170-6F4E70B5C0A4}"/>
                </c:ext>
              </c:extLst>
            </c:dLbl>
            <c:dLbl>
              <c:idx val="12"/>
              <c:layout>
                <c:manualLayout>
                  <c:x val="-1.1111111111111112E-2"/>
                  <c:y val="6.0394889663182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257-486B-8170-6F4E70B5C0A4}"/>
                </c:ext>
              </c:extLst>
            </c:dLbl>
            <c:dLbl>
              <c:idx val="24"/>
              <c:layout>
                <c:manualLayout>
                  <c:x val="-8.3333333333333332E-3"/>
                  <c:y val="-2.7874564459930314E-2"/>
                </c:manualLayout>
              </c:layout>
              <c:spPr/>
              <c:txPr>
                <a:bodyPr/>
                <a:lstStyle/>
                <a:p>
                  <a:pPr>
                    <a:defRPr sz="600" b="1"/>
                  </a:pPr>
                  <a:endParaRPr lang="es-G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257-486B-8170-6F4E70B5C0A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Hoja1!$D$10:$E$34</c:f>
              <c:multiLvlStrCache>
                <c:ptCount val="25"/>
                <c:lvl>
                  <c:pt idx="0">
                    <c:v>agosto</c:v>
                  </c:pt>
                  <c:pt idx="1">
                    <c:v>septiembre</c:v>
                  </c:pt>
                  <c:pt idx="2">
                    <c:v>octubre</c:v>
                  </c:pt>
                  <c:pt idx="3">
                    <c:v>noviembre</c:v>
                  </c:pt>
                  <c:pt idx="4">
                    <c:v>diciembre</c:v>
                  </c:pt>
                  <c:pt idx="5">
                    <c:v>enero</c:v>
                  </c:pt>
                  <c:pt idx="6">
                    <c:v>febrero</c:v>
                  </c:pt>
                  <c:pt idx="7">
                    <c:v>marzo</c:v>
                  </c:pt>
                  <c:pt idx="8">
                    <c:v>abril</c:v>
                  </c:pt>
                  <c:pt idx="9">
                    <c:v>mayo</c:v>
                  </c:pt>
                  <c:pt idx="10">
                    <c:v>junio</c:v>
                  </c:pt>
                  <c:pt idx="11">
                    <c:v>julio</c:v>
                  </c:pt>
                  <c:pt idx="12">
                    <c:v>agosto</c:v>
                  </c:pt>
                  <c:pt idx="13">
                    <c:v>septiembre</c:v>
                  </c:pt>
                  <c:pt idx="14">
                    <c:v>octubre</c:v>
                  </c:pt>
                  <c:pt idx="15">
                    <c:v>noviembre</c:v>
                  </c:pt>
                  <c:pt idx="16">
                    <c:v>diciembre</c:v>
                  </c:pt>
                  <c:pt idx="17">
                    <c:v>enero</c:v>
                  </c:pt>
                  <c:pt idx="18">
                    <c:v>febrero</c:v>
                  </c:pt>
                  <c:pt idx="19">
                    <c:v>marzo</c:v>
                  </c:pt>
                  <c:pt idx="20">
                    <c:v>abril</c:v>
                  </c:pt>
                  <c:pt idx="21">
                    <c:v>mayo</c:v>
                  </c:pt>
                  <c:pt idx="22">
                    <c:v>junio</c:v>
                  </c:pt>
                  <c:pt idx="23">
                    <c:v>julio</c:v>
                  </c:pt>
                  <c:pt idx="24">
                    <c:v>Agosto</c:v>
                  </c:pt>
                </c:lvl>
                <c:lvl>
                  <c:pt idx="0">
                    <c:v>2014</c:v>
                  </c:pt>
                  <c:pt idx="5">
                    <c:v>2015</c:v>
                  </c:pt>
                  <c:pt idx="17">
                    <c:v>2016</c:v>
                  </c:pt>
                </c:lvl>
              </c:multiLvlStrCache>
            </c:multiLvlStrRef>
          </c:cat>
          <c:val>
            <c:numRef>
              <c:f>Hoja1!$F$10:$F$34</c:f>
              <c:numCache>
                <c:formatCode>General</c:formatCode>
                <c:ptCount val="25"/>
                <c:pt idx="0">
                  <c:v>3.7</c:v>
                </c:pt>
                <c:pt idx="1">
                  <c:v>3.45</c:v>
                </c:pt>
                <c:pt idx="2">
                  <c:v>3.64</c:v>
                </c:pt>
                <c:pt idx="3">
                  <c:v>3.38</c:v>
                </c:pt>
                <c:pt idx="4">
                  <c:v>2.95</c:v>
                </c:pt>
                <c:pt idx="5">
                  <c:v>2.3199999999999998</c:v>
                </c:pt>
                <c:pt idx="6">
                  <c:v>2.44</c:v>
                </c:pt>
                <c:pt idx="7">
                  <c:v>2.4300000000000002</c:v>
                </c:pt>
                <c:pt idx="8">
                  <c:v>2.58</c:v>
                </c:pt>
                <c:pt idx="9">
                  <c:v>2.5499999999999998</c:v>
                </c:pt>
                <c:pt idx="10">
                  <c:v>2.39</c:v>
                </c:pt>
                <c:pt idx="11">
                  <c:v>2.3199999999999998</c:v>
                </c:pt>
                <c:pt idx="12">
                  <c:v>1.96</c:v>
                </c:pt>
                <c:pt idx="13">
                  <c:v>1.88</c:v>
                </c:pt>
                <c:pt idx="14">
                  <c:v>2.23</c:v>
                </c:pt>
                <c:pt idx="15">
                  <c:v>2.5099999999999998</c:v>
                </c:pt>
                <c:pt idx="16">
                  <c:v>3.07</c:v>
                </c:pt>
                <c:pt idx="17">
                  <c:v>4.38</c:v>
                </c:pt>
                <c:pt idx="18">
                  <c:v>4.2699999999999996</c:v>
                </c:pt>
                <c:pt idx="19">
                  <c:v>4.26</c:v>
                </c:pt>
                <c:pt idx="20">
                  <c:v>4.09</c:v>
                </c:pt>
                <c:pt idx="21">
                  <c:v>4.3600000000000003</c:v>
                </c:pt>
                <c:pt idx="22">
                  <c:v>4.43</c:v>
                </c:pt>
                <c:pt idx="23">
                  <c:v>4.62</c:v>
                </c:pt>
                <c:pt idx="24">
                  <c:v>4.74</c:v>
                </c:pt>
              </c:numCache>
            </c:numRef>
          </c:val>
          <c:smooth val="0"/>
          <c:extLst>
            <c:ext xmlns:c16="http://schemas.microsoft.com/office/drawing/2014/chart" uri="{C3380CC4-5D6E-409C-BE32-E72D297353CC}">
              <c16:uniqueId val="{00000003-D257-486B-8170-6F4E70B5C0A4}"/>
            </c:ext>
          </c:extLst>
        </c:ser>
        <c:ser>
          <c:idx val="1"/>
          <c:order val="1"/>
          <c:spPr>
            <a:ln w="9525">
              <a:prstDash val="sysDot"/>
            </a:ln>
          </c:spPr>
          <c:marker>
            <c:symbol val="none"/>
          </c:marker>
          <c:cat>
            <c:multiLvlStrRef>
              <c:f>Hoja1!$D$10:$E$34</c:f>
              <c:multiLvlStrCache>
                <c:ptCount val="25"/>
                <c:lvl>
                  <c:pt idx="0">
                    <c:v>agosto</c:v>
                  </c:pt>
                  <c:pt idx="1">
                    <c:v>septiembre</c:v>
                  </c:pt>
                  <c:pt idx="2">
                    <c:v>octubre</c:v>
                  </c:pt>
                  <c:pt idx="3">
                    <c:v>noviembre</c:v>
                  </c:pt>
                  <c:pt idx="4">
                    <c:v>diciembre</c:v>
                  </c:pt>
                  <c:pt idx="5">
                    <c:v>enero</c:v>
                  </c:pt>
                  <c:pt idx="6">
                    <c:v>febrero</c:v>
                  </c:pt>
                  <c:pt idx="7">
                    <c:v>marzo</c:v>
                  </c:pt>
                  <c:pt idx="8">
                    <c:v>abril</c:v>
                  </c:pt>
                  <c:pt idx="9">
                    <c:v>mayo</c:v>
                  </c:pt>
                  <c:pt idx="10">
                    <c:v>junio</c:v>
                  </c:pt>
                  <c:pt idx="11">
                    <c:v>julio</c:v>
                  </c:pt>
                  <c:pt idx="12">
                    <c:v>agosto</c:v>
                  </c:pt>
                  <c:pt idx="13">
                    <c:v>septiembre</c:v>
                  </c:pt>
                  <c:pt idx="14">
                    <c:v>octubre</c:v>
                  </c:pt>
                  <c:pt idx="15">
                    <c:v>noviembre</c:v>
                  </c:pt>
                  <c:pt idx="16">
                    <c:v>diciembre</c:v>
                  </c:pt>
                  <c:pt idx="17">
                    <c:v>enero</c:v>
                  </c:pt>
                  <c:pt idx="18">
                    <c:v>febrero</c:v>
                  </c:pt>
                  <c:pt idx="19">
                    <c:v>marzo</c:v>
                  </c:pt>
                  <c:pt idx="20">
                    <c:v>abril</c:v>
                  </c:pt>
                  <c:pt idx="21">
                    <c:v>mayo</c:v>
                  </c:pt>
                  <c:pt idx="22">
                    <c:v>junio</c:v>
                  </c:pt>
                  <c:pt idx="23">
                    <c:v>julio</c:v>
                  </c:pt>
                  <c:pt idx="24">
                    <c:v>Agosto</c:v>
                  </c:pt>
                </c:lvl>
                <c:lvl>
                  <c:pt idx="0">
                    <c:v>2014</c:v>
                  </c:pt>
                  <c:pt idx="5">
                    <c:v>2015</c:v>
                  </c:pt>
                  <c:pt idx="17">
                    <c:v>2016</c:v>
                  </c:pt>
                </c:lvl>
              </c:multiLvlStrCache>
            </c:multiLvlStrRef>
          </c:cat>
          <c:val>
            <c:numRef>
              <c:f>Hoja1!$G$10:$G$34</c:f>
              <c:numCache>
                <c:formatCode>General</c:formatCode>
                <c:ptCount val="25"/>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numCache>
            </c:numRef>
          </c:val>
          <c:smooth val="0"/>
          <c:extLst>
            <c:ext xmlns:c16="http://schemas.microsoft.com/office/drawing/2014/chart" uri="{C3380CC4-5D6E-409C-BE32-E72D297353CC}">
              <c16:uniqueId val="{00000004-D257-486B-8170-6F4E70B5C0A4}"/>
            </c:ext>
          </c:extLst>
        </c:ser>
        <c:ser>
          <c:idx val="2"/>
          <c:order val="2"/>
          <c:spPr>
            <a:ln w="9525">
              <a:solidFill>
                <a:sysClr val="windowText" lastClr="000000"/>
              </a:solidFill>
            </a:ln>
          </c:spPr>
          <c:marker>
            <c:symbol val="none"/>
          </c:marker>
          <c:cat>
            <c:multiLvlStrRef>
              <c:f>Hoja1!$D$10:$E$34</c:f>
              <c:multiLvlStrCache>
                <c:ptCount val="25"/>
                <c:lvl>
                  <c:pt idx="0">
                    <c:v>agosto</c:v>
                  </c:pt>
                  <c:pt idx="1">
                    <c:v>septiembre</c:v>
                  </c:pt>
                  <c:pt idx="2">
                    <c:v>octubre</c:v>
                  </c:pt>
                  <c:pt idx="3">
                    <c:v>noviembre</c:v>
                  </c:pt>
                  <c:pt idx="4">
                    <c:v>diciembre</c:v>
                  </c:pt>
                  <c:pt idx="5">
                    <c:v>enero</c:v>
                  </c:pt>
                  <c:pt idx="6">
                    <c:v>febrero</c:v>
                  </c:pt>
                  <c:pt idx="7">
                    <c:v>marzo</c:v>
                  </c:pt>
                  <c:pt idx="8">
                    <c:v>abril</c:v>
                  </c:pt>
                  <c:pt idx="9">
                    <c:v>mayo</c:v>
                  </c:pt>
                  <c:pt idx="10">
                    <c:v>junio</c:v>
                  </c:pt>
                  <c:pt idx="11">
                    <c:v>julio</c:v>
                  </c:pt>
                  <c:pt idx="12">
                    <c:v>agosto</c:v>
                  </c:pt>
                  <c:pt idx="13">
                    <c:v>septiembre</c:v>
                  </c:pt>
                  <c:pt idx="14">
                    <c:v>octubre</c:v>
                  </c:pt>
                  <c:pt idx="15">
                    <c:v>noviembre</c:v>
                  </c:pt>
                  <c:pt idx="16">
                    <c:v>diciembre</c:v>
                  </c:pt>
                  <c:pt idx="17">
                    <c:v>enero</c:v>
                  </c:pt>
                  <c:pt idx="18">
                    <c:v>febrero</c:v>
                  </c:pt>
                  <c:pt idx="19">
                    <c:v>marzo</c:v>
                  </c:pt>
                  <c:pt idx="20">
                    <c:v>abril</c:v>
                  </c:pt>
                  <c:pt idx="21">
                    <c:v>mayo</c:v>
                  </c:pt>
                  <c:pt idx="22">
                    <c:v>junio</c:v>
                  </c:pt>
                  <c:pt idx="23">
                    <c:v>julio</c:v>
                  </c:pt>
                  <c:pt idx="24">
                    <c:v>Agosto</c:v>
                  </c:pt>
                </c:lvl>
                <c:lvl>
                  <c:pt idx="0">
                    <c:v>2014</c:v>
                  </c:pt>
                  <c:pt idx="5">
                    <c:v>2015</c:v>
                  </c:pt>
                  <c:pt idx="17">
                    <c:v>2016</c:v>
                  </c:pt>
                </c:lvl>
              </c:multiLvlStrCache>
            </c:multiLvlStrRef>
          </c:cat>
          <c:val>
            <c:numRef>
              <c:f>Hoja1!$H$10:$H$34</c:f>
              <c:numCache>
                <c:formatCode>General</c:formatCode>
                <c:ptCount val="25"/>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numCache>
            </c:numRef>
          </c:val>
          <c:smooth val="0"/>
          <c:extLst>
            <c:ext xmlns:c16="http://schemas.microsoft.com/office/drawing/2014/chart" uri="{C3380CC4-5D6E-409C-BE32-E72D297353CC}">
              <c16:uniqueId val="{00000005-D257-486B-8170-6F4E70B5C0A4}"/>
            </c:ext>
          </c:extLst>
        </c:ser>
        <c:ser>
          <c:idx val="3"/>
          <c:order val="3"/>
          <c:spPr>
            <a:ln w="12700">
              <a:solidFill>
                <a:sysClr val="windowText" lastClr="000000"/>
              </a:solidFill>
              <a:prstDash val="sysDot"/>
            </a:ln>
          </c:spPr>
          <c:marker>
            <c:symbol val="none"/>
          </c:marker>
          <c:cat>
            <c:multiLvlStrRef>
              <c:f>Hoja1!$D$10:$E$34</c:f>
              <c:multiLvlStrCache>
                <c:ptCount val="25"/>
                <c:lvl>
                  <c:pt idx="0">
                    <c:v>agosto</c:v>
                  </c:pt>
                  <c:pt idx="1">
                    <c:v>septiembre</c:v>
                  </c:pt>
                  <c:pt idx="2">
                    <c:v>octubre</c:v>
                  </c:pt>
                  <c:pt idx="3">
                    <c:v>noviembre</c:v>
                  </c:pt>
                  <c:pt idx="4">
                    <c:v>diciembre</c:v>
                  </c:pt>
                  <c:pt idx="5">
                    <c:v>enero</c:v>
                  </c:pt>
                  <c:pt idx="6">
                    <c:v>febrero</c:v>
                  </c:pt>
                  <c:pt idx="7">
                    <c:v>marzo</c:v>
                  </c:pt>
                  <c:pt idx="8">
                    <c:v>abril</c:v>
                  </c:pt>
                  <c:pt idx="9">
                    <c:v>mayo</c:v>
                  </c:pt>
                  <c:pt idx="10">
                    <c:v>junio</c:v>
                  </c:pt>
                  <c:pt idx="11">
                    <c:v>julio</c:v>
                  </c:pt>
                  <c:pt idx="12">
                    <c:v>agosto</c:v>
                  </c:pt>
                  <c:pt idx="13">
                    <c:v>septiembre</c:v>
                  </c:pt>
                  <c:pt idx="14">
                    <c:v>octubre</c:v>
                  </c:pt>
                  <c:pt idx="15">
                    <c:v>noviembre</c:v>
                  </c:pt>
                  <c:pt idx="16">
                    <c:v>diciembre</c:v>
                  </c:pt>
                  <c:pt idx="17">
                    <c:v>enero</c:v>
                  </c:pt>
                  <c:pt idx="18">
                    <c:v>febrero</c:v>
                  </c:pt>
                  <c:pt idx="19">
                    <c:v>marzo</c:v>
                  </c:pt>
                  <c:pt idx="20">
                    <c:v>abril</c:v>
                  </c:pt>
                  <c:pt idx="21">
                    <c:v>mayo</c:v>
                  </c:pt>
                  <c:pt idx="22">
                    <c:v>junio</c:v>
                  </c:pt>
                  <c:pt idx="23">
                    <c:v>julio</c:v>
                  </c:pt>
                  <c:pt idx="24">
                    <c:v>Agosto</c:v>
                  </c:pt>
                </c:lvl>
                <c:lvl>
                  <c:pt idx="0">
                    <c:v>2014</c:v>
                  </c:pt>
                  <c:pt idx="5">
                    <c:v>2015</c:v>
                  </c:pt>
                  <c:pt idx="17">
                    <c:v>2016</c:v>
                  </c:pt>
                </c:lvl>
              </c:multiLvlStrCache>
            </c:multiLvlStrRef>
          </c:cat>
          <c:val>
            <c:numRef>
              <c:f>Hoja1!$I$10:$I$34</c:f>
              <c:numCache>
                <c:formatCode>General</c:formatCode>
                <c:ptCount val="25"/>
                <c:pt idx="0">
                  <c:v>5</c:v>
                </c:pt>
                <c:pt idx="1">
                  <c:v>5</c:v>
                </c:pt>
                <c:pt idx="2">
                  <c:v>5</c:v>
                </c:pt>
                <c:pt idx="3">
                  <c:v>5</c:v>
                </c:pt>
                <c:pt idx="4">
                  <c:v>5</c:v>
                </c:pt>
                <c:pt idx="5">
                  <c:v>5</c:v>
                </c:pt>
                <c:pt idx="6">
                  <c:v>5</c:v>
                </c:pt>
                <c:pt idx="7">
                  <c:v>5</c:v>
                </c:pt>
                <c:pt idx="8">
                  <c:v>5</c:v>
                </c:pt>
                <c:pt idx="9">
                  <c:v>5</c:v>
                </c:pt>
                <c:pt idx="10">
                  <c:v>5</c:v>
                </c:pt>
                <c:pt idx="11">
                  <c:v>5</c:v>
                </c:pt>
                <c:pt idx="12">
                  <c:v>5</c:v>
                </c:pt>
                <c:pt idx="13">
                  <c:v>5</c:v>
                </c:pt>
                <c:pt idx="14">
                  <c:v>5</c:v>
                </c:pt>
                <c:pt idx="15">
                  <c:v>5</c:v>
                </c:pt>
                <c:pt idx="16">
                  <c:v>5</c:v>
                </c:pt>
                <c:pt idx="17">
                  <c:v>5</c:v>
                </c:pt>
                <c:pt idx="18">
                  <c:v>5</c:v>
                </c:pt>
                <c:pt idx="19">
                  <c:v>5</c:v>
                </c:pt>
                <c:pt idx="20">
                  <c:v>5</c:v>
                </c:pt>
                <c:pt idx="21">
                  <c:v>5</c:v>
                </c:pt>
                <c:pt idx="22">
                  <c:v>5</c:v>
                </c:pt>
                <c:pt idx="23">
                  <c:v>5</c:v>
                </c:pt>
                <c:pt idx="24">
                  <c:v>5</c:v>
                </c:pt>
              </c:numCache>
            </c:numRef>
          </c:val>
          <c:smooth val="0"/>
          <c:extLst>
            <c:ext xmlns:c16="http://schemas.microsoft.com/office/drawing/2014/chart" uri="{C3380CC4-5D6E-409C-BE32-E72D297353CC}">
              <c16:uniqueId val="{00000006-D257-486B-8170-6F4E70B5C0A4}"/>
            </c:ext>
          </c:extLst>
        </c:ser>
        <c:dLbls>
          <c:showLegendKey val="0"/>
          <c:showVal val="0"/>
          <c:showCatName val="0"/>
          <c:showSerName val="0"/>
          <c:showPercent val="0"/>
          <c:showBubbleSize val="0"/>
        </c:dLbls>
        <c:smooth val="0"/>
        <c:axId val="103360384"/>
        <c:axId val="103361920"/>
      </c:lineChart>
      <c:catAx>
        <c:axId val="103360384"/>
        <c:scaling>
          <c:orientation val="minMax"/>
        </c:scaling>
        <c:delete val="0"/>
        <c:axPos val="b"/>
        <c:numFmt formatCode="General" sourceLinked="1"/>
        <c:majorTickMark val="out"/>
        <c:minorTickMark val="none"/>
        <c:tickLblPos val="nextTo"/>
        <c:txPr>
          <a:bodyPr/>
          <a:lstStyle/>
          <a:p>
            <a:pPr>
              <a:defRPr sz="550"/>
            </a:pPr>
            <a:endParaRPr lang="es-GT"/>
          </a:p>
        </c:txPr>
        <c:crossAx val="103361920"/>
        <c:crosses val="autoZero"/>
        <c:auto val="1"/>
        <c:lblAlgn val="ctr"/>
        <c:lblOffset val="100"/>
        <c:noMultiLvlLbl val="0"/>
      </c:catAx>
      <c:valAx>
        <c:axId val="103361920"/>
        <c:scaling>
          <c:orientation val="minMax"/>
        </c:scaling>
        <c:delete val="0"/>
        <c:axPos val="l"/>
        <c:numFmt formatCode="General" sourceLinked="1"/>
        <c:majorTickMark val="out"/>
        <c:minorTickMark val="none"/>
        <c:tickLblPos val="nextTo"/>
        <c:crossAx val="103360384"/>
        <c:crosses val="autoZero"/>
        <c:crossBetween val="between"/>
      </c:valAx>
    </c:plotArea>
    <c:plotVisOnly val="1"/>
    <c:dispBlanksAs val="gap"/>
    <c:showDLblsOverMax val="0"/>
  </c:chart>
  <c:spPr>
    <a:ln>
      <a:noFill/>
    </a:ln>
  </c:spPr>
  <c:txPr>
    <a:bodyPr/>
    <a:lstStyle/>
    <a:p>
      <a:pPr>
        <a:defRPr sz="500">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9FE9-8671-4527-8E6F-BE514B66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2454</Words>
  <Characters>13503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Saul Enrique De León Meneses</dc:creator>
  <cp:lastModifiedBy>Saul Enrique De León Meneses</cp:lastModifiedBy>
  <cp:revision>2</cp:revision>
  <dcterms:created xsi:type="dcterms:W3CDTF">2018-05-15T15:02:00Z</dcterms:created>
  <dcterms:modified xsi:type="dcterms:W3CDTF">2018-05-15T15:02:00Z</dcterms:modified>
</cp:coreProperties>
</file>