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936" w:rsidRDefault="00CF2936" w:rsidP="00CF2936">
      <w:pPr>
        <w:jc w:val="center"/>
        <w:rPr>
          <w:rFonts w:ascii="Times New Roman" w:hAnsi="Times New Roman" w:cs="Times New Roman"/>
          <w:b/>
          <w:lang w:val="es-MX"/>
        </w:rPr>
      </w:pPr>
    </w:p>
    <w:p w:rsidR="00CF2936" w:rsidRDefault="00CF2936" w:rsidP="00CF2936">
      <w:pPr>
        <w:jc w:val="center"/>
        <w:rPr>
          <w:rFonts w:ascii="Times New Roman" w:hAnsi="Times New Roman" w:cs="Times New Roman"/>
          <w:b/>
          <w:lang w:val="es-MX"/>
        </w:rPr>
      </w:pPr>
    </w:p>
    <w:p w:rsidR="00CF2936" w:rsidRDefault="00CF2936" w:rsidP="00CF2936">
      <w:pPr>
        <w:jc w:val="center"/>
        <w:rPr>
          <w:rFonts w:ascii="Times New Roman" w:hAnsi="Times New Roman" w:cs="Times New Roman"/>
          <w:b/>
          <w:lang w:val="es-MX"/>
        </w:rPr>
      </w:pPr>
    </w:p>
    <w:p w:rsidR="00CF2936" w:rsidRDefault="00CF2936" w:rsidP="00CF2936">
      <w:pPr>
        <w:jc w:val="center"/>
        <w:rPr>
          <w:rFonts w:ascii="Times New Roman" w:hAnsi="Times New Roman" w:cs="Times New Roman"/>
          <w:b/>
          <w:lang w:val="es-MX"/>
        </w:rPr>
      </w:pPr>
    </w:p>
    <w:p w:rsidR="00CF2936" w:rsidRDefault="00CF2936" w:rsidP="00CF2936">
      <w:pPr>
        <w:jc w:val="center"/>
        <w:rPr>
          <w:rFonts w:ascii="Times New Roman" w:hAnsi="Times New Roman" w:cs="Times New Roman"/>
          <w:b/>
          <w:lang w:val="es-MX"/>
        </w:rPr>
      </w:pPr>
    </w:p>
    <w:p w:rsidR="00CF2936" w:rsidRDefault="00CF2936" w:rsidP="00CF2936">
      <w:pPr>
        <w:jc w:val="center"/>
        <w:rPr>
          <w:rFonts w:ascii="Times New Roman" w:hAnsi="Times New Roman" w:cs="Times New Roman"/>
          <w:b/>
          <w:lang w:val="es-MX"/>
        </w:rPr>
      </w:pPr>
    </w:p>
    <w:p w:rsidR="00CF2936" w:rsidRDefault="00CF2936" w:rsidP="00CF2936">
      <w:pPr>
        <w:jc w:val="center"/>
        <w:rPr>
          <w:rFonts w:ascii="Times New Roman" w:hAnsi="Times New Roman" w:cs="Times New Roman"/>
          <w:b/>
          <w:lang w:val="es-MX"/>
        </w:rPr>
      </w:pPr>
    </w:p>
    <w:p w:rsidR="00CF2936" w:rsidRDefault="00CF2936" w:rsidP="00CF2936">
      <w:pPr>
        <w:jc w:val="center"/>
        <w:rPr>
          <w:rFonts w:ascii="Times New Roman" w:hAnsi="Times New Roman" w:cs="Times New Roman"/>
          <w:b/>
          <w:lang w:val="es-MX"/>
        </w:rPr>
      </w:pPr>
    </w:p>
    <w:p w:rsidR="00CF2936" w:rsidRDefault="00CF2936" w:rsidP="00CF2936">
      <w:pPr>
        <w:jc w:val="center"/>
        <w:rPr>
          <w:rFonts w:ascii="Times New Roman" w:hAnsi="Times New Roman" w:cs="Times New Roman"/>
          <w:b/>
          <w:lang w:val="es-MX"/>
        </w:rPr>
      </w:pPr>
    </w:p>
    <w:p w:rsidR="00CF2936" w:rsidRDefault="00CF2936" w:rsidP="00CF2936">
      <w:pPr>
        <w:jc w:val="center"/>
        <w:rPr>
          <w:rFonts w:ascii="Times New Roman" w:hAnsi="Times New Roman" w:cs="Times New Roman"/>
          <w:b/>
          <w:lang w:val="es-MX"/>
        </w:rPr>
      </w:pPr>
    </w:p>
    <w:p w:rsidR="00CF2936" w:rsidRDefault="00CF2936" w:rsidP="00CF2936">
      <w:pPr>
        <w:jc w:val="center"/>
        <w:rPr>
          <w:rFonts w:ascii="Times New Roman" w:hAnsi="Times New Roman" w:cs="Times New Roman"/>
          <w:b/>
          <w:lang w:val="es-MX"/>
        </w:rPr>
      </w:pPr>
    </w:p>
    <w:p w:rsidR="00CF2936" w:rsidRDefault="00CF2936" w:rsidP="00CF2936">
      <w:pPr>
        <w:jc w:val="center"/>
        <w:rPr>
          <w:rFonts w:ascii="Times New Roman" w:hAnsi="Times New Roman" w:cs="Times New Roman"/>
          <w:b/>
          <w:lang w:val="es-MX"/>
        </w:rPr>
      </w:pPr>
    </w:p>
    <w:p w:rsidR="00CF2936" w:rsidRPr="00CF2936" w:rsidRDefault="00CF2936" w:rsidP="00CF2936">
      <w:pPr>
        <w:jc w:val="center"/>
        <w:rPr>
          <w:rFonts w:ascii="Times New Roman" w:hAnsi="Times New Roman" w:cs="Times New Roman"/>
          <w:b/>
          <w:sz w:val="44"/>
          <w:lang w:val="es-MX"/>
        </w:rPr>
      </w:pPr>
      <w:r w:rsidRPr="00CF2936">
        <w:rPr>
          <w:rFonts w:ascii="Times New Roman" w:hAnsi="Times New Roman" w:cs="Times New Roman"/>
          <w:b/>
          <w:sz w:val="44"/>
          <w:lang w:val="es-MX"/>
        </w:rPr>
        <w:t>Informe mensual de las Finanzas Públicas</w:t>
      </w:r>
    </w:p>
    <w:p w:rsidR="00CF2936" w:rsidRPr="00CF2936" w:rsidRDefault="00CF2936" w:rsidP="00CF2936">
      <w:pPr>
        <w:jc w:val="center"/>
        <w:rPr>
          <w:rFonts w:ascii="Times New Roman" w:hAnsi="Times New Roman" w:cs="Times New Roman"/>
          <w:b/>
          <w:sz w:val="44"/>
          <w:lang w:val="es-MX"/>
        </w:rPr>
      </w:pPr>
      <w:r w:rsidRPr="00CF2936">
        <w:rPr>
          <w:rFonts w:ascii="Times New Roman" w:hAnsi="Times New Roman" w:cs="Times New Roman"/>
          <w:b/>
          <w:sz w:val="44"/>
          <w:lang w:val="es-MX"/>
        </w:rPr>
        <w:t>Agosto 2015</w:t>
      </w:r>
    </w:p>
    <w:p w:rsidR="00CF2936" w:rsidRDefault="00CF2936">
      <w:pPr>
        <w:rPr>
          <w:rFonts w:ascii="Times New Roman" w:hAnsi="Times New Roman" w:cs="Times New Roman"/>
          <w:b/>
          <w:lang w:val="es-MX"/>
        </w:rPr>
      </w:pPr>
      <w:r>
        <w:rPr>
          <w:rFonts w:ascii="Times New Roman" w:hAnsi="Times New Roman" w:cs="Times New Roman"/>
          <w:b/>
          <w:lang w:val="es-MX"/>
        </w:rPr>
        <w:br w:type="page"/>
      </w:r>
    </w:p>
    <w:p w:rsidR="00052EE7" w:rsidRPr="00032ECB" w:rsidRDefault="002B6D89" w:rsidP="00D041CE">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lang w:val="es-MX"/>
        </w:rPr>
      </w:pPr>
      <w:r>
        <w:rPr>
          <w:rFonts w:ascii="Times New Roman" w:hAnsi="Times New Roman" w:cs="Times New Roman"/>
          <w:b/>
          <w:lang w:val="es-MX"/>
        </w:rPr>
        <w:lastRenderedPageBreak/>
        <w:t>induce a un menor déficit fiscal</w:t>
      </w:r>
    </w:p>
    <w:p w:rsidR="00052EE7" w:rsidRPr="0015623C" w:rsidRDefault="00052EE7" w:rsidP="00D041CE">
      <w:pPr>
        <w:pStyle w:val="Sinespaciado"/>
        <w:jc w:val="center"/>
        <w:rPr>
          <w:rFonts w:ascii="Times New Roman" w:hAnsi="Times New Roman" w:cs="Times New Roman"/>
          <w:b/>
          <w:color w:val="FF0000"/>
          <w:lang w:val="es-MX"/>
        </w:rPr>
      </w:pPr>
    </w:p>
    <w:p w:rsidR="00052EE7" w:rsidRPr="0015623C" w:rsidRDefault="00052EE7" w:rsidP="00D041CE">
      <w:pPr>
        <w:pStyle w:val="Sinespaciado"/>
        <w:jc w:val="both"/>
        <w:rPr>
          <w:rFonts w:ascii="Times New Roman" w:hAnsi="Times New Roman" w:cs="Times New Roman"/>
          <w:color w:val="FF0000"/>
          <w:lang w:val="es-MX"/>
        </w:rPr>
        <w:sectPr w:rsidR="00052EE7" w:rsidRPr="0015623C" w:rsidSect="00F334C1">
          <w:headerReference w:type="default" r:id="rId8"/>
          <w:footerReference w:type="default" r:id="rId9"/>
          <w:type w:val="continuous"/>
          <w:pgSz w:w="12240" w:h="15840"/>
          <w:pgMar w:top="1417" w:right="1701" w:bottom="1417" w:left="1701" w:header="708" w:footer="708" w:gutter="0"/>
          <w:cols w:space="708"/>
          <w:docGrid w:linePitch="360"/>
        </w:sectPr>
      </w:pPr>
    </w:p>
    <w:p w:rsidR="002B6D89" w:rsidRDefault="002B6D89" w:rsidP="00D041CE">
      <w:pPr>
        <w:pStyle w:val="Sinespaciado"/>
        <w:jc w:val="both"/>
        <w:rPr>
          <w:rFonts w:ascii="Times New Roman" w:hAnsi="Times New Roman" w:cs="Times New Roman"/>
          <w:lang w:val="es-MX"/>
        </w:rPr>
      </w:pPr>
      <w:r>
        <w:rPr>
          <w:rFonts w:ascii="Times New Roman" w:hAnsi="Times New Roman" w:cs="Times New Roman"/>
          <w:lang w:val="es-MX"/>
        </w:rPr>
        <w:lastRenderedPageBreak/>
        <w:t xml:space="preserve">El resultado fiscal al 31 de agosto se sitúa en un déficit de Q 4,629.6 millones (1.0% del PIB), superior al obtenido en igual fecha del año anterior, el cual se </w:t>
      </w:r>
      <w:r w:rsidR="005610FD">
        <w:rPr>
          <w:rFonts w:ascii="Times New Roman" w:hAnsi="Times New Roman" w:cs="Times New Roman"/>
          <w:lang w:val="es-MX"/>
        </w:rPr>
        <w:t xml:space="preserve">situó </w:t>
      </w:r>
      <w:r>
        <w:rPr>
          <w:rFonts w:ascii="Times New Roman" w:hAnsi="Times New Roman" w:cs="Times New Roman"/>
          <w:lang w:val="es-MX"/>
        </w:rPr>
        <w:t>en      Q 4,209.5 millones (0.9% del PIB).</w:t>
      </w:r>
    </w:p>
    <w:p w:rsidR="002B6D89" w:rsidRDefault="002B6D89" w:rsidP="00D041CE">
      <w:pPr>
        <w:pStyle w:val="Sinespaciado"/>
        <w:jc w:val="both"/>
        <w:rPr>
          <w:rFonts w:ascii="Times New Roman" w:hAnsi="Times New Roman" w:cs="Times New Roman"/>
          <w:lang w:val="es-MX"/>
        </w:rPr>
      </w:pPr>
    </w:p>
    <w:p w:rsidR="002B6D89" w:rsidRDefault="002B6D89" w:rsidP="00D041CE">
      <w:pPr>
        <w:pStyle w:val="Sinespaciado"/>
        <w:jc w:val="both"/>
        <w:rPr>
          <w:rFonts w:ascii="Times New Roman" w:hAnsi="Times New Roman" w:cs="Times New Roman"/>
          <w:lang w:val="es-MX"/>
        </w:rPr>
      </w:pPr>
      <w:r>
        <w:rPr>
          <w:rFonts w:ascii="Times New Roman" w:hAnsi="Times New Roman" w:cs="Times New Roman"/>
          <w:lang w:val="es-MX"/>
        </w:rPr>
        <w:t xml:space="preserve">El esfuerzo por contener el gasto, ha permitido mantener el déficit en un nivel razonable, el cual esta levemente por arriba del observado el año anterior y de lo observado en 2011, el cual fue un año atípico como el actual (año electoral), esto induce a pensar que el esfuerzo de contención ha sido importante, principalmente a partir de junio que es en </w:t>
      </w:r>
      <w:r>
        <w:rPr>
          <w:rFonts w:ascii="Times New Roman" w:hAnsi="Times New Roman" w:cs="Times New Roman"/>
          <w:lang w:val="es-MX"/>
        </w:rPr>
        <w:lastRenderedPageBreak/>
        <w:t xml:space="preserve">donde se logra apreciar que el déficit observado es sensiblemente inferior a lo estimado originalmente.  </w:t>
      </w:r>
    </w:p>
    <w:p w:rsidR="002B6D89" w:rsidRDefault="002B6D89" w:rsidP="00D041CE">
      <w:pPr>
        <w:pStyle w:val="Sinespaciado"/>
        <w:jc w:val="both"/>
        <w:rPr>
          <w:rFonts w:ascii="Times New Roman" w:hAnsi="Times New Roman" w:cs="Times New Roman"/>
          <w:lang w:val="es-MX"/>
        </w:rPr>
      </w:pPr>
    </w:p>
    <w:p w:rsidR="002B6D89" w:rsidRDefault="002B6D89" w:rsidP="00D041CE">
      <w:pPr>
        <w:pStyle w:val="Sinespaciado"/>
        <w:jc w:val="both"/>
        <w:rPr>
          <w:rFonts w:ascii="Times New Roman" w:hAnsi="Times New Roman" w:cs="Times New Roman"/>
          <w:lang w:val="es-MX"/>
        </w:rPr>
      </w:pPr>
      <w:r>
        <w:rPr>
          <w:rFonts w:ascii="Times New Roman" w:hAnsi="Times New Roman" w:cs="Times New Roman"/>
          <w:lang w:val="es-MX"/>
        </w:rPr>
        <w:t>Es importante indicar que, el ajuste en el gasto ha sido mayor a la reducción en los ingresos fiscales, debido a que una parte del financiamiento externo neto previsto, para este año, no se ha obtenido.  Además el gobierno ha tenido que utilizar parte de los recursos de este año para pagar los compromisos pendientes de pago de 2014.</w:t>
      </w:r>
    </w:p>
    <w:p w:rsidR="00052EE7" w:rsidRPr="00032ECB" w:rsidRDefault="00052EE7" w:rsidP="00D041CE">
      <w:pPr>
        <w:pStyle w:val="Sinespaciado"/>
        <w:jc w:val="both"/>
        <w:rPr>
          <w:rFonts w:ascii="Times New Roman" w:hAnsi="Times New Roman" w:cs="Times New Roman"/>
          <w:b/>
          <w:lang w:val="es-MX"/>
        </w:rPr>
      </w:pPr>
    </w:p>
    <w:p w:rsidR="00052EE7" w:rsidRPr="00032ECB" w:rsidRDefault="00052EE7" w:rsidP="00D041CE">
      <w:pPr>
        <w:pStyle w:val="Sinespaciado"/>
        <w:jc w:val="center"/>
        <w:rPr>
          <w:rFonts w:ascii="Times New Roman" w:hAnsi="Times New Roman" w:cs="Times New Roman"/>
          <w:b/>
          <w:lang w:val="es-MX"/>
        </w:rPr>
        <w:sectPr w:rsidR="00052EE7" w:rsidRPr="00032ECB" w:rsidSect="005D6A2E">
          <w:type w:val="continuous"/>
          <w:pgSz w:w="12240" w:h="15840"/>
          <w:pgMar w:top="1417" w:right="1701" w:bottom="1417" w:left="1701" w:header="708" w:footer="708" w:gutter="0"/>
          <w:cols w:num="2" w:space="708"/>
          <w:docGrid w:linePitch="360"/>
        </w:sectPr>
      </w:pPr>
    </w:p>
    <w:p w:rsidR="00052EE7" w:rsidRPr="00032ECB" w:rsidRDefault="00052EE7" w:rsidP="00D041CE">
      <w:pPr>
        <w:pStyle w:val="Sinespaciado"/>
        <w:jc w:val="right"/>
        <w:rPr>
          <w:rFonts w:ascii="Times New Roman" w:hAnsi="Times New Roman" w:cs="Times New Roman"/>
          <w:b/>
          <w:lang w:val="es-MX"/>
        </w:rPr>
      </w:pPr>
    </w:p>
    <w:p w:rsidR="009267E9" w:rsidRPr="00032ECB" w:rsidRDefault="009267E9" w:rsidP="00D041CE">
      <w:pPr>
        <w:pStyle w:val="Sinespaciado"/>
        <w:jc w:val="center"/>
        <w:rPr>
          <w:rFonts w:ascii="Times New Roman" w:hAnsi="Times New Roman" w:cs="Times New Roman"/>
          <w:b/>
          <w:lang w:val="es-MX"/>
        </w:rPr>
      </w:pPr>
      <w:r w:rsidRPr="00032ECB">
        <w:rPr>
          <w:rFonts w:ascii="Times New Roman" w:hAnsi="Times New Roman" w:cs="Times New Roman"/>
          <w:b/>
          <w:lang w:val="es-MX"/>
        </w:rPr>
        <w:t>Resultado Presupuestario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296"/>
      </w:tblGrid>
      <w:tr w:rsidR="002B6D89" w:rsidTr="00D234AD">
        <w:tc>
          <w:tcPr>
            <w:tcW w:w="4431" w:type="dxa"/>
          </w:tcPr>
          <w:p w:rsidR="002B6D89" w:rsidRDefault="002B6D89" w:rsidP="00D041CE">
            <w:pPr>
              <w:pStyle w:val="Sinespaciado"/>
              <w:jc w:val="center"/>
              <w:rPr>
                <w:rFonts w:ascii="Times New Roman" w:hAnsi="Times New Roman" w:cs="Times New Roman"/>
                <w:sz w:val="18"/>
                <w:lang w:val="es-MX"/>
              </w:rPr>
            </w:pPr>
            <w:r w:rsidRPr="00C1022E">
              <w:rPr>
                <w:rFonts w:ascii="Times New Roman" w:hAnsi="Times New Roman" w:cs="Times New Roman"/>
                <w:sz w:val="18"/>
                <w:lang w:val="es-MX"/>
              </w:rPr>
              <w:t xml:space="preserve">Al </w:t>
            </w:r>
            <w:r>
              <w:rPr>
                <w:rFonts w:ascii="Times New Roman" w:hAnsi="Times New Roman" w:cs="Times New Roman"/>
                <w:sz w:val="18"/>
                <w:lang w:val="es-MX"/>
              </w:rPr>
              <w:t xml:space="preserve">31 </w:t>
            </w:r>
            <w:r w:rsidRPr="00C1022E">
              <w:rPr>
                <w:rFonts w:ascii="Times New Roman" w:hAnsi="Times New Roman" w:cs="Times New Roman"/>
                <w:sz w:val="18"/>
                <w:lang w:val="es-MX"/>
              </w:rPr>
              <w:t xml:space="preserve">de </w:t>
            </w:r>
            <w:r>
              <w:rPr>
                <w:rFonts w:ascii="Times New Roman" w:hAnsi="Times New Roman" w:cs="Times New Roman"/>
                <w:sz w:val="18"/>
                <w:lang w:val="es-MX"/>
              </w:rPr>
              <w:t>agosto</w:t>
            </w:r>
            <w:r w:rsidRPr="00C1022E">
              <w:rPr>
                <w:rFonts w:ascii="Times New Roman" w:hAnsi="Times New Roman" w:cs="Times New Roman"/>
                <w:sz w:val="18"/>
                <w:lang w:val="es-MX"/>
              </w:rPr>
              <w:t xml:space="preserve"> de </w:t>
            </w:r>
            <w:r>
              <w:rPr>
                <w:rFonts w:ascii="Times New Roman" w:hAnsi="Times New Roman" w:cs="Times New Roman"/>
                <w:sz w:val="18"/>
                <w:lang w:val="es-MX"/>
              </w:rPr>
              <w:t>c</w:t>
            </w:r>
            <w:r w:rsidRPr="00C1022E">
              <w:rPr>
                <w:rFonts w:ascii="Times New Roman" w:hAnsi="Times New Roman" w:cs="Times New Roman"/>
                <w:sz w:val="18"/>
                <w:lang w:val="es-MX"/>
              </w:rPr>
              <w:t xml:space="preserve">ada </w:t>
            </w:r>
            <w:r>
              <w:rPr>
                <w:rFonts w:ascii="Times New Roman" w:hAnsi="Times New Roman" w:cs="Times New Roman"/>
                <w:sz w:val="18"/>
                <w:lang w:val="es-MX"/>
              </w:rPr>
              <w:t>a</w:t>
            </w:r>
            <w:r w:rsidRPr="00C1022E">
              <w:rPr>
                <w:rFonts w:ascii="Times New Roman" w:hAnsi="Times New Roman" w:cs="Times New Roman"/>
                <w:sz w:val="18"/>
                <w:lang w:val="es-MX"/>
              </w:rPr>
              <w:t>ño</w:t>
            </w:r>
          </w:p>
          <w:p w:rsidR="002B6D89" w:rsidRDefault="002B6D89" w:rsidP="00D041CE">
            <w:pPr>
              <w:pStyle w:val="Sinespaciado"/>
              <w:jc w:val="center"/>
              <w:rPr>
                <w:rFonts w:ascii="Times New Roman" w:hAnsi="Times New Roman" w:cs="Times New Roman"/>
                <w:lang w:val="es-MX"/>
              </w:rPr>
            </w:pPr>
            <w:r>
              <w:rPr>
                <w:rFonts w:ascii="Times New Roman" w:hAnsi="Times New Roman" w:cs="Times New Roman"/>
                <w:sz w:val="18"/>
                <w:lang w:val="es-MX"/>
              </w:rPr>
              <w:t>Porcentajes del PIB</w:t>
            </w:r>
          </w:p>
        </w:tc>
        <w:tc>
          <w:tcPr>
            <w:tcW w:w="4623" w:type="dxa"/>
          </w:tcPr>
          <w:p w:rsidR="002B6D89" w:rsidRPr="007B1329" w:rsidRDefault="002B6D89" w:rsidP="00D041CE">
            <w:pPr>
              <w:pStyle w:val="Sinespaciado"/>
              <w:jc w:val="center"/>
              <w:rPr>
                <w:rFonts w:ascii="Times New Roman" w:hAnsi="Times New Roman" w:cs="Times New Roman"/>
                <w:sz w:val="18"/>
                <w:lang w:val="es-MX"/>
              </w:rPr>
            </w:pPr>
            <w:r w:rsidRPr="007B1329">
              <w:rPr>
                <w:rFonts w:ascii="Times New Roman" w:hAnsi="Times New Roman" w:cs="Times New Roman"/>
                <w:sz w:val="18"/>
                <w:lang w:val="es-MX"/>
              </w:rPr>
              <w:t>Mensual Enero – Agosto 2015</w:t>
            </w:r>
          </w:p>
          <w:p w:rsidR="002B6D89" w:rsidRDefault="002B6D89" w:rsidP="00D041CE">
            <w:pPr>
              <w:pStyle w:val="Sinespaciado"/>
              <w:jc w:val="center"/>
              <w:rPr>
                <w:rFonts w:ascii="Times New Roman" w:hAnsi="Times New Roman" w:cs="Times New Roman"/>
                <w:b/>
                <w:lang w:val="es-MX"/>
              </w:rPr>
            </w:pPr>
            <w:r w:rsidRPr="007B1329">
              <w:rPr>
                <w:rFonts w:ascii="Times New Roman" w:hAnsi="Times New Roman" w:cs="Times New Roman"/>
                <w:sz w:val="18"/>
                <w:lang w:val="es-MX"/>
              </w:rPr>
              <w:t>Millones de quetzales</w:t>
            </w:r>
          </w:p>
          <w:p w:rsidR="002B6D89" w:rsidRDefault="002B6D89" w:rsidP="00D041CE">
            <w:pPr>
              <w:pStyle w:val="Sinespaciado"/>
              <w:jc w:val="center"/>
              <w:rPr>
                <w:rFonts w:ascii="Times New Roman" w:hAnsi="Times New Roman" w:cs="Times New Roman"/>
                <w:lang w:val="es-MX"/>
              </w:rPr>
            </w:pPr>
          </w:p>
        </w:tc>
      </w:tr>
      <w:tr w:rsidR="002B6D89" w:rsidTr="00865B57">
        <w:tblPrEx>
          <w:tblCellMar>
            <w:left w:w="70" w:type="dxa"/>
            <w:right w:w="70" w:type="dxa"/>
          </w:tblCellMar>
        </w:tblPrEx>
        <w:trPr>
          <w:trHeight w:val="2905"/>
        </w:trPr>
        <w:tc>
          <w:tcPr>
            <w:tcW w:w="4431" w:type="dxa"/>
          </w:tcPr>
          <w:p w:rsidR="002B6D89" w:rsidRDefault="002B6D89" w:rsidP="00D041CE">
            <w:pPr>
              <w:pStyle w:val="Sinespaciado"/>
              <w:jc w:val="center"/>
              <w:rPr>
                <w:rFonts w:ascii="Times New Roman" w:hAnsi="Times New Roman" w:cs="Times New Roman"/>
                <w:lang w:val="es-MX"/>
              </w:rPr>
            </w:pPr>
            <w:r>
              <w:rPr>
                <w:rFonts w:ascii="Times New Roman" w:hAnsi="Times New Roman" w:cs="Times New Roman"/>
                <w:noProof/>
                <w:lang w:eastAsia="es-GT"/>
              </w:rPr>
              <w:drawing>
                <wp:inline distT="0" distB="0" distL="0" distR="0" wp14:anchorId="545E832B" wp14:editId="48DAD845">
                  <wp:extent cx="2846832" cy="2090928"/>
                  <wp:effectExtent l="0" t="0" r="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9903" cy="2093184"/>
                          </a:xfrm>
                          <a:prstGeom prst="rect">
                            <a:avLst/>
                          </a:prstGeom>
                          <a:noFill/>
                        </pic:spPr>
                      </pic:pic>
                    </a:graphicData>
                  </a:graphic>
                </wp:inline>
              </w:drawing>
            </w:r>
          </w:p>
        </w:tc>
        <w:tc>
          <w:tcPr>
            <w:tcW w:w="4623" w:type="dxa"/>
          </w:tcPr>
          <w:p w:rsidR="002B6D89" w:rsidRDefault="002B6D89" w:rsidP="00D041CE">
            <w:pPr>
              <w:pStyle w:val="Sinespaciado"/>
              <w:jc w:val="center"/>
              <w:rPr>
                <w:rFonts w:ascii="Times New Roman" w:hAnsi="Times New Roman" w:cs="Times New Roman"/>
                <w:lang w:val="es-MX"/>
              </w:rPr>
            </w:pPr>
            <w:r>
              <w:rPr>
                <w:rFonts w:ascii="Times New Roman" w:hAnsi="Times New Roman" w:cs="Times New Roman"/>
                <w:noProof/>
                <w:lang w:eastAsia="es-GT"/>
              </w:rPr>
              <w:drawing>
                <wp:inline distT="0" distB="0" distL="0" distR="0" wp14:anchorId="0EA7AC21" wp14:editId="51833864">
                  <wp:extent cx="2688336" cy="206044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8590" cy="2060643"/>
                          </a:xfrm>
                          <a:prstGeom prst="rect">
                            <a:avLst/>
                          </a:prstGeom>
                          <a:noFill/>
                        </pic:spPr>
                      </pic:pic>
                    </a:graphicData>
                  </a:graphic>
                </wp:inline>
              </w:drawing>
            </w:r>
          </w:p>
        </w:tc>
      </w:tr>
    </w:tbl>
    <w:p w:rsidR="00052EE7" w:rsidRPr="00032ECB" w:rsidRDefault="00052EE7" w:rsidP="00D041CE">
      <w:pPr>
        <w:pStyle w:val="Sinespaciado"/>
        <w:rPr>
          <w:rFonts w:ascii="Times New Roman" w:hAnsi="Times New Roman" w:cs="Times New Roman"/>
          <w:sz w:val="14"/>
        </w:rPr>
      </w:pPr>
      <w:r w:rsidRPr="00032ECB">
        <w:rPr>
          <w:rFonts w:ascii="Times New Roman" w:hAnsi="Times New Roman" w:cs="Times New Roman"/>
          <w:sz w:val="14"/>
        </w:rPr>
        <w:t>Fuente: Dirección de Análisis y Política fiscal</w:t>
      </w:r>
    </w:p>
    <w:p w:rsidR="00052EE7" w:rsidRPr="0015623C" w:rsidRDefault="00052EE7" w:rsidP="00D041CE">
      <w:pPr>
        <w:pStyle w:val="Sinespaciado"/>
        <w:jc w:val="center"/>
        <w:rPr>
          <w:rFonts w:ascii="Times New Roman" w:hAnsi="Times New Roman" w:cs="Times New Roman"/>
          <w:color w:val="FF0000"/>
          <w:sz w:val="10"/>
        </w:rPr>
        <w:sectPr w:rsidR="00052EE7" w:rsidRPr="0015623C" w:rsidSect="007F29D0">
          <w:type w:val="continuous"/>
          <w:pgSz w:w="12240" w:h="15840"/>
          <w:pgMar w:top="1417" w:right="1701" w:bottom="1417" w:left="1701" w:header="708" w:footer="708" w:gutter="0"/>
          <w:cols w:space="708"/>
          <w:docGrid w:linePitch="360"/>
        </w:sectPr>
      </w:pPr>
    </w:p>
    <w:p w:rsidR="00052EE7" w:rsidRPr="0015623C" w:rsidRDefault="00052EE7" w:rsidP="00D041CE">
      <w:pPr>
        <w:pStyle w:val="Sinespaciado"/>
        <w:rPr>
          <w:rFonts w:ascii="Times New Roman" w:hAnsi="Times New Roman" w:cs="Times New Roman"/>
          <w:b/>
          <w:color w:val="FF0000"/>
          <w:sz w:val="16"/>
        </w:rPr>
      </w:pPr>
    </w:p>
    <w:p w:rsidR="00052EE7" w:rsidRPr="00865B57" w:rsidRDefault="00865B57" w:rsidP="00D041CE">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lang w:val="es-MX"/>
        </w:rPr>
        <w:sectPr w:rsidR="00052EE7" w:rsidRPr="00865B57" w:rsidSect="00BD010A">
          <w:type w:val="continuous"/>
          <w:pgSz w:w="12240" w:h="15840"/>
          <w:pgMar w:top="1417" w:right="1701" w:bottom="1417" w:left="1701" w:header="708" w:footer="708" w:gutter="0"/>
          <w:cols w:space="708"/>
          <w:docGrid w:linePitch="360"/>
        </w:sectPr>
      </w:pPr>
      <w:r w:rsidRPr="00865B57">
        <w:rPr>
          <w:rFonts w:ascii="Times New Roman" w:hAnsi="Times New Roman" w:cs="Times New Roman"/>
          <w:b/>
          <w:lang w:val="es-MX"/>
        </w:rPr>
        <w:t>Aparente caída en la recaudación de agosto de 2015</w:t>
      </w:r>
    </w:p>
    <w:p w:rsidR="00052EE7" w:rsidRPr="002B6D89" w:rsidRDefault="00052EE7" w:rsidP="00D041CE">
      <w:pPr>
        <w:spacing w:after="0" w:line="240" w:lineRule="auto"/>
        <w:jc w:val="both"/>
        <w:rPr>
          <w:rFonts w:ascii="Times New Roman" w:hAnsi="Times New Roman" w:cs="Times New Roman"/>
          <w:color w:val="FF0000"/>
          <w:lang w:val="es-MX"/>
        </w:rPr>
      </w:pPr>
    </w:p>
    <w:p w:rsidR="00052EE7" w:rsidRPr="002B6D89" w:rsidRDefault="00052EE7" w:rsidP="00D041CE">
      <w:pPr>
        <w:spacing w:after="0" w:line="240" w:lineRule="auto"/>
        <w:jc w:val="both"/>
        <w:rPr>
          <w:rFonts w:ascii="Times New Roman" w:hAnsi="Times New Roman" w:cs="Times New Roman"/>
          <w:color w:val="FF0000"/>
          <w:lang w:val="es-MX"/>
        </w:rPr>
        <w:sectPr w:rsidR="00052EE7" w:rsidRPr="002B6D89" w:rsidSect="00D90C85">
          <w:type w:val="continuous"/>
          <w:pgSz w:w="12240" w:h="15840"/>
          <w:pgMar w:top="1417" w:right="1701" w:bottom="1417" w:left="1701" w:header="708" w:footer="708" w:gutter="0"/>
          <w:cols w:space="708"/>
          <w:docGrid w:linePitch="360"/>
        </w:sectPr>
      </w:pPr>
    </w:p>
    <w:p w:rsidR="00D041CE" w:rsidRDefault="00D041CE" w:rsidP="00D041CE">
      <w:pPr>
        <w:spacing w:after="0" w:line="240" w:lineRule="auto"/>
        <w:jc w:val="both"/>
        <w:rPr>
          <w:rFonts w:ascii="Times New Roman" w:hAnsi="Times New Roman" w:cs="Times New Roman"/>
          <w:lang w:val="es-MX"/>
        </w:rPr>
      </w:pPr>
      <w:r w:rsidRPr="00CB4A7B">
        <w:rPr>
          <w:rFonts w:ascii="Times New Roman" w:hAnsi="Times New Roman" w:cs="Times New Roman"/>
          <w:lang w:val="es-MX"/>
        </w:rPr>
        <w:lastRenderedPageBreak/>
        <w:t xml:space="preserve">Información </w:t>
      </w:r>
      <w:r>
        <w:rPr>
          <w:rFonts w:ascii="Times New Roman" w:hAnsi="Times New Roman" w:cs="Times New Roman"/>
          <w:lang w:val="es-MX"/>
        </w:rPr>
        <w:t xml:space="preserve">de agosto presenta una brecha negativa de Q 65.2 millones respecto al mismo periodo del año anterior </w:t>
      </w:r>
      <w:r w:rsidRPr="009B71A6">
        <w:rPr>
          <w:rFonts w:ascii="Times New Roman" w:hAnsi="Times New Roman" w:cs="Times New Roman"/>
          <w:i/>
          <w:lang w:val="es-MX"/>
        </w:rPr>
        <w:t>(</w:t>
      </w:r>
      <w:r>
        <w:rPr>
          <w:rFonts w:ascii="Times New Roman" w:hAnsi="Times New Roman" w:cs="Times New Roman"/>
          <w:i/>
          <w:lang w:val="es-MX"/>
        </w:rPr>
        <w:t xml:space="preserve">2,014 </w:t>
      </w:r>
      <w:r w:rsidRPr="009B71A6">
        <w:rPr>
          <w:rFonts w:ascii="Times New Roman" w:hAnsi="Times New Roman" w:cs="Times New Roman"/>
          <w:i/>
          <w:lang w:val="es-MX"/>
        </w:rPr>
        <w:t>Incluye Q 108.9 millones producto del Acuerdo Gubernativo 174-2014)</w:t>
      </w:r>
      <w:r>
        <w:rPr>
          <w:rFonts w:ascii="Times New Roman" w:hAnsi="Times New Roman" w:cs="Times New Roman"/>
          <w:lang w:val="es-MX"/>
        </w:rPr>
        <w:t xml:space="preserve">, dicha brecha está marcada por una aparente disminución en el ISR de Q 82.1 millones </w:t>
      </w:r>
      <w:r w:rsidRPr="00367E81">
        <w:rPr>
          <w:rFonts w:ascii="Times New Roman" w:hAnsi="Times New Roman" w:cs="Times New Roman"/>
          <w:i/>
          <w:lang w:val="es-MX"/>
        </w:rPr>
        <w:t>(se  explica por la modificación en la tasa del régimen sobre utilidades que paso de 28% a 25%</w:t>
      </w:r>
      <w:r>
        <w:rPr>
          <w:rFonts w:ascii="Times New Roman" w:hAnsi="Times New Roman" w:cs="Times New Roman"/>
          <w:i/>
          <w:lang w:val="es-MX"/>
        </w:rPr>
        <w:t>,</w:t>
      </w:r>
      <w:r w:rsidRPr="00367E81">
        <w:rPr>
          <w:rFonts w:ascii="Times New Roman" w:hAnsi="Times New Roman" w:cs="Times New Roman"/>
          <w:i/>
          <w:lang w:val="es-MX"/>
        </w:rPr>
        <w:t xml:space="preserve"> además de la recaudación adicional</w:t>
      </w:r>
      <w:r>
        <w:rPr>
          <w:rFonts w:ascii="Times New Roman" w:hAnsi="Times New Roman" w:cs="Times New Roman"/>
          <w:i/>
          <w:lang w:val="es-MX"/>
        </w:rPr>
        <w:t xml:space="preserve"> de ISR </w:t>
      </w:r>
      <w:r w:rsidRPr="00367E81">
        <w:rPr>
          <w:rFonts w:ascii="Times New Roman" w:hAnsi="Times New Roman" w:cs="Times New Roman"/>
          <w:i/>
          <w:lang w:val="es-MX"/>
        </w:rPr>
        <w:t>de</w:t>
      </w:r>
      <w:r>
        <w:rPr>
          <w:rFonts w:ascii="Times New Roman" w:hAnsi="Times New Roman" w:cs="Times New Roman"/>
          <w:i/>
          <w:lang w:val="es-MX"/>
        </w:rPr>
        <w:t xml:space="preserve"> </w:t>
      </w:r>
      <w:r w:rsidRPr="00367E81">
        <w:rPr>
          <w:rFonts w:ascii="Times New Roman" w:hAnsi="Times New Roman" w:cs="Times New Roman"/>
          <w:i/>
          <w:lang w:val="es-MX"/>
        </w:rPr>
        <w:t>Q 64.4 millones producto de la vigencia del Acuerdo Gubernativo 174-2014)</w:t>
      </w:r>
      <w:r>
        <w:rPr>
          <w:rFonts w:ascii="Times New Roman" w:hAnsi="Times New Roman" w:cs="Times New Roman"/>
          <w:lang w:val="es-MX"/>
        </w:rPr>
        <w:t xml:space="preserve">, otro factor </w:t>
      </w:r>
      <w:r w:rsidR="005610FD">
        <w:rPr>
          <w:rFonts w:ascii="Times New Roman" w:hAnsi="Times New Roman" w:cs="Times New Roman"/>
          <w:lang w:val="es-MX"/>
        </w:rPr>
        <w:t>se identifica en</w:t>
      </w:r>
      <w:r>
        <w:rPr>
          <w:rFonts w:ascii="Times New Roman" w:hAnsi="Times New Roman" w:cs="Times New Roman"/>
          <w:lang w:val="es-MX"/>
        </w:rPr>
        <w:t xml:space="preserve"> la caída en el IVA asociado a las </w:t>
      </w:r>
      <w:r>
        <w:rPr>
          <w:rFonts w:ascii="Times New Roman" w:hAnsi="Times New Roman" w:cs="Times New Roman"/>
          <w:lang w:val="es-MX"/>
        </w:rPr>
        <w:lastRenderedPageBreak/>
        <w:t>importaciones y el deterioro en el Impuesto a las regalías e hidrocarburos compartibles producto de la caída en el precio internacional del petróleo.</w:t>
      </w:r>
    </w:p>
    <w:p w:rsidR="00D041CE" w:rsidRDefault="00D041CE" w:rsidP="00D041CE">
      <w:pPr>
        <w:spacing w:after="0" w:line="240" w:lineRule="auto"/>
        <w:jc w:val="both"/>
        <w:rPr>
          <w:rFonts w:ascii="Times New Roman" w:hAnsi="Times New Roman" w:cs="Times New Roman"/>
          <w:lang w:val="es-MX"/>
        </w:rPr>
      </w:pPr>
    </w:p>
    <w:p w:rsidR="00D041CE" w:rsidRDefault="00D041CE" w:rsidP="00D041CE">
      <w:pPr>
        <w:spacing w:after="0" w:line="240" w:lineRule="auto"/>
        <w:jc w:val="both"/>
        <w:rPr>
          <w:rFonts w:ascii="Times New Roman" w:hAnsi="Times New Roman" w:cs="Times New Roman"/>
          <w:lang w:val="es-MX"/>
        </w:rPr>
      </w:pPr>
      <w:r>
        <w:rPr>
          <w:rFonts w:ascii="Times New Roman" w:hAnsi="Times New Roman" w:cs="Times New Roman"/>
          <w:lang w:val="es-MX"/>
        </w:rPr>
        <w:t xml:space="preserve">De manera acumulada </w:t>
      </w:r>
      <w:r w:rsidR="005610FD">
        <w:rPr>
          <w:rFonts w:ascii="Times New Roman" w:hAnsi="Times New Roman" w:cs="Times New Roman"/>
          <w:lang w:val="es-MX"/>
        </w:rPr>
        <w:t xml:space="preserve">se registra un crecimiento </w:t>
      </w:r>
      <w:r>
        <w:rPr>
          <w:rFonts w:ascii="Times New Roman" w:hAnsi="Times New Roman" w:cs="Times New Roman"/>
          <w:lang w:val="es-MX"/>
        </w:rPr>
        <w:t xml:space="preserve">de Q 654.5 millones sobre lo observado el año anterior, </w:t>
      </w:r>
      <w:r w:rsidR="005610FD">
        <w:rPr>
          <w:rFonts w:ascii="Times New Roman" w:hAnsi="Times New Roman" w:cs="Times New Roman"/>
          <w:lang w:val="es-MX"/>
        </w:rPr>
        <w:t xml:space="preserve">esta brecha </w:t>
      </w:r>
      <w:r>
        <w:rPr>
          <w:rFonts w:ascii="Times New Roman" w:hAnsi="Times New Roman" w:cs="Times New Roman"/>
          <w:lang w:val="es-MX"/>
        </w:rPr>
        <w:t xml:space="preserve">real positiva descontando a la recaudación de 2,014 los Q 479.5 millones producto de la vigencia del Acuerdo Gubernativo 174-2014 se ubicaría en Q 1,133.9 millones </w:t>
      </w:r>
      <w:r w:rsidRPr="008F762C">
        <w:rPr>
          <w:rFonts w:ascii="Times New Roman" w:hAnsi="Times New Roman" w:cs="Times New Roman"/>
          <w:i/>
          <w:lang w:val="es-MX"/>
        </w:rPr>
        <w:t xml:space="preserve">(crecimiento </w:t>
      </w:r>
      <w:r w:rsidRPr="008F762C">
        <w:rPr>
          <w:rFonts w:ascii="Times New Roman" w:hAnsi="Times New Roman" w:cs="Times New Roman"/>
          <w:i/>
          <w:lang w:val="es-MX"/>
        </w:rPr>
        <w:lastRenderedPageBreak/>
        <w:t>3.5% muy cercano al crecimiento real de la economía estimado por BANGUAT 3.6%)</w:t>
      </w:r>
    </w:p>
    <w:p w:rsidR="00D041CE" w:rsidRDefault="00D041CE" w:rsidP="00D041CE">
      <w:pPr>
        <w:spacing w:after="0" w:line="240" w:lineRule="auto"/>
        <w:jc w:val="both"/>
        <w:rPr>
          <w:rFonts w:ascii="Times New Roman" w:hAnsi="Times New Roman" w:cs="Times New Roman"/>
          <w:lang w:val="es-MX"/>
        </w:rPr>
      </w:pPr>
    </w:p>
    <w:p w:rsidR="00D041CE" w:rsidRDefault="00D041CE" w:rsidP="00D041CE">
      <w:pPr>
        <w:spacing w:after="0" w:line="240" w:lineRule="auto"/>
        <w:jc w:val="both"/>
        <w:rPr>
          <w:rFonts w:ascii="Times New Roman" w:hAnsi="Times New Roman" w:cs="Times New Roman"/>
          <w:b/>
          <w:lang w:val="es-MX"/>
        </w:rPr>
      </w:pPr>
      <w:r>
        <w:rPr>
          <w:rFonts w:ascii="Times New Roman" w:hAnsi="Times New Roman" w:cs="Times New Roman"/>
          <w:b/>
          <w:lang w:val="es-MX"/>
        </w:rPr>
        <w:t>Los principales Impuestos</w:t>
      </w:r>
    </w:p>
    <w:p w:rsidR="00D041CE" w:rsidRDefault="00D041CE" w:rsidP="00D041CE">
      <w:pPr>
        <w:spacing w:after="0" w:line="240" w:lineRule="auto"/>
        <w:jc w:val="both"/>
        <w:rPr>
          <w:rFonts w:ascii="Times New Roman" w:hAnsi="Times New Roman" w:cs="Times New Roman"/>
          <w:b/>
          <w:lang w:val="es-MX"/>
        </w:rPr>
      </w:pPr>
    </w:p>
    <w:p w:rsidR="00D041CE" w:rsidRDefault="00D041CE" w:rsidP="00D041CE">
      <w:pPr>
        <w:spacing w:after="0" w:line="240" w:lineRule="auto"/>
        <w:jc w:val="both"/>
        <w:rPr>
          <w:rFonts w:ascii="Times New Roman" w:hAnsi="Times New Roman" w:cs="Times New Roman"/>
          <w:lang w:val="es-MX"/>
        </w:rPr>
      </w:pPr>
      <w:r>
        <w:rPr>
          <w:rFonts w:ascii="Times New Roman" w:hAnsi="Times New Roman" w:cs="Times New Roman"/>
          <w:lang w:val="es-MX"/>
        </w:rPr>
        <w:t>De los tres principales impuestos que determinan el 74% del total de la recaudación el único que presenta rendimiento positivo es el IVA asociado al consumo interno, los otros dos (IVA importaciones e ISR) no han superado lo observado el año anterior sin descontar la recaudación adicional producto del Acuerdo Gubernativo 174-2014.</w:t>
      </w:r>
    </w:p>
    <w:p w:rsidR="00D041CE" w:rsidRDefault="00D041CE" w:rsidP="00D041CE">
      <w:pPr>
        <w:spacing w:after="0" w:line="240" w:lineRule="auto"/>
        <w:jc w:val="both"/>
        <w:rPr>
          <w:rFonts w:ascii="Times New Roman" w:hAnsi="Times New Roman" w:cs="Times New Roman"/>
          <w:lang w:val="es-MX"/>
        </w:rPr>
      </w:pPr>
    </w:p>
    <w:p w:rsidR="00D041CE" w:rsidRPr="00EE383C" w:rsidRDefault="00D041CE" w:rsidP="00D041CE">
      <w:pPr>
        <w:spacing w:after="0" w:line="240" w:lineRule="auto"/>
        <w:jc w:val="both"/>
        <w:rPr>
          <w:rFonts w:ascii="Times New Roman" w:hAnsi="Times New Roman" w:cs="Times New Roman"/>
          <w:b/>
          <w:lang w:val="es-MX"/>
        </w:rPr>
      </w:pPr>
      <w:r w:rsidRPr="00EE383C">
        <w:rPr>
          <w:rFonts w:ascii="Times New Roman" w:hAnsi="Times New Roman" w:cs="Times New Roman"/>
          <w:b/>
          <w:lang w:val="es-MX"/>
        </w:rPr>
        <w:t>I</w:t>
      </w:r>
      <w:r>
        <w:rPr>
          <w:rFonts w:ascii="Times New Roman" w:hAnsi="Times New Roman" w:cs="Times New Roman"/>
          <w:b/>
          <w:lang w:val="es-MX"/>
        </w:rPr>
        <w:t xml:space="preserve">mpuesto </w:t>
      </w:r>
      <w:r w:rsidRPr="00EE383C">
        <w:rPr>
          <w:rFonts w:ascii="Times New Roman" w:hAnsi="Times New Roman" w:cs="Times New Roman"/>
          <w:b/>
          <w:lang w:val="es-MX"/>
        </w:rPr>
        <w:t>S</w:t>
      </w:r>
      <w:r>
        <w:rPr>
          <w:rFonts w:ascii="Times New Roman" w:hAnsi="Times New Roman" w:cs="Times New Roman"/>
          <w:b/>
          <w:lang w:val="es-MX"/>
        </w:rPr>
        <w:t xml:space="preserve">obre la </w:t>
      </w:r>
      <w:r w:rsidRPr="00EE383C">
        <w:rPr>
          <w:rFonts w:ascii="Times New Roman" w:hAnsi="Times New Roman" w:cs="Times New Roman"/>
          <w:b/>
          <w:lang w:val="es-MX"/>
        </w:rPr>
        <w:t>R</w:t>
      </w:r>
      <w:r>
        <w:rPr>
          <w:rFonts w:ascii="Times New Roman" w:hAnsi="Times New Roman" w:cs="Times New Roman"/>
          <w:b/>
          <w:lang w:val="es-MX"/>
        </w:rPr>
        <w:t>enta</w:t>
      </w:r>
    </w:p>
    <w:p w:rsidR="00D041CE" w:rsidRDefault="00D041CE" w:rsidP="00D041CE">
      <w:pPr>
        <w:spacing w:after="0" w:line="240" w:lineRule="auto"/>
        <w:jc w:val="both"/>
        <w:rPr>
          <w:rFonts w:ascii="Times New Roman" w:hAnsi="Times New Roman" w:cs="Times New Roman"/>
          <w:lang w:val="es-MX"/>
        </w:rPr>
      </w:pPr>
    </w:p>
    <w:p w:rsidR="00D041CE" w:rsidRDefault="00D041CE" w:rsidP="00D041CE">
      <w:pPr>
        <w:spacing w:after="0" w:line="240" w:lineRule="auto"/>
        <w:jc w:val="both"/>
        <w:rPr>
          <w:rFonts w:ascii="Times New Roman" w:hAnsi="Times New Roman" w:cs="Times New Roman"/>
          <w:lang w:val="es-MX"/>
        </w:rPr>
      </w:pPr>
      <w:r>
        <w:rPr>
          <w:rFonts w:ascii="Times New Roman" w:hAnsi="Times New Roman" w:cs="Times New Roman"/>
          <w:lang w:val="es-MX"/>
        </w:rPr>
        <w:t xml:space="preserve">En agosto se liquida el pago mensual </w:t>
      </w:r>
      <w:r w:rsidRPr="00EB45F2">
        <w:rPr>
          <w:rFonts w:ascii="Times New Roman" w:hAnsi="Times New Roman" w:cs="Times New Roman"/>
          <w:i/>
          <w:lang w:val="es-MX"/>
        </w:rPr>
        <w:t xml:space="preserve">(dietas, loterías, rifas, </w:t>
      </w:r>
      <w:r>
        <w:rPr>
          <w:rFonts w:ascii="Times New Roman" w:hAnsi="Times New Roman" w:cs="Times New Roman"/>
          <w:i/>
          <w:lang w:val="es-MX"/>
        </w:rPr>
        <w:t xml:space="preserve">declaración jurada y pago mensual de </w:t>
      </w:r>
      <w:r w:rsidRPr="00EB45F2">
        <w:rPr>
          <w:rFonts w:ascii="Times New Roman" w:hAnsi="Times New Roman" w:cs="Times New Roman"/>
          <w:i/>
          <w:lang w:val="es-MX"/>
        </w:rPr>
        <w:t xml:space="preserve">ingreso de actividades lucrativas, rentas de </w:t>
      </w:r>
      <w:r>
        <w:rPr>
          <w:rFonts w:ascii="Times New Roman" w:hAnsi="Times New Roman" w:cs="Times New Roman"/>
          <w:i/>
          <w:lang w:val="es-MX"/>
        </w:rPr>
        <w:t xml:space="preserve">no </w:t>
      </w:r>
      <w:r w:rsidRPr="00EB45F2">
        <w:rPr>
          <w:rFonts w:ascii="Times New Roman" w:hAnsi="Times New Roman" w:cs="Times New Roman"/>
          <w:i/>
          <w:lang w:val="es-MX"/>
        </w:rPr>
        <w:t>residentes, retencione</w:t>
      </w:r>
      <w:r>
        <w:rPr>
          <w:rFonts w:ascii="Times New Roman" w:hAnsi="Times New Roman" w:cs="Times New Roman"/>
          <w:i/>
          <w:lang w:val="es-MX"/>
        </w:rPr>
        <w:t>s a no residentes</w:t>
      </w:r>
      <w:r w:rsidRPr="00EB45F2">
        <w:rPr>
          <w:rFonts w:ascii="Times New Roman" w:hAnsi="Times New Roman" w:cs="Times New Roman"/>
          <w:i/>
          <w:lang w:val="es-MX"/>
        </w:rPr>
        <w:t>, capital inmobiliario, etc)</w:t>
      </w:r>
      <w:r>
        <w:rPr>
          <w:rFonts w:ascii="Times New Roman" w:hAnsi="Times New Roman" w:cs="Times New Roman"/>
          <w:lang w:val="es-MX"/>
        </w:rPr>
        <w:t xml:space="preserve"> la SAT programó una meta mensual de Q 1,018.2 millones para este mes, el resultado observado no alcanzó las expectativas planteadas, además en cifras acumuladas no se alcanzó la recaudación del año anterior quedando por abajo en 3.4%.</w:t>
      </w:r>
    </w:p>
    <w:p w:rsidR="00D041CE" w:rsidRDefault="00D041CE" w:rsidP="00D041CE">
      <w:pPr>
        <w:spacing w:after="0" w:line="240" w:lineRule="auto"/>
        <w:jc w:val="both"/>
        <w:rPr>
          <w:rFonts w:ascii="Times New Roman" w:hAnsi="Times New Roman" w:cs="Times New Roman"/>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5"/>
      </w:tblGrid>
      <w:tr w:rsidR="00D041CE" w:rsidRPr="00D76B57" w:rsidTr="00C05C89">
        <w:tc>
          <w:tcPr>
            <w:tcW w:w="4527" w:type="dxa"/>
          </w:tcPr>
          <w:p w:rsidR="00D041CE" w:rsidRPr="00D76B57" w:rsidRDefault="00D041CE" w:rsidP="00D041CE">
            <w:pPr>
              <w:jc w:val="center"/>
              <w:rPr>
                <w:rFonts w:ascii="Times New Roman" w:hAnsi="Times New Roman" w:cs="Times New Roman"/>
                <w:b/>
                <w:sz w:val="16"/>
                <w:lang w:val="es-MX"/>
              </w:rPr>
            </w:pPr>
            <w:r w:rsidRPr="00D76B57">
              <w:rPr>
                <w:rFonts w:ascii="Times New Roman" w:hAnsi="Times New Roman" w:cs="Times New Roman"/>
                <w:b/>
                <w:sz w:val="16"/>
                <w:lang w:val="es-MX"/>
              </w:rPr>
              <w:t>Impuesto sobre la renta 2014-2015 y Meta 2015</w:t>
            </w:r>
          </w:p>
          <w:p w:rsidR="00D041CE" w:rsidRPr="00D76B57" w:rsidRDefault="00D041CE" w:rsidP="00D041CE">
            <w:pPr>
              <w:jc w:val="center"/>
              <w:rPr>
                <w:rFonts w:ascii="Times New Roman" w:hAnsi="Times New Roman" w:cs="Times New Roman"/>
                <w:b/>
                <w:sz w:val="16"/>
                <w:lang w:val="es-MX"/>
              </w:rPr>
            </w:pPr>
            <w:r w:rsidRPr="00D76B57">
              <w:rPr>
                <w:rFonts w:ascii="Times New Roman" w:hAnsi="Times New Roman" w:cs="Times New Roman"/>
                <w:b/>
                <w:sz w:val="16"/>
                <w:lang w:val="es-MX"/>
              </w:rPr>
              <w:t>Millones de quetzales</w:t>
            </w:r>
          </w:p>
        </w:tc>
      </w:tr>
      <w:tr w:rsidR="00D041CE" w:rsidRPr="00D76B57" w:rsidTr="00C05C89">
        <w:tc>
          <w:tcPr>
            <w:tcW w:w="4527" w:type="dxa"/>
          </w:tcPr>
          <w:p w:rsidR="00D041CE" w:rsidRPr="00D76B57" w:rsidRDefault="00D041CE" w:rsidP="00D041CE">
            <w:pPr>
              <w:jc w:val="both"/>
              <w:rPr>
                <w:rFonts w:ascii="Times New Roman" w:hAnsi="Times New Roman" w:cs="Times New Roman"/>
                <w:sz w:val="16"/>
                <w:lang w:val="es-MX"/>
              </w:rPr>
            </w:pPr>
            <w:r w:rsidRPr="00D76B57">
              <w:rPr>
                <w:rFonts w:ascii="Times New Roman" w:hAnsi="Times New Roman" w:cs="Times New Roman"/>
                <w:noProof/>
                <w:sz w:val="16"/>
                <w:lang w:eastAsia="es-GT"/>
              </w:rPr>
              <w:drawing>
                <wp:inline distT="0" distB="0" distL="0" distR="0" wp14:anchorId="35A8B8F7" wp14:editId="24CC9FFE">
                  <wp:extent cx="2583712" cy="1956391"/>
                  <wp:effectExtent l="0" t="0" r="7620" b="635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D041CE" w:rsidRPr="00355694" w:rsidRDefault="00D041CE" w:rsidP="00D041CE">
      <w:pPr>
        <w:spacing w:after="0" w:line="240" w:lineRule="auto"/>
        <w:jc w:val="both"/>
        <w:rPr>
          <w:rFonts w:ascii="Times New Roman" w:hAnsi="Times New Roman" w:cs="Times New Roman"/>
          <w:noProof/>
          <w:sz w:val="16"/>
          <w:szCs w:val="16"/>
          <w:lang w:eastAsia="es-GT"/>
        </w:rPr>
      </w:pPr>
      <w:r w:rsidRPr="00341E92">
        <w:rPr>
          <w:rFonts w:ascii="Times New Roman" w:hAnsi="Times New Roman" w:cs="Times New Roman"/>
          <w:b/>
          <w:noProof/>
          <w:sz w:val="16"/>
          <w:szCs w:val="16"/>
          <w:lang w:eastAsia="es-GT"/>
        </w:rPr>
        <w:t xml:space="preserve">  </w:t>
      </w:r>
      <w:r w:rsidRPr="00355694">
        <w:rPr>
          <w:rFonts w:ascii="Times New Roman" w:hAnsi="Times New Roman" w:cs="Times New Roman"/>
          <w:noProof/>
          <w:sz w:val="16"/>
          <w:szCs w:val="16"/>
          <w:lang w:eastAsia="es-GT"/>
        </w:rPr>
        <w:t>Fuente: Dirección de Análisis y Política Fiscal</w:t>
      </w:r>
    </w:p>
    <w:p w:rsidR="00D041CE" w:rsidRDefault="00D041CE" w:rsidP="00D041CE">
      <w:pPr>
        <w:spacing w:after="0" w:line="240" w:lineRule="auto"/>
        <w:jc w:val="both"/>
        <w:rPr>
          <w:rFonts w:ascii="Times New Roman" w:hAnsi="Times New Roman" w:cs="Times New Roman"/>
          <w:b/>
          <w:lang w:val="es-MX"/>
        </w:rPr>
      </w:pPr>
    </w:p>
    <w:p w:rsidR="00355694" w:rsidRDefault="00355694" w:rsidP="00D041CE">
      <w:pPr>
        <w:spacing w:after="0" w:line="240" w:lineRule="auto"/>
        <w:jc w:val="both"/>
        <w:rPr>
          <w:rFonts w:ascii="Times New Roman" w:hAnsi="Times New Roman" w:cs="Times New Roman"/>
          <w:b/>
          <w:lang w:val="es-MX"/>
        </w:rPr>
      </w:pPr>
    </w:p>
    <w:p w:rsidR="00355694" w:rsidRDefault="00355694" w:rsidP="00D041CE">
      <w:pPr>
        <w:spacing w:after="0" w:line="240" w:lineRule="auto"/>
        <w:jc w:val="both"/>
        <w:rPr>
          <w:rFonts w:ascii="Times New Roman" w:hAnsi="Times New Roman" w:cs="Times New Roman"/>
          <w:b/>
          <w:lang w:val="es-MX"/>
        </w:rPr>
      </w:pPr>
    </w:p>
    <w:p w:rsidR="00355694" w:rsidRDefault="00355694" w:rsidP="00D041CE">
      <w:pPr>
        <w:spacing w:after="0" w:line="240" w:lineRule="auto"/>
        <w:jc w:val="both"/>
        <w:rPr>
          <w:rFonts w:ascii="Times New Roman" w:hAnsi="Times New Roman" w:cs="Times New Roman"/>
          <w:b/>
          <w:lang w:val="es-MX"/>
        </w:rPr>
      </w:pPr>
    </w:p>
    <w:p w:rsidR="00355694" w:rsidRDefault="00355694" w:rsidP="00D041CE">
      <w:pPr>
        <w:spacing w:after="0" w:line="240" w:lineRule="auto"/>
        <w:jc w:val="both"/>
        <w:rPr>
          <w:rFonts w:ascii="Times New Roman" w:hAnsi="Times New Roman" w:cs="Times New Roman"/>
          <w:b/>
          <w:lang w:val="es-MX"/>
        </w:rPr>
      </w:pPr>
    </w:p>
    <w:p w:rsidR="00355694" w:rsidRDefault="00355694" w:rsidP="00D041CE">
      <w:pPr>
        <w:spacing w:after="0" w:line="240" w:lineRule="auto"/>
        <w:jc w:val="both"/>
        <w:rPr>
          <w:rFonts w:ascii="Times New Roman" w:hAnsi="Times New Roman" w:cs="Times New Roman"/>
          <w:b/>
          <w:lang w:val="es-MX"/>
        </w:rPr>
      </w:pPr>
    </w:p>
    <w:p w:rsidR="00355694" w:rsidRDefault="00355694" w:rsidP="00D041CE">
      <w:pPr>
        <w:spacing w:after="0" w:line="240" w:lineRule="auto"/>
        <w:jc w:val="both"/>
        <w:rPr>
          <w:rFonts w:ascii="Times New Roman" w:hAnsi="Times New Roman" w:cs="Times New Roman"/>
          <w:b/>
          <w:lang w:val="es-MX"/>
        </w:rPr>
      </w:pPr>
    </w:p>
    <w:p w:rsidR="00D041CE" w:rsidRPr="00B471B7" w:rsidRDefault="00D041CE" w:rsidP="00D041CE">
      <w:pPr>
        <w:spacing w:after="0" w:line="240" w:lineRule="auto"/>
        <w:jc w:val="both"/>
        <w:rPr>
          <w:rFonts w:ascii="Times New Roman" w:hAnsi="Times New Roman" w:cs="Times New Roman"/>
          <w:b/>
          <w:lang w:val="es-MX"/>
        </w:rPr>
      </w:pPr>
      <w:r w:rsidRPr="00B471B7">
        <w:rPr>
          <w:rFonts w:ascii="Times New Roman" w:hAnsi="Times New Roman" w:cs="Times New Roman"/>
          <w:b/>
          <w:lang w:val="es-MX"/>
        </w:rPr>
        <w:lastRenderedPageBreak/>
        <w:t>Impuesto al valor agregado</w:t>
      </w:r>
      <w:r>
        <w:rPr>
          <w:rFonts w:ascii="Times New Roman" w:hAnsi="Times New Roman" w:cs="Times New Roman"/>
          <w:b/>
          <w:lang w:val="es-MX"/>
        </w:rPr>
        <w:t xml:space="preserve"> (Doméstico e Importaciones)</w:t>
      </w:r>
    </w:p>
    <w:p w:rsidR="00D041CE" w:rsidRDefault="00D041CE" w:rsidP="00D041CE">
      <w:pPr>
        <w:spacing w:after="0" w:line="240" w:lineRule="auto"/>
        <w:jc w:val="both"/>
        <w:rPr>
          <w:rFonts w:ascii="Times New Roman" w:hAnsi="Times New Roman" w:cs="Times New Roman"/>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5"/>
      </w:tblGrid>
      <w:tr w:rsidR="00D041CE" w:rsidRPr="00D76B57" w:rsidTr="00C05C89">
        <w:tc>
          <w:tcPr>
            <w:tcW w:w="4281" w:type="dxa"/>
          </w:tcPr>
          <w:p w:rsidR="00D041CE" w:rsidRPr="00D76B57" w:rsidRDefault="00D041CE" w:rsidP="00D041CE">
            <w:pPr>
              <w:jc w:val="center"/>
              <w:rPr>
                <w:rFonts w:ascii="Times New Roman" w:hAnsi="Times New Roman" w:cs="Times New Roman"/>
                <w:b/>
                <w:sz w:val="16"/>
                <w:lang w:val="es-MX"/>
              </w:rPr>
            </w:pPr>
            <w:r>
              <w:rPr>
                <w:rFonts w:ascii="Times New Roman" w:hAnsi="Times New Roman" w:cs="Times New Roman"/>
                <w:b/>
                <w:sz w:val="16"/>
                <w:lang w:val="es-MX"/>
              </w:rPr>
              <w:t xml:space="preserve">IVA total </w:t>
            </w:r>
            <w:r w:rsidRPr="00D76B57">
              <w:rPr>
                <w:rFonts w:ascii="Times New Roman" w:hAnsi="Times New Roman" w:cs="Times New Roman"/>
                <w:b/>
                <w:sz w:val="16"/>
                <w:lang w:val="es-MX"/>
              </w:rPr>
              <w:t>2014-2015 y Meta 2015</w:t>
            </w:r>
          </w:p>
          <w:p w:rsidR="00D041CE" w:rsidRPr="00D76B57" w:rsidRDefault="00D041CE" w:rsidP="00D041CE">
            <w:pPr>
              <w:jc w:val="center"/>
              <w:rPr>
                <w:rFonts w:ascii="Times New Roman" w:hAnsi="Times New Roman" w:cs="Times New Roman"/>
                <w:b/>
                <w:sz w:val="16"/>
                <w:lang w:val="es-MX"/>
              </w:rPr>
            </w:pPr>
            <w:r w:rsidRPr="00D76B57">
              <w:rPr>
                <w:rFonts w:ascii="Times New Roman" w:hAnsi="Times New Roman" w:cs="Times New Roman"/>
                <w:b/>
                <w:sz w:val="16"/>
                <w:lang w:val="es-MX"/>
              </w:rPr>
              <w:t>Millones de quetzales</w:t>
            </w:r>
          </w:p>
        </w:tc>
      </w:tr>
      <w:tr w:rsidR="00D041CE" w:rsidRPr="00D76B57" w:rsidTr="00C05C89">
        <w:tc>
          <w:tcPr>
            <w:tcW w:w="4281" w:type="dxa"/>
          </w:tcPr>
          <w:p w:rsidR="00D041CE" w:rsidRPr="00D76B57" w:rsidRDefault="00D041CE" w:rsidP="00D041CE">
            <w:pPr>
              <w:jc w:val="both"/>
              <w:rPr>
                <w:rFonts w:ascii="Times New Roman" w:hAnsi="Times New Roman" w:cs="Times New Roman"/>
                <w:sz w:val="16"/>
                <w:lang w:val="es-MX"/>
              </w:rPr>
            </w:pPr>
            <w:r w:rsidRPr="00D76B57">
              <w:rPr>
                <w:rFonts w:ascii="Times New Roman" w:hAnsi="Times New Roman" w:cs="Times New Roman"/>
                <w:noProof/>
                <w:sz w:val="16"/>
                <w:lang w:eastAsia="es-GT"/>
              </w:rPr>
              <w:drawing>
                <wp:inline distT="0" distB="0" distL="0" distR="0" wp14:anchorId="592298F5" wp14:editId="1F52C5FF">
                  <wp:extent cx="2583712" cy="1956391"/>
                  <wp:effectExtent l="0" t="0" r="7620" b="635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D041CE" w:rsidRPr="00355694" w:rsidRDefault="00D041CE" w:rsidP="00D041CE">
      <w:pPr>
        <w:spacing w:after="0" w:line="240" w:lineRule="auto"/>
        <w:jc w:val="both"/>
        <w:rPr>
          <w:rFonts w:ascii="Times New Roman" w:hAnsi="Times New Roman" w:cs="Times New Roman"/>
          <w:noProof/>
          <w:sz w:val="16"/>
          <w:szCs w:val="16"/>
          <w:lang w:eastAsia="es-GT"/>
        </w:rPr>
      </w:pPr>
      <w:r w:rsidRPr="00355694">
        <w:rPr>
          <w:rFonts w:ascii="Times New Roman" w:hAnsi="Times New Roman" w:cs="Times New Roman"/>
          <w:noProof/>
          <w:sz w:val="16"/>
          <w:szCs w:val="16"/>
          <w:lang w:eastAsia="es-GT"/>
        </w:rPr>
        <w:t>Fuente: Dirección de Análisis y Política Fiscal</w:t>
      </w:r>
    </w:p>
    <w:p w:rsidR="00D041CE" w:rsidRPr="007E7A77" w:rsidRDefault="00D041CE" w:rsidP="00D041CE">
      <w:pPr>
        <w:spacing w:after="0" w:line="240" w:lineRule="auto"/>
        <w:jc w:val="both"/>
        <w:rPr>
          <w:rFonts w:ascii="Times New Roman" w:hAnsi="Times New Roman" w:cs="Times New Roman"/>
        </w:rPr>
      </w:pPr>
    </w:p>
    <w:p w:rsidR="00D041CE" w:rsidRDefault="00D041CE" w:rsidP="00D041CE">
      <w:pPr>
        <w:spacing w:after="0" w:line="240" w:lineRule="auto"/>
        <w:jc w:val="both"/>
        <w:rPr>
          <w:rFonts w:ascii="Times New Roman" w:hAnsi="Times New Roman" w:cs="Times New Roman"/>
          <w:lang w:val="es-MX"/>
        </w:rPr>
      </w:pPr>
      <w:r>
        <w:rPr>
          <w:rFonts w:ascii="Times New Roman" w:hAnsi="Times New Roman" w:cs="Times New Roman"/>
          <w:lang w:val="es-MX"/>
        </w:rPr>
        <w:t xml:space="preserve">El IVA asociado al consumo interno presenta una caída acumulada de Q 554.4 millones respecto a la meta establecida por SAT </w:t>
      </w:r>
      <w:r w:rsidRPr="00DF6677">
        <w:rPr>
          <w:rFonts w:ascii="Times New Roman" w:hAnsi="Times New Roman" w:cs="Times New Roman"/>
          <w:i/>
          <w:lang w:val="es-MX"/>
        </w:rPr>
        <w:t>(es importante mencionar que dicha meta incluye Q 702.2 millones como esfuerzo adicional que se le requiere a la SAT</w:t>
      </w:r>
      <w:r>
        <w:rPr>
          <w:rFonts w:ascii="Times New Roman" w:hAnsi="Times New Roman" w:cs="Times New Roman"/>
          <w:i/>
          <w:lang w:val="es-MX"/>
        </w:rPr>
        <w:t xml:space="preserve"> “medidas administrativas”</w:t>
      </w:r>
      <w:r w:rsidRPr="00DF6677">
        <w:rPr>
          <w:rFonts w:ascii="Times New Roman" w:hAnsi="Times New Roman" w:cs="Times New Roman"/>
          <w:i/>
          <w:lang w:val="es-MX"/>
        </w:rPr>
        <w:t>)</w:t>
      </w:r>
      <w:r>
        <w:rPr>
          <w:rFonts w:ascii="Times New Roman" w:hAnsi="Times New Roman" w:cs="Times New Roman"/>
          <w:lang w:val="es-MX"/>
        </w:rPr>
        <w:t xml:space="preserve">, con relación a la recaudación del año anterior el resultado es contrario ya que se observa un crecimiento de 7.6% (Q 506.4 millones) dicho crecimiento es ligeramente mayor si se descuentan Q 91.3 millones producto de la vigencia del Acuerdo Gubernativo 174-2014, además es importante destacar que dicho crecimiento se encuentra por arriba del crecimiento nominal esperado por el BANGUAT </w:t>
      </w:r>
      <w:r w:rsidRPr="00DF6677">
        <w:rPr>
          <w:rFonts w:ascii="Times New Roman" w:hAnsi="Times New Roman" w:cs="Times New Roman"/>
          <w:i/>
          <w:lang w:val="es-MX"/>
        </w:rPr>
        <w:t>(a finales de año puede rondar entre 7.3% y 7.9%)</w:t>
      </w:r>
      <w:r>
        <w:rPr>
          <w:rFonts w:ascii="Times New Roman" w:hAnsi="Times New Roman" w:cs="Times New Roman"/>
          <w:lang w:val="es-MX"/>
        </w:rPr>
        <w:t xml:space="preserve">, otro factor importante que puede estar determinando el  crecimiento de este impuesto es el aumento en </w:t>
      </w:r>
      <w:r w:rsidR="005610FD">
        <w:rPr>
          <w:rFonts w:ascii="Times New Roman" w:hAnsi="Times New Roman" w:cs="Times New Roman"/>
          <w:lang w:val="es-MX"/>
        </w:rPr>
        <w:t>la demanda interna,</w:t>
      </w:r>
      <w:r>
        <w:rPr>
          <w:rFonts w:ascii="Times New Roman" w:hAnsi="Times New Roman" w:cs="Times New Roman"/>
          <w:lang w:val="es-MX"/>
        </w:rPr>
        <w:t xml:space="preserve"> </w:t>
      </w:r>
      <w:r w:rsidR="005610FD">
        <w:rPr>
          <w:rFonts w:ascii="Times New Roman" w:hAnsi="Times New Roman" w:cs="Times New Roman"/>
          <w:lang w:val="es-MX"/>
        </w:rPr>
        <w:t xml:space="preserve">la </w:t>
      </w:r>
      <w:r>
        <w:rPr>
          <w:rFonts w:ascii="Times New Roman" w:hAnsi="Times New Roman" w:cs="Times New Roman"/>
          <w:lang w:val="es-MX"/>
        </w:rPr>
        <w:t>cual se puede explicar  por la baja en los precio internacionales del petróleo lo cual estaría provocando un efecto cascada al aminorar algunos costos en la cadena de producción y el transporte de insumos básicos.</w:t>
      </w:r>
    </w:p>
    <w:p w:rsidR="00D041CE" w:rsidRDefault="00D041CE" w:rsidP="00D041CE">
      <w:pPr>
        <w:spacing w:after="0" w:line="240" w:lineRule="auto"/>
        <w:jc w:val="both"/>
        <w:rPr>
          <w:rFonts w:ascii="Times New Roman" w:hAnsi="Times New Roman" w:cs="Times New Roman"/>
          <w:lang w:val="es-MX"/>
        </w:rPr>
      </w:pPr>
    </w:p>
    <w:p w:rsidR="00D041CE" w:rsidRDefault="00D041CE" w:rsidP="00D041CE">
      <w:pPr>
        <w:spacing w:after="0" w:line="240" w:lineRule="auto"/>
        <w:jc w:val="both"/>
        <w:rPr>
          <w:rFonts w:ascii="Times New Roman" w:hAnsi="Times New Roman" w:cs="Times New Roman"/>
          <w:lang w:val="es-MX"/>
        </w:rPr>
      </w:pPr>
      <w:r>
        <w:rPr>
          <w:rFonts w:ascii="Times New Roman" w:hAnsi="Times New Roman" w:cs="Times New Roman"/>
          <w:lang w:val="es-MX"/>
        </w:rPr>
        <w:t xml:space="preserve">El impuesto al valor agregado asociado a las importaciones presenta una caída del 3.9%  (Q 331.9 millones) respecto a lo observado en el año anterior, con relación a la meta establecida por SAT la caída es mayor          Q 830.6 millones dicha caída está impulsada por </w:t>
      </w:r>
      <w:r>
        <w:rPr>
          <w:rFonts w:ascii="Times New Roman" w:hAnsi="Times New Roman" w:cs="Times New Roman"/>
          <w:lang w:val="es-MX"/>
        </w:rPr>
        <w:lastRenderedPageBreak/>
        <w:t>razones exógenas como una aparente apreciación del quetzal y por el impacto que genera la caída del precio internacional del petróleo, aunado a estos dos eventos también se suma una caída (0.3%) en las importaciones gravadas acumuladas a julio.</w:t>
      </w:r>
    </w:p>
    <w:p w:rsidR="00025914" w:rsidRPr="002B6D89" w:rsidRDefault="00D041CE" w:rsidP="00D041CE">
      <w:pPr>
        <w:spacing w:after="0" w:line="240" w:lineRule="auto"/>
        <w:jc w:val="both"/>
        <w:rPr>
          <w:rFonts w:ascii="Times New Roman" w:hAnsi="Times New Roman" w:cs="Times New Roman"/>
          <w:b/>
          <w:color w:val="FF0000"/>
          <w:lang w:val="es-MX"/>
        </w:rPr>
        <w:sectPr w:rsidR="00025914" w:rsidRPr="002B6D89" w:rsidSect="005D6A2E">
          <w:type w:val="continuous"/>
          <w:pgSz w:w="12240" w:h="15840"/>
          <w:pgMar w:top="1417" w:right="1701" w:bottom="1417" w:left="1701" w:header="708" w:footer="708" w:gutter="0"/>
          <w:cols w:num="2" w:space="708"/>
          <w:docGrid w:linePitch="360"/>
        </w:sectPr>
      </w:pPr>
      <w:r>
        <w:rPr>
          <w:rFonts w:ascii="Times New Roman" w:hAnsi="Times New Roman" w:cs="Times New Roman"/>
          <w:lang w:val="es-MX"/>
        </w:rPr>
        <w:lastRenderedPageBreak/>
        <w:t>La recaudación por concepto de impuestos asociados al comercio exterior (IVA importaciones y DAI) presentan una caída de 7.3% (Q 752.6 millones) respecto a la meta establecida por SAT y una caída de 2.9% respecto a lo recaudado el año anterior.</w:t>
      </w:r>
    </w:p>
    <w:p w:rsidR="00741F4D" w:rsidRPr="00D041CE" w:rsidRDefault="00741F4D" w:rsidP="00D041CE">
      <w:pPr>
        <w:spacing w:after="0"/>
        <w:rPr>
          <w:rFonts w:ascii="Times New Roman" w:hAnsi="Times New Roman" w:cs="Times New Roman"/>
          <w:b/>
          <w:lang w:val="es-MX"/>
        </w:rPr>
      </w:pPr>
    </w:p>
    <w:p w:rsidR="00025914" w:rsidRPr="00D041CE" w:rsidRDefault="001906FF" w:rsidP="00D041CE">
      <w:pPr>
        <w:spacing w:after="0" w:line="240" w:lineRule="auto"/>
        <w:jc w:val="center"/>
        <w:rPr>
          <w:rFonts w:ascii="Times New Roman" w:hAnsi="Times New Roman" w:cs="Times New Roman"/>
          <w:b/>
          <w:lang w:val="es-MX"/>
        </w:rPr>
      </w:pPr>
      <w:r w:rsidRPr="00D041CE">
        <w:rPr>
          <w:rFonts w:ascii="Times New Roman" w:hAnsi="Times New Roman" w:cs="Times New Roman"/>
          <w:b/>
          <w:lang w:val="es-MX"/>
        </w:rPr>
        <w:t>Recaudación tributaria</w:t>
      </w:r>
      <w:r w:rsidR="00025914" w:rsidRPr="00D041CE">
        <w:rPr>
          <w:rFonts w:ascii="Times New Roman" w:hAnsi="Times New Roman" w:cs="Times New Roman"/>
          <w:b/>
          <w:lang w:val="es-MX"/>
        </w:rPr>
        <w:t xml:space="preserve"> </w:t>
      </w:r>
    </w:p>
    <w:p w:rsidR="00025914" w:rsidRPr="00D041CE" w:rsidRDefault="00025914" w:rsidP="00D041CE">
      <w:pPr>
        <w:spacing w:after="0" w:line="240" w:lineRule="auto"/>
        <w:jc w:val="center"/>
        <w:rPr>
          <w:rFonts w:ascii="Times New Roman" w:hAnsi="Times New Roman" w:cs="Times New Roman"/>
          <w:lang w:val="es-MX"/>
        </w:rPr>
      </w:pPr>
      <w:r w:rsidRPr="00D041CE">
        <w:rPr>
          <w:rFonts w:ascii="Times New Roman" w:hAnsi="Times New Roman" w:cs="Times New Roman"/>
          <w:sz w:val="20"/>
          <w:lang w:val="es-MX"/>
        </w:rPr>
        <w:t>Millones de quetzales y porcentajes</w:t>
      </w:r>
    </w:p>
    <w:p w:rsidR="00025914" w:rsidRPr="00D041CE" w:rsidRDefault="00D041CE" w:rsidP="00D041CE">
      <w:pPr>
        <w:spacing w:after="0" w:line="240" w:lineRule="auto"/>
        <w:jc w:val="center"/>
        <w:rPr>
          <w:rFonts w:ascii="Times New Roman" w:hAnsi="Times New Roman" w:cs="Times New Roman"/>
          <w:lang w:val="es-MX"/>
        </w:rPr>
      </w:pPr>
      <w:r w:rsidRPr="00D041CE">
        <w:rPr>
          <w:noProof/>
          <w:lang w:eastAsia="es-GT"/>
        </w:rPr>
        <w:drawing>
          <wp:inline distT="0" distB="0" distL="0" distR="0" wp14:anchorId="45829D0E" wp14:editId="3ECFFE9F">
            <wp:extent cx="5612130" cy="3806190"/>
            <wp:effectExtent l="0" t="0" r="7620"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3806190"/>
                    </a:xfrm>
                    <a:prstGeom prst="rect">
                      <a:avLst/>
                    </a:prstGeom>
                    <a:noFill/>
                    <a:ln>
                      <a:noFill/>
                    </a:ln>
                  </pic:spPr>
                </pic:pic>
              </a:graphicData>
            </a:graphic>
          </wp:inline>
        </w:drawing>
      </w:r>
    </w:p>
    <w:p w:rsidR="00025914" w:rsidRPr="00D041CE" w:rsidRDefault="00025914" w:rsidP="00D041CE">
      <w:pPr>
        <w:spacing w:after="0" w:line="240" w:lineRule="auto"/>
        <w:jc w:val="both"/>
        <w:rPr>
          <w:rFonts w:ascii="Times New Roman" w:hAnsi="Times New Roman" w:cs="Times New Roman"/>
          <w:sz w:val="16"/>
          <w:lang w:val="es-MX"/>
        </w:rPr>
      </w:pPr>
      <w:r w:rsidRPr="00D041CE">
        <w:rPr>
          <w:rFonts w:ascii="Times New Roman" w:hAnsi="Times New Roman" w:cs="Times New Roman"/>
          <w:sz w:val="16"/>
          <w:lang w:val="es-MX"/>
        </w:rPr>
        <w:t>Fuente: Dirección de Análisis y Política Fiscal.</w:t>
      </w:r>
    </w:p>
    <w:p w:rsidR="00D95A72" w:rsidRPr="0015623C" w:rsidRDefault="00D95A72" w:rsidP="00D041CE">
      <w:pPr>
        <w:spacing w:after="0" w:line="240" w:lineRule="auto"/>
        <w:jc w:val="both"/>
        <w:rPr>
          <w:rFonts w:ascii="Times New Roman" w:hAnsi="Times New Roman" w:cs="Times New Roman"/>
          <w:color w:val="FF0000"/>
          <w:lang w:val="es-MX"/>
        </w:rPr>
        <w:sectPr w:rsidR="00D95A72" w:rsidRPr="0015623C" w:rsidSect="00025914">
          <w:headerReference w:type="default" r:id="rId15"/>
          <w:footerReference w:type="default" r:id="rId16"/>
          <w:type w:val="continuous"/>
          <w:pgSz w:w="12240" w:h="15840"/>
          <w:pgMar w:top="1417" w:right="1701" w:bottom="1417" w:left="1701" w:header="708" w:footer="708" w:gutter="0"/>
          <w:cols w:space="708"/>
          <w:docGrid w:linePitch="360"/>
        </w:sectPr>
      </w:pPr>
    </w:p>
    <w:p w:rsidR="00D95A72" w:rsidRPr="0015623C" w:rsidRDefault="00D95A72" w:rsidP="00D041CE">
      <w:pPr>
        <w:spacing w:after="0" w:line="240" w:lineRule="auto"/>
        <w:rPr>
          <w:rFonts w:ascii="Times New Roman" w:hAnsi="Times New Roman" w:cs="Times New Roman"/>
          <w:b/>
          <w:color w:val="FF0000"/>
          <w:sz w:val="14"/>
          <w:lang w:val="es-MX"/>
        </w:rPr>
        <w:sectPr w:rsidR="00D95A72" w:rsidRPr="0015623C" w:rsidSect="00052EE7">
          <w:type w:val="continuous"/>
          <w:pgSz w:w="12240" w:h="15840"/>
          <w:pgMar w:top="1417" w:right="1701" w:bottom="1417" w:left="1701" w:header="708" w:footer="708" w:gutter="0"/>
          <w:cols w:num="2" w:space="708"/>
          <w:docGrid w:linePitch="360"/>
        </w:sectPr>
      </w:pPr>
    </w:p>
    <w:p w:rsidR="00701B17" w:rsidRPr="0015623C" w:rsidRDefault="00701B17" w:rsidP="00D041CE">
      <w:pPr>
        <w:spacing w:after="0" w:line="240" w:lineRule="auto"/>
        <w:jc w:val="both"/>
        <w:rPr>
          <w:rFonts w:ascii="Times New Roman" w:hAnsi="Times New Roman" w:cs="Times New Roman"/>
          <w:color w:val="FF0000"/>
          <w:sz w:val="6"/>
          <w:lang w:val="es-MX"/>
        </w:rPr>
      </w:pPr>
    </w:p>
    <w:p w:rsidR="00582390" w:rsidRPr="00E35D8E" w:rsidRDefault="002B6D89" w:rsidP="00D041CE">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lang w:val="es-MX"/>
        </w:rPr>
      </w:pPr>
      <w:r>
        <w:rPr>
          <w:rFonts w:ascii="Times New Roman" w:hAnsi="Times New Roman" w:cs="Times New Roman"/>
          <w:b/>
          <w:lang w:val="es-MX"/>
        </w:rPr>
        <w:t>Se mantiene la desaceleración en el</w:t>
      </w:r>
      <w:r w:rsidR="00BE4C41" w:rsidRPr="00E35D8E">
        <w:rPr>
          <w:rFonts w:ascii="Times New Roman" w:hAnsi="Times New Roman" w:cs="Times New Roman"/>
          <w:b/>
        </w:rPr>
        <w:t xml:space="preserve"> gasto </w:t>
      </w:r>
    </w:p>
    <w:p w:rsidR="00BD010A" w:rsidRPr="0015623C" w:rsidRDefault="00BD010A" w:rsidP="00D041CE">
      <w:pPr>
        <w:pStyle w:val="Sinespaciado"/>
        <w:jc w:val="both"/>
        <w:rPr>
          <w:rFonts w:ascii="Times New Roman" w:hAnsi="Times New Roman" w:cs="Times New Roman"/>
          <w:color w:val="FF0000"/>
          <w:lang w:val="es-MX"/>
        </w:rPr>
      </w:pPr>
    </w:p>
    <w:p w:rsidR="00BD010A" w:rsidRPr="00DF2340" w:rsidRDefault="00BD010A" w:rsidP="00D041CE">
      <w:pPr>
        <w:pStyle w:val="Sinespaciado"/>
        <w:jc w:val="both"/>
        <w:rPr>
          <w:rFonts w:ascii="Times New Roman" w:hAnsi="Times New Roman" w:cs="Times New Roman"/>
          <w:color w:val="FF0000"/>
          <w:sz w:val="18"/>
          <w:lang w:val="es-MX"/>
        </w:rPr>
        <w:sectPr w:rsidR="00BD010A" w:rsidRPr="00DF2340" w:rsidSect="00BD010A">
          <w:type w:val="continuous"/>
          <w:pgSz w:w="12240" w:h="15840"/>
          <w:pgMar w:top="1417" w:right="1701" w:bottom="1417" w:left="1701" w:header="708" w:footer="708" w:gutter="0"/>
          <w:cols w:space="708"/>
          <w:docGrid w:linePitch="360"/>
        </w:sectPr>
      </w:pPr>
    </w:p>
    <w:p w:rsidR="002B6D89" w:rsidRDefault="002B6D89" w:rsidP="00D041CE">
      <w:pPr>
        <w:pStyle w:val="Sinespaciado"/>
        <w:jc w:val="both"/>
        <w:rPr>
          <w:rFonts w:ascii="Times New Roman" w:hAnsi="Times New Roman" w:cs="Times New Roman"/>
          <w:lang w:val="es-MX"/>
        </w:rPr>
      </w:pPr>
      <w:r>
        <w:rPr>
          <w:rFonts w:ascii="Times New Roman" w:hAnsi="Times New Roman" w:cs="Times New Roman"/>
          <w:lang w:val="es-MX"/>
        </w:rPr>
        <w:lastRenderedPageBreak/>
        <w:t>La ejecución de gasto público a lo largo de los últimos cuatro meses muestra una marcada desaceleración, producto de una política contención y de austeridad, que es motivada por el bajo rendimiento de la recaudación tributaria y por la reducción de los flujos de financiamiento que fue acelerada en los primeros cuatros meses</w:t>
      </w:r>
      <w:r w:rsidR="00DF2340">
        <w:rPr>
          <w:rFonts w:ascii="Times New Roman" w:hAnsi="Times New Roman" w:cs="Times New Roman"/>
          <w:lang w:val="es-MX"/>
        </w:rPr>
        <w:t xml:space="preserve"> del año y bastante modesta en </w:t>
      </w:r>
      <w:r>
        <w:rPr>
          <w:rFonts w:ascii="Times New Roman" w:hAnsi="Times New Roman" w:cs="Times New Roman"/>
          <w:lang w:val="es-MX"/>
        </w:rPr>
        <w:t xml:space="preserve">los siguientes meses.   </w:t>
      </w:r>
    </w:p>
    <w:p w:rsidR="002B6D89" w:rsidRPr="00DF2340" w:rsidRDefault="002B6D89" w:rsidP="00D041CE">
      <w:pPr>
        <w:pStyle w:val="Sinespaciado"/>
        <w:jc w:val="both"/>
        <w:rPr>
          <w:rFonts w:ascii="Times New Roman" w:hAnsi="Times New Roman" w:cs="Times New Roman"/>
          <w:sz w:val="16"/>
          <w:lang w:val="es-MX"/>
        </w:rPr>
      </w:pPr>
    </w:p>
    <w:p w:rsidR="002B6D89" w:rsidRDefault="002B6D89" w:rsidP="00D041CE">
      <w:pPr>
        <w:pStyle w:val="Sinespaciado"/>
        <w:jc w:val="both"/>
        <w:rPr>
          <w:rFonts w:ascii="Times New Roman" w:hAnsi="Times New Roman" w:cs="Times New Roman"/>
          <w:lang w:val="es-MX"/>
        </w:rPr>
      </w:pPr>
      <w:r>
        <w:rPr>
          <w:rFonts w:ascii="Times New Roman" w:hAnsi="Times New Roman" w:cs="Times New Roman"/>
          <w:lang w:val="es-MX"/>
        </w:rPr>
        <w:t xml:space="preserve">A pesar de la contención, los gastos extraordinarios que se empezaron a generar desde inicios del año como el ajuste salarial al ministerio de educación y el aporte al TSE para </w:t>
      </w:r>
      <w:r>
        <w:rPr>
          <w:rFonts w:ascii="Times New Roman" w:hAnsi="Times New Roman" w:cs="Times New Roman"/>
          <w:lang w:val="es-MX"/>
        </w:rPr>
        <w:lastRenderedPageBreak/>
        <w:t xml:space="preserve">las Elecciones Generales, incidieron en crear una presión importante en los pagos del Estado, aunado a ello también generó presión a la caja fiscal el pago que se ha efectuado, en este año, de los compromisos que quedaron pendiente de liquidar en 2014.   </w:t>
      </w:r>
    </w:p>
    <w:p w:rsidR="002B6D89" w:rsidRPr="00DF2340" w:rsidRDefault="002B6D89" w:rsidP="00D041CE">
      <w:pPr>
        <w:pStyle w:val="Sinespaciado"/>
        <w:jc w:val="both"/>
        <w:rPr>
          <w:rFonts w:ascii="Times New Roman" w:hAnsi="Times New Roman" w:cs="Times New Roman"/>
          <w:sz w:val="16"/>
          <w:lang w:val="es-MX"/>
        </w:rPr>
      </w:pPr>
    </w:p>
    <w:p w:rsidR="002B6D89" w:rsidRDefault="002B6D89" w:rsidP="00D041CE">
      <w:pPr>
        <w:pStyle w:val="Sinespaciado"/>
        <w:jc w:val="both"/>
        <w:rPr>
          <w:rFonts w:ascii="Times New Roman" w:hAnsi="Times New Roman" w:cs="Times New Roman"/>
          <w:lang w:val="es-MX"/>
        </w:rPr>
      </w:pPr>
      <w:r>
        <w:rPr>
          <w:rFonts w:ascii="Times New Roman" w:hAnsi="Times New Roman" w:cs="Times New Roman"/>
          <w:lang w:val="es-MX"/>
        </w:rPr>
        <w:t>De esa cuenta, la ejecución de gasto público al 31 de agosto</w:t>
      </w:r>
      <w:r w:rsidR="00355694">
        <w:rPr>
          <w:rFonts w:ascii="Times New Roman" w:hAnsi="Times New Roman" w:cs="Times New Roman"/>
          <w:lang w:val="es-MX"/>
        </w:rPr>
        <w:t xml:space="preserve">, se situó en </w:t>
      </w:r>
      <w:r>
        <w:rPr>
          <w:rFonts w:ascii="Times New Roman" w:hAnsi="Times New Roman" w:cs="Times New Roman"/>
          <w:lang w:val="es-MX"/>
        </w:rPr>
        <w:t>Q 40,448.1 millones (no incluye amortizaciones de deuda), cuya tasa d</w:t>
      </w:r>
      <w:r w:rsidR="00DF2340">
        <w:rPr>
          <w:rFonts w:ascii="Times New Roman" w:hAnsi="Times New Roman" w:cs="Times New Roman"/>
          <w:lang w:val="es-MX"/>
        </w:rPr>
        <w:t>e variación interanual se ubica</w:t>
      </w:r>
      <w:r>
        <w:rPr>
          <w:rFonts w:ascii="Times New Roman" w:hAnsi="Times New Roman" w:cs="Times New Roman"/>
          <w:lang w:val="es-MX"/>
        </w:rPr>
        <w:t xml:space="preserve"> a julio en 2.6%, menor al crecimiento obtenido en igual fecha del año anterior 7.4% y menor con respecto al </w:t>
      </w:r>
      <w:r>
        <w:rPr>
          <w:rFonts w:ascii="Times New Roman" w:hAnsi="Times New Roman" w:cs="Times New Roman"/>
          <w:lang w:val="es-MX"/>
        </w:rPr>
        <w:lastRenderedPageBreak/>
        <w:t xml:space="preserve">pronóstico realizado a inicios de año, que mostraba </w:t>
      </w:r>
      <w:proofErr w:type="gramStart"/>
      <w:r>
        <w:rPr>
          <w:rFonts w:ascii="Times New Roman" w:hAnsi="Times New Roman" w:cs="Times New Roman"/>
          <w:lang w:val="es-MX"/>
        </w:rPr>
        <w:t>una crecimiento esperado</w:t>
      </w:r>
      <w:proofErr w:type="gramEnd"/>
      <w:r>
        <w:rPr>
          <w:rFonts w:ascii="Times New Roman" w:hAnsi="Times New Roman" w:cs="Times New Roman"/>
          <w:lang w:val="es-MX"/>
        </w:rPr>
        <w:t xml:space="preserve"> de 9.0%.  </w:t>
      </w:r>
    </w:p>
    <w:p w:rsidR="002B6D89" w:rsidRDefault="002B6D89" w:rsidP="00D041CE">
      <w:pPr>
        <w:pStyle w:val="Sinespaciado"/>
        <w:jc w:val="both"/>
        <w:rPr>
          <w:rFonts w:ascii="Times New Roman" w:hAnsi="Times New Roman" w:cs="Times New Roman"/>
          <w:lang w:val="es-MX"/>
        </w:rPr>
      </w:pPr>
    </w:p>
    <w:p w:rsidR="002B6D89" w:rsidRPr="00355694" w:rsidRDefault="002B6D89" w:rsidP="00355694">
      <w:pPr>
        <w:pStyle w:val="Sinespaciado"/>
        <w:jc w:val="center"/>
        <w:rPr>
          <w:rFonts w:ascii="Times New Roman" w:hAnsi="Times New Roman" w:cs="Times New Roman"/>
          <w:b/>
          <w:lang w:val="es-MX"/>
        </w:rPr>
      </w:pPr>
      <w:r w:rsidRPr="00355694">
        <w:rPr>
          <w:rFonts w:ascii="Times New Roman" w:hAnsi="Times New Roman" w:cs="Times New Roman"/>
          <w:b/>
          <w:lang w:val="es-MX"/>
        </w:rPr>
        <w:t>Ritmo de Ejecución de Gasto Público</w:t>
      </w:r>
    </w:p>
    <w:p w:rsidR="002B6D89" w:rsidRPr="00355694" w:rsidRDefault="002B6D89" w:rsidP="00355694">
      <w:pPr>
        <w:pStyle w:val="Sinespaciado"/>
        <w:jc w:val="center"/>
        <w:rPr>
          <w:rFonts w:ascii="Times New Roman" w:hAnsi="Times New Roman" w:cs="Times New Roman"/>
          <w:sz w:val="20"/>
          <w:lang w:val="es-MX"/>
        </w:rPr>
      </w:pPr>
      <w:r w:rsidRPr="00355694">
        <w:rPr>
          <w:rFonts w:ascii="Times New Roman" w:hAnsi="Times New Roman" w:cs="Times New Roman"/>
          <w:sz w:val="20"/>
          <w:lang w:val="es-MX"/>
        </w:rPr>
        <w:t>Mensual 2015</w:t>
      </w:r>
    </w:p>
    <w:p w:rsidR="002B6D89" w:rsidRDefault="002B6D89" w:rsidP="00D041CE">
      <w:pPr>
        <w:pStyle w:val="Sinespaciado"/>
        <w:jc w:val="both"/>
        <w:rPr>
          <w:rFonts w:ascii="Times New Roman" w:hAnsi="Times New Roman" w:cs="Times New Roman"/>
          <w:lang w:val="es-MX"/>
        </w:rPr>
      </w:pPr>
      <w:r w:rsidRPr="00D041CE">
        <w:rPr>
          <w:rFonts w:ascii="Times New Roman" w:hAnsi="Times New Roman" w:cs="Times New Roman"/>
          <w:noProof/>
          <w:lang w:eastAsia="es-GT"/>
        </w:rPr>
        <w:drawing>
          <wp:inline distT="0" distB="0" distL="0" distR="0" wp14:anchorId="4C68001D" wp14:editId="4CD93705">
            <wp:extent cx="2550257" cy="1853184"/>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50663" cy="1853479"/>
                    </a:xfrm>
                    <a:prstGeom prst="rect">
                      <a:avLst/>
                    </a:prstGeom>
                    <a:noFill/>
                  </pic:spPr>
                </pic:pic>
              </a:graphicData>
            </a:graphic>
          </wp:inline>
        </w:drawing>
      </w:r>
    </w:p>
    <w:p w:rsidR="002B6D89" w:rsidRPr="00D041CE" w:rsidRDefault="002B6D89" w:rsidP="00D041CE">
      <w:pPr>
        <w:pStyle w:val="Sinespaciado"/>
        <w:jc w:val="both"/>
        <w:rPr>
          <w:rFonts w:ascii="Times New Roman" w:hAnsi="Times New Roman" w:cs="Times New Roman"/>
          <w:lang w:val="es-MX"/>
        </w:rPr>
      </w:pPr>
      <w:r w:rsidRPr="00355694">
        <w:rPr>
          <w:rFonts w:ascii="Times New Roman" w:hAnsi="Times New Roman" w:cs="Times New Roman"/>
          <w:sz w:val="16"/>
          <w:lang w:val="es-MX"/>
        </w:rPr>
        <w:t>Fuente: Dirección de Análisis y Política fiscal</w:t>
      </w:r>
    </w:p>
    <w:p w:rsidR="002B6D89" w:rsidRPr="00D041CE" w:rsidRDefault="002B6D89" w:rsidP="00D041CE">
      <w:pPr>
        <w:pStyle w:val="Sinespaciado"/>
        <w:jc w:val="both"/>
        <w:rPr>
          <w:rFonts w:ascii="Times New Roman" w:hAnsi="Times New Roman" w:cs="Times New Roman"/>
          <w:lang w:val="es-MX"/>
        </w:rPr>
      </w:pPr>
    </w:p>
    <w:p w:rsidR="002B6D89" w:rsidRPr="004875B0" w:rsidRDefault="002B6D89" w:rsidP="00D041CE">
      <w:pPr>
        <w:pStyle w:val="Sinespaciado"/>
        <w:jc w:val="both"/>
        <w:rPr>
          <w:rFonts w:ascii="Times New Roman" w:hAnsi="Times New Roman" w:cs="Times New Roman"/>
          <w:lang w:val="es-MX"/>
        </w:rPr>
      </w:pPr>
      <w:r w:rsidRPr="004875B0">
        <w:rPr>
          <w:rFonts w:ascii="Times New Roman" w:hAnsi="Times New Roman" w:cs="Times New Roman"/>
          <w:lang w:val="es-MX"/>
        </w:rPr>
        <w:t>Si bien la tendencia a la desaceleración e</w:t>
      </w:r>
      <w:r>
        <w:rPr>
          <w:rFonts w:ascii="Times New Roman" w:hAnsi="Times New Roman" w:cs="Times New Roman"/>
          <w:lang w:val="es-MX"/>
        </w:rPr>
        <w:t>staba prevista a inicios de año</w:t>
      </w:r>
      <w:r w:rsidRPr="004875B0">
        <w:rPr>
          <w:rFonts w:ascii="Times New Roman" w:hAnsi="Times New Roman" w:cs="Times New Roman"/>
          <w:lang w:val="es-MX"/>
        </w:rPr>
        <w:t xml:space="preserve"> por el efecto del gasto </w:t>
      </w:r>
      <w:r>
        <w:rPr>
          <w:rFonts w:ascii="Times New Roman" w:hAnsi="Times New Roman" w:cs="Times New Roman"/>
          <w:lang w:val="es-MX"/>
        </w:rPr>
        <w:t>extraordinario</w:t>
      </w:r>
      <w:r w:rsidRPr="004875B0">
        <w:rPr>
          <w:rFonts w:ascii="Times New Roman" w:hAnsi="Times New Roman" w:cs="Times New Roman"/>
          <w:lang w:val="es-MX"/>
        </w:rPr>
        <w:t xml:space="preserve"> y el comportamiento estacional</w:t>
      </w:r>
      <w:r>
        <w:rPr>
          <w:rFonts w:ascii="Times New Roman" w:hAnsi="Times New Roman" w:cs="Times New Roman"/>
          <w:lang w:val="es-MX"/>
        </w:rPr>
        <w:t xml:space="preserve"> del gasto recurrente,</w:t>
      </w:r>
      <w:r w:rsidRPr="004875B0">
        <w:rPr>
          <w:rFonts w:ascii="Times New Roman" w:hAnsi="Times New Roman" w:cs="Times New Roman"/>
          <w:lang w:val="es-MX"/>
        </w:rPr>
        <w:t xml:space="preserve"> </w:t>
      </w:r>
      <w:r>
        <w:rPr>
          <w:rFonts w:ascii="Times New Roman" w:hAnsi="Times New Roman" w:cs="Times New Roman"/>
          <w:lang w:val="es-MX"/>
        </w:rPr>
        <w:t>e</w:t>
      </w:r>
      <w:r w:rsidRPr="004875B0">
        <w:rPr>
          <w:rFonts w:ascii="Times New Roman" w:hAnsi="Times New Roman" w:cs="Times New Roman"/>
          <w:lang w:val="es-MX"/>
        </w:rPr>
        <w:t>l nivel observado</w:t>
      </w:r>
      <w:r>
        <w:rPr>
          <w:rFonts w:ascii="Times New Roman" w:hAnsi="Times New Roman" w:cs="Times New Roman"/>
          <w:lang w:val="es-MX"/>
        </w:rPr>
        <w:t xml:space="preserve">, a la fecha, ha sido </w:t>
      </w:r>
      <w:r w:rsidRPr="004875B0">
        <w:rPr>
          <w:rFonts w:ascii="Times New Roman" w:hAnsi="Times New Roman" w:cs="Times New Roman"/>
          <w:lang w:val="es-MX"/>
        </w:rPr>
        <w:t>mucho más bajo</w:t>
      </w:r>
      <w:r>
        <w:rPr>
          <w:rFonts w:ascii="Times New Roman" w:hAnsi="Times New Roman" w:cs="Times New Roman"/>
          <w:lang w:val="es-MX"/>
        </w:rPr>
        <w:t xml:space="preserve">. </w:t>
      </w:r>
      <w:r w:rsidRPr="004875B0">
        <w:rPr>
          <w:rFonts w:ascii="Times New Roman" w:hAnsi="Times New Roman" w:cs="Times New Roman"/>
          <w:lang w:val="es-MX"/>
        </w:rPr>
        <w:t xml:space="preserve"> </w:t>
      </w:r>
      <w:r>
        <w:rPr>
          <w:rFonts w:ascii="Times New Roman" w:hAnsi="Times New Roman" w:cs="Times New Roman"/>
          <w:lang w:val="es-MX"/>
        </w:rPr>
        <w:t>S</w:t>
      </w:r>
      <w:r w:rsidRPr="004875B0">
        <w:rPr>
          <w:rFonts w:ascii="Times New Roman" w:hAnsi="Times New Roman" w:cs="Times New Roman"/>
          <w:lang w:val="es-MX"/>
        </w:rPr>
        <w:t xml:space="preserve">e estima que esta reducción del crecimiento debe mantenerse para evitar, </w:t>
      </w:r>
      <w:r>
        <w:rPr>
          <w:rFonts w:ascii="Times New Roman" w:hAnsi="Times New Roman" w:cs="Times New Roman"/>
          <w:lang w:val="es-MX"/>
        </w:rPr>
        <w:t>en lo que resta del año</w:t>
      </w:r>
      <w:r w:rsidRPr="004875B0">
        <w:rPr>
          <w:rFonts w:ascii="Times New Roman" w:hAnsi="Times New Roman" w:cs="Times New Roman"/>
          <w:lang w:val="es-MX"/>
        </w:rPr>
        <w:t xml:space="preserve">, un </w:t>
      </w:r>
      <w:r>
        <w:rPr>
          <w:rFonts w:ascii="Times New Roman" w:hAnsi="Times New Roman" w:cs="Times New Roman"/>
          <w:lang w:val="es-MX"/>
        </w:rPr>
        <w:t xml:space="preserve">desequilibrio en la caja que genere un </w:t>
      </w:r>
      <w:r w:rsidRPr="004875B0">
        <w:rPr>
          <w:rFonts w:ascii="Times New Roman" w:hAnsi="Times New Roman" w:cs="Times New Roman"/>
          <w:lang w:val="es-MX"/>
        </w:rPr>
        <w:t xml:space="preserve">nivel considerable de </w:t>
      </w:r>
      <w:r>
        <w:rPr>
          <w:rFonts w:ascii="Times New Roman" w:hAnsi="Times New Roman" w:cs="Times New Roman"/>
          <w:lang w:val="es-MX"/>
        </w:rPr>
        <w:t xml:space="preserve">gastos </w:t>
      </w:r>
      <w:r w:rsidRPr="004875B0">
        <w:rPr>
          <w:rFonts w:ascii="Times New Roman" w:hAnsi="Times New Roman" w:cs="Times New Roman"/>
          <w:lang w:val="es-MX"/>
        </w:rPr>
        <w:t xml:space="preserve">devengados no pagados.  </w:t>
      </w:r>
    </w:p>
    <w:p w:rsidR="002B6D89" w:rsidRDefault="002B6D89" w:rsidP="00D041CE">
      <w:pPr>
        <w:pStyle w:val="Sinespaciado"/>
        <w:jc w:val="both"/>
        <w:rPr>
          <w:rFonts w:ascii="Times New Roman" w:hAnsi="Times New Roman" w:cs="Times New Roman"/>
          <w:lang w:val="es-MX"/>
        </w:rPr>
      </w:pPr>
    </w:p>
    <w:p w:rsidR="002B6D89" w:rsidRDefault="002B6D89" w:rsidP="00D041CE">
      <w:pPr>
        <w:pStyle w:val="Sinespaciado"/>
        <w:jc w:val="both"/>
        <w:rPr>
          <w:rFonts w:ascii="Times New Roman" w:hAnsi="Times New Roman" w:cs="Times New Roman"/>
          <w:lang w:val="es-MX"/>
        </w:rPr>
      </w:pPr>
      <w:r>
        <w:rPr>
          <w:rFonts w:ascii="Times New Roman" w:hAnsi="Times New Roman" w:cs="Times New Roman"/>
          <w:lang w:val="es-MX"/>
        </w:rPr>
        <w:t>Como se ha indicado en anteriores informes, la desaceleración del gasto, ha estado influenciada por la contracción en rubros importantes de gasto como bienes y servicios y la inversión real directa, cuya contracción es de 7.2% y 46.4% respectivamente.  Asimismo, se observa una contracción en las transferencias corrientes al sector privado originado por la dosificación que se está realizando al pago de las transferencias condicionadas y otros aportes.  No obstante, algunos rubros muestran un importante dinamismo como el pago de remuneraciones así como en el pago de intereses de la deuda pública y en los aportes institucionales.</w:t>
      </w:r>
    </w:p>
    <w:p w:rsidR="008910B5" w:rsidRDefault="008910B5" w:rsidP="00D041CE">
      <w:pPr>
        <w:pStyle w:val="Sinespaciado"/>
        <w:jc w:val="both"/>
        <w:rPr>
          <w:rFonts w:ascii="Times New Roman" w:hAnsi="Times New Roman" w:cs="Times New Roman"/>
          <w:lang w:val="es-MX"/>
        </w:rPr>
      </w:pPr>
    </w:p>
    <w:p w:rsidR="002B6D89" w:rsidRPr="00D041CE" w:rsidRDefault="002B6D89" w:rsidP="00D041CE">
      <w:pPr>
        <w:pStyle w:val="Sinespaciado"/>
        <w:jc w:val="both"/>
        <w:rPr>
          <w:rFonts w:ascii="Times New Roman" w:hAnsi="Times New Roman" w:cs="Times New Roman"/>
          <w:lang w:val="es-MX"/>
        </w:rPr>
      </w:pPr>
      <w:r>
        <w:rPr>
          <w:rFonts w:ascii="Times New Roman" w:hAnsi="Times New Roman" w:cs="Times New Roman"/>
          <w:lang w:val="es-MX"/>
        </w:rPr>
        <w:t>Como se indicó anteriormente, el rubro de  bienes y servicios ha mostrado una reducción interanual en su ejecución y una de las causas a resaltar, es la contracción en el gasto considerado como superfluo, que</w:t>
      </w:r>
      <w:r w:rsidRPr="00D041CE">
        <w:rPr>
          <w:rFonts w:ascii="Times New Roman" w:hAnsi="Times New Roman" w:cs="Times New Roman"/>
          <w:lang w:val="es-MX"/>
        </w:rPr>
        <w:t xml:space="preserve"> muestra en cierto sentido, la política de austeridad implícita, principalmente en rubros sensibles de gasto como viáticos, equipo de transporte, </w:t>
      </w:r>
      <w:r w:rsidRPr="00D041CE">
        <w:rPr>
          <w:rFonts w:ascii="Times New Roman" w:hAnsi="Times New Roman" w:cs="Times New Roman"/>
          <w:lang w:val="es-MX"/>
        </w:rPr>
        <w:lastRenderedPageBreak/>
        <w:t>combustible, divulgación e información, entre otros. El único rubro que muestra un leve aumento es el de alimentos para personas principalmente en las secretarías y el ministerio de cultura.</w:t>
      </w:r>
    </w:p>
    <w:p w:rsidR="002B6D89" w:rsidRPr="00D041CE" w:rsidRDefault="002B6D89" w:rsidP="00D041CE">
      <w:pPr>
        <w:pStyle w:val="Sinespaciado"/>
        <w:jc w:val="both"/>
        <w:rPr>
          <w:rFonts w:ascii="Times New Roman" w:hAnsi="Times New Roman" w:cs="Times New Roman"/>
          <w:lang w:val="es-MX"/>
        </w:rPr>
      </w:pPr>
    </w:p>
    <w:p w:rsidR="002B6D89" w:rsidRPr="00D041CE" w:rsidRDefault="002B6D89" w:rsidP="00D041CE">
      <w:pPr>
        <w:pStyle w:val="Sinespaciado"/>
        <w:jc w:val="both"/>
        <w:rPr>
          <w:rFonts w:ascii="Times New Roman" w:hAnsi="Times New Roman" w:cs="Times New Roman"/>
          <w:lang w:val="es-MX"/>
        </w:rPr>
      </w:pPr>
      <w:r w:rsidRPr="00D041CE">
        <w:rPr>
          <w:rFonts w:ascii="Times New Roman" w:hAnsi="Times New Roman" w:cs="Times New Roman"/>
          <w:lang w:val="es-MX"/>
        </w:rPr>
        <w:t xml:space="preserve">Es importante indicar que los rubros mencionados no incluyen, en algunos casos, la ejecución de ministerios como gobernación, salud, y educación ya que por su naturaleza algunos de estos rubros forman parte de los insumos críticos de estas entidades, como es el caso de alimentación, combustibles, transporte de personas, entre otros. </w:t>
      </w:r>
    </w:p>
    <w:p w:rsidR="002B6D89" w:rsidRPr="00D041CE" w:rsidRDefault="002B6D89" w:rsidP="00D041CE">
      <w:pPr>
        <w:pStyle w:val="Sinespaciado"/>
        <w:jc w:val="both"/>
        <w:rPr>
          <w:rFonts w:ascii="Times New Roman" w:hAnsi="Times New Roman" w:cs="Times New Roman"/>
          <w:lang w:val="es-MX"/>
        </w:rPr>
      </w:pPr>
    </w:p>
    <w:p w:rsidR="002B6D89" w:rsidRPr="00355694" w:rsidRDefault="002B6D89" w:rsidP="00355694">
      <w:pPr>
        <w:pStyle w:val="Sinespaciado"/>
        <w:jc w:val="center"/>
        <w:rPr>
          <w:rFonts w:ascii="Times New Roman" w:hAnsi="Times New Roman" w:cs="Times New Roman"/>
          <w:b/>
          <w:lang w:val="es-MX"/>
        </w:rPr>
      </w:pPr>
      <w:r w:rsidRPr="00355694">
        <w:rPr>
          <w:rFonts w:ascii="Times New Roman" w:hAnsi="Times New Roman" w:cs="Times New Roman"/>
          <w:b/>
          <w:lang w:val="es-MX"/>
        </w:rPr>
        <w:t>Gasto Superfluo</w:t>
      </w:r>
    </w:p>
    <w:p w:rsidR="002B6D89" w:rsidRPr="00355694" w:rsidRDefault="002B6D89" w:rsidP="00355694">
      <w:pPr>
        <w:pStyle w:val="Sinespaciado"/>
        <w:jc w:val="center"/>
        <w:rPr>
          <w:rFonts w:ascii="Times New Roman" w:hAnsi="Times New Roman" w:cs="Times New Roman"/>
          <w:b/>
          <w:lang w:val="es-MX"/>
        </w:rPr>
      </w:pPr>
      <w:r w:rsidRPr="00355694">
        <w:rPr>
          <w:rFonts w:ascii="Times New Roman" w:hAnsi="Times New Roman" w:cs="Times New Roman"/>
          <w:b/>
          <w:lang w:val="es-MX"/>
        </w:rPr>
        <w:t>Acumulado a Agosto de cada año       Aumento por Rubro en 2015</w:t>
      </w:r>
    </w:p>
    <w:p w:rsidR="002B6D89" w:rsidRPr="00D041CE" w:rsidRDefault="002B6D89" w:rsidP="00D041CE">
      <w:pPr>
        <w:pStyle w:val="Sinespaciado"/>
        <w:jc w:val="both"/>
        <w:rPr>
          <w:rFonts w:ascii="Times New Roman" w:hAnsi="Times New Roman" w:cs="Times New Roman"/>
          <w:lang w:val="es-MX"/>
        </w:rPr>
      </w:pPr>
      <w:r w:rsidRPr="00D041CE">
        <w:rPr>
          <w:rFonts w:ascii="Times New Roman" w:hAnsi="Times New Roman" w:cs="Times New Roman"/>
          <w:noProof/>
          <w:lang w:eastAsia="es-GT"/>
        </w:rPr>
        <w:drawing>
          <wp:inline distT="0" distB="0" distL="0" distR="0" wp14:anchorId="44209687" wp14:editId="313B9F79">
            <wp:extent cx="2584704" cy="1633728"/>
            <wp:effectExtent l="0" t="0" r="635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88950" cy="1636412"/>
                    </a:xfrm>
                    <a:prstGeom prst="rect">
                      <a:avLst/>
                    </a:prstGeom>
                    <a:noFill/>
                  </pic:spPr>
                </pic:pic>
              </a:graphicData>
            </a:graphic>
          </wp:inline>
        </w:drawing>
      </w:r>
    </w:p>
    <w:p w:rsidR="002B6D89" w:rsidRPr="00355694" w:rsidRDefault="002B6D89" w:rsidP="00D041CE">
      <w:pPr>
        <w:pStyle w:val="Sinespaciado"/>
        <w:jc w:val="both"/>
        <w:rPr>
          <w:rFonts w:ascii="Times New Roman" w:hAnsi="Times New Roman" w:cs="Times New Roman"/>
          <w:sz w:val="16"/>
          <w:lang w:val="es-MX"/>
        </w:rPr>
      </w:pPr>
      <w:r w:rsidRPr="00355694">
        <w:rPr>
          <w:rFonts w:ascii="Times New Roman" w:hAnsi="Times New Roman" w:cs="Times New Roman"/>
          <w:sz w:val="16"/>
          <w:lang w:val="es-MX"/>
        </w:rPr>
        <w:t>Fuente: Dirección de Análisis y Política fiscal</w:t>
      </w:r>
    </w:p>
    <w:p w:rsidR="002B6D89" w:rsidRPr="00D041CE" w:rsidRDefault="002B6D89" w:rsidP="00D041CE">
      <w:pPr>
        <w:pStyle w:val="Sinespaciado"/>
        <w:jc w:val="both"/>
        <w:rPr>
          <w:rFonts w:ascii="Times New Roman" w:hAnsi="Times New Roman" w:cs="Times New Roman"/>
          <w:lang w:val="es-MX"/>
        </w:rPr>
      </w:pPr>
    </w:p>
    <w:p w:rsidR="002B6D89" w:rsidRPr="00D041CE" w:rsidRDefault="002B6D89" w:rsidP="00D041CE">
      <w:pPr>
        <w:pStyle w:val="Sinespaciado"/>
        <w:jc w:val="both"/>
        <w:rPr>
          <w:rFonts w:ascii="Times New Roman" w:hAnsi="Times New Roman" w:cs="Times New Roman"/>
          <w:lang w:val="es-MX"/>
        </w:rPr>
      </w:pPr>
      <w:r w:rsidRPr="00D041CE">
        <w:rPr>
          <w:rFonts w:ascii="Times New Roman" w:hAnsi="Times New Roman" w:cs="Times New Roman"/>
          <w:lang w:val="es-MX"/>
        </w:rPr>
        <w:t xml:space="preserve">Uno de los instrumentos claves en lograr esta contención de gasto es la aprobación de cuotas financieras, la cual ha sido prudente en la asignación, aunque las presiones por atender los gastos rígidos a inducido a crear algunas dificultades en la realización de algunos pagos, debido al bajo nivel de ingresos tributarios percibidos.  </w:t>
      </w:r>
    </w:p>
    <w:p w:rsidR="002B6D89" w:rsidRPr="00D041CE" w:rsidRDefault="002B6D89" w:rsidP="00D041CE">
      <w:pPr>
        <w:pStyle w:val="Sinespaciado"/>
        <w:jc w:val="both"/>
        <w:rPr>
          <w:rFonts w:ascii="Times New Roman" w:hAnsi="Times New Roman" w:cs="Times New Roman"/>
          <w:lang w:val="es-MX"/>
        </w:rPr>
      </w:pPr>
    </w:p>
    <w:p w:rsidR="002B6D89" w:rsidRPr="00D041CE" w:rsidRDefault="002B6D89" w:rsidP="00D041CE">
      <w:pPr>
        <w:pStyle w:val="Sinespaciado"/>
        <w:jc w:val="both"/>
        <w:rPr>
          <w:rFonts w:ascii="Times New Roman" w:hAnsi="Times New Roman" w:cs="Times New Roman"/>
          <w:lang w:val="es-MX"/>
        </w:rPr>
      </w:pPr>
      <w:r w:rsidRPr="00D041CE">
        <w:rPr>
          <w:rFonts w:ascii="Times New Roman" w:hAnsi="Times New Roman" w:cs="Times New Roman"/>
          <w:lang w:val="es-MX"/>
        </w:rPr>
        <w:t>A nivel institucional la ejecución de gasto ascendió a Q</w:t>
      </w:r>
      <w:r w:rsidR="000702CA" w:rsidRPr="00D041CE">
        <w:rPr>
          <w:rFonts w:ascii="Times New Roman" w:hAnsi="Times New Roman" w:cs="Times New Roman"/>
          <w:lang w:val="es-MX"/>
        </w:rPr>
        <w:t xml:space="preserve"> </w:t>
      </w:r>
      <w:r w:rsidRPr="00D041CE">
        <w:rPr>
          <w:rFonts w:ascii="Times New Roman" w:hAnsi="Times New Roman" w:cs="Times New Roman"/>
          <w:lang w:val="es-MX"/>
        </w:rPr>
        <w:t xml:space="preserve">42,349.8 millones (incluyendo amortizaciones de deuda) equivalente al 59.9% del total de presupuesto vigente para este año.  Dicho nivel se encuentra por arriba del promedio observado en el período 2008-2014, el cual es de 58.7%.  Lo anterior podría sugerir que la ejecución en este año es muy dinámica, pero en realidad como se observó en el ritmo de ejecución, está es más bien altamente moderada, lo que sucede es que el presupuesto asignado para 2015, apenas se incrementó 5.6% con </w:t>
      </w:r>
      <w:r w:rsidRPr="00D041CE">
        <w:rPr>
          <w:rFonts w:ascii="Times New Roman" w:hAnsi="Times New Roman" w:cs="Times New Roman"/>
          <w:lang w:val="es-MX"/>
        </w:rPr>
        <w:lastRenderedPageBreak/>
        <w:t>respecto al presupuesto de 2014, esto hace que el grado de ejecución sea mayor al promedio.</w:t>
      </w:r>
    </w:p>
    <w:p w:rsidR="002B6D89" w:rsidRPr="00D041CE" w:rsidRDefault="002B6D89" w:rsidP="00D041CE">
      <w:pPr>
        <w:pStyle w:val="Sinespaciado"/>
        <w:jc w:val="both"/>
        <w:rPr>
          <w:rFonts w:ascii="Times New Roman" w:hAnsi="Times New Roman" w:cs="Times New Roman"/>
          <w:lang w:val="es-MX"/>
        </w:rPr>
      </w:pPr>
    </w:p>
    <w:p w:rsidR="002B6D89" w:rsidRPr="00D041CE" w:rsidRDefault="002B6D89" w:rsidP="00D041CE">
      <w:pPr>
        <w:pStyle w:val="Sinespaciado"/>
        <w:jc w:val="both"/>
        <w:rPr>
          <w:rFonts w:ascii="Times New Roman" w:hAnsi="Times New Roman" w:cs="Times New Roman"/>
          <w:lang w:val="es-MX"/>
        </w:rPr>
      </w:pPr>
      <w:r w:rsidRPr="00D041CE">
        <w:rPr>
          <w:rFonts w:ascii="Times New Roman" w:hAnsi="Times New Roman" w:cs="Times New Roman"/>
          <w:lang w:val="es-MX"/>
        </w:rPr>
        <w:t>Las entidades que muestran un alto nivel de ejecución son: el servicio de la deuda pública, educación, trabajo y defensa.  El aumento en la primera entidad se debe a que su presupuesto es insuficiente para cubrir con los compromisos del resto del año, para lo cual se espera realizar algunas modificaciones presupuestarias para poderlo ampliar en los próximos meses, en el caso de los otros ministerios con alta ejecución, se estima que su evolución es de acuerdo a lo previsto, hay que considerar que sus gastos corresponden en un alto porcentaje a compromisos ineludibles.</w:t>
      </w:r>
    </w:p>
    <w:p w:rsidR="002B6D89" w:rsidRPr="00D041CE" w:rsidRDefault="002B6D89" w:rsidP="00D041CE">
      <w:pPr>
        <w:pStyle w:val="Sinespaciado"/>
        <w:jc w:val="both"/>
        <w:rPr>
          <w:rFonts w:ascii="Times New Roman" w:hAnsi="Times New Roman" w:cs="Times New Roman"/>
          <w:lang w:val="es-MX"/>
        </w:rPr>
      </w:pPr>
    </w:p>
    <w:p w:rsidR="002B6D89" w:rsidRPr="00355694" w:rsidRDefault="002B6D89" w:rsidP="00355694">
      <w:pPr>
        <w:pStyle w:val="Sinespaciado"/>
        <w:jc w:val="center"/>
        <w:rPr>
          <w:rFonts w:ascii="Times New Roman" w:hAnsi="Times New Roman" w:cs="Times New Roman"/>
          <w:b/>
          <w:lang w:val="es-MX"/>
        </w:rPr>
      </w:pPr>
      <w:r w:rsidRPr="00355694">
        <w:rPr>
          <w:rFonts w:ascii="Times New Roman" w:hAnsi="Times New Roman" w:cs="Times New Roman"/>
          <w:b/>
          <w:lang w:val="es-MX"/>
        </w:rPr>
        <w:t>Ejecución Institucional</w:t>
      </w:r>
    </w:p>
    <w:p w:rsidR="002B6D89" w:rsidRPr="00355694" w:rsidRDefault="002B6D89" w:rsidP="00355694">
      <w:pPr>
        <w:pStyle w:val="Sinespaciado"/>
        <w:jc w:val="center"/>
        <w:rPr>
          <w:rFonts w:ascii="Times New Roman" w:hAnsi="Times New Roman" w:cs="Times New Roman"/>
          <w:sz w:val="20"/>
          <w:lang w:val="es-MX"/>
        </w:rPr>
      </w:pPr>
      <w:r w:rsidRPr="00355694">
        <w:rPr>
          <w:rFonts w:ascii="Times New Roman" w:hAnsi="Times New Roman" w:cs="Times New Roman"/>
          <w:sz w:val="20"/>
          <w:lang w:val="es-MX"/>
        </w:rPr>
        <w:t>Al 31 de Agosto de 2015</w:t>
      </w:r>
    </w:p>
    <w:p w:rsidR="002B6D89" w:rsidRPr="00355694" w:rsidRDefault="002B6D89" w:rsidP="00355694">
      <w:pPr>
        <w:pStyle w:val="Sinespaciado"/>
        <w:jc w:val="center"/>
        <w:rPr>
          <w:rFonts w:ascii="Times New Roman" w:hAnsi="Times New Roman" w:cs="Times New Roman"/>
          <w:sz w:val="20"/>
          <w:lang w:val="es-MX"/>
        </w:rPr>
      </w:pPr>
      <w:r w:rsidRPr="00355694">
        <w:rPr>
          <w:rFonts w:ascii="Times New Roman" w:hAnsi="Times New Roman" w:cs="Times New Roman"/>
          <w:sz w:val="20"/>
          <w:lang w:val="es-MX"/>
        </w:rPr>
        <w:t>Millones de Quetzales</w:t>
      </w:r>
    </w:p>
    <w:p w:rsidR="002B6D89" w:rsidRPr="00D041CE" w:rsidRDefault="002B6D89" w:rsidP="00D041CE">
      <w:pPr>
        <w:pStyle w:val="Sinespaciado"/>
        <w:jc w:val="both"/>
        <w:rPr>
          <w:rFonts w:ascii="Times New Roman" w:hAnsi="Times New Roman" w:cs="Times New Roman"/>
          <w:lang w:val="es-MX"/>
        </w:rPr>
      </w:pPr>
      <w:r w:rsidRPr="00D041CE">
        <w:rPr>
          <w:rFonts w:ascii="Times New Roman" w:hAnsi="Times New Roman" w:cs="Times New Roman"/>
          <w:noProof/>
          <w:lang w:eastAsia="es-GT"/>
        </w:rPr>
        <w:drawing>
          <wp:inline distT="0" distB="0" distL="0" distR="0" wp14:anchorId="5761A40C" wp14:editId="57DF37F3">
            <wp:extent cx="2576195" cy="2907102"/>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2126" cy="2925079"/>
                    </a:xfrm>
                    <a:prstGeom prst="rect">
                      <a:avLst/>
                    </a:prstGeom>
                    <a:noFill/>
                    <a:ln>
                      <a:noFill/>
                    </a:ln>
                  </pic:spPr>
                </pic:pic>
              </a:graphicData>
            </a:graphic>
          </wp:inline>
        </w:drawing>
      </w:r>
    </w:p>
    <w:p w:rsidR="002B6D89" w:rsidRPr="00355694" w:rsidRDefault="002B6D89" w:rsidP="00D041CE">
      <w:pPr>
        <w:pStyle w:val="Sinespaciado"/>
        <w:jc w:val="both"/>
        <w:rPr>
          <w:rFonts w:ascii="Times New Roman" w:hAnsi="Times New Roman" w:cs="Times New Roman"/>
          <w:sz w:val="16"/>
          <w:lang w:val="es-MX"/>
        </w:rPr>
      </w:pPr>
      <w:r w:rsidRPr="00355694">
        <w:rPr>
          <w:rFonts w:ascii="Times New Roman" w:hAnsi="Times New Roman" w:cs="Times New Roman"/>
          <w:sz w:val="16"/>
          <w:lang w:val="es-MX"/>
        </w:rPr>
        <w:lastRenderedPageBreak/>
        <w:t>Fuente: Dirección de Análisis y Política fiscal</w:t>
      </w:r>
    </w:p>
    <w:p w:rsidR="002B6D89" w:rsidRPr="00D041CE" w:rsidRDefault="002B6D89" w:rsidP="00D041CE">
      <w:pPr>
        <w:pStyle w:val="Sinespaciado"/>
        <w:jc w:val="both"/>
        <w:rPr>
          <w:rFonts w:ascii="Times New Roman" w:hAnsi="Times New Roman" w:cs="Times New Roman"/>
          <w:lang w:val="es-MX"/>
        </w:rPr>
      </w:pPr>
    </w:p>
    <w:p w:rsidR="002B6D89" w:rsidRPr="00D041CE" w:rsidRDefault="002B6D89" w:rsidP="00D041CE">
      <w:pPr>
        <w:pStyle w:val="Sinespaciado"/>
        <w:jc w:val="both"/>
        <w:rPr>
          <w:rFonts w:ascii="Times New Roman" w:hAnsi="Times New Roman" w:cs="Times New Roman"/>
          <w:lang w:val="es-MX"/>
        </w:rPr>
      </w:pPr>
      <w:r w:rsidRPr="00D041CE">
        <w:rPr>
          <w:rFonts w:ascii="Times New Roman" w:hAnsi="Times New Roman" w:cs="Times New Roman"/>
          <w:lang w:val="es-MX"/>
        </w:rPr>
        <w:t>Por su parte los ministerios con baja ejecución (por debajo del 50%) como: ambiente, cultura, economía, agricultura, desarrollo y comunicaciones; han sido  afectados por los problemas de liquidez del gobierno, aunque existe algún componente de baja eficiencia en la ejecución de algunos programas vinculados al financiamiento externo y de otros recursos como las donaciones cuya ejecución debería ser más alta.</w:t>
      </w:r>
    </w:p>
    <w:p w:rsidR="002B6D89" w:rsidRPr="00D041CE" w:rsidRDefault="002B6D89" w:rsidP="00D041CE">
      <w:pPr>
        <w:pStyle w:val="Sinespaciado"/>
        <w:jc w:val="both"/>
        <w:rPr>
          <w:rFonts w:ascii="Times New Roman" w:hAnsi="Times New Roman" w:cs="Times New Roman"/>
          <w:lang w:val="es-MX"/>
        </w:rPr>
      </w:pPr>
    </w:p>
    <w:p w:rsidR="002B6D89" w:rsidRPr="00D041CE" w:rsidRDefault="002B6D89" w:rsidP="00D041CE">
      <w:pPr>
        <w:pStyle w:val="Sinespaciado"/>
        <w:jc w:val="both"/>
        <w:rPr>
          <w:rFonts w:ascii="Times New Roman" w:hAnsi="Times New Roman" w:cs="Times New Roman"/>
          <w:lang w:val="es-MX"/>
        </w:rPr>
      </w:pPr>
      <w:r w:rsidRPr="00D041CE">
        <w:rPr>
          <w:rFonts w:ascii="Times New Roman" w:hAnsi="Times New Roman" w:cs="Times New Roman"/>
          <w:lang w:val="es-MX"/>
        </w:rPr>
        <w:t>Es importante resaltar que dentro de la ejecución se ha privilegiado el pago de la nómina, el servicio de la deuda pública, los servicios básicos y algunos insumos críticos de entidades claves para el desarrollo y la seguridad ciudadana, mientras que otros programas han sido sacrificados con limitadas asignaciones, situación que difícilmente se revierta en el transcurso del año.</w:t>
      </w:r>
    </w:p>
    <w:p w:rsidR="008910B5" w:rsidRDefault="008910B5" w:rsidP="00D041CE">
      <w:pPr>
        <w:pStyle w:val="Prrafodelista"/>
        <w:spacing w:after="0" w:line="240" w:lineRule="auto"/>
        <w:ind w:left="0"/>
        <w:rPr>
          <w:rFonts w:cs="Times New Roman"/>
          <w:color w:val="FF0000"/>
        </w:rPr>
      </w:pPr>
    </w:p>
    <w:p w:rsidR="00355694" w:rsidRPr="008910B5" w:rsidRDefault="00355694" w:rsidP="00D041CE">
      <w:pPr>
        <w:pStyle w:val="Prrafodelista"/>
        <w:spacing w:after="0" w:line="240" w:lineRule="auto"/>
        <w:ind w:left="0"/>
        <w:rPr>
          <w:rFonts w:cs="Times New Roman"/>
          <w:color w:val="FF0000"/>
        </w:rPr>
        <w:sectPr w:rsidR="00355694" w:rsidRPr="008910B5" w:rsidSect="00D041CE">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417" w:right="1467" w:bottom="1417" w:left="1701" w:header="680" w:footer="708" w:gutter="0"/>
          <w:cols w:num="2" w:space="708"/>
          <w:docGrid w:linePitch="360"/>
        </w:sectPr>
      </w:pPr>
    </w:p>
    <w:p w:rsidR="002B6D89" w:rsidRPr="008910B5" w:rsidRDefault="002B6D89" w:rsidP="00D041CE">
      <w:pPr>
        <w:spacing w:after="0" w:line="240" w:lineRule="auto"/>
        <w:jc w:val="both"/>
        <w:rPr>
          <w:color w:val="FF0000"/>
        </w:rPr>
      </w:pPr>
    </w:p>
    <w:p w:rsidR="002B6D89" w:rsidRPr="0015623C" w:rsidRDefault="002B6D89" w:rsidP="00D041CE">
      <w:pPr>
        <w:pStyle w:val="Sinespaciado"/>
        <w:jc w:val="both"/>
        <w:rPr>
          <w:rFonts w:ascii="Times New Roman" w:hAnsi="Times New Roman" w:cs="Times New Roman"/>
          <w:b/>
          <w:color w:val="FF0000"/>
        </w:rPr>
        <w:sectPr w:rsidR="002B6D89" w:rsidRPr="0015623C" w:rsidSect="00277D28">
          <w:type w:val="continuous"/>
          <w:pgSz w:w="12240" w:h="15840"/>
          <w:pgMar w:top="1417" w:right="1701" w:bottom="1417" w:left="1701" w:header="708" w:footer="708" w:gutter="0"/>
          <w:cols w:num="2" w:space="708"/>
          <w:docGrid w:linePitch="360"/>
        </w:sectPr>
      </w:pPr>
    </w:p>
    <w:p w:rsidR="007838A8" w:rsidRPr="0015623C" w:rsidRDefault="007838A8" w:rsidP="00D041CE">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lang w:val="es-MX"/>
        </w:rPr>
      </w:pPr>
      <w:r>
        <w:rPr>
          <w:rFonts w:ascii="Times New Roman" w:hAnsi="Times New Roman" w:cs="Times New Roman"/>
          <w:b/>
          <w:lang w:val="es-MX"/>
        </w:rPr>
        <w:lastRenderedPageBreak/>
        <w:t>Reducción en el flujo del financiamiento del déficit fiscal</w:t>
      </w:r>
      <w:r w:rsidRPr="0015623C">
        <w:rPr>
          <w:rFonts w:ascii="Times New Roman" w:hAnsi="Times New Roman" w:cs="Times New Roman"/>
          <w:b/>
          <w:lang w:val="es-MX"/>
        </w:rPr>
        <w:t xml:space="preserve"> </w:t>
      </w:r>
    </w:p>
    <w:p w:rsidR="00887595" w:rsidRDefault="00887595" w:rsidP="00D041CE">
      <w:pPr>
        <w:pStyle w:val="Sinespaciado"/>
        <w:rPr>
          <w:i/>
          <w:color w:val="FF0000"/>
          <w:lang w:val="es-MX"/>
        </w:rPr>
      </w:pPr>
    </w:p>
    <w:p w:rsidR="007838A8" w:rsidRDefault="007838A8" w:rsidP="00D041CE">
      <w:pPr>
        <w:pStyle w:val="Sinespaciado"/>
        <w:jc w:val="both"/>
        <w:rPr>
          <w:rFonts w:ascii="Times New Roman" w:hAnsi="Times New Roman" w:cs="Times New Roman"/>
        </w:rPr>
        <w:sectPr w:rsidR="007838A8" w:rsidSect="007838A8">
          <w:headerReference w:type="default" r:id="rId26"/>
          <w:footerReference w:type="default" r:id="rId27"/>
          <w:type w:val="continuous"/>
          <w:pgSz w:w="12240" w:h="15840"/>
          <w:pgMar w:top="1627" w:right="1701" w:bottom="1417" w:left="1701" w:header="708" w:footer="708" w:gutter="0"/>
          <w:cols w:space="708"/>
          <w:docGrid w:linePitch="360"/>
        </w:sectPr>
      </w:pPr>
    </w:p>
    <w:p w:rsidR="007838A8" w:rsidRDefault="007838A8" w:rsidP="00D041CE">
      <w:pPr>
        <w:pStyle w:val="Sinespaciado"/>
        <w:jc w:val="both"/>
        <w:rPr>
          <w:rFonts w:ascii="Times New Roman" w:hAnsi="Times New Roman" w:cs="Times New Roman"/>
        </w:rPr>
      </w:pPr>
      <w:r>
        <w:rPr>
          <w:rFonts w:ascii="Times New Roman" w:hAnsi="Times New Roman" w:cs="Times New Roman"/>
        </w:rPr>
        <w:lastRenderedPageBreak/>
        <w:t xml:space="preserve">En cuanto al financiamiento del déficit, este ha mostrado un comportamiento descendente derivado de que los desembolsos recibidos, principalmente de préstamos externos han sido inferiores al pago de amortizaciones o vencimientos de Bonos del Tesoro, esto se refleja claramente en los últimos cuatro meses, en donde el flujo neto es negativo y provoca la disminución de los recursos acumulados en el </w:t>
      </w:r>
      <w:r>
        <w:rPr>
          <w:rFonts w:ascii="Times New Roman" w:hAnsi="Times New Roman" w:cs="Times New Roman"/>
        </w:rPr>
        <w:lastRenderedPageBreak/>
        <w:t>financiamiento.  Es importante recordar que en los meses de enero, marzo y abril es en donde se obtuvieron la mayor cantidad de recursos provenientes de la colocación de títulos del gobierno y los préstamos de apoyo presupuestario.</w:t>
      </w:r>
    </w:p>
    <w:p w:rsidR="007838A8" w:rsidRDefault="007838A8" w:rsidP="00D041CE">
      <w:pPr>
        <w:pStyle w:val="Sinespaciado"/>
        <w:rPr>
          <w:rFonts w:ascii="Times New Roman" w:hAnsi="Times New Roman" w:cs="Times New Roman"/>
          <w:b/>
        </w:rPr>
      </w:pPr>
    </w:p>
    <w:p w:rsidR="00355694" w:rsidRDefault="00355694" w:rsidP="00D041CE">
      <w:pPr>
        <w:pStyle w:val="Sinespaciado"/>
        <w:rPr>
          <w:rFonts w:ascii="Times New Roman" w:hAnsi="Times New Roman" w:cs="Times New Roman"/>
          <w:b/>
        </w:rPr>
      </w:pPr>
    </w:p>
    <w:p w:rsidR="00355694" w:rsidRDefault="00355694" w:rsidP="00D041CE">
      <w:pPr>
        <w:pStyle w:val="Sinespaciado"/>
        <w:rPr>
          <w:rFonts w:ascii="Times New Roman" w:hAnsi="Times New Roman" w:cs="Times New Roman"/>
          <w:b/>
        </w:rPr>
      </w:pPr>
    </w:p>
    <w:p w:rsidR="007838A8" w:rsidRPr="00C730D8" w:rsidRDefault="007838A8" w:rsidP="00D041CE">
      <w:pPr>
        <w:pStyle w:val="Sinespaciado"/>
        <w:jc w:val="center"/>
        <w:rPr>
          <w:rFonts w:ascii="Times New Roman" w:hAnsi="Times New Roman" w:cs="Times New Roman"/>
          <w:b/>
        </w:rPr>
      </w:pPr>
      <w:r>
        <w:rPr>
          <w:rFonts w:ascii="Times New Roman" w:hAnsi="Times New Roman" w:cs="Times New Roman"/>
          <w:b/>
        </w:rPr>
        <w:lastRenderedPageBreak/>
        <w:t xml:space="preserve">Flujo Neto de Financiamiento </w:t>
      </w:r>
    </w:p>
    <w:p w:rsidR="007838A8" w:rsidRPr="00C730D8" w:rsidRDefault="007838A8" w:rsidP="00D041CE">
      <w:pPr>
        <w:pStyle w:val="Sinespaciado"/>
        <w:jc w:val="center"/>
        <w:rPr>
          <w:rFonts w:ascii="Times New Roman" w:hAnsi="Times New Roman" w:cs="Times New Roman"/>
          <w:sz w:val="18"/>
        </w:rPr>
      </w:pPr>
      <w:r>
        <w:rPr>
          <w:rFonts w:ascii="Times New Roman" w:hAnsi="Times New Roman" w:cs="Times New Roman"/>
          <w:sz w:val="18"/>
        </w:rPr>
        <w:t xml:space="preserve">Mensual y Acumulado a Agosto </w:t>
      </w:r>
      <w:r w:rsidRPr="00C730D8">
        <w:rPr>
          <w:rFonts w:ascii="Times New Roman" w:hAnsi="Times New Roman" w:cs="Times New Roman"/>
          <w:sz w:val="18"/>
        </w:rPr>
        <w:t>2015</w:t>
      </w:r>
    </w:p>
    <w:p w:rsidR="007838A8" w:rsidRDefault="007838A8" w:rsidP="00D041CE">
      <w:pPr>
        <w:pStyle w:val="Sinespaciado"/>
        <w:jc w:val="center"/>
        <w:rPr>
          <w:rFonts w:ascii="Times New Roman" w:hAnsi="Times New Roman" w:cs="Times New Roman"/>
          <w:sz w:val="20"/>
        </w:rPr>
      </w:pPr>
      <w:r>
        <w:rPr>
          <w:rFonts w:ascii="Times New Roman" w:hAnsi="Times New Roman" w:cs="Times New Roman"/>
          <w:noProof/>
          <w:sz w:val="20"/>
          <w:lang w:eastAsia="es-GT"/>
        </w:rPr>
        <w:drawing>
          <wp:inline distT="0" distB="0" distL="0" distR="0" wp14:anchorId="29724C15" wp14:editId="20DD7D33">
            <wp:extent cx="2578608" cy="1859280"/>
            <wp:effectExtent l="0" t="0" r="0" b="762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78657" cy="1859315"/>
                    </a:xfrm>
                    <a:prstGeom prst="rect">
                      <a:avLst/>
                    </a:prstGeom>
                    <a:noFill/>
                  </pic:spPr>
                </pic:pic>
              </a:graphicData>
            </a:graphic>
          </wp:inline>
        </w:drawing>
      </w:r>
    </w:p>
    <w:p w:rsidR="00355694" w:rsidRDefault="00355694" w:rsidP="00355694">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7838A8" w:rsidRDefault="007838A8" w:rsidP="00D041CE">
      <w:pPr>
        <w:pStyle w:val="Sinespaciado"/>
        <w:jc w:val="both"/>
        <w:rPr>
          <w:rFonts w:ascii="Times New Roman" w:hAnsi="Times New Roman" w:cs="Times New Roman"/>
        </w:rPr>
      </w:pPr>
    </w:p>
    <w:p w:rsidR="007838A8" w:rsidRDefault="007838A8" w:rsidP="00D041CE">
      <w:pPr>
        <w:pStyle w:val="Sinespaciado"/>
        <w:jc w:val="both"/>
        <w:rPr>
          <w:rFonts w:ascii="Times New Roman" w:hAnsi="Times New Roman" w:cs="Times New Roman"/>
        </w:rPr>
      </w:pPr>
      <w:r>
        <w:rPr>
          <w:rFonts w:ascii="Times New Roman" w:hAnsi="Times New Roman" w:cs="Times New Roman"/>
        </w:rPr>
        <w:t xml:space="preserve">En lo que resta del año, se espera colocar  Bonos del Tesoro por Q 361.4 millones, para alcanzar el cupo autorizado por el Congreso de la República dentro del presupuesto para este año (Q 4,000.0 millones).  Asimismo, se estiman recibir un máximo de Q 1,387 millones, de desembolsos de préstamos </w:t>
      </w:r>
      <w:r>
        <w:rPr>
          <w:rFonts w:ascii="Times New Roman" w:hAnsi="Times New Roman" w:cs="Times New Roman"/>
        </w:rPr>
        <w:lastRenderedPageBreak/>
        <w:t>externos los cuales están considerados en el presupuesto aprobado para este año, lo cual indica que dichos desembolsos estará por debajo de lo programado en cerca de Q</w:t>
      </w:r>
      <w:r w:rsidR="000702CA">
        <w:rPr>
          <w:rFonts w:ascii="Times New Roman" w:hAnsi="Times New Roman" w:cs="Times New Roman"/>
        </w:rPr>
        <w:t xml:space="preserve"> </w:t>
      </w:r>
      <w:r>
        <w:rPr>
          <w:rFonts w:ascii="Times New Roman" w:hAnsi="Times New Roman" w:cs="Times New Roman"/>
        </w:rPr>
        <w:t>1,736 millones</w:t>
      </w:r>
    </w:p>
    <w:p w:rsidR="007838A8" w:rsidRDefault="007838A8" w:rsidP="00D041CE">
      <w:pPr>
        <w:pStyle w:val="Sinespaciado"/>
        <w:jc w:val="both"/>
        <w:rPr>
          <w:rFonts w:ascii="Times New Roman" w:hAnsi="Times New Roman" w:cs="Times New Roman"/>
        </w:rPr>
      </w:pPr>
    </w:p>
    <w:p w:rsidR="007838A8" w:rsidRDefault="007838A8" w:rsidP="00D041CE">
      <w:pPr>
        <w:pStyle w:val="Sinespaciado"/>
        <w:jc w:val="center"/>
        <w:rPr>
          <w:rFonts w:ascii="Times New Roman" w:hAnsi="Times New Roman" w:cs="Times New Roman"/>
          <w:b/>
        </w:rPr>
      </w:pPr>
      <w:r w:rsidRPr="00AC3ADF">
        <w:rPr>
          <w:rFonts w:ascii="Times New Roman" w:hAnsi="Times New Roman" w:cs="Times New Roman"/>
          <w:b/>
        </w:rPr>
        <w:t>Destino de la colo</w:t>
      </w:r>
      <w:r>
        <w:rPr>
          <w:rFonts w:ascii="Times New Roman" w:hAnsi="Times New Roman" w:cs="Times New Roman"/>
          <w:b/>
        </w:rPr>
        <w:t>cación de Bonos del Tesoro al 31</w:t>
      </w:r>
      <w:r w:rsidRPr="00AC3ADF">
        <w:rPr>
          <w:rFonts w:ascii="Times New Roman" w:hAnsi="Times New Roman" w:cs="Times New Roman"/>
          <w:b/>
        </w:rPr>
        <w:t xml:space="preserve"> de </w:t>
      </w:r>
      <w:r>
        <w:rPr>
          <w:rFonts w:ascii="Times New Roman" w:hAnsi="Times New Roman" w:cs="Times New Roman"/>
          <w:b/>
        </w:rPr>
        <w:t>Julio</w:t>
      </w:r>
      <w:r w:rsidRPr="00AC3ADF">
        <w:rPr>
          <w:rFonts w:ascii="Times New Roman" w:hAnsi="Times New Roman" w:cs="Times New Roman"/>
          <w:b/>
        </w:rPr>
        <w:t xml:space="preserve"> de 2015</w:t>
      </w:r>
    </w:p>
    <w:p w:rsidR="007838A8" w:rsidRPr="00AC3ADF" w:rsidRDefault="007838A8" w:rsidP="00D041CE">
      <w:pPr>
        <w:pStyle w:val="Sinespaciado"/>
        <w:jc w:val="center"/>
        <w:rPr>
          <w:rFonts w:ascii="Times New Roman" w:hAnsi="Times New Roman" w:cs="Times New Roman"/>
          <w:sz w:val="18"/>
        </w:rPr>
      </w:pPr>
      <w:r w:rsidRPr="00AC3ADF">
        <w:rPr>
          <w:rFonts w:ascii="Times New Roman" w:hAnsi="Times New Roman" w:cs="Times New Roman"/>
          <w:sz w:val="18"/>
        </w:rPr>
        <w:t>Millones de Quetzales y Porcentajes</w:t>
      </w:r>
    </w:p>
    <w:p w:rsidR="007838A8" w:rsidRDefault="007838A8" w:rsidP="00D041CE">
      <w:pPr>
        <w:pStyle w:val="Sinespaciado"/>
        <w:jc w:val="both"/>
        <w:rPr>
          <w:rFonts w:ascii="Times New Roman" w:hAnsi="Times New Roman" w:cs="Times New Roman"/>
        </w:rPr>
      </w:pPr>
      <w:r>
        <w:rPr>
          <w:rFonts w:ascii="Times New Roman" w:hAnsi="Times New Roman" w:cs="Times New Roman"/>
          <w:noProof/>
          <w:lang w:eastAsia="es-GT"/>
        </w:rPr>
        <w:drawing>
          <wp:inline distT="0" distB="0" distL="0" distR="0" wp14:anchorId="6C18D083" wp14:editId="0F041A45">
            <wp:extent cx="2389632" cy="1804416"/>
            <wp:effectExtent l="0" t="0" r="0" b="571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95214" cy="1808631"/>
                    </a:xfrm>
                    <a:prstGeom prst="rect">
                      <a:avLst/>
                    </a:prstGeom>
                    <a:noFill/>
                  </pic:spPr>
                </pic:pic>
              </a:graphicData>
            </a:graphic>
          </wp:inline>
        </w:drawing>
      </w:r>
    </w:p>
    <w:p w:rsidR="007838A8" w:rsidRDefault="007838A8" w:rsidP="00D041CE">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7838A8" w:rsidRDefault="007838A8" w:rsidP="00D041CE">
      <w:pPr>
        <w:pStyle w:val="Sinespaciado"/>
        <w:jc w:val="both"/>
        <w:rPr>
          <w:rFonts w:ascii="Times New Roman" w:hAnsi="Times New Roman" w:cs="Times New Roman"/>
        </w:rPr>
      </w:pPr>
    </w:p>
    <w:p w:rsidR="007838A8" w:rsidRDefault="007838A8" w:rsidP="00D041CE">
      <w:pPr>
        <w:pStyle w:val="Sinespaciado"/>
        <w:rPr>
          <w:i/>
          <w:color w:val="FF0000"/>
        </w:rPr>
        <w:sectPr w:rsidR="007838A8" w:rsidSect="007838A8">
          <w:type w:val="continuous"/>
          <w:pgSz w:w="12240" w:h="15840"/>
          <w:pgMar w:top="1627" w:right="1701" w:bottom="1417" w:left="1701" w:header="708" w:footer="708" w:gutter="0"/>
          <w:cols w:num="2" w:space="708"/>
          <w:docGrid w:linePitch="360"/>
        </w:sectPr>
      </w:pPr>
    </w:p>
    <w:p w:rsidR="002B6D89" w:rsidRDefault="002B6D89" w:rsidP="00D041CE">
      <w:pPr>
        <w:pStyle w:val="Sinespaciado"/>
        <w:rPr>
          <w:i/>
          <w:color w:val="FF0000"/>
          <w:lang w:val="es-MX"/>
        </w:rPr>
      </w:pPr>
    </w:p>
    <w:p w:rsidR="002B6D89" w:rsidRPr="0015623C" w:rsidRDefault="002B6D89" w:rsidP="00D041CE">
      <w:pPr>
        <w:pStyle w:val="Sinespaciado"/>
        <w:rPr>
          <w:i/>
          <w:color w:val="FF0000"/>
          <w:lang w:val="es-MX"/>
        </w:rPr>
        <w:sectPr w:rsidR="002B6D89" w:rsidRPr="0015623C" w:rsidSect="007838A8">
          <w:type w:val="continuous"/>
          <w:pgSz w:w="12240" w:h="15840"/>
          <w:pgMar w:top="1627" w:right="1701" w:bottom="1417" w:left="1701" w:header="708" w:footer="708" w:gutter="0"/>
          <w:cols w:space="708"/>
          <w:docGrid w:linePitch="360"/>
        </w:sectPr>
      </w:pPr>
    </w:p>
    <w:p w:rsidR="000360E0" w:rsidRPr="00741F4D" w:rsidRDefault="000360E0" w:rsidP="00D041CE">
      <w:pPr>
        <w:pStyle w:val="Sinespaciado"/>
        <w:rPr>
          <w:color w:val="FF0000"/>
          <w:sz w:val="12"/>
          <w:lang w:val="es-MX"/>
        </w:rPr>
        <w:sectPr w:rsidR="000360E0" w:rsidRPr="00741F4D" w:rsidSect="000360E0">
          <w:type w:val="continuous"/>
          <w:pgSz w:w="12240" w:h="15840"/>
          <w:pgMar w:top="1627" w:right="1701" w:bottom="1417" w:left="1701" w:header="708" w:footer="708" w:gutter="0"/>
          <w:cols w:num="2" w:space="708"/>
          <w:docGrid w:linePitch="360"/>
        </w:sectPr>
      </w:pPr>
    </w:p>
    <w:p w:rsidR="00336B3D" w:rsidRPr="0015623C" w:rsidRDefault="00336B3D" w:rsidP="00D041CE">
      <w:pPr>
        <w:pStyle w:val="Sinespaciado"/>
        <w:rPr>
          <w:color w:val="FF0000"/>
          <w:sz w:val="2"/>
          <w:lang w:val="es-MX"/>
        </w:rPr>
      </w:pPr>
    </w:p>
    <w:p w:rsidR="0013777B" w:rsidRPr="0015623C" w:rsidRDefault="006434D8" w:rsidP="00D041CE">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lang w:val="es-MX"/>
        </w:rPr>
      </w:pPr>
      <w:r w:rsidRPr="0015623C">
        <w:rPr>
          <w:rFonts w:ascii="Times New Roman" w:hAnsi="Times New Roman" w:cs="Times New Roman"/>
          <w:b/>
          <w:lang w:val="es-MX"/>
        </w:rPr>
        <w:t xml:space="preserve">Ambientes </w:t>
      </w:r>
      <w:r w:rsidR="00C621D5" w:rsidRPr="0015623C">
        <w:rPr>
          <w:rFonts w:ascii="Times New Roman" w:hAnsi="Times New Roman" w:cs="Times New Roman"/>
          <w:b/>
          <w:lang w:val="es-MX"/>
        </w:rPr>
        <w:t xml:space="preserve">macroeconómicos </w:t>
      </w:r>
      <w:r w:rsidRPr="0015623C">
        <w:rPr>
          <w:rFonts w:ascii="Times New Roman" w:hAnsi="Times New Roman" w:cs="Times New Roman"/>
          <w:b/>
          <w:lang w:val="es-MX"/>
        </w:rPr>
        <w:t xml:space="preserve">externo e interno </w:t>
      </w:r>
    </w:p>
    <w:p w:rsidR="00D701DF" w:rsidRPr="0015623C" w:rsidRDefault="00D701DF" w:rsidP="00D041CE">
      <w:pPr>
        <w:pStyle w:val="Prrafodelista"/>
        <w:spacing w:after="0" w:line="240" w:lineRule="auto"/>
        <w:ind w:left="0"/>
        <w:rPr>
          <w:rFonts w:cs="Times New Roman"/>
          <w:color w:val="FF0000"/>
          <w:lang w:val="es-MX"/>
        </w:rPr>
        <w:sectPr w:rsidR="00D701DF" w:rsidRPr="0015623C" w:rsidSect="0013777B">
          <w:type w:val="continuous"/>
          <w:pgSz w:w="12240" w:h="15840"/>
          <w:pgMar w:top="1627" w:right="1701" w:bottom="1417" w:left="1701" w:header="708" w:footer="708" w:gutter="0"/>
          <w:cols w:space="708"/>
          <w:docGrid w:linePitch="360"/>
        </w:sectPr>
      </w:pPr>
    </w:p>
    <w:p w:rsidR="008910B5" w:rsidRPr="0015623C" w:rsidRDefault="008910B5" w:rsidP="00D041CE">
      <w:pPr>
        <w:pStyle w:val="Sinespaciado"/>
        <w:jc w:val="both"/>
        <w:rPr>
          <w:rFonts w:ascii="Times New Roman" w:hAnsi="Times New Roman" w:cs="Times New Roman"/>
          <w:b/>
          <w:color w:val="FF0000"/>
        </w:rPr>
        <w:sectPr w:rsidR="008910B5" w:rsidRPr="0015623C" w:rsidSect="00277D28">
          <w:type w:val="continuous"/>
          <w:pgSz w:w="12240" w:h="15840"/>
          <w:pgMar w:top="1417" w:right="1701" w:bottom="1417" w:left="1701" w:header="708" w:footer="708" w:gutter="0"/>
          <w:cols w:num="2" w:space="708"/>
          <w:docGrid w:linePitch="360"/>
        </w:sectPr>
      </w:pPr>
    </w:p>
    <w:p w:rsidR="008910B5" w:rsidRPr="007901D4" w:rsidRDefault="008910B5" w:rsidP="00D041CE">
      <w:pPr>
        <w:spacing w:after="0" w:line="240" w:lineRule="auto"/>
        <w:jc w:val="both"/>
        <w:rPr>
          <w:rFonts w:ascii="Times New Roman" w:hAnsi="Times New Roman" w:cs="Times New Roman"/>
          <w:lang w:eastAsia="es-GT"/>
        </w:rPr>
      </w:pPr>
      <w:r w:rsidRPr="007901D4">
        <w:rPr>
          <w:rFonts w:ascii="Times New Roman" w:hAnsi="Times New Roman" w:cs="Times New Roman"/>
          <w:lang w:eastAsia="es-GT"/>
        </w:rPr>
        <w:lastRenderedPageBreak/>
        <w:t xml:space="preserve">En los EEUU de acuerdo a información del Departamento de Comercio, a partir de  julio el déficit se ha reducido en 7.4% (US$ 41.900 millones), niveles por debajo al promedio del primer semestre.  Esta reducción es  explicada por un alza de las exportaciones, lo que apunta a una un mayor dinamismo en la economía pese a las caídas en los mercados bursátiles.  Un menor déficit tiene incidencias positivas en el PIB de parte del comercio lo que será evidente en las cifras del 3er trimestre.  </w:t>
      </w:r>
      <w:r w:rsidRPr="007901D4">
        <w:rPr>
          <w:rFonts w:ascii="Times New Roman" w:hAnsi="Times New Roman" w:cs="Times New Roman"/>
          <w:lang w:val="es-MX"/>
        </w:rPr>
        <w:t>El dato revisado sobre el crecimiento ec</w:t>
      </w:r>
      <w:r w:rsidR="003353DA">
        <w:rPr>
          <w:rFonts w:ascii="Times New Roman" w:hAnsi="Times New Roman" w:cs="Times New Roman"/>
          <w:lang w:val="es-MX"/>
        </w:rPr>
        <w:t xml:space="preserve">onómico en el </w:t>
      </w:r>
      <w:r w:rsidR="002739C8">
        <w:rPr>
          <w:rFonts w:ascii="Times New Roman" w:hAnsi="Times New Roman" w:cs="Times New Roman"/>
          <w:lang w:val="es-MX"/>
        </w:rPr>
        <w:t>2do.</w:t>
      </w:r>
      <w:r w:rsidR="003353DA">
        <w:rPr>
          <w:rFonts w:ascii="Times New Roman" w:hAnsi="Times New Roman" w:cs="Times New Roman"/>
          <w:lang w:val="es-MX"/>
        </w:rPr>
        <w:t>trimestre</w:t>
      </w:r>
      <w:r w:rsidRPr="007901D4">
        <w:rPr>
          <w:rFonts w:ascii="Times New Roman" w:hAnsi="Times New Roman" w:cs="Times New Roman"/>
          <w:lang w:val="es-MX"/>
        </w:rPr>
        <w:t xml:space="preserve">, muestra una tasa anual de 3.7% tras un modesto 0.6% en el </w:t>
      </w:r>
      <w:r w:rsidR="002739C8">
        <w:rPr>
          <w:rFonts w:ascii="Times New Roman" w:hAnsi="Times New Roman" w:cs="Times New Roman"/>
          <w:lang w:val="es-MX"/>
        </w:rPr>
        <w:t xml:space="preserve">1er. </w:t>
      </w:r>
      <w:r w:rsidRPr="007901D4">
        <w:rPr>
          <w:rFonts w:ascii="Times New Roman" w:hAnsi="Times New Roman" w:cs="Times New Roman"/>
          <w:lang w:val="es-MX"/>
        </w:rPr>
        <w:t xml:space="preserve">trimestre del año; inicialmente había sido estimado en 2.3% y los analistas esperaban </w:t>
      </w:r>
      <w:r w:rsidR="002739C8">
        <w:rPr>
          <w:rFonts w:ascii="Times New Roman" w:hAnsi="Times New Roman" w:cs="Times New Roman"/>
          <w:lang w:val="es-MX"/>
        </w:rPr>
        <w:t>un ajuste</w:t>
      </w:r>
      <w:r w:rsidRPr="007901D4">
        <w:rPr>
          <w:rFonts w:ascii="Times New Roman" w:hAnsi="Times New Roman" w:cs="Times New Roman"/>
          <w:lang w:val="es-MX"/>
        </w:rPr>
        <w:t xml:space="preserve"> al alza de 3.1%.</w:t>
      </w:r>
    </w:p>
    <w:p w:rsidR="008910B5" w:rsidRDefault="008910B5" w:rsidP="00D041CE">
      <w:pPr>
        <w:pStyle w:val="Prrafodelista"/>
        <w:spacing w:after="0" w:line="240" w:lineRule="auto"/>
        <w:ind w:left="0"/>
        <w:rPr>
          <w:rFonts w:cs="Times New Roman"/>
        </w:rPr>
      </w:pPr>
    </w:p>
    <w:p w:rsidR="002739C8" w:rsidRPr="002739C8" w:rsidRDefault="002739C8" w:rsidP="00D041CE">
      <w:pPr>
        <w:pStyle w:val="Prrafodelista"/>
        <w:spacing w:after="0" w:line="240" w:lineRule="auto"/>
        <w:ind w:left="0"/>
        <w:rPr>
          <w:rFonts w:cs="Times New Roman"/>
        </w:rPr>
      </w:pPr>
    </w:p>
    <w:p w:rsidR="008A71BA" w:rsidRDefault="008A71BA" w:rsidP="00D041CE">
      <w:pPr>
        <w:pStyle w:val="Prrafodelista"/>
        <w:spacing w:after="0" w:line="240" w:lineRule="auto"/>
        <w:ind w:left="0"/>
        <w:rPr>
          <w:rFonts w:cs="Times New Roman"/>
          <w:lang w:val="es-MX"/>
        </w:rPr>
      </w:pPr>
    </w:p>
    <w:p w:rsidR="008A71BA" w:rsidRDefault="008A71BA" w:rsidP="00D041CE">
      <w:pPr>
        <w:pStyle w:val="Prrafodelista"/>
        <w:spacing w:after="0" w:line="240" w:lineRule="auto"/>
        <w:ind w:left="0"/>
        <w:rPr>
          <w:rFonts w:cs="Times New Roman"/>
          <w:lang w:val="es-MX"/>
        </w:rPr>
      </w:pPr>
    </w:p>
    <w:p w:rsidR="008A71BA" w:rsidRDefault="008A71BA" w:rsidP="00D041CE">
      <w:pPr>
        <w:pStyle w:val="Prrafodelista"/>
        <w:spacing w:after="0" w:line="240" w:lineRule="auto"/>
        <w:ind w:left="0"/>
        <w:rPr>
          <w:rFonts w:cs="Times New Roman"/>
          <w:lang w:val="es-MX"/>
        </w:rPr>
      </w:pPr>
    </w:p>
    <w:p w:rsidR="00DF2340" w:rsidRDefault="00DF2340" w:rsidP="00D041CE">
      <w:pPr>
        <w:pStyle w:val="Prrafodelista"/>
        <w:spacing w:after="0" w:line="240" w:lineRule="auto"/>
        <w:ind w:left="0"/>
        <w:rPr>
          <w:rFonts w:cs="Times New Roman"/>
          <w:lang w:val="es-MX"/>
        </w:rPr>
      </w:pPr>
    </w:p>
    <w:p w:rsidR="008A71BA" w:rsidRPr="007901D4" w:rsidRDefault="008A71BA" w:rsidP="00D041CE">
      <w:pPr>
        <w:pStyle w:val="Prrafodelista"/>
        <w:spacing w:after="0" w:line="240" w:lineRule="auto"/>
        <w:ind w:left="0"/>
        <w:rPr>
          <w:rFonts w:cs="Times New Roman"/>
          <w:lang w:val="es-MX"/>
        </w:rPr>
      </w:pPr>
    </w:p>
    <w:p w:rsidR="008910B5" w:rsidRPr="007901D4" w:rsidRDefault="008910B5" w:rsidP="00D041CE">
      <w:pPr>
        <w:pStyle w:val="Prrafodelista"/>
        <w:spacing w:after="0" w:line="240" w:lineRule="auto"/>
        <w:ind w:left="0"/>
        <w:jc w:val="center"/>
        <w:rPr>
          <w:rFonts w:cs="Times New Roman"/>
          <w:b/>
          <w:lang w:val="es-MX"/>
        </w:rPr>
      </w:pPr>
      <w:r w:rsidRPr="007901D4">
        <w:rPr>
          <w:rFonts w:cs="Times New Roman"/>
          <w:b/>
          <w:lang w:val="es-MX"/>
        </w:rPr>
        <w:lastRenderedPageBreak/>
        <w:t>PIB Estados Unidos</w:t>
      </w:r>
    </w:p>
    <w:p w:rsidR="008910B5" w:rsidRPr="007901D4" w:rsidRDefault="008910B5" w:rsidP="00D041CE">
      <w:pPr>
        <w:pStyle w:val="Prrafodelista"/>
        <w:spacing w:after="0" w:line="240" w:lineRule="auto"/>
        <w:ind w:left="0"/>
        <w:jc w:val="center"/>
        <w:rPr>
          <w:rFonts w:cs="Times New Roman"/>
          <w:sz w:val="20"/>
          <w:lang w:val="es-MX"/>
        </w:rPr>
      </w:pPr>
      <w:r w:rsidRPr="007901D4">
        <w:rPr>
          <w:rFonts w:cs="Times New Roman"/>
          <w:sz w:val="20"/>
          <w:lang w:val="es-MX"/>
        </w:rPr>
        <w:t>Tasa de Crecimiento trimestral</w:t>
      </w:r>
    </w:p>
    <w:p w:rsidR="008910B5" w:rsidRPr="007901D4" w:rsidRDefault="008910B5" w:rsidP="00D041CE">
      <w:pPr>
        <w:pStyle w:val="Prrafodelista"/>
        <w:spacing w:after="0" w:line="240" w:lineRule="auto"/>
        <w:ind w:left="0"/>
        <w:rPr>
          <w:rFonts w:cs="Times New Roman"/>
          <w:color w:val="FF0000"/>
          <w:lang w:val="es-MX"/>
        </w:rPr>
      </w:pPr>
      <w:r w:rsidRPr="007901D4">
        <w:rPr>
          <w:rFonts w:cs="Times New Roman"/>
          <w:noProof/>
          <w:lang w:eastAsia="es-GT"/>
        </w:rPr>
        <w:drawing>
          <wp:inline distT="0" distB="0" distL="0" distR="0" wp14:anchorId="2B70731A" wp14:editId="13FC8277">
            <wp:extent cx="2647950" cy="1724025"/>
            <wp:effectExtent l="0" t="0" r="0" b="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910B5" w:rsidRPr="007901D4" w:rsidRDefault="008910B5" w:rsidP="00D041CE">
      <w:pPr>
        <w:pStyle w:val="Prrafodelista"/>
        <w:spacing w:after="0" w:line="240" w:lineRule="auto"/>
        <w:ind w:left="0"/>
        <w:rPr>
          <w:rFonts w:cs="Times New Roman"/>
          <w:sz w:val="16"/>
          <w:lang w:val="es-MX"/>
        </w:rPr>
      </w:pPr>
      <w:r w:rsidRPr="007901D4">
        <w:rPr>
          <w:rFonts w:cs="Times New Roman"/>
          <w:sz w:val="16"/>
          <w:lang w:val="es-MX"/>
        </w:rPr>
        <w:t xml:space="preserve">Fuente: Trading </w:t>
      </w:r>
      <w:proofErr w:type="spellStart"/>
      <w:r w:rsidRPr="007901D4">
        <w:rPr>
          <w:rFonts w:cs="Times New Roman"/>
          <w:sz w:val="16"/>
          <w:lang w:val="es-MX"/>
        </w:rPr>
        <w:t>economics</w:t>
      </w:r>
      <w:proofErr w:type="spellEnd"/>
    </w:p>
    <w:p w:rsidR="008910B5" w:rsidRPr="007901D4" w:rsidRDefault="008910B5" w:rsidP="00D041CE">
      <w:pPr>
        <w:pStyle w:val="Prrafodelista"/>
        <w:spacing w:after="0" w:line="240" w:lineRule="auto"/>
        <w:ind w:left="0"/>
        <w:rPr>
          <w:rFonts w:cs="Times New Roman"/>
          <w:color w:val="FF0000"/>
          <w:lang w:val="es-MX"/>
        </w:rPr>
      </w:pPr>
    </w:p>
    <w:p w:rsidR="008910B5" w:rsidRPr="007901D4" w:rsidRDefault="008910B5" w:rsidP="00D041CE">
      <w:pPr>
        <w:spacing w:after="0" w:line="240" w:lineRule="auto"/>
        <w:jc w:val="both"/>
        <w:rPr>
          <w:rFonts w:ascii="Times New Roman" w:hAnsi="Times New Roman" w:cs="Times New Roman"/>
          <w:lang w:val="es-MX"/>
        </w:rPr>
      </w:pPr>
      <w:r>
        <w:rPr>
          <w:rFonts w:ascii="Times New Roman" w:hAnsi="Times New Roman" w:cs="Times New Roman"/>
          <w:lang w:val="es-MX"/>
        </w:rPr>
        <w:t>En tor</w:t>
      </w:r>
      <w:r w:rsidRPr="007901D4">
        <w:rPr>
          <w:rFonts w:ascii="Times New Roman" w:hAnsi="Times New Roman" w:cs="Times New Roman"/>
          <w:lang w:val="es-MX"/>
        </w:rPr>
        <w:t xml:space="preserve">no al crecimiento económico de los EEUU y pese a la volatilidad de los mercados bursátiles, sobre todo a fines de agosto, analistas de Moody’s indican que hay poca evidencia de que el abrupto deterioro en las condiciones del mercado financiero y las mayores preocupaciones sobre la economía mundial hayan comenzado a afectar a la economía de </w:t>
      </w:r>
      <w:r w:rsidR="002739C8">
        <w:rPr>
          <w:rFonts w:ascii="Times New Roman" w:hAnsi="Times New Roman" w:cs="Times New Roman"/>
          <w:lang w:val="es-MX"/>
        </w:rPr>
        <w:t>EEUU</w:t>
      </w:r>
      <w:r w:rsidRPr="007901D4">
        <w:rPr>
          <w:rFonts w:ascii="Times New Roman" w:hAnsi="Times New Roman" w:cs="Times New Roman"/>
          <w:lang w:val="es-MX"/>
        </w:rPr>
        <w:t>.</w:t>
      </w:r>
    </w:p>
    <w:p w:rsidR="008910B5" w:rsidRPr="007901D4" w:rsidRDefault="008910B5" w:rsidP="00D041CE">
      <w:pPr>
        <w:pStyle w:val="Prrafodelista"/>
        <w:spacing w:after="0" w:line="240" w:lineRule="auto"/>
        <w:ind w:left="0"/>
        <w:rPr>
          <w:rFonts w:cs="Times New Roman"/>
        </w:rPr>
      </w:pPr>
    </w:p>
    <w:p w:rsidR="008910B5" w:rsidRPr="007901D4" w:rsidRDefault="008910B5" w:rsidP="00D041CE">
      <w:pPr>
        <w:spacing w:after="0" w:line="240" w:lineRule="auto"/>
        <w:jc w:val="both"/>
        <w:rPr>
          <w:rFonts w:ascii="Times New Roman" w:hAnsi="Times New Roman" w:cs="Times New Roman"/>
          <w:lang w:val="es-MX"/>
        </w:rPr>
      </w:pPr>
      <w:r w:rsidRPr="007901D4">
        <w:rPr>
          <w:rFonts w:ascii="Times New Roman" w:hAnsi="Times New Roman" w:cs="Times New Roman"/>
          <w:lang w:val="es-MX"/>
        </w:rPr>
        <w:t>El crecimiento del empleo fue menor de lo previsto</w:t>
      </w:r>
      <w:r w:rsidR="00DF2340">
        <w:rPr>
          <w:rFonts w:ascii="Times New Roman" w:hAnsi="Times New Roman" w:cs="Times New Roman"/>
          <w:lang w:val="es-MX"/>
        </w:rPr>
        <w:t xml:space="preserve"> en agosto, la tasa de desempleo</w:t>
      </w:r>
      <w:r w:rsidRPr="007901D4">
        <w:rPr>
          <w:rFonts w:ascii="Times New Roman" w:hAnsi="Times New Roman" w:cs="Times New Roman"/>
          <w:lang w:val="es-MX"/>
        </w:rPr>
        <w:t xml:space="preserve"> disminuyó al 5.1%; </w:t>
      </w:r>
      <w:bookmarkStart w:id="0" w:name="_GoBack"/>
      <w:bookmarkEnd w:id="0"/>
      <w:r w:rsidRPr="007901D4">
        <w:rPr>
          <w:rFonts w:ascii="Times New Roman" w:hAnsi="Times New Roman" w:cs="Times New Roman"/>
          <w:lang w:val="es-MX"/>
        </w:rPr>
        <w:t xml:space="preserve">la economía estadounidense creó 173,000 empleos durante agosto, muy por debajo de las expectativas del mercado que estimaba un dato cercano a los 210,000 empleos. </w:t>
      </w:r>
      <w:r w:rsidR="00C237AA">
        <w:rPr>
          <w:rFonts w:ascii="Times New Roman" w:hAnsi="Times New Roman" w:cs="Times New Roman"/>
          <w:lang w:val="es-MX"/>
        </w:rPr>
        <w:t xml:space="preserve"> </w:t>
      </w:r>
      <w:r w:rsidRPr="007901D4">
        <w:rPr>
          <w:rFonts w:ascii="Times New Roman" w:hAnsi="Times New Roman" w:cs="Times New Roman"/>
          <w:lang w:val="es-MX"/>
        </w:rPr>
        <w:t>La actividad del sector manufacturero ha registrado en agosto su menor expansión desde mediados de 2013, según refleja el índice ISM, que se ha situado en 51.1%, frente al 52.7% del mes anterior; dicho índice acumula así 32 meses consecutivos de expansión.  El dato de nuevos pedidos se ralentizó en agosto al 51.7% desde el 56.5% de julio, mientras que la producción disminuyó al 53.6% desde el 56.0%.</w:t>
      </w:r>
    </w:p>
    <w:p w:rsidR="008910B5" w:rsidRPr="007901D4" w:rsidRDefault="008910B5" w:rsidP="00D041CE">
      <w:pPr>
        <w:pStyle w:val="Prrafodelista"/>
        <w:spacing w:after="0" w:line="240" w:lineRule="auto"/>
        <w:ind w:left="0"/>
        <w:rPr>
          <w:rFonts w:cs="Times New Roman"/>
          <w:color w:val="FF0000"/>
        </w:rPr>
      </w:pPr>
    </w:p>
    <w:p w:rsidR="008910B5" w:rsidRDefault="008910B5" w:rsidP="00D041CE">
      <w:pPr>
        <w:spacing w:after="0" w:line="240" w:lineRule="auto"/>
        <w:jc w:val="both"/>
        <w:rPr>
          <w:rFonts w:ascii="Times New Roman" w:hAnsi="Times New Roman" w:cs="Times New Roman"/>
          <w:lang w:eastAsia="es-GT"/>
        </w:rPr>
      </w:pPr>
      <w:r w:rsidRPr="007901D4">
        <w:rPr>
          <w:rFonts w:ascii="Times New Roman" w:hAnsi="Times New Roman" w:cs="Times New Roman"/>
          <w:lang w:eastAsia="es-GT"/>
        </w:rPr>
        <w:t>En la Eurozona el BCE redujo sus previsiones de inflación y crecimiento en esa región para los años 2015, 2016 y 2017. Dicha institución informó que la inflación será de apenas 0.1% en 2015, 1.1% en 2016 y 1.7% en 2017 advirtiendo la posibilidad de entrar en territorio negativo en los próximos meses, pero que sería un fenómeno temporal. En cuanto a las estimaciones de crecimiento, el banco prevé que sea de 0.4% en 2015, 1.7%  en 2016, y para 1.8% para 2017.</w:t>
      </w:r>
    </w:p>
    <w:p w:rsidR="00C237AA" w:rsidRPr="007901D4" w:rsidRDefault="00C237AA" w:rsidP="00D041CE">
      <w:pPr>
        <w:spacing w:after="0" w:line="240" w:lineRule="auto"/>
        <w:jc w:val="both"/>
        <w:rPr>
          <w:rFonts w:ascii="Times New Roman" w:hAnsi="Times New Roman" w:cs="Times New Roman"/>
          <w:lang w:eastAsia="es-GT"/>
        </w:rPr>
      </w:pPr>
    </w:p>
    <w:p w:rsidR="008910B5" w:rsidRPr="007901D4" w:rsidRDefault="008910B5" w:rsidP="00D041CE">
      <w:pPr>
        <w:spacing w:after="0" w:line="240" w:lineRule="auto"/>
        <w:jc w:val="both"/>
        <w:rPr>
          <w:rFonts w:ascii="Times New Roman" w:hAnsi="Times New Roman" w:cs="Times New Roman"/>
          <w:lang w:val="es-MX"/>
        </w:rPr>
      </w:pPr>
      <w:r w:rsidRPr="007901D4">
        <w:rPr>
          <w:rFonts w:ascii="Times New Roman" w:hAnsi="Times New Roman" w:cs="Times New Roman"/>
        </w:rPr>
        <w:t>L</w:t>
      </w:r>
      <w:r w:rsidRPr="007901D4">
        <w:rPr>
          <w:rFonts w:ascii="Times New Roman" w:hAnsi="Times New Roman" w:cs="Times New Roman"/>
          <w:lang w:val="es-MX"/>
        </w:rPr>
        <w:t xml:space="preserve">a confianza en la economía mostró una aumento en agosto debido a mejoras en sectores empresariales como construcción, servicios y principalmente en comercio minorista, a pesar de las tensiones bursátiles globales, las negociaciones con Grecia, la reducción persistente de precios y la debilidad del euro que no logra impulsar las exportaciones.  </w:t>
      </w:r>
    </w:p>
    <w:p w:rsidR="008910B5" w:rsidRPr="007901D4" w:rsidRDefault="008910B5" w:rsidP="00D041CE">
      <w:pPr>
        <w:spacing w:after="0" w:line="240" w:lineRule="auto"/>
        <w:jc w:val="both"/>
        <w:rPr>
          <w:rFonts w:ascii="Times New Roman" w:hAnsi="Times New Roman" w:cs="Times New Roman"/>
          <w:lang w:val="es-MX"/>
        </w:rPr>
      </w:pPr>
    </w:p>
    <w:p w:rsidR="008910B5" w:rsidRDefault="008910B5" w:rsidP="00D041CE">
      <w:pPr>
        <w:spacing w:after="0" w:line="240" w:lineRule="auto"/>
        <w:jc w:val="both"/>
        <w:rPr>
          <w:rFonts w:ascii="Times New Roman" w:hAnsi="Times New Roman" w:cs="Times New Roman"/>
          <w:lang w:val="es-MX"/>
        </w:rPr>
      </w:pPr>
      <w:r w:rsidRPr="007901D4">
        <w:rPr>
          <w:rFonts w:ascii="Times New Roman" w:hAnsi="Times New Roman" w:cs="Times New Roman"/>
          <w:lang w:val="es-MX"/>
        </w:rPr>
        <w:t>La Comisión Europea indicó un aumento de 0.2 puntos en el índice que mide la confianza del consumidor de la zona euro, desde el -6.8 puntos de julio; y el resultado para la Unión Europea muestra un avance de 0.4 puntos.</w:t>
      </w:r>
      <w:r w:rsidR="00C237AA">
        <w:rPr>
          <w:rFonts w:ascii="Times New Roman" w:hAnsi="Times New Roman" w:cs="Times New Roman"/>
          <w:lang w:val="es-MX"/>
        </w:rPr>
        <w:t xml:space="preserve"> </w:t>
      </w:r>
      <w:r w:rsidRPr="007901D4">
        <w:rPr>
          <w:rFonts w:ascii="Times New Roman" w:hAnsi="Times New Roman" w:cs="Times New Roman"/>
          <w:lang w:val="es-MX"/>
        </w:rPr>
        <w:t xml:space="preserve">El crecimiento de la actividad total en agosto se mantiene estable y continúa con un ritmo de crecimiento sólido a pesar de los altibajos del mes anterior en torno a la crisis de la deuda griega; el índice PMI se situó en 54.1 puntos frente a los 53.9 puntos de julio.  </w:t>
      </w:r>
    </w:p>
    <w:p w:rsidR="008910B5" w:rsidRPr="007901D4" w:rsidRDefault="008910B5" w:rsidP="00D041CE">
      <w:pPr>
        <w:pStyle w:val="Prrafodelista"/>
        <w:spacing w:after="0" w:line="240" w:lineRule="auto"/>
        <w:ind w:left="0"/>
        <w:rPr>
          <w:rFonts w:cs="Times New Roman"/>
          <w:color w:val="FF0000"/>
          <w:lang w:val="es-MX"/>
        </w:rPr>
      </w:pPr>
    </w:p>
    <w:p w:rsidR="008910B5" w:rsidRPr="007901D4" w:rsidRDefault="008910B5" w:rsidP="00D041CE">
      <w:pPr>
        <w:spacing w:after="0" w:line="240" w:lineRule="auto"/>
        <w:jc w:val="both"/>
        <w:rPr>
          <w:rFonts w:ascii="Times New Roman" w:hAnsi="Times New Roman" w:cs="Times New Roman"/>
          <w:lang w:val="es-MX"/>
        </w:rPr>
      </w:pPr>
      <w:r w:rsidRPr="007901D4">
        <w:rPr>
          <w:rFonts w:ascii="Times New Roman" w:hAnsi="Times New Roman" w:cs="Times New Roman"/>
          <w:lang w:val="es-MX"/>
        </w:rPr>
        <w:lastRenderedPageBreak/>
        <w:t xml:space="preserve">El fondo permanente de rescate de la eurozona, el Mecanismo Europeo de Estabilidad (MEDE), desembolsó esta mes los primero 13,000 millones de euros en efectivo que recibirá Grecia dentro de su tercer rescate y otros 10,000 millones de euros que fueron enviados a una cuenta diferente en forma de pagarés del MEDE que se destinarán a la potencial recapitalización o liquidación de bancos griegos; dicho desembolso le permitirá a Grecia cumplir con sus obligaciones financieras urgentes con el FMI y el BCE, a cambio de condiciones pactadas para combatir situaciones de corrupción  y evasión fiscal.  </w:t>
      </w:r>
    </w:p>
    <w:p w:rsidR="008910B5" w:rsidRPr="002B6D89" w:rsidRDefault="008910B5" w:rsidP="00D041CE">
      <w:pPr>
        <w:pStyle w:val="Prrafodelista"/>
        <w:spacing w:after="0" w:line="240" w:lineRule="auto"/>
        <w:ind w:left="0"/>
        <w:rPr>
          <w:rFonts w:eastAsiaTheme="minorEastAsia" w:cs="Times New Roman"/>
          <w:color w:val="FF0000"/>
          <w:lang w:val="es-MX" w:eastAsia="ja-JP"/>
        </w:rPr>
      </w:pPr>
    </w:p>
    <w:p w:rsidR="008910B5" w:rsidRPr="002B6D89" w:rsidRDefault="008910B5" w:rsidP="00D041CE">
      <w:pPr>
        <w:spacing w:after="0" w:line="240" w:lineRule="auto"/>
        <w:jc w:val="both"/>
        <w:rPr>
          <w:rFonts w:ascii="Times New Roman" w:hAnsi="Times New Roman" w:cs="Times New Roman"/>
        </w:rPr>
      </w:pPr>
      <w:r w:rsidRPr="007901D4">
        <w:rPr>
          <w:rFonts w:ascii="Times New Roman" w:hAnsi="Times New Roman" w:cs="Times New Roman"/>
          <w:lang w:val="es-ES_tradnl" w:eastAsia="ja-JP"/>
        </w:rPr>
        <w:t xml:space="preserve">En el ámbito nacional, </w:t>
      </w:r>
      <w:r>
        <w:rPr>
          <w:rFonts w:ascii="Times New Roman" w:hAnsi="Times New Roman" w:cs="Times New Roman"/>
          <w:lang w:val="es-MX"/>
        </w:rPr>
        <w:t>l</w:t>
      </w:r>
      <w:r w:rsidRPr="007901D4">
        <w:rPr>
          <w:rFonts w:ascii="Times New Roman" w:hAnsi="Times New Roman" w:cs="Times New Roman"/>
          <w:lang w:val="es-MX"/>
        </w:rPr>
        <w:t>a percepción sobre la situación económica actual y el ambiente para los negocios ya empieza a sufrir el desgaste que provocan los acontecimientos políticos internos; las expectativas económicas publicada por el Banco de Guatemala indican que en agosto el Indicador de Confianza de la Actividad Económica se ubicó  en 21.67 puntos, inferior en 24.44% con respecto a lo observado el mes anterior y menor en 44.87 respeto al registrado en agosto 2014.  La mayoría de Analistas Privados que elaboran el indicador consideran que actualmente la economía del país  no está mejor que el año anterior (66.7%) y que en el corto plazo no esperan que la evolución económica del país mejore (100%).</w:t>
      </w:r>
    </w:p>
    <w:p w:rsidR="008910B5" w:rsidRPr="007901D4" w:rsidRDefault="008910B5" w:rsidP="00D041CE">
      <w:pPr>
        <w:pStyle w:val="Sinespaciado"/>
        <w:jc w:val="both"/>
        <w:rPr>
          <w:rFonts w:ascii="Times New Roman" w:hAnsi="Times New Roman" w:cs="Times New Roman"/>
          <w:b/>
        </w:rPr>
      </w:pPr>
    </w:p>
    <w:p w:rsidR="008910B5" w:rsidRPr="007901D4" w:rsidRDefault="008910B5" w:rsidP="00D041CE">
      <w:pPr>
        <w:pStyle w:val="Sinespaciado"/>
        <w:jc w:val="center"/>
        <w:rPr>
          <w:rFonts w:ascii="Times New Roman" w:hAnsi="Times New Roman" w:cs="Times New Roman"/>
          <w:b/>
        </w:rPr>
      </w:pPr>
      <w:r w:rsidRPr="007901D4">
        <w:rPr>
          <w:rFonts w:ascii="Times New Roman" w:hAnsi="Times New Roman" w:cs="Times New Roman"/>
          <w:b/>
        </w:rPr>
        <w:t>Índice de confianza de la actividad económica</w:t>
      </w:r>
    </w:p>
    <w:p w:rsidR="008910B5" w:rsidRPr="007901D4" w:rsidRDefault="008910B5" w:rsidP="00D041CE">
      <w:pPr>
        <w:pStyle w:val="Sinespaciado"/>
        <w:jc w:val="center"/>
        <w:rPr>
          <w:rFonts w:ascii="Times New Roman" w:hAnsi="Times New Roman" w:cs="Times New Roman"/>
        </w:rPr>
      </w:pPr>
      <w:r w:rsidRPr="007901D4">
        <w:rPr>
          <w:rFonts w:ascii="Times New Roman" w:hAnsi="Times New Roman" w:cs="Times New Roman"/>
        </w:rPr>
        <w:t>Enero 2014 – Agosto 2015</w:t>
      </w:r>
    </w:p>
    <w:p w:rsidR="008910B5" w:rsidRPr="007901D4" w:rsidRDefault="008910B5" w:rsidP="00D041CE">
      <w:pPr>
        <w:pStyle w:val="Sinespaciado"/>
        <w:jc w:val="both"/>
        <w:rPr>
          <w:rFonts w:ascii="Times New Roman" w:hAnsi="Times New Roman" w:cs="Times New Roman"/>
          <w:b/>
        </w:rPr>
      </w:pPr>
      <w:r w:rsidRPr="007901D4">
        <w:rPr>
          <w:rFonts w:ascii="Times New Roman" w:hAnsi="Times New Roman" w:cs="Times New Roman"/>
          <w:noProof/>
          <w:lang w:eastAsia="es-GT"/>
        </w:rPr>
        <w:drawing>
          <wp:inline distT="0" distB="0" distL="0" distR="0" wp14:anchorId="5925D6C9" wp14:editId="1BADC8C5">
            <wp:extent cx="2790190" cy="1674114"/>
            <wp:effectExtent l="0" t="0" r="0" b="254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910B5" w:rsidRPr="007901D4" w:rsidRDefault="008910B5" w:rsidP="00D041CE">
      <w:pPr>
        <w:pStyle w:val="Default"/>
        <w:jc w:val="both"/>
        <w:rPr>
          <w:sz w:val="16"/>
          <w:szCs w:val="22"/>
          <w:lang w:val="es-MX"/>
        </w:rPr>
      </w:pPr>
      <w:r w:rsidRPr="007901D4">
        <w:rPr>
          <w:sz w:val="16"/>
          <w:szCs w:val="22"/>
          <w:lang w:val="es-MX"/>
        </w:rPr>
        <w:t>Fuente: Banco de Guatemala.</w:t>
      </w:r>
    </w:p>
    <w:p w:rsidR="008910B5" w:rsidRPr="007901D4" w:rsidRDefault="008910B5" w:rsidP="00D041CE">
      <w:pPr>
        <w:pStyle w:val="Default"/>
        <w:jc w:val="both"/>
        <w:rPr>
          <w:sz w:val="22"/>
          <w:szCs w:val="22"/>
          <w:lang w:val="es-MX"/>
        </w:rPr>
      </w:pPr>
    </w:p>
    <w:p w:rsidR="008910B5" w:rsidRPr="007901D4" w:rsidRDefault="008910B5" w:rsidP="00D041CE">
      <w:pPr>
        <w:spacing w:after="0" w:line="240" w:lineRule="auto"/>
        <w:jc w:val="both"/>
        <w:rPr>
          <w:rFonts w:ascii="Times New Roman" w:hAnsi="Times New Roman" w:cs="Times New Roman"/>
          <w:lang w:val="es-MX"/>
        </w:rPr>
      </w:pPr>
      <w:r w:rsidRPr="007901D4">
        <w:rPr>
          <w:rFonts w:ascii="Times New Roman" w:hAnsi="Times New Roman" w:cs="Times New Roman"/>
          <w:lang w:val="es-MX"/>
        </w:rPr>
        <w:t xml:space="preserve">La expectativa económica para 2015, medida por medio del Producto Interno Bruto Real, bajo este escenario se ubicará cercano a 3.8% y 3.9% para 2016; con respecto al ritmo inflacionario, </w:t>
      </w:r>
      <w:r w:rsidRPr="007901D4">
        <w:rPr>
          <w:rFonts w:ascii="Times New Roman" w:hAnsi="Times New Roman" w:cs="Times New Roman"/>
          <w:lang w:val="es-MX"/>
        </w:rPr>
        <w:lastRenderedPageBreak/>
        <w:t>se espera para agosto un ritmo inflacionario de 2.7% y para diciembre 2016 un ritmo de 3.18%. Los principales factores que respaldan dichos pronósticos son el comportamiento en los precios de los combustibles, el desempeño de la política fiscal, la trayectoria del precio internacional del petróleo, el comportamiento del tipo de cambio nominal y la estacionalidad de los productos agrícolas.</w:t>
      </w:r>
    </w:p>
    <w:p w:rsidR="008910B5" w:rsidRPr="007901D4" w:rsidRDefault="008910B5" w:rsidP="00D041CE">
      <w:pPr>
        <w:pStyle w:val="Default"/>
        <w:jc w:val="both"/>
        <w:rPr>
          <w:sz w:val="22"/>
          <w:lang w:val="es-MX"/>
        </w:rPr>
      </w:pPr>
    </w:p>
    <w:p w:rsidR="008910B5" w:rsidRDefault="008910B5" w:rsidP="00D041CE">
      <w:pPr>
        <w:spacing w:after="0" w:line="240" w:lineRule="auto"/>
        <w:jc w:val="both"/>
        <w:rPr>
          <w:rFonts w:ascii="Times New Roman" w:hAnsi="Times New Roman" w:cs="Times New Roman"/>
          <w:lang w:val="es-MX"/>
        </w:rPr>
      </w:pPr>
      <w:r w:rsidRPr="007901D4">
        <w:rPr>
          <w:rFonts w:ascii="Times New Roman" w:hAnsi="Times New Roman" w:cs="Times New Roman"/>
          <w:lang w:val="es-MX"/>
        </w:rPr>
        <w:lastRenderedPageBreak/>
        <w:t>Factores como el aceptable desempeño de la actividad económica mundial y de los principales socios comerciales, los precios internacionales de las materias primas y la tendencia general de los precios que se mantienen dentro de la meta de inflación, incidieron en la decisión de la Junta Monetaria de mantener el nivel de la tasa de interés líder de política monetaria en 3.25%.</w:t>
      </w:r>
    </w:p>
    <w:p w:rsidR="00355694" w:rsidRDefault="00355694" w:rsidP="00D041CE">
      <w:pPr>
        <w:spacing w:after="0" w:line="240" w:lineRule="auto"/>
        <w:jc w:val="both"/>
        <w:rPr>
          <w:rFonts w:ascii="Times New Roman" w:hAnsi="Times New Roman" w:cs="Times New Roman"/>
          <w:lang w:val="es-MX"/>
        </w:rPr>
      </w:pPr>
    </w:p>
    <w:p w:rsidR="00355694" w:rsidRDefault="00355694" w:rsidP="00D041CE">
      <w:pPr>
        <w:spacing w:after="0" w:line="240" w:lineRule="auto"/>
        <w:jc w:val="both"/>
        <w:rPr>
          <w:rFonts w:ascii="Times New Roman" w:hAnsi="Times New Roman" w:cs="Times New Roman"/>
          <w:lang w:val="es-MX"/>
        </w:rPr>
        <w:sectPr w:rsidR="00355694" w:rsidSect="00D041CE">
          <w:type w:val="continuous"/>
          <w:pgSz w:w="12240" w:h="15840"/>
          <w:pgMar w:top="1417" w:right="1467" w:bottom="1417" w:left="1701" w:header="680" w:footer="708" w:gutter="0"/>
          <w:cols w:num="2" w:space="708"/>
          <w:docGrid w:linePitch="360"/>
        </w:sectPr>
      </w:pPr>
    </w:p>
    <w:p w:rsidR="008F73B7" w:rsidRDefault="008F73B7" w:rsidP="00D041CE">
      <w:pPr>
        <w:pStyle w:val="Prrafodelista"/>
        <w:spacing w:after="0" w:line="240" w:lineRule="auto"/>
        <w:ind w:left="0"/>
        <w:rPr>
          <w:rFonts w:cs="Times New Roman"/>
          <w:color w:val="FF0000"/>
          <w:lang w:val="es-MX"/>
        </w:rPr>
      </w:pPr>
    </w:p>
    <w:p w:rsidR="008910B5" w:rsidRPr="0015623C" w:rsidRDefault="008910B5" w:rsidP="00D041CE">
      <w:pPr>
        <w:pStyle w:val="Prrafodelista"/>
        <w:spacing w:after="0" w:line="240" w:lineRule="auto"/>
        <w:ind w:left="0"/>
        <w:rPr>
          <w:rFonts w:cs="Times New Roman"/>
          <w:color w:val="FF0000"/>
          <w:lang w:val="es-MX"/>
        </w:rPr>
        <w:sectPr w:rsidR="008910B5" w:rsidRPr="0015623C" w:rsidSect="00D701DF">
          <w:headerReference w:type="even" r:id="rId32"/>
          <w:headerReference w:type="default" r:id="rId33"/>
          <w:footerReference w:type="even" r:id="rId34"/>
          <w:footerReference w:type="default" r:id="rId35"/>
          <w:headerReference w:type="first" r:id="rId36"/>
          <w:footerReference w:type="first" r:id="rId37"/>
          <w:type w:val="continuous"/>
          <w:pgSz w:w="12240" w:h="15840"/>
          <w:pgMar w:top="1417" w:right="1467" w:bottom="1417" w:left="1276" w:header="680" w:footer="708" w:gutter="0"/>
          <w:cols w:space="708"/>
          <w:docGrid w:linePitch="360"/>
        </w:sectPr>
      </w:pPr>
    </w:p>
    <w:p w:rsidR="004056AF" w:rsidRPr="0040082A" w:rsidRDefault="00CC22ED" w:rsidP="00D041CE">
      <w:pPr>
        <w:spacing w:after="0" w:line="240" w:lineRule="auto"/>
        <w:jc w:val="both"/>
        <w:rPr>
          <w:color w:val="FF0000"/>
        </w:rPr>
      </w:pPr>
      <w:r w:rsidRPr="007901D4">
        <w:rPr>
          <w:rFonts w:ascii="Times New Roman" w:hAnsi="Times New Roman" w:cs="Times New Roman"/>
          <w:lang w:val="es-MX"/>
        </w:rPr>
        <w:lastRenderedPageBreak/>
        <w:t xml:space="preserve">  </w:t>
      </w:r>
    </w:p>
    <w:sectPr w:rsidR="004056AF" w:rsidRPr="0040082A" w:rsidSect="008910B5">
      <w:type w:val="continuous"/>
      <w:pgSz w:w="12240" w:h="15840"/>
      <w:pgMar w:top="1417" w:right="1467" w:bottom="1417" w:left="1276"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BEC" w:rsidRDefault="00767BEC" w:rsidP="00A6098E">
      <w:pPr>
        <w:spacing w:after="0" w:line="240" w:lineRule="auto"/>
      </w:pPr>
      <w:r>
        <w:separator/>
      </w:r>
    </w:p>
  </w:endnote>
  <w:endnote w:type="continuationSeparator" w:id="0">
    <w:p w:rsidR="00767BEC" w:rsidRDefault="00767BEC" w:rsidP="00A60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646013"/>
      <w:docPartObj>
        <w:docPartGallery w:val="Page Numbers (Bottom of Page)"/>
        <w:docPartUnique/>
      </w:docPartObj>
    </w:sdtPr>
    <w:sdtEndPr>
      <w:rPr>
        <w:rFonts w:ascii="Times New Roman" w:hAnsi="Times New Roman"/>
        <w:color w:val="4F81BD" w:themeColor="accent1"/>
        <w:sz w:val="20"/>
        <w:szCs w:val="20"/>
      </w:rPr>
    </w:sdtEndPr>
    <w:sdtContent>
      <w:p w:rsidR="00052EE7" w:rsidRDefault="00052EE7" w:rsidP="00A46956">
        <w:pPr>
          <w:pStyle w:val="Encabezado"/>
          <w:jc w:val="right"/>
        </w:pPr>
      </w:p>
      <w:p w:rsidR="00052EE7" w:rsidRDefault="00052EE7" w:rsidP="00A46956">
        <w:pPr>
          <w:pStyle w:val="Encabezado"/>
          <w:jc w:val="right"/>
          <w:rPr>
            <w:rFonts w:ascii="Times New Roman" w:hAnsi="Times New Roman"/>
            <w:color w:val="4F81BD" w:themeColor="accent1"/>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86912" behindDoc="0" locked="0" layoutInCell="1" allowOverlap="1" wp14:anchorId="3D060B67" wp14:editId="2BF03800">
                  <wp:simplePos x="0" y="0"/>
                  <wp:positionH relativeFrom="column">
                    <wp:posOffset>1663700</wp:posOffset>
                  </wp:positionH>
                  <wp:positionV relativeFrom="paragraph">
                    <wp:posOffset>-7620</wp:posOffset>
                  </wp:positionV>
                  <wp:extent cx="4010025" cy="0"/>
                  <wp:effectExtent l="0" t="0" r="9525" b="19050"/>
                  <wp:wrapNone/>
                  <wp:docPr id="5"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F07C0DE" id="6 Conector recto"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1pt,-.6pt" to="44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snDAIAABw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" strokecolor="#4579b8">
                  <o:lock v:ext="edit" shapetype="f"/>
                </v:line>
              </w:pict>
            </mc:Fallback>
          </mc:AlternateContent>
        </w:r>
        <w:r w:rsidRPr="00BA1004">
          <w:rPr>
            <w:rFonts w:ascii="Times New Roman" w:hAnsi="Times New Roman"/>
            <w:color w:val="0F243E" w:themeColor="text2" w:themeShade="80"/>
            <w:sz w:val="20"/>
            <w:szCs w:val="20"/>
          </w:rPr>
          <w:t>Dirección de Análisis y Política Fiscal</w:t>
        </w:r>
        <w:r w:rsidRPr="00B91C2D">
          <w:rPr>
            <w:rFonts w:ascii="Times New Roman" w:hAnsi="Times New Roman"/>
            <w:color w:val="4F81BD" w:themeColor="accent1"/>
            <w:sz w:val="20"/>
            <w:szCs w:val="20"/>
          </w:rPr>
          <w:t xml:space="preserve"> </w:t>
        </w:r>
      </w:p>
    </w:sdtContent>
  </w:sdt>
  <w:p w:rsidR="00052EE7" w:rsidRPr="007A041E" w:rsidRDefault="00052EE7" w:rsidP="007A041E">
    <w:pPr>
      <w:pStyle w:val="Piedepgina"/>
      <w:jc w:val="right"/>
      <w:rPr>
        <w:rFonts w:ascii="Times New Roman" w:hAnsi="Times New Roman"/>
        <w:color w:val="4F81BD" w:themeColor="accent1"/>
        <w:sz w:val="20"/>
        <w:szCs w:val="20"/>
      </w:rPr>
    </w:pPr>
    <w:r w:rsidRPr="002068BB">
      <w:rPr>
        <w:rFonts w:ascii="Times New Roman" w:hAnsi="Times New Roman"/>
        <w:b/>
        <w:color w:val="4F81BD" w:themeColor="accent1"/>
        <w:sz w:val="20"/>
        <w:szCs w:val="20"/>
      </w:rPr>
      <w:t>Página</w:t>
    </w:r>
    <w:r>
      <w:rPr>
        <w:rFonts w:ascii="Times New Roman" w:hAnsi="Times New Roman"/>
        <w:b/>
        <w:color w:val="4F81BD" w:themeColor="accent1"/>
        <w:sz w:val="20"/>
        <w:szCs w:val="20"/>
      </w:rPr>
      <w:t xml:space="preserve"> </w:t>
    </w:r>
    <w:r w:rsidRPr="002068BB">
      <w:rPr>
        <w:rFonts w:ascii="Times New Roman" w:hAnsi="Times New Roman"/>
        <w:b/>
        <w:color w:val="4F81BD" w:themeColor="accent1"/>
        <w:sz w:val="20"/>
        <w:szCs w:val="20"/>
      </w:rPr>
      <w:fldChar w:fldCharType="begin"/>
    </w:r>
    <w:r w:rsidRPr="002068BB">
      <w:rPr>
        <w:rFonts w:ascii="Times New Roman" w:hAnsi="Times New Roman"/>
        <w:b/>
        <w:color w:val="4F81BD" w:themeColor="accent1"/>
        <w:sz w:val="20"/>
        <w:szCs w:val="20"/>
      </w:rPr>
      <w:instrText>PAGE   \* MERGEFORMAT</w:instrText>
    </w:r>
    <w:r w:rsidRPr="002068BB">
      <w:rPr>
        <w:rFonts w:ascii="Times New Roman" w:hAnsi="Times New Roman"/>
        <w:b/>
        <w:color w:val="4F81BD" w:themeColor="accent1"/>
        <w:sz w:val="20"/>
        <w:szCs w:val="20"/>
      </w:rPr>
      <w:fldChar w:fldCharType="separate"/>
    </w:r>
    <w:r w:rsidR="00DF2340">
      <w:rPr>
        <w:rFonts w:ascii="Times New Roman" w:hAnsi="Times New Roman"/>
        <w:b/>
        <w:noProof/>
        <w:color w:val="4F81BD" w:themeColor="accent1"/>
        <w:sz w:val="20"/>
        <w:szCs w:val="20"/>
      </w:rPr>
      <w:t>4</w:t>
    </w:r>
    <w:r w:rsidRPr="002068BB">
      <w:rPr>
        <w:rFonts w:ascii="Times New Roman" w:hAnsi="Times New Roman"/>
        <w:b/>
        <w:color w:val="4F81BD" w:themeColor="accent1"/>
        <w:sz w:val="20"/>
        <w:szCs w:val="20"/>
      </w:rPr>
      <w:fldChar w:fldCharType="end"/>
    </w:r>
    <w:r>
      <w:rPr>
        <w:rFonts w:ascii="Times New Roman" w:hAnsi="Times New Roman"/>
        <w:color w:val="4F81BD" w:themeColor="accent1"/>
        <w:sz w:val="20"/>
        <w:szCs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445985"/>
      <w:docPartObj>
        <w:docPartGallery w:val="Page Numbers (Bottom of Page)"/>
        <w:docPartUnique/>
      </w:docPartObj>
    </w:sdtPr>
    <w:sdtEndPr>
      <w:rPr>
        <w:rFonts w:ascii="Times New Roman" w:hAnsi="Times New Roman"/>
        <w:color w:val="4F81BD" w:themeColor="accent1"/>
        <w:sz w:val="20"/>
        <w:szCs w:val="20"/>
      </w:rPr>
    </w:sdtEndPr>
    <w:sdtContent>
      <w:p w:rsidR="007A041E" w:rsidRDefault="007A041E" w:rsidP="00A46956">
        <w:pPr>
          <w:pStyle w:val="Encabezado"/>
          <w:jc w:val="right"/>
        </w:pPr>
      </w:p>
      <w:p w:rsidR="004B2DD6" w:rsidRDefault="004B2DD6" w:rsidP="00A46956">
        <w:pPr>
          <w:pStyle w:val="Encabezado"/>
          <w:jc w:val="right"/>
          <w:rPr>
            <w:rFonts w:ascii="Times New Roman" w:hAnsi="Times New Roman"/>
            <w:color w:val="4F81BD" w:themeColor="accent1"/>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63360" behindDoc="0" locked="0" layoutInCell="1" allowOverlap="1" wp14:anchorId="000F7B49" wp14:editId="6CF93F10">
                  <wp:simplePos x="0" y="0"/>
                  <wp:positionH relativeFrom="column">
                    <wp:posOffset>1663700</wp:posOffset>
                  </wp:positionH>
                  <wp:positionV relativeFrom="paragraph">
                    <wp:posOffset>-7620</wp:posOffset>
                  </wp:positionV>
                  <wp:extent cx="4010025" cy="0"/>
                  <wp:effectExtent l="0" t="0" r="9525" b="19050"/>
                  <wp:wrapNone/>
                  <wp:docPr id="8"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F0F7C71" id="6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1pt,-.6pt" to="44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9kGDAIAABw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" strokecolor="#4579b8">
                  <o:lock v:ext="edit" shapetype="f"/>
                </v:line>
              </w:pict>
            </mc:Fallback>
          </mc:AlternateContent>
        </w:r>
        <w:r w:rsidRPr="00BA1004">
          <w:rPr>
            <w:rFonts w:ascii="Times New Roman" w:hAnsi="Times New Roman"/>
            <w:color w:val="0F243E" w:themeColor="text2" w:themeShade="80"/>
            <w:sz w:val="20"/>
            <w:szCs w:val="20"/>
          </w:rPr>
          <w:t>Dirección de Análisis y Política Fiscal</w:t>
        </w:r>
        <w:r w:rsidRPr="00B91C2D">
          <w:rPr>
            <w:rFonts w:ascii="Times New Roman" w:hAnsi="Times New Roman"/>
            <w:color w:val="4F81BD" w:themeColor="accent1"/>
            <w:sz w:val="20"/>
            <w:szCs w:val="20"/>
          </w:rPr>
          <w:t xml:space="preserve"> </w:t>
        </w:r>
      </w:p>
    </w:sdtContent>
  </w:sdt>
  <w:p w:rsidR="004B2DD6" w:rsidRPr="007A041E" w:rsidRDefault="004B2DD6" w:rsidP="007A041E">
    <w:pPr>
      <w:pStyle w:val="Piedepgina"/>
      <w:jc w:val="right"/>
      <w:rPr>
        <w:rFonts w:ascii="Times New Roman" w:hAnsi="Times New Roman"/>
        <w:color w:val="4F81BD" w:themeColor="accent1"/>
        <w:sz w:val="20"/>
        <w:szCs w:val="20"/>
      </w:rPr>
    </w:pPr>
    <w:r w:rsidRPr="002068BB">
      <w:rPr>
        <w:rFonts w:ascii="Times New Roman" w:hAnsi="Times New Roman"/>
        <w:b/>
        <w:color w:val="4F81BD" w:themeColor="accent1"/>
        <w:sz w:val="20"/>
        <w:szCs w:val="20"/>
      </w:rPr>
      <w:t>Página</w:t>
    </w:r>
    <w:r>
      <w:rPr>
        <w:rFonts w:ascii="Times New Roman" w:hAnsi="Times New Roman"/>
        <w:b/>
        <w:color w:val="4F81BD" w:themeColor="accent1"/>
        <w:sz w:val="20"/>
        <w:szCs w:val="20"/>
      </w:rPr>
      <w:t xml:space="preserve"> </w:t>
    </w:r>
    <w:r w:rsidRPr="002068BB">
      <w:rPr>
        <w:rFonts w:ascii="Times New Roman" w:hAnsi="Times New Roman"/>
        <w:b/>
        <w:color w:val="4F81BD" w:themeColor="accent1"/>
        <w:sz w:val="20"/>
        <w:szCs w:val="20"/>
      </w:rPr>
      <w:fldChar w:fldCharType="begin"/>
    </w:r>
    <w:r w:rsidRPr="002068BB">
      <w:rPr>
        <w:rFonts w:ascii="Times New Roman" w:hAnsi="Times New Roman"/>
        <w:b/>
        <w:color w:val="4F81BD" w:themeColor="accent1"/>
        <w:sz w:val="20"/>
        <w:szCs w:val="20"/>
      </w:rPr>
      <w:instrText>PAGE   \* MERGEFORMAT</w:instrText>
    </w:r>
    <w:r w:rsidRPr="002068BB">
      <w:rPr>
        <w:rFonts w:ascii="Times New Roman" w:hAnsi="Times New Roman"/>
        <w:b/>
        <w:color w:val="4F81BD" w:themeColor="accent1"/>
        <w:sz w:val="20"/>
        <w:szCs w:val="20"/>
      </w:rPr>
      <w:fldChar w:fldCharType="separate"/>
    </w:r>
    <w:r w:rsidR="00D041CE">
      <w:rPr>
        <w:rFonts w:ascii="Times New Roman" w:hAnsi="Times New Roman"/>
        <w:b/>
        <w:noProof/>
        <w:color w:val="4F81BD" w:themeColor="accent1"/>
        <w:sz w:val="20"/>
        <w:szCs w:val="20"/>
      </w:rPr>
      <w:t>4</w:t>
    </w:r>
    <w:r w:rsidRPr="002068BB">
      <w:rPr>
        <w:rFonts w:ascii="Times New Roman" w:hAnsi="Times New Roman"/>
        <w:b/>
        <w:color w:val="4F81BD" w:themeColor="accent1"/>
        <w:sz w:val="20"/>
        <w:szCs w:val="20"/>
      </w:rPr>
      <w:fldChar w:fldCharType="end"/>
    </w:r>
    <w:r>
      <w:rPr>
        <w:rFonts w:ascii="Times New Roman" w:hAnsi="Times New Roman"/>
        <w:color w:val="4F81BD" w:themeColor="accent1"/>
        <w:sz w:val="20"/>
        <w:szCs w:val="20"/>
      </w:rPr>
      <w:t xml:space="preserve">  </w:t>
    </w:r>
  </w:p>
  <w:p w:rsidR="00D13827" w:rsidRDefault="00D1382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0B5" w:rsidRDefault="008910B5">
    <w:pPr>
      <w:pStyle w:val="Piedepgina"/>
    </w:pPr>
  </w:p>
  <w:p w:rsidR="008910B5" w:rsidRDefault="008910B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644389"/>
      <w:docPartObj>
        <w:docPartGallery w:val="Page Numbers (Bottom of Page)"/>
        <w:docPartUnique/>
      </w:docPartObj>
    </w:sdtPr>
    <w:sdtEndPr>
      <w:rPr>
        <w:rFonts w:ascii="Times New Roman" w:hAnsi="Times New Roman" w:cs="Times New Roman"/>
        <w:color w:val="4F81BD" w:themeColor="accent1"/>
        <w:sz w:val="20"/>
        <w:szCs w:val="20"/>
      </w:rPr>
    </w:sdtEndPr>
    <w:sdtContent>
      <w:p w:rsidR="008910B5" w:rsidRPr="007A041E" w:rsidRDefault="008910B5" w:rsidP="007A041E">
        <w:pPr>
          <w:pStyle w:val="Encabezado"/>
          <w:rPr>
            <w:sz w:val="2"/>
            <w:szCs w:val="2"/>
          </w:rPr>
        </w:pPr>
      </w:p>
      <w:p w:rsidR="008910B5" w:rsidRPr="005D13A6" w:rsidRDefault="008910B5" w:rsidP="00017573">
        <w:pPr>
          <w:pStyle w:val="Encabezado"/>
          <w:ind w:right="-93"/>
          <w:jc w:val="right"/>
          <w:rPr>
            <w:rFonts w:ascii="Times New Roman" w:hAnsi="Times New Roman" w:cs="Times New Roman"/>
            <w:color w:val="4F81BD" w:themeColor="accent1"/>
            <w:sz w:val="20"/>
            <w:szCs w:val="20"/>
          </w:rPr>
        </w:pPr>
        <w:r w:rsidRPr="005D13A6">
          <w:rPr>
            <w:rFonts w:ascii="Times New Roman" w:hAnsi="Times New Roman" w:cs="Times New Roman"/>
            <w:noProof/>
            <w:color w:val="0F243E" w:themeColor="text2" w:themeShade="80"/>
            <w:lang w:eastAsia="es-GT"/>
          </w:rPr>
          <mc:AlternateContent>
            <mc:Choice Requires="wps">
              <w:drawing>
                <wp:anchor distT="4294967295" distB="4294967295" distL="114300" distR="114300" simplePos="0" relativeHeight="251693056" behindDoc="0" locked="0" layoutInCell="1" allowOverlap="1" wp14:anchorId="6117FB89" wp14:editId="70198E82">
                  <wp:simplePos x="0" y="0"/>
                  <wp:positionH relativeFrom="column">
                    <wp:posOffset>1851025</wp:posOffset>
                  </wp:positionH>
                  <wp:positionV relativeFrom="paragraph">
                    <wp:posOffset>-7620</wp:posOffset>
                  </wp:positionV>
                  <wp:extent cx="4010025" cy="0"/>
                  <wp:effectExtent l="0" t="0" r="9525" b="19050"/>
                  <wp:wrapNone/>
                  <wp:docPr id="12"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AB96C3E" id="6 Conector recto"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5.75pt,-.6pt" to="46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7YDQIAAB0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" strokecolor="#4579b8">
                  <o:lock v:ext="edit" shapetype="f"/>
                </v:line>
              </w:pict>
            </mc:Fallback>
          </mc:AlternateContent>
        </w:r>
        <w:r w:rsidRPr="005D13A6">
          <w:rPr>
            <w:rFonts w:ascii="Times New Roman" w:hAnsi="Times New Roman" w:cs="Times New Roman"/>
            <w:color w:val="0F243E" w:themeColor="text2" w:themeShade="80"/>
            <w:sz w:val="20"/>
            <w:szCs w:val="20"/>
          </w:rPr>
          <w:t>Dirección de Análisis y Política Fiscal</w:t>
        </w:r>
        <w:r w:rsidRPr="005D13A6">
          <w:rPr>
            <w:rFonts w:ascii="Times New Roman" w:hAnsi="Times New Roman" w:cs="Times New Roman"/>
            <w:color w:val="4F81BD" w:themeColor="accent1"/>
            <w:sz w:val="20"/>
            <w:szCs w:val="20"/>
          </w:rPr>
          <w:t xml:space="preserve"> </w:t>
        </w:r>
      </w:p>
    </w:sdtContent>
  </w:sdt>
  <w:p w:rsidR="008910B5" w:rsidRPr="007A041E" w:rsidRDefault="008910B5" w:rsidP="00017573">
    <w:pPr>
      <w:pStyle w:val="Piedepgina"/>
      <w:ind w:right="-93"/>
      <w:jc w:val="right"/>
      <w:rPr>
        <w:rFonts w:ascii="Times New Roman" w:hAnsi="Times New Roman" w:cs="Times New Roman"/>
        <w:color w:val="4F81BD" w:themeColor="accent1"/>
        <w:sz w:val="20"/>
        <w:szCs w:val="20"/>
      </w:rPr>
    </w:pPr>
    <w:r w:rsidRPr="005D13A6">
      <w:rPr>
        <w:rFonts w:ascii="Times New Roman" w:hAnsi="Times New Roman" w:cs="Times New Roman"/>
        <w:b/>
        <w:color w:val="4F81BD" w:themeColor="accent1"/>
        <w:sz w:val="20"/>
        <w:szCs w:val="20"/>
      </w:rPr>
      <w:t xml:space="preserve">Página </w:t>
    </w:r>
    <w:r w:rsidRPr="005D13A6">
      <w:rPr>
        <w:rFonts w:ascii="Times New Roman" w:hAnsi="Times New Roman" w:cs="Times New Roman"/>
        <w:b/>
        <w:color w:val="4F81BD" w:themeColor="accent1"/>
        <w:sz w:val="20"/>
        <w:szCs w:val="20"/>
      </w:rPr>
      <w:fldChar w:fldCharType="begin"/>
    </w:r>
    <w:r w:rsidRPr="005D13A6">
      <w:rPr>
        <w:rFonts w:ascii="Times New Roman" w:hAnsi="Times New Roman" w:cs="Times New Roman"/>
        <w:b/>
        <w:color w:val="4F81BD" w:themeColor="accent1"/>
        <w:sz w:val="20"/>
        <w:szCs w:val="20"/>
      </w:rPr>
      <w:instrText>PAGE   \* MERGEFORMAT</w:instrText>
    </w:r>
    <w:r w:rsidRPr="005D13A6">
      <w:rPr>
        <w:rFonts w:ascii="Times New Roman" w:hAnsi="Times New Roman" w:cs="Times New Roman"/>
        <w:b/>
        <w:color w:val="4F81BD" w:themeColor="accent1"/>
        <w:sz w:val="20"/>
        <w:szCs w:val="20"/>
      </w:rPr>
      <w:fldChar w:fldCharType="separate"/>
    </w:r>
    <w:r w:rsidR="00DF2340">
      <w:rPr>
        <w:rFonts w:ascii="Times New Roman" w:hAnsi="Times New Roman" w:cs="Times New Roman"/>
        <w:b/>
        <w:noProof/>
        <w:color w:val="4F81BD" w:themeColor="accent1"/>
        <w:sz w:val="20"/>
        <w:szCs w:val="20"/>
      </w:rPr>
      <w:t>6</w:t>
    </w:r>
    <w:r w:rsidRPr="005D13A6">
      <w:rPr>
        <w:rFonts w:ascii="Times New Roman" w:hAnsi="Times New Roman" w:cs="Times New Roman"/>
        <w:b/>
        <w:color w:val="4F81BD" w:themeColor="accent1"/>
        <w:sz w:val="20"/>
        <w:szCs w:val="20"/>
      </w:rPr>
      <w:fldChar w:fldCharType="end"/>
    </w:r>
    <w:r>
      <w:rPr>
        <w:rFonts w:ascii="Times New Roman" w:hAnsi="Times New Roman" w:cs="Times New Roman"/>
        <w:color w:val="4F81BD" w:themeColor="accent1"/>
        <w:sz w:val="20"/>
        <w:szCs w:val="20"/>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0B5" w:rsidRDefault="008910B5">
    <w:pPr>
      <w:pStyle w:val="Piedepgin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03776"/>
      <w:docPartObj>
        <w:docPartGallery w:val="Page Numbers (Bottom of Page)"/>
        <w:docPartUnique/>
      </w:docPartObj>
    </w:sdtPr>
    <w:sdtEndPr>
      <w:rPr>
        <w:rFonts w:ascii="Times New Roman" w:hAnsi="Times New Roman"/>
        <w:color w:val="4F81BD" w:themeColor="accent1"/>
        <w:sz w:val="20"/>
        <w:szCs w:val="20"/>
      </w:rPr>
    </w:sdtEndPr>
    <w:sdtContent>
      <w:p w:rsidR="00734097" w:rsidRDefault="00734097" w:rsidP="00A46956">
        <w:pPr>
          <w:pStyle w:val="Encabezado"/>
          <w:jc w:val="right"/>
        </w:pPr>
      </w:p>
      <w:p w:rsidR="00734097" w:rsidRDefault="00734097" w:rsidP="00A46956">
        <w:pPr>
          <w:pStyle w:val="Encabezado"/>
          <w:jc w:val="right"/>
          <w:rPr>
            <w:rFonts w:ascii="Times New Roman" w:hAnsi="Times New Roman"/>
            <w:color w:val="4F81BD" w:themeColor="accent1"/>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91008" behindDoc="0" locked="0" layoutInCell="1" allowOverlap="1" wp14:anchorId="7AD52F56" wp14:editId="5F85DF11">
                  <wp:simplePos x="0" y="0"/>
                  <wp:positionH relativeFrom="column">
                    <wp:posOffset>1663700</wp:posOffset>
                  </wp:positionH>
                  <wp:positionV relativeFrom="paragraph">
                    <wp:posOffset>-7620</wp:posOffset>
                  </wp:positionV>
                  <wp:extent cx="4010025" cy="0"/>
                  <wp:effectExtent l="0" t="0" r="9525" b="19050"/>
                  <wp:wrapNone/>
                  <wp:docPr id="30"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97B890E" id="6 Conector recto"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1pt,-.6pt" to="44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" strokecolor="#4579b8">
                  <o:lock v:ext="edit" shapetype="f"/>
                </v:line>
              </w:pict>
            </mc:Fallback>
          </mc:AlternateContent>
        </w:r>
        <w:r w:rsidRPr="00BA1004">
          <w:rPr>
            <w:rFonts w:ascii="Times New Roman" w:hAnsi="Times New Roman"/>
            <w:color w:val="0F243E" w:themeColor="text2" w:themeShade="80"/>
            <w:sz w:val="20"/>
            <w:szCs w:val="20"/>
          </w:rPr>
          <w:t>Dirección de Análisis y Política Fiscal</w:t>
        </w:r>
        <w:r w:rsidRPr="00B91C2D">
          <w:rPr>
            <w:rFonts w:ascii="Times New Roman" w:hAnsi="Times New Roman"/>
            <w:color w:val="4F81BD" w:themeColor="accent1"/>
            <w:sz w:val="20"/>
            <w:szCs w:val="20"/>
          </w:rPr>
          <w:t xml:space="preserve"> </w:t>
        </w:r>
      </w:p>
    </w:sdtContent>
  </w:sdt>
  <w:p w:rsidR="00734097" w:rsidRPr="007A041E" w:rsidRDefault="00734097" w:rsidP="007A041E">
    <w:pPr>
      <w:pStyle w:val="Piedepgina"/>
      <w:jc w:val="right"/>
      <w:rPr>
        <w:rFonts w:ascii="Times New Roman" w:hAnsi="Times New Roman"/>
        <w:color w:val="4F81BD" w:themeColor="accent1"/>
        <w:sz w:val="20"/>
        <w:szCs w:val="20"/>
      </w:rPr>
    </w:pPr>
    <w:r w:rsidRPr="002068BB">
      <w:rPr>
        <w:rFonts w:ascii="Times New Roman" w:hAnsi="Times New Roman"/>
        <w:b/>
        <w:color w:val="4F81BD" w:themeColor="accent1"/>
        <w:sz w:val="20"/>
        <w:szCs w:val="20"/>
      </w:rPr>
      <w:t>Página</w:t>
    </w:r>
    <w:r>
      <w:rPr>
        <w:rFonts w:ascii="Times New Roman" w:hAnsi="Times New Roman"/>
        <w:b/>
        <w:color w:val="4F81BD" w:themeColor="accent1"/>
        <w:sz w:val="20"/>
        <w:szCs w:val="20"/>
      </w:rPr>
      <w:t xml:space="preserve"> </w:t>
    </w:r>
    <w:r w:rsidRPr="002068BB">
      <w:rPr>
        <w:rFonts w:ascii="Times New Roman" w:hAnsi="Times New Roman"/>
        <w:b/>
        <w:color w:val="4F81BD" w:themeColor="accent1"/>
        <w:sz w:val="20"/>
        <w:szCs w:val="20"/>
      </w:rPr>
      <w:fldChar w:fldCharType="begin"/>
    </w:r>
    <w:r w:rsidRPr="002068BB">
      <w:rPr>
        <w:rFonts w:ascii="Times New Roman" w:hAnsi="Times New Roman"/>
        <w:b/>
        <w:color w:val="4F81BD" w:themeColor="accent1"/>
        <w:sz w:val="20"/>
        <w:szCs w:val="20"/>
      </w:rPr>
      <w:instrText>PAGE   \* MERGEFORMAT</w:instrText>
    </w:r>
    <w:r w:rsidRPr="002068BB">
      <w:rPr>
        <w:rFonts w:ascii="Times New Roman" w:hAnsi="Times New Roman"/>
        <w:b/>
        <w:color w:val="4F81BD" w:themeColor="accent1"/>
        <w:sz w:val="20"/>
        <w:szCs w:val="20"/>
      </w:rPr>
      <w:fldChar w:fldCharType="separate"/>
    </w:r>
    <w:r w:rsidR="00DF2340">
      <w:rPr>
        <w:rFonts w:ascii="Times New Roman" w:hAnsi="Times New Roman"/>
        <w:b/>
        <w:noProof/>
        <w:color w:val="4F81BD" w:themeColor="accent1"/>
        <w:sz w:val="20"/>
        <w:szCs w:val="20"/>
      </w:rPr>
      <w:t>9</w:t>
    </w:r>
    <w:r w:rsidRPr="002068BB">
      <w:rPr>
        <w:rFonts w:ascii="Times New Roman" w:hAnsi="Times New Roman"/>
        <w:b/>
        <w:color w:val="4F81BD" w:themeColor="accent1"/>
        <w:sz w:val="20"/>
        <w:szCs w:val="20"/>
      </w:rPr>
      <w:fldChar w:fldCharType="end"/>
    </w:r>
    <w:r>
      <w:rPr>
        <w:rFonts w:ascii="Times New Roman" w:hAnsi="Times New Roman"/>
        <w:color w:val="4F81BD" w:themeColor="accent1"/>
        <w:sz w:val="20"/>
        <w:szCs w:val="20"/>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Default="004B2DD6">
    <w:pPr>
      <w:pStyle w:val="Piedepgina"/>
    </w:pPr>
  </w:p>
  <w:p w:rsidR="004B2DD6" w:rsidRDefault="004B2DD6"/>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393937"/>
      <w:docPartObj>
        <w:docPartGallery w:val="Page Numbers (Bottom of Page)"/>
        <w:docPartUnique/>
      </w:docPartObj>
    </w:sdtPr>
    <w:sdtEndPr>
      <w:rPr>
        <w:rFonts w:ascii="Times New Roman" w:hAnsi="Times New Roman" w:cs="Times New Roman"/>
        <w:color w:val="4F81BD" w:themeColor="accent1"/>
        <w:sz w:val="20"/>
        <w:szCs w:val="20"/>
      </w:rPr>
    </w:sdtEndPr>
    <w:sdtContent>
      <w:p w:rsidR="007A041E" w:rsidRPr="007A041E" w:rsidRDefault="007A041E" w:rsidP="007A041E">
        <w:pPr>
          <w:pStyle w:val="Encabezado"/>
          <w:rPr>
            <w:sz w:val="2"/>
            <w:szCs w:val="2"/>
          </w:rPr>
        </w:pPr>
      </w:p>
      <w:p w:rsidR="004B2DD6" w:rsidRPr="005D13A6" w:rsidRDefault="004B2DD6" w:rsidP="00017573">
        <w:pPr>
          <w:pStyle w:val="Encabezado"/>
          <w:ind w:right="-93"/>
          <w:jc w:val="right"/>
          <w:rPr>
            <w:rFonts w:ascii="Times New Roman" w:hAnsi="Times New Roman" w:cs="Times New Roman"/>
            <w:color w:val="4F81BD" w:themeColor="accent1"/>
            <w:sz w:val="20"/>
            <w:szCs w:val="20"/>
          </w:rPr>
        </w:pPr>
        <w:r w:rsidRPr="005D13A6">
          <w:rPr>
            <w:rFonts w:ascii="Times New Roman" w:hAnsi="Times New Roman" w:cs="Times New Roman"/>
            <w:noProof/>
            <w:color w:val="0F243E" w:themeColor="text2" w:themeShade="80"/>
            <w:lang w:eastAsia="es-GT"/>
          </w:rPr>
          <mc:AlternateContent>
            <mc:Choice Requires="wps">
              <w:drawing>
                <wp:anchor distT="4294967295" distB="4294967295" distL="114300" distR="114300" simplePos="0" relativeHeight="251671552" behindDoc="0" locked="0" layoutInCell="1" allowOverlap="1" wp14:anchorId="6ADB00F9" wp14:editId="6EC135FB">
                  <wp:simplePos x="0" y="0"/>
                  <wp:positionH relativeFrom="column">
                    <wp:posOffset>1851025</wp:posOffset>
                  </wp:positionH>
                  <wp:positionV relativeFrom="paragraph">
                    <wp:posOffset>-7620</wp:posOffset>
                  </wp:positionV>
                  <wp:extent cx="4010025" cy="0"/>
                  <wp:effectExtent l="0" t="0" r="9525" b="19050"/>
                  <wp:wrapNone/>
                  <wp:docPr id="28"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D2CA590" id="6 Conector recto"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5.75pt,-.6pt" to="46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TTyDQIAAB0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" strokecolor="#4579b8">
                  <o:lock v:ext="edit" shapetype="f"/>
                </v:line>
              </w:pict>
            </mc:Fallback>
          </mc:AlternateContent>
        </w:r>
        <w:r w:rsidRPr="005D13A6">
          <w:rPr>
            <w:rFonts w:ascii="Times New Roman" w:hAnsi="Times New Roman" w:cs="Times New Roman"/>
            <w:color w:val="0F243E" w:themeColor="text2" w:themeShade="80"/>
            <w:sz w:val="20"/>
            <w:szCs w:val="20"/>
          </w:rPr>
          <w:t>Dirección de Análisis y Política Fiscal</w:t>
        </w:r>
        <w:r w:rsidRPr="005D13A6">
          <w:rPr>
            <w:rFonts w:ascii="Times New Roman" w:hAnsi="Times New Roman" w:cs="Times New Roman"/>
            <w:color w:val="4F81BD" w:themeColor="accent1"/>
            <w:sz w:val="20"/>
            <w:szCs w:val="20"/>
          </w:rPr>
          <w:t xml:space="preserve"> </w:t>
        </w:r>
      </w:p>
    </w:sdtContent>
  </w:sdt>
  <w:p w:rsidR="004B2DD6" w:rsidRPr="007A041E" w:rsidRDefault="004B2DD6" w:rsidP="00017573">
    <w:pPr>
      <w:pStyle w:val="Piedepgina"/>
      <w:ind w:right="-93"/>
      <w:jc w:val="right"/>
      <w:rPr>
        <w:rFonts w:ascii="Times New Roman" w:hAnsi="Times New Roman" w:cs="Times New Roman"/>
        <w:color w:val="4F81BD" w:themeColor="accent1"/>
        <w:sz w:val="20"/>
        <w:szCs w:val="20"/>
      </w:rPr>
    </w:pPr>
    <w:r w:rsidRPr="005D13A6">
      <w:rPr>
        <w:rFonts w:ascii="Times New Roman" w:hAnsi="Times New Roman" w:cs="Times New Roman"/>
        <w:b/>
        <w:color w:val="4F81BD" w:themeColor="accent1"/>
        <w:sz w:val="20"/>
        <w:szCs w:val="20"/>
      </w:rPr>
      <w:t xml:space="preserve">Página </w:t>
    </w:r>
    <w:r w:rsidRPr="005D13A6">
      <w:rPr>
        <w:rFonts w:ascii="Times New Roman" w:hAnsi="Times New Roman" w:cs="Times New Roman"/>
        <w:b/>
        <w:color w:val="4F81BD" w:themeColor="accent1"/>
        <w:sz w:val="20"/>
        <w:szCs w:val="20"/>
      </w:rPr>
      <w:fldChar w:fldCharType="begin"/>
    </w:r>
    <w:r w:rsidRPr="005D13A6">
      <w:rPr>
        <w:rFonts w:ascii="Times New Roman" w:hAnsi="Times New Roman" w:cs="Times New Roman"/>
        <w:b/>
        <w:color w:val="4F81BD" w:themeColor="accent1"/>
        <w:sz w:val="20"/>
        <w:szCs w:val="20"/>
      </w:rPr>
      <w:instrText>PAGE   \* MERGEFORMAT</w:instrText>
    </w:r>
    <w:r w:rsidRPr="005D13A6">
      <w:rPr>
        <w:rFonts w:ascii="Times New Roman" w:hAnsi="Times New Roman" w:cs="Times New Roman"/>
        <w:b/>
        <w:color w:val="4F81BD" w:themeColor="accent1"/>
        <w:sz w:val="20"/>
        <w:szCs w:val="20"/>
      </w:rPr>
      <w:fldChar w:fldCharType="separate"/>
    </w:r>
    <w:r w:rsidR="008910B5">
      <w:rPr>
        <w:rFonts w:ascii="Times New Roman" w:hAnsi="Times New Roman" w:cs="Times New Roman"/>
        <w:b/>
        <w:noProof/>
        <w:color w:val="4F81BD" w:themeColor="accent1"/>
        <w:sz w:val="20"/>
        <w:szCs w:val="20"/>
      </w:rPr>
      <w:t>8</w:t>
    </w:r>
    <w:r w:rsidRPr="005D13A6">
      <w:rPr>
        <w:rFonts w:ascii="Times New Roman" w:hAnsi="Times New Roman" w:cs="Times New Roman"/>
        <w:b/>
        <w:color w:val="4F81BD" w:themeColor="accent1"/>
        <w:sz w:val="20"/>
        <w:szCs w:val="20"/>
      </w:rPr>
      <w:fldChar w:fldCharType="end"/>
    </w:r>
    <w:r w:rsidR="007A041E">
      <w:rPr>
        <w:rFonts w:ascii="Times New Roman" w:hAnsi="Times New Roman" w:cs="Times New Roman"/>
        <w:color w:val="4F81BD" w:themeColor="accent1"/>
        <w:sz w:val="20"/>
        <w:szCs w:val="20"/>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Default="004B2DD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BEC" w:rsidRDefault="00767BEC" w:rsidP="00A6098E">
      <w:pPr>
        <w:spacing w:after="0" w:line="240" w:lineRule="auto"/>
      </w:pPr>
      <w:r>
        <w:separator/>
      </w:r>
    </w:p>
  </w:footnote>
  <w:footnote w:type="continuationSeparator" w:id="0">
    <w:p w:rsidR="00767BEC" w:rsidRDefault="00767BEC" w:rsidP="00A60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EE7" w:rsidRPr="004920BA" w:rsidRDefault="00052EE7" w:rsidP="004F33E6">
    <w:pPr>
      <w:pStyle w:val="Encabezado"/>
      <w:jc w:val="right"/>
      <w:rPr>
        <w:rFonts w:ascii="Times New Roman" w:hAnsi="Times New Roman"/>
        <w:b/>
        <w:color w:val="0F243E" w:themeColor="text2" w:themeShade="80"/>
      </w:rPr>
    </w:pPr>
    <w:r w:rsidRPr="002B196F">
      <w:rPr>
        <w:b/>
        <w:noProof/>
        <w:color w:val="1F497D" w:themeColor="text2"/>
        <w:lang w:eastAsia="es-GT"/>
      </w:rPr>
      <w:drawing>
        <wp:anchor distT="0" distB="0" distL="114300" distR="114300" simplePos="0" relativeHeight="251685888" behindDoc="1" locked="0" layoutInCell="1" allowOverlap="1" wp14:anchorId="719BEC71" wp14:editId="05CAA184">
          <wp:simplePos x="0" y="0"/>
          <wp:positionH relativeFrom="margin">
            <wp:posOffset>158750</wp:posOffset>
          </wp:positionH>
          <wp:positionV relativeFrom="margin">
            <wp:posOffset>-565150</wp:posOffset>
          </wp:positionV>
          <wp:extent cx="1733550" cy="474345"/>
          <wp:effectExtent l="0" t="0" r="0" b="1905"/>
          <wp:wrapNone/>
          <wp:docPr id="70"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l="3903" t="3641" r="68214" b="89600"/>
                  <a:stretch>
                    <a:fillRect/>
                  </a:stretch>
                </pic:blipFill>
                <pic:spPr bwMode="auto">
                  <a:xfrm>
                    <a:off x="0" y="0"/>
                    <a:ext cx="173355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0BA">
      <w:rPr>
        <w:rFonts w:ascii="Times New Roman" w:hAnsi="Times New Roman"/>
        <w:b/>
        <w:color w:val="0F243E" w:themeColor="text2" w:themeShade="80"/>
      </w:rPr>
      <w:t xml:space="preserve">                                               Informe de las Finanzas Públicas </w:t>
    </w:r>
  </w:p>
  <w:p w:rsidR="00052EE7" w:rsidRDefault="00052EE7" w:rsidP="004F33E6">
    <w:pPr>
      <w:pStyle w:val="Encabezado"/>
      <w:jc w:val="right"/>
      <w:rPr>
        <w:rFonts w:ascii="Times New Roman" w:hAnsi="Times New Roman"/>
        <w:color w:val="0F243E" w:themeColor="text2" w:themeShade="80"/>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84864" behindDoc="0" locked="0" layoutInCell="1" allowOverlap="1" wp14:anchorId="49A2FF2C" wp14:editId="0D2419FF">
              <wp:simplePos x="0" y="0"/>
              <wp:positionH relativeFrom="column">
                <wp:posOffset>1986915</wp:posOffset>
              </wp:positionH>
              <wp:positionV relativeFrom="paragraph">
                <wp:posOffset>146050</wp:posOffset>
              </wp:positionV>
              <wp:extent cx="4010025" cy="0"/>
              <wp:effectExtent l="0" t="0" r="9525" b="19050"/>
              <wp:wrapNone/>
              <wp:docPr id="4"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17178A4" id="6 Conector recto"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6.45pt,11.5pt" to="47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yLzDAIAABw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" strokecolor="#4579b8">
              <o:lock v:ext="edit" shapetype="f"/>
            </v:line>
          </w:pict>
        </mc:Fallback>
      </mc:AlternateContent>
    </w:r>
    <w:r w:rsidRPr="004920BA">
      <w:rPr>
        <w:rFonts w:ascii="Times New Roman" w:hAnsi="Times New Roman"/>
        <w:b/>
        <w:color w:val="0F243E" w:themeColor="text2" w:themeShade="80"/>
      </w:rPr>
      <w:t xml:space="preserve"> </w:t>
    </w:r>
    <w:r w:rsidRPr="004920BA">
      <w:rPr>
        <w:rFonts w:ascii="Times New Roman" w:hAnsi="Times New Roman"/>
        <w:b/>
        <w:color w:val="0F243E" w:themeColor="text2" w:themeShade="80"/>
      </w:rPr>
      <w:tab/>
      <w:t xml:space="preserve">                                                            </w:t>
    </w:r>
    <w:r w:rsidR="0015623C">
      <w:rPr>
        <w:rFonts w:ascii="Times New Roman" w:hAnsi="Times New Roman"/>
        <w:color w:val="0F243E" w:themeColor="text2" w:themeShade="80"/>
        <w:sz w:val="20"/>
        <w:szCs w:val="20"/>
      </w:rPr>
      <w:t>Agosto</w:t>
    </w:r>
    <w:r>
      <w:rPr>
        <w:rFonts w:ascii="Times New Roman" w:hAnsi="Times New Roman"/>
        <w:color w:val="0F243E" w:themeColor="text2" w:themeShade="80"/>
        <w:sz w:val="20"/>
        <w:szCs w:val="20"/>
      </w:rPr>
      <w:t xml:space="preserve"> </w:t>
    </w:r>
    <w:r w:rsidRPr="004920BA">
      <w:rPr>
        <w:rFonts w:ascii="Times New Roman" w:hAnsi="Times New Roman"/>
        <w:color w:val="0F243E" w:themeColor="text2" w:themeShade="80"/>
        <w:sz w:val="20"/>
        <w:szCs w:val="20"/>
      </w:rPr>
      <w:t>201</w:t>
    </w:r>
    <w:r>
      <w:rPr>
        <w:rFonts w:ascii="Times New Roman" w:hAnsi="Times New Roman"/>
        <w:color w:val="0F243E" w:themeColor="text2" w:themeShade="80"/>
        <w:sz w:val="20"/>
        <w:szCs w:val="20"/>
      </w:rPr>
      <w:t>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Pr="004920BA" w:rsidRDefault="004B2DD6" w:rsidP="004F33E6">
    <w:pPr>
      <w:pStyle w:val="Encabezado"/>
      <w:jc w:val="right"/>
      <w:rPr>
        <w:rFonts w:ascii="Times New Roman" w:hAnsi="Times New Roman"/>
        <w:b/>
        <w:color w:val="0F243E" w:themeColor="text2" w:themeShade="80"/>
      </w:rPr>
    </w:pPr>
    <w:r w:rsidRPr="002B196F">
      <w:rPr>
        <w:b/>
        <w:noProof/>
        <w:color w:val="1F497D" w:themeColor="text2"/>
        <w:lang w:eastAsia="es-GT"/>
      </w:rPr>
      <w:drawing>
        <wp:anchor distT="0" distB="0" distL="114300" distR="114300" simplePos="0" relativeHeight="251661312" behindDoc="1" locked="0" layoutInCell="1" allowOverlap="1" wp14:anchorId="39A119B6" wp14:editId="7464406B">
          <wp:simplePos x="0" y="0"/>
          <wp:positionH relativeFrom="margin">
            <wp:posOffset>158750</wp:posOffset>
          </wp:positionH>
          <wp:positionV relativeFrom="margin">
            <wp:posOffset>-565150</wp:posOffset>
          </wp:positionV>
          <wp:extent cx="1733550" cy="474345"/>
          <wp:effectExtent l="0" t="0" r="0" b="1905"/>
          <wp:wrapNone/>
          <wp:docPr id="69"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l="3903" t="3641" r="68214" b="89600"/>
                  <a:stretch>
                    <a:fillRect/>
                  </a:stretch>
                </pic:blipFill>
                <pic:spPr bwMode="auto">
                  <a:xfrm>
                    <a:off x="0" y="0"/>
                    <a:ext cx="173355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0BA">
      <w:rPr>
        <w:rFonts w:ascii="Times New Roman" w:hAnsi="Times New Roman"/>
        <w:b/>
        <w:color w:val="0F243E" w:themeColor="text2" w:themeShade="80"/>
      </w:rPr>
      <w:t xml:space="preserve">                                               Informe de las Finanzas Públicas </w:t>
    </w:r>
  </w:p>
  <w:p w:rsidR="004B2DD6" w:rsidRDefault="004B2DD6" w:rsidP="004F33E6">
    <w:pPr>
      <w:pStyle w:val="Encabezado"/>
      <w:jc w:val="right"/>
      <w:rPr>
        <w:rFonts w:ascii="Times New Roman" w:hAnsi="Times New Roman"/>
        <w:color w:val="0F243E" w:themeColor="text2" w:themeShade="80"/>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59264" behindDoc="0" locked="0" layoutInCell="1" allowOverlap="1" wp14:anchorId="450838E4" wp14:editId="677B4B95">
              <wp:simplePos x="0" y="0"/>
              <wp:positionH relativeFrom="column">
                <wp:posOffset>1986915</wp:posOffset>
              </wp:positionH>
              <wp:positionV relativeFrom="paragraph">
                <wp:posOffset>146050</wp:posOffset>
              </wp:positionV>
              <wp:extent cx="4010025" cy="0"/>
              <wp:effectExtent l="0" t="0" r="9525" b="19050"/>
              <wp:wrapNone/>
              <wp:docPr id="2"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869F000" id="6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6.45pt,11.5pt" to="47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dkDQIAABw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" strokecolor="#4579b8">
              <o:lock v:ext="edit" shapetype="f"/>
            </v:line>
          </w:pict>
        </mc:Fallback>
      </mc:AlternateContent>
    </w:r>
    <w:r w:rsidRPr="004920BA">
      <w:rPr>
        <w:rFonts w:ascii="Times New Roman" w:hAnsi="Times New Roman"/>
        <w:b/>
        <w:color w:val="0F243E" w:themeColor="text2" w:themeShade="80"/>
      </w:rPr>
      <w:t xml:space="preserve"> </w:t>
    </w:r>
    <w:r w:rsidRPr="004920BA">
      <w:rPr>
        <w:rFonts w:ascii="Times New Roman" w:hAnsi="Times New Roman"/>
        <w:b/>
        <w:color w:val="0F243E" w:themeColor="text2" w:themeShade="80"/>
      </w:rPr>
      <w:tab/>
      <w:t xml:space="preserve">                                                            </w:t>
    </w:r>
    <w:r w:rsidR="0015623C">
      <w:rPr>
        <w:rFonts w:ascii="Times New Roman" w:hAnsi="Times New Roman"/>
        <w:color w:val="0F243E" w:themeColor="text2" w:themeShade="80"/>
        <w:sz w:val="20"/>
        <w:szCs w:val="20"/>
      </w:rPr>
      <w:t>Agosto</w:t>
    </w:r>
    <w:r w:rsidR="001967A7">
      <w:rPr>
        <w:rFonts w:ascii="Times New Roman" w:hAnsi="Times New Roman"/>
        <w:color w:val="0F243E" w:themeColor="text2" w:themeShade="80"/>
        <w:sz w:val="20"/>
        <w:szCs w:val="20"/>
      </w:rPr>
      <w:t xml:space="preserve"> </w:t>
    </w:r>
    <w:r w:rsidRPr="004920BA">
      <w:rPr>
        <w:rFonts w:ascii="Times New Roman" w:hAnsi="Times New Roman"/>
        <w:color w:val="0F243E" w:themeColor="text2" w:themeShade="80"/>
        <w:sz w:val="20"/>
        <w:szCs w:val="20"/>
      </w:rPr>
      <w:t>201</w:t>
    </w:r>
    <w:r w:rsidR="001967A7">
      <w:rPr>
        <w:rFonts w:ascii="Times New Roman" w:hAnsi="Times New Roman"/>
        <w:color w:val="0F243E" w:themeColor="text2" w:themeShade="80"/>
        <w:sz w:val="20"/>
        <w:szCs w:val="20"/>
      </w:rPr>
      <w:t>5</w:t>
    </w:r>
  </w:p>
  <w:p w:rsidR="00D13827" w:rsidRDefault="00D1382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0B5" w:rsidRDefault="008910B5">
    <w:pPr>
      <w:pStyle w:val="Encabezado"/>
    </w:pPr>
  </w:p>
  <w:p w:rsidR="008910B5" w:rsidRDefault="008910B5"/>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0B5" w:rsidRPr="004920BA" w:rsidRDefault="008910B5" w:rsidP="009B52B8">
    <w:pPr>
      <w:pStyle w:val="Encabezado"/>
      <w:jc w:val="right"/>
      <w:rPr>
        <w:rFonts w:ascii="Times New Roman" w:hAnsi="Times New Roman"/>
        <w:b/>
        <w:color w:val="0F243E" w:themeColor="text2" w:themeShade="80"/>
      </w:rPr>
    </w:pPr>
    <w:r w:rsidRPr="002B196F">
      <w:rPr>
        <w:b/>
        <w:noProof/>
        <w:color w:val="1F497D" w:themeColor="text2"/>
        <w:lang w:eastAsia="es-GT"/>
      </w:rPr>
      <w:drawing>
        <wp:anchor distT="0" distB="0" distL="114300" distR="114300" simplePos="0" relativeHeight="251694080" behindDoc="1" locked="0" layoutInCell="1" allowOverlap="1" wp14:anchorId="4C06ACD0" wp14:editId="37208D8A">
          <wp:simplePos x="0" y="0"/>
          <wp:positionH relativeFrom="margin">
            <wp:posOffset>158750</wp:posOffset>
          </wp:positionH>
          <wp:positionV relativeFrom="margin">
            <wp:posOffset>-641350</wp:posOffset>
          </wp:positionV>
          <wp:extent cx="1733550" cy="474345"/>
          <wp:effectExtent l="0" t="0" r="0" b="190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l="3903" t="3641" r="68214" b="89600"/>
                  <a:stretch>
                    <a:fillRect/>
                  </a:stretch>
                </pic:blipFill>
                <pic:spPr bwMode="auto">
                  <a:xfrm>
                    <a:off x="0" y="0"/>
                    <a:ext cx="173355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0BA">
      <w:rPr>
        <w:b/>
        <w:color w:val="0F243E" w:themeColor="text2" w:themeShade="80"/>
      </w:rPr>
      <w:t xml:space="preserve">                 </w:t>
    </w:r>
    <w:r>
      <w:rPr>
        <w:b/>
        <w:color w:val="0F243E" w:themeColor="text2" w:themeShade="80"/>
      </w:rPr>
      <w:t xml:space="preserve">                              </w:t>
    </w:r>
    <w:r w:rsidRPr="004920BA">
      <w:rPr>
        <w:rFonts w:ascii="Times New Roman" w:hAnsi="Times New Roman"/>
        <w:b/>
        <w:color w:val="0F243E" w:themeColor="text2" w:themeShade="80"/>
      </w:rPr>
      <w:t xml:space="preserve">Informe de las Finanzas Públicas </w:t>
    </w:r>
  </w:p>
  <w:p w:rsidR="008910B5" w:rsidRDefault="008910B5" w:rsidP="00F6224F">
    <w:pPr>
      <w:pStyle w:val="Encabezado"/>
      <w:jc w:val="right"/>
      <w:rPr>
        <w:rFonts w:ascii="Times New Roman" w:hAnsi="Times New Roman"/>
        <w:color w:val="0F243E" w:themeColor="text2" w:themeShade="80"/>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95104" behindDoc="0" locked="0" layoutInCell="1" allowOverlap="1" wp14:anchorId="76E2C923" wp14:editId="754B3408">
              <wp:simplePos x="0" y="0"/>
              <wp:positionH relativeFrom="column">
                <wp:posOffset>2057282</wp:posOffset>
              </wp:positionH>
              <wp:positionV relativeFrom="paragraph">
                <wp:posOffset>146050</wp:posOffset>
              </wp:positionV>
              <wp:extent cx="4010025" cy="0"/>
              <wp:effectExtent l="0" t="0" r="9525" b="19050"/>
              <wp:wrapNone/>
              <wp:docPr id="11"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04767DB" id="6 Conector recto"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2pt,11.5pt" to="477.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R+DQIAAB0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" strokecolor="#4579b8">
              <o:lock v:ext="edit" shapetype="f"/>
            </v:line>
          </w:pict>
        </mc:Fallback>
      </mc:AlternateContent>
    </w:r>
    <w:r w:rsidRPr="004920BA">
      <w:rPr>
        <w:rFonts w:ascii="Times New Roman" w:hAnsi="Times New Roman"/>
        <w:b/>
        <w:color w:val="0F243E" w:themeColor="text2" w:themeShade="80"/>
      </w:rPr>
      <w:t xml:space="preserve"> </w:t>
    </w:r>
    <w:r w:rsidRPr="004920BA">
      <w:rPr>
        <w:rFonts w:ascii="Times New Roman" w:hAnsi="Times New Roman"/>
        <w:b/>
        <w:color w:val="0F243E" w:themeColor="text2" w:themeShade="80"/>
      </w:rPr>
      <w:tab/>
      <w:t xml:space="preserve">                                                            </w:t>
    </w:r>
    <w:r>
      <w:rPr>
        <w:rFonts w:ascii="Times New Roman" w:hAnsi="Times New Roman"/>
        <w:color w:val="0F243E" w:themeColor="text2" w:themeShade="80"/>
        <w:sz w:val="20"/>
        <w:szCs w:val="20"/>
      </w:rPr>
      <w:t xml:space="preserve">Agosto </w:t>
    </w:r>
    <w:r w:rsidRPr="004920BA">
      <w:rPr>
        <w:rFonts w:ascii="Times New Roman" w:hAnsi="Times New Roman"/>
        <w:color w:val="0F243E" w:themeColor="text2" w:themeShade="80"/>
        <w:sz w:val="20"/>
        <w:szCs w:val="20"/>
      </w:rPr>
      <w:t>201</w:t>
    </w:r>
    <w:r>
      <w:rPr>
        <w:rFonts w:ascii="Times New Roman" w:hAnsi="Times New Roman"/>
        <w:color w:val="0F243E" w:themeColor="text2" w:themeShade="80"/>
        <w:sz w:val="20"/>
        <w:szCs w:val="20"/>
      </w:rPr>
      <w:t>5</w:t>
    </w:r>
  </w:p>
  <w:p w:rsidR="008910B5" w:rsidRPr="004A1025" w:rsidRDefault="008910B5" w:rsidP="00444213">
    <w:pPr>
      <w:pStyle w:val="Encabezado"/>
      <w:jc w:val="right"/>
      <w:rPr>
        <w:rFonts w:ascii="Times New Roman" w:hAnsi="Times New Roman"/>
        <w:color w:val="0F243E" w:themeColor="text2" w:themeShade="80"/>
        <w:sz w:val="20"/>
        <w:szCs w:val="2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0B5" w:rsidRDefault="008910B5">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97" w:rsidRPr="004920BA" w:rsidRDefault="00734097" w:rsidP="004F33E6">
    <w:pPr>
      <w:pStyle w:val="Encabezado"/>
      <w:jc w:val="right"/>
      <w:rPr>
        <w:rFonts w:ascii="Times New Roman" w:hAnsi="Times New Roman"/>
        <w:b/>
        <w:color w:val="0F243E" w:themeColor="text2" w:themeShade="80"/>
      </w:rPr>
    </w:pPr>
    <w:r w:rsidRPr="002B196F">
      <w:rPr>
        <w:b/>
        <w:noProof/>
        <w:color w:val="1F497D" w:themeColor="text2"/>
        <w:lang w:eastAsia="es-GT"/>
      </w:rPr>
      <w:drawing>
        <wp:anchor distT="0" distB="0" distL="114300" distR="114300" simplePos="0" relativeHeight="251689984" behindDoc="1" locked="0" layoutInCell="1" allowOverlap="1" wp14:anchorId="0BEA90C1" wp14:editId="40BFF4AF">
          <wp:simplePos x="0" y="0"/>
          <wp:positionH relativeFrom="margin">
            <wp:posOffset>158750</wp:posOffset>
          </wp:positionH>
          <wp:positionV relativeFrom="margin">
            <wp:posOffset>-565150</wp:posOffset>
          </wp:positionV>
          <wp:extent cx="1733550" cy="474345"/>
          <wp:effectExtent l="0" t="0" r="0" b="1905"/>
          <wp:wrapNone/>
          <wp:docPr id="1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l="3903" t="3641" r="68214" b="89600"/>
                  <a:stretch>
                    <a:fillRect/>
                  </a:stretch>
                </pic:blipFill>
                <pic:spPr bwMode="auto">
                  <a:xfrm>
                    <a:off x="0" y="0"/>
                    <a:ext cx="173355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0BA">
      <w:rPr>
        <w:rFonts w:ascii="Times New Roman" w:hAnsi="Times New Roman"/>
        <w:b/>
        <w:color w:val="0F243E" w:themeColor="text2" w:themeShade="80"/>
      </w:rPr>
      <w:t xml:space="preserve">                                               Informe de las Finanzas Públicas </w:t>
    </w:r>
  </w:p>
  <w:p w:rsidR="00734097" w:rsidRDefault="00734097" w:rsidP="004F33E6">
    <w:pPr>
      <w:pStyle w:val="Encabezado"/>
      <w:jc w:val="right"/>
      <w:rPr>
        <w:rFonts w:ascii="Times New Roman" w:hAnsi="Times New Roman"/>
        <w:color w:val="0F243E" w:themeColor="text2" w:themeShade="80"/>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88960" behindDoc="0" locked="0" layoutInCell="1" allowOverlap="1" wp14:anchorId="1F1ABCBC" wp14:editId="5FC745FF">
              <wp:simplePos x="0" y="0"/>
              <wp:positionH relativeFrom="column">
                <wp:posOffset>1986915</wp:posOffset>
              </wp:positionH>
              <wp:positionV relativeFrom="paragraph">
                <wp:posOffset>146050</wp:posOffset>
              </wp:positionV>
              <wp:extent cx="4010025" cy="0"/>
              <wp:effectExtent l="0" t="0" r="9525" b="19050"/>
              <wp:wrapNone/>
              <wp:docPr id="29"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6F91CDF" id="6 Conector recto"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6.45pt,11.5pt" to="47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0mDQIAAB0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" strokecolor="#4579b8">
              <o:lock v:ext="edit" shapetype="f"/>
            </v:line>
          </w:pict>
        </mc:Fallback>
      </mc:AlternateContent>
    </w:r>
    <w:r w:rsidRPr="004920BA">
      <w:rPr>
        <w:rFonts w:ascii="Times New Roman" w:hAnsi="Times New Roman"/>
        <w:b/>
        <w:color w:val="0F243E" w:themeColor="text2" w:themeShade="80"/>
      </w:rPr>
      <w:t xml:space="preserve"> </w:t>
    </w:r>
    <w:r w:rsidRPr="004920BA">
      <w:rPr>
        <w:rFonts w:ascii="Times New Roman" w:hAnsi="Times New Roman"/>
        <w:b/>
        <w:color w:val="0F243E" w:themeColor="text2" w:themeShade="80"/>
      </w:rPr>
      <w:tab/>
      <w:t xml:space="preserve">                                                            </w:t>
    </w:r>
    <w:r w:rsidR="0015623C">
      <w:rPr>
        <w:rFonts w:ascii="Times New Roman" w:hAnsi="Times New Roman"/>
        <w:color w:val="0F243E" w:themeColor="text2" w:themeShade="80"/>
        <w:sz w:val="20"/>
        <w:szCs w:val="20"/>
      </w:rPr>
      <w:t>Agosto</w:t>
    </w:r>
    <w:r>
      <w:rPr>
        <w:rFonts w:ascii="Times New Roman" w:hAnsi="Times New Roman"/>
        <w:color w:val="0F243E" w:themeColor="text2" w:themeShade="80"/>
        <w:sz w:val="20"/>
        <w:szCs w:val="20"/>
      </w:rPr>
      <w:t xml:space="preserve"> </w:t>
    </w:r>
    <w:r w:rsidRPr="004920BA">
      <w:rPr>
        <w:rFonts w:ascii="Times New Roman" w:hAnsi="Times New Roman"/>
        <w:color w:val="0F243E" w:themeColor="text2" w:themeShade="80"/>
        <w:sz w:val="20"/>
        <w:szCs w:val="20"/>
      </w:rPr>
      <w:t>201</w:t>
    </w:r>
    <w:r>
      <w:rPr>
        <w:rFonts w:ascii="Times New Roman" w:hAnsi="Times New Roman"/>
        <w:color w:val="0F243E" w:themeColor="text2" w:themeShade="80"/>
        <w:sz w:val="20"/>
        <w:szCs w:val="20"/>
      </w:rPr>
      <w:t>5</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Default="004B2DD6">
    <w:pPr>
      <w:pStyle w:val="Encabezado"/>
    </w:pPr>
  </w:p>
  <w:p w:rsidR="004B2DD6" w:rsidRDefault="004B2DD6"/>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B8" w:rsidRPr="004920BA" w:rsidRDefault="009B52B8" w:rsidP="009B52B8">
    <w:pPr>
      <w:pStyle w:val="Encabezado"/>
      <w:jc w:val="right"/>
      <w:rPr>
        <w:rFonts w:ascii="Times New Roman" w:hAnsi="Times New Roman"/>
        <w:b/>
        <w:color w:val="0F243E" w:themeColor="text2" w:themeShade="80"/>
      </w:rPr>
    </w:pPr>
    <w:r w:rsidRPr="002B196F">
      <w:rPr>
        <w:b/>
        <w:noProof/>
        <w:color w:val="1F497D" w:themeColor="text2"/>
        <w:lang w:eastAsia="es-GT"/>
      </w:rPr>
      <w:drawing>
        <wp:anchor distT="0" distB="0" distL="114300" distR="114300" simplePos="0" relativeHeight="251681792" behindDoc="1" locked="0" layoutInCell="1" allowOverlap="1" wp14:anchorId="2DCB6D83" wp14:editId="7035085D">
          <wp:simplePos x="0" y="0"/>
          <wp:positionH relativeFrom="margin">
            <wp:posOffset>158750</wp:posOffset>
          </wp:positionH>
          <wp:positionV relativeFrom="margin">
            <wp:posOffset>-641350</wp:posOffset>
          </wp:positionV>
          <wp:extent cx="1733550" cy="474345"/>
          <wp:effectExtent l="0" t="0" r="0"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l="3903" t="3641" r="68214" b="89600"/>
                  <a:stretch>
                    <a:fillRect/>
                  </a:stretch>
                </pic:blipFill>
                <pic:spPr bwMode="auto">
                  <a:xfrm>
                    <a:off x="0" y="0"/>
                    <a:ext cx="173355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0BA">
      <w:rPr>
        <w:b/>
        <w:color w:val="0F243E" w:themeColor="text2" w:themeShade="80"/>
      </w:rPr>
      <w:t xml:space="preserve">                 </w:t>
    </w:r>
    <w:r>
      <w:rPr>
        <w:b/>
        <w:color w:val="0F243E" w:themeColor="text2" w:themeShade="80"/>
      </w:rPr>
      <w:t xml:space="preserve">                              </w:t>
    </w:r>
    <w:r w:rsidRPr="004920BA">
      <w:rPr>
        <w:rFonts w:ascii="Times New Roman" w:hAnsi="Times New Roman"/>
        <w:b/>
        <w:color w:val="0F243E" w:themeColor="text2" w:themeShade="80"/>
      </w:rPr>
      <w:t xml:space="preserve">Informe de las Finanzas Públicas </w:t>
    </w:r>
  </w:p>
  <w:p w:rsidR="00F6224F" w:rsidRDefault="009B52B8" w:rsidP="00F6224F">
    <w:pPr>
      <w:pStyle w:val="Encabezado"/>
      <w:jc w:val="right"/>
      <w:rPr>
        <w:rFonts w:ascii="Times New Roman" w:hAnsi="Times New Roman"/>
        <w:color w:val="0F243E" w:themeColor="text2" w:themeShade="80"/>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82816" behindDoc="0" locked="0" layoutInCell="1" allowOverlap="1" wp14:anchorId="3D8EC674" wp14:editId="296034EC">
              <wp:simplePos x="0" y="0"/>
              <wp:positionH relativeFrom="column">
                <wp:posOffset>2057282</wp:posOffset>
              </wp:positionH>
              <wp:positionV relativeFrom="paragraph">
                <wp:posOffset>146050</wp:posOffset>
              </wp:positionV>
              <wp:extent cx="4010025" cy="0"/>
              <wp:effectExtent l="0" t="0" r="9525" b="19050"/>
              <wp:wrapNone/>
              <wp:docPr id="21"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3F62714" id="6 Conector recto"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2pt,11.5pt" to="477.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A2DQIAAB0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" strokecolor="#4579b8">
              <o:lock v:ext="edit" shapetype="f"/>
            </v:line>
          </w:pict>
        </mc:Fallback>
      </mc:AlternateContent>
    </w:r>
    <w:r w:rsidRPr="004920BA">
      <w:rPr>
        <w:rFonts w:ascii="Times New Roman" w:hAnsi="Times New Roman"/>
        <w:b/>
        <w:color w:val="0F243E" w:themeColor="text2" w:themeShade="80"/>
      </w:rPr>
      <w:t xml:space="preserve"> </w:t>
    </w:r>
    <w:r w:rsidRPr="004920BA">
      <w:rPr>
        <w:rFonts w:ascii="Times New Roman" w:hAnsi="Times New Roman"/>
        <w:b/>
        <w:color w:val="0F243E" w:themeColor="text2" w:themeShade="80"/>
      </w:rPr>
      <w:tab/>
      <w:t xml:space="preserve">                                                            </w:t>
    </w:r>
    <w:r w:rsidR="0015623C">
      <w:rPr>
        <w:rFonts w:ascii="Times New Roman" w:hAnsi="Times New Roman"/>
        <w:color w:val="0F243E" w:themeColor="text2" w:themeShade="80"/>
        <w:sz w:val="20"/>
        <w:szCs w:val="20"/>
      </w:rPr>
      <w:t>Agosto</w:t>
    </w:r>
    <w:r w:rsidR="00F6224F">
      <w:rPr>
        <w:rFonts w:ascii="Times New Roman" w:hAnsi="Times New Roman"/>
        <w:color w:val="0F243E" w:themeColor="text2" w:themeShade="80"/>
        <w:sz w:val="20"/>
        <w:szCs w:val="20"/>
      </w:rPr>
      <w:t xml:space="preserve"> </w:t>
    </w:r>
    <w:r w:rsidR="00F6224F" w:rsidRPr="004920BA">
      <w:rPr>
        <w:rFonts w:ascii="Times New Roman" w:hAnsi="Times New Roman"/>
        <w:color w:val="0F243E" w:themeColor="text2" w:themeShade="80"/>
        <w:sz w:val="20"/>
        <w:szCs w:val="20"/>
      </w:rPr>
      <w:t>201</w:t>
    </w:r>
    <w:r w:rsidR="00F6224F">
      <w:rPr>
        <w:rFonts w:ascii="Times New Roman" w:hAnsi="Times New Roman"/>
        <w:color w:val="0F243E" w:themeColor="text2" w:themeShade="80"/>
        <w:sz w:val="20"/>
        <w:szCs w:val="20"/>
      </w:rPr>
      <w:t>5</w:t>
    </w:r>
  </w:p>
  <w:p w:rsidR="004B2DD6" w:rsidRPr="004A1025" w:rsidRDefault="004B2DD6" w:rsidP="00444213">
    <w:pPr>
      <w:pStyle w:val="Encabezado"/>
      <w:jc w:val="right"/>
      <w:rPr>
        <w:rFonts w:ascii="Times New Roman" w:hAnsi="Times New Roman"/>
        <w:color w:val="0F243E" w:themeColor="text2" w:themeShade="80"/>
        <w:sz w:val="20"/>
        <w:szCs w:val="20"/>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Default="004B2DD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DB4"/>
    <w:multiLevelType w:val="hybridMultilevel"/>
    <w:tmpl w:val="7054AAAC"/>
    <w:lvl w:ilvl="0" w:tplc="100A0001">
      <w:start w:val="1"/>
      <w:numFmt w:val="bullet"/>
      <w:lvlText w:val=""/>
      <w:lvlJc w:val="left"/>
      <w:pPr>
        <w:ind w:left="360" w:hanging="360"/>
      </w:pPr>
      <w:rPr>
        <w:rFonts w:ascii="Symbol" w:hAnsi="Symbol" w:hint="default"/>
      </w:rPr>
    </w:lvl>
    <w:lvl w:ilvl="1" w:tplc="15DACC7C">
      <w:start w:val="1"/>
      <w:numFmt w:val="bullet"/>
      <w:lvlText w:val="-"/>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 w15:restartNumberingAfterBreak="0">
    <w:nsid w:val="0AFB7790"/>
    <w:multiLevelType w:val="hybridMultilevel"/>
    <w:tmpl w:val="49F4781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0B7B0D4A"/>
    <w:multiLevelType w:val="hybridMultilevel"/>
    <w:tmpl w:val="FE2ED948"/>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C0D7CD2"/>
    <w:multiLevelType w:val="hybridMultilevel"/>
    <w:tmpl w:val="0BFE6956"/>
    <w:lvl w:ilvl="0" w:tplc="4D12FE22">
      <w:start w:val="2013"/>
      <w:numFmt w:val="bullet"/>
      <w:lvlText w:val=""/>
      <w:lvlJc w:val="left"/>
      <w:pPr>
        <w:ind w:left="720" w:hanging="360"/>
      </w:pPr>
      <w:rPr>
        <w:rFonts w:ascii="Symbol" w:eastAsiaTheme="minorHAnsi"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0FD5081C"/>
    <w:multiLevelType w:val="hybridMultilevel"/>
    <w:tmpl w:val="7A082B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117A33FB"/>
    <w:multiLevelType w:val="hybridMultilevel"/>
    <w:tmpl w:val="E036167E"/>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17F126D8"/>
    <w:multiLevelType w:val="hybridMultilevel"/>
    <w:tmpl w:val="BC5A8266"/>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7" w15:restartNumberingAfterBreak="0">
    <w:nsid w:val="1ADE6A16"/>
    <w:multiLevelType w:val="hybridMultilevel"/>
    <w:tmpl w:val="3ECA2A0C"/>
    <w:lvl w:ilvl="0" w:tplc="100A000F">
      <w:start w:val="1"/>
      <w:numFmt w:val="decimal"/>
      <w:lvlText w:val="%1."/>
      <w:lvlJc w:val="left"/>
      <w:pPr>
        <w:ind w:left="360" w:hanging="360"/>
      </w:pPr>
    </w:lvl>
    <w:lvl w:ilvl="1" w:tplc="100A0001">
      <w:start w:val="1"/>
      <w:numFmt w:val="bullet"/>
      <w:lvlText w:val=""/>
      <w:lvlJc w:val="left"/>
      <w:pPr>
        <w:ind w:left="1080" w:hanging="360"/>
      </w:pPr>
      <w:rPr>
        <w:rFonts w:ascii="Symbol" w:hAnsi="Symbol" w:hint="default"/>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8" w15:restartNumberingAfterBreak="0">
    <w:nsid w:val="1CD54EBA"/>
    <w:multiLevelType w:val="hybridMultilevel"/>
    <w:tmpl w:val="02CE1684"/>
    <w:lvl w:ilvl="0" w:tplc="100A0001">
      <w:start w:val="1"/>
      <w:numFmt w:val="bullet"/>
      <w:lvlText w:val=""/>
      <w:lvlJc w:val="left"/>
      <w:pPr>
        <w:ind w:left="1080" w:hanging="360"/>
      </w:pPr>
      <w:rPr>
        <w:rFonts w:ascii="Symbol" w:hAnsi="Symbol" w:hint="default"/>
        <w:sz w:val="22"/>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9" w15:restartNumberingAfterBreak="0">
    <w:nsid w:val="1D627E0D"/>
    <w:multiLevelType w:val="hybridMultilevel"/>
    <w:tmpl w:val="2AEE323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2B227E5A"/>
    <w:multiLevelType w:val="hybridMultilevel"/>
    <w:tmpl w:val="1CA41C5A"/>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1" w15:restartNumberingAfterBreak="0">
    <w:nsid w:val="306D7AAA"/>
    <w:multiLevelType w:val="hybridMultilevel"/>
    <w:tmpl w:val="2578F000"/>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2" w15:restartNumberingAfterBreak="0">
    <w:nsid w:val="34EB554F"/>
    <w:multiLevelType w:val="hybridMultilevel"/>
    <w:tmpl w:val="0F3E0038"/>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3" w15:restartNumberingAfterBreak="0">
    <w:nsid w:val="383C26A3"/>
    <w:multiLevelType w:val="hybridMultilevel"/>
    <w:tmpl w:val="714A85D2"/>
    <w:lvl w:ilvl="0" w:tplc="6AD27464">
      <w:start w:val="1"/>
      <w:numFmt w:val="decimal"/>
      <w:lvlText w:val="%1."/>
      <w:lvlJc w:val="left"/>
      <w:pPr>
        <w:ind w:left="720" w:hanging="360"/>
      </w:pPr>
      <w:rPr>
        <w:color w:val="auto"/>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4" w15:restartNumberingAfterBreak="0">
    <w:nsid w:val="4AFE3836"/>
    <w:multiLevelType w:val="hybridMultilevel"/>
    <w:tmpl w:val="7F0671BE"/>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5" w15:restartNumberingAfterBreak="0">
    <w:nsid w:val="52F01983"/>
    <w:multiLevelType w:val="hybridMultilevel"/>
    <w:tmpl w:val="C5BEC198"/>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6" w15:restartNumberingAfterBreak="0">
    <w:nsid w:val="570B08F8"/>
    <w:multiLevelType w:val="hybridMultilevel"/>
    <w:tmpl w:val="714A85D2"/>
    <w:lvl w:ilvl="0" w:tplc="6AD27464">
      <w:start w:val="1"/>
      <w:numFmt w:val="decimal"/>
      <w:lvlText w:val="%1."/>
      <w:lvlJc w:val="left"/>
      <w:pPr>
        <w:ind w:left="720" w:hanging="360"/>
      </w:pPr>
      <w:rPr>
        <w:color w:val="auto"/>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7" w15:restartNumberingAfterBreak="0">
    <w:nsid w:val="5B3378EA"/>
    <w:multiLevelType w:val="hybridMultilevel"/>
    <w:tmpl w:val="EA1029B4"/>
    <w:lvl w:ilvl="0" w:tplc="1174EC28">
      <w:start w:val="1"/>
      <w:numFmt w:val="decimal"/>
      <w:lvlText w:val="%1."/>
      <w:lvlJc w:val="left"/>
      <w:pPr>
        <w:ind w:left="1080" w:hanging="360"/>
      </w:pPr>
      <w:rPr>
        <w:rFonts w:hint="default"/>
        <w:sz w:val="22"/>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8" w15:restartNumberingAfterBreak="0">
    <w:nsid w:val="5B940A8B"/>
    <w:multiLevelType w:val="hybridMultilevel"/>
    <w:tmpl w:val="6C045DC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15:restartNumberingAfterBreak="0">
    <w:nsid w:val="71B27820"/>
    <w:multiLevelType w:val="hybridMultilevel"/>
    <w:tmpl w:val="7108C1C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15:restartNumberingAfterBreak="0">
    <w:nsid w:val="74C45B97"/>
    <w:multiLevelType w:val="hybridMultilevel"/>
    <w:tmpl w:val="07F6A57E"/>
    <w:lvl w:ilvl="0" w:tplc="BB92613E">
      <w:start w:val="1"/>
      <w:numFmt w:val="bullet"/>
      <w:lvlText w:val="-"/>
      <w:lvlJc w:val="left"/>
      <w:pPr>
        <w:ind w:left="360" w:hanging="360"/>
      </w:pPr>
      <w:rPr>
        <w:rFonts w:ascii="Courier New" w:hAnsi="Courier New"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1" w15:restartNumberingAfterBreak="0">
    <w:nsid w:val="766D1754"/>
    <w:multiLevelType w:val="hybridMultilevel"/>
    <w:tmpl w:val="728AA336"/>
    <w:lvl w:ilvl="0" w:tplc="BB92613E">
      <w:start w:val="1"/>
      <w:numFmt w:val="bullet"/>
      <w:lvlText w:val="-"/>
      <w:lvlJc w:val="left"/>
      <w:pPr>
        <w:ind w:left="360" w:hanging="360"/>
      </w:pPr>
      <w:rPr>
        <w:rFonts w:ascii="Courier New" w:hAnsi="Courier New"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7A3757A3"/>
    <w:multiLevelType w:val="hybridMultilevel"/>
    <w:tmpl w:val="C638E66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3" w15:restartNumberingAfterBreak="0">
    <w:nsid w:val="7B042D2F"/>
    <w:multiLevelType w:val="hybridMultilevel"/>
    <w:tmpl w:val="4482B690"/>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4" w15:restartNumberingAfterBreak="0">
    <w:nsid w:val="7D306B01"/>
    <w:multiLevelType w:val="hybridMultilevel"/>
    <w:tmpl w:val="9BE4F1AE"/>
    <w:lvl w:ilvl="0" w:tplc="071C361E">
      <w:start w:val="2013"/>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15:restartNumberingAfterBreak="0">
    <w:nsid w:val="7F885ABE"/>
    <w:multiLevelType w:val="hybridMultilevel"/>
    <w:tmpl w:val="F0FA2C9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5"/>
  </w:num>
  <w:num w:numId="4">
    <w:abstractNumId w:val="3"/>
  </w:num>
  <w:num w:numId="5">
    <w:abstractNumId w:val="24"/>
  </w:num>
  <w:num w:numId="6">
    <w:abstractNumId w:val="10"/>
  </w:num>
  <w:num w:numId="7">
    <w:abstractNumId w:val="7"/>
  </w:num>
  <w:num w:numId="8">
    <w:abstractNumId w:val="6"/>
  </w:num>
  <w:num w:numId="9">
    <w:abstractNumId w:val="14"/>
  </w:num>
  <w:num w:numId="10">
    <w:abstractNumId w:val="9"/>
  </w:num>
  <w:num w:numId="11">
    <w:abstractNumId w:val="20"/>
  </w:num>
  <w:num w:numId="12">
    <w:abstractNumId w:val="19"/>
  </w:num>
  <w:num w:numId="13">
    <w:abstractNumId w:val="1"/>
  </w:num>
  <w:num w:numId="14">
    <w:abstractNumId w:val="21"/>
  </w:num>
  <w:num w:numId="15">
    <w:abstractNumId w:val="17"/>
  </w:num>
  <w:num w:numId="16">
    <w:abstractNumId w:val="5"/>
  </w:num>
  <w:num w:numId="17">
    <w:abstractNumId w:val="2"/>
  </w:num>
  <w:num w:numId="18">
    <w:abstractNumId w:val="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6"/>
  </w:num>
  <w:num w:numId="22">
    <w:abstractNumId w:val="18"/>
  </w:num>
  <w:num w:numId="23">
    <w:abstractNumId w:val="0"/>
  </w:num>
  <w:num w:numId="24">
    <w:abstractNumId w:val="11"/>
  </w:num>
  <w:num w:numId="25">
    <w:abstractNumId w:val="25"/>
  </w:num>
  <w:num w:numId="26">
    <w:abstractNumId w:val="2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9D"/>
    <w:rsid w:val="0000279B"/>
    <w:rsid w:val="000037EF"/>
    <w:rsid w:val="00004A29"/>
    <w:rsid w:val="000102D0"/>
    <w:rsid w:val="00011009"/>
    <w:rsid w:val="000146A5"/>
    <w:rsid w:val="0001479D"/>
    <w:rsid w:val="00014EF9"/>
    <w:rsid w:val="00017573"/>
    <w:rsid w:val="000202C4"/>
    <w:rsid w:val="00020A54"/>
    <w:rsid w:val="000218E4"/>
    <w:rsid w:val="00022090"/>
    <w:rsid w:val="00023B9B"/>
    <w:rsid w:val="00025914"/>
    <w:rsid w:val="00025E27"/>
    <w:rsid w:val="00030F3B"/>
    <w:rsid w:val="00032ECB"/>
    <w:rsid w:val="00033317"/>
    <w:rsid w:val="000360E0"/>
    <w:rsid w:val="000428F3"/>
    <w:rsid w:val="00043185"/>
    <w:rsid w:val="000446C3"/>
    <w:rsid w:val="00051051"/>
    <w:rsid w:val="00052DB1"/>
    <w:rsid w:val="00052DBD"/>
    <w:rsid w:val="00052EE7"/>
    <w:rsid w:val="00055163"/>
    <w:rsid w:val="000615FB"/>
    <w:rsid w:val="0006199A"/>
    <w:rsid w:val="00061BAE"/>
    <w:rsid w:val="00062716"/>
    <w:rsid w:val="00062BB8"/>
    <w:rsid w:val="00064896"/>
    <w:rsid w:val="00064B05"/>
    <w:rsid w:val="000652DE"/>
    <w:rsid w:val="0006628E"/>
    <w:rsid w:val="00066D0C"/>
    <w:rsid w:val="00067D3D"/>
    <w:rsid w:val="000702CA"/>
    <w:rsid w:val="0007086E"/>
    <w:rsid w:val="000735AF"/>
    <w:rsid w:val="00081520"/>
    <w:rsid w:val="00081E78"/>
    <w:rsid w:val="000830CB"/>
    <w:rsid w:val="00083BF1"/>
    <w:rsid w:val="00085DF8"/>
    <w:rsid w:val="00086944"/>
    <w:rsid w:val="00086B4B"/>
    <w:rsid w:val="00090C9C"/>
    <w:rsid w:val="000915C8"/>
    <w:rsid w:val="000915E4"/>
    <w:rsid w:val="00094984"/>
    <w:rsid w:val="00096480"/>
    <w:rsid w:val="00096FBD"/>
    <w:rsid w:val="0009796C"/>
    <w:rsid w:val="000A388B"/>
    <w:rsid w:val="000A45A1"/>
    <w:rsid w:val="000A488B"/>
    <w:rsid w:val="000B3282"/>
    <w:rsid w:val="000B494E"/>
    <w:rsid w:val="000B6620"/>
    <w:rsid w:val="000B7EB3"/>
    <w:rsid w:val="000C0211"/>
    <w:rsid w:val="000C205B"/>
    <w:rsid w:val="000C45CB"/>
    <w:rsid w:val="000C45D9"/>
    <w:rsid w:val="000C5FBE"/>
    <w:rsid w:val="000D07E2"/>
    <w:rsid w:val="000D3651"/>
    <w:rsid w:val="000D40DE"/>
    <w:rsid w:val="000D6132"/>
    <w:rsid w:val="000D7133"/>
    <w:rsid w:val="000E35C8"/>
    <w:rsid w:val="000E6714"/>
    <w:rsid w:val="000F05F1"/>
    <w:rsid w:val="000F0645"/>
    <w:rsid w:val="000F0976"/>
    <w:rsid w:val="000F0CEC"/>
    <w:rsid w:val="000F1AFB"/>
    <w:rsid w:val="000F2CC8"/>
    <w:rsid w:val="000F460A"/>
    <w:rsid w:val="000F49D2"/>
    <w:rsid w:val="000F4EE1"/>
    <w:rsid w:val="000F6631"/>
    <w:rsid w:val="000F6714"/>
    <w:rsid w:val="000F75D7"/>
    <w:rsid w:val="00101652"/>
    <w:rsid w:val="00104229"/>
    <w:rsid w:val="00104BCC"/>
    <w:rsid w:val="00106B9F"/>
    <w:rsid w:val="00107767"/>
    <w:rsid w:val="00107C39"/>
    <w:rsid w:val="001106EC"/>
    <w:rsid w:val="0011279A"/>
    <w:rsid w:val="001130E0"/>
    <w:rsid w:val="00114616"/>
    <w:rsid w:val="00114776"/>
    <w:rsid w:val="00115D0D"/>
    <w:rsid w:val="001218CD"/>
    <w:rsid w:val="00121DB5"/>
    <w:rsid w:val="001224F9"/>
    <w:rsid w:val="0012331E"/>
    <w:rsid w:val="001261A9"/>
    <w:rsid w:val="001304C1"/>
    <w:rsid w:val="00132927"/>
    <w:rsid w:val="00132D19"/>
    <w:rsid w:val="0013412B"/>
    <w:rsid w:val="001351DD"/>
    <w:rsid w:val="00135A13"/>
    <w:rsid w:val="0013777B"/>
    <w:rsid w:val="00143FCD"/>
    <w:rsid w:val="00145B27"/>
    <w:rsid w:val="00147046"/>
    <w:rsid w:val="0015238F"/>
    <w:rsid w:val="00153937"/>
    <w:rsid w:val="0015623C"/>
    <w:rsid w:val="00157581"/>
    <w:rsid w:val="00157E21"/>
    <w:rsid w:val="001635FC"/>
    <w:rsid w:val="00163822"/>
    <w:rsid w:val="00164007"/>
    <w:rsid w:val="00164613"/>
    <w:rsid w:val="00166761"/>
    <w:rsid w:val="001672D5"/>
    <w:rsid w:val="00170835"/>
    <w:rsid w:val="00174B50"/>
    <w:rsid w:val="00175142"/>
    <w:rsid w:val="00175925"/>
    <w:rsid w:val="0017625F"/>
    <w:rsid w:val="001767DB"/>
    <w:rsid w:val="00177CC8"/>
    <w:rsid w:val="001800B5"/>
    <w:rsid w:val="00180A63"/>
    <w:rsid w:val="00182206"/>
    <w:rsid w:val="001864CE"/>
    <w:rsid w:val="0018768E"/>
    <w:rsid w:val="00190529"/>
    <w:rsid w:val="001906FF"/>
    <w:rsid w:val="00190784"/>
    <w:rsid w:val="001924F3"/>
    <w:rsid w:val="00193707"/>
    <w:rsid w:val="001953B7"/>
    <w:rsid w:val="001967A7"/>
    <w:rsid w:val="00196AFB"/>
    <w:rsid w:val="00197BF1"/>
    <w:rsid w:val="001A2FBE"/>
    <w:rsid w:val="001B01B9"/>
    <w:rsid w:val="001B34D7"/>
    <w:rsid w:val="001B657B"/>
    <w:rsid w:val="001C18D9"/>
    <w:rsid w:val="001C220C"/>
    <w:rsid w:val="001C2708"/>
    <w:rsid w:val="001C3644"/>
    <w:rsid w:val="001C37C1"/>
    <w:rsid w:val="001C3BD6"/>
    <w:rsid w:val="001C68B5"/>
    <w:rsid w:val="001C7C21"/>
    <w:rsid w:val="001D03A3"/>
    <w:rsid w:val="001D339A"/>
    <w:rsid w:val="001D63C1"/>
    <w:rsid w:val="001E0B82"/>
    <w:rsid w:val="001E236D"/>
    <w:rsid w:val="001E2662"/>
    <w:rsid w:val="001E28F7"/>
    <w:rsid w:val="001E4C8B"/>
    <w:rsid w:val="001E5EB7"/>
    <w:rsid w:val="001E7116"/>
    <w:rsid w:val="001E7605"/>
    <w:rsid w:val="001F6B3A"/>
    <w:rsid w:val="001F734B"/>
    <w:rsid w:val="00200053"/>
    <w:rsid w:val="0020581F"/>
    <w:rsid w:val="00205BED"/>
    <w:rsid w:val="00207C28"/>
    <w:rsid w:val="00210C11"/>
    <w:rsid w:val="00213F7F"/>
    <w:rsid w:val="002205DA"/>
    <w:rsid w:val="00221737"/>
    <w:rsid w:val="00222A73"/>
    <w:rsid w:val="002231A2"/>
    <w:rsid w:val="002237F4"/>
    <w:rsid w:val="00223941"/>
    <w:rsid w:val="00224637"/>
    <w:rsid w:val="00233052"/>
    <w:rsid w:val="00234D4F"/>
    <w:rsid w:val="0023606E"/>
    <w:rsid w:val="00242B4A"/>
    <w:rsid w:val="00244507"/>
    <w:rsid w:val="00246CBB"/>
    <w:rsid w:val="0025020C"/>
    <w:rsid w:val="00250FFF"/>
    <w:rsid w:val="00252BB9"/>
    <w:rsid w:val="00254173"/>
    <w:rsid w:val="00256CB7"/>
    <w:rsid w:val="0026027C"/>
    <w:rsid w:val="0026057C"/>
    <w:rsid w:val="00261690"/>
    <w:rsid w:val="002648CE"/>
    <w:rsid w:val="00265B78"/>
    <w:rsid w:val="00266309"/>
    <w:rsid w:val="00270F41"/>
    <w:rsid w:val="002739C8"/>
    <w:rsid w:val="00274449"/>
    <w:rsid w:val="002765D6"/>
    <w:rsid w:val="00276765"/>
    <w:rsid w:val="00280FEF"/>
    <w:rsid w:val="00285083"/>
    <w:rsid w:val="002900A6"/>
    <w:rsid w:val="00290D97"/>
    <w:rsid w:val="0029370F"/>
    <w:rsid w:val="00295A33"/>
    <w:rsid w:val="00297DDA"/>
    <w:rsid w:val="00297E65"/>
    <w:rsid w:val="002A0332"/>
    <w:rsid w:val="002A04DD"/>
    <w:rsid w:val="002A1B95"/>
    <w:rsid w:val="002A4294"/>
    <w:rsid w:val="002A518F"/>
    <w:rsid w:val="002A7890"/>
    <w:rsid w:val="002B6D89"/>
    <w:rsid w:val="002C0CF5"/>
    <w:rsid w:val="002C56BD"/>
    <w:rsid w:val="002D2D6B"/>
    <w:rsid w:val="002D396D"/>
    <w:rsid w:val="002D512C"/>
    <w:rsid w:val="002D56D4"/>
    <w:rsid w:val="002E0141"/>
    <w:rsid w:val="002E0E0F"/>
    <w:rsid w:val="002E256D"/>
    <w:rsid w:val="002E2627"/>
    <w:rsid w:val="002E2819"/>
    <w:rsid w:val="002E2846"/>
    <w:rsid w:val="002E35E1"/>
    <w:rsid w:val="002E39F1"/>
    <w:rsid w:val="002E3B8C"/>
    <w:rsid w:val="002E4033"/>
    <w:rsid w:val="002E5DD8"/>
    <w:rsid w:val="002E65BD"/>
    <w:rsid w:val="002E7046"/>
    <w:rsid w:val="002F0044"/>
    <w:rsid w:val="002F556A"/>
    <w:rsid w:val="002F5A60"/>
    <w:rsid w:val="00300207"/>
    <w:rsid w:val="0030095F"/>
    <w:rsid w:val="003019EB"/>
    <w:rsid w:val="00301FDF"/>
    <w:rsid w:val="00304798"/>
    <w:rsid w:val="00304E9C"/>
    <w:rsid w:val="00306069"/>
    <w:rsid w:val="00307197"/>
    <w:rsid w:val="003079EC"/>
    <w:rsid w:val="00307BF2"/>
    <w:rsid w:val="003105D9"/>
    <w:rsid w:val="00310CAD"/>
    <w:rsid w:val="00312418"/>
    <w:rsid w:val="003131DA"/>
    <w:rsid w:val="00313C71"/>
    <w:rsid w:val="003140BC"/>
    <w:rsid w:val="00314DD4"/>
    <w:rsid w:val="00315983"/>
    <w:rsid w:val="00321222"/>
    <w:rsid w:val="00321919"/>
    <w:rsid w:val="00322042"/>
    <w:rsid w:val="0032228F"/>
    <w:rsid w:val="0032279A"/>
    <w:rsid w:val="00324D8A"/>
    <w:rsid w:val="0032582D"/>
    <w:rsid w:val="00325E48"/>
    <w:rsid w:val="003319E4"/>
    <w:rsid w:val="00332AE5"/>
    <w:rsid w:val="003353DA"/>
    <w:rsid w:val="00335649"/>
    <w:rsid w:val="00336B3D"/>
    <w:rsid w:val="00336C66"/>
    <w:rsid w:val="003370C6"/>
    <w:rsid w:val="0033711E"/>
    <w:rsid w:val="00337156"/>
    <w:rsid w:val="00340B24"/>
    <w:rsid w:val="00340DF7"/>
    <w:rsid w:val="00343A25"/>
    <w:rsid w:val="003442D7"/>
    <w:rsid w:val="003444DF"/>
    <w:rsid w:val="003459D6"/>
    <w:rsid w:val="003461BF"/>
    <w:rsid w:val="00346DC4"/>
    <w:rsid w:val="00347AD0"/>
    <w:rsid w:val="00347D04"/>
    <w:rsid w:val="00351C4D"/>
    <w:rsid w:val="0035282A"/>
    <w:rsid w:val="0035404C"/>
    <w:rsid w:val="003540F5"/>
    <w:rsid w:val="003552A1"/>
    <w:rsid w:val="00355694"/>
    <w:rsid w:val="00356D2C"/>
    <w:rsid w:val="003576D2"/>
    <w:rsid w:val="00363CC7"/>
    <w:rsid w:val="00364D0C"/>
    <w:rsid w:val="00364F00"/>
    <w:rsid w:val="003671AA"/>
    <w:rsid w:val="00367319"/>
    <w:rsid w:val="0037079B"/>
    <w:rsid w:val="00374679"/>
    <w:rsid w:val="0038703A"/>
    <w:rsid w:val="00390A86"/>
    <w:rsid w:val="00392616"/>
    <w:rsid w:val="003945DF"/>
    <w:rsid w:val="003A2318"/>
    <w:rsid w:val="003A3D0B"/>
    <w:rsid w:val="003A5D6A"/>
    <w:rsid w:val="003A618F"/>
    <w:rsid w:val="003B2BB1"/>
    <w:rsid w:val="003B3A93"/>
    <w:rsid w:val="003B450E"/>
    <w:rsid w:val="003B4583"/>
    <w:rsid w:val="003B4E8D"/>
    <w:rsid w:val="003B5D90"/>
    <w:rsid w:val="003B7BE9"/>
    <w:rsid w:val="003C6336"/>
    <w:rsid w:val="003C635E"/>
    <w:rsid w:val="003D02EE"/>
    <w:rsid w:val="003D0A2F"/>
    <w:rsid w:val="003D16F0"/>
    <w:rsid w:val="003D2958"/>
    <w:rsid w:val="003D3239"/>
    <w:rsid w:val="003D796A"/>
    <w:rsid w:val="003E03B1"/>
    <w:rsid w:val="003E100D"/>
    <w:rsid w:val="003E2099"/>
    <w:rsid w:val="003E4AE1"/>
    <w:rsid w:val="003E688B"/>
    <w:rsid w:val="003E6D42"/>
    <w:rsid w:val="003F0152"/>
    <w:rsid w:val="003F0BD0"/>
    <w:rsid w:val="003F1A34"/>
    <w:rsid w:val="003F3A77"/>
    <w:rsid w:val="003F5CC7"/>
    <w:rsid w:val="003F6806"/>
    <w:rsid w:val="0040082A"/>
    <w:rsid w:val="004025F8"/>
    <w:rsid w:val="00402D20"/>
    <w:rsid w:val="00403C43"/>
    <w:rsid w:val="00404A7D"/>
    <w:rsid w:val="004056AF"/>
    <w:rsid w:val="00406291"/>
    <w:rsid w:val="00407AA3"/>
    <w:rsid w:val="00407F52"/>
    <w:rsid w:val="004115A7"/>
    <w:rsid w:val="00415A5D"/>
    <w:rsid w:val="00415FEB"/>
    <w:rsid w:val="00416D15"/>
    <w:rsid w:val="00420914"/>
    <w:rsid w:val="004211F9"/>
    <w:rsid w:val="004224A4"/>
    <w:rsid w:val="00422591"/>
    <w:rsid w:val="0042376B"/>
    <w:rsid w:val="00427CE0"/>
    <w:rsid w:val="00430E61"/>
    <w:rsid w:val="004316FA"/>
    <w:rsid w:val="00432456"/>
    <w:rsid w:val="00433974"/>
    <w:rsid w:val="00434261"/>
    <w:rsid w:val="004359E1"/>
    <w:rsid w:val="00436029"/>
    <w:rsid w:val="00436C67"/>
    <w:rsid w:val="00436F94"/>
    <w:rsid w:val="00440106"/>
    <w:rsid w:val="00440FE3"/>
    <w:rsid w:val="004427C8"/>
    <w:rsid w:val="00442AD8"/>
    <w:rsid w:val="00444213"/>
    <w:rsid w:val="00445FA0"/>
    <w:rsid w:val="0044606C"/>
    <w:rsid w:val="00447E34"/>
    <w:rsid w:val="00450227"/>
    <w:rsid w:val="004519CA"/>
    <w:rsid w:val="00454F98"/>
    <w:rsid w:val="004555CF"/>
    <w:rsid w:val="004557F7"/>
    <w:rsid w:val="00456F13"/>
    <w:rsid w:val="00461CB3"/>
    <w:rsid w:val="00463788"/>
    <w:rsid w:val="0046593C"/>
    <w:rsid w:val="004673CB"/>
    <w:rsid w:val="00470AD4"/>
    <w:rsid w:val="00471344"/>
    <w:rsid w:val="004714A3"/>
    <w:rsid w:val="00473D12"/>
    <w:rsid w:val="00477BB4"/>
    <w:rsid w:val="00480B7D"/>
    <w:rsid w:val="004836DB"/>
    <w:rsid w:val="00490CAA"/>
    <w:rsid w:val="004916BF"/>
    <w:rsid w:val="004932FC"/>
    <w:rsid w:val="00497A4C"/>
    <w:rsid w:val="004A1025"/>
    <w:rsid w:val="004A437D"/>
    <w:rsid w:val="004A7194"/>
    <w:rsid w:val="004B2DD6"/>
    <w:rsid w:val="004B3439"/>
    <w:rsid w:val="004B3B4B"/>
    <w:rsid w:val="004B5C7B"/>
    <w:rsid w:val="004B67DD"/>
    <w:rsid w:val="004C164F"/>
    <w:rsid w:val="004C2927"/>
    <w:rsid w:val="004C3723"/>
    <w:rsid w:val="004C42C7"/>
    <w:rsid w:val="004C7C69"/>
    <w:rsid w:val="004D1837"/>
    <w:rsid w:val="004D1925"/>
    <w:rsid w:val="004D1D66"/>
    <w:rsid w:val="004D1E5F"/>
    <w:rsid w:val="004D510B"/>
    <w:rsid w:val="004D5601"/>
    <w:rsid w:val="004D56B4"/>
    <w:rsid w:val="004D679A"/>
    <w:rsid w:val="004D6962"/>
    <w:rsid w:val="004D6D48"/>
    <w:rsid w:val="004E0E73"/>
    <w:rsid w:val="004E178E"/>
    <w:rsid w:val="004E298E"/>
    <w:rsid w:val="004E4357"/>
    <w:rsid w:val="004E4AB2"/>
    <w:rsid w:val="004E5632"/>
    <w:rsid w:val="004E7747"/>
    <w:rsid w:val="004F1BAA"/>
    <w:rsid w:val="004F33E6"/>
    <w:rsid w:val="004F408F"/>
    <w:rsid w:val="004F6CD7"/>
    <w:rsid w:val="004F77A2"/>
    <w:rsid w:val="00502FD1"/>
    <w:rsid w:val="00503509"/>
    <w:rsid w:val="005047E7"/>
    <w:rsid w:val="00506166"/>
    <w:rsid w:val="00506A83"/>
    <w:rsid w:val="00506D20"/>
    <w:rsid w:val="00511646"/>
    <w:rsid w:val="00517DFB"/>
    <w:rsid w:val="00524E28"/>
    <w:rsid w:val="00530288"/>
    <w:rsid w:val="0053070B"/>
    <w:rsid w:val="0053086F"/>
    <w:rsid w:val="00531564"/>
    <w:rsid w:val="00532B8D"/>
    <w:rsid w:val="005348D5"/>
    <w:rsid w:val="00536E71"/>
    <w:rsid w:val="00540D2D"/>
    <w:rsid w:val="00541BA8"/>
    <w:rsid w:val="005448EC"/>
    <w:rsid w:val="00545F34"/>
    <w:rsid w:val="00547D82"/>
    <w:rsid w:val="00550F63"/>
    <w:rsid w:val="00552AE0"/>
    <w:rsid w:val="005535BC"/>
    <w:rsid w:val="00553601"/>
    <w:rsid w:val="00553900"/>
    <w:rsid w:val="00555101"/>
    <w:rsid w:val="00555326"/>
    <w:rsid w:val="00556C09"/>
    <w:rsid w:val="005610FD"/>
    <w:rsid w:val="00561ED2"/>
    <w:rsid w:val="00562345"/>
    <w:rsid w:val="00563AE6"/>
    <w:rsid w:val="00566FC1"/>
    <w:rsid w:val="005673A7"/>
    <w:rsid w:val="005674F3"/>
    <w:rsid w:val="005709C4"/>
    <w:rsid w:val="005709F1"/>
    <w:rsid w:val="00570A24"/>
    <w:rsid w:val="005715C1"/>
    <w:rsid w:val="00582390"/>
    <w:rsid w:val="00582E23"/>
    <w:rsid w:val="0058582B"/>
    <w:rsid w:val="00585E3A"/>
    <w:rsid w:val="005866ED"/>
    <w:rsid w:val="00590954"/>
    <w:rsid w:val="00591262"/>
    <w:rsid w:val="00593B7D"/>
    <w:rsid w:val="005A1C38"/>
    <w:rsid w:val="005A1F0A"/>
    <w:rsid w:val="005A21EB"/>
    <w:rsid w:val="005A4164"/>
    <w:rsid w:val="005A6D23"/>
    <w:rsid w:val="005A6D47"/>
    <w:rsid w:val="005B0481"/>
    <w:rsid w:val="005B0980"/>
    <w:rsid w:val="005B0ABD"/>
    <w:rsid w:val="005B49D0"/>
    <w:rsid w:val="005B70C8"/>
    <w:rsid w:val="005B78FE"/>
    <w:rsid w:val="005B7E2A"/>
    <w:rsid w:val="005C7988"/>
    <w:rsid w:val="005D13A6"/>
    <w:rsid w:val="005D220A"/>
    <w:rsid w:val="005D6A2E"/>
    <w:rsid w:val="005E0EBE"/>
    <w:rsid w:val="005E1A9A"/>
    <w:rsid w:val="005E24B7"/>
    <w:rsid w:val="005E3B49"/>
    <w:rsid w:val="005F0DC0"/>
    <w:rsid w:val="005F1D4B"/>
    <w:rsid w:val="005F3652"/>
    <w:rsid w:val="005F486C"/>
    <w:rsid w:val="005F615F"/>
    <w:rsid w:val="00600038"/>
    <w:rsid w:val="006013DD"/>
    <w:rsid w:val="00602DDD"/>
    <w:rsid w:val="006035F3"/>
    <w:rsid w:val="0060390C"/>
    <w:rsid w:val="00604709"/>
    <w:rsid w:val="0060580D"/>
    <w:rsid w:val="0060691A"/>
    <w:rsid w:val="0061060D"/>
    <w:rsid w:val="00611193"/>
    <w:rsid w:val="0061149F"/>
    <w:rsid w:val="0061268A"/>
    <w:rsid w:val="006127C4"/>
    <w:rsid w:val="00615E2A"/>
    <w:rsid w:val="00616AB0"/>
    <w:rsid w:val="00617FEF"/>
    <w:rsid w:val="00621B84"/>
    <w:rsid w:val="00621C8A"/>
    <w:rsid w:val="0062206B"/>
    <w:rsid w:val="00622C9A"/>
    <w:rsid w:val="00624926"/>
    <w:rsid w:val="00624DB1"/>
    <w:rsid w:val="00625915"/>
    <w:rsid w:val="006270F5"/>
    <w:rsid w:val="00631BA2"/>
    <w:rsid w:val="006338A2"/>
    <w:rsid w:val="00635EF9"/>
    <w:rsid w:val="0063626B"/>
    <w:rsid w:val="00636CA1"/>
    <w:rsid w:val="006431F0"/>
    <w:rsid w:val="006434D8"/>
    <w:rsid w:val="00644321"/>
    <w:rsid w:val="006447EF"/>
    <w:rsid w:val="00647116"/>
    <w:rsid w:val="00647B24"/>
    <w:rsid w:val="00650200"/>
    <w:rsid w:val="00651BD9"/>
    <w:rsid w:val="00652185"/>
    <w:rsid w:val="00655658"/>
    <w:rsid w:val="00657C5C"/>
    <w:rsid w:val="00657F3A"/>
    <w:rsid w:val="00662125"/>
    <w:rsid w:val="00662C0E"/>
    <w:rsid w:val="006640DF"/>
    <w:rsid w:val="00665599"/>
    <w:rsid w:val="00665AB1"/>
    <w:rsid w:val="00667C0E"/>
    <w:rsid w:val="006700AA"/>
    <w:rsid w:val="00670857"/>
    <w:rsid w:val="0067234F"/>
    <w:rsid w:val="006728E4"/>
    <w:rsid w:val="00675739"/>
    <w:rsid w:val="006760F8"/>
    <w:rsid w:val="006778BF"/>
    <w:rsid w:val="00677EC7"/>
    <w:rsid w:val="0068048F"/>
    <w:rsid w:val="00686A6E"/>
    <w:rsid w:val="0069219D"/>
    <w:rsid w:val="0069472F"/>
    <w:rsid w:val="006A51AF"/>
    <w:rsid w:val="006A6DAC"/>
    <w:rsid w:val="006B195A"/>
    <w:rsid w:val="006B2D1F"/>
    <w:rsid w:val="006B2EC5"/>
    <w:rsid w:val="006B3BC8"/>
    <w:rsid w:val="006B4755"/>
    <w:rsid w:val="006B54A8"/>
    <w:rsid w:val="006B7034"/>
    <w:rsid w:val="006C0D85"/>
    <w:rsid w:val="006C29D9"/>
    <w:rsid w:val="006C32F8"/>
    <w:rsid w:val="006C4E5C"/>
    <w:rsid w:val="006C7F9E"/>
    <w:rsid w:val="006D0D12"/>
    <w:rsid w:val="006D0DF1"/>
    <w:rsid w:val="006D0FF4"/>
    <w:rsid w:val="006D1164"/>
    <w:rsid w:val="006D7AED"/>
    <w:rsid w:val="006D7DB2"/>
    <w:rsid w:val="006E1FA6"/>
    <w:rsid w:val="006E223E"/>
    <w:rsid w:val="006E3038"/>
    <w:rsid w:val="006E6120"/>
    <w:rsid w:val="006E7E46"/>
    <w:rsid w:val="006F1F3C"/>
    <w:rsid w:val="006F2296"/>
    <w:rsid w:val="006F2299"/>
    <w:rsid w:val="006F26E2"/>
    <w:rsid w:val="006F7629"/>
    <w:rsid w:val="007004B0"/>
    <w:rsid w:val="00700DA8"/>
    <w:rsid w:val="00701821"/>
    <w:rsid w:val="00701B17"/>
    <w:rsid w:val="00702185"/>
    <w:rsid w:val="007057D1"/>
    <w:rsid w:val="0070602D"/>
    <w:rsid w:val="0071021D"/>
    <w:rsid w:val="007118D5"/>
    <w:rsid w:val="007150D3"/>
    <w:rsid w:val="00716641"/>
    <w:rsid w:val="00716B30"/>
    <w:rsid w:val="00716E0D"/>
    <w:rsid w:val="00717C8A"/>
    <w:rsid w:val="007214A2"/>
    <w:rsid w:val="00721678"/>
    <w:rsid w:val="0072264D"/>
    <w:rsid w:val="00722FB7"/>
    <w:rsid w:val="00726446"/>
    <w:rsid w:val="00727A97"/>
    <w:rsid w:val="00732CB1"/>
    <w:rsid w:val="00734097"/>
    <w:rsid w:val="00734634"/>
    <w:rsid w:val="00735EB9"/>
    <w:rsid w:val="00735F1A"/>
    <w:rsid w:val="00736435"/>
    <w:rsid w:val="00736B2A"/>
    <w:rsid w:val="007378F6"/>
    <w:rsid w:val="00740E61"/>
    <w:rsid w:val="007417EE"/>
    <w:rsid w:val="007418E1"/>
    <w:rsid w:val="00741A68"/>
    <w:rsid w:val="00741F4D"/>
    <w:rsid w:val="00742DE1"/>
    <w:rsid w:val="007443B5"/>
    <w:rsid w:val="00744BE8"/>
    <w:rsid w:val="00746D0F"/>
    <w:rsid w:val="00747124"/>
    <w:rsid w:val="00750612"/>
    <w:rsid w:val="007521DF"/>
    <w:rsid w:val="007552DE"/>
    <w:rsid w:val="00757037"/>
    <w:rsid w:val="00760DA7"/>
    <w:rsid w:val="00763BB6"/>
    <w:rsid w:val="00764713"/>
    <w:rsid w:val="00764CEC"/>
    <w:rsid w:val="007657FE"/>
    <w:rsid w:val="0076615E"/>
    <w:rsid w:val="0076629E"/>
    <w:rsid w:val="00767783"/>
    <w:rsid w:val="00767BEC"/>
    <w:rsid w:val="0077090E"/>
    <w:rsid w:val="0077556D"/>
    <w:rsid w:val="00775A30"/>
    <w:rsid w:val="00777D8B"/>
    <w:rsid w:val="007838A8"/>
    <w:rsid w:val="00784370"/>
    <w:rsid w:val="00784DEA"/>
    <w:rsid w:val="007852B9"/>
    <w:rsid w:val="00787FA7"/>
    <w:rsid w:val="00790104"/>
    <w:rsid w:val="007901D4"/>
    <w:rsid w:val="007936FF"/>
    <w:rsid w:val="00793ED4"/>
    <w:rsid w:val="007977E2"/>
    <w:rsid w:val="00797A01"/>
    <w:rsid w:val="007A041E"/>
    <w:rsid w:val="007A1273"/>
    <w:rsid w:val="007A29B0"/>
    <w:rsid w:val="007A2B5C"/>
    <w:rsid w:val="007A62C7"/>
    <w:rsid w:val="007B2B63"/>
    <w:rsid w:val="007B3D9C"/>
    <w:rsid w:val="007B54AB"/>
    <w:rsid w:val="007B743B"/>
    <w:rsid w:val="007C192C"/>
    <w:rsid w:val="007C2981"/>
    <w:rsid w:val="007C5BFA"/>
    <w:rsid w:val="007C5F73"/>
    <w:rsid w:val="007C7EA1"/>
    <w:rsid w:val="007D057D"/>
    <w:rsid w:val="007E017B"/>
    <w:rsid w:val="007E0642"/>
    <w:rsid w:val="007F29D0"/>
    <w:rsid w:val="007F30FF"/>
    <w:rsid w:val="007F7B47"/>
    <w:rsid w:val="00800730"/>
    <w:rsid w:val="0080098E"/>
    <w:rsid w:val="00800CFA"/>
    <w:rsid w:val="008025D8"/>
    <w:rsid w:val="008029E4"/>
    <w:rsid w:val="00803C6E"/>
    <w:rsid w:val="0080505B"/>
    <w:rsid w:val="0080534A"/>
    <w:rsid w:val="008057E8"/>
    <w:rsid w:val="008107FE"/>
    <w:rsid w:val="0081346B"/>
    <w:rsid w:val="00815509"/>
    <w:rsid w:val="0081628F"/>
    <w:rsid w:val="008162FC"/>
    <w:rsid w:val="00822104"/>
    <w:rsid w:val="00822539"/>
    <w:rsid w:val="00823BCA"/>
    <w:rsid w:val="008243E2"/>
    <w:rsid w:val="00826AA6"/>
    <w:rsid w:val="00830E8B"/>
    <w:rsid w:val="0083359A"/>
    <w:rsid w:val="0083521C"/>
    <w:rsid w:val="0083602E"/>
    <w:rsid w:val="0083785F"/>
    <w:rsid w:val="008378D1"/>
    <w:rsid w:val="00842941"/>
    <w:rsid w:val="008463BF"/>
    <w:rsid w:val="00846488"/>
    <w:rsid w:val="00847F5F"/>
    <w:rsid w:val="00851CC8"/>
    <w:rsid w:val="00855EF4"/>
    <w:rsid w:val="008562B4"/>
    <w:rsid w:val="00861F4B"/>
    <w:rsid w:val="008629B0"/>
    <w:rsid w:val="00863C4D"/>
    <w:rsid w:val="00865B57"/>
    <w:rsid w:val="008662A9"/>
    <w:rsid w:val="008673E0"/>
    <w:rsid w:val="008743E4"/>
    <w:rsid w:val="00875248"/>
    <w:rsid w:val="008753AB"/>
    <w:rsid w:val="0087766A"/>
    <w:rsid w:val="008836D1"/>
    <w:rsid w:val="00883E20"/>
    <w:rsid w:val="00884635"/>
    <w:rsid w:val="008847AA"/>
    <w:rsid w:val="00884E5A"/>
    <w:rsid w:val="00885BAD"/>
    <w:rsid w:val="00886006"/>
    <w:rsid w:val="00886318"/>
    <w:rsid w:val="00887348"/>
    <w:rsid w:val="00887595"/>
    <w:rsid w:val="008910B5"/>
    <w:rsid w:val="00892329"/>
    <w:rsid w:val="008963C3"/>
    <w:rsid w:val="00896DE7"/>
    <w:rsid w:val="008A0D14"/>
    <w:rsid w:val="008A3EAA"/>
    <w:rsid w:val="008A42E3"/>
    <w:rsid w:val="008A71BA"/>
    <w:rsid w:val="008A75FD"/>
    <w:rsid w:val="008B06DB"/>
    <w:rsid w:val="008B0B37"/>
    <w:rsid w:val="008B1665"/>
    <w:rsid w:val="008B37AD"/>
    <w:rsid w:val="008B4661"/>
    <w:rsid w:val="008B4CF6"/>
    <w:rsid w:val="008B577B"/>
    <w:rsid w:val="008B611F"/>
    <w:rsid w:val="008B691C"/>
    <w:rsid w:val="008C313F"/>
    <w:rsid w:val="008C3BFC"/>
    <w:rsid w:val="008D247A"/>
    <w:rsid w:val="008E28B4"/>
    <w:rsid w:val="008E46A9"/>
    <w:rsid w:val="008E61A3"/>
    <w:rsid w:val="008E734C"/>
    <w:rsid w:val="008E73AF"/>
    <w:rsid w:val="008F0C53"/>
    <w:rsid w:val="008F47E5"/>
    <w:rsid w:val="008F4B86"/>
    <w:rsid w:val="008F73B7"/>
    <w:rsid w:val="00901F8E"/>
    <w:rsid w:val="009020CE"/>
    <w:rsid w:val="00902F5B"/>
    <w:rsid w:val="00903F2C"/>
    <w:rsid w:val="00906BBB"/>
    <w:rsid w:val="0090797A"/>
    <w:rsid w:val="009104F5"/>
    <w:rsid w:val="00914654"/>
    <w:rsid w:val="0091469A"/>
    <w:rsid w:val="009151DD"/>
    <w:rsid w:val="00916313"/>
    <w:rsid w:val="00916A8E"/>
    <w:rsid w:val="00916C0C"/>
    <w:rsid w:val="0091783F"/>
    <w:rsid w:val="00920FAC"/>
    <w:rsid w:val="00921C18"/>
    <w:rsid w:val="009238B7"/>
    <w:rsid w:val="009267E9"/>
    <w:rsid w:val="00926F94"/>
    <w:rsid w:val="009326DC"/>
    <w:rsid w:val="00934636"/>
    <w:rsid w:val="00934D41"/>
    <w:rsid w:val="00934ECA"/>
    <w:rsid w:val="009364C8"/>
    <w:rsid w:val="00943C98"/>
    <w:rsid w:val="00944E6F"/>
    <w:rsid w:val="00947ECC"/>
    <w:rsid w:val="00957AD9"/>
    <w:rsid w:val="00961979"/>
    <w:rsid w:val="00962AC3"/>
    <w:rsid w:val="0096719D"/>
    <w:rsid w:val="009703F2"/>
    <w:rsid w:val="009736C6"/>
    <w:rsid w:val="009738A1"/>
    <w:rsid w:val="009762C4"/>
    <w:rsid w:val="00976C36"/>
    <w:rsid w:val="00980AA6"/>
    <w:rsid w:val="009811FF"/>
    <w:rsid w:val="00982866"/>
    <w:rsid w:val="00983722"/>
    <w:rsid w:val="00984AE5"/>
    <w:rsid w:val="00987E64"/>
    <w:rsid w:val="00990E6B"/>
    <w:rsid w:val="0099161E"/>
    <w:rsid w:val="009926B0"/>
    <w:rsid w:val="00997630"/>
    <w:rsid w:val="0099791D"/>
    <w:rsid w:val="009A1D84"/>
    <w:rsid w:val="009A3425"/>
    <w:rsid w:val="009A4B60"/>
    <w:rsid w:val="009A79C0"/>
    <w:rsid w:val="009B155E"/>
    <w:rsid w:val="009B2773"/>
    <w:rsid w:val="009B3CA9"/>
    <w:rsid w:val="009B51FB"/>
    <w:rsid w:val="009B52B8"/>
    <w:rsid w:val="009B70F5"/>
    <w:rsid w:val="009B73CB"/>
    <w:rsid w:val="009C3535"/>
    <w:rsid w:val="009C59C7"/>
    <w:rsid w:val="009C7BF6"/>
    <w:rsid w:val="009D05A1"/>
    <w:rsid w:val="009D14D4"/>
    <w:rsid w:val="009D1A16"/>
    <w:rsid w:val="009D2C51"/>
    <w:rsid w:val="009D355D"/>
    <w:rsid w:val="009D366F"/>
    <w:rsid w:val="009D6C80"/>
    <w:rsid w:val="009E09C1"/>
    <w:rsid w:val="009E41F9"/>
    <w:rsid w:val="009E43DE"/>
    <w:rsid w:val="009E582D"/>
    <w:rsid w:val="009E76A6"/>
    <w:rsid w:val="009E7CF4"/>
    <w:rsid w:val="009F18C1"/>
    <w:rsid w:val="009F4130"/>
    <w:rsid w:val="009F636E"/>
    <w:rsid w:val="009F7E00"/>
    <w:rsid w:val="00A02A0B"/>
    <w:rsid w:val="00A02E65"/>
    <w:rsid w:val="00A03A90"/>
    <w:rsid w:val="00A03BC6"/>
    <w:rsid w:val="00A03CA5"/>
    <w:rsid w:val="00A03EF3"/>
    <w:rsid w:val="00A07566"/>
    <w:rsid w:val="00A1174D"/>
    <w:rsid w:val="00A126A4"/>
    <w:rsid w:val="00A13FF8"/>
    <w:rsid w:val="00A140B5"/>
    <w:rsid w:val="00A14729"/>
    <w:rsid w:val="00A1718F"/>
    <w:rsid w:val="00A17871"/>
    <w:rsid w:val="00A17A2D"/>
    <w:rsid w:val="00A17C10"/>
    <w:rsid w:val="00A21808"/>
    <w:rsid w:val="00A21D5E"/>
    <w:rsid w:val="00A2614E"/>
    <w:rsid w:val="00A267EB"/>
    <w:rsid w:val="00A26984"/>
    <w:rsid w:val="00A269D9"/>
    <w:rsid w:val="00A26F11"/>
    <w:rsid w:val="00A32F6E"/>
    <w:rsid w:val="00A34DC6"/>
    <w:rsid w:val="00A37724"/>
    <w:rsid w:val="00A37AA1"/>
    <w:rsid w:val="00A45145"/>
    <w:rsid w:val="00A45EB9"/>
    <w:rsid w:val="00A46956"/>
    <w:rsid w:val="00A47434"/>
    <w:rsid w:val="00A47FF3"/>
    <w:rsid w:val="00A50A88"/>
    <w:rsid w:val="00A51DB0"/>
    <w:rsid w:val="00A52031"/>
    <w:rsid w:val="00A54F86"/>
    <w:rsid w:val="00A5549C"/>
    <w:rsid w:val="00A563E5"/>
    <w:rsid w:val="00A6098E"/>
    <w:rsid w:val="00A6156E"/>
    <w:rsid w:val="00A61899"/>
    <w:rsid w:val="00A62CD5"/>
    <w:rsid w:val="00A646D6"/>
    <w:rsid w:val="00A64A6D"/>
    <w:rsid w:val="00A64E63"/>
    <w:rsid w:val="00A66833"/>
    <w:rsid w:val="00A67849"/>
    <w:rsid w:val="00A742D8"/>
    <w:rsid w:val="00A7436A"/>
    <w:rsid w:val="00A757E5"/>
    <w:rsid w:val="00A770AC"/>
    <w:rsid w:val="00A7715A"/>
    <w:rsid w:val="00A82E87"/>
    <w:rsid w:val="00A839BD"/>
    <w:rsid w:val="00A84698"/>
    <w:rsid w:val="00A85462"/>
    <w:rsid w:val="00A858F6"/>
    <w:rsid w:val="00A85B6D"/>
    <w:rsid w:val="00A91711"/>
    <w:rsid w:val="00A92B93"/>
    <w:rsid w:val="00A93959"/>
    <w:rsid w:val="00A93BDF"/>
    <w:rsid w:val="00A961C6"/>
    <w:rsid w:val="00A96755"/>
    <w:rsid w:val="00A96D93"/>
    <w:rsid w:val="00A97DFB"/>
    <w:rsid w:val="00AA0AA8"/>
    <w:rsid w:val="00AA35A2"/>
    <w:rsid w:val="00AA50E3"/>
    <w:rsid w:val="00AB0994"/>
    <w:rsid w:val="00AB1DCC"/>
    <w:rsid w:val="00AB2BB4"/>
    <w:rsid w:val="00AB4206"/>
    <w:rsid w:val="00AB5E6E"/>
    <w:rsid w:val="00AB6766"/>
    <w:rsid w:val="00AB6A3F"/>
    <w:rsid w:val="00AB78F6"/>
    <w:rsid w:val="00AC10A1"/>
    <w:rsid w:val="00AC1CD0"/>
    <w:rsid w:val="00AC2FAB"/>
    <w:rsid w:val="00AC4E23"/>
    <w:rsid w:val="00AC4F76"/>
    <w:rsid w:val="00AD011C"/>
    <w:rsid w:val="00AD0C1C"/>
    <w:rsid w:val="00AE060E"/>
    <w:rsid w:val="00AE146B"/>
    <w:rsid w:val="00AE3079"/>
    <w:rsid w:val="00AE4993"/>
    <w:rsid w:val="00AE572F"/>
    <w:rsid w:val="00AE5FE1"/>
    <w:rsid w:val="00AF056E"/>
    <w:rsid w:val="00AF06EE"/>
    <w:rsid w:val="00AF4EBA"/>
    <w:rsid w:val="00AF75C2"/>
    <w:rsid w:val="00AF7C97"/>
    <w:rsid w:val="00B00D42"/>
    <w:rsid w:val="00B02351"/>
    <w:rsid w:val="00B027E9"/>
    <w:rsid w:val="00B033B0"/>
    <w:rsid w:val="00B03E8A"/>
    <w:rsid w:val="00B04188"/>
    <w:rsid w:val="00B041A8"/>
    <w:rsid w:val="00B10257"/>
    <w:rsid w:val="00B12F78"/>
    <w:rsid w:val="00B15D32"/>
    <w:rsid w:val="00B15D96"/>
    <w:rsid w:val="00B202CE"/>
    <w:rsid w:val="00B22209"/>
    <w:rsid w:val="00B22880"/>
    <w:rsid w:val="00B22D06"/>
    <w:rsid w:val="00B26334"/>
    <w:rsid w:val="00B266F6"/>
    <w:rsid w:val="00B35730"/>
    <w:rsid w:val="00B35A88"/>
    <w:rsid w:val="00B4046F"/>
    <w:rsid w:val="00B41EBE"/>
    <w:rsid w:val="00B4449D"/>
    <w:rsid w:val="00B44A9B"/>
    <w:rsid w:val="00B512A6"/>
    <w:rsid w:val="00B51895"/>
    <w:rsid w:val="00B51D69"/>
    <w:rsid w:val="00B5212A"/>
    <w:rsid w:val="00B521BB"/>
    <w:rsid w:val="00B53352"/>
    <w:rsid w:val="00B566D3"/>
    <w:rsid w:val="00B568DB"/>
    <w:rsid w:val="00B604F4"/>
    <w:rsid w:val="00B632EB"/>
    <w:rsid w:val="00B65111"/>
    <w:rsid w:val="00B66A20"/>
    <w:rsid w:val="00B7072A"/>
    <w:rsid w:val="00B71129"/>
    <w:rsid w:val="00B71FA6"/>
    <w:rsid w:val="00B729A5"/>
    <w:rsid w:val="00B73E4A"/>
    <w:rsid w:val="00B81B5B"/>
    <w:rsid w:val="00B81C48"/>
    <w:rsid w:val="00B826E6"/>
    <w:rsid w:val="00B82800"/>
    <w:rsid w:val="00B83C31"/>
    <w:rsid w:val="00B849B1"/>
    <w:rsid w:val="00B8674F"/>
    <w:rsid w:val="00B8728C"/>
    <w:rsid w:val="00B9025B"/>
    <w:rsid w:val="00B91C2D"/>
    <w:rsid w:val="00B9355A"/>
    <w:rsid w:val="00B937ED"/>
    <w:rsid w:val="00B93CDA"/>
    <w:rsid w:val="00B95AEC"/>
    <w:rsid w:val="00B964B1"/>
    <w:rsid w:val="00B9765C"/>
    <w:rsid w:val="00BA0CD9"/>
    <w:rsid w:val="00BA1004"/>
    <w:rsid w:val="00BA1135"/>
    <w:rsid w:val="00BA16C0"/>
    <w:rsid w:val="00BA329F"/>
    <w:rsid w:val="00BA3DF0"/>
    <w:rsid w:val="00BA3E49"/>
    <w:rsid w:val="00BA3FF2"/>
    <w:rsid w:val="00BA551C"/>
    <w:rsid w:val="00BA69F7"/>
    <w:rsid w:val="00BA7342"/>
    <w:rsid w:val="00BA7CE7"/>
    <w:rsid w:val="00BB0073"/>
    <w:rsid w:val="00BB0C9B"/>
    <w:rsid w:val="00BB360D"/>
    <w:rsid w:val="00BC3B91"/>
    <w:rsid w:val="00BC4769"/>
    <w:rsid w:val="00BC4B72"/>
    <w:rsid w:val="00BC5F79"/>
    <w:rsid w:val="00BC6419"/>
    <w:rsid w:val="00BC66A3"/>
    <w:rsid w:val="00BD010A"/>
    <w:rsid w:val="00BD2AFE"/>
    <w:rsid w:val="00BD2C03"/>
    <w:rsid w:val="00BD415C"/>
    <w:rsid w:val="00BD4F1D"/>
    <w:rsid w:val="00BD5C52"/>
    <w:rsid w:val="00BD771B"/>
    <w:rsid w:val="00BE3BBF"/>
    <w:rsid w:val="00BE3C73"/>
    <w:rsid w:val="00BE4933"/>
    <w:rsid w:val="00BE4B85"/>
    <w:rsid w:val="00BE4C41"/>
    <w:rsid w:val="00BE56F0"/>
    <w:rsid w:val="00BE64FE"/>
    <w:rsid w:val="00BE7AF5"/>
    <w:rsid w:val="00BF0705"/>
    <w:rsid w:val="00BF3AF8"/>
    <w:rsid w:val="00BF5E5F"/>
    <w:rsid w:val="00BF6C0F"/>
    <w:rsid w:val="00BF7D1A"/>
    <w:rsid w:val="00C00F4E"/>
    <w:rsid w:val="00C02EEC"/>
    <w:rsid w:val="00C045C6"/>
    <w:rsid w:val="00C06D16"/>
    <w:rsid w:val="00C071AD"/>
    <w:rsid w:val="00C0787C"/>
    <w:rsid w:val="00C1022E"/>
    <w:rsid w:val="00C11218"/>
    <w:rsid w:val="00C1127D"/>
    <w:rsid w:val="00C15939"/>
    <w:rsid w:val="00C16C89"/>
    <w:rsid w:val="00C2155B"/>
    <w:rsid w:val="00C220A8"/>
    <w:rsid w:val="00C22706"/>
    <w:rsid w:val="00C237AA"/>
    <w:rsid w:val="00C24927"/>
    <w:rsid w:val="00C25D94"/>
    <w:rsid w:val="00C260B4"/>
    <w:rsid w:val="00C27347"/>
    <w:rsid w:val="00C2795C"/>
    <w:rsid w:val="00C30A2A"/>
    <w:rsid w:val="00C313B0"/>
    <w:rsid w:val="00C35E71"/>
    <w:rsid w:val="00C37DE6"/>
    <w:rsid w:val="00C410C8"/>
    <w:rsid w:val="00C414AB"/>
    <w:rsid w:val="00C435DE"/>
    <w:rsid w:val="00C44BAD"/>
    <w:rsid w:val="00C470C8"/>
    <w:rsid w:val="00C473B1"/>
    <w:rsid w:val="00C51D74"/>
    <w:rsid w:val="00C52500"/>
    <w:rsid w:val="00C57357"/>
    <w:rsid w:val="00C575A9"/>
    <w:rsid w:val="00C60B70"/>
    <w:rsid w:val="00C621D5"/>
    <w:rsid w:val="00C63EC7"/>
    <w:rsid w:val="00C640B8"/>
    <w:rsid w:val="00C6548A"/>
    <w:rsid w:val="00C6764A"/>
    <w:rsid w:val="00C70DC6"/>
    <w:rsid w:val="00C72FE8"/>
    <w:rsid w:val="00C74559"/>
    <w:rsid w:val="00C758CD"/>
    <w:rsid w:val="00C77295"/>
    <w:rsid w:val="00C821EB"/>
    <w:rsid w:val="00C8223F"/>
    <w:rsid w:val="00C87857"/>
    <w:rsid w:val="00C87C65"/>
    <w:rsid w:val="00C9041E"/>
    <w:rsid w:val="00C9060C"/>
    <w:rsid w:val="00C931AE"/>
    <w:rsid w:val="00C94B24"/>
    <w:rsid w:val="00C96F67"/>
    <w:rsid w:val="00C9705F"/>
    <w:rsid w:val="00CA16EB"/>
    <w:rsid w:val="00CA1B97"/>
    <w:rsid w:val="00CA1D13"/>
    <w:rsid w:val="00CA29C0"/>
    <w:rsid w:val="00CA32F2"/>
    <w:rsid w:val="00CA4413"/>
    <w:rsid w:val="00CA6BC3"/>
    <w:rsid w:val="00CA7FBA"/>
    <w:rsid w:val="00CB21E9"/>
    <w:rsid w:val="00CB3B7C"/>
    <w:rsid w:val="00CB3DF3"/>
    <w:rsid w:val="00CB513E"/>
    <w:rsid w:val="00CB5240"/>
    <w:rsid w:val="00CB581A"/>
    <w:rsid w:val="00CB7F6F"/>
    <w:rsid w:val="00CC22ED"/>
    <w:rsid w:val="00CC330D"/>
    <w:rsid w:val="00CC40D2"/>
    <w:rsid w:val="00CC4421"/>
    <w:rsid w:val="00CC671B"/>
    <w:rsid w:val="00CC69C1"/>
    <w:rsid w:val="00CD08C9"/>
    <w:rsid w:val="00CD09E9"/>
    <w:rsid w:val="00CD19A7"/>
    <w:rsid w:val="00CD2A75"/>
    <w:rsid w:val="00CD387F"/>
    <w:rsid w:val="00CD3D9D"/>
    <w:rsid w:val="00CD4BA5"/>
    <w:rsid w:val="00CE65F2"/>
    <w:rsid w:val="00CF2936"/>
    <w:rsid w:val="00CF2AFC"/>
    <w:rsid w:val="00CF466E"/>
    <w:rsid w:val="00CF6817"/>
    <w:rsid w:val="00D01BC7"/>
    <w:rsid w:val="00D041CE"/>
    <w:rsid w:val="00D111D3"/>
    <w:rsid w:val="00D12209"/>
    <w:rsid w:val="00D13827"/>
    <w:rsid w:val="00D163B0"/>
    <w:rsid w:val="00D17AD7"/>
    <w:rsid w:val="00D21E1E"/>
    <w:rsid w:val="00D22FD7"/>
    <w:rsid w:val="00D24646"/>
    <w:rsid w:val="00D259D0"/>
    <w:rsid w:val="00D2685F"/>
    <w:rsid w:val="00D27289"/>
    <w:rsid w:val="00D31D2F"/>
    <w:rsid w:val="00D32286"/>
    <w:rsid w:val="00D34468"/>
    <w:rsid w:val="00D368FF"/>
    <w:rsid w:val="00D37887"/>
    <w:rsid w:val="00D408BB"/>
    <w:rsid w:val="00D43F57"/>
    <w:rsid w:val="00D440C2"/>
    <w:rsid w:val="00D46EE9"/>
    <w:rsid w:val="00D51F65"/>
    <w:rsid w:val="00D52AE2"/>
    <w:rsid w:val="00D5379A"/>
    <w:rsid w:val="00D549B7"/>
    <w:rsid w:val="00D5645A"/>
    <w:rsid w:val="00D5686A"/>
    <w:rsid w:val="00D57A9B"/>
    <w:rsid w:val="00D60DCF"/>
    <w:rsid w:val="00D60FC8"/>
    <w:rsid w:val="00D62446"/>
    <w:rsid w:val="00D628B2"/>
    <w:rsid w:val="00D64CA5"/>
    <w:rsid w:val="00D701DF"/>
    <w:rsid w:val="00D72A1C"/>
    <w:rsid w:val="00D74F8E"/>
    <w:rsid w:val="00D754D3"/>
    <w:rsid w:val="00D75D3E"/>
    <w:rsid w:val="00D767E9"/>
    <w:rsid w:val="00D81C77"/>
    <w:rsid w:val="00D8200F"/>
    <w:rsid w:val="00D8208E"/>
    <w:rsid w:val="00D841AA"/>
    <w:rsid w:val="00D846CF"/>
    <w:rsid w:val="00D84890"/>
    <w:rsid w:val="00D85E8E"/>
    <w:rsid w:val="00D87917"/>
    <w:rsid w:val="00D90C85"/>
    <w:rsid w:val="00D92D27"/>
    <w:rsid w:val="00D93050"/>
    <w:rsid w:val="00D9371B"/>
    <w:rsid w:val="00D93949"/>
    <w:rsid w:val="00D95551"/>
    <w:rsid w:val="00D95A72"/>
    <w:rsid w:val="00D962B0"/>
    <w:rsid w:val="00D97912"/>
    <w:rsid w:val="00D97DF8"/>
    <w:rsid w:val="00DA0020"/>
    <w:rsid w:val="00DA04A9"/>
    <w:rsid w:val="00DA1B07"/>
    <w:rsid w:val="00DA2FC0"/>
    <w:rsid w:val="00DA4EAF"/>
    <w:rsid w:val="00DA6CFE"/>
    <w:rsid w:val="00DB106C"/>
    <w:rsid w:val="00DB2700"/>
    <w:rsid w:val="00DB3147"/>
    <w:rsid w:val="00DB41FC"/>
    <w:rsid w:val="00DB5B5F"/>
    <w:rsid w:val="00DB5E5A"/>
    <w:rsid w:val="00DB69B6"/>
    <w:rsid w:val="00DC0B8A"/>
    <w:rsid w:val="00DC14E7"/>
    <w:rsid w:val="00DC6052"/>
    <w:rsid w:val="00DD176F"/>
    <w:rsid w:val="00DD2F1E"/>
    <w:rsid w:val="00DD3972"/>
    <w:rsid w:val="00DD47F8"/>
    <w:rsid w:val="00DD50E1"/>
    <w:rsid w:val="00DD74E7"/>
    <w:rsid w:val="00DE0678"/>
    <w:rsid w:val="00DE4B18"/>
    <w:rsid w:val="00DF006D"/>
    <w:rsid w:val="00DF2340"/>
    <w:rsid w:val="00DF2E48"/>
    <w:rsid w:val="00DF3F83"/>
    <w:rsid w:val="00E02C79"/>
    <w:rsid w:val="00E031EB"/>
    <w:rsid w:val="00E10727"/>
    <w:rsid w:val="00E124C2"/>
    <w:rsid w:val="00E124CF"/>
    <w:rsid w:val="00E12CF9"/>
    <w:rsid w:val="00E16CD1"/>
    <w:rsid w:val="00E23C8B"/>
    <w:rsid w:val="00E25654"/>
    <w:rsid w:val="00E25C89"/>
    <w:rsid w:val="00E2792F"/>
    <w:rsid w:val="00E317F7"/>
    <w:rsid w:val="00E33EE6"/>
    <w:rsid w:val="00E35995"/>
    <w:rsid w:val="00E35D8E"/>
    <w:rsid w:val="00E3720E"/>
    <w:rsid w:val="00E37B82"/>
    <w:rsid w:val="00E40CB4"/>
    <w:rsid w:val="00E449A5"/>
    <w:rsid w:val="00E45620"/>
    <w:rsid w:val="00E463F8"/>
    <w:rsid w:val="00E4688C"/>
    <w:rsid w:val="00E46ABF"/>
    <w:rsid w:val="00E47D28"/>
    <w:rsid w:val="00E47D79"/>
    <w:rsid w:val="00E501CA"/>
    <w:rsid w:val="00E54B79"/>
    <w:rsid w:val="00E550F5"/>
    <w:rsid w:val="00E57636"/>
    <w:rsid w:val="00E600FB"/>
    <w:rsid w:val="00E61CD5"/>
    <w:rsid w:val="00E636C5"/>
    <w:rsid w:val="00E6539C"/>
    <w:rsid w:val="00E66CA8"/>
    <w:rsid w:val="00E67150"/>
    <w:rsid w:val="00E7004B"/>
    <w:rsid w:val="00E70618"/>
    <w:rsid w:val="00E71AD2"/>
    <w:rsid w:val="00E73470"/>
    <w:rsid w:val="00E81E7F"/>
    <w:rsid w:val="00E81F01"/>
    <w:rsid w:val="00E82538"/>
    <w:rsid w:val="00E831CA"/>
    <w:rsid w:val="00E85033"/>
    <w:rsid w:val="00E854C6"/>
    <w:rsid w:val="00E85926"/>
    <w:rsid w:val="00E864AE"/>
    <w:rsid w:val="00E87978"/>
    <w:rsid w:val="00E9006E"/>
    <w:rsid w:val="00E93933"/>
    <w:rsid w:val="00E96D95"/>
    <w:rsid w:val="00EA08D2"/>
    <w:rsid w:val="00EA129B"/>
    <w:rsid w:val="00EA6187"/>
    <w:rsid w:val="00EA6E87"/>
    <w:rsid w:val="00EB0332"/>
    <w:rsid w:val="00EB182C"/>
    <w:rsid w:val="00EB2D13"/>
    <w:rsid w:val="00EB4344"/>
    <w:rsid w:val="00EB766D"/>
    <w:rsid w:val="00EC5A5E"/>
    <w:rsid w:val="00EC7647"/>
    <w:rsid w:val="00EC7A4F"/>
    <w:rsid w:val="00ED3E07"/>
    <w:rsid w:val="00ED46F8"/>
    <w:rsid w:val="00ED47B8"/>
    <w:rsid w:val="00ED4904"/>
    <w:rsid w:val="00ED6115"/>
    <w:rsid w:val="00EE237D"/>
    <w:rsid w:val="00EE38BF"/>
    <w:rsid w:val="00EE4CD4"/>
    <w:rsid w:val="00EE524F"/>
    <w:rsid w:val="00EE675A"/>
    <w:rsid w:val="00EF09B1"/>
    <w:rsid w:val="00EF0C52"/>
    <w:rsid w:val="00EF1445"/>
    <w:rsid w:val="00EF21C8"/>
    <w:rsid w:val="00EF28F1"/>
    <w:rsid w:val="00EF2C1A"/>
    <w:rsid w:val="00EF6487"/>
    <w:rsid w:val="00EF7D07"/>
    <w:rsid w:val="00F035E4"/>
    <w:rsid w:val="00F049DD"/>
    <w:rsid w:val="00F04C63"/>
    <w:rsid w:val="00F05535"/>
    <w:rsid w:val="00F13E1A"/>
    <w:rsid w:val="00F153F2"/>
    <w:rsid w:val="00F1792B"/>
    <w:rsid w:val="00F17C21"/>
    <w:rsid w:val="00F2077C"/>
    <w:rsid w:val="00F2463E"/>
    <w:rsid w:val="00F251AB"/>
    <w:rsid w:val="00F306A4"/>
    <w:rsid w:val="00F32F7A"/>
    <w:rsid w:val="00F334C1"/>
    <w:rsid w:val="00F33960"/>
    <w:rsid w:val="00F35807"/>
    <w:rsid w:val="00F40C28"/>
    <w:rsid w:val="00F40E86"/>
    <w:rsid w:val="00F425BB"/>
    <w:rsid w:val="00F42939"/>
    <w:rsid w:val="00F440A7"/>
    <w:rsid w:val="00F47547"/>
    <w:rsid w:val="00F54283"/>
    <w:rsid w:val="00F56512"/>
    <w:rsid w:val="00F57E9B"/>
    <w:rsid w:val="00F6224F"/>
    <w:rsid w:val="00F62743"/>
    <w:rsid w:val="00F6585D"/>
    <w:rsid w:val="00F669F0"/>
    <w:rsid w:val="00F72240"/>
    <w:rsid w:val="00F77C41"/>
    <w:rsid w:val="00F77F92"/>
    <w:rsid w:val="00F824E1"/>
    <w:rsid w:val="00F82626"/>
    <w:rsid w:val="00F834E9"/>
    <w:rsid w:val="00F83B9D"/>
    <w:rsid w:val="00F86A9E"/>
    <w:rsid w:val="00F90F6F"/>
    <w:rsid w:val="00F92177"/>
    <w:rsid w:val="00F92D46"/>
    <w:rsid w:val="00F955F4"/>
    <w:rsid w:val="00F95FDF"/>
    <w:rsid w:val="00FA150E"/>
    <w:rsid w:val="00FA483C"/>
    <w:rsid w:val="00FA7515"/>
    <w:rsid w:val="00FA7CEB"/>
    <w:rsid w:val="00FB19F9"/>
    <w:rsid w:val="00FB2388"/>
    <w:rsid w:val="00FB418E"/>
    <w:rsid w:val="00FB4940"/>
    <w:rsid w:val="00FB5C61"/>
    <w:rsid w:val="00FB7F2A"/>
    <w:rsid w:val="00FC5BFC"/>
    <w:rsid w:val="00FC6B89"/>
    <w:rsid w:val="00FC76CA"/>
    <w:rsid w:val="00FD23D8"/>
    <w:rsid w:val="00FD5E4C"/>
    <w:rsid w:val="00FD6D58"/>
    <w:rsid w:val="00FD736A"/>
    <w:rsid w:val="00FE0279"/>
    <w:rsid w:val="00FE18F3"/>
    <w:rsid w:val="00FE3F2E"/>
    <w:rsid w:val="00FE504C"/>
    <w:rsid w:val="00FE6F7A"/>
    <w:rsid w:val="00FE75D7"/>
    <w:rsid w:val="00FF0FB3"/>
    <w:rsid w:val="00FF67A2"/>
    <w:rsid w:val="00FF783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FB414"/>
  <w15:docId w15:val="{B45D0E02-F107-4F76-A6B2-8DF0A6CA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C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E5DD8"/>
    <w:pPr>
      <w:spacing w:after="0" w:line="240" w:lineRule="auto"/>
    </w:pPr>
  </w:style>
  <w:style w:type="paragraph" w:styleId="Textodeglobo">
    <w:name w:val="Balloon Text"/>
    <w:basedOn w:val="Normal"/>
    <w:link w:val="TextodegloboCar"/>
    <w:uiPriority w:val="99"/>
    <w:semiHidden/>
    <w:unhideWhenUsed/>
    <w:rsid w:val="00C94B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B24"/>
    <w:rPr>
      <w:rFonts w:ascii="Tahoma" w:hAnsi="Tahoma" w:cs="Tahoma"/>
      <w:sz w:val="16"/>
      <w:szCs w:val="16"/>
    </w:rPr>
  </w:style>
  <w:style w:type="paragraph" w:styleId="Encabezado">
    <w:name w:val="header"/>
    <w:basedOn w:val="Normal"/>
    <w:link w:val="EncabezadoCar"/>
    <w:uiPriority w:val="99"/>
    <w:unhideWhenUsed/>
    <w:rsid w:val="00A609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098E"/>
  </w:style>
  <w:style w:type="paragraph" w:styleId="Piedepgina">
    <w:name w:val="footer"/>
    <w:basedOn w:val="Normal"/>
    <w:link w:val="PiedepginaCar"/>
    <w:uiPriority w:val="99"/>
    <w:unhideWhenUsed/>
    <w:rsid w:val="00A609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098E"/>
  </w:style>
  <w:style w:type="paragraph" w:styleId="NormalWeb">
    <w:name w:val="Normal (Web)"/>
    <w:basedOn w:val="Normal"/>
    <w:uiPriority w:val="99"/>
    <w:unhideWhenUsed/>
    <w:rsid w:val="004F33E6"/>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SinespaciadoCar">
    <w:name w:val="Sin espaciado Car"/>
    <w:basedOn w:val="Fuentedeprrafopredeter"/>
    <w:link w:val="Sinespaciado"/>
    <w:uiPriority w:val="1"/>
    <w:locked/>
    <w:rsid w:val="004F33E6"/>
  </w:style>
  <w:style w:type="character" w:styleId="Hipervnculo">
    <w:name w:val="Hyperlink"/>
    <w:basedOn w:val="Fuentedeprrafopredeter"/>
    <w:uiPriority w:val="99"/>
    <w:unhideWhenUsed/>
    <w:rsid w:val="006B54A8"/>
    <w:rPr>
      <w:color w:val="0000FF" w:themeColor="hyperlink"/>
      <w:u w:val="single"/>
    </w:rPr>
  </w:style>
  <w:style w:type="paragraph" w:styleId="Textonotapie">
    <w:name w:val="footnote text"/>
    <w:basedOn w:val="Normal"/>
    <w:link w:val="TextonotapieCar"/>
    <w:uiPriority w:val="99"/>
    <w:semiHidden/>
    <w:unhideWhenUsed/>
    <w:rsid w:val="006F1F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1F3C"/>
    <w:rPr>
      <w:sz w:val="20"/>
      <w:szCs w:val="20"/>
    </w:rPr>
  </w:style>
  <w:style w:type="character" w:styleId="Refdenotaalpie">
    <w:name w:val="footnote reference"/>
    <w:basedOn w:val="Fuentedeprrafopredeter"/>
    <w:uiPriority w:val="99"/>
    <w:semiHidden/>
    <w:unhideWhenUsed/>
    <w:rsid w:val="006F1F3C"/>
    <w:rPr>
      <w:vertAlign w:val="superscript"/>
    </w:rPr>
  </w:style>
  <w:style w:type="character" w:styleId="Hipervnculovisitado">
    <w:name w:val="FollowedHyperlink"/>
    <w:basedOn w:val="Fuentedeprrafopredeter"/>
    <w:uiPriority w:val="99"/>
    <w:semiHidden/>
    <w:unhideWhenUsed/>
    <w:rsid w:val="00B937ED"/>
    <w:rPr>
      <w:color w:val="800080" w:themeColor="followedHyperlink"/>
      <w:u w:val="single"/>
    </w:rPr>
  </w:style>
  <w:style w:type="paragraph" w:styleId="Prrafodelista">
    <w:name w:val="List Paragraph"/>
    <w:basedOn w:val="Normal"/>
    <w:uiPriority w:val="34"/>
    <w:qFormat/>
    <w:rsid w:val="001D339A"/>
    <w:pPr>
      <w:ind w:left="720"/>
      <w:contextualSpacing/>
      <w:jc w:val="both"/>
    </w:pPr>
    <w:rPr>
      <w:rFonts w:ascii="Times New Roman" w:hAnsi="Times New Roman"/>
    </w:rPr>
  </w:style>
  <w:style w:type="table" w:styleId="Tablaconcuadrcula">
    <w:name w:val="Table Grid"/>
    <w:basedOn w:val="Tablanormal"/>
    <w:uiPriority w:val="59"/>
    <w:rsid w:val="004C1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104229"/>
  </w:style>
  <w:style w:type="paragraph" w:customStyle="1" w:styleId="Default">
    <w:name w:val="Default"/>
    <w:rsid w:val="0035282A"/>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alfinal">
    <w:name w:val="endnote text"/>
    <w:basedOn w:val="Normal"/>
    <w:link w:val="TextonotaalfinalCar"/>
    <w:uiPriority w:val="99"/>
    <w:semiHidden/>
    <w:unhideWhenUsed/>
    <w:rsid w:val="00D549B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549B7"/>
    <w:rPr>
      <w:sz w:val="20"/>
      <w:szCs w:val="20"/>
    </w:rPr>
  </w:style>
  <w:style w:type="character" w:styleId="Refdenotaalfinal">
    <w:name w:val="endnote reference"/>
    <w:basedOn w:val="Fuentedeprrafopredeter"/>
    <w:uiPriority w:val="99"/>
    <w:semiHidden/>
    <w:unhideWhenUsed/>
    <w:rsid w:val="00D549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8957">
      <w:bodyDiv w:val="1"/>
      <w:marLeft w:val="0"/>
      <w:marRight w:val="0"/>
      <w:marTop w:val="0"/>
      <w:marBottom w:val="0"/>
      <w:divBdr>
        <w:top w:val="none" w:sz="0" w:space="0" w:color="auto"/>
        <w:left w:val="none" w:sz="0" w:space="0" w:color="auto"/>
        <w:bottom w:val="none" w:sz="0" w:space="0" w:color="auto"/>
        <w:right w:val="none" w:sz="0" w:space="0" w:color="auto"/>
      </w:divBdr>
    </w:div>
    <w:div w:id="87775366">
      <w:bodyDiv w:val="1"/>
      <w:marLeft w:val="0"/>
      <w:marRight w:val="0"/>
      <w:marTop w:val="0"/>
      <w:marBottom w:val="0"/>
      <w:divBdr>
        <w:top w:val="none" w:sz="0" w:space="0" w:color="auto"/>
        <w:left w:val="none" w:sz="0" w:space="0" w:color="auto"/>
        <w:bottom w:val="none" w:sz="0" w:space="0" w:color="auto"/>
        <w:right w:val="none" w:sz="0" w:space="0" w:color="auto"/>
      </w:divBdr>
    </w:div>
    <w:div w:id="133060234">
      <w:bodyDiv w:val="1"/>
      <w:marLeft w:val="0"/>
      <w:marRight w:val="0"/>
      <w:marTop w:val="0"/>
      <w:marBottom w:val="0"/>
      <w:divBdr>
        <w:top w:val="none" w:sz="0" w:space="0" w:color="auto"/>
        <w:left w:val="none" w:sz="0" w:space="0" w:color="auto"/>
        <w:bottom w:val="none" w:sz="0" w:space="0" w:color="auto"/>
        <w:right w:val="none" w:sz="0" w:space="0" w:color="auto"/>
      </w:divBdr>
    </w:div>
    <w:div w:id="304236382">
      <w:bodyDiv w:val="1"/>
      <w:marLeft w:val="0"/>
      <w:marRight w:val="0"/>
      <w:marTop w:val="0"/>
      <w:marBottom w:val="0"/>
      <w:divBdr>
        <w:top w:val="none" w:sz="0" w:space="0" w:color="auto"/>
        <w:left w:val="none" w:sz="0" w:space="0" w:color="auto"/>
        <w:bottom w:val="none" w:sz="0" w:space="0" w:color="auto"/>
        <w:right w:val="none" w:sz="0" w:space="0" w:color="auto"/>
      </w:divBdr>
    </w:div>
    <w:div w:id="317267169">
      <w:bodyDiv w:val="1"/>
      <w:marLeft w:val="0"/>
      <w:marRight w:val="0"/>
      <w:marTop w:val="0"/>
      <w:marBottom w:val="0"/>
      <w:divBdr>
        <w:top w:val="none" w:sz="0" w:space="0" w:color="auto"/>
        <w:left w:val="none" w:sz="0" w:space="0" w:color="auto"/>
        <w:bottom w:val="none" w:sz="0" w:space="0" w:color="auto"/>
        <w:right w:val="none" w:sz="0" w:space="0" w:color="auto"/>
      </w:divBdr>
    </w:div>
    <w:div w:id="649213026">
      <w:bodyDiv w:val="1"/>
      <w:marLeft w:val="0"/>
      <w:marRight w:val="0"/>
      <w:marTop w:val="0"/>
      <w:marBottom w:val="0"/>
      <w:divBdr>
        <w:top w:val="none" w:sz="0" w:space="0" w:color="auto"/>
        <w:left w:val="none" w:sz="0" w:space="0" w:color="auto"/>
        <w:bottom w:val="none" w:sz="0" w:space="0" w:color="auto"/>
        <w:right w:val="none" w:sz="0" w:space="0" w:color="auto"/>
      </w:divBdr>
    </w:div>
    <w:div w:id="880827965">
      <w:bodyDiv w:val="1"/>
      <w:marLeft w:val="0"/>
      <w:marRight w:val="0"/>
      <w:marTop w:val="0"/>
      <w:marBottom w:val="0"/>
      <w:divBdr>
        <w:top w:val="none" w:sz="0" w:space="0" w:color="auto"/>
        <w:left w:val="none" w:sz="0" w:space="0" w:color="auto"/>
        <w:bottom w:val="none" w:sz="0" w:space="0" w:color="auto"/>
        <w:right w:val="none" w:sz="0" w:space="0" w:color="auto"/>
      </w:divBdr>
    </w:div>
    <w:div w:id="1011295899">
      <w:bodyDiv w:val="1"/>
      <w:marLeft w:val="0"/>
      <w:marRight w:val="0"/>
      <w:marTop w:val="0"/>
      <w:marBottom w:val="0"/>
      <w:divBdr>
        <w:top w:val="none" w:sz="0" w:space="0" w:color="auto"/>
        <w:left w:val="none" w:sz="0" w:space="0" w:color="auto"/>
        <w:bottom w:val="none" w:sz="0" w:space="0" w:color="auto"/>
        <w:right w:val="none" w:sz="0" w:space="0" w:color="auto"/>
      </w:divBdr>
    </w:div>
    <w:div w:id="1038429322">
      <w:bodyDiv w:val="1"/>
      <w:marLeft w:val="0"/>
      <w:marRight w:val="0"/>
      <w:marTop w:val="0"/>
      <w:marBottom w:val="0"/>
      <w:divBdr>
        <w:top w:val="none" w:sz="0" w:space="0" w:color="auto"/>
        <w:left w:val="none" w:sz="0" w:space="0" w:color="auto"/>
        <w:bottom w:val="none" w:sz="0" w:space="0" w:color="auto"/>
        <w:right w:val="none" w:sz="0" w:space="0" w:color="auto"/>
      </w:divBdr>
    </w:div>
    <w:div w:id="1090855984">
      <w:bodyDiv w:val="1"/>
      <w:marLeft w:val="0"/>
      <w:marRight w:val="0"/>
      <w:marTop w:val="0"/>
      <w:marBottom w:val="0"/>
      <w:divBdr>
        <w:top w:val="none" w:sz="0" w:space="0" w:color="auto"/>
        <w:left w:val="none" w:sz="0" w:space="0" w:color="auto"/>
        <w:bottom w:val="none" w:sz="0" w:space="0" w:color="auto"/>
        <w:right w:val="none" w:sz="0" w:space="0" w:color="auto"/>
      </w:divBdr>
    </w:div>
    <w:div w:id="1244098412">
      <w:bodyDiv w:val="1"/>
      <w:marLeft w:val="0"/>
      <w:marRight w:val="0"/>
      <w:marTop w:val="0"/>
      <w:marBottom w:val="0"/>
      <w:divBdr>
        <w:top w:val="none" w:sz="0" w:space="0" w:color="auto"/>
        <w:left w:val="none" w:sz="0" w:space="0" w:color="auto"/>
        <w:bottom w:val="none" w:sz="0" w:space="0" w:color="auto"/>
        <w:right w:val="none" w:sz="0" w:space="0" w:color="auto"/>
      </w:divBdr>
    </w:div>
    <w:div w:id="1474178423">
      <w:bodyDiv w:val="1"/>
      <w:marLeft w:val="0"/>
      <w:marRight w:val="0"/>
      <w:marTop w:val="0"/>
      <w:marBottom w:val="0"/>
      <w:divBdr>
        <w:top w:val="none" w:sz="0" w:space="0" w:color="auto"/>
        <w:left w:val="none" w:sz="0" w:space="0" w:color="auto"/>
        <w:bottom w:val="none" w:sz="0" w:space="0" w:color="auto"/>
        <w:right w:val="none" w:sz="0" w:space="0" w:color="auto"/>
      </w:divBdr>
    </w:div>
    <w:div w:id="1517188798">
      <w:bodyDiv w:val="1"/>
      <w:marLeft w:val="0"/>
      <w:marRight w:val="0"/>
      <w:marTop w:val="0"/>
      <w:marBottom w:val="0"/>
      <w:divBdr>
        <w:top w:val="none" w:sz="0" w:space="0" w:color="auto"/>
        <w:left w:val="none" w:sz="0" w:space="0" w:color="auto"/>
        <w:bottom w:val="none" w:sz="0" w:space="0" w:color="auto"/>
        <w:right w:val="none" w:sz="0" w:space="0" w:color="auto"/>
      </w:divBdr>
    </w:div>
    <w:div w:id="1719085067">
      <w:bodyDiv w:val="1"/>
      <w:marLeft w:val="0"/>
      <w:marRight w:val="0"/>
      <w:marTop w:val="0"/>
      <w:marBottom w:val="0"/>
      <w:divBdr>
        <w:top w:val="none" w:sz="0" w:space="0" w:color="auto"/>
        <w:left w:val="none" w:sz="0" w:space="0" w:color="auto"/>
        <w:bottom w:val="none" w:sz="0" w:space="0" w:color="auto"/>
        <w:right w:val="none" w:sz="0" w:space="0" w:color="auto"/>
      </w:divBdr>
      <w:divsChild>
        <w:div w:id="1278223015">
          <w:marLeft w:val="0"/>
          <w:marRight w:val="0"/>
          <w:marTop w:val="0"/>
          <w:marBottom w:val="0"/>
          <w:divBdr>
            <w:top w:val="none" w:sz="0" w:space="0" w:color="auto"/>
            <w:left w:val="none" w:sz="0" w:space="0" w:color="auto"/>
            <w:bottom w:val="none" w:sz="0" w:space="0" w:color="auto"/>
            <w:right w:val="none" w:sz="0" w:space="0" w:color="auto"/>
          </w:divBdr>
          <w:divsChild>
            <w:div w:id="1524630340">
              <w:marLeft w:val="0"/>
              <w:marRight w:val="0"/>
              <w:marTop w:val="0"/>
              <w:marBottom w:val="0"/>
              <w:divBdr>
                <w:top w:val="none" w:sz="0" w:space="0" w:color="auto"/>
                <w:left w:val="none" w:sz="0" w:space="0" w:color="auto"/>
                <w:bottom w:val="none" w:sz="0" w:space="0" w:color="auto"/>
                <w:right w:val="none" w:sz="0" w:space="0" w:color="auto"/>
              </w:divBdr>
              <w:divsChild>
                <w:div w:id="704016197">
                  <w:marLeft w:val="0"/>
                  <w:marRight w:val="0"/>
                  <w:marTop w:val="0"/>
                  <w:marBottom w:val="0"/>
                  <w:divBdr>
                    <w:top w:val="none" w:sz="0" w:space="0" w:color="auto"/>
                    <w:left w:val="none" w:sz="0" w:space="0" w:color="auto"/>
                    <w:bottom w:val="none" w:sz="0" w:space="0" w:color="auto"/>
                    <w:right w:val="none" w:sz="0" w:space="0" w:color="auto"/>
                  </w:divBdr>
                  <w:divsChild>
                    <w:div w:id="1894996699">
                      <w:marLeft w:val="0"/>
                      <w:marRight w:val="0"/>
                      <w:marTop w:val="0"/>
                      <w:marBottom w:val="0"/>
                      <w:divBdr>
                        <w:top w:val="none" w:sz="0" w:space="0" w:color="auto"/>
                        <w:left w:val="none" w:sz="0" w:space="0" w:color="auto"/>
                        <w:bottom w:val="none" w:sz="0" w:space="0" w:color="auto"/>
                        <w:right w:val="none" w:sz="0" w:space="0" w:color="auto"/>
                      </w:divBdr>
                      <w:divsChild>
                        <w:div w:id="1278492299">
                          <w:marLeft w:val="0"/>
                          <w:marRight w:val="0"/>
                          <w:marTop w:val="0"/>
                          <w:marBottom w:val="0"/>
                          <w:divBdr>
                            <w:top w:val="none" w:sz="0" w:space="0" w:color="auto"/>
                            <w:left w:val="none" w:sz="0" w:space="0" w:color="auto"/>
                            <w:bottom w:val="none" w:sz="0" w:space="0" w:color="auto"/>
                            <w:right w:val="none" w:sz="0" w:space="0" w:color="auto"/>
                          </w:divBdr>
                          <w:divsChild>
                            <w:div w:id="199710835">
                              <w:marLeft w:val="0"/>
                              <w:marRight w:val="0"/>
                              <w:marTop w:val="0"/>
                              <w:marBottom w:val="0"/>
                              <w:divBdr>
                                <w:top w:val="none" w:sz="0" w:space="0" w:color="auto"/>
                                <w:left w:val="none" w:sz="0" w:space="0" w:color="auto"/>
                                <w:bottom w:val="none" w:sz="0" w:space="0" w:color="auto"/>
                                <w:right w:val="none" w:sz="0" w:space="0" w:color="auto"/>
                              </w:divBdr>
                              <w:divsChild>
                                <w:div w:id="1023170690">
                                  <w:marLeft w:val="0"/>
                                  <w:marRight w:val="0"/>
                                  <w:marTop w:val="0"/>
                                  <w:marBottom w:val="0"/>
                                  <w:divBdr>
                                    <w:top w:val="none" w:sz="0" w:space="0" w:color="auto"/>
                                    <w:left w:val="none" w:sz="0" w:space="0" w:color="auto"/>
                                    <w:bottom w:val="none" w:sz="0" w:space="0" w:color="auto"/>
                                    <w:right w:val="none" w:sz="0" w:space="0" w:color="auto"/>
                                  </w:divBdr>
                                  <w:divsChild>
                                    <w:div w:id="383409800">
                                      <w:marLeft w:val="0"/>
                                      <w:marRight w:val="0"/>
                                      <w:marTop w:val="0"/>
                                      <w:marBottom w:val="0"/>
                                      <w:divBdr>
                                        <w:top w:val="none" w:sz="0" w:space="0" w:color="auto"/>
                                        <w:left w:val="none" w:sz="0" w:space="0" w:color="auto"/>
                                        <w:bottom w:val="none" w:sz="0" w:space="0" w:color="auto"/>
                                        <w:right w:val="none" w:sz="0" w:space="0" w:color="auto"/>
                                      </w:divBdr>
                                      <w:divsChild>
                                        <w:div w:id="18718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330643">
      <w:bodyDiv w:val="1"/>
      <w:marLeft w:val="0"/>
      <w:marRight w:val="0"/>
      <w:marTop w:val="0"/>
      <w:marBottom w:val="0"/>
      <w:divBdr>
        <w:top w:val="none" w:sz="0" w:space="0" w:color="auto"/>
        <w:left w:val="none" w:sz="0" w:space="0" w:color="auto"/>
        <w:bottom w:val="none" w:sz="0" w:space="0" w:color="auto"/>
        <w:right w:val="none" w:sz="0" w:space="0" w:color="auto"/>
      </w:divBdr>
    </w:div>
    <w:div w:id="1941599910">
      <w:bodyDiv w:val="1"/>
      <w:marLeft w:val="0"/>
      <w:marRight w:val="0"/>
      <w:marTop w:val="0"/>
      <w:marBottom w:val="0"/>
      <w:divBdr>
        <w:top w:val="none" w:sz="0" w:space="0" w:color="auto"/>
        <w:left w:val="none" w:sz="0" w:space="0" w:color="auto"/>
        <w:bottom w:val="none" w:sz="0" w:space="0" w:color="auto"/>
        <w:right w:val="none" w:sz="0" w:space="0" w:color="auto"/>
      </w:divBdr>
    </w:div>
    <w:div w:id="2010516617">
      <w:bodyDiv w:val="1"/>
      <w:marLeft w:val="0"/>
      <w:marRight w:val="0"/>
      <w:marTop w:val="0"/>
      <w:marBottom w:val="0"/>
      <w:divBdr>
        <w:top w:val="none" w:sz="0" w:space="0" w:color="auto"/>
        <w:left w:val="none" w:sz="0" w:space="0" w:color="auto"/>
        <w:bottom w:val="none" w:sz="0" w:space="0" w:color="auto"/>
        <w:right w:val="none" w:sz="0" w:space="0" w:color="auto"/>
      </w:divBdr>
    </w:div>
    <w:div w:id="211917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image" Target="media/image6.png"/><Relationship Id="rId26" Type="http://schemas.openxmlformats.org/officeDocument/2006/relationships/header" Target="header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5.png"/><Relationship Id="rId25" Type="http://schemas.openxmlformats.org/officeDocument/2006/relationships/footer" Target="footer5.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5.xml"/><Relationship Id="rId32" Type="http://schemas.openxmlformats.org/officeDocument/2006/relationships/header" Target="header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image" Target="media/image8.png"/><Relationship Id="rId36" Type="http://schemas.openxmlformats.org/officeDocument/2006/relationships/header" Target="header9.xml"/><Relationship Id="rId10" Type="http://schemas.openxmlformats.org/officeDocument/2006/relationships/image" Target="media/image2.png"/><Relationship Id="rId19" Type="http://schemas.openxmlformats.org/officeDocument/2006/relationships/image" Target="media/image7.emf"/><Relationship Id="rId31"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chart" Target="charts/chart3.xml"/><Relationship Id="rId35"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69531352828684"/>
          <c:y val="0.18179670722977809"/>
          <c:w val="0.83330468647171319"/>
          <c:h val="0.64204377712830452"/>
        </c:manualLayout>
      </c:layout>
      <c:barChart>
        <c:barDir val="col"/>
        <c:grouping val="stacked"/>
        <c:varyColors val="0"/>
        <c:ser>
          <c:idx val="0"/>
          <c:order val="0"/>
          <c:tx>
            <c:strRef>
              <c:f>Hoja1!$B$1</c:f>
              <c:strCache>
                <c:ptCount val="1"/>
                <c:pt idx="0">
                  <c:v>ISR</c:v>
                </c:pt>
              </c:strCache>
            </c:strRef>
          </c:tx>
          <c:invertIfNegative val="0"/>
          <c:dPt>
            <c:idx val="0"/>
            <c:invertIfNegative val="0"/>
            <c:bubble3D val="0"/>
            <c:spPr>
              <a:solidFill>
                <a:schemeClr val="accent6">
                  <a:lumMod val="60000"/>
                  <a:lumOff val="40000"/>
                </a:schemeClr>
              </a:solidFill>
            </c:spPr>
            <c:extLst>
              <c:ext xmlns:c16="http://schemas.microsoft.com/office/drawing/2014/chart" uri="{C3380CC4-5D6E-409C-BE32-E72D297353CC}">
                <c16:uniqueId val="{00000001-E425-4AF8-B5B5-09C9149C1B33}"/>
              </c:ext>
            </c:extLst>
          </c:dPt>
          <c:dPt>
            <c:idx val="1"/>
            <c:invertIfNegative val="0"/>
            <c:bubble3D val="0"/>
            <c:spPr>
              <a:solidFill>
                <a:schemeClr val="accent6">
                  <a:lumMod val="75000"/>
                </a:schemeClr>
              </a:solidFill>
            </c:spPr>
            <c:extLst>
              <c:ext xmlns:c16="http://schemas.microsoft.com/office/drawing/2014/chart" uri="{C3380CC4-5D6E-409C-BE32-E72D297353CC}">
                <c16:uniqueId val="{00000003-E425-4AF8-B5B5-09C9149C1B33}"/>
              </c:ext>
            </c:extLst>
          </c:dPt>
          <c:dPt>
            <c:idx val="2"/>
            <c:invertIfNegative val="0"/>
            <c:bubble3D val="0"/>
            <c:spPr>
              <a:solidFill>
                <a:srgbClr val="00B0F0"/>
              </a:solidFill>
            </c:spPr>
            <c:extLst>
              <c:ext xmlns:c16="http://schemas.microsoft.com/office/drawing/2014/chart" uri="{C3380CC4-5D6E-409C-BE32-E72D297353CC}">
                <c16:uniqueId val="{00000005-E425-4AF8-B5B5-09C9149C1B33}"/>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Observado 2014</c:v>
                </c:pt>
                <c:pt idx="1">
                  <c:v>Observado 2015</c:v>
                </c:pt>
                <c:pt idx="2">
                  <c:v>Meta 2015</c:v>
                </c:pt>
              </c:strCache>
            </c:strRef>
          </c:cat>
          <c:val>
            <c:numRef>
              <c:f>Hoja1!$B$2:$B$4</c:f>
              <c:numCache>
                <c:formatCode>#,##0.0</c:formatCode>
                <c:ptCount val="3"/>
                <c:pt idx="0">
                  <c:v>9498.7000000000007</c:v>
                </c:pt>
                <c:pt idx="1">
                  <c:v>9411.0554932600007</c:v>
                </c:pt>
                <c:pt idx="2">
                  <c:v>9738.5</c:v>
                </c:pt>
              </c:numCache>
            </c:numRef>
          </c:val>
          <c:extLst>
            <c:ext xmlns:c16="http://schemas.microsoft.com/office/drawing/2014/chart" uri="{C3380CC4-5D6E-409C-BE32-E72D297353CC}">
              <c16:uniqueId val="{00000006-E425-4AF8-B5B5-09C9149C1B33}"/>
            </c:ext>
          </c:extLst>
        </c:ser>
        <c:ser>
          <c:idx val="1"/>
          <c:order val="1"/>
          <c:tx>
            <c:strRef>
              <c:f>Hoja1!$C$1</c:f>
              <c:strCache>
                <c:ptCount val="1"/>
                <c:pt idx="0">
                  <c:v>Columna1</c:v>
                </c:pt>
              </c:strCache>
            </c:strRef>
          </c:tx>
          <c:invertIfNegative val="0"/>
          <c:cat>
            <c:strRef>
              <c:f>Hoja1!$A$2:$A$4</c:f>
              <c:strCache>
                <c:ptCount val="3"/>
                <c:pt idx="0">
                  <c:v>Observado 2014</c:v>
                </c:pt>
                <c:pt idx="1">
                  <c:v>Observado 2015</c:v>
                </c:pt>
                <c:pt idx="2">
                  <c:v>Meta 2015</c:v>
                </c:pt>
              </c:strCache>
            </c:strRef>
          </c:cat>
          <c:val>
            <c:numRef>
              <c:f>Hoja1!$C$2:$C$4</c:f>
              <c:numCache>
                <c:formatCode>General</c:formatCode>
                <c:ptCount val="3"/>
                <c:pt idx="0">
                  <c:v>246.3</c:v>
                </c:pt>
                <c:pt idx="2">
                  <c:v>749.7</c:v>
                </c:pt>
              </c:numCache>
            </c:numRef>
          </c:val>
          <c:extLst>
            <c:ext xmlns:c16="http://schemas.microsoft.com/office/drawing/2014/chart" uri="{C3380CC4-5D6E-409C-BE32-E72D297353CC}">
              <c16:uniqueId val="{00000007-E425-4AF8-B5B5-09C9149C1B33}"/>
            </c:ext>
          </c:extLst>
        </c:ser>
        <c:dLbls>
          <c:showLegendKey val="0"/>
          <c:showVal val="0"/>
          <c:showCatName val="0"/>
          <c:showSerName val="0"/>
          <c:showPercent val="0"/>
          <c:showBubbleSize val="0"/>
        </c:dLbls>
        <c:gapWidth val="34"/>
        <c:overlap val="100"/>
        <c:axId val="62946304"/>
        <c:axId val="62948096"/>
      </c:barChart>
      <c:catAx>
        <c:axId val="62946304"/>
        <c:scaling>
          <c:orientation val="minMax"/>
        </c:scaling>
        <c:delete val="0"/>
        <c:axPos val="b"/>
        <c:numFmt formatCode="General" sourceLinked="0"/>
        <c:majorTickMark val="out"/>
        <c:minorTickMark val="none"/>
        <c:tickLblPos val="nextTo"/>
        <c:crossAx val="62948096"/>
        <c:crosses val="autoZero"/>
        <c:auto val="1"/>
        <c:lblAlgn val="ctr"/>
        <c:lblOffset val="100"/>
        <c:noMultiLvlLbl val="0"/>
      </c:catAx>
      <c:valAx>
        <c:axId val="62948096"/>
        <c:scaling>
          <c:orientation val="minMax"/>
          <c:min val="0"/>
        </c:scaling>
        <c:delete val="0"/>
        <c:axPos val="l"/>
        <c:numFmt formatCode="#,##0" sourceLinked="0"/>
        <c:majorTickMark val="out"/>
        <c:minorTickMark val="none"/>
        <c:tickLblPos val="nextTo"/>
        <c:crossAx val="62946304"/>
        <c:crosses val="autoZero"/>
        <c:crossBetween val="between"/>
      </c:valAx>
    </c:plotArea>
    <c:plotVisOnly val="1"/>
    <c:dispBlanksAs val="gap"/>
    <c:showDLblsOverMax val="0"/>
  </c:chart>
  <c:spPr>
    <a:ln>
      <a:noFill/>
    </a:ln>
  </c:spPr>
  <c:txPr>
    <a:bodyPr/>
    <a:lstStyle/>
    <a:p>
      <a:pPr>
        <a:defRPr sz="900" b="1">
          <a:latin typeface="Times New Roman" panose="02020603050405020304" pitchFamily="18" charset="0"/>
          <a:cs typeface="Times New Roman" panose="02020603050405020304" pitchFamily="18" charset="0"/>
        </a:defRPr>
      </a:pPr>
      <a:endParaRPr lang="es-GT"/>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69531352828684"/>
          <c:y val="0.22725125268432356"/>
          <c:w val="0.83330468647171319"/>
          <c:h val="0.59658911954187543"/>
        </c:manualLayout>
      </c:layout>
      <c:barChart>
        <c:barDir val="col"/>
        <c:grouping val="stacked"/>
        <c:varyColors val="0"/>
        <c:ser>
          <c:idx val="0"/>
          <c:order val="0"/>
          <c:tx>
            <c:strRef>
              <c:f>Hoja1!$B$1</c:f>
              <c:strCache>
                <c:ptCount val="1"/>
                <c:pt idx="0">
                  <c:v>IVA total</c:v>
                </c:pt>
              </c:strCache>
            </c:strRef>
          </c:tx>
          <c:invertIfNegative val="0"/>
          <c:dPt>
            <c:idx val="0"/>
            <c:invertIfNegative val="0"/>
            <c:bubble3D val="0"/>
            <c:spPr>
              <a:solidFill>
                <a:schemeClr val="accent6">
                  <a:lumMod val="60000"/>
                  <a:lumOff val="40000"/>
                </a:schemeClr>
              </a:solidFill>
            </c:spPr>
            <c:extLst>
              <c:ext xmlns:c16="http://schemas.microsoft.com/office/drawing/2014/chart" uri="{C3380CC4-5D6E-409C-BE32-E72D297353CC}">
                <c16:uniqueId val="{00000001-2C71-4211-AF09-DA1B3E4DBAFF}"/>
              </c:ext>
            </c:extLst>
          </c:dPt>
          <c:dPt>
            <c:idx val="1"/>
            <c:invertIfNegative val="0"/>
            <c:bubble3D val="0"/>
            <c:spPr>
              <a:solidFill>
                <a:schemeClr val="accent6">
                  <a:lumMod val="75000"/>
                </a:schemeClr>
              </a:solidFill>
            </c:spPr>
            <c:extLst>
              <c:ext xmlns:c16="http://schemas.microsoft.com/office/drawing/2014/chart" uri="{C3380CC4-5D6E-409C-BE32-E72D297353CC}">
                <c16:uniqueId val="{00000003-2C71-4211-AF09-DA1B3E4DBAFF}"/>
              </c:ext>
            </c:extLst>
          </c:dPt>
          <c:dPt>
            <c:idx val="2"/>
            <c:invertIfNegative val="0"/>
            <c:bubble3D val="0"/>
            <c:spPr>
              <a:solidFill>
                <a:srgbClr val="00B0F0"/>
              </a:solidFill>
            </c:spPr>
            <c:extLst>
              <c:ext xmlns:c16="http://schemas.microsoft.com/office/drawing/2014/chart" uri="{C3380CC4-5D6E-409C-BE32-E72D297353CC}">
                <c16:uniqueId val="{00000005-2C71-4211-AF09-DA1B3E4DBAFF}"/>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Observado 2014</c:v>
                </c:pt>
                <c:pt idx="1">
                  <c:v>Observado 2015</c:v>
                </c:pt>
                <c:pt idx="2">
                  <c:v>Meta 2015</c:v>
                </c:pt>
              </c:strCache>
            </c:strRef>
          </c:cat>
          <c:val>
            <c:numRef>
              <c:f>Hoja1!$B$2:$B$4</c:f>
              <c:numCache>
                <c:formatCode>#,##0.0</c:formatCode>
                <c:ptCount val="3"/>
                <c:pt idx="0">
                  <c:v>15213.934622509998</c:v>
                </c:pt>
                <c:pt idx="1">
                  <c:v>15479.81040255</c:v>
                </c:pt>
                <c:pt idx="2">
                  <c:v>16162.632541229999</c:v>
                </c:pt>
              </c:numCache>
            </c:numRef>
          </c:val>
          <c:extLst>
            <c:ext xmlns:c16="http://schemas.microsoft.com/office/drawing/2014/chart" uri="{C3380CC4-5D6E-409C-BE32-E72D297353CC}">
              <c16:uniqueId val="{00000006-2C71-4211-AF09-DA1B3E4DBAFF}"/>
            </c:ext>
          </c:extLst>
        </c:ser>
        <c:ser>
          <c:idx val="1"/>
          <c:order val="1"/>
          <c:tx>
            <c:strRef>
              <c:f>Hoja1!$C$1</c:f>
              <c:strCache>
                <c:ptCount val="1"/>
                <c:pt idx="0">
                  <c:v>Columna1</c:v>
                </c:pt>
              </c:strCache>
            </c:strRef>
          </c:tx>
          <c:invertIfNegative val="0"/>
          <c:cat>
            <c:strRef>
              <c:f>Hoja1!$A$2:$A$4</c:f>
              <c:strCache>
                <c:ptCount val="3"/>
                <c:pt idx="0">
                  <c:v>Observado 2014</c:v>
                </c:pt>
                <c:pt idx="1">
                  <c:v>Observado 2015</c:v>
                </c:pt>
                <c:pt idx="2">
                  <c:v>Meta 2015</c:v>
                </c:pt>
              </c:strCache>
            </c:strRef>
          </c:cat>
          <c:val>
            <c:numRef>
              <c:f>Hoja1!$C$2:$C$4</c:f>
              <c:numCache>
                <c:formatCode>General</c:formatCode>
                <c:ptCount val="3"/>
                <c:pt idx="0">
                  <c:v>91.3</c:v>
                </c:pt>
                <c:pt idx="2">
                  <c:v>702.2</c:v>
                </c:pt>
              </c:numCache>
            </c:numRef>
          </c:val>
          <c:extLst>
            <c:ext xmlns:c16="http://schemas.microsoft.com/office/drawing/2014/chart" uri="{C3380CC4-5D6E-409C-BE32-E72D297353CC}">
              <c16:uniqueId val="{00000007-2C71-4211-AF09-DA1B3E4DBAFF}"/>
            </c:ext>
          </c:extLst>
        </c:ser>
        <c:dLbls>
          <c:showLegendKey val="0"/>
          <c:showVal val="0"/>
          <c:showCatName val="0"/>
          <c:showSerName val="0"/>
          <c:showPercent val="0"/>
          <c:showBubbleSize val="0"/>
        </c:dLbls>
        <c:gapWidth val="34"/>
        <c:overlap val="100"/>
        <c:axId val="160504832"/>
        <c:axId val="160527104"/>
      </c:barChart>
      <c:catAx>
        <c:axId val="160504832"/>
        <c:scaling>
          <c:orientation val="minMax"/>
        </c:scaling>
        <c:delete val="0"/>
        <c:axPos val="b"/>
        <c:numFmt formatCode="General" sourceLinked="0"/>
        <c:majorTickMark val="out"/>
        <c:minorTickMark val="none"/>
        <c:tickLblPos val="nextTo"/>
        <c:txPr>
          <a:bodyPr/>
          <a:lstStyle/>
          <a:p>
            <a:pPr>
              <a:defRPr sz="700"/>
            </a:pPr>
            <a:endParaRPr lang="es-GT"/>
          </a:p>
        </c:txPr>
        <c:crossAx val="160527104"/>
        <c:crosses val="autoZero"/>
        <c:auto val="1"/>
        <c:lblAlgn val="ctr"/>
        <c:lblOffset val="100"/>
        <c:noMultiLvlLbl val="0"/>
      </c:catAx>
      <c:valAx>
        <c:axId val="160527104"/>
        <c:scaling>
          <c:orientation val="minMax"/>
          <c:min val="0"/>
        </c:scaling>
        <c:delete val="0"/>
        <c:axPos val="l"/>
        <c:numFmt formatCode="#,##0" sourceLinked="0"/>
        <c:majorTickMark val="out"/>
        <c:minorTickMark val="none"/>
        <c:tickLblPos val="nextTo"/>
        <c:crossAx val="160504832"/>
        <c:crosses val="autoZero"/>
        <c:crossBetween val="between"/>
        <c:majorUnit val="3000"/>
      </c:valAx>
    </c:plotArea>
    <c:plotVisOnly val="1"/>
    <c:dispBlanksAs val="gap"/>
    <c:showDLblsOverMax val="0"/>
  </c:chart>
  <c:spPr>
    <a:ln>
      <a:noFill/>
    </a:ln>
  </c:spPr>
  <c:txPr>
    <a:bodyPr/>
    <a:lstStyle/>
    <a:p>
      <a:pPr>
        <a:defRPr sz="900" b="1">
          <a:latin typeface="Times New Roman" panose="02020603050405020304" pitchFamily="18" charset="0"/>
          <a:cs typeface="Times New Roman" panose="02020603050405020304" pitchFamily="18" charset="0"/>
        </a:defRPr>
      </a:pPr>
      <a:endParaRPr lang="es-GT"/>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405074365704281E-2"/>
          <c:y val="5.1400554097404488E-2"/>
          <c:w val="0.9240148429722147"/>
          <c:h val="0.72590259550889469"/>
        </c:manualLayout>
      </c:layout>
      <c:barChart>
        <c:barDir val="col"/>
        <c:grouping val="clustered"/>
        <c:varyColors val="0"/>
        <c:ser>
          <c:idx val="0"/>
          <c:order val="0"/>
          <c:invertIfNegative val="0"/>
          <c:dPt>
            <c:idx val="6"/>
            <c:invertIfNegative val="0"/>
            <c:bubble3D val="0"/>
            <c:spPr>
              <a:solidFill>
                <a:srgbClr val="FF0000"/>
              </a:solidFill>
            </c:spPr>
            <c:extLst>
              <c:ext xmlns:c16="http://schemas.microsoft.com/office/drawing/2014/chart" uri="{C3380CC4-5D6E-409C-BE32-E72D297353CC}">
                <c16:uniqueId val="{00000001-2537-49FC-99AD-283C1C090AD8}"/>
              </c:ext>
            </c:extLst>
          </c:dPt>
          <c:dLbls>
            <c:dLbl>
              <c:idx val="11"/>
              <c:spPr/>
              <c:txPr>
                <a:bodyPr/>
                <a:lstStyle/>
                <a:p>
                  <a:pPr>
                    <a:defRPr sz="800" b="1"/>
                  </a:pPr>
                  <a:endParaRPr lang="es-GT"/>
                </a:p>
              </c:txPr>
              <c:showLegendKey val="0"/>
              <c:showVal val="1"/>
              <c:showCatName val="0"/>
              <c:showSerName val="0"/>
              <c:showPercent val="0"/>
              <c:showBubbleSize val="0"/>
              <c:extLst>
                <c:ext xmlns:c16="http://schemas.microsoft.com/office/drawing/2014/chart" uri="{C3380CC4-5D6E-409C-BE32-E72D297353CC}">
                  <c16:uniqueId val="{00000002-2537-49FC-99AD-283C1C090AD8}"/>
                </c:ext>
              </c:extLst>
            </c:dLbl>
            <c:spPr>
              <a:noFill/>
              <a:ln>
                <a:noFill/>
              </a:ln>
              <a:effectLst/>
            </c:spPr>
            <c:txPr>
              <a:bodyPr/>
              <a:lstStyle/>
              <a:p>
                <a:pPr>
                  <a:defRPr sz="800"/>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Hoja1!$C$9:$N$10</c:f>
              <c:multiLvlStrCache>
                <c:ptCount val="12"/>
                <c:lvl>
                  <c:pt idx="0">
                    <c:v>Trim I</c:v>
                  </c:pt>
                  <c:pt idx="1">
                    <c:v>Trim II</c:v>
                  </c:pt>
                  <c:pt idx="2">
                    <c:v>Trim I</c:v>
                  </c:pt>
                  <c:pt idx="3">
                    <c:v>Trim II</c:v>
                  </c:pt>
                  <c:pt idx="4">
                    <c:v>Trim III</c:v>
                  </c:pt>
                  <c:pt idx="5">
                    <c:v>Trim IV</c:v>
                  </c:pt>
                  <c:pt idx="6">
                    <c:v>Trim I</c:v>
                  </c:pt>
                  <c:pt idx="7">
                    <c:v>Trim II</c:v>
                  </c:pt>
                  <c:pt idx="8">
                    <c:v>Trim III</c:v>
                  </c:pt>
                  <c:pt idx="9">
                    <c:v>Trim IV</c:v>
                  </c:pt>
                  <c:pt idx="10">
                    <c:v>Trim I</c:v>
                  </c:pt>
                  <c:pt idx="11">
                    <c:v>Trim II</c:v>
                  </c:pt>
                </c:lvl>
                <c:lvl>
                  <c:pt idx="0">
                    <c:v>2012</c:v>
                  </c:pt>
                  <c:pt idx="2">
                    <c:v>2013</c:v>
                  </c:pt>
                  <c:pt idx="6">
                    <c:v>2014</c:v>
                  </c:pt>
                  <c:pt idx="10">
                    <c:v>2015</c:v>
                  </c:pt>
                </c:lvl>
              </c:multiLvlStrCache>
            </c:multiLvlStrRef>
          </c:cat>
          <c:val>
            <c:numRef>
              <c:f>Hoja1!$C$7:$N$7</c:f>
              <c:numCache>
                <c:formatCode>General</c:formatCode>
                <c:ptCount val="12"/>
                <c:pt idx="0">
                  <c:v>0.5</c:v>
                </c:pt>
                <c:pt idx="1">
                  <c:v>0.1</c:v>
                </c:pt>
                <c:pt idx="2">
                  <c:v>1.9</c:v>
                </c:pt>
                <c:pt idx="3">
                  <c:v>1.1000000000000001</c:v>
                </c:pt>
                <c:pt idx="4">
                  <c:v>3</c:v>
                </c:pt>
                <c:pt idx="5">
                  <c:v>3.8</c:v>
                </c:pt>
                <c:pt idx="6">
                  <c:v>-0.9</c:v>
                </c:pt>
                <c:pt idx="7">
                  <c:v>4.5999999999999996</c:v>
                </c:pt>
                <c:pt idx="8">
                  <c:v>4.3</c:v>
                </c:pt>
                <c:pt idx="9">
                  <c:v>2.1</c:v>
                </c:pt>
                <c:pt idx="10">
                  <c:v>0.6</c:v>
                </c:pt>
                <c:pt idx="11">
                  <c:v>3.7</c:v>
                </c:pt>
              </c:numCache>
            </c:numRef>
          </c:val>
          <c:extLst>
            <c:ext xmlns:c16="http://schemas.microsoft.com/office/drawing/2014/chart" uri="{C3380CC4-5D6E-409C-BE32-E72D297353CC}">
              <c16:uniqueId val="{00000003-2537-49FC-99AD-283C1C090AD8}"/>
            </c:ext>
          </c:extLst>
        </c:ser>
        <c:dLbls>
          <c:showLegendKey val="0"/>
          <c:showVal val="0"/>
          <c:showCatName val="0"/>
          <c:showSerName val="0"/>
          <c:showPercent val="0"/>
          <c:showBubbleSize val="0"/>
        </c:dLbls>
        <c:gapWidth val="25"/>
        <c:axId val="160651136"/>
        <c:axId val="160652672"/>
      </c:barChart>
      <c:catAx>
        <c:axId val="160651136"/>
        <c:scaling>
          <c:orientation val="minMax"/>
        </c:scaling>
        <c:delete val="0"/>
        <c:axPos val="b"/>
        <c:numFmt formatCode="General" sourceLinked="0"/>
        <c:majorTickMark val="out"/>
        <c:minorTickMark val="none"/>
        <c:tickLblPos val="low"/>
        <c:txPr>
          <a:bodyPr/>
          <a:lstStyle/>
          <a:p>
            <a:pPr>
              <a:defRPr sz="700"/>
            </a:pPr>
            <a:endParaRPr lang="es-GT"/>
          </a:p>
        </c:txPr>
        <c:crossAx val="160652672"/>
        <c:crosses val="autoZero"/>
        <c:auto val="1"/>
        <c:lblAlgn val="ctr"/>
        <c:lblOffset val="100"/>
        <c:noMultiLvlLbl val="0"/>
      </c:catAx>
      <c:valAx>
        <c:axId val="160652672"/>
        <c:scaling>
          <c:orientation val="minMax"/>
        </c:scaling>
        <c:delete val="0"/>
        <c:axPos val="l"/>
        <c:numFmt formatCode="#,##0.0" sourceLinked="0"/>
        <c:majorTickMark val="out"/>
        <c:minorTickMark val="none"/>
        <c:tickLblPos val="low"/>
        <c:txPr>
          <a:bodyPr/>
          <a:lstStyle/>
          <a:p>
            <a:pPr>
              <a:defRPr sz="800"/>
            </a:pPr>
            <a:endParaRPr lang="es-GT"/>
          </a:p>
        </c:txPr>
        <c:crossAx val="160651136"/>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es-GT"/>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w="6350"/>
            <a:effectLst>
              <a:outerShdw blurRad="50800" dist="38100" dir="2700000" algn="tl" rotWithShape="0">
                <a:prstClr val="black">
                  <a:alpha val="40000"/>
                </a:prstClr>
              </a:outerShdw>
            </a:effectLst>
          </c:spPr>
          <c:marker>
            <c:symbol val="circle"/>
            <c:size val="3"/>
            <c:spPr>
              <a:effectLst>
                <a:outerShdw blurRad="50800" dist="38100" dir="2700000" algn="tl" rotWithShape="0">
                  <a:prstClr val="black">
                    <a:alpha val="40000"/>
                  </a:prstClr>
                </a:outerShdw>
              </a:effectLst>
            </c:spPr>
          </c:marker>
          <c:dPt>
            <c:idx val="19"/>
            <c:marker>
              <c:symbol val="circle"/>
              <c:size val="5"/>
              <c:spPr>
                <a:solidFill>
                  <a:schemeClr val="accent6"/>
                </a:solidFill>
                <a:effectLst>
                  <a:outerShdw blurRad="50800" dist="38100" dir="2700000" algn="tl" rotWithShape="0">
                    <a:prstClr val="black">
                      <a:alpha val="40000"/>
                    </a:prstClr>
                  </a:outerShdw>
                </a:effectLst>
              </c:spPr>
            </c:marker>
            <c:bubble3D val="0"/>
            <c:extLst>
              <c:ext xmlns:c16="http://schemas.microsoft.com/office/drawing/2014/chart" uri="{C3380CC4-5D6E-409C-BE32-E72D297353CC}">
                <c16:uniqueId val="{00000000-F215-4AC7-9C45-CA5CAE3E3200}"/>
              </c:ext>
            </c:extLst>
          </c:dPt>
          <c:dLbls>
            <c:dLbl>
              <c:idx val="7"/>
              <c:layout>
                <c:manualLayout>
                  <c:x val="-9.1725699026875371E-2"/>
                  <c:y val="6.60950860028630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15-4AC7-9C45-CA5CAE3E3200}"/>
                </c:ext>
              </c:extLst>
            </c:dLbl>
            <c:dLbl>
              <c:idx val="19"/>
              <c:layout>
                <c:manualLayout>
                  <c:x val="-3.0142964079634474E-3"/>
                  <c:y val="-0.1129829355938560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215-4AC7-9C45-CA5CAE3E3200}"/>
                </c:ext>
              </c:extLst>
            </c:dLbl>
            <c:spPr>
              <a:noFill/>
              <a:ln>
                <a:noFill/>
              </a:ln>
              <a:effectLst/>
            </c:spPr>
            <c:txPr>
              <a:bodyPr/>
              <a:lstStyle/>
              <a:p>
                <a:pPr>
                  <a:defRPr sz="800"/>
                </a:pPr>
                <a:endParaRPr lang="es-GT"/>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Hoja1!$B$5:$B$24</c:f>
              <c:strCache>
                <c:ptCount val="20"/>
                <c:pt idx="0">
                  <c:v>ene-14</c:v>
                </c:pt>
                <c:pt idx="1">
                  <c:v>feb</c:v>
                </c:pt>
                <c:pt idx="2">
                  <c:v>mar</c:v>
                </c:pt>
                <c:pt idx="3">
                  <c:v>abr</c:v>
                </c:pt>
                <c:pt idx="4">
                  <c:v>may</c:v>
                </c:pt>
                <c:pt idx="5">
                  <c:v>jun</c:v>
                </c:pt>
                <c:pt idx="6">
                  <c:v>jul</c:v>
                </c:pt>
                <c:pt idx="7">
                  <c:v>ago</c:v>
                </c:pt>
                <c:pt idx="8">
                  <c:v>sep</c:v>
                </c:pt>
                <c:pt idx="9">
                  <c:v>oct</c:v>
                </c:pt>
                <c:pt idx="10">
                  <c:v>nov</c:v>
                </c:pt>
                <c:pt idx="11">
                  <c:v>dic</c:v>
                </c:pt>
                <c:pt idx="12">
                  <c:v>ene-15</c:v>
                </c:pt>
                <c:pt idx="13">
                  <c:v>feb</c:v>
                </c:pt>
                <c:pt idx="14">
                  <c:v>mar</c:v>
                </c:pt>
                <c:pt idx="15">
                  <c:v>abr</c:v>
                </c:pt>
                <c:pt idx="16">
                  <c:v>may</c:v>
                </c:pt>
                <c:pt idx="17">
                  <c:v>jun</c:v>
                </c:pt>
                <c:pt idx="18">
                  <c:v>jul</c:v>
                </c:pt>
                <c:pt idx="19">
                  <c:v>ago</c:v>
                </c:pt>
              </c:strCache>
            </c:strRef>
          </c:cat>
          <c:val>
            <c:numRef>
              <c:f>Hoja1!$C$5:$C$24</c:f>
              <c:numCache>
                <c:formatCode>General</c:formatCode>
                <c:ptCount val="20"/>
                <c:pt idx="0">
                  <c:v>60.72</c:v>
                </c:pt>
                <c:pt idx="1">
                  <c:v>59.73</c:v>
                </c:pt>
                <c:pt idx="2">
                  <c:v>59.73</c:v>
                </c:pt>
                <c:pt idx="3">
                  <c:v>62.5</c:v>
                </c:pt>
                <c:pt idx="4">
                  <c:v>52.78</c:v>
                </c:pt>
                <c:pt idx="5">
                  <c:v>64.290000000000006</c:v>
                </c:pt>
                <c:pt idx="6">
                  <c:v>53.75</c:v>
                </c:pt>
                <c:pt idx="7">
                  <c:v>39.31</c:v>
                </c:pt>
                <c:pt idx="8">
                  <c:v>42.71</c:v>
                </c:pt>
                <c:pt idx="9">
                  <c:v>48.86</c:v>
                </c:pt>
                <c:pt idx="10">
                  <c:v>51.25</c:v>
                </c:pt>
                <c:pt idx="11">
                  <c:v>52.28</c:v>
                </c:pt>
                <c:pt idx="12">
                  <c:v>43.89</c:v>
                </c:pt>
                <c:pt idx="13">
                  <c:v>60</c:v>
                </c:pt>
                <c:pt idx="14">
                  <c:v>57.82</c:v>
                </c:pt>
                <c:pt idx="15">
                  <c:v>51.14</c:v>
                </c:pt>
                <c:pt idx="16">
                  <c:v>41.67</c:v>
                </c:pt>
                <c:pt idx="17">
                  <c:v>33.04</c:v>
                </c:pt>
                <c:pt idx="18">
                  <c:v>28.68</c:v>
                </c:pt>
                <c:pt idx="19">
                  <c:v>21.67</c:v>
                </c:pt>
              </c:numCache>
            </c:numRef>
          </c:val>
          <c:smooth val="0"/>
          <c:extLst>
            <c:ext xmlns:c16="http://schemas.microsoft.com/office/drawing/2014/chart" uri="{C3380CC4-5D6E-409C-BE32-E72D297353CC}">
              <c16:uniqueId val="{00000002-F215-4AC7-9C45-CA5CAE3E3200}"/>
            </c:ext>
          </c:extLst>
        </c:ser>
        <c:dLbls>
          <c:showLegendKey val="0"/>
          <c:showVal val="0"/>
          <c:showCatName val="0"/>
          <c:showSerName val="0"/>
          <c:showPercent val="0"/>
          <c:showBubbleSize val="0"/>
        </c:dLbls>
        <c:marker val="1"/>
        <c:smooth val="0"/>
        <c:axId val="162931072"/>
        <c:axId val="162932608"/>
      </c:lineChart>
      <c:catAx>
        <c:axId val="162931072"/>
        <c:scaling>
          <c:orientation val="minMax"/>
        </c:scaling>
        <c:delete val="0"/>
        <c:axPos val="b"/>
        <c:numFmt formatCode="General" sourceLinked="0"/>
        <c:majorTickMark val="out"/>
        <c:minorTickMark val="none"/>
        <c:tickLblPos val="nextTo"/>
        <c:txPr>
          <a:bodyPr/>
          <a:lstStyle/>
          <a:p>
            <a:pPr>
              <a:defRPr sz="800"/>
            </a:pPr>
            <a:endParaRPr lang="es-GT"/>
          </a:p>
        </c:txPr>
        <c:crossAx val="162932608"/>
        <c:crosses val="autoZero"/>
        <c:auto val="1"/>
        <c:lblAlgn val="ctr"/>
        <c:lblOffset val="100"/>
        <c:noMultiLvlLbl val="0"/>
      </c:catAx>
      <c:valAx>
        <c:axId val="162932608"/>
        <c:scaling>
          <c:orientation val="minMax"/>
        </c:scaling>
        <c:delete val="0"/>
        <c:axPos val="l"/>
        <c:numFmt formatCode="General" sourceLinked="1"/>
        <c:majorTickMark val="out"/>
        <c:minorTickMark val="none"/>
        <c:tickLblPos val="nextTo"/>
        <c:txPr>
          <a:bodyPr/>
          <a:lstStyle/>
          <a:p>
            <a:pPr>
              <a:defRPr sz="800"/>
            </a:pPr>
            <a:endParaRPr lang="es-GT"/>
          </a:p>
        </c:txPr>
        <c:crossAx val="162931072"/>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es-GT"/>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0.59938</cdr:x>
      <cdr:y>0.01721</cdr:y>
    </cdr:from>
    <cdr:to>
      <cdr:x>0.97508</cdr:x>
      <cdr:y>0.21225</cdr:y>
    </cdr:to>
    <cdr:sp macro="" textlink="">
      <cdr:nvSpPr>
        <cdr:cNvPr id="2" name="1 Llamada con línea 1"/>
        <cdr:cNvSpPr/>
      </cdr:nvSpPr>
      <cdr:spPr>
        <a:xfrm xmlns:a="http://schemas.openxmlformats.org/drawingml/2006/main" flipH="1">
          <a:off x="1548308" y="33659"/>
          <a:ext cx="970496" cy="381467"/>
        </a:xfrm>
        <a:prstGeom xmlns:a="http://schemas.openxmlformats.org/drawingml/2006/main" prst="borderCallout1">
          <a:avLst>
            <a:gd name="adj1" fmla="val 99578"/>
            <a:gd name="adj2" fmla="val 49746"/>
            <a:gd name="adj3" fmla="val 141631"/>
            <a:gd name="adj4" fmla="val 29082"/>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wrap="square">
          <a:noAutofit/>
        </a:bodyPr>
        <a:lstStyle xmlns:a="http://schemas.openxmlformats.org/drawingml/2006/main"/>
        <a:p xmlns:a="http://schemas.openxmlformats.org/drawingml/2006/main">
          <a:pPr algn="ctr"/>
          <a:r>
            <a:rPr lang="es-GT" sz="600" b="1">
              <a:latin typeface="Times New Roman" panose="02020603050405020304" pitchFamily="18" charset="0"/>
              <a:cs typeface="Times New Roman" panose="02020603050405020304" pitchFamily="18" charset="0"/>
            </a:rPr>
            <a:t>Medidas Administrativas </a:t>
          </a:r>
        </a:p>
        <a:p xmlns:a="http://schemas.openxmlformats.org/drawingml/2006/main">
          <a:pPr algn="ctr"/>
          <a:r>
            <a:rPr lang="es-GT" sz="600" b="1">
              <a:latin typeface="Times New Roman" panose="02020603050405020304" pitchFamily="18" charset="0"/>
              <a:cs typeface="Times New Roman" panose="02020603050405020304" pitchFamily="18" charset="0"/>
            </a:rPr>
            <a:t>Q 749.7 millones</a:t>
          </a:r>
        </a:p>
      </cdr:txBody>
    </cdr:sp>
  </cdr:relSizeAnchor>
  <cdr:relSizeAnchor xmlns:cdr="http://schemas.openxmlformats.org/drawingml/2006/chartDrawing">
    <cdr:from>
      <cdr:x>0.14767</cdr:x>
      <cdr:y>0.01434</cdr:y>
    </cdr:from>
    <cdr:to>
      <cdr:x>0.54509</cdr:x>
      <cdr:y>0.21225</cdr:y>
    </cdr:to>
    <cdr:sp macro="" textlink="">
      <cdr:nvSpPr>
        <cdr:cNvPr id="4" name="3 Llamada con línea 1"/>
        <cdr:cNvSpPr/>
      </cdr:nvSpPr>
      <cdr:spPr>
        <a:xfrm xmlns:a="http://schemas.openxmlformats.org/drawingml/2006/main">
          <a:off x="381468" y="28048"/>
          <a:ext cx="1026595" cy="387077"/>
        </a:xfrm>
        <a:prstGeom xmlns:a="http://schemas.openxmlformats.org/drawingml/2006/main" prst="borderCallout1">
          <a:avLst>
            <a:gd name="adj1" fmla="val 97436"/>
            <a:gd name="adj2" fmla="val 48899"/>
            <a:gd name="adj3" fmla="val 149730"/>
            <a:gd name="adj4" fmla="val 41347"/>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wrap="square">
          <a:noAutofit/>
        </a:bodyPr>
        <a:lstStyle xmlns:a="http://schemas.openxmlformats.org/drawingml/2006/main"/>
        <a:p xmlns:a="http://schemas.openxmlformats.org/drawingml/2006/main">
          <a:pPr algn="ctr"/>
          <a:r>
            <a:rPr lang="es-GT" sz="600" b="1">
              <a:latin typeface="Times New Roman" panose="02020603050405020304" pitchFamily="18" charset="0"/>
              <a:cs typeface="Times New Roman" panose="02020603050405020304" pitchFamily="18" charset="0"/>
            </a:rPr>
            <a:t>Acuerdo Gubernativo 174-2014 </a:t>
          </a:r>
        </a:p>
        <a:p xmlns:a="http://schemas.openxmlformats.org/drawingml/2006/main">
          <a:pPr algn="ctr"/>
          <a:r>
            <a:rPr lang="es-GT" sz="700" b="1">
              <a:latin typeface="Times New Roman" panose="02020603050405020304" pitchFamily="18" charset="0"/>
              <a:cs typeface="Times New Roman" panose="02020603050405020304" pitchFamily="18" charset="0"/>
            </a:rPr>
            <a:t>Q 246.3 millones</a:t>
          </a:r>
        </a:p>
      </cdr:txBody>
    </cdr:sp>
  </cdr:relSizeAnchor>
</c:userShapes>
</file>

<file path=word/drawings/drawing2.xml><?xml version="1.0" encoding="utf-8"?>
<c:userShapes xmlns:c="http://schemas.openxmlformats.org/drawingml/2006/chart">
  <cdr:relSizeAnchor xmlns:cdr="http://schemas.openxmlformats.org/drawingml/2006/chartDrawing">
    <cdr:from>
      <cdr:x>0.59938</cdr:x>
      <cdr:y>0.01721</cdr:y>
    </cdr:from>
    <cdr:to>
      <cdr:x>0.97508</cdr:x>
      <cdr:y>0.21225</cdr:y>
    </cdr:to>
    <cdr:sp macro="" textlink="">
      <cdr:nvSpPr>
        <cdr:cNvPr id="2" name="1 Llamada con línea 1"/>
        <cdr:cNvSpPr/>
      </cdr:nvSpPr>
      <cdr:spPr>
        <a:xfrm xmlns:a="http://schemas.openxmlformats.org/drawingml/2006/main" flipH="1">
          <a:off x="1548306" y="33659"/>
          <a:ext cx="970501" cy="381460"/>
        </a:xfrm>
        <a:prstGeom xmlns:a="http://schemas.openxmlformats.org/drawingml/2006/main" prst="borderCallout1">
          <a:avLst>
            <a:gd name="adj1" fmla="val 99578"/>
            <a:gd name="adj2" fmla="val 49746"/>
            <a:gd name="adj3" fmla="val 131209"/>
            <a:gd name="adj4" fmla="val 27853"/>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wrap="square">
          <a:noAutofit/>
        </a:bodyPr>
        <a:lstStyle xmlns:a="http://schemas.openxmlformats.org/drawingml/2006/main"/>
        <a:p xmlns:a="http://schemas.openxmlformats.org/drawingml/2006/main">
          <a:pPr algn="ctr"/>
          <a:r>
            <a:rPr lang="es-GT" sz="600" b="1">
              <a:latin typeface="Times New Roman" panose="02020603050405020304" pitchFamily="18" charset="0"/>
              <a:cs typeface="Times New Roman" panose="02020603050405020304" pitchFamily="18" charset="0"/>
            </a:rPr>
            <a:t>Medidas Administrativas </a:t>
          </a:r>
        </a:p>
        <a:p xmlns:a="http://schemas.openxmlformats.org/drawingml/2006/main">
          <a:pPr algn="ctr"/>
          <a:r>
            <a:rPr lang="es-GT" sz="600" b="1">
              <a:latin typeface="Times New Roman" panose="02020603050405020304" pitchFamily="18" charset="0"/>
              <a:cs typeface="Times New Roman" panose="02020603050405020304" pitchFamily="18" charset="0"/>
            </a:rPr>
            <a:t>Q 702.2 millones</a:t>
          </a:r>
        </a:p>
      </cdr:txBody>
    </cdr:sp>
  </cdr:relSizeAnchor>
  <cdr:relSizeAnchor xmlns:cdr="http://schemas.openxmlformats.org/drawingml/2006/chartDrawing">
    <cdr:from>
      <cdr:x>0.14767</cdr:x>
      <cdr:y>0.01434</cdr:y>
    </cdr:from>
    <cdr:to>
      <cdr:x>0.54509</cdr:x>
      <cdr:y>0.21225</cdr:y>
    </cdr:to>
    <cdr:sp macro="" textlink="">
      <cdr:nvSpPr>
        <cdr:cNvPr id="4" name="3 Llamada con línea 1"/>
        <cdr:cNvSpPr/>
      </cdr:nvSpPr>
      <cdr:spPr>
        <a:xfrm xmlns:a="http://schemas.openxmlformats.org/drawingml/2006/main">
          <a:off x="381458" y="28046"/>
          <a:ext cx="1026608" cy="387073"/>
        </a:xfrm>
        <a:prstGeom xmlns:a="http://schemas.openxmlformats.org/drawingml/2006/main" prst="borderCallout1">
          <a:avLst>
            <a:gd name="adj1" fmla="val 97436"/>
            <a:gd name="adj2" fmla="val 48899"/>
            <a:gd name="adj3" fmla="val 152811"/>
            <a:gd name="adj4" fmla="val 36700"/>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wrap="square">
          <a:noAutofit/>
        </a:bodyPr>
        <a:lstStyle xmlns:a="http://schemas.openxmlformats.org/drawingml/2006/main"/>
        <a:p xmlns:a="http://schemas.openxmlformats.org/drawingml/2006/main">
          <a:pPr algn="ctr"/>
          <a:r>
            <a:rPr lang="es-GT" sz="600" b="1">
              <a:latin typeface="Times New Roman" panose="02020603050405020304" pitchFamily="18" charset="0"/>
              <a:cs typeface="Times New Roman" panose="02020603050405020304" pitchFamily="18" charset="0"/>
            </a:rPr>
            <a:t>Acuerdo Gubernativo 174-2014 </a:t>
          </a:r>
        </a:p>
        <a:p xmlns:a="http://schemas.openxmlformats.org/drawingml/2006/main">
          <a:pPr algn="ctr"/>
          <a:r>
            <a:rPr lang="es-GT" sz="700" b="1">
              <a:latin typeface="Times New Roman" panose="02020603050405020304" pitchFamily="18" charset="0"/>
              <a:cs typeface="Times New Roman" panose="02020603050405020304" pitchFamily="18" charset="0"/>
            </a:rPr>
            <a:t>Q 91.3 millones</a:t>
          </a:r>
        </a:p>
      </cdr:txBody>
    </cdr:sp>
  </cdr:relSizeAnchor>
</c:userShapes>
</file>

<file path=word/drawings/drawing3.xml><?xml version="1.0" encoding="utf-8"?>
<c:userShapes xmlns:c="http://schemas.openxmlformats.org/drawingml/2006/chart">
  <cdr:relSizeAnchor xmlns:cdr="http://schemas.openxmlformats.org/drawingml/2006/chartDrawing">
    <cdr:from>
      <cdr:x>0.90785</cdr:x>
      <cdr:y>0</cdr:y>
    </cdr:from>
    <cdr:to>
      <cdr:x>0.98293</cdr:x>
      <cdr:y>0.9116</cdr:y>
    </cdr:to>
    <cdr:sp macro="" textlink="">
      <cdr:nvSpPr>
        <cdr:cNvPr id="2" name="1 Rectángulo"/>
        <cdr:cNvSpPr/>
      </cdr:nvSpPr>
      <cdr:spPr>
        <a:xfrm xmlns:a="http://schemas.openxmlformats.org/drawingml/2006/main">
          <a:off x="2533648" y="0"/>
          <a:ext cx="209551" cy="1571625"/>
        </a:xfrm>
        <a:prstGeom xmlns:a="http://schemas.openxmlformats.org/drawingml/2006/main" prst="rect">
          <a:avLst/>
        </a:prstGeom>
        <a:solidFill xmlns:a="http://schemas.openxmlformats.org/drawingml/2006/main">
          <a:schemeClr val="accent6">
            <a:alpha val="15000"/>
          </a:schemeClr>
        </a:solidFill>
        <a:ln xmlns:a="http://schemas.openxmlformats.org/drawingml/2006/main" w="6350">
          <a:solidFill>
            <a:schemeClr val="accent5">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s-GT"/>
        </a:p>
      </cdr:txBody>
    </cdr:sp>
  </cdr:relSizeAnchor>
</c:userShapes>
</file>

<file path=word/drawings/drawing4.xml><?xml version="1.0" encoding="utf-8"?>
<c:userShapes xmlns:c="http://schemas.openxmlformats.org/drawingml/2006/chart">
  <cdr:relSizeAnchor xmlns:cdr="http://schemas.openxmlformats.org/drawingml/2006/chartDrawing">
    <cdr:from>
      <cdr:x>0.09789</cdr:x>
      <cdr:y>0.27669</cdr:y>
    </cdr:from>
    <cdr:to>
      <cdr:x>0.93922</cdr:x>
      <cdr:y>0.27669</cdr:y>
    </cdr:to>
    <cdr:cxnSp macro="">
      <cdr:nvCxnSpPr>
        <cdr:cNvPr id="3" name="2 Conector recto"/>
        <cdr:cNvCxnSpPr/>
      </cdr:nvCxnSpPr>
      <cdr:spPr>
        <a:xfrm xmlns:a="http://schemas.openxmlformats.org/drawingml/2006/main">
          <a:off x="273132" y="463138"/>
          <a:ext cx="2347480" cy="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0.58734</cdr:x>
      <cdr:y>0.09223</cdr:y>
    </cdr:from>
    <cdr:to>
      <cdr:x>0.58734</cdr:x>
      <cdr:y>0.73784</cdr:y>
    </cdr:to>
    <cdr:cxnSp macro="">
      <cdr:nvCxnSpPr>
        <cdr:cNvPr id="4" name="1 Conector recto"/>
        <cdr:cNvCxnSpPr/>
      </cdr:nvCxnSpPr>
      <cdr:spPr>
        <a:xfrm xmlns:a="http://schemas.openxmlformats.org/drawingml/2006/main" flipV="1">
          <a:off x="1638795" y="154380"/>
          <a:ext cx="0" cy="1080654"/>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4D3FD-BC1F-45EC-AA29-B29BA03E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2826</Words>
  <Characters>15547</Characters>
  <Application>Microsoft Office Word</Application>
  <DocSecurity>0</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Rodas Anleu</dc:creator>
  <cp:lastModifiedBy>Saul Enrique De León Meneses</cp:lastModifiedBy>
  <cp:revision>3</cp:revision>
  <cp:lastPrinted>2014-03-08T04:17:00Z</cp:lastPrinted>
  <dcterms:created xsi:type="dcterms:W3CDTF">2018-05-14T21:29:00Z</dcterms:created>
  <dcterms:modified xsi:type="dcterms:W3CDTF">2018-05-14T21:39:00Z</dcterms:modified>
</cp:coreProperties>
</file>