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drawings/drawing2.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7C1D50" w:rsidRDefault="00C41FF2"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7C1D50" w:rsidSect="00754057">
          <w:headerReference w:type="default" r:id="rId8"/>
          <w:footerReference w:type="default" r:id="rId9"/>
          <w:pgSz w:w="12240" w:h="15840" w:code="1"/>
          <w:pgMar w:top="1418" w:right="1418" w:bottom="1418" w:left="1418" w:header="709" w:footer="709" w:gutter="0"/>
          <w:cols w:space="708"/>
          <w:docGrid w:linePitch="360"/>
        </w:sectPr>
      </w:pPr>
      <w:r w:rsidRPr="007C1D50">
        <w:rPr>
          <w:rFonts w:ascii="Times New Roman" w:hAnsi="Times New Roman" w:cs="Times New Roman"/>
          <w:b/>
          <w:lang w:val="es-MX"/>
        </w:rPr>
        <w:t xml:space="preserve">Se reporta crecimiento en el déficit </w:t>
      </w:r>
      <w:r w:rsidR="00157402" w:rsidRPr="007C1D50">
        <w:rPr>
          <w:rFonts w:ascii="Times New Roman" w:hAnsi="Times New Roman" w:cs="Times New Roman"/>
          <w:b/>
          <w:lang w:val="es-MX"/>
        </w:rPr>
        <w:t>fiscal</w:t>
      </w:r>
      <w:r w:rsidR="00443336" w:rsidRPr="007C1D50">
        <w:rPr>
          <w:rFonts w:ascii="Times New Roman" w:hAnsi="Times New Roman" w:cs="Times New Roman"/>
          <w:b/>
          <w:lang w:val="es-MX"/>
        </w:rPr>
        <w:t xml:space="preserve"> </w:t>
      </w:r>
    </w:p>
    <w:p w:rsidR="007D4651" w:rsidRPr="001675A0" w:rsidRDefault="007D4651" w:rsidP="007D4651">
      <w:pPr>
        <w:pStyle w:val="NoSpacing"/>
        <w:rPr>
          <w:rFonts w:ascii="Times New Roman" w:hAnsi="Times New Roman" w:cs="Times New Roman"/>
          <w:b/>
          <w:color w:val="FF0000"/>
          <w:sz w:val="6"/>
          <w:lang w:val="es-MX"/>
        </w:rPr>
      </w:pPr>
    </w:p>
    <w:p w:rsidR="007D4651" w:rsidRPr="001675A0" w:rsidRDefault="007D4651" w:rsidP="007D4651">
      <w:pPr>
        <w:pStyle w:val="NoSpacing"/>
        <w:jc w:val="center"/>
        <w:rPr>
          <w:rFonts w:ascii="Times New Roman" w:hAnsi="Times New Roman" w:cs="Times New Roman"/>
          <w:b/>
          <w:color w:val="FF0000"/>
          <w:sz w:val="16"/>
          <w:lang w:val="es-MX"/>
        </w:rPr>
      </w:pPr>
    </w:p>
    <w:p w:rsidR="009C4027" w:rsidRPr="001675A0" w:rsidRDefault="009C4027" w:rsidP="007D4651">
      <w:pPr>
        <w:pStyle w:val="NoSpacing"/>
        <w:jc w:val="center"/>
        <w:rPr>
          <w:rFonts w:ascii="Times New Roman" w:hAnsi="Times New Roman" w:cs="Times New Roman"/>
          <w:b/>
          <w:color w:val="FF0000"/>
          <w:lang w:val="es-MX"/>
        </w:rPr>
        <w:sectPr w:rsidR="009C4027" w:rsidRPr="001675A0" w:rsidSect="004E358C">
          <w:type w:val="continuous"/>
          <w:pgSz w:w="12240" w:h="15840"/>
          <w:pgMar w:top="1417" w:right="1701" w:bottom="1417" w:left="1701" w:header="708" w:footer="708" w:gutter="0"/>
          <w:cols w:space="708"/>
          <w:docGrid w:linePitch="360"/>
        </w:sectPr>
      </w:pPr>
    </w:p>
    <w:p w:rsidR="007E6F28" w:rsidRPr="001675A0" w:rsidRDefault="007C1D50" w:rsidP="007E6F28">
      <w:pPr>
        <w:pStyle w:val="NoSpacing"/>
        <w:jc w:val="both"/>
        <w:rPr>
          <w:rFonts w:ascii="Times New Roman" w:hAnsi="Times New Roman" w:cs="Times New Roman"/>
          <w:color w:val="FF0000"/>
          <w:lang w:val="es-MX"/>
        </w:rPr>
      </w:pPr>
      <w:r>
        <w:rPr>
          <w:rFonts w:ascii="Times New Roman" w:hAnsi="Times New Roman" w:cs="Times New Roman"/>
          <w:lang w:val="es-MX"/>
        </w:rPr>
        <w:lastRenderedPageBreak/>
        <w:t xml:space="preserve">Al 30 de septiembre se observa un mayor dinamismo en la ejecución del gasto público, lo cual incide en un resultado fiscal negativo mayor, a dicha fecha muestra un déficit de –Q1,592.9millones, correspondiente al 0.3% del PIB, siendo superior al reportado en igual fecha del año anterior –Q1,175.8 millones. Esta situación es resultado de una aceleración en la ejecución presupuestaria que principalmente se refleja en los rubros </w:t>
      </w:r>
      <w:r w:rsidRPr="00C74D63">
        <w:rPr>
          <w:rFonts w:ascii="Times New Roman" w:hAnsi="Times New Roman" w:cs="Times New Roman"/>
          <w:lang w:val="es-MX"/>
        </w:rPr>
        <w:t xml:space="preserve">las transferencias corrientes </w:t>
      </w:r>
      <w:r>
        <w:rPr>
          <w:rFonts w:ascii="Times New Roman" w:hAnsi="Times New Roman" w:cs="Times New Roman"/>
          <w:lang w:val="es-MX"/>
        </w:rPr>
        <w:t>que siguen</w:t>
      </w:r>
      <w:r w:rsidRPr="00C74D63">
        <w:rPr>
          <w:rFonts w:ascii="Times New Roman" w:hAnsi="Times New Roman" w:cs="Times New Roman"/>
          <w:lang w:val="es-MX"/>
        </w:rPr>
        <w:t xml:space="preserve"> impulsando la ejecución</w:t>
      </w:r>
      <w:r>
        <w:rPr>
          <w:rFonts w:ascii="Times New Roman" w:hAnsi="Times New Roman" w:cs="Times New Roman"/>
          <w:lang w:val="es-MX"/>
        </w:rPr>
        <w:t xml:space="preserve">. No obstante, la </w:t>
      </w:r>
      <w:r>
        <w:rPr>
          <w:rFonts w:ascii="Times New Roman" w:hAnsi="Times New Roman" w:cs="Times New Roman"/>
          <w:lang w:val="es-MX"/>
        </w:rPr>
        <w:lastRenderedPageBreak/>
        <w:t>programación financiera y el amplio espacio dado a las entidades para gastar en este mes, la ejecución estuvo muy por debajo de lo esperado, mostrando con ello que continúan en este inicio de cuatrimestre las debilidades de las instituciones para planificar y programar, siendo la ejecución de la cuota para septiembre de 77.5%, entre las instituciones que continúan con problemas en su ejecución resalta el Ministerio de Desarrollo Social, únicamente con 23.9% de ejecución de la cuota asignada.</w:t>
      </w:r>
    </w:p>
    <w:p w:rsidR="007D4651" w:rsidRPr="001675A0" w:rsidRDefault="007D4651" w:rsidP="007D4651">
      <w:pPr>
        <w:pStyle w:val="NoSpacing"/>
        <w:jc w:val="both"/>
        <w:rPr>
          <w:rFonts w:ascii="Times New Roman" w:hAnsi="Times New Roman" w:cs="Times New Roman"/>
          <w:color w:val="FF0000"/>
          <w:lang w:val="es-MX"/>
        </w:rPr>
      </w:pPr>
    </w:p>
    <w:p w:rsidR="007D4651" w:rsidRPr="001675A0" w:rsidRDefault="007D4651" w:rsidP="007D4651">
      <w:pPr>
        <w:pStyle w:val="NoSpacing"/>
        <w:jc w:val="center"/>
        <w:rPr>
          <w:rFonts w:ascii="Times New Roman" w:hAnsi="Times New Roman" w:cs="Times New Roman"/>
          <w:b/>
          <w:color w:val="FF0000"/>
          <w:lang w:val="es-MX"/>
        </w:rPr>
        <w:sectPr w:rsidR="007D4651" w:rsidRPr="001675A0" w:rsidSect="004E358C">
          <w:type w:val="continuous"/>
          <w:pgSz w:w="12240" w:h="15840"/>
          <w:pgMar w:top="1417" w:right="1701" w:bottom="1417" w:left="1701" w:header="708" w:footer="708" w:gutter="0"/>
          <w:cols w:num="2" w:space="708"/>
          <w:docGrid w:linePitch="360"/>
        </w:sectPr>
      </w:pPr>
    </w:p>
    <w:p w:rsidR="007D4651" w:rsidRPr="007C1D50" w:rsidRDefault="007D4651" w:rsidP="00B9286A">
      <w:pPr>
        <w:pStyle w:val="NoSpacing"/>
        <w:rPr>
          <w:rFonts w:ascii="Times New Roman" w:hAnsi="Times New Roman" w:cs="Times New Roman"/>
          <w:b/>
          <w:sz w:val="16"/>
          <w:lang w:val="es-MX"/>
        </w:rPr>
      </w:pPr>
    </w:p>
    <w:p w:rsidR="009C4027" w:rsidRPr="007C1D50" w:rsidRDefault="009C4027" w:rsidP="007D4651">
      <w:pPr>
        <w:pStyle w:val="NoSpacing"/>
        <w:jc w:val="center"/>
        <w:rPr>
          <w:rFonts w:ascii="Times New Roman" w:hAnsi="Times New Roman" w:cs="Times New Roman"/>
          <w:b/>
          <w:lang w:val="es-MX"/>
        </w:rPr>
      </w:pPr>
    </w:p>
    <w:p w:rsidR="009C4027" w:rsidRPr="007C1D50" w:rsidRDefault="009C4027" w:rsidP="007D4651">
      <w:pPr>
        <w:pStyle w:val="NoSpacing"/>
        <w:jc w:val="center"/>
        <w:rPr>
          <w:rFonts w:ascii="Times New Roman" w:hAnsi="Times New Roman" w:cs="Times New Roman"/>
          <w:b/>
          <w:lang w:val="es-MX"/>
        </w:rPr>
        <w:sectPr w:rsidR="009C4027" w:rsidRPr="007C1D50" w:rsidSect="007D4651">
          <w:type w:val="continuous"/>
          <w:pgSz w:w="12240" w:h="15840" w:code="1"/>
          <w:pgMar w:top="1418" w:right="1418" w:bottom="1418" w:left="1418" w:header="709" w:footer="709" w:gutter="0"/>
          <w:cols w:num="2" w:space="708"/>
          <w:docGrid w:linePitch="360"/>
        </w:sectPr>
      </w:pPr>
    </w:p>
    <w:p w:rsidR="00950874" w:rsidRPr="007C1D50" w:rsidRDefault="00950874" w:rsidP="00950874">
      <w:pPr>
        <w:pStyle w:val="NoSpacing"/>
        <w:jc w:val="center"/>
        <w:rPr>
          <w:rFonts w:ascii="Times New Roman" w:hAnsi="Times New Roman" w:cs="Times New Roman"/>
          <w:b/>
          <w:lang w:val="es-MX"/>
        </w:rPr>
      </w:pPr>
      <w:r w:rsidRPr="007C1D50">
        <w:rPr>
          <w:rFonts w:ascii="Times New Roman" w:hAnsi="Times New Roman" w:cs="Times New Roman"/>
          <w:b/>
          <w:lang w:val="es-MX"/>
        </w:rPr>
        <w:lastRenderedPageBreak/>
        <w:t>Resultado Presupuestario</w:t>
      </w:r>
      <w:r w:rsidR="00F27024" w:rsidRPr="007C1D50">
        <w:rPr>
          <w:rFonts w:ascii="Times New Roman" w:hAnsi="Times New Roman" w:cs="Times New Roman"/>
          <w:b/>
          <w:lang w:val="es-MX"/>
        </w:rPr>
        <w:tab/>
      </w:r>
    </w:p>
    <w:p w:rsidR="00AF68D3" w:rsidRPr="007C1D50" w:rsidRDefault="00950874" w:rsidP="00443336">
      <w:pPr>
        <w:pStyle w:val="NoSpacing"/>
        <w:jc w:val="center"/>
        <w:rPr>
          <w:rFonts w:ascii="Times New Roman" w:hAnsi="Times New Roman" w:cs="Times New Roman"/>
          <w:sz w:val="18"/>
          <w:lang w:val="es-MX"/>
        </w:rPr>
      </w:pPr>
      <w:r w:rsidRPr="007C1D50">
        <w:rPr>
          <w:rFonts w:ascii="Times New Roman" w:hAnsi="Times New Roman" w:cs="Times New Roman"/>
          <w:sz w:val="18"/>
          <w:lang w:val="es-MX"/>
        </w:rPr>
        <w:t>Millones de quetzales</w:t>
      </w:r>
    </w:p>
    <w:p w:rsidR="007D4651" w:rsidRPr="007C1D50" w:rsidRDefault="007C1D50" w:rsidP="007D4651">
      <w:pPr>
        <w:pStyle w:val="NoSpacing"/>
        <w:jc w:val="center"/>
        <w:rPr>
          <w:rFonts w:ascii="Times New Roman" w:hAnsi="Times New Roman" w:cs="Times New Roman"/>
          <w:lang w:val="es-MX"/>
        </w:rPr>
      </w:pPr>
      <w:r w:rsidRPr="007C1D50">
        <w:rPr>
          <w:rFonts w:ascii="Times New Roman" w:hAnsi="Times New Roman" w:cs="Times New Roman"/>
          <w:noProof/>
          <w:lang w:eastAsia="es-GT"/>
        </w:rPr>
        <w:drawing>
          <wp:inline distT="0" distB="0" distL="0" distR="0" wp14:anchorId="04D34400" wp14:editId="37E473B1">
            <wp:extent cx="4056903" cy="25241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1114" cy="2545411"/>
                    </a:xfrm>
                    <a:prstGeom prst="rect">
                      <a:avLst/>
                    </a:prstGeom>
                    <a:noFill/>
                  </pic:spPr>
                </pic:pic>
              </a:graphicData>
            </a:graphic>
          </wp:inline>
        </w:drawing>
      </w:r>
    </w:p>
    <w:p w:rsidR="00DF71A8" w:rsidRPr="007C1D50" w:rsidRDefault="00AF68D3" w:rsidP="00AF68D3">
      <w:pPr>
        <w:pStyle w:val="NoSpacing"/>
        <w:jc w:val="both"/>
        <w:rPr>
          <w:rFonts w:ascii="Times New Roman" w:hAnsi="Times New Roman" w:cs="Times New Roman"/>
          <w:sz w:val="16"/>
        </w:rPr>
      </w:pPr>
      <w:r w:rsidRPr="007C1D50">
        <w:rPr>
          <w:rFonts w:ascii="Times New Roman" w:hAnsi="Times New Roman" w:cs="Times New Roman"/>
          <w:sz w:val="16"/>
        </w:rPr>
        <w:t xml:space="preserve">                      </w:t>
      </w:r>
      <w:r w:rsidR="00F27024" w:rsidRPr="007C1D50">
        <w:rPr>
          <w:rFonts w:ascii="Times New Roman" w:hAnsi="Times New Roman" w:cs="Times New Roman"/>
          <w:sz w:val="16"/>
        </w:rPr>
        <w:tab/>
      </w:r>
      <w:r w:rsidR="00F27024" w:rsidRPr="007C1D50">
        <w:rPr>
          <w:rFonts w:ascii="Times New Roman" w:hAnsi="Times New Roman" w:cs="Times New Roman"/>
          <w:sz w:val="16"/>
        </w:rPr>
        <w:tab/>
      </w:r>
      <w:r w:rsidR="007D4651" w:rsidRPr="007C1D50">
        <w:rPr>
          <w:rFonts w:ascii="Times New Roman" w:hAnsi="Times New Roman" w:cs="Times New Roman"/>
          <w:sz w:val="16"/>
        </w:rPr>
        <w:t>Fuente: Dirección de Análisis y Política fiscal</w:t>
      </w:r>
    </w:p>
    <w:p w:rsidR="009C4027" w:rsidRPr="001675A0" w:rsidRDefault="009C4027" w:rsidP="007D4651">
      <w:pPr>
        <w:spacing w:after="0" w:line="240" w:lineRule="auto"/>
        <w:rPr>
          <w:rFonts w:ascii="Times New Roman" w:hAnsi="Times New Roman" w:cs="Times New Roman"/>
          <w:color w:val="FF0000"/>
          <w:lang w:val="es-MX"/>
        </w:rPr>
      </w:pPr>
    </w:p>
    <w:p w:rsidR="009C4027" w:rsidRPr="001675A0" w:rsidRDefault="009C4027" w:rsidP="007D4651">
      <w:pPr>
        <w:spacing w:after="0" w:line="240" w:lineRule="auto"/>
        <w:rPr>
          <w:rFonts w:ascii="Times New Roman" w:hAnsi="Times New Roman" w:cs="Times New Roman"/>
          <w:color w:val="FF0000"/>
          <w:lang w:val="es-MX"/>
        </w:rPr>
        <w:sectPr w:rsidR="009C4027" w:rsidRPr="001675A0" w:rsidSect="007D4651">
          <w:type w:val="continuous"/>
          <w:pgSz w:w="12240" w:h="15840" w:code="1"/>
          <w:pgMar w:top="1418" w:right="1418" w:bottom="1418" w:left="1418" w:header="709" w:footer="709" w:gutter="0"/>
          <w:cols w:space="708"/>
          <w:docGrid w:linePitch="360"/>
        </w:sectPr>
      </w:pPr>
    </w:p>
    <w:p w:rsidR="00E16925" w:rsidRPr="005C0B7A" w:rsidRDefault="00986297" w:rsidP="00270CA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5C0B7A"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5C0B7A">
        <w:rPr>
          <w:rFonts w:ascii="Times New Roman" w:hAnsi="Times New Roman" w:cs="Times New Roman"/>
          <w:b/>
          <w:lang w:val="es-MX"/>
        </w:rPr>
        <w:lastRenderedPageBreak/>
        <w:t xml:space="preserve">La  brecha fiscal </w:t>
      </w:r>
      <w:r w:rsidR="00B04D97" w:rsidRPr="005C0B7A">
        <w:rPr>
          <w:rFonts w:ascii="Times New Roman" w:hAnsi="Times New Roman" w:cs="Times New Roman"/>
          <w:b/>
          <w:lang w:val="es-MX"/>
        </w:rPr>
        <w:t>acumulada a septiembre aumentó</w:t>
      </w:r>
      <w:r w:rsidRPr="005C0B7A">
        <w:rPr>
          <w:rFonts w:ascii="Times New Roman" w:hAnsi="Times New Roman" w:cs="Times New Roman"/>
          <w:b/>
          <w:lang w:val="es-MX"/>
        </w:rPr>
        <w:t xml:space="preserve"> </w:t>
      </w:r>
    </w:p>
    <w:p w:rsidR="00E16925" w:rsidRPr="001675A0" w:rsidRDefault="00E16925" w:rsidP="00E16925">
      <w:pPr>
        <w:pStyle w:val="NoSpacing"/>
        <w:rPr>
          <w:rFonts w:ascii="Times New Roman" w:hAnsi="Times New Roman" w:cs="Times New Roman"/>
          <w:b/>
          <w:color w:val="FF0000"/>
          <w:sz w:val="8"/>
          <w:lang w:val="es-MX"/>
        </w:rPr>
      </w:pPr>
    </w:p>
    <w:p w:rsidR="00E16925" w:rsidRPr="001675A0" w:rsidRDefault="00E16925" w:rsidP="00E16925">
      <w:pPr>
        <w:pStyle w:val="NoSpacing"/>
        <w:jc w:val="center"/>
        <w:rPr>
          <w:rFonts w:ascii="Times New Roman" w:hAnsi="Times New Roman" w:cs="Times New Roman"/>
          <w:b/>
          <w:color w:val="FF0000"/>
          <w:lang w:val="es-MX"/>
        </w:rPr>
      </w:pPr>
    </w:p>
    <w:p w:rsidR="00343A5D" w:rsidRPr="001675A0" w:rsidRDefault="00343A5D" w:rsidP="00E16925">
      <w:pPr>
        <w:pStyle w:val="NoSpacing"/>
        <w:jc w:val="center"/>
        <w:rPr>
          <w:rFonts w:ascii="Times New Roman" w:hAnsi="Times New Roman" w:cs="Times New Roman"/>
          <w:b/>
          <w:color w:val="FF0000"/>
          <w:sz w:val="28"/>
          <w:lang w:val="es-MX"/>
        </w:rPr>
        <w:sectPr w:rsidR="00343A5D" w:rsidRPr="001675A0" w:rsidSect="004E358C">
          <w:type w:val="continuous"/>
          <w:pgSz w:w="12240" w:h="15840"/>
          <w:pgMar w:top="1417" w:right="1701" w:bottom="1417" w:left="1701" w:header="708" w:footer="708" w:gutter="0"/>
          <w:cols w:space="708"/>
          <w:docGrid w:linePitch="360"/>
        </w:sectPr>
      </w:pPr>
    </w:p>
    <w:p w:rsidR="005C0B7A" w:rsidRDefault="005C0B7A" w:rsidP="005C0B7A">
      <w:pPr>
        <w:spacing w:after="0" w:line="240" w:lineRule="auto"/>
        <w:jc w:val="both"/>
        <w:rPr>
          <w:rFonts w:ascii="Times New Roman" w:hAnsi="Times New Roman" w:cs="Times New Roman"/>
          <w:lang w:val="es-MX"/>
        </w:rPr>
      </w:pPr>
      <w:r w:rsidRPr="007D2CC4">
        <w:rPr>
          <w:rFonts w:ascii="Times New Roman" w:hAnsi="Times New Roman" w:cs="Times New Roman"/>
          <w:lang w:val="es-MX"/>
        </w:rPr>
        <w:lastRenderedPageBreak/>
        <w:t>Cifras preliminares acumuladas de recaudación al 30 de septiembre indican que la brecha fiscal negativa se amplió nuevamente ubicándola en Q</w:t>
      </w:r>
      <w:r>
        <w:rPr>
          <w:rFonts w:ascii="Times New Roman" w:hAnsi="Times New Roman" w:cs="Times New Roman"/>
          <w:lang w:val="es-MX"/>
        </w:rPr>
        <w:t xml:space="preserve"> </w:t>
      </w:r>
      <w:r w:rsidRPr="007D2CC4">
        <w:rPr>
          <w:rFonts w:ascii="Times New Roman" w:hAnsi="Times New Roman" w:cs="Times New Roman"/>
          <w:lang w:val="es-MX"/>
        </w:rPr>
        <w:t>9</w:t>
      </w:r>
      <w:r>
        <w:rPr>
          <w:rFonts w:ascii="Times New Roman" w:hAnsi="Times New Roman" w:cs="Times New Roman"/>
          <w:lang w:val="es-MX"/>
        </w:rPr>
        <w:t xml:space="preserve">67.5 </w:t>
      </w:r>
      <w:r w:rsidRPr="007D2CC4">
        <w:rPr>
          <w:rFonts w:ascii="Times New Roman" w:hAnsi="Times New Roman" w:cs="Times New Roman"/>
          <w:lang w:val="es-MX"/>
        </w:rPr>
        <w:t>millones, el impuesto a la renta, el de timbres fiscales, así como el de cemento son los únicos que muestran desempeño positivo rebasando la meta de presupuesto por Q</w:t>
      </w:r>
      <w:r>
        <w:rPr>
          <w:rFonts w:ascii="Times New Roman" w:hAnsi="Times New Roman" w:cs="Times New Roman"/>
          <w:lang w:val="es-MX"/>
        </w:rPr>
        <w:t xml:space="preserve"> </w:t>
      </w:r>
      <w:r w:rsidRPr="007D2CC4">
        <w:rPr>
          <w:rFonts w:ascii="Times New Roman" w:hAnsi="Times New Roman" w:cs="Times New Roman"/>
          <w:lang w:val="es-MX"/>
        </w:rPr>
        <w:t xml:space="preserve">563.1 millones en conjunto, el impuesto al valor </w:t>
      </w:r>
      <w:r w:rsidRPr="007D2CC4">
        <w:rPr>
          <w:rFonts w:ascii="Times New Roman" w:hAnsi="Times New Roman" w:cs="Times New Roman"/>
          <w:lang w:val="es-MX"/>
        </w:rPr>
        <w:lastRenderedPageBreak/>
        <w:t>agregado muestra una caída acumulada de Q</w:t>
      </w:r>
      <w:r>
        <w:rPr>
          <w:rFonts w:ascii="Times New Roman" w:hAnsi="Times New Roman" w:cs="Times New Roman"/>
          <w:lang w:val="es-MX"/>
        </w:rPr>
        <w:t xml:space="preserve"> </w:t>
      </w:r>
      <w:r w:rsidRPr="007D2CC4">
        <w:rPr>
          <w:rFonts w:ascii="Times New Roman" w:hAnsi="Times New Roman" w:cs="Times New Roman"/>
          <w:lang w:val="es-MX"/>
        </w:rPr>
        <w:t>62</w:t>
      </w:r>
      <w:r>
        <w:rPr>
          <w:rFonts w:ascii="Times New Roman" w:hAnsi="Times New Roman" w:cs="Times New Roman"/>
          <w:lang w:val="es-MX"/>
        </w:rPr>
        <w:t xml:space="preserve">3.9 </w:t>
      </w:r>
      <w:r w:rsidRPr="007D2CC4">
        <w:rPr>
          <w:rFonts w:ascii="Times New Roman" w:hAnsi="Times New Roman" w:cs="Times New Roman"/>
          <w:lang w:val="es-MX"/>
        </w:rPr>
        <w:t xml:space="preserve">millones impulsado principalmente por el deterioro en el IVA asociado al comercio exterior que de manera acumulada ha dejado de recaudar </w:t>
      </w:r>
      <w:r>
        <w:rPr>
          <w:rFonts w:ascii="Times New Roman" w:hAnsi="Times New Roman" w:cs="Times New Roman"/>
          <w:lang w:val="es-MX"/>
        </w:rPr>
        <w:t xml:space="preserve">         </w:t>
      </w:r>
      <w:r w:rsidRPr="007D2CC4">
        <w:rPr>
          <w:rFonts w:ascii="Times New Roman" w:hAnsi="Times New Roman" w:cs="Times New Roman"/>
          <w:lang w:val="es-MX"/>
        </w:rPr>
        <w:t>Q</w:t>
      </w:r>
      <w:r>
        <w:rPr>
          <w:rFonts w:ascii="Times New Roman" w:hAnsi="Times New Roman" w:cs="Times New Roman"/>
          <w:lang w:val="es-MX"/>
        </w:rPr>
        <w:t xml:space="preserve"> </w:t>
      </w:r>
      <w:r w:rsidRPr="007D2CC4">
        <w:rPr>
          <w:rFonts w:ascii="Times New Roman" w:hAnsi="Times New Roman" w:cs="Times New Roman"/>
          <w:lang w:val="es-MX"/>
        </w:rPr>
        <w:t>573.7 millones.</w:t>
      </w:r>
    </w:p>
    <w:p w:rsidR="005C0B7A" w:rsidRPr="007D2CC4" w:rsidRDefault="005C0B7A" w:rsidP="005C0B7A">
      <w:pPr>
        <w:spacing w:after="0" w:line="240" w:lineRule="auto"/>
        <w:jc w:val="both"/>
        <w:rPr>
          <w:rFonts w:ascii="Times New Roman" w:hAnsi="Times New Roman" w:cs="Times New Roman"/>
          <w:lang w:val="es-MX"/>
        </w:rPr>
      </w:pPr>
    </w:p>
    <w:p w:rsidR="005C0B7A" w:rsidRPr="007D2CC4" w:rsidRDefault="005C0B7A" w:rsidP="005C0B7A">
      <w:pPr>
        <w:spacing w:after="0" w:line="240" w:lineRule="auto"/>
        <w:jc w:val="both"/>
        <w:rPr>
          <w:rFonts w:ascii="Times New Roman" w:hAnsi="Times New Roman" w:cs="Times New Roman"/>
          <w:lang w:val="es-MX"/>
        </w:rPr>
      </w:pPr>
      <w:r w:rsidRPr="007D2CC4">
        <w:rPr>
          <w:rFonts w:ascii="Times New Roman" w:hAnsi="Times New Roman" w:cs="Times New Roman"/>
          <w:lang w:val="es-MX"/>
        </w:rPr>
        <w:t>De manera interanual la recaudación tributaria acumulada crece en 5% (Q</w:t>
      </w:r>
      <w:r>
        <w:rPr>
          <w:rFonts w:ascii="Times New Roman" w:hAnsi="Times New Roman" w:cs="Times New Roman"/>
          <w:lang w:val="es-MX"/>
        </w:rPr>
        <w:t xml:space="preserve"> 1,998 millones).</w:t>
      </w:r>
    </w:p>
    <w:p w:rsidR="005C0B7A" w:rsidRPr="007D2CC4" w:rsidRDefault="005C0B7A" w:rsidP="005C0B7A">
      <w:pPr>
        <w:spacing w:after="0" w:line="240" w:lineRule="auto"/>
        <w:jc w:val="center"/>
        <w:rPr>
          <w:rFonts w:ascii="Times New Roman" w:hAnsi="Times New Roman" w:cs="Times New Roman"/>
          <w:b/>
          <w:lang w:val="es-MX"/>
        </w:rPr>
      </w:pPr>
      <w:r w:rsidRPr="007D2CC4">
        <w:rPr>
          <w:rFonts w:ascii="Times New Roman" w:hAnsi="Times New Roman" w:cs="Times New Roman"/>
          <w:b/>
          <w:lang w:val="es-MX"/>
        </w:rPr>
        <w:lastRenderedPageBreak/>
        <w:t>Recaudación Tributaria</w:t>
      </w:r>
    </w:p>
    <w:p w:rsidR="005C0B7A" w:rsidRPr="00CE60D4" w:rsidRDefault="005C0B7A" w:rsidP="005C0B7A">
      <w:pPr>
        <w:spacing w:after="0" w:line="240" w:lineRule="auto"/>
        <w:jc w:val="center"/>
        <w:rPr>
          <w:rFonts w:ascii="Times New Roman" w:hAnsi="Times New Roman" w:cs="Times New Roman"/>
          <w:lang w:val="es-MX"/>
        </w:rPr>
      </w:pPr>
      <w:r w:rsidRPr="00CE60D4">
        <w:rPr>
          <w:rFonts w:ascii="Times New Roman" w:hAnsi="Times New Roman" w:cs="Times New Roman"/>
          <w:noProof/>
          <w:sz w:val="18"/>
          <w:lang w:eastAsia="es-GT"/>
        </w:rPr>
        <w:drawing>
          <wp:anchor distT="0" distB="0" distL="114300" distR="114300" simplePos="0" relativeHeight="251678720" behindDoc="0" locked="0" layoutInCell="1" allowOverlap="1" wp14:anchorId="19A28FB9" wp14:editId="0C70727E">
            <wp:simplePos x="0" y="0"/>
            <wp:positionH relativeFrom="margin">
              <wp:posOffset>-71120</wp:posOffset>
            </wp:positionH>
            <wp:positionV relativeFrom="paragraph">
              <wp:posOffset>199390</wp:posOffset>
            </wp:positionV>
            <wp:extent cx="2695575" cy="2390775"/>
            <wp:effectExtent l="0" t="0" r="0" b="0"/>
            <wp:wrapSquare wrapText="bothSides"/>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CE60D4">
        <w:rPr>
          <w:rFonts w:ascii="Times New Roman" w:hAnsi="Times New Roman" w:cs="Times New Roman"/>
          <w:sz w:val="18"/>
          <w:lang w:val="es-MX"/>
        </w:rPr>
        <w:t>Millones de quetzales</w:t>
      </w:r>
    </w:p>
    <w:p w:rsidR="005C0B7A" w:rsidRPr="00CE60D4" w:rsidRDefault="005C0B7A" w:rsidP="005C0B7A">
      <w:pPr>
        <w:spacing w:after="0" w:line="240" w:lineRule="auto"/>
        <w:jc w:val="both"/>
        <w:rPr>
          <w:rFonts w:ascii="Times New Roman" w:hAnsi="Times New Roman" w:cs="Times New Roman"/>
          <w:sz w:val="16"/>
          <w:lang w:val="es-MX"/>
        </w:rPr>
      </w:pPr>
      <w:r w:rsidRPr="00CE60D4">
        <w:rPr>
          <w:rFonts w:ascii="Times New Roman" w:hAnsi="Times New Roman" w:cs="Times New Roman"/>
          <w:sz w:val="16"/>
          <w:lang w:val="es-MX"/>
        </w:rPr>
        <w:t>Fuente: Dirección de Análisis y Política Fiscal</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t>Impuesto al valor agregado</w:t>
      </w:r>
    </w:p>
    <w:p w:rsidR="005C0B7A" w:rsidRPr="00F3141C" w:rsidRDefault="005C0B7A" w:rsidP="005C0B7A">
      <w:pPr>
        <w:spacing w:after="0" w:line="240" w:lineRule="auto"/>
        <w:jc w:val="both"/>
        <w:rPr>
          <w:rFonts w:ascii="Times New Roman" w:hAnsi="Times New Roman" w:cs="Times New Roman"/>
          <w:b/>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Este impuesto en septiembre dejo de recaudar Q 89 millones respecto a la meta de presupuesto, esta caída obedece al bajo rendimiento en el IVA asociado al comercio exterior el cual puede estar influenciado por un efecto de la apreciación del quetzal ante el dólar.</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 xml:space="preserve">De manera interanual tanto el IVA asociado al comercio exterior como el IVA doméstico acumulados reflejan crecimiento, para el IVA de importaciones el crecimiento está sustentado por el desempeño de variables macroeconómicas como las importaciones gravadas no asociadas a los derivados de petróleo cuyo monto acumulado a agosto marca un crecimiento de 6.1% y su volumen que mantiene un crecimiento de 9.1%, por otro lado las importaciones asociadas a los derivados de petróleo tienen un crecimiento acumulado a agosto de 30.3% y su volumen de igual manera crece en 7% esto influenciado por el precio internacional del petróleo y a la apreciación del quetzal ante el dólar, el IVA de importaciones </w:t>
      </w:r>
      <w:r>
        <w:rPr>
          <w:rFonts w:ascii="Times New Roman" w:hAnsi="Times New Roman" w:cs="Times New Roman"/>
          <w:lang w:val="es-MX"/>
        </w:rPr>
        <w:lastRenderedPageBreak/>
        <w:t>respecto a la meta establecida han dejado de recaudar Q 573.7 millones.</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Por su parte el IVA doméstico tiene un crecimiento interanual acumulado de 9.5%, este impuesto continua creciendo en buena parte impulsado por el flujo de remesas familiares que de manera acumulada crecen respecto a lo observado en 2016 (a septiembre las remesas familiares se ubican en 15.6% monto superior al observado en 2016 cuando crecían en 14.8%), además también puede indicarse que dicho crecimiento está influenciado por una aparente mejora en la economía interna que medida a través de la variación de tendencia ciclo del IMAE la sitúa en agosto en un ritmo de 3.0% superior al 2.7% del año anterior.</w:t>
      </w:r>
    </w:p>
    <w:p w:rsidR="005C0B7A" w:rsidRDefault="005C0B7A" w:rsidP="005C0B7A">
      <w:pPr>
        <w:spacing w:after="0" w:line="240" w:lineRule="auto"/>
        <w:jc w:val="both"/>
        <w:rPr>
          <w:rFonts w:ascii="Times New Roman" w:hAnsi="Times New Roman" w:cs="Times New Roman"/>
          <w:lang w:val="es-MX"/>
        </w:rPr>
      </w:pPr>
    </w:p>
    <w:p w:rsidR="005C0B7A" w:rsidRPr="00D74D30" w:rsidRDefault="005C0B7A" w:rsidP="005C0B7A">
      <w:pPr>
        <w:spacing w:after="0" w:line="240" w:lineRule="auto"/>
        <w:jc w:val="both"/>
        <w:rPr>
          <w:rFonts w:ascii="Times New Roman" w:hAnsi="Times New Roman" w:cs="Times New Roman"/>
          <w:b/>
          <w:lang w:val="es-MX"/>
        </w:rPr>
      </w:pPr>
      <w:r w:rsidRPr="00D74D30">
        <w:rPr>
          <w:rFonts w:ascii="Times New Roman" w:hAnsi="Times New Roman" w:cs="Times New Roman"/>
          <w:b/>
          <w:lang w:val="es-MX"/>
        </w:rPr>
        <w:t>El impuesto sobre la renta</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 xml:space="preserve">Este impuesto de manera mensual no alcanzo la meta establecida dejando de percibir Q 35.9 millones. De manera acumulada el ISR genera una brecha positiva de Q 524.2 millones esto en gran medida generado por recaudación extraordinaria. </w:t>
      </w:r>
    </w:p>
    <w:p w:rsidR="005C0B7A" w:rsidRDefault="005C0B7A" w:rsidP="005C0B7A">
      <w:pPr>
        <w:spacing w:after="0" w:line="240" w:lineRule="auto"/>
        <w:jc w:val="both"/>
        <w:rPr>
          <w:rFonts w:ascii="Times New Roman" w:hAnsi="Times New Roman" w:cs="Times New Roman"/>
          <w:lang w:val="es-MX"/>
        </w:rPr>
      </w:pPr>
    </w:p>
    <w:p w:rsidR="005C0B7A" w:rsidRPr="00D47E32" w:rsidRDefault="005C0B7A" w:rsidP="005C0B7A">
      <w:pPr>
        <w:spacing w:after="0" w:line="240" w:lineRule="auto"/>
        <w:jc w:val="center"/>
        <w:rPr>
          <w:rFonts w:ascii="Times New Roman" w:hAnsi="Times New Roman" w:cs="Times New Roman"/>
          <w:b/>
          <w:lang w:val="es-MX"/>
        </w:rPr>
      </w:pPr>
      <w:r>
        <w:rPr>
          <w:rFonts w:ascii="Times New Roman" w:hAnsi="Times New Roman" w:cs="Times New Roman"/>
          <w:b/>
          <w:lang w:val="es-MX"/>
        </w:rPr>
        <w:t>Impuesto sobre la renta</w:t>
      </w:r>
    </w:p>
    <w:p w:rsidR="005C0B7A" w:rsidRPr="00CE60D4" w:rsidRDefault="005C0B7A" w:rsidP="005C0B7A">
      <w:pPr>
        <w:spacing w:after="0" w:line="240" w:lineRule="auto"/>
        <w:jc w:val="center"/>
        <w:rPr>
          <w:rFonts w:ascii="Times New Roman" w:hAnsi="Times New Roman" w:cs="Times New Roman"/>
          <w:sz w:val="18"/>
          <w:lang w:val="es-MX"/>
        </w:rPr>
      </w:pPr>
      <w:r w:rsidRPr="00CE60D4">
        <w:rPr>
          <w:rFonts w:ascii="Times New Roman" w:hAnsi="Times New Roman" w:cs="Times New Roman"/>
          <w:sz w:val="18"/>
          <w:lang w:val="es-MX"/>
        </w:rPr>
        <w:t>Variación interanual Acumulada</w:t>
      </w:r>
    </w:p>
    <w:p w:rsidR="005C0B7A" w:rsidRDefault="005C0B7A" w:rsidP="005C0B7A">
      <w:pPr>
        <w:spacing w:after="0" w:line="240" w:lineRule="auto"/>
        <w:jc w:val="both"/>
        <w:rPr>
          <w:rFonts w:ascii="Times New Roman" w:hAnsi="Times New Roman" w:cs="Times New Roman"/>
          <w:b/>
          <w:sz w:val="14"/>
          <w:lang w:val="es-MX"/>
        </w:rPr>
      </w:pPr>
      <w:r>
        <w:rPr>
          <w:rFonts w:ascii="Times New Roman" w:hAnsi="Times New Roman" w:cs="Times New Roman"/>
          <w:b/>
          <w:noProof/>
          <w:sz w:val="14"/>
          <w:lang w:eastAsia="es-GT"/>
        </w:rPr>
        <w:drawing>
          <wp:inline distT="0" distB="0" distL="0" distR="0" wp14:anchorId="50E50DC9" wp14:editId="7E4EB2D4">
            <wp:extent cx="2705100" cy="2400300"/>
            <wp:effectExtent l="0" t="0" r="0" b="0"/>
            <wp:docPr id="1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0B7A" w:rsidRPr="00CE60D4" w:rsidRDefault="005C0B7A" w:rsidP="005C0B7A">
      <w:pPr>
        <w:spacing w:after="0" w:line="240" w:lineRule="auto"/>
        <w:jc w:val="both"/>
        <w:rPr>
          <w:rFonts w:ascii="Times New Roman" w:hAnsi="Times New Roman" w:cs="Times New Roman"/>
          <w:sz w:val="24"/>
          <w:lang w:val="es-MX"/>
        </w:rPr>
      </w:pPr>
      <w:r w:rsidRPr="00CE60D4">
        <w:rPr>
          <w:rFonts w:ascii="Times New Roman" w:hAnsi="Times New Roman" w:cs="Times New Roman"/>
          <w:sz w:val="16"/>
          <w:lang w:val="es-MX"/>
        </w:rPr>
        <w:t>Fuente: Dirección de Análisis y Política Fiscal</w:t>
      </w:r>
    </w:p>
    <w:p w:rsidR="007C1D50" w:rsidRDefault="007C1D50"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lastRenderedPageBreak/>
        <w:t>El resto de los impuestos</w:t>
      </w:r>
    </w:p>
    <w:p w:rsidR="005C0B7A" w:rsidRPr="00F3141C" w:rsidRDefault="005C0B7A" w:rsidP="005C0B7A">
      <w:pPr>
        <w:spacing w:after="0" w:line="240" w:lineRule="auto"/>
        <w:jc w:val="both"/>
        <w:rPr>
          <w:rFonts w:ascii="Times New Roman" w:hAnsi="Times New Roman" w:cs="Times New Roman"/>
          <w:b/>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 xml:space="preserve">De manera mensual el patrimonio, el ISO, </w:t>
      </w:r>
      <w:r w:rsidRPr="00254080">
        <w:rPr>
          <w:rFonts w:ascii="Times New Roman" w:hAnsi="Times New Roman" w:cs="Times New Roman"/>
          <w:lang w:val="es-MX"/>
        </w:rPr>
        <w:t xml:space="preserve">bebidas, </w:t>
      </w:r>
      <w:r>
        <w:rPr>
          <w:rFonts w:ascii="Times New Roman" w:hAnsi="Times New Roman" w:cs="Times New Roman"/>
          <w:lang w:val="es-MX"/>
        </w:rPr>
        <w:t>y cemento fueron los únicos impuestos que presentaron rendimientos positivos, el resto de impuestos no lograron alcanzar la meta establecida.</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De manera acumulada los impuestos que continúan con desempeño negativo respecto a la meta son el ISO, IVA doméstico, IVA de importaciones, los derechos arancelarios, los derivados del petróleo, el de circulación de vehículos el IPRIMA el de bebidas y el de tabaco en conjunto estos impuestos generan una brecha negativa de Q 1,530.7 millones, de no ser el esfuerzo positivo en recaudación de ISR, Patrimonio, timbres, cemento no se lograría cerrar esta brecha negativa que a la fecha se ubica en Q 967.5 millones.</w:t>
      </w:r>
    </w:p>
    <w:p w:rsidR="005C0B7A" w:rsidRDefault="005C0B7A" w:rsidP="005C0B7A">
      <w:pPr>
        <w:spacing w:after="0" w:line="240" w:lineRule="auto"/>
        <w:jc w:val="both"/>
        <w:rPr>
          <w:rFonts w:ascii="Times New Roman" w:hAnsi="Times New Roman" w:cs="Times New Roman"/>
          <w:lang w:val="es-MX"/>
        </w:rPr>
      </w:pP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lang w:val="es-MX"/>
        </w:rPr>
        <w:t>De los impuestos no administrados por SAT solo el de regalías supera la meta mensual por Q 1 millón y el de salidas del país tiene una brecha negativa Acumulada de Q 41.1 millones.</w:t>
      </w:r>
    </w:p>
    <w:p w:rsidR="005C0B7A" w:rsidRDefault="005C0B7A" w:rsidP="005C0B7A">
      <w:pPr>
        <w:spacing w:after="0" w:line="240" w:lineRule="auto"/>
        <w:jc w:val="both"/>
        <w:rPr>
          <w:rFonts w:ascii="Times New Roman" w:hAnsi="Times New Roman" w:cs="Times New Roman"/>
          <w:lang w:val="es-MX"/>
        </w:rPr>
      </w:pPr>
    </w:p>
    <w:p w:rsidR="006C080E" w:rsidRDefault="006C080E" w:rsidP="005C0B7A">
      <w:pPr>
        <w:spacing w:after="0" w:line="240" w:lineRule="auto"/>
        <w:jc w:val="both"/>
        <w:rPr>
          <w:rFonts w:ascii="Times New Roman" w:hAnsi="Times New Roman" w:cs="Times New Roman"/>
          <w:lang w:val="es-MX"/>
        </w:rPr>
      </w:pPr>
    </w:p>
    <w:p w:rsidR="005C0B7A" w:rsidRPr="00FF4E1B" w:rsidRDefault="005C0B7A" w:rsidP="005C0B7A">
      <w:pPr>
        <w:spacing w:after="0" w:line="240" w:lineRule="auto"/>
        <w:jc w:val="center"/>
        <w:rPr>
          <w:rFonts w:ascii="Times New Roman" w:hAnsi="Times New Roman" w:cs="Times New Roman"/>
          <w:b/>
          <w:lang w:val="es-MX"/>
        </w:rPr>
      </w:pPr>
      <w:r w:rsidRPr="00FF4E1B">
        <w:rPr>
          <w:rFonts w:ascii="Times New Roman" w:hAnsi="Times New Roman" w:cs="Times New Roman"/>
          <w:b/>
          <w:lang w:val="es-MX"/>
        </w:rPr>
        <w:lastRenderedPageBreak/>
        <w:t>Recaudación tributaria</w:t>
      </w:r>
    </w:p>
    <w:p w:rsidR="005C0B7A" w:rsidRPr="00CE60D4" w:rsidRDefault="005C0B7A" w:rsidP="005C0B7A">
      <w:pPr>
        <w:spacing w:after="0" w:line="240" w:lineRule="auto"/>
        <w:jc w:val="center"/>
        <w:rPr>
          <w:rFonts w:ascii="Times New Roman" w:hAnsi="Times New Roman" w:cs="Times New Roman"/>
          <w:sz w:val="18"/>
          <w:lang w:val="es-MX"/>
        </w:rPr>
      </w:pPr>
      <w:r w:rsidRPr="00CE60D4">
        <w:rPr>
          <w:rFonts w:ascii="Times New Roman" w:hAnsi="Times New Roman" w:cs="Times New Roman"/>
          <w:sz w:val="18"/>
          <w:lang w:val="es-MX"/>
        </w:rPr>
        <w:t>Millones de quetzales</w:t>
      </w:r>
    </w:p>
    <w:p w:rsidR="005C0B7A" w:rsidRDefault="005C0B7A" w:rsidP="005C0B7A">
      <w:pPr>
        <w:spacing w:after="0" w:line="240" w:lineRule="aut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2C2F74EA" wp14:editId="33A4FF43">
            <wp:extent cx="2800350" cy="3705225"/>
            <wp:effectExtent l="0" t="0" r="0" b="0"/>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0B7A" w:rsidRPr="00CE60D4" w:rsidRDefault="005C0B7A" w:rsidP="005C0B7A">
      <w:pPr>
        <w:spacing w:after="0" w:line="240" w:lineRule="auto"/>
        <w:jc w:val="both"/>
        <w:rPr>
          <w:rFonts w:ascii="Times New Roman" w:hAnsi="Times New Roman" w:cs="Times New Roman"/>
          <w:sz w:val="24"/>
          <w:lang w:val="es-MX"/>
        </w:rPr>
      </w:pPr>
      <w:r w:rsidRPr="00CE60D4">
        <w:rPr>
          <w:rFonts w:ascii="Times New Roman" w:hAnsi="Times New Roman" w:cs="Times New Roman"/>
          <w:sz w:val="16"/>
          <w:lang w:val="es-MX"/>
        </w:rPr>
        <w:t>Fuente: Dirección de Análisis y Política Fiscal</w:t>
      </w:r>
    </w:p>
    <w:p w:rsidR="00BA3920" w:rsidRPr="001675A0" w:rsidRDefault="00BA3920" w:rsidP="00BA3920">
      <w:pPr>
        <w:spacing w:after="0" w:line="240" w:lineRule="auto"/>
        <w:jc w:val="both"/>
        <w:rPr>
          <w:rFonts w:ascii="Times New Roman" w:hAnsi="Times New Roman" w:cs="Times New Roman"/>
          <w:color w:val="FF0000"/>
          <w:lang w:val="es-MX"/>
        </w:rPr>
      </w:pPr>
    </w:p>
    <w:p w:rsidR="00EB1910" w:rsidRPr="001675A0" w:rsidRDefault="00EB1910" w:rsidP="00EB1910">
      <w:pPr>
        <w:pStyle w:val="NoSpacing"/>
        <w:jc w:val="both"/>
        <w:rPr>
          <w:rFonts w:ascii="Times New Roman" w:hAnsi="Times New Roman" w:cs="Times New Roman"/>
          <w:color w:val="FF0000"/>
          <w:lang w:val="es-MX"/>
        </w:rPr>
        <w:sectPr w:rsidR="00EB1910" w:rsidRPr="001675A0" w:rsidSect="00374D44">
          <w:headerReference w:type="default" r:id="rId16"/>
          <w:footerReference w:type="default" r:id="rId17"/>
          <w:type w:val="continuous"/>
          <w:pgSz w:w="12240" w:h="15840" w:code="1"/>
          <w:pgMar w:top="1418" w:right="1418" w:bottom="1418" w:left="1701" w:header="709" w:footer="709" w:gutter="0"/>
          <w:cols w:num="2" w:space="708"/>
          <w:docGrid w:linePitch="360"/>
        </w:sectPr>
      </w:pPr>
    </w:p>
    <w:p w:rsidR="00674EAE" w:rsidRPr="006C080E" w:rsidRDefault="00674EAE" w:rsidP="00674EAE">
      <w:pPr>
        <w:pStyle w:val="NoSpacing"/>
        <w:jc w:val="both"/>
        <w:rPr>
          <w:rFonts w:ascii="Times New Roman" w:hAnsi="Times New Roman" w:cs="Times New Roman"/>
          <w:color w:val="FF0000"/>
          <w:sz w:val="8"/>
          <w:szCs w:val="18"/>
          <w:lang w:val="es-MX"/>
        </w:rPr>
        <w:sectPr w:rsidR="00674EAE" w:rsidRPr="006C080E" w:rsidSect="005A03A9">
          <w:type w:val="continuous"/>
          <w:pgSz w:w="12240" w:h="15840"/>
          <w:pgMar w:top="1417" w:right="1701" w:bottom="1417" w:left="1701" w:header="708" w:footer="708" w:gutter="0"/>
          <w:cols w:num="2" w:space="708"/>
          <w:docGrid w:linePitch="360"/>
        </w:sectPr>
      </w:pPr>
    </w:p>
    <w:p w:rsidR="00FA3B81" w:rsidRPr="000A510C" w:rsidRDefault="00216605"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0A510C" w:rsidSect="00FA3B81">
          <w:headerReference w:type="default" r:id="rId18"/>
          <w:footerReference w:type="default" r:id="rId19"/>
          <w:type w:val="continuous"/>
          <w:pgSz w:w="12240" w:h="15840" w:code="1"/>
          <w:pgMar w:top="1418" w:right="1418" w:bottom="1418" w:left="1418" w:header="709" w:footer="709" w:gutter="0"/>
          <w:cols w:space="708"/>
          <w:docGrid w:linePitch="360"/>
        </w:sectPr>
      </w:pPr>
      <w:r w:rsidRPr="000A510C">
        <w:rPr>
          <w:rFonts w:ascii="Times New Roman" w:hAnsi="Times New Roman" w:cs="Times New Roman"/>
          <w:b/>
          <w:lang w:val="es-MX"/>
        </w:rPr>
        <w:lastRenderedPageBreak/>
        <w:t>Ritmo de la</w:t>
      </w:r>
      <w:r w:rsidR="00F27024" w:rsidRPr="000A510C">
        <w:rPr>
          <w:rFonts w:ascii="Times New Roman" w:hAnsi="Times New Roman" w:cs="Times New Roman"/>
          <w:b/>
          <w:lang w:val="es-MX"/>
        </w:rPr>
        <w:t xml:space="preserve"> ejecución de gasto</w:t>
      </w:r>
      <w:r w:rsidRPr="000A510C">
        <w:rPr>
          <w:rFonts w:ascii="Times New Roman" w:hAnsi="Times New Roman" w:cs="Times New Roman"/>
          <w:b/>
          <w:lang w:val="es-MX"/>
        </w:rPr>
        <w:t xml:space="preserve"> se mantiene constante</w:t>
      </w:r>
    </w:p>
    <w:p w:rsidR="00FA3B81" w:rsidRPr="001675A0" w:rsidRDefault="00FA3B81" w:rsidP="00FA3B81">
      <w:pPr>
        <w:pStyle w:val="NoSpacing"/>
        <w:rPr>
          <w:rFonts w:ascii="Times New Roman" w:hAnsi="Times New Roman" w:cs="Times New Roman"/>
          <w:b/>
          <w:color w:val="FF0000"/>
          <w:sz w:val="18"/>
          <w:lang w:val="es-MX"/>
        </w:rPr>
      </w:pPr>
    </w:p>
    <w:p w:rsidR="00FA3B81" w:rsidRPr="00D50DD2" w:rsidRDefault="00FA3B81" w:rsidP="00FA3B81">
      <w:pPr>
        <w:pStyle w:val="NoSpacing"/>
        <w:jc w:val="center"/>
        <w:rPr>
          <w:rFonts w:ascii="Times New Roman" w:hAnsi="Times New Roman" w:cs="Times New Roman"/>
          <w:b/>
          <w:lang w:val="es-MX"/>
        </w:rPr>
        <w:sectPr w:rsidR="00FA3B81" w:rsidRPr="00D50DD2" w:rsidSect="004E358C">
          <w:type w:val="continuous"/>
          <w:pgSz w:w="12240" w:h="15840"/>
          <w:pgMar w:top="1417" w:right="1701" w:bottom="1417" w:left="1701" w:header="708" w:footer="708" w:gutter="0"/>
          <w:cols w:space="708"/>
          <w:docGrid w:linePitch="360"/>
        </w:sectPr>
      </w:pPr>
    </w:p>
    <w:p w:rsidR="00D50DD2" w:rsidRPr="00D50DD2" w:rsidRDefault="00D50DD2" w:rsidP="00D50DD2">
      <w:pPr>
        <w:pStyle w:val="NoSpacing"/>
        <w:jc w:val="both"/>
        <w:rPr>
          <w:rFonts w:ascii="Times New Roman" w:hAnsi="Times New Roman" w:cs="Times New Roman"/>
          <w:lang w:val="es-MX"/>
        </w:rPr>
      </w:pPr>
      <w:r w:rsidRPr="00D50DD2">
        <w:rPr>
          <w:rFonts w:ascii="Times New Roman" w:hAnsi="Times New Roman" w:cs="Times New Roman"/>
          <w:lang w:val="es-MX"/>
        </w:rPr>
        <w:lastRenderedPageBreak/>
        <w:t>Al cierre de septiembre 2017, el gasto público reporto un crecimiento interanual de 5.3%, una décima por encima de lo reportado en el mes anterior, con lo cual se reporta una leve mejora, respecto a la desaceleración que se venía mostrando desde el mes de mayo cuando se alcanzó el máximo crecimiento interanual.</w:t>
      </w:r>
    </w:p>
    <w:p w:rsidR="00D50DD2" w:rsidRPr="00D50DD2" w:rsidRDefault="00D50DD2" w:rsidP="00D50DD2">
      <w:pPr>
        <w:pStyle w:val="NoSpacing"/>
        <w:jc w:val="both"/>
        <w:rPr>
          <w:rFonts w:ascii="Times New Roman" w:hAnsi="Times New Roman" w:cs="Times New Roman"/>
          <w:lang w:val="es-MX"/>
        </w:rPr>
      </w:pPr>
    </w:p>
    <w:p w:rsidR="00216605" w:rsidRPr="00D50DD2" w:rsidRDefault="00D50DD2" w:rsidP="00216605">
      <w:pPr>
        <w:pStyle w:val="NoSpacing"/>
        <w:jc w:val="both"/>
        <w:rPr>
          <w:rFonts w:ascii="Times New Roman" w:hAnsi="Times New Roman" w:cs="Times New Roman"/>
          <w:lang w:val="es-MX"/>
        </w:rPr>
      </w:pPr>
      <w:r w:rsidRPr="00D50DD2">
        <w:rPr>
          <w:rFonts w:ascii="Times New Roman" w:hAnsi="Times New Roman" w:cs="Times New Roman"/>
          <w:lang w:val="es-MX"/>
        </w:rPr>
        <w:t>Este resultado se considera positivo al compararlo con el comportamiento de gasto observado el año anterior, en donde a la misma fecha se reportaba una variación interanual negativa de 1.9%, aunque esta situación se revirtió en los últimos dos meses del año, pasando a reportar crecimiento positivo.</w:t>
      </w:r>
    </w:p>
    <w:p w:rsidR="006C080E" w:rsidRDefault="006C080E" w:rsidP="00216605">
      <w:pPr>
        <w:pStyle w:val="NoSpacing"/>
        <w:jc w:val="center"/>
        <w:rPr>
          <w:rFonts w:ascii="Times New Roman" w:hAnsi="Times New Roman" w:cs="Times New Roman"/>
          <w:b/>
          <w:lang w:val="es-MX"/>
        </w:rPr>
      </w:pPr>
    </w:p>
    <w:p w:rsidR="00216605" w:rsidRPr="00D50DD2" w:rsidRDefault="00216605" w:rsidP="00216605">
      <w:pPr>
        <w:pStyle w:val="NoSpacing"/>
        <w:jc w:val="center"/>
        <w:rPr>
          <w:rFonts w:ascii="Times New Roman" w:hAnsi="Times New Roman" w:cs="Times New Roman"/>
          <w:b/>
          <w:lang w:val="es-MX"/>
        </w:rPr>
      </w:pPr>
      <w:r w:rsidRPr="00D50DD2">
        <w:rPr>
          <w:rFonts w:ascii="Times New Roman" w:hAnsi="Times New Roman" w:cs="Times New Roman"/>
          <w:b/>
          <w:lang w:val="es-MX"/>
        </w:rPr>
        <w:lastRenderedPageBreak/>
        <w:t>Ritmo de Ejecución del Gasto</w:t>
      </w:r>
    </w:p>
    <w:p w:rsidR="00216605" w:rsidRPr="00D50DD2" w:rsidRDefault="00216605" w:rsidP="00216605">
      <w:pPr>
        <w:pStyle w:val="NoSpacing"/>
        <w:jc w:val="center"/>
        <w:rPr>
          <w:rFonts w:ascii="Times New Roman" w:hAnsi="Times New Roman" w:cs="Times New Roman"/>
          <w:sz w:val="18"/>
          <w:lang w:val="es-MX"/>
        </w:rPr>
      </w:pPr>
      <w:r w:rsidRPr="00D50DD2">
        <w:rPr>
          <w:rFonts w:ascii="Times New Roman" w:hAnsi="Times New Roman" w:cs="Times New Roman"/>
          <w:sz w:val="18"/>
          <w:lang w:val="es-MX"/>
        </w:rPr>
        <w:t>Variación Interanual Acumulada</w:t>
      </w:r>
    </w:p>
    <w:p w:rsidR="00216605" w:rsidRPr="00D50DD2" w:rsidRDefault="00D50DD2" w:rsidP="00216605">
      <w:pPr>
        <w:pStyle w:val="NoSpacing"/>
        <w:jc w:val="both"/>
        <w:rPr>
          <w:rFonts w:ascii="Times New Roman" w:hAnsi="Times New Roman" w:cs="Times New Roman"/>
          <w:lang w:val="es-MX"/>
        </w:rPr>
      </w:pPr>
      <w:r w:rsidRPr="00D50DD2">
        <w:rPr>
          <w:noProof/>
          <w:lang w:eastAsia="es-GT"/>
        </w:rPr>
        <w:drawing>
          <wp:inline distT="0" distB="0" distL="0" distR="0" wp14:anchorId="7BEA17EB" wp14:editId="5EA4866F">
            <wp:extent cx="2714625" cy="22002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6605" w:rsidRPr="00D50DD2" w:rsidRDefault="00216605" w:rsidP="00216605">
      <w:pPr>
        <w:pStyle w:val="NoSpacing"/>
        <w:jc w:val="both"/>
        <w:rPr>
          <w:rFonts w:ascii="Times New Roman" w:hAnsi="Times New Roman" w:cs="Times New Roman"/>
          <w:sz w:val="16"/>
        </w:rPr>
      </w:pPr>
      <w:r w:rsidRPr="00D50DD2">
        <w:rPr>
          <w:rFonts w:ascii="Times New Roman" w:hAnsi="Times New Roman" w:cs="Times New Roman"/>
          <w:sz w:val="16"/>
        </w:rPr>
        <w:t>Fuente: Dirección de Análisis y Política fiscal</w:t>
      </w:r>
    </w:p>
    <w:p w:rsidR="000A510C" w:rsidRPr="00FC0541" w:rsidRDefault="000A510C" w:rsidP="000A510C">
      <w:pPr>
        <w:pStyle w:val="NoSpacing"/>
        <w:jc w:val="both"/>
        <w:rPr>
          <w:rFonts w:ascii="Times New Roman" w:hAnsi="Times New Roman" w:cs="Times New Roman"/>
          <w:lang w:val="es-MX"/>
        </w:rPr>
      </w:pPr>
      <w:r>
        <w:rPr>
          <w:rFonts w:ascii="Times New Roman" w:hAnsi="Times New Roman" w:cs="Times New Roman"/>
          <w:lang w:val="es-MX"/>
        </w:rPr>
        <w:lastRenderedPageBreak/>
        <w:t>Respecto a la ejecución del gasto público en septiembre, el monto asciende a Q</w:t>
      </w:r>
      <w:r w:rsidR="006C080E">
        <w:rPr>
          <w:rFonts w:ascii="Times New Roman" w:hAnsi="Times New Roman" w:cs="Times New Roman"/>
          <w:lang w:val="es-MX"/>
        </w:rPr>
        <w:t xml:space="preserve"> </w:t>
      </w:r>
      <w:r>
        <w:rPr>
          <w:rFonts w:ascii="Times New Roman" w:hAnsi="Times New Roman" w:cs="Times New Roman"/>
          <w:lang w:val="es-MX"/>
        </w:rPr>
        <w:t xml:space="preserve">5,588.2 millones, siendo superior en Q321.3 millones al reportado en 2016. </w:t>
      </w:r>
    </w:p>
    <w:p w:rsidR="000A510C" w:rsidRDefault="000A510C" w:rsidP="00216605">
      <w:pPr>
        <w:pStyle w:val="NoSpacing"/>
        <w:jc w:val="center"/>
        <w:rPr>
          <w:rFonts w:ascii="Times New Roman" w:hAnsi="Times New Roman" w:cs="Times New Roman"/>
          <w:b/>
          <w:color w:val="FF0000"/>
          <w:lang w:val="es-MX"/>
        </w:rPr>
      </w:pPr>
    </w:p>
    <w:p w:rsidR="00216605" w:rsidRPr="000A510C" w:rsidRDefault="00216605" w:rsidP="00216605">
      <w:pPr>
        <w:pStyle w:val="NoSpacing"/>
        <w:jc w:val="center"/>
        <w:rPr>
          <w:rFonts w:ascii="Times New Roman" w:hAnsi="Times New Roman" w:cs="Times New Roman"/>
          <w:b/>
          <w:lang w:val="es-MX"/>
        </w:rPr>
      </w:pPr>
      <w:r w:rsidRPr="000A510C">
        <w:rPr>
          <w:rFonts w:ascii="Times New Roman" w:hAnsi="Times New Roman" w:cs="Times New Roman"/>
          <w:b/>
          <w:lang w:val="es-MX"/>
        </w:rPr>
        <w:t>Gasto público observado en 2016 y 2017</w:t>
      </w:r>
    </w:p>
    <w:p w:rsidR="00216605" w:rsidRPr="000A510C" w:rsidRDefault="00216605" w:rsidP="00216605">
      <w:pPr>
        <w:pStyle w:val="NoSpacing"/>
        <w:jc w:val="center"/>
        <w:rPr>
          <w:rFonts w:ascii="Times New Roman" w:hAnsi="Times New Roman" w:cs="Times New Roman"/>
          <w:sz w:val="18"/>
          <w:lang w:val="es-MX"/>
        </w:rPr>
      </w:pPr>
      <w:r w:rsidRPr="000A510C">
        <w:rPr>
          <w:rFonts w:ascii="Times New Roman" w:hAnsi="Times New Roman" w:cs="Times New Roman"/>
          <w:sz w:val="18"/>
          <w:lang w:val="es-MX"/>
        </w:rPr>
        <w:t xml:space="preserve">Variación interanual </w:t>
      </w:r>
    </w:p>
    <w:p w:rsidR="00216605" w:rsidRPr="000A510C" w:rsidRDefault="00216605" w:rsidP="00216605">
      <w:pPr>
        <w:pStyle w:val="NoSpacing"/>
        <w:jc w:val="both"/>
        <w:rPr>
          <w:rFonts w:ascii="Times New Roman" w:hAnsi="Times New Roman" w:cs="Times New Roman"/>
        </w:rPr>
      </w:pPr>
      <w:r w:rsidRPr="000A510C">
        <w:rPr>
          <w:rFonts w:ascii="Times New Roman" w:hAnsi="Times New Roman" w:cs="Times New Roman"/>
          <w:noProof/>
          <w:lang w:eastAsia="es-GT"/>
        </w:rPr>
        <w:drawing>
          <wp:inline distT="0" distB="0" distL="0" distR="0" wp14:anchorId="305716A6" wp14:editId="180CAE42">
            <wp:extent cx="2838450" cy="2162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790" cy="2169290"/>
                    </a:xfrm>
                    <a:prstGeom prst="rect">
                      <a:avLst/>
                    </a:prstGeom>
                    <a:noFill/>
                  </pic:spPr>
                </pic:pic>
              </a:graphicData>
            </a:graphic>
          </wp:inline>
        </w:drawing>
      </w:r>
    </w:p>
    <w:p w:rsidR="00216605" w:rsidRPr="000A510C" w:rsidRDefault="00216605" w:rsidP="00216605">
      <w:pPr>
        <w:pStyle w:val="NoSpacing"/>
        <w:jc w:val="both"/>
        <w:rPr>
          <w:rFonts w:ascii="Times New Roman" w:hAnsi="Times New Roman" w:cs="Times New Roman"/>
          <w:sz w:val="16"/>
        </w:rPr>
      </w:pPr>
      <w:r w:rsidRPr="000A510C">
        <w:rPr>
          <w:rFonts w:ascii="Times New Roman" w:hAnsi="Times New Roman" w:cs="Times New Roman"/>
          <w:sz w:val="16"/>
        </w:rPr>
        <w:t>Fuente: Dirección de Análisis y Política Fiscal</w:t>
      </w:r>
    </w:p>
    <w:p w:rsidR="00216605" w:rsidRPr="001675A0" w:rsidRDefault="00216605" w:rsidP="00216605">
      <w:pPr>
        <w:pStyle w:val="NoSpacing"/>
        <w:jc w:val="both"/>
        <w:rPr>
          <w:rFonts w:ascii="Times New Roman" w:hAnsi="Times New Roman" w:cs="Times New Roman"/>
          <w:color w:val="FF0000"/>
          <w:sz w:val="18"/>
          <w:lang w:val="es-MX"/>
        </w:rPr>
      </w:pPr>
    </w:p>
    <w:p w:rsidR="006F04FE" w:rsidRDefault="006F04FE" w:rsidP="006F04FE">
      <w:pPr>
        <w:pStyle w:val="NoSpacing"/>
        <w:jc w:val="both"/>
        <w:rPr>
          <w:rFonts w:ascii="Times New Roman" w:hAnsi="Times New Roman" w:cs="Times New Roman"/>
          <w:lang w:val="es-MX"/>
        </w:rPr>
      </w:pPr>
      <w:r>
        <w:rPr>
          <w:rFonts w:ascii="Times New Roman" w:hAnsi="Times New Roman" w:cs="Times New Roman"/>
          <w:lang w:val="es-MX"/>
        </w:rPr>
        <w:t>En lo que respecta gasto social realizado en los sectores de educación, salud y vivienda se ubica al cierre de septiembre del 2017 en Q</w:t>
      </w:r>
      <w:r w:rsidR="006C080E">
        <w:rPr>
          <w:rFonts w:ascii="Times New Roman" w:hAnsi="Times New Roman" w:cs="Times New Roman"/>
          <w:lang w:val="es-MX"/>
        </w:rPr>
        <w:t xml:space="preserve"> </w:t>
      </w:r>
      <w:r>
        <w:rPr>
          <w:rFonts w:ascii="Times New Roman" w:hAnsi="Times New Roman" w:cs="Times New Roman"/>
          <w:lang w:val="es-MX"/>
        </w:rPr>
        <w:t xml:space="preserve">17,678.5 millones, que representa un grado de ejecución presupuestaria de 59.6%, este nivel, como se observa está por debajo de la ejecución institucional (62.3%) debido a que el sector salud y asistencia social sigue mostrando a la fecha una baja ejecución (51.0%), no así los otros sectores que muestran porcentajes de ejecución por arriba del institucional como Educación, Ciencia y Cultura (64.4%) y Vivienda (82.3%). </w:t>
      </w:r>
    </w:p>
    <w:p w:rsidR="006F04FE" w:rsidRDefault="006F04FE" w:rsidP="006F04FE">
      <w:pPr>
        <w:pStyle w:val="NoSpacing"/>
        <w:jc w:val="both"/>
        <w:rPr>
          <w:rFonts w:ascii="Times New Roman" w:hAnsi="Times New Roman" w:cs="Times New Roman"/>
          <w:lang w:val="es-MX"/>
        </w:rPr>
      </w:pPr>
    </w:p>
    <w:p w:rsidR="00216605" w:rsidRDefault="006F04FE" w:rsidP="006F04FE">
      <w:pPr>
        <w:pStyle w:val="NoSpacing"/>
        <w:jc w:val="both"/>
        <w:rPr>
          <w:rFonts w:ascii="Times New Roman" w:hAnsi="Times New Roman" w:cs="Times New Roman"/>
          <w:lang w:val="es-MX"/>
        </w:rPr>
      </w:pPr>
      <w:r>
        <w:rPr>
          <w:rFonts w:ascii="Times New Roman" w:hAnsi="Times New Roman" w:cs="Times New Roman"/>
          <w:lang w:val="es-MX"/>
        </w:rPr>
        <w:t>Al observar el gasto social tomando en consideración el asociado a los Acuerdos de Paz (seguridad ciudadana y entidades de justicia) el gasto aumenta a Q</w:t>
      </w:r>
      <w:r w:rsidR="006C080E">
        <w:rPr>
          <w:rFonts w:ascii="Times New Roman" w:hAnsi="Times New Roman" w:cs="Times New Roman"/>
          <w:lang w:val="es-MX"/>
        </w:rPr>
        <w:t xml:space="preserve"> </w:t>
      </w:r>
      <w:r>
        <w:rPr>
          <w:rFonts w:ascii="Times New Roman" w:hAnsi="Times New Roman" w:cs="Times New Roman"/>
          <w:lang w:val="es-MX"/>
        </w:rPr>
        <w:t xml:space="preserve">23,853.1 millones, con un grado de ejecución de 60.5%, lo que resalta sigue siendo el aporte que se da a las entidades como el Ministerio Público, Organismo Judicial y la Corte de Constitucionalidad que tienen los más altos grados de ejecución, siendo superiores </w:t>
      </w:r>
      <w:r>
        <w:rPr>
          <w:rFonts w:ascii="Times New Roman" w:hAnsi="Times New Roman" w:cs="Times New Roman"/>
          <w:lang w:val="es-MX"/>
        </w:rPr>
        <w:lastRenderedPageBreak/>
        <w:t>al 70% lo cual evidencia el cumplimiento oportuno en el traslado de estos aportes.  Por su parte, el sector de seguridad interna muestra un menor desempeño en su asignación presupuestaria, con un grado de ejecución del 55.0%, siendo el segundo rubro de menor ejecución solo por detrás se encuentra Salud y Asistencia Social.</w:t>
      </w:r>
    </w:p>
    <w:p w:rsidR="006F04FE" w:rsidRPr="006F04FE" w:rsidRDefault="006F04FE" w:rsidP="006F04FE">
      <w:pPr>
        <w:pStyle w:val="NoSpacing"/>
        <w:jc w:val="both"/>
        <w:rPr>
          <w:rFonts w:ascii="Times New Roman" w:hAnsi="Times New Roman" w:cs="Times New Roman"/>
          <w:lang w:val="es-MX"/>
        </w:rPr>
      </w:pPr>
    </w:p>
    <w:p w:rsidR="00216605" w:rsidRPr="006F04FE" w:rsidRDefault="00216605" w:rsidP="00216605">
      <w:pPr>
        <w:pStyle w:val="NoSpacing"/>
        <w:jc w:val="center"/>
        <w:rPr>
          <w:rFonts w:ascii="Times New Roman" w:hAnsi="Times New Roman" w:cs="Times New Roman"/>
          <w:b/>
          <w:lang w:val="es-MX"/>
        </w:rPr>
      </w:pPr>
      <w:r w:rsidRPr="006F04FE">
        <w:rPr>
          <w:rFonts w:ascii="Times New Roman" w:hAnsi="Times New Roman" w:cs="Times New Roman"/>
          <w:b/>
          <w:lang w:val="es-MX"/>
        </w:rPr>
        <w:t>Gasto de los Acuerdos de Paz</w:t>
      </w:r>
    </w:p>
    <w:p w:rsidR="00216605" w:rsidRPr="006F04FE" w:rsidRDefault="00216605" w:rsidP="00216605">
      <w:pPr>
        <w:pStyle w:val="NoSpacing"/>
        <w:jc w:val="center"/>
        <w:rPr>
          <w:rFonts w:ascii="Times New Roman" w:hAnsi="Times New Roman" w:cs="Times New Roman"/>
          <w:b/>
          <w:sz w:val="20"/>
          <w:lang w:val="es-MX"/>
        </w:rPr>
      </w:pPr>
      <w:r w:rsidRPr="006F04FE">
        <w:rPr>
          <w:rFonts w:ascii="Times New Roman" w:hAnsi="Times New Roman" w:cs="Times New Roman"/>
          <w:b/>
          <w:sz w:val="20"/>
          <w:lang w:val="es-MX"/>
        </w:rPr>
        <w:t>Presupuesto y Ejecución 2017</w:t>
      </w:r>
    </w:p>
    <w:p w:rsidR="00216605" w:rsidRPr="006F04FE" w:rsidRDefault="00216605" w:rsidP="00216605">
      <w:pPr>
        <w:pStyle w:val="NoSpacing"/>
        <w:jc w:val="center"/>
        <w:rPr>
          <w:rFonts w:ascii="Times New Roman" w:hAnsi="Times New Roman" w:cs="Times New Roman"/>
          <w:b/>
          <w:sz w:val="20"/>
          <w:lang w:val="es-MX"/>
        </w:rPr>
      </w:pPr>
      <w:r w:rsidRPr="006F04FE">
        <w:rPr>
          <w:rFonts w:ascii="Times New Roman" w:hAnsi="Times New Roman" w:cs="Times New Roman"/>
          <w:b/>
          <w:sz w:val="20"/>
          <w:lang w:val="es-MX"/>
        </w:rPr>
        <w:t>-</w:t>
      </w:r>
      <w:r w:rsidRPr="006F04FE">
        <w:rPr>
          <w:rFonts w:ascii="Times New Roman" w:hAnsi="Times New Roman" w:cs="Times New Roman"/>
          <w:sz w:val="18"/>
          <w:lang w:val="es-MX"/>
        </w:rPr>
        <w:t>Millones de quetzales-</w:t>
      </w:r>
    </w:p>
    <w:p w:rsidR="00216605" w:rsidRPr="006F04FE" w:rsidRDefault="00216605" w:rsidP="00216605">
      <w:pPr>
        <w:pStyle w:val="NoSpacing"/>
        <w:jc w:val="both"/>
        <w:rPr>
          <w:noProof/>
          <w:lang w:eastAsia="es-GT"/>
        </w:rPr>
      </w:pPr>
      <w:r w:rsidRPr="006F04FE">
        <w:rPr>
          <w:noProof/>
          <w:lang w:eastAsia="es-GT"/>
        </w:rPr>
        <w:drawing>
          <wp:inline distT="0" distB="0" distL="0" distR="0" wp14:anchorId="2CCBDB1D" wp14:editId="23A1B324">
            <wp:extent cx="2785517" cy="1514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483" cy="1516088"/>
                    </a:xfrm>
                    <a:prstGeom prst="rect">
                      <a:avLst/>
                    </a:prstGeom>
                    <a:noFill/>
                    <a:ln>
                      <a:noFill/>
                    </a:ln>
                  </pic:spPr>
                </pic:pic>
              </a:graphicData>
            </a:graphic>
          </wp:inline>
        </w:drawing>
      </w:r>
    </w:p>
    <w:p w:rsidR="00216605" w:rsidRPr="006F04FE" w:rsidRDefault="00216605" w:rsidP="00216605">
      <w:pPr>
        <w:pStyle w:val="NoSpacing"/>
        <w:jc w:val="both"/>
        <w:rPr>
          <w:rFonts w:ascii="Times New Roman" w:hAnsi="Times New Roman" w:cs="Times New Roman"/>
          <w:lang w:val="es-MX"/>
        </w:rPr>
      </w:pPr>
      <w:r w:rsidRPr="006F04FE">
        <w:rPr>
          <w:rFonts w:ascii="Times New Roman" w:hAnsi="Times New Roman" w:cs="Times New Roman"/>
          <w:lang w:val="es-MX"/>
        </w:rPr>
        <w:t xml:space="preserve"> </w:t>
      </w:r>
      <w:r w:rsidRPr="006F04FE">
        <w:rPr>
          <w:rFonts w:ascii="Times New Roman" w:hAnsi="Times New Roman" w:cs="Times New Roman"/>
          <w:sz w:val="16"/>
        </w:rPr>
        <w:t>Fuente: Dirección de Análisis y Política fiscal</w:t>
      </w:r>
    </w:p>
    <w:p w:rsidR="00216605" w:rsidRPr="001675A0" w:rsidRDefault="00216605" w:rsidP="00216605">
      <w:pPr>
        <w:pStyle w:val="NoSpacing"/>
        <w:jc w:val="both"/>
        <w:rPr>
          <w:rFonts w:ascii="Times New Roman" w:hAnsi="Times New Roman" w:cs="Times New Roman"/>
          <w:color w:val="FF0000"/>
          <w:lang w:val="es-MX"/>
        </w:rPr>
      </w:pPr>
      <w:r w:rsidRPr="001675A0">
        <w:rPr>
          <w:rFonts w:ascii="Times New Roman" w:hAnsi="Times New Roman" w:cs="Times New Roman"/>
          <w:color w:val="FF0000"/>
          <w:lang w:val="es-MX"/>
        </w:rPr>
        <w:t xml:space="preserve"> </w:t>
      </w:r>
    </w:p>
    <w:p w:rsidR="006F04FE" w:rsidRPr="009D28D5" w:rsidRDefault="006F04FE" w:rsidP="006F04FE">
      <w:pPr>
        <w:pStyle w:val="NoSpacing"/>
        <w:jc w:val="both"/>
        <w:rPr>
          <w:rFonts w:ascii="Times New Roman" w:hAnsi="Times New Roman" w:cs="Times New Roman"/>
          <w:lang w:val="es-MX"/>
        </w:rPr>
      </w:pPr>
      <w:r w:rsidRPr="009D28D5">
        <w:rPr>
          <w:rFonts w:ascii="Times New Roman" w:hAnsi="Times New Roman" w:cs="Times New Roman"/>
          <w:lang w:val="es-MX"/>
        </w:rPr>
        <w:t>En lo que respecta al Plan Alianza para la Prosperidad del Triángulo Norte</w:t>
      </w:r>
      <w:r>
        <w:rPr>
          <w:rFonts w:ascii="Times New Roman" w:hAnsi="Times New Roman" w:cs="Times New Roman"/>
          <w:lang w:val="es-MX"/>
        </w:rPr>
        <w:t xml:space="preserve"> (PAPTN)</w:t>
      </w:r>
      <w:r w:rsidRPr="009D28D5">
        <w:rPr>
          <w:rFonts w:ascii="Times New Roman" w:hAnsi="Times New Roman" w:cs="Times New Roman"/>
          <w:lang w:val="es-MX"/>
        </w:rPr>
        <w:t xml:space="preserve">, al </w:t>
      </w:r>
      <w:r>
        <w:rPr>
          <w:rFonts w:ascii="Times New Roman" w:hAnsi="Times New Roman" w:cs="Times New Roman"/>
          <w:lang w:val="es-MX"/>
        </w:rPr>
        <w:t xml:space="preserve">cierre </w:t>
      </w:r>
      <w:r w:rsidRPr="009D28D5">
        <w:rPr>
          <w:rFonts w:ascii="Times New Roman" w:hAnsi="Times New Roman" w:cs="Times New Roman"/>
          <w:lang w:val="es-MX"/>
        </w:rPr>
        <w:t>de septiembre 2017, se reporta una ejecución de Q</w:t>
      </w:r>
      <w:r w:rsidR="006C080E">
        <w:rPr>
          <w:rFonts w:ascii="Times New Roman" w:hAnsi="Times New Roman" w:cs="Times New Roman"/>
          <w:lang w:val="es-MX"/>
        </w:rPr>
        <w:t xml:space="preserve"> </w:t>
      </w:r>
      <w:r w:rsidRPr="009D28D5">
        <w:rPr>
          <w:rFonts w:ascii="Times New Roman" w:hAnsi="Times New Roman" w:cs="Times New Roman"/>
          <w:lang w:val="es-MX"/>
        </w:rPr>
        <w:t>2,318.3 millones, un 36.5% del presupuesto vigente. Este nivel de ejecución es mayor en Q</w:t>
      </w:r>
      <w:r w:rsidR="006C080E">
        <w:rPr>
          <w:rFonts w:ascii="Times New Roman" w:hAnsi="Times New Roman" w:cs="Times New Roman"/>
          <w:lang w:val="es-MX"/>
        </w:rPr>
        <w:t xml:space="preserve"> </w:t>
      </w:r>
      <w:r w:rsidRPr="009D28D5">
        <w:rPr>
          <w:rFonts w:ascii="Times New Roman" w:hAnsi="Times New Roman" w:cs="Times New Roman"/>
          <w:lang w:val="es-MX"/>
        </w:rPr>
        <w:t>275.0 millones respecto al reportado a la misma fecha del año anterior.</w:t>
      </w:r>
    </w:p>
    <w:p w:rsidR="006F04FE" w:rsidRDefault="006F04FE" w:rsidP="006F04FE">
      <w:pPr>
        <w:pStyle w:val="NoSpacing"/>
        <w:jc w:val="both"/>
        <w:rPr>
          <w:rFonts w:ascii="Times New Roman" w:hAnsi="Times New Roman" w:cs="Times New Roman"/>
          <w:lang w:val="es-MX"/>
        </w:rPr>
      </w:pPr>
    </w:p>
    <w:p w:rsidR="006F04FE" w:rsidRDefault="006F04FE" w:rsidP="006F04FE">
      <w:pPr>
        <w:pStyle w:val="NoSpacing"/>
        <w:jc w:val="both"/>
        <w:rPr>
          <w:rFonts w:ascii="Times New Roman" w:hAnsi="Times New Roman" w:cs="Times New Roman"/>
          <w:lang w:val="es-MX"/>
        </w:rPr>
      </w:pPr>
      <w:r w:rsidRPr="009D28D5">
        <w:rPr>
          <w:rFonts w:ascii="Times New Roman" w:hAnsi="Times New Roman" w:cs="Times New Roman"/>
          <w:lang w:val="es-MX"/>
        </w:rPr>
        <w:t>La institución que reporta mayor avance</w:t>
      </w:r>
      <w:r>
        <w:rPr>
          <w:rFonts w:ascii="Times New Roman" w:hAnsi="Times New Roman" w:cs="Times New Roman"/>
          <w:lang w:val="es-MX"/>
        </w:rPr>
        <w:t xml:space="preserve"> en los programas dentro del presupuesto asociados al PAPTN es</w:t>
      </w:r>
      <w:r w:rsidRPr="009D28D5">
        <w:rPr>
          <w:rFonts w:ascii="Times New Roman" w:hAnsi="Times New Roman" w:cs="Times New Roman"/>
          <w:lang w:val="es-MX"/>
        </w:rPr>
        <w:t xml:space="preserve"> </w:t>
      </w:r>
      <w:r w:rsidRPr="00245FC0">
        <w:rPr>
          <w:rFonts w:ascii="Times New Roman" w:hAnsi="Times New Roman" w:cs="Times New Roman"/>
          <w:lang w:val="es-MX"/>
        </w:rPr>
        <w:t>Comunicaciones, Infraestructura y Vivienda</w:t>
      </w:r>
      <w:r w:rsidRPr="009D28D5">
        <w:rPr>
          <w:rFonts w:ascii="Times New Roman" w:hAnsi="Times New Roman" w:cs="Times New Roman"/>
          <w:lang w:val="es-MX"/>
        </w:rPr>
        <w:t>, con un</w:t>
      </w:r>
      <w:r>
        <w:rPr>
          <w:rFonts w:ascii="Times New Roman" w:hAnsi="Times New Roman" w:cs="Times New Roman"/>
          <w:lang w:val="es-MX"/>
        </w:rPr>
        <w:t>a ejecución de Q</w:t>
      </w:r>
      <w:r w:rsidR="006C080E">
        <w:rPr>
          <w:rFonts w:ascii="Times New Roman" w:hAnsi="Times New Roman" w:cs="Times New Roman"/>
          <w:lang w:val="es-MX"/>
        </w:rPr>
        <w:t xml:space="preserve"> </w:t>
      </w:r>
      <w:r>
        <w:rPr>
          <w:rFonts w:ascii="Times New Roman" w:hAnsi="Times New Roman" w:cs="Times New Roman"/>
          <w:lang w:val="es-MX"/>
        </w:rPr>
        <w:t xml:space="preserve">799.7 millones, siendo </w:t>
      </w:r>
      <w:r w:rsidRPr="009D28D5">
        <w:rPr>
          <w:rFonts w:ascii="Times New Roman" w:hAnsi="Times New Roman" w:cs="Times New Roman"/>
          <w:lang w:val="es-MX"/>
        </w:rPr>
        <w:t>mayor en Q</w:t>
      </w:r>
      <w:r w:rsidR="006C080E">
        <w:rPr>
          <w:rFonts w:ascii="Times New Roman" w:hAnsi="Times New Roman" w:cs="Times New Roman"/>
          <w:lang w:val="es-MX"/>
        </w:rPr>
        <w:t xml:space="preserve"> </w:t>
      </w:r>
      <w:r w:rsidRPr="009D28D5">
        <w:rPr>
          <w:rFonts w:ascii="Times New Roman" w:hAnsi="Times New Roman" w:cs="Times New Roman"/>
          <w:lang w:val="es-MX"/>
        </w:rPr>
        <w:t xml:space="preserve">521.0 millones respecto a la reportada en 2016. </w:t>
      </w:r>
      <w:r>
        <w:rPr>
          <w:rFonts w:ascii="Times New Roman" w:hAnsi="Times New Roman" w:cs="Times New Roman"/>
          <w:lang w:val="es-MX"/>
        </w:rPr>
        <w:t>Por su parte, l</w:t>
      </w:r>
      <w:r w:rsidRPr="009D28D5">
        <w:rPr>
          <w:rFonts w:ascii="Times New Roman" w:hAnsi="Times New Roman" w:cs="Times New Roman"/>
          <w:lang w:val="es-MX"/>
        </w:rPr>
        <w:t xml:space="preserve">a institución que reporta el menor nivel de </w:t>
      </w:r>
      <w:r>
        <w:rPr>
          <w:rFonts w:ascii="Times New Roman" w:hAnsi="Times New Roman" w:cs="Times New Roman"/>
          <w:lang w:val="es-MX"/>
        </w:rPr>
        <w:t>ejecución</w:t>
      </w:r>
      <w:r w:rsidRPr="009D28D5">
        <w:rPr>
          <w:rFonts w:ascii="Times New Roman" w:hAnsi="Times New Roman" w:cs="Times New Roman"/>
          <w:lang w:val="es-MX"/>
        </w:rPr>
        <w:t xml:space="preserve"> es</w:t>
      </w:r>
      <w:r>
        <w:rPr>
          <w:rFonts w:ascii="Times New Roman" w:hAnsi="Times New Roman" w:cs="Times New Roman"/>
          <w:lang w:val="es-MX"/>
        </w:rPr>
        <w:t xml:space="preserve"> el</w:t>
      </w:r>
      <w:r w:rsidRPr="009D28D5">
        <w:rPr>
          <w:rFonts w:ascii="Times New Roman" w:hAnsi="Times New Roman" w:cs="Times New Roman"/>
          <w:lang w:val="es-MX"/>
        </w:rPr>
        <w:t xml:space="preserve"> MIDES </w:t>
      </w:r>
      <w:r>
        <w:rPr>
          <w:rFonts w:ascii="Times New Roman" w:hAnsi="Times New Roman" w:cs="Times New Roman"/>
          <w:lang w:val="es-MX"/>
        </w:rPr>
        <w:t>(11.2% del presupuesto vigente).</w:t>
      </w:r>
    </w:p>
    <w:p w:rsidR="006F04FE" w:rsidRDefault="006F04FE" w:rsidP="006F04FE">
      <w:pPr>
        <w:pStyle w:val="NoSpacing"/>
        <w:jc w:val="both"/>
        <w:rPr>
          <w:rFonts w:ascii="Times New Roman" w:hAnsi="Times New Roman" w:cs="Times New Roman"/>
          <w:lang w:val="es-MX"/>
        </w:rPr>
      </w:pPr>
    </w:p>
    <w:p w:rsidR="006F04FE" w:rsidRDefault="006F04FE" w:rsidP="006F04FE">
      <w:pPr>
        <w:pStyle w:val="NoSpacing"/>
        <w:jc w:val="both"/>
        <w:rPr>
          <w:rFonts w:ascii="Times New Roman" w:hAnsi="Times New Roman" w:cs="Times New Roman"/>
          <w:lang w:val="es-MX"/>
        </w:rPr>
      </w:pPr>
    </w:p>
    <w:p w:rsidR="006F04FE" w:rsidRDefault="006F04FE" w:rsidP="006F04FE">
      <w:pPr>
        <w:pStyle w:val="NoSpacing"/>
        <w:jc w:val="both"/>
        <w:rPr>
          <w:rFonts w:ascii="Times New Roman" w:hAnsi="Times New Roman" w:cs="Times New Roman"/>
          <w:lang w:val="es-MX"/>
        </w:rPr>
      </w:pPr>
    </w:p>
    <w:p w:rsidR="006F04FE" w:rsidRDefault="006F04FE" w:rsidP="006F04FE">
      <w:pPr>
        <w:pStyle w:val="NoSpacing"/>
        <w:jc w:val="both"/>
        <w:rPr>
          <w:rFonts w:ascii="Times New Roman" w:hAnsi="Times New Roman" w:cs="Times New Roman"/>
          <w:lang w:val="es-MX"/>
        </w:rPr>
      </w:pPr>
    </w:p>
    <w:p w:rsidR="006F04FE" w:rsidRPr="006F04FE" w:rsidRDefault="006F04FE" w:rsidP="006F04FE">
      <w:pPr>
        <w:pStyle w:val="NoSpacing"/>
        <w:jc w:val="both"/>
        <w:rPr>
          <w:rFonts w:ascii="Times New Roman" w:hAnsi="Times New Roman" w:cs="Times New Roman"/>
          <w:lang w:val="es-MX"/>
        </w:rPr>
      </w:pPr>
      <w:bookmarkStart w:id="0" w:name="_GoBack"/>
      <w:bookmarkEnd w:id="0"/>
    </w:p>
    <w:p w:rsidR="00216605" w:rsidRPr="006F04FE" w:rsidRDefault="00216605" w:rsidP="00216605">
      <w:pPr>
        <w:pStyle w:val="NoSpacing"/>
        <w:jc w:val="center"/>
        <w:rPr>
          <w:rFonts w:ascii="Times New Roman" w:hAnsi="Times New Roman" w:cs="Times New Roman"/>
          <w:b/>
          <w:sz w:val="20"/>
          <w:lang w:val="es-MX"/>
        </w:rPr>
      </w:pPr>
      <w:r w:rsidRPr="006F04FE">
        <w:rPr>
          <w:rFonts w:ascii="Times New Roman" w:hAnsi="Times New Roman" w:cs="Times New Roman"/>
          <w:b/>
          <w:lang w:val="es-MX"/>
        </w:rPr>
        <w:lastRenderedPageBreak/>
        <w:t>Ejecución institucional de los programas asociados al PAPTN</w:t>
      </w:r>
    </w:p>
    <w:p w:rsidR="00216605" w:rsidRPr="006F04FE" w:rsidRDefault="00216605" w:rsidP="00216605">
      <w:pPr>
        <w:pStyle w:val="NoSpacing"/>
        <w:jc w:val="center"/>
        <w:rPr>
          <w:rFonts w:ascii="Times New Roman" w:hAnsi="Times New Roman" w:cs="Times New Roman"/>
          <w:sz w:val="18"/>
          <w:lang w:val="es-MX"/>
        </w:rPr>
      </w:pPr>
      <w:r w:rsidRPr="006F04FE">
        <w:rPr>
          <w:noProof/>
          <w:lang w:eastAsia="es-GT"/>
        </w:rPr>
        <w:drawing>
          <wp:anchor distT="0" distB="0" distL="114300" distR="114300" simplePos="0" relativeHeight="251675648" behindDoc="0" locked="0" layoutInCell="1" allowOverlap="1" wp14:anchorId="2E757302" wp14:editId="6AC9E15A">
            <wp:simplePos x="0" y="0"/>
            <wp:positionH relativeFrom="column">
              <wp:posOffset>-64135</wp:posOffset>
            </wp:positionH>
            <wp:positionV relativeFrom="paragraph">
              <wp:posOffset>210820</wp:posOffset>
            </wp:positionV>
            <wp:extent cx="2759075" cy="1536700"/>
            <wp:effectExtent l="0" t="0" r="3175"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907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4FE">
        <w:rPr>
          <w:rFonts w:ascii="Times New Roman" w:hAnsi="Times New Roman" w:cs="Times New Roman"/>
          <w:b/>
          <w:sz w:val="20"/>
          <w:lang w:val="es-MX"/>
        </w:rPr>
        <w:t>-</w:t>
      </w:r>
      <w:r w:rsidRPr="006F04FE">
        <w:rPr>
          <w:rFonts w:ascii="Times New Roman" w:hAnsi="Times New Roman" w:cs="Times New Roman"/>
          <w:sz w:val="18"/>
          <w:lang w:val="es-MX"/>
        </w:rPr>
        <w:t>Millones de quetzales-</w:t>
      </w:r>
    </w:p>
    <w:p w:rsidR="00216605" w:rsidRPr="006F04FE" w:rsidRDefault="00216605" w:rsidP="00216605">
      <w:pPr>
        <w:pStyle w:val="NoSpacing"/>
        <w:jc w:val="both"/>
        <w:rPr>
          <w:rFonts w:ascii="Times New Roman" w:hAnsi="Times New Roman" w:cs="Times New Roman"/>
          <w:sz w:val="16"/>
          <w:lang w:val="es-MX"/>
        </w:rPr>
      </w:pPr>
      <w:r w:rsidRPr="006F04FE">
        <w:rPr>
          <w:rFonts w:ascii="Times New Roman" w:hAnsi="Times New Roman" w:cs="Times New Roman"/>
          <w:sz w:val="16"/>
          <w:lang w:val="es-MX"/>
        </w:rPr>
        <w:t>Fuente: Dirección de Análisis y Política Fiscal</w:t>
      </w:r>
    </w:p>
    <w:p w:rsidR="00216605" w:rsidRPr="006F04FE" w:rsidRDefault="00216605" w:rsidP="00216605">
      <w:pPr>
        <w:pStyle w:val="NoSpacing"/>
        <w:jc w:val="both"/>
        <w:rPr>
          <w:rFonts w:ascii="Times New Roman" w:hAnsi="Times New Roman" w:cs="Times New Roman"/>
          <w:lang w:val="es-MX"/>
        </w:rPr>
      </w:pPr>
    </w:p>
    <w:p w:rsidR="006F04FE" w:rsidRDefault="006F04FE" w:rsidP="006F04FE">
      <w:pPr>
        <w:pStyle w:val="NoSpacing"/>
        <w:jc w:val="both"/>
        <w:rPr>
          <w:rFonts w:ascii="Times New Roman" w:hAnsi="Times New Roman" w:cs="Times New Roman"/>
          <w:lang w:val="es-MX"/>
        </w:rPr>
      </w:pPr>
      <w:r w:rsidRPr="006F04FE">
        <w:rPr>
          <w:rFonts w:ascii="Times New Roman" w:hAnsi="Times New Roman" w:cs="Times New Roman"/>
          <w:lang w:val="es-MX"/>
        </w:rPr>
        <w:t xml:space="preserve">Por eje estratégico, el asociado a Transparencia reporta el mayor nivel de ejecución, no obstante, es el eje que menor presupuesto asignado tiene, mientras que el eje de Dinamizar el Sector Productivo reporta una ejecución de 35.3% </w:t>
      </w:r>
      <w:r w:rsidRPr="006F04FE">
        <w:rPr>
          <w:rFonts w:ascii="Times New Roman" w:hAnsi="Times New Roman" w:cs="Times New Roman"/>
          <w:lang w:val="es-MX"/>
        </w:rPr>
        <w:lastRenderedPageBreak/>
        <w:t xml:space="preserve">impulsado en parte por un mayor nivel de ejecución reportado en Comunicaciones, Infraestructura y Vivienda. </w:t>
      </w:r>
    </w:p>
    <w:p w:rsidR="006F04FE" w:rsidRPr="006F04FE" w:rsidRDefault="006F04FE" w:rsidP="006F04FE">
      <w:pPr>
        <w:pStyle w:val="NoSpacing"/>
        <w:jc w:val="both"/>
        <w:rPr>
          <w:rFonts w:ascii="Times New Roman" w:hAnsi="Times New Roman" w:cs="Times New Roman"/>
          <w:lang w:val="es-MX"/>
        </w:rPr>
      </w:pPr>
    </w:p>
    <w:p w:rsidR="00216605" w:rsidRPr="006F04FE" w:rsidRDefault="00216605" w:rsidP="00216605">
      <w:pPr>
        <w:pStyle w:val="NoSpacing"/>
        <w:jc w:val="center"/>
        <w:rPr>
          <w:rFonts w:ascii="Times New Roman" w:hAnsi="Times New Roman" w:cs="Times New Roman"/>
          <w:b/>
          <w:sz w:val="20"/>
          <w:lang w:val="es-MX"/>
        </w:rPr>
      </w:pPr>
      <w:r w:rsidRPr="006F04FE">
        <w:rPr>
          <w:rFonts w:ascii="Times New Roman" w:hAnsi="Times New Roman" w:cs="Times New Roman"/>
          <w:b/>
          <w:lang w:val="es-MX"/>
        </w:rPr>
        <w:t>Ejecución por eje estratégico del PAPTN</w:t>
      </w:r>
    </w:p>
    <w:p w:rsidR="00216605" w:rsidRPr="006F04FE" w:rsidRDefault="006F04FE" w:rsidP="00216605">
      <w:pPr>
        <w:pStyle w:val="NoSpacing"/>
        <w:jc w:val="center"/>
        <w:rPr>
          <w:rFonts w:ascii="Times New Roman" w:hAnsi="Times New Roman" w:cs="Times New Roman"/>
          <w:b/>
          <w:sz w:val="20"/>
          <w:lang w:val="es-MX"/>
        </w:rPr>
      </w:pPr>
      <w:r w:rsidRPr="006F04FE">
        <w:rPr>
          <w:rFonts w:ascii="Times New Roman" w:hAnsi="Times New Roman" w:cs="Times New Roman"/>
          <w:noProof/>
          <w:lang w:eastAsia="es-GT"/>
        </w:rPr>
        <w:drawing>
          <wp:anchor distT="0" distB="0" distL="114300" distR="114300" simplePos="0" relativeHeight="251676672" behindDoc="0" locked="0" layoutInCell="1" allowOverlap="1" wp14:anchorId="09821B7F" wp14:editId="5F657A6D">
            <wp:simplePos x="0" y="0"/>
            <wp:positionH relativeFrom="column">
              <wp:posOffset>-142875</wp:posOffset>
            </wp:positionH>
            <wp:positionV relativeFrom="paragraph">
              <wp:posOffset>165735</wp:posOffset>
            </wp:positionV>
            <wp:extent cx="3089910" cy="19335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9910" cy="1933575"/>
                    </a:xfrm>
                    <a:prstGeom prst="rect">
                      <a:avLst/>
                    </a:prstGeom>
                    <a:noFill/>
                  </pic:spPr>
                </pic:pic>
              </a:graphicData>
            </a:graphic>
            <wp14:sizeRelH relativeFrom="page">
              <wp14:pctWidth>0</wp14:pctWidth>
            </wp14:sizeRelH>
            <wp14:sizeRelV relativeFrom="page">
              <wp14:pctHeight>0</wp14:pctHeight>
            </wp14:sizeRelV>
          </wp:anchor>
        </w:drawing>
      </w:r>
      <w:r w:rsidR="00216605" w:rsidRPr="006F04FE">
        <w:rPr>
          <w:rFonts w:ascii="Times New Roman" w:hAnsi="Times New Roman" w:cs="Times New Roman"/>
          <w:b/>
          <w:sz w:val="20"/>
          <w:lang w:val="es-MX"/>
        </w:rPr>
        <w:t>-</w:t>
      </w:r>
      <w:r w:rsidR="00216605" w:rsidRPr="006F04FE">
        <w:rPr>
          <w:rFonts w:ascii="Times New Roman" w:hAnsi="Times New Roman" w:cs="Times New Roman"/>
          <w:sz w:val="18"/>
          <w:lang w:val="es-MX"/>
        </w:rPr>
        <w:t>Millones de quetzales-</w:t>
      </w:r>
    </w:p>
    <w:p w:rsidR="00216605" w:rsidRPr="006F04FE" w:rsidRDefault="00216605" w:rsidP="00216605">
      <w:pPr>
        <w:pStyle w:val="NoSpacing"/>
        <w:jc w:val="both"/>
        <w:rPr>
          <w:rFonts w:ascii="Times New Roman" w:hAnsi="Times New Roman" w:cs="Times New Roman"/>
          <w:sz w:val="16"/>
          <w:lang w:val="es-MX"/>
        </w:rPr>
      </w:pPr>
      <w:r w:rsidRPr="006F04FE">
        <w:rPr>
          <w:rFonts w:ascii="Times New Roman" w:hAnsi="Times New Roman" w:cs="Times New Roman"/>
          <w:sz w:val="16"/>
          <w:lang w:val="es-MX"/>
        </w:rPr>
        <w:t>Fuente: Dirección de Análisis y Política fiscal</w:t>
      </w:r>
    </w:p>
    <w:p w:rsidR="00216605" w:rsidRPr="001675A0" w:rsidRDefault="00216605" w:rsidP="00216605">
      <w:pPr>
        <w:pStyle w:val="NoSpacing"/>
        <w:jc w:val="both"/>
        <w:rPr>
          <w:rFonts w:ascii="Times New Roman" w:hAnsi="Times New Roman" w:cs="Times New Roman"/>
          <w:color w:val="FF0000"/>
          <w:lang w:val="es-MX"/>
        </w:rPr>
      </w:pPr>
    </w:p>
    <w:p w:rsidR="00216605" w:rsidRPr="001675A0" w:rsidRDefault="00216605" w:rsidP="00216605">
      <w:pPr>
        <w:pStyle w:val="NoSpacing"/>
        <w:jc w:val="both"/>
        <w:rPr>
          <w:rFonts w:ascii="Times New Roman" w:hAnsi="Times New Roman" w:cs="Times New Roman"/>
          <w:color w:val="FF0000"/>
          <w:lang w:val="es-MX"/>
        </w:rPr>
        <w:sectPr w:rsidR="00216605" w:rsidRPr="001675A0" w:rsidSect="00374D44">
          <w:headerReference w:type="default" r:id="rId25"/>
          <w:footerReference w:type="default" r:id="rId26"/>
          <w:type w:val="continuous"/>
          <w:pgSz w:w="12240" w:h="15840" w:code="1"/>
          <w:pgMar w:top="1418" w:right="1418" w:bottom="1418" w:left="1701" w:header="709" w:footer="709" w:gutter="0"/>
          <w:cols w:num="2" w:space="708"/>
          <w:docGrid w:linePitch="360"/>
        </w:sectPr>
      </w:pPr>
    </w:p>
    <w:p w:rsidR="00216605" w:rsidRPr="001675A0" w:rsidRDefault="00216605" w:rsidP="00216605">
      <w:pPr>
        <w:pStyle w:val="NoSpacing"/>
        <w:jc w:val="both"/>
        <w:rPr>
          <w:rFonts w:ascii="Times New Roman" w:hAnsi="Times New Roman" w:cs="Times New Roman"/>
          <w:color w:val="FF0000"/>
          <w:sz w:val="18"/>
          <w:lang w:val="es-MX"/>
        </w:rPr>
      </w:pPr>
    </w:p>
    <w:p w:rsidR="00216605" w:rsidRPr="006F04FE" w:rsidRDefault="00216605"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6F04FE" w:rsidSect="00FA3B81">
          <w:type w:val="continuous"/>
          <w:pgSz w:w="12240" w:h="15840" w:code="1"/>
          <w:pgMar w:top="1418" w:right="1418" w:bottom="1418" w:left="1418" w:header="709" w:footer="709" w:gutter="0"/>
          <w:cols w:space="708"/>
          <w:docGrid w:linePitch="360"/>
        </w:sectPr>
      </w:pPr>
      <w:r w:rsidRPr="006F04FE">
        <w:rPr>
          <w:rFonts w:ascii="Times New Roman" w:hAnsi="Times New Roman" w:cs="Times New Roman"/>
          <w:b/>
          <w:lang w:val="es-MX"/>
        </w:rPr>
        <w:t>Se mantiene el ritmo en las colocaciones de bonos</w:t>
      </w:r>
    </w:p>
    <w:p w:rsidR="00216605" w:rsidRPr="001675A0" w:rsidRDefault="00216605" w:rsidP="00216605">
      <w:pPr>
        <w:pStyle w:val="NoSpacing"/>
        <w:rPr>
          <w:rFonts w:ascii="Times New Roman" w:hAnsi="Times New Roman" w:cs="Times New Roman"/>
          <w:b/>
          <w:color w:val="FF0000"/>
          <w:sz w:val="24"/>
          <w:lang w:val="es-MX"/>
        </w:rPr>
      </w:pPr>
    </w:p>
    <w:p w:rsidR="00216605" w:rsidRPr="001675A0" w:rsidRDefault="00216605" w:rsidP="00216605">
      <w:pPr>
        <w:pStyle w:val="NoSpacing"/>
        <w:rPr>
          <w:rFonts w:ascii="Times New Roman" w:hAnsi="Times New Roman" w:cs="Times New Roman"/>
          <w:b/>
          <w:color w:val="FF0000"/>
          <w:lang w:val="es-MX"/>
        </w:rPr>
        <w:sectPr w:rsidR="00216605" w:rsidRPr="001675A0" w:rsidSect="004E358C">
          <w:type w:val="continuous"/>
          <w:pgSz w:w="12240" w:h="15840"/>
          <w:pgMar w:top="1417" w:right="1701" w:bottom="1417" w:left="1701" w:header="708" w:footer="708" w:gutter="0"/>
          <w:cols w:space="708"/>
          <w:docGrid w:linePitch="360"/>
        </w:sectPr>
      </w:pPr>
    </w:p>
    <w:p w:rsidR="006F04FE" w:rsidRDefault="006F04FE" w:rsidP="006F04FE">
      <w:pPr>
        <w:pStyle w:val="NoSpacing"/>
        <w:jc w:val="both"/>
        <w:rPr>
          <w:rFonts w:ascii="Times New Roman" w:hAnsi="Times New Roman" w:cs="Times New Roman"/>
        </w:rPr>
      </w:pPr>
      <w:r>
        <w:rPr>
          <w:rFonts w:ascii="Times New Roman" w:hAnsi="Times New Roman" w:cs="Times New Roman"/>
          <w:lang w:val="es-MX"/>
        </w:rPr>
        <w:lastRenderedPageBreak/>
        <w:t>Respecto</w:t>
      </w:r>
      <w:r>
        <w:rPr>
          <w:rFonts w:ascii="Times New Roman" w:hAnsi="Times New Roman" w:cs="Times New Roman"/>
        </w:rPr>
        <w:t xml:space="preserve"> a los recursos por endeudamiento que se han captado a septiembre de 2017, es importante señalar que en concepto de préstamos externos se han captado Q421.48 millones, lo cual es equivalente al 17.73% del monto presupuestado vigente. Por su parte, los pagos por amortizaciones de capital realizados ascienden a Q2,278.5 millones. </w:t>
      </w:r>
    </w:p>
    <w:p w:rsidR="006F04FE" w:rsidRDefault="006F04FE" w:rsidP="006F04FE">
      <w:pPr>
        <w:pStyle w:val="NoSpacing"/>
        <w:jc w:val="both"/>
        <w:rPr>
          <w:rFonts w:ascii="Times New Roman" w:hAnsi="Times New Roman" w:cs="Times New Roman"/>
        </w:rPr>
      </w:pPr>
    </w:p>
    <w:p w:rsidR="006F04FE" w:rsidRPr="001675A0" w:rsidRDefault="006F04FE" w:rsidP="006F04FE">
      <w:pPr>
        <w:pStyle w:val="NoSpacing"/>
        <w:jc w:val="both"/>
        <w:rPr>
          <w:rFonts w:ascii="Times New Roman" w:hAnsi="Times New Roman" w:cs="Times New Roman"/>
          <w:color w:val="FF0000"/>
        </w:rPr>
      </w:pPr>
      <w:r>
        <w:rPr>
          <w:rFonts w:ascii="Times New Roman" w:hAnsi="Times New Roman" w:cs="Times New Roman"/>
        </w:rPr>
        <w:t xml:space="preserve">En lo que respecta a la emisión y colocación de Bonos del Tesoro, los eventos realizados a la fecha en el mercado nacional e internacional, se han adjudicado un total de Q10,240.2 millones (lo cual incluye la colocación del Eurobono por US$500 millones), un 77.9% del valor autorizado por medio del Decreto 50-2016, quedando pendientes de colocar Q2,910.1 millones (22.1%), dichas colocaciones se han adjudicado en condiciones financieras </w:t>
      </w:r>
      <w:r>
        <w:rPr>
          <w:rFonts w:ascii="Times New Roman" w:hAnsi="Times New Roman" w:cs="Times New Roman"/>
        </w:rPr>
        <w:lastRenderedPageBreak/>
        <w:t>favorables, ascendiendo la demanda por bonos del tesoro a Q44,422.2 millones.</w:t>
      </w:r>
    </w:p>
    <w:p w:rsidR="00B43892" w:rsidRPr="006F04FE" w:rsidRDefault="00B43892" w:rsidP="00B43892">
      <w:pPr>
        <w:pStyle w:val="NoSpacing"/>
        <w:jc w:val="both"/>
        <w:rPr>
          <w:rFonts w:ascii="Times New Roman" w:hAnsi="Times New Roman" w:cs="Times New Roman"/>
        </w:rPr>
      </w:pPr>
    </w:p>
    <w:p w:rsidR="00216605" w:rsidRPr="006F04FE" w:rsidRDefault="00216605" w:rsidP="00216605">
      <w:pPr>
        <w:pStyle w:val="NoSpacing"/>
        <w:jc w:val="center"/>
        <w:rPr>
          <w:rFonts w:ascii="Times New Roman" w:hAnsi="Times New Roman" w:cs="Times New Roman"/>
          <w:b/>
        </w:rPr>
      </w:pPr>
      <w:r w:rsidRPr="006F04FE">
        <w:rPr>
          <w:rFonts w:ascii="Times New Roman" w:hAnsi="Times New Roman" w:cs="Times New Roman"/>
          <w:b/>
        </w:rPr>
        <w:t>Colocación de Bonos del Tesoro</w:t>
      </w:r>
    </w:p>
    <w:p w:rsidR="00216605" w:rsidRPr="006F04FE" w:rsidRDefault="00216605" w:rsidP="00216605">
      <w:pPr>
        <w:pStyle w:val="NoSpacing"/>
        <w:jc w:val="center"/>
        <w:rPr>
          <w:rFonts w:ascii="Times New Roman" w:hAnsi="Times New Roman" w:cs="Times New Roman"/>
          <w:sz w:val="18"/>
        </w:rPr>
      </w:pPr>
      <w:r w:rsidRPr="006F04FE">
        <w:rPr>
          <w:rFonts w:ascii="Times New Roman" w:hAnsi="Times New Roman" w:cs="Times New Roman"/>
          <w:sz w:val="18"/>
        </w:rPr>
        <w:t>Al 30 de septiembre del 2017</w:t>
      </w:r>
    </w:p>
    <w:p w:rsidR="00216605" w:rsidRPr="006F04FE" w:rsidRDefault="00216605" w:rsidP="00216605">
      <w:pPr>
        <w:pStyle w:val="NoSpacing"/>
        <w:jc w:val="center"/>
        <w:rPr>
          <w:rFonts w:ascii="Times New Roman" w:hAnsi="Times New Roman" w:cs="Times New Roman"/>
          <w:sz w:val="18"/>
        </w:rPr>
      </w:pPr>
      <w:r w:rsidRPr="006F04FE">
        <w:rPr>
          <w:rFonts w:ascii="Times New Roman" w:hAnsi="Times New Roman" w:cs="Times New Roman"/>
          <w:sz w:val="18"/>
        </w:rPr>
        <w:t>Millones de quetzales y porcentajes</w:t>
      </w:r>
    </w:p>
    <w:p w:rsidR="00216605" w:rsidRPr="006F04FE" w:rsidRDefault="006F04FE" w:rsidP="00216605">
      <w:pPr>
        <w:pStyle w:val="NoSpacing"/>
        <w:jc w:val="both"/>
        <w:rPr>
          <w:rFonts w:ascii="Times New Roman" w:hAnsi="Times New Roman" w:cs="Times New Roman"/>
        </w:rPr>
      </w:pPr>
      <w:r w:rsidRPr="006F04FE">
        <w:rPr>
          <w:rFonts w:ascii="Times New Roman" w:hAnsi="Times New Roman" w:cs="Times New Roman"/>
          <w:noProof/>
          <w:lang w:eastAsia="es-GT"/>
        </w:rPr>
        <w:drawing>
          <wp:inline distT="0" distB="0" distL="0" distR="0" wp14:anchorId="1AE119A0" wp14:editId="48A0C9CB">
            <wp:extent cx="2811901" cy="20288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2978" cy="2036818"/>
                    </a:xfrm>
                    <a:prstGeom prst="rect">
                      <a:avLst/>
                    </a:prstGeom>
                    <a:noFill/>
                  </pic:spPr>
                </pic:pic>
              </a:graphicData>
            </a:graphic>
          </wp:inline>
        </w:drawing>
      </w:r>
    </w:p>
    <w:p w:rsidR="00804E1C" w:rsidRPr="006F04FE" w:rsidRDefault="00216605" w:rsidP="007C0C8C">
      <w:pPr>
        <w:pStyle w:val="NoSpacing"/>
        <w:jc w:val="both"/>
        <w:rPr>
          <w:rFonts w:ascii="Times New Roman" w:hAnsi="Times New Roman" w:cs="Times New Roman"/>
        </w:rPr>
        <w:sectPr w:rsidR="00804E1C" w:rsidRPr="006F04FE" w:rsidSect="00374D44">
          <w:headerReference w:type="default" r:id="rId28"/>
          <w:footerReference w:type="default" r:id="rId29"/>
          <w:type w:val="continuous"/>
          <w:pgSz w:w="12240" w:h="15840" w:code="1"/>
          <w:pgMar w:top="1418" w:right="1418" w:bottom="1418" w:left="1701" w:header="709" w:footer="709" w:gutter="0"/>
          <w:cols w:num="2" w:space="708"/>
          <w:docGrid w:linePitch="360"/>
        </w:sectPr>
      </w:pPr>
      <w:r w:rsidRPr="006F04FE">
        <w:rPr>
          <w:rFonts w:ascii="Times New Roman" w:hAnsi="Times New Roman" w:cs="Times New Roman"/>
          <w:sz w:val="16"/>
        </w:rPr>
        <w:t>Fuente: Dirección de Análisis y Política fiscal</w:t>
      </w:r>
    </w:p>
    <w:p w:rsidR="00DD23C0" w:rsidRPr="001675A0" w:rsidRDefault="00DD23C0" w:rsidP="00BC7539">
      <w:pPr>
        <w:pStyle w:val="NoSpacing"/>
        <w:jc w:val="both"/>
        <w:rPr>
          <w:rFonts w:ascii="Times New Roman" w:hAnsi="Times New Roman" w:cs="Times New Roman"/>
          <w:color w:val="FF0000"/>
          <w:sz w:val="18"/>
        </w:rPr>
      </w:pPr>
    </w:p>
    <w:p w:rsidR="00B96036" w:rsidRDefault="00B96036" w:rsidP="00D4202F">
      <w:pPr>
        <w:spacing w:after="0"/>
        <w:rPr>
          <w:rFonts w:ascii="Times New Roman" w:hAnsi="Times New Roman" w:cs="Times New Roman"/>
          <w:b/>
          <w:color w:val="FF0000"/>
          <w:lang w:val="es-MX"/>
        </w:rPr>
      </w:pPr>
    </w:p>
    <w:p w:rsidR="006F04FE" w:rsidRDefault="006F04FE" w:rsidP="00D4202F">
      <w:pPr>
        <w:spacing w:after="0"/>
        <w:rPr>
          <w:rFonts w:ascii="Times New Roman" w:hAnsi="Times New Roman" w:cs="Times New Roman"/>
          <w:b/>
          <w:color w:val="FF0000"/>
          <w:lang w:val="es-MX"/>
        </w:rPr>
      </w:pPr>
    </w:p>
    <w:p w:rsidR="006F04FE" w:rsidRDefault="006F04FE" w:rsidP="00D4202F">
      <w:pPr>
        <w:spacing w:after="0"/>
        <w:rPr>
          <w:rFonts w:ascii="Times New Roman" w:hAnsi="Times New Roman" w:cs="Times New Roman"/>
          <w:b/>
          <w:color w:val="FF0000"/>
          <w:lang w:val="es-MX"/>
        </w:rPr>
      </w:pPr>
    </w:p>
    <w:p w:rsidR="006F04FE" w:rsidRDefault="006F04FE" w:rsidP="00D4202F">
      <w:pPr>
        <w:spacing w:after="0"/>
        <w:rPr>
          <w:rFonts w:ascii="Times New Roman" w:hAnsi="Times New Roman" w:cs="Times New Roman"/>
          <w:b/>
          <w:color w:val="FF0000"/>
          <w:lang w:val="es-MX"/>
        </w:rPr>
      </w:pPr>
    </w:p>
    <w:p w:rsidR="006F04FE" w:rsidRPr="001675A0" w:rsidRDefault="006F04FE" w:rsidP="00D4202F">
      <w:pPr>
        <w:spacing w:after="0"/>
        <w:rPr>
          <w:rFonts w:ascii="Times New Roman" w:hAnsi="Times New Roman" w:cs="Times New Roman"/>
          <w:color w:val="FF0000"/>
          <w:sz w:val="12"/>
          <w:lang w:val="es-MX"/>
        </w:rPr>
        <w:sectPr w:rsidR="006F04FE" w:rsidRPr="001675A0" w:rsidSect="004E358C">
          <w:type w:val="continuous"/>
          <w:pgSz w:w="12240" w:h="15840"/>
          <w:pgMar w:top="1417" w:right="1701" w:bottom="1417" w:left="1701" w:header="708" w:footer="708" w:gutter="0"/>
          <w:cols w:num="2" w:space="708"/>
          <w:docGrid w:linePitch="360"/>
        </w:sectPr>
      </w:pPr>
    </w:p>
    <w:p w:rsidR="00494D1D" w:rsidRPr="00D411E6" w:rsidRDefault="0042387A" w:rsidP="0042387A">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D411E6" w:rsidSect="00FA3B81">
          <w:headerReference w:type="default" r:id="rId30"/>
          <w:footerReference w:type="default" r:id="rId31"/>
          <w:type w:val="continuous"/>
          <w:pgSz w:w="12240" w:h="15840" w:code="1"/>
          <w:pgMar w:top="1418" w:right="1418" w:bottom="1418" w:left="1418" w:header="709" w:footer="709" w:gutter="0"/>
          <w:cols w:space="708"/>
          <w:docGrid w:linePitch="360"/>
        </w:sectPr>
      </w:pPr>
      <w:r w:rsidRPr="00D411E6">
        <w:rPr>
          <w:rFonts w:ascii="Times New Roman" w:hAnsi="Times New Roman" w:cs="Times New Roman"/>
          <w:b/>
          <w:lang w:val="es-MX"/>
        </w:rPr>
        <w:lastRenderedPageBreak/>
        <w:t>Ambientes macroeconómicos (externo e interno)</w:t>
      </w:r>
    </w:p>
    <w:p w:rsidR="00494D1D" w:rsidRPr="00D411E6" w:rsidRDefault="00494D1D" w:rsidP="00494D1D">
      <w:pPr>
        <w:pStyle w:val="NoSpacing"/>
        <w:rPr>
          <w:rFonts w:ascii="Times New Roman" w:hAnsi="Times New Roman" w:cs="Times New Roman"/>
          <w:b/>
          <w:sz w:val="18"/>
          <w:lang w:val="es-MX"/>
        </w:rPr>
      </w:pPr>
    </w:p>
    <w:p w:rsidR="00494D1D" w:rsidRPr="00D411E6" w:rsidRDefault="00494D1D" w:rsidP="00494D1D">
      <w:pPr>
        <w:pStyle w:val="NoSpacing"/>
        <w:rPr>
          <w:rFonts w:ascii="Times New Roman" w:hAnsi="Times New Roman" w:cs="Times New Roman"/>
          <w:b/>
          <w:lang w:val="es-MX"/>
        </w:rPr>
        <w:sectPr w:rsidR="00494D1D" w:rsidRPr="00D411E6" w:rsidSect="004E358C">
          <w:type w:val="continuous"/>
          <w:pgSz w:w="12240" w:h="15840"/>
          <w:pgMar w:top="1417" w:right="1701" w:bottom="1417" w:left="1701" w:header="708" w:footer="708" w:gutter="0"/>
          <w:cols w:space="708"/>
          <w:docGrid w:linePitch="360"/>
        </w:sectPr>
      </w:pPr>
    </w:p>
    <w:p w:rsidR="007A7272" w:rsidRPr="00D411E6" w:rsidRDefault="00C922D7" w:rsidP="001913A4">
      <w:pPr>
        <w:pStyle w:val="NoSpacing"/>
        <w:jc w:val="both"/>
        <w:rPr>
          <w:rFonts w:ascii="Times New Roman" w:hAnsi="Times New Roman" w:cs="Times New Roman"/>
          <w:lang w:val="es-MX"/>
        </w:rPr>
      </w:pPr>
      <w:r w:rsidRPr="00D411E6">
        <w:rPr>
          <w:rFonts w:ascii="Times New Roman" w:hAnsi="Times New Roman" w:cs="Times New Roman"/>
          <w:lang w:val="es-MX"/>
        </w:rPr>
        <w:lastRenderedPageBreak/>
        <w:t xml:space="preserve">En el entorno externo, </w:t>
      </w:r>
      <w:r w:rsidR="007A7272" w:rsidRPr="00D411E6">
        <w:rPr>
          <w:rFonts w:ascii="Times New Roman" w:hAnsi="Times New Roman" w:cs="Times New Roman"/>
          <w:lang w:val="es-MX"/>
        </w:rPr>
        <w:t xml:space="preserve">la Organización Mundial de Comercio mejoro las previsiones para 2017, la estimación del crecimiento del volumen del comercio mundial de bienes para 2017 subió un 3.6%, frente al 2.4% </w:t>
      </w:r>
      <w:r w:rsidR="00B7136E" w:rsidRPr="00D411E6">
        <w:rPr>
          <w:rFonts w:ascii="Times New Roman" w:hAnsi="Times New Roman" w:cs="Times New Roman"/>
          <w:lang w:val="es-MX"/>
        </w:rPr>
        <w:t>esperado</w:t>
      </w:r>
      <w:r w:rsidR="007A7272" w:rsidRPr="00D411E6">
        <w:rPr>
          <w:rFonts w:ascii="Times New Roman" w:hAnsi="Times New Roman" w:cs="Times New Roman"/>
          <w:lang w:val="es-MX"/>
        </w:rPr>
        <w:t xml:space="preserve"> anteriormente</w:t>
      </w:r>
      <w:r w:rsidR="00B7136E" w:rsidRPr="00D411E6">
        <w:rPr>
          <w:rFonts w:ascii="Times New Roman" w:hAnsi="Times New Roman" w:cs="Times New Roman"/>
          <w:lang w:val="es-MX"/>
        </w:rPr>
        <w:t xml:space="preserve"> y</w:t>
      </w:r>
      <w:r w:rsidR="007A7272" w:rsidRPr="00D411E6">
        <w:rPr>
          <w:rFonts w:ascii="Times New Roman" w:hAnsi="Times New Roman" w:cs="Times New Roman"/>
          <w:lang w:val="es-MX"/>
        </w:rPr>
        <w:t xml:space="preserve"> supondría una m</w:t>
      </w:r>
      <w:r w:rsidR="00B7136E" w:rsidRPr="00D411E6">
        <w:rPr>
          <w:rFonts w:ascii="Times New Roman" w:hAnsi="Times New Roman" w:cs="Times New Roman"/>
          <w:lang w:val="es-MX"/>
        </w:rPr>
        <w:t>ejora sustancial frente al modesto</w:t>
      </w:r>
      <w:r w:rsidR="007A7272" w:rsidRPr="00D411E6">
        <w:rPr>
          <w:rFonts w:ascii="Times New Roman" w:hAnsi="Times New Roman" w:cs="Times New Roman"/>
          <w:lang w:val="es-MX"/>
        </w:rPr>
        <w:t xml:space="preserve"> crecimi</w:t>
      </w:r>
      <w:r w:rsidR="00B7136E" w:rsidRPr="00D411E6">
        <w:rPr>
          <w:rFonts w:ascii="Times New Roman" w:hAnsi="Times New Roman" w:cs="Times New Roman"/>
          <w:lang w:val="es-MX"/>
        </w:rPr>
        <w:t xml:space="preserve">ento de 1.3% registrado en 2016. Dicho comportamiento </w:t>
      </w:r>
      <w:r w:rsidR="007A7272" w:rsidRPr="00D411E6">
        <w:rPr>
          <w:rFonts w:ascii="Times New Roman" w:hAnsi="Times New Roman" w:cs="Times New Roman"/>
          <w:lang w:val="es-MX"/>
        </w:rPr>
        <w:t>se atribuye a un repunte de las corrientes comerciales asiáticas gracias al aumento del tráfico intrarregional y a la recuperación de la demanda de importaciones en América del Norte.  Según la OMC, el dinamismo sobre todo en China y Estados Unidos, impulsó la demanda de importaciones, que a su vez estimuló el comercio entre países asiáticos, pues se transmitió por las cadenas de suministro regionales. En la primera mitad de 2017, la demanda de China se vio impulsada por un sólido cre</w:t>
      </w:r>
      <w:r w:rsidR="00B7136E" w:rsidRPr="00D411E6">
        <w:rPr>
          <w:rFonts w:ascii="Times New Roman" w:hAnsi="Times New Roman" w:cs="Times New Roman"/>
          <w:lang w:val="es-MX"/>
        </w:rPr>
        <w:t xml:space="preserve">cimiento del sector industrial </w:t>
      </w:r>
      <w:r w:rsidR="007A7272" w:rsidRPr="00D411E6">
        <w:rPr>
          <w:rFonts w:ascii="Times New Roman" w:hAnsi="Times New Roman" w:cs="Times New Roman"/>
          <w:lang w:val="es-MX"/>
        </w:rPr>
        <w:t>de un 6.4% en térm</w:t>
      </w:r>
      <w:r w:rsidR="00B7136E" w:rsidRPr="00D411E6">
        <w:rPr>
          <w:rFonts w:ascii="Times New Roman" w:hAnsi="Times New Roman" w:cs="Times New Roman"/>
          <w:lang w:val="es-MX"/>
        </w:rPr>
        <w:t>inos reales en lo que va de año</w:t>
      </w:r>
      <w:r w:rsidR="007A7272" w:rsidRPr="00D411E6">
        <w:rPr>
          <w:rFonts w:ascii="Times New Roman" w:hAnsi="Times New Roman" w:cs="Times New Roman"/>
          <w:lang w:val="es-MX"/>
        </w:rPr>
        <w:t xml:space="preserve"> y un crecimiento aún may</w:t>
      </w:r>
      <w:r w:rsidR="00B7136E" w:rsidRPr="00D411E6">
        <w:rPr>
          <w:rFonts w:ascii="Times New Roman" w:hAnsi="Times New Roman" w:cs="Times New Roman"/>
          <w:lang w:val="es-MX"/>
        </w:rPr>
        <w:t xml:space="preserve">or del sector de los servicios </w:t>
      </w:r>
      <w:r w:rsidR="007A7272" w:rsidRPr="00D411E6">
        <w:rPr>
          <w:rFonts w:ascii="Times New Roman" w:hAnsi="Times New Roman" w:cs="Times New Roman"/>
          <w:lang w:val="es-MX"/>
        </w:rPr>
        <w:t>de u</w:t>
      </w:r>
      <w:r w:rsidR="00B7136E" w:rsidRPr="00D411E6">
        <w:rPr>
          <w:rFonts w:ascii="Times New Roman" w:hAnsi="Times New Roman" w:cs="Times New Roman"/>
          <w:lang w:val="es-MX"/>
        </w:rPr>
        <w:t>n 7.7% durante el mismo periodo</w:t>
      </w:r>
      <w:r w:rsidR="007A7272" w:rsidRPr="00D411E6">
        <w:rPr>
          <w:rFonts w:ascii="Times New Roman" w:hAnsi="Times New Roman" w:cs="Times New Roman"/>
          <w:lang w:val="es-MX"/>
        </w:rPr>
        <w:t xml:space="preserve">. </w:t>
      </w:r>
    </w:p>
    <w:p w:rsidR="00B7136E" w:rsidRPr="00D411E6" w:rsidRDefault="00B7136E" w:rsidP="001913A4">
      <w:pPr>
        <w:pStyle w:val="NoSpacing"/>
        <w:jc w:val="both"/>
        <w:rPr>
          <w:rFonts w:ascii="Times New Roman" w:hAnsi="Times New Roman" w:cs="Times New Roman"/>
          <w:lang w:val="es-MX"/>
        </w:rPr>
      </w:pPr>
    </w:p>
    <w:p w:rsidR="001913A4" w:rsidRPr="00D411E6" w:rsidRDefault="007A7272" w:rsidP="001913A4">
      <w:pPr>
        <w:pStyle w:val="NoSpacing"/>
        <w:jc w:val="both"/>
        <w:rPr>
          <w:rFonts w:ascii="Times New Roman" w:hAnsi="Times New Roman" w:cs="Times New Roman"/>
          <w:lang w:val="es-MX"/>
        </w:rPr>
      </w:pPr>
      <w:r w:rsidRPr="00D411E6">
        <w:rPr>
          <w:rFonts w:ascii="Times New Roman" w:hAnsi="Times New Roman" w:cs="Times New Roman"/>
          <w:lang w:val="es-MX"/>
        </w:rPr>
        <w:t>E</w:t>
      </w:r>
      <w:r w:rsidR="001913A4" w:rsidRPr="00D411E6">
        <w:rPr>
          <w:rFonts w:ascii="Times New Roman" w:hAnsi="Times New Roman" w:cs="Times New Roman"/>
          <w:lang w:val="es-MX"/>
        </w:rPr>
        <w:t xml:space="preserve">ste mes el Comité Federal de Mercado Abierto (FOMC) de la Fed decidió de forma unánime mantener los tipos de interés en un rango objetivo de entre 1.00% y 1.25%, a la vez que anunció el inicio del proceso de reducción del balance en octubre, que ha llegado a incluir un record histórico de US$ 4.5 billones en activos como bonos del Tesoro y títulos apoyados en créditos hipotecarios; la entidad consideró que todavía hay margen para realizar una última subida de tipos más antes de que finalice el año hasta situarlos en el 1.40%, tal y como apunta en la actualización de sus previsiones y ha mantenido a lo largo de 2017.  El plan de reducción del balance del banco central anunciado se iniciaría en octubre en plazos y cantidades anunciadas anteriormente, por lo que en un primer momento está previsto que el límite de reinversión aumente en US$ 10,000 millones cada tres meses hasta un máximo de US$ 50,000 millones o más en los próximos años, dando un </w:t>
      </w:r>
      <w:r w:rsidR="001913A4" w:rsidRPr="00D411E6">
        <w:rPr>
          <w:rFonts w:ascii="Times New Roman" w:hAnsi="Times New Roman" w:cs="Times New Roman"/>
          <w:lang w:val="es-MX"/>
        </w:rPr>
        <w:lastRenderedPageBreak/>
        <w:t>nuevo paso al frente en la normalización de su política monetaria.  Así mismo, la Fed elevó su previsión de crecimiento del PIB para 2017 y lo estableció en 2.4% contra el 2.2% calculado en junio.</w:t>
      </w:r>
    </w:p>
    <w:p w:rsidR="007814D6" w:rsidRPr="00D411E6" w:rsidRDefault="007814D6" w:rsidP="00C922D7">
      <w:pPr>
        <w:pStyle w:val="NoSpacing"/>
        <w:jc w:val="both"/>
        <w:rPr>
          <w:rFonts w:ascii="Times New Roman" w:hAnsi="Times New Roman" w:cs="Times New Roman"/>
          <w:lang w:val="es-MX"/>
        </w:rPr>
      </w:pPr>
    </w:p>
    <w:p w:rsidR="004A3D32" w:rsidRPr="00D411E6" w:rsidRDefault="007814D6" w:rsidP="00C922D7">
      <w:pPr>
        <w:pStyle w:val="NoSpacing"/>
        <w:jc w:val="both"/>
        <w:rPr>
          <w:rFonts w:ascii="Times New Roman" w:hAnsi="Times New Roman" w:cs="Times New Roman"/>
          <w:lang w:val="es-MX"/>
        </w:rPr>
      </w:pPr>
      <w:r w:rsidRPr="00D411E6">
        <w:rPr>
          <w:rFonts w:ascii="Times New Roman" w:hAnsi="Times New Roman" w:cs="Times New Roman"/>
          <w:lang w:val="es-MX"/>
        </w:rPr>
        <w:t>La tasa de desempleo de Estados Unidos bajó dos décimas en septiembre y se ubicó en 4.2%, sin embargo, el Departamento de Trabajo contabilizó una pérdida de 33.000 puestos de trabajo a lo largo del mes</w:t>
      </w:r>
      <w:r w:rsidR="00AB52BE" w:rsidRPr="00D411E6">
        <w:rPr>
          <w:rFonts w:ascii="Times New Roman" w:hAnsi="Times New Roman" w:cs="Times New Roman"/>
          <w:lang w:val="es-MX"/>
        </w:rPr>
        <w:t xml:space="preserve"> como consecuencia de los huracanes Harvey e Irma que azotaron los estados de Texas y Florida. En cuanto a los salarios, las cifras oficiales muestran que el promedio por hora aumentó 12 centavos, y alcanzó los 26,55 dólares.</w:t>
      </w:r>
    </w:p>
    <w:p w:rsidR="004A3D32" w:rsidRPr="00D411E6" w:rsidRDefault="004A3D32" w:rsidP="00C922D7">
      <w:pPr>
        <w:pStyle w:val="NoSpacing"/>
        <w:jc w:val="both"/>
        <w:rPr>
          <w:rFonts w:ascii="Times New Roman" w:hAnsi="Times New Roman" w:cs="Times New Roman"/>
          <w:lang w:val="es-MX"/>
        </w:rPr>
      </w:pPr>
    </w:p>
    <w:p w:rsidR="007A7272" w:rsidRPr="00D411E6" w:rsidRDefault="00C922D7" w:rsidP="00C922D7">
      <w:pPr>
        <w:pStyle w:val="NoSpacing"/>
        <w:jc w:val="both"/>
        <w:rPr>
          <w:rFonts w:ascii="Times New Roman" w:hAnsi="Times New Roman" w:cs="Times New Roman"/>
          <w:lang w:val="es-MX"/>
        </w:rPr>
      </w:pPr>
      <w:r w:rsidRPr="00D411E6">
        <w:rPr>
          <w:rFonts w:ascii="Times New Roman" w:hAnsi="Times New Roman" w:cs="Times New Roman"/>
          <w:lang w:val="es-MX"/>
        </w:rPr>
        <w:t xml:space="preserve">En la zona euro, los principales indicadores económicos denotan </w:t>
      </w:r>
      <w:r w:rsidR="001735EE" w:rsidRPr="00D411E6">
        <w:rPr>
          <w:rFonts w:ascii="Times New Roman" w:hAnsi="Times New Roman" w:cs="Times New Roman"/>
          <w:lang w:val="es-MX"/>
        </w:rPr>
        <w:t>estabilidad</w:t>
      </w:r>
      <w:r w:rsidR="00BD4961" w:rsidRPr="00D411E6">
        <w:rPr>
          <w:rFonts w:ascii="Times New Roman" w:hAnsi="Times New Roman" w:cs="Times New Roman"/>
          <w:lang w:val="es-MX"/>
        </w:rPr>
        <w:t>,</w:t>
      </w:r>
      <w:r w:rsidRPr="00D411E6">
        <w:rPr>
          <w:rFonts w:ascii="Times New Roman" w:hAnsi="Times New Roman" w:cs="Times New Roman"/>
          <w:lang w:val="es-MX"/>
        </w:rPr>
        <w:t xml:space="preserve"> </w:t>
      </w:r>
      <w:r w:rsidR="00AB52BE" w:rsidRPr="00D411E6">
        <w:rPr>
          <w:rFonts w:ascii="Times New Roman" w:hAnsi="Times New Roman" w:cs="Times New Roman"/>
          <w:lang w:val="es-MX"/>
        </w:rPr>
        <w:t>los precios repuntaron un 0.4% en el mes de septiembre, en línea con las previsiones, y la tasa interanual de inflación se mantuvo invariable en el 1,5%. La tasa de inflación subyacente, que excluye la evolución de los alimentos frescos y la energía, repuntó hasta el 1.3% desde el anterior 1.1%.</w:t>
      </w:r>
      <w:r w:rsidR="007A7272" w:rsidRPr="00D411E6">
        <w:t xml:space="preserve">  </w:t>
      </w:r>
      <w:r w:rsidR="007A7272" w:rsidRPr="00D411E6">
        <w:rPr>
          <w:rFonts w:ascii="Times New Roman" w:hAnsi="Times New Roman" w:cs="Times New Roman"/>
          <w:lang w:val="es-MX"/>
        </w:rPr>
        <w:t xml:space="preserve">Los indicadores adelantados del PMI indican que su economía podría experimentar un incremento del PIB del 0.7% para el tercer trimestre, según la consultora IHS Markit.  El PMI compuesto de actividad de la zona se situó en 56.7 puntos en septiembre frente al 55.7 de agosto, atribuido al empuje del sector manufacturero que alcanzó una cifra de 58.2, ocho décimas más que en agosto; el sector servicios también creció a 55.6, nueve décimas por encima de agosto.  La referencia por encima de 50 puntos indica una expansión de la actividad. </w:t>
      </w:r>
    </w:p>
    <w:p w:rsidR="004A3D32" w:rsidRPr="00D411E6" w:rsidRDefault="007A7272" w:rsidP="00C922D7">
      <w:pPr>
        <w:pStyle w:val="NoSpacing"/>
        <w:jc w:val="both"/>
        <w:rPr>
          <w:rFonts w:ascii="Times New Roman" w:hAnsi="Times New Roman" w:cs="Times New Roman"/>
          <w:lang w:val="es-MX"/>
        </w:rPr>
      </w:pPr>
      <w:r w:rsidRPr="00D411E6">
        <w:rPr>
          <w:rFonts w:ascii="Times New Roman" w:hAnsi="Times New Roman" w:cs="Times New Roman"/>
          <w:lang w:val="es-MX"/>
        </w:rPr>
        <w:t xml:space="preserve"> </w:t>
      </w:r>
    </w:p>
    <w:p w:rsidR="00C54747" w:rsidRPr="00D411E6" w:rsidRDefault="00C54747" w:rsidP="00C54747">
      <w:pPr>
        <w:pStyle w:val="NoSpacing"/>
        <w:jc w:val="both"/>
        <w:rPr>
          <w:rFonts w:ascii="Times New Roman" w:hAnsi="Times New Roman" w:cs="Times New Roman"/>
          <w:lang w:val="es-MX"/>
        </w:rPr>
      </w:pPr>
      <w:r w:rsidRPr="00D411E6">
        <w:rPr>
          <w:rFonts w:ascii="Times New Roman" w:hAnsi="Times New Roman" w:cs="Times New Roman"/>
          <w:lang w:val="es-MX"/>
        </w:rPr>
        <w:t>La Comisión Europea indicó que la confianza económica en la zona euro volvió a subir en septiembre; este índ</w:t>
      </w:r>
      <w:r w:rsidR="00D411E6" w:rsidRPr="00D411E6">
        <w:rPr>
          <w:rFonts w:ascii="Times New Roman" w:hAnsi="Times New Roman" w:cs="Times New Roman"/>
          <w:lang w:val="es-MX"/>
        </w:rPr>
        <w:t>ice de confianza, llamado ESI (</w:t>
      </w:r>
      <w:r w:rsidRPr="00D411E6">
        <w:rPr>
          <w:rFonts w:ascii="Times New Roman" w:hAnsi="Times New Roman" w:cs="Times New Roman"/>
          <w:lang w:val="es-MX"/>
        </w:rPr>
        <w:t xml:space="preserve">Economic Sentiment Indicator), aumentó 1.1 puntos, hasta alcanzar 113.0 puntos, atribuido principalmente al mejor resultado de los sectores </w:t>
      </w:r>
      <w:r w:rsidRPr="00D411E6">
        <w:rPr>
          <w:rFonts w:ascii="Times New Roman" w:hAnsi="Times New Roman" w:cs="Times New Roman"/>
          <w:lang w:val="es-MX"/>
        </w:rPr>
        <w:lastRenderedPageBreak/>
        <w:t xml:space="preserve">de la industria que aumentó 1.6 puntos, </w:t>
      </w:r>
      <w:r w:rsidR="00B7136E" w:rsidRPr="00D411E6">
        <w:rPr>
          <w:rFonts w:ascii="Times New Roman" w:hAnsi="Times New Roman" w:cs="Times New Roman"/>
          <w:lang w:val="es-MX"/>
        </w:rPr>
        <w:t>de la</w:t>
      </w:r>
      <w:r w:rsidRPr="00D411E6">
        <w:rPr>
          <w:rFonts w:ascii="Times New Roman" w:hAnsi="Times New Roman" w:cs="Times New Roman"/>
          <w:lang w:val="es-MX"/>
        </w:rPr>
        <w:t xml:space="preserve"> construcción </w:t>
      </w:r>
      <w:r w:rsidR="00B7136E" w:rsidRPr="00D411E6">
        <w:rPr>
          <w:rFonts w:ascii="Times New Roman" w:hAnsi="Times New Roman" w:cs="Times New Roman"/>
          <w:lang w:val="es-MX"/>
        </w:rPr>
        <w:t>que</w:t>
      </w:r>
      <w:r w:rsidRPr="00D411E6">
        <w:rPr>
          <w:rFonts w:ascii="Times New Roman" w:hAnsi="Times New Roman" w:cs="Times New Roman"/>
          <w:lang w:val="es-MX"/>
        </w:rPr>
        <w:t xml:space="preserve"> </w:t>
      </w:r>
      <w:r w:rsidR="00B7136E" w:rsidRPr="00D411E6">
        <w:rPr>
          <w:rFonts w:ascii="Times New Roman" w:hAnsi="Times New Roman" w:cs="Times New Roman"/>
          <w:lang w:val="es-MX"/>
        </w:rPr>
        <w:t>aumentó</w:t>
      </w:r>
      <w:r w:rsidRPr="00D411E6">
        <w:rPr>
          <w:rFonts w:ascii="Times New Roman" w:hAnsi="Times New Roman" w:cs="Times New Roman"/>
          <w:lang w:val="es-MX"/>
        </w:rPr>
        <w:t xml:space="preserve"> 1.6 puntos </w:t>
      </w:r>
      <w:r w:rsidR="00B7136E" w:rsidRPr="00D411E6">
        <w:rPr>
          <w:rFonts w:ascii="Times New Roman" w:hAnsi="Times New Roman" w:cs="Times New Roman"/>
          <w:lang w:val="es-MX"/>
        </w:rPr>
        <w:t xml:space="preserve">también </w:t>
      </w:r>
      <w:r w:rsidRPr="00D411E6">
        <w:rPr>
          <w:rFonts w:ascii="Times New Roman" w:hAnsi="Times New Roman" w:cs="Times New Roman"/>
          <w:lang w:val="es-MX"/>
        </w:rPr>
        <w:t>y el comercio minorista con</w:t>
      </w:r>
      <w:r w:rsidR="00B7136E" w:rsidRPr="00D411E6">
        <w:rPr>
          <w:rFonts w:ascii="Times New Roman" w:hAnsi="Times New Roman" w:cs="Times New Roman"/>
          <w:lang w:val="es-MX"/>
        </w:rPr>
        <w:t xml:space="preserve"> un aumento de</w:t>
      </w:r>
      <w:r w:rsidRPr="00D411E6">
        <w:rPr>
          <w:rFonts w:ascii="Times New Roman" w:hAnsi="Times New Roman" w:cs="Times New Roman"/>
          <w:lang w:val="es-MX"/>
        </w:rPr>
        <w:t xml:space="preserve"> 1.4</w:t>
      </w:r>
      <w:r w:rsidR="00B7136E" w:rsidRPr="00D411E6">
        <w:rPr>
          <w:rFonts w:ascii="Times New Roman" w:hAnsi="Times New Roman" w:cs="Times New Roman"/>
          <w:lang w:val="es-MX"/>
        </w:rPr>
        <w:t xml:space="preserve"> puntos</w:t>
      </w:r>
      <w:r w:rsidRPr="00D411E6">
        <w:rPr>
          <w:rFonts w:ascii="Times New Roman" w:hAnsi="Times New Roman" w:cs="Times New Roman"/>
          <w:lang w:val="es-MX"/>
        </w:rPr>
        <w:t>.   Por países, los resultados mostraron aumento en particular en Holanda con 1.9 puntos e Italia con 1.8 puntos; en menor medida aumentó en España con 0.6, Alemania con 0.5 y Francia con 0.4 puntos.</w:t>
      </w:r>
    </w:p>
    <w:p w:rsidR="007B720C" w:rsidRPr="00D411E6" w:rsidRDefault="007B720C" w:rsidP="004A3D32">
      <w:pPr>
        <w:pStyle w:val="NoSpacing"/>
        <w:jc w:val="both"/>
        <w:rPr>
          <w:rFonts w:ascii="Times New Roman" w:hAnsi="Times New Roman" w:cs="Times New Roman"/>
          <w:lang w:val="es-MX"/>
        </w:rPr>
      </w:pPr>
    </w:p>
    <w:p w:rsidR="00216DA8" w:rsidRPr="00D411E6" w:rsidRDefault="00216DA8" w:rsidP="004A3D32">
      <w:pPr>
        <w:pStyle w:val="NoSpacing"/>
        <w:jc w:val="both"/>
        <w:rPr>
          <w:rFonts w:ascii="Times New Roman" w:hAnsi="Times New Roman" w:cs="Times New Roman"/>
          <w:lang w:val="es-MX"/>
        </w:rPr>
      </w:pPr>
      <w:r w:rsidRPr="00D411E6">
        <w:rPr>
          <w:rFonts w:ascii="Times New Roman" w:hAnsi="Times New Roman" w:cs="Times New Roman"/>
          <w:lang w:val="es-MX"/>
        </w:rPr>
        <w:t>La OCDE en su actualización de proyecciones de la economía mundial indicó que desde su perspectiva la economía global continúa fortaleciéndose, con impulsos de corto plazo y un crecimiento sincronizado y que prevé que la mayor contribución vendrá de las economías más grandes refiriéndose a las economías del Grupo de los Siete más China, India, Brasil y Rusia, pues ninguna está en contracción por primera vez desde 2008; la organización estima que el PIB mundial bruto crecerá 3.5% este año y un 3.7% en 2018, frente al 3.1% mostrado en 2016.</w:t>
      </w:r>
    </w:p>
    <w:p w:rsidR="007703A2" w:rsidRPr="00D411E6" w:rsidRDefault="007703A2" w:rsidP="004A3D32">
      <w:pPr>
        <w:pStyle w:val="NoSpacing"/>
        <w:jc w:val="both"/>
        <w:rPr>
          <w:rFonts w:ascii="Times New Roman" w:hAnsi="Times New Roman" w:cs="Times New Roman"/>
          <w:lang w:val="es-MX"/>
        </w:rPr>
      </w:pPr>
    </w:p>
    <w:p w:rsidR="00216DA8" w:rsidRPr="00D411E6" w:rsidRDefault="00216DA8" w:rsidP="00216DA8">
      <w:pPr>
        <w:pStyle w:val="NoSpacing"/>
        <w:jc w:val="both"/>
        <w:rPr>
          <w:rFonts w:ascii="Times New Roman" w:hAnsi="Times New Roman" w:cs="Times New Roman"/>
          <w:lang w:val="es-MX"/>
        </w:rPr>
      </w:pPr>
      <w:r w:rsidRPr="00D411E6">
        <w:rPr>
          <w:rFonts w:ascii="Times New Roman" w:hAnsi="Times New Roman" w:cs="Times New Roman"/>
          <w:lang w:val="es-MX"/>
        </w:rPr>
        <w:lastRenderedPageBreak/>
        <w:t xml:space="preserve">En el ámbito interno, la Junta Monetaria decidió mantener en 3.0% la tasa de interés líder de política monetaria, en base a que las previsiones económicas mundiales continúan reflejando mejores expectativas, tanto para 2017 como para 2018, aunque prevalecen elevados niveles de incertidumbre y riesgos a la baja. </w:t>
      </w:r>
    </w:p>
    <w:p w:rsidR="00C922D7" w:rsidRPr="00D411E6" w:rsidRDefault="00C922D7" w:rsidP="00C922D7">
      <w:pPr>
        <w:spacing w:after="0"/>
        <w:jc w:val="both"/>
        <w:rPr>
          <w:rFonts w:ascii="Times New Roman" w:hAnsi="Times New Roman" w:cs="Times New Roman"/>
          <w:sz w:val="12"/>
          <w:lang w:val="es-MX"/>
        </w:rPr>
      </w:pPr>
    </w:p>
    <w:p w:rsidR="00416D41" w:rsidRPr="00D411E6" w:rsidRDefault="003E28F4" w:rsidP="00986297">
      <w:pPr>
        <w:pStyle w:val="NoSpacing"/>
        <w:jc w:val="both"/>
        <w:rPr>
          <w:rFonts w:ascii="Times New Roman" w:hAnsi="Times New Roman" w:cs="Times New Roman"/>
          <w:lang w:val="es-MX"/>
        </w:rPr>
      </w:pPr>
      <w:r w:rsidRPr="00D411E6">
        <w:rPr>
          <w:rFonts w:ascii="Times New Roman" w:hAnsi="Times New Roman" w:cs="Times New Roman"/>
          <w:lang w:val="es-MX"/>
        </w:rPr>
        <w:t xml:space="preserve">El comportamiento del nivel general de precios de la economía en </w:t>
      </w:r>
      <w:r w:rsidR="00582F9F" w:rsidRPr="00D411E6">
        <w:rPr>
          <w:rFonts w:ascii="Times New Roman" w:hAnsi="Times New Roman" w:cs="Times New Roman"/>
          <w:lang w:val="es-MX"/>
        </w:rPr>
        <w:t>septiembre</w:t>
      </w:r>
      <w:r w:rsidRPr="00D411E6">
        <w:rPr>
          <w:rFonts w:ascii="Times New Roman" w:hAnsi="Times New Roman" w:cs="Times New Roman"/>
          <w:lang w:val="es-MX"/>
        </w:rPr>
        <w:t xml:space="preserve"> registró una</w:t>
      </w:r>
      <w:r w:rsidR="00582F9F" w:rsidRPr="00D411E6">
        <w:rPr>
          <w:rFonts w:ascii="Times New Roman" w:hAnsi="Times New Roman" w:cs="Times New Roman"/>
          <w:lang w:val="es-MX"/>
        </w:rPr>
        <w:t xml:space="preserve"> variación intermensual de -0.55% e interanual de 4.36</w:t>
      </w:r>
      <w:r w:rsidRPr="00D411E6">
        <w:rPr>
          <w:rFonts w:ascii="Times New Roman" w:hAnsi="Times New Roman" w:cs="Times New Roman"/>
          <w:lang w:val="es-MX"/>
        </w:rPr>
        <w:t>%, según la m</w:t>
      </w:r>
      <w:r w:rsidR="00076AB4" w:rsidRPr="00D411E6">
        <w:rPr>
          <w:rFonts w:ascii="Times New Roman" w:hAnsi="Times New Roman" w:cs="Times New Roman"/>
          <w:lang w:val="es-MX"/>
        </w:rPr>
        <w:t>ás reciente publicación del INE.</w:t>
      </w:r>
      <w:r w:rsidRPr="00D411E6">
        <w:rPr>
          <w:rFonts w:ascii="Times New Roman" w:hAnsi="Times New Roman" w:cs="Times New Roman"/>
          <w:lang w:val="es-MX"/>
        </w:rPr>
        <w:t xml:space="preserve"> </w:t>
      </w:r>
      <w:r w:rsidR="00B96036" w:rsidRPr="00D411E6">
        <w:rPr>
          <w:rFonts w:ascii="Times New Roman" w:hAnsi="Times New Roman" w:cs="Times New Roman"/>
          <w:lang w:val="es-MX"/>
        </w:rPr>
        <w:t>Así</w:t>
      </w:r>
      <w:r w:rsidR="008D5E9E" w:rsidRPr="00D411E6">
        <w:rPr>
          <w:rFonts w:ascii="Times New Roman" w:hAnsi="Times New Roman" w:cs="Times New Roman"/>
          <w:lang w:val="es-MX"/>
        </w:rPr>
        <w:t xml:space="preserve"> mismo, el instituto indicó que e</w:t>
      </w:r>
      <w:r w:rsidR="005755E9" w:rsidRPr="00D411E6">
        <w:rPr>
          <w:rFonts w:ascii="Times New Roman" w:hAnsi="Times New Roman" w:cs="Times New Roman"/>
        </w:rPr>
        <w:t xml:space="preserve">l costo de adquisición de la Canasta Básica Alimentaria </w:t>
      </w:r>
      <w:r w:rsidR="00762FE3" w:rsidRPr="00D411E6">
        <w:rPr>
          <w:rFonts w:ascii="Times New Roman" w:hAnsi="Times New Roman" w:cs="Times New Roman"/>
        </w:rPr>
        <w:t xml:space="preserve">bajo </w:t>
      </w:r>
      <w:r w:rsidR="005755E9" w:rsidRPr="00D411E6">
        <w:rPr>
          <w:rFonts w:ascii="Times New Roman" w:hAnsi="Times New Roman" w:cs="Times New Roman"/>
        </w:rPr>
        <w:t xml:space="preserve">Q </w:t>
      </w:r>
      <w:r w:rsidR="00076AB4" w:rsidRPr="00D411E6">
        <w:rPr>
          <w:rFonts w:ascii="Times New Roman" w:hAnsi="Times New Roman" w:cs="Times New Roman"/>
        </w:rPr>
        <w:t>100.53</w:t>
      </w:r>
      <w:r w:rsidR="005755E9" w:rsidRPr="00D411E6">
        <w:rPr>
          <w:rFonts w:ascii="Times New Roman" w:hAnsi="Times New Roman" w:cs="Times New Roman"/>
        </w:rPr>
        <w:t xml:space="preserve"> con relació</w:t>
      </w:r>
      <w:r w:rsidR="00762FE3" w:rsidRPr="00D411E6">
        <w:rPr>
          <w:rFonts w:ascii="Times New Roman" w:hAnsi="Times New Roman" w:cs="Times New Roman"/>
        </w:rPr>
        <w:t>n al registrado el mes anterior</w:t>
      </w:r>
      <w:r w:rsidR="005755E9" w:rsidRPr="00D411E6">
        <w:rPr>
          <w:rFonts w:ascii="Times New Roman" w:hAnsi="Times New Roman" w:cs="Times New Roman"/>
        </w:rPr>
        <w:t xml:space="preserve"> y respecto a </w:t>
      </w:r>
      <w:r w:rsidR="00076AB4" w:rsidRPr="00D411E6">
        <w:rPr>
          <w:rFonts w:ascii="Times New Roman" w:hAnsi="Times New Roman" w:cs="Times New Roman"/>
        </w:rPr>
        <w:t>septiembre</w:t>
      </w:r>
      <w:r w:rsidR="005755E9" w:rsidRPr="00D411E6">
        <w:rPr>
          <w:rFonts w:ascii="Times New Roman" w:hAnsi="Times New Roman" w:cs="Times New Roman"/>
        </w:rPr>
        <w:t xml:space="preserve"> del año anterior se incrementó Q </w:t>
      </w:r>
      <w:r w:rsidR="00076AB4" w:rsidRPr="00D411E6">
        <w:rPr>
          <w:rFonts w:ascii="Times New Roman" w:hAnsi="Times New Roman" w:cs="Times New Roman"/>
        </w:rPr>
        <w:t>385.13</w:t>
      </w:r>
      <w:r w:rsidR="008D5E9E" w:rsidRPr="00D411E6">
        <w:rPr>
          <w:rFonts w:ascii="Times New Roman" w:hAnsi="Times New Roman" w:cs="Times New Roman"/>
        </w:rPr>
        <w:t>; y e</w:t>
      </w:r>
      <w:r w:rsidR="005755E9" w:rsidRPr="00D411E6">
        <w:rPr>
          <w:rFonts w:ascii="Times New Roman" w:hAnsi="Times New Roman" w:cs="Times New Roman"/>
        </w:rPr>
        <w:t xml:space="preserve">l costo de adquisición de la Canasta Básica Vital también </w:t>
      </w:r>
      <w:r w:rsidR="00762FE3" w:rsidRPr="00D411E6">
        <w:rPr>
          <w:rFonts w:ascii="Times New Roman" w:hAnsi="Times New Roman" w:cs="Times New Roman"/>
        </w:rPr>
        <w:t>disminuyo</w:t>
      </w:r>
      <w:r w:rsidR="005755E9" w:rsidRPr="00D411E6">
        <w:rPr>
          <w:rFonts w:ascii="Times New Roman" w:hAnsi="Times New Roman" w:cs="Times New Roman"/>
        </w:rPr>
        <w:t xml:space="preserve"> </w:t>
      </w:r>
      <w:r w:rsidR="00B96036" w:rsidRPr="00D411E6">
        <w:rPr>
          <w:rFonts w:ascii="Times New Roman" w:hAnsi="Times New Roman" w:cs="Times New Roman"/>
        </w:rPr>
        <w:t xml:space="preserve">      </w:t>
      </w:r>
      <w:r w:rsidR="00762FE3" w:rsidRPr="00D411E6">
        <w:rPr>
          <w:rFonts w:ascii="Times New Roman" w:hAnsi="Times New Roman" w:cs="Times New Roman"/>
        </w:rPr>
        <w:t xml:space="preserve">Q </w:t>
      </w:r>
      <w:r w:rsidR="00076AB4" w:rsidRPr="00D411E6">
        <w:rPr>
          <w:rFonts w:ascii="Times New Roman" w:hAnsi="Times New Roman" w:cs="Times New Roman"/>
        </w:rPr>
        <w:t>183.45</w:t>
      </w:r>
      <w:r w:rsidR="005755E9" w:rsidRPr="00D411E6">
        <w:rPr>
          <w:rFonts w:ascii="Times New Roman" w:hAnsi="Times New Roman" w:cs="Times New Roman"/>
        </w:rPr>
        <w:t xml:space="preserve"> con relación al registrado en el mes anterior y respecto a </w:t>
      </w:r>
      <w:r w:rsidR="00076AB4" w:rsidRPr="00D411E6">
        <w:rPr>
          <w:rFonts w:ascii="Times New Roman" w:hAnsi="Times New Roman" w:cs="Times New Roman"/>
        </w:rPr>
        <w:t>septiembre</w:t>
      </w:r>
      <w:r w:rsidR="00762FE3" w:rsidRPr="00D411E6">
        <w:rPr>
          <w:rFonts w:ascii="Times New Roman" w:hAnsi="Times New Roman" w:cs="Times New Roman"/>
        </w:rPr>
        <w:t xml:space="preserve"> 2016 se incrementó en </w:t>
      </w:r>
      <w:r w:rsidR="00076AB4" w:rsidRPr="00D411E6">
        <w:rPr>
          <w:rFonts w:ascii="Times New Roman" w:hAnsi="Times New Roman" w:cs="Times New Roman"/>
        </w:rPr>
        <w:t>Q 702.79</w:t>
      </w:r>
      <w:r w:rsidR="005755E9" w:rsidRPr="00D411E6">
        <w:rPr>
          <w:rFonts w:ascii="Times New Roman" w:hAnsi="Times New Roman" w:cs="Times New Roman"/>
        </w:rPr>
        <w:t xml:space="preserve">.  </w:t>
      </w:r>
    </w:p>
    <w:p w:rsidR="00B96036" w:rsidRPr="00D411E6" w:rsidRDefault="00B96036" w:rsidP="00986297">
      <w:pPr>
        <w:pStyle w:val="NoSpacing"/>
        <w:jc w:val="both"/>
        <w:rPr>
          <w:rFonts w:ascii="Times New Roman" w:hAnsi="Times New Roman" w:cs="Times New Roman"/>
          <w:lang w:val="es-MX"/>
        </w:rPr>
      </w:pPr>
    </w:p>
    <w:p w:rsidR="00AD5816" w:rsidRPr="001675A0" w:rsidRDefault="00AD5816" w:rsidP="00AD5816">
      <w:pPr>
        <w:spacing w:after="0" w:line="240" w:lineRule="auto"/>
        <w:rPr>
          <w:rFonts w:ascii="Times New Roman" w:hAnsi="Times New Roman" w:cs="Times New Roman"/>
          <w:noProof/>
          <w:color w:val="FF0000"/>
          <w:sz w:val="16"/>
          <w:lang w:eastAsia="es-GT"/>
        </w:rPr>
        <w:sectPr w:rsidR="00AD5816" w:rsidRPr="001675A0" w:rsidSect="00AD5816">
          <w:headerReference w:type="default" r:id="rId32"/>
          <w:footerReference w:type="default" r:id="rId33"/>
          <w:type w:val="continuous"/>
          <w:pgSz w:w="12240" w:h="15840" w:code="1"/>
          <w:pgMar w:top="1418" w:right="1418" w:bottom="1418" w:left="1418" w:header="709" w:footer="709" w:gutter="0"/>
          <w:cols w:num="2" w:space="708"/>
          <w:docGrid w:linePitch="360"/>
        </w:sect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AD5816" w:rsidRPr="001675A0" w:rsidRDefault="00AD5816" w:rsidP="00AD5816">
      <w:pPr>
        <w:spacing w:after="0" w:line="240" w:lineRule="auto"/>
        <w:rPr>
          <w:rFonts w:ascii="Times New Roman" w:hAnsi="Times New Roman" w:cs="Times New Roman"/>
          <w:noProof/>
          <w:color w:val="FF0000"/>
          <w:sz w:val="16"/>
          <w:lang w:eastAsia="es-GT"/>
        </w:rPr>
      </w:pPr>
    </w:p>
    <w:p w:rsidR="007703A2" w:rsidRPr="001675A0" w:rsidRDefault="007703A2" w:rsidP="00986297">
      <w:pPr>
        <w:pStyle w:val="NoSpacing"/>
        <w:jc w:val="both"/>
        <w:rPr>
          <w:rFonts w:ascii="Times New Roman" w:hAnsi="Times New Roman" w:cs="Times New Roman"/>
          <w:color w:val="FF0000"/>
        </w:rPr>
      </w:pPr>
    </w:p>
    <w:sectPr w:rsidR="007703A2" w:rsidRPr="001675A0" w:rsidSect="00986297">
      <w:headerReference w:type="default" r:id="rId34"/>
      <w:footerReference w:type="default" r:id="rId35"/>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4B3" w:rsidRDefault="00B624B3" w:rsidP="007D4651">
      <w:pPr>
        <w:spacing w:after="0" w:line="240" w:lineRule="auto"/>
      </w:pPr>
      <w:r>
        <w:separator/>
      </w:r>
    </w:p>
  </w:endnote>
  <w:endnote w:type="continuationSeparator" w:id="0">
    <w:p w:rsidR="00B624B3" w:rsidRDefault="00B624B3"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9789790"/>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5E9D8AFA" wp14:editId="5CE96EFD">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376B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9405431"/>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516CE158" wp14:editId="590DBF9D">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CCD15"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C41FF2" w:rsidRPr="00C41FF2">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40502408"/>
      <w:docPartObj>
        <w:docPartGallery w:val="Page Numbers (Bottom of Page)"/>
        <w:docPartUnique/>
      </w:docPartObj>
    </w:sdtPr>
    <w:sdtEndPr/>
    <w:sdtContent>
      <w:p w:rsidR="00EB1910" w:rsidRDefault="00EB1910">
        <w:pPr>
          <w:pStyle w:val="Footer"/>
          <w:jc w:val="right"/>
          <w:rPr>
            <w:lang w:val="es-ES"/>
          </w:rPr>
        </w:pPr>
      </w:p>
      <w:p w:rsidR="00EB1910" w:rsidRDefault="00EB1910"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64BF3962" wp14:editId="17094DBB">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10AC3"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Footer"/>
      <w:tabs>
        <w:tab w:val="clear" w:pos="4419"/>
        <w:tab w:val="clear" w:pos="8838"/>
        <w:tab w:val="left" w:pos="5777"/>
      </w:tabs>
    </w:pPr>
  </w:p>
  <w:p w:rsidR="00EB1910" w:rsidRDefault="00EB191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03057022"/>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4E111088" wp14:editId="7FB410C9">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52E76"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C0B7A" w:rsidRPr="005C0B7A">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16204223"/>
      <w:docPartObj>
        <w:docPartGallery w:val="Page Numbers (Bottom of Page)"/>
        <w:docPartUnique/>
      </w:docPartObj>
    </w:sdtPr>
    <w:sdtEndPr/>
    <w:sdtContent>
      <w:p w:rsidR="00216605" w:rsidRDefault="00216605">
        <w:pPr>
          <w:pStyle w:val="Footer"/>
          <w:jc w:val="right"/>
          <w:rPr>
            <w:lang w:val="es-ES"/>
          </w:rPr>
        </w:pPr>
      </w:p>
      <w:p w:rsidR="00216605" w:rsidRDefault="00216605"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60ADF967" wp14:editId="0D45DCD5">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5086B"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Footer"/>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17805897"/>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547C31EF" wp14:editId="3B947BB6">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63166"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50588095"/>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52CDB256" wp14:editId="383F6030">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D53A2"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3603254"/>
      <w:docPartObj>
        <w:docPartGallery w:val="Page Numbers (Bottom of Page)"/>
        <w:docPartUnique/>
      </w:docPartObj>
    </w:sdtPr>
    <w:sdtEndPr/>
    <w:sdtContent>
      <w:p w:rsidR="00AD5816" w:rsidRDefault="00AD5816">
        <w:pPr>
          <w:pStyle w:val="Footer"/>
          <w:jc w:val="right"/>
          <w:rPr>
            <w:lang w:val="es-ES"/>
          </w:rPr>
        </w:pPr>
      </w:p>
      <w:p w:rsidR="00AD5816" w:rsidRDefault="00AD5816" w:rsidP="00AF4290">
        <w:pPr>
          <w:pStyle w:val="Footer"/>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4B95F471" wp14:editId="52CF6253">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04EA3C"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C080E" w:rsidRPr="006C080E">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Footer"/>
      <w:tabs>
        <w:tab w:val="clear" w:pos="4419"/>
        <w:tab w:val="clear" w:pos="8838"/>
        <w:tab w:val="left" w:pos="5777"/>
      </w:tabs>
    </w:pPr>
  </w:p>
  <w:p w:rsidR="00AD5816" w:rsidRDefault="00AD581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87236705"/>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1A67760D" wp14:editId="0E289044">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F196B"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43892" w:rsidRPr="00B43892">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4B3" w:rsidRDefault="00B624B3" w:rsidP="007D4651">
      <w:pPr>
        <w:spacing w:after="0" w:line="240" w:lineRule="auto"/>
      </w:pPr>
      <w:r>
        <w:separator/>
      </w:r>
    </w:p>
  </w:footnote>
  <w:footnote w:type="continuationSeparator" w:id="0">
    <w:p w:rsidR="00B624B3" w:rsidRDefault="00B624B3"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6608" behindDoc="1" locked="0" layoutInCell="1" allowOverlap="1" wp14:anchorId="3830E228" wp14:editId="4660EACD">
          <wp:simplePos x="0" y="0"/>
          <wp:positionH relativeFrom="column">
            <wp:posOffset>-86360</wp:posOffset>
          </wp:positionH>
          <wp:positionV relativeFrom="paragraph">
            <wp:posOffset>-165718</wp:posOffset>
          </wp:positionV>
          <wp:extent cx="1697990" cy="914400"/>
          <wp:effectExtent l="0" t="0" r="0" b="0"/>
          <wp:wrapNone/>
          <wp:docPr id="14" name="Imagen 1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F23065"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AF68D3">
      <w:rPr>
        <w:rFonts w:ascii="Times New Roman" w:hAnsi="Times New Roman" w:cs="Times New Roman"/>
        <w:color w:val="1F497D" w:themeColor="text2"/>
        <w:lang w:val="es-MX"/>
      </w:rPr>
      <w:t xml:space="preserve"> 2017</w:t>
    </w:r>
  </w:p>
  <w:p w:rsidR="00AF68D3" w:rsidRDefault="00AF4290"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0F1CA540" wp14:editId="58FC3581">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70B63"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9F164F" w:rsidRDefault="00AF68D3" w:rsidP="00E16925">
    <w:pPr>
      <w:pStyle w:val="Header"/>
      <w:rPr>
        <w:rFonts w:ascii="Times New Roman" w:hAnsi="Times New Roman" w:cs="Times New Roman"/>
        <w:b/>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0253B568" wp14:editId="606313EC">
          <wp:simplePos x="0" y="0"/>
          <wp:positionH relativeFrom="column">
            <wp:posOffset>-434119</wp:posOffset>
          </wp:positionH>
          <wp:positionV relativeFrom="paragraph">
            <wp:posOffset>-5080</wp:posOffset>
          </wp:positionV>
          <wp:extent cx="1365775" cy="735496"/>
          <wp:effectExtent l="0" t="0" r="6350" b="7620"/>
          <wp:wrapNone/>
          <wp:docPr id="13" name="Imagen 1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C2768"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AF68D3">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540026F8" wp14:editId="24E3C798">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6DE2C8"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7392" behindDoc="1" locked="0" layoutInCell="1" allowOverlap="1" wp14:anchorId="7F7CD148" wp14:editId="7275C2E5">
          <wp:simplePos x="0" y="0"/>
          <wp:positionH relativeFrom="column">
            <wp:posOffset>-89849</wp:posOffset>
          </wp:positionH>
          <wp:positionV relativeFrom="paragraph">
            <wp:posOffset>-163027</wp:posOffset>
          </wp:positionV>
          <wp:extent cx="1697990" cy="914400"/>
          <wp:effectExtent l="0" t="0" r="0" b="0"/>
          <wp:wrapNone/>
          <wp:docPr id="33" name="Imagen 3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B1910" w:rsidRPr="007D4651" w:rsidRDefault="00F23065"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B1910">
      <w:rPr>
        <w:rFonts w:ascii="Times New Roman" w:hAnsi="Times New Roman" w:cs="Times New Roman"/>
        <w:color w:val="1F497D" w:themeColor="text2"/>
        <w:lang w:val="es-MX"/>
      </w:rPr>
      <w:t xml:space="preserve"> 2017</w:t>
    </w:r>
  </w:p>
  <w:p w:rsidR="00EB1910" w:rsidRDefault="00EB1910"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2AC2C241" wp14:editId="0CA30338">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E2BB6"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B1910" w:rsidRPr="00E16925" w:rsidRDefault="00EB1910" w:rsidP="00E16925">
    <w:pPr>
      <w:pStyle w:val="Header"/>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5AF7AC57" wp14:editId="6A9B624A">
          <wp:simplePos x="0" y="0"/>
          <wp:positionH relativeFrom="column">
            <wp:posOffset>-58403</wp:posOffset>
          </wp:positionH>
          <wp:positionV relativeFrom="paragraph">
            <wp:posOffset>-162560</wp:posOffset>
          </wp:positionV>
          <wp:extent cx="1697990" cy="914400"/>
          <wp:effectExtent l="0" t="0" r="0" b="0"/>
          <wp:wrapNone/>
          <wp:docPr id="53"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B96036"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AF68D3">
      <w:rPr>
        <w:rFonts w:ascii="Times New Roman" w:hAnsi="Times New Roman" w:cs="Times New Roman"/>
        <w:color w:val="1F497D" w:themeColor="text2"/>
        <w:lang w:val="es-MX"/>
      </w:rPr>
      <w:t xml:space="preserve"> 2017</w:t>
    </w:r>
  </w:p>
  <w:p w:rsidR="00AF68D3" w:rsidRDefault="00AF4290"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6616A52B" wp14:editId="0DCB5F3B">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0308F"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216605" w:rsidP="007D4651">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7872" behindDoc="1" locked="0" layoutInCell="1" allowOverlap="1" wp14:anchorId="39F4F7FD" wp14:editId="05DA8040">
          <wp:simplePos x="0" y="0"/>
          <wp:positionH relativeFrom="column">
            <wp:posOffset>-89849</wp:posOffset>
          </wp:positionH>
          <wp:positionV relativeFrom="paragraph">
            <wp:posOffset>-163027</wp:posOffset>
          </wp:positionV>
          <wp:extent cx="1697990" cy="914400"/>
          <wp:effectExtent l="0" t="0" r="0" b="0"/>
          <wp:wrapNone/>
          <wp:docPr id="62"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216605" w:rsidRPr="007D4651" w:rsidRDefault="00216605"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2017</w:t>
    </w:r>
  </w:p>
  <w:p w:rsidR="00216605" w:rsidRDefault="00216605"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2A76DAD6" wp14:editId="2CB61770">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6938B"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Header"/>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4C3586E2" wp14:editId="3C846C16">
          <wp:simplePos x="0" y="0"/>
          <wp:positionH relativeFrom="column">
            <wp:posOffset>-89849</wp:posOffset>
          </wp:positionH>
          <wp:positionV relativeFrom="paragraph">
            <wp:posOffset>-163027</wp:posOffset>
          </wp:positionV>
          <wp:extent cx="1697990" cy="914400"/>
          <wp:effectExtent l="0" t="0" r="0" b="0"/>
          <wp:wrapNone/>
          <wp:docPr id="64"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F23065"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AF68D3">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3F33559E" wp14:editId="2F686F22">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877FD9"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4A5ABF72" wp14:editId="166F5973">
          <wp:simplePos x="0" y="0"/>
          <wp:positionH relativeFrom="column">
            <wp:posOffset>-93997</wp:posOffset>
          </wp:positionH>
          <wp:positionV relativeFrom="paragraph">
            <wp:posOffset>-177800</wp:posOffset>
          </wp:positionV>
          <wp:extent cx="1697990" cy="914400"/>
          <wp:effectExtent l="0" t="0" r="0" b="0"/>
          <wp:wrapNone/>
          <wp:docPr id="27"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F23065"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AF68D3">
      <w:rPr>
        <w:rFonts w:ascii="Times New Roman" w:hAnsi="Times New Roman" w:cs="Times New Roman"/>
        <w:color w:val="1F497D" w:themeColor="text2"/>
        <w:lang w:val="es-MX"/>
      </w:rPr>
      <w:t xml:space="preserve"> 2017</w:t>
    </w:r>
  </w:p>
  <w:p w:rsidR="00AF68D3" w:rsidRPr="004A73AA" w:rsidRDefault="00AF4290" w:rsidP="007D4651">
    <w:pPr>
      <w:pStyle w:val="Header"/>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48C74CDF" wp14:editId="20DCD46A">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D18F7D"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Header"/>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Header"/>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AD5816" w:rsidP="007D4651">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3776" behindDoc="1" locked="0" layoutInCell="1" allowOverlap="1" wp14:anchorId="62522058" wp14:editId="03AFA9BD">
          <wp:simplePos x="0" y="0"/>
          <wp:positionH relativeFrom="column">
            <wp:posOffset>-89849</wp:posOffset>
          </wp:positionH>
          <wp:positionV relativeFrom="paragraph">
            <wp:posOffset>-163027</wp:posOffset>
          </wp:positionV>
          <wp:extent cx="1697990" cy="914400"/>
          <wp:effectExtent l="0" t="0" r="0" b="0"/>
          <wp:wrapNone/>
          <wp:docPr id="25" name="Imagen 25"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D5816" w:rsidRPr="007D4651" w:rsidRDefault="008D5E9E"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AD5816">
      <w:rPr>
        <w:rFonts w:ascii="Times New Roman" w:hAnsi="Times New Roman" w:cs="Times New Roman"/>
        <w:color w:val="1F497D" w:themeColor="text2"/>
        <w:lang w:val="es-MX"/>
      </w:rPr>
      <w:t xml:space="preserve"> 2017</w:t>
    </w:r>
  </w:p>
  <w:p w:rsidR="00AD5816" w:rsidRDefault="00AD5816"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050F5C01" wp14:editId="39494983">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15217"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Header"/>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Header"/>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Header"/>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342B07A8" wp14:editId="71D18A4D">
          <wp:simplePos x="0" y="0"/>
          <wp:positionH relativeFrom="column">
            <wp:posOffset>-89849</wp:posOffset>
          </wp:positionH>
          <wp:positionV relativeFrom="paragraph">
            <wp:posOffset>-163027</wp:posOffset>
          </wp:positionV>
          <wp:extent cx="1697990" cy="914400"/>
          <wp:effectExtent l="0" t="0" r="0" b="0"/>
          <wp:wrapNone/>
          <wp:docPr id="47" name="Imagen 4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F23065"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8F4BCE">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5B05AF1B" wp14:editId="041B7ECC">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B3EFB"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8"/>
  </w:num>
  <w:num w:numId="6">
    <w:abstractNumId w:val="10"/>
  </w:num>
  <w:num w:numId="7">
    <w:abstractNumId w:val="9"/>
  </w:num>
  <w:num w:numId="8">
    <w:abstractNumId w:val="1"/>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6489"/>
    <w:rsid w:val="000064C3"/>
    <w:rsid w:val="00013C63"/>
    <w:rsid w:val="00022E98"/>
    <w:rsid w:val="000378CF"/>
    <w:rsid w:val="00053517"/>
    <w:rsid w:val="000723B2"/>
    <w:rsid w:val="00072EEB"/>
    <w:rsid w:val="00076AB4"/>
    <w:rsid w:val="00076AD2"/>
    <w:rsid w:val="0008348D"/>
    <w:rsid w:val="00087ADE"/>
    <w:rsid w:val="000A0A4F"/>
    <w:rsid w:val="000A510C"/>
    <w:rsid w:val="000C1547"/>
    <w:rsid w:val="000D016D"/>
    <w:rsid w:val="000D2FA4"/>
    <w:rsid w:val="000D489E"/>
    <w:rsid w:val="00102939"/>
    <w:rsid w:val="00111B77"/>
    <w:rsid w:val="001178B6"/>
    <w:rsid w:val="001259BA"/>
    <w:rsid w:val="00133DBA"/>
    <w:rsid w:val="00136D08"/>
    <w:rsid w:val="00152798"/>
    <w:rsid w:val="00157402"/>
    <w:rsid w:val="00160EAC"/>
    <w:rsid w:val="001675A0"/>
    <w:rsid w:val="00171909"/>
    <w:rsid w:val="001735EE"/>
    <w:rsid w:val="00185253"/>
    <w:rsid w:val="001913A4"/>
    <w:rsid w:val="00196A44"/>
    <w:rsid w:val="001A3185"/>
    <w:rsid w:val="001C2FF5"/>
    <w:rsid w:val="001C3649"/>
    <w:rsid w:val="001D46C3"/>
    <w:rsid w:val="001D5A5B"/>
    <w:rsid w:val="001E0E10"/>
    <w:rsid w:val="001E0F86"/>
    <w:rsid w:val="001F4F78"/>
    <w:rsid w:val="001F5240"/>
    <w:rsid w:val="001F7141"/>
    <w:rsid w:val="00200FB1"/>
    <w:rsid w:val="00202594"/>
    <w:rsid w:val="002101C9"/>
    <w:rsid w:val="00213C92"/>
    <w:rsid w:val="00216605"/>
    <w:rsid w:val="00216DA8"/>
    <w:rsid w:val="002335EE"/>
    <w:rsid w:val="0023642A"/>
    <w:rsid w:val="00240D86"/>
    <w:rsid w:val="00242202"/>
    <w:rsid w:val="00244AAA"/>
    <w:rsid w:val="002512EC"/>
    <w:rsid w:val="00262E76"/>
    <w:rsid w:val="00264C3A"/>
    <w:rsid w:val="002672D5"/>
    <w:rsid w:val="00270CAB"/>
    <w:rsid w:val="00276250"/>
    <w:rsid w:val="00276A28"/>
    <w:rsid w:val="00281439"/>
    <w:rsid w:val="00281FB7"/>
    <w:rsid w:val="0029321A"/>
    <w:rsid w:val="00296D57"/>
    <w:rsid w:val="002B7644"/>
    <w:rsid w:val="002C482A"/>
    <w:rsid w:val="002C68B8"/>
    <w:rsid w:val="002D54E6"/>
    <w:rsid w:val="002E3F4C"/>
    <w:rsid w:val="002F2A42"/>
    <w:rsid w:val="00302D40"/>
    <w:rsid w:val="0032198D"/>
    <w:rsid w:val="00322ECC"/>
    <w:rsid w:val="00334324"/>
    <w:rsid w:val="00343A5D"/>
    <w:rsid w:val="00345216"/>
    <w:rsid w:val="0034700C"/>
    <w:rsid w:val="0035279B"/>
    <w:rsid w:val="003531E5"/>
    <w:rsid w:val="003551C3"/>
    <w:rsid w:val="00364DD6"/>
    <w:rsid w:val="00367E12"/>
    <w:rsid w:val="00374D44"/>
    <w:rsid w:val="00376802"/>
    <w:rsid w:val="00376FE9"/>
    <w:rsid w:val="0038008D"/>
    <w:rsid w:val="00381A4F"/>
    <w:rsid w:val="00385BA8"/>
    <w:rsid w:val="00393E59"/>
    <w:rsid w:val="0039499F"/>
    <w:rsid w:val="003968DB"/>
    <w:rsid w:val="003A3726"/>
    <w:rsid w:val="003B13B4"/>
    <w:rsid w:val="003B1A93"/>
    <w:rsid w:val="003C3922"/>
    <w:rsid w:val="003C7085"/>
    <w:rsid w:val="003D05CE"/>
    <w:rsid w:val="003D38A7"/>
    <w:rsid w:val="003D60E4"/>
    <w:rsid w:val="003E28F4"/>
    <w:rsid w:val="003E591D"/>
    <w:rsid w:val="003F0660"/>
    <w:rsid w:val="003F4609"/>
    <w:rsid w:val="0040361C"/>
    <w:rsid w:val="00413FBE"/>
    <w:rsid w:val="00416D41"/>
    <w:rsid w:val="0042387A"/>
    <w:rsid w:val="00443336"/>
    <w:rsid w:val="00443621"/>
    <w:rsid w:val="00447F4F"/>
    <w:rsid w:val="00450531"/>
    <w:rsid w:val="00452A5A"/>
    <w:rsid w:val="004575BA"/>
    <w:rsid w:val="004606FD"/>
    <w:rsid w:val="00464DB9"/>
    <w:rsid w:val="004650C5"/>
    <w:rsid w:val="00474EC2"/>
    <w:rsid w:val="00483632"/>
    <w:rsid w:val="0048385B"/>
    <w:rsid w:val="00494BC6"/>
    <w:rsid w:val="00494D1D"/>
    <w:rsid w:val="00495F43"/>
    <w:rsid w:val="004A3D32"/>
    <w:rsid w:val="004A6705"/>
    <w:rsid w:val="004A73AA"/>
    <w:rsid w:val="004B336D"/>
    <w:rsid w:val="004B4B9F"/>
    <w:rsid w:val="004B5B0F"/>
    <w:rsid w:val="004C208F"/>
    <w:rsid w:val="004C3B4E"/>
    <w:rsid w:val="004D1F76"/>
    <w:rsid w:val="004D7482"/>
    <w:rsid w:val="004E358C"/>
    <w:rsid w:val="004E4FDE"/>
    <w:rsid w:val="004F4F4D"/>
    <w:rsid w:val="004F72F9"/>
    <w:rsid w:val="005004C9"/>
    <w:rsid w:val="005016F6"/>
    <w:rsid w:val="005077A5"/>
    <w:rsid w:val="005364DE"/>
    <w:rsid w:val="005428C6"/>
    <w:rsid w:val="00544E9A"/>
    <w:rsid w:val="00546650"/>
    <w:rsid w:val="00573AB0"/>
    <w:rsid w:val="005755E9"/>
    <w:rsid w:val="00582F9F"/>
    <w:rsid w:val="005879A5"/>
    <w:rsid w:val="0059421A"/>
    <w:rsid w:val="005948F0"/>
    <w:rsid w:val="005979EB"/>
    <w:rsid w:val="005A03A9"/>
    <w:rsid w:val="005A1EFC"/>
    <w:rsid w:val="005A6ACE"/>
    <w:rsid w:val="005B0E84"/>
    <w:rsid w:val="005B1B53"/>
    <w:rsid w:val="005B6D05"/>
    <w:rsid w:val="005C0B7A"/>
    <w:rsid w:val="005D2336"/>
    <w:rsid w:val="005E7E89"/>
    <w:rsid w:val="0060094A"/>
    <w:rsid w:val="00603743"/>
    <w:rsid w:val="00606D70"/>
    <w:rsid w:val="00610F84"/>
    <w:rsid w:val="00623EC9"/>
    <w:rsid w:val="00625AA5"/>
    <w:rsid w:val="00632EE6"/>
    <w:rsid w:val="00640B12"/>
    <w:rsid w:val="0064258A"/>
    <w:rsid w:val="00643FB6"/>
    <w:rsid w:val="00651522"/>
    <w:rsid w:val="006525C5"/>
    <w:rsid w:val="006553D6"/>
    <w:rsid w:val="00660888"/>
    <w:rsid w:val="006630B2"/>
    <w:rsid w:val="00665BB7"/>
    <w:rsid w:val="006668D4"/>
    <w:rsid w:val="0066791B"/>
    <w:rsid w:val="00670F33"/>
    <w:rsid w:val="00674EAE"/>
    <w:rsid w:val="00676765"/>
    <w:rsid w:val="00685A33"/>
    <w:rsid w:val="00685C3A"/>
    <w:rsid w:val="006A1473"/>
    <w:rsid w:val="006B0D82"/>
    <w:rsid w:val="006C080E"/>
    <w:rsid w:val="006D1857"/>
    <w:rsid w:val="006D7B6E"/>
    <w:rsid w:val="006D7BB6"/>
    <w:rsid w:val="006E1D11"/>
    <w:rsid w:val="006E27A5"/>
    <w:rsid w:val="006E4937"/>
    <w:rsid w:val="006E63F3"/>
    <w:rsid w:val="006F04FE"/>
    <w:rsid w:val="006F157C"/>
    <w:rsid w:val="006F202E"/>
    <w:rsid w:val="006F20A4"/>
    <w:rsid w:val="006F3FF3"/>
    <w:rsid w:val="006F7575"/>
    <w:rsid w:val="00715C88"/>
    <w:rsid w:val="00715D8F"/>
    <w:rsid w:val="00725F93"/>
    <w:rsid w:val="0073437F"/>
    <w:rsid w:val="00741591"/>
    <w:rsid w:val="00741F6B"/>
    <w:rsid w:val="007452E2"/>
    <w:rsid w:val="00747C79"/>
    <w:rsid w:val="00754057"/>
    <w:rsid w:val="0075770C"/>
    <w:rsid w:val="00762FE3"/>
    <w:rsid w:val="0076667B"/>
    <w:rsid w:val="007703A2"/>
    <w:rsid w:val="007814D6"/>
    <w:rsid w:val="00784AF8"/>
    <w:rsid w:val="007859CD"/>
    <w:rsid w:val="007A6523"/>
    <w:rsid w:val="007A7272"/>
    <w:rsid w:val="007A7814"/>
    <w:rsid w:val="007B26CD"/>
    <w:rsid w:val="007B3D0C"/>
    <w:rsid w:val="007B720C"/>
    <w:rsid w:val="007C0C8C"/>
    <w:rsid w:val="007C1D50"/>
    <w:rsid w:val="007C4E46"/>
    <w:rsid w:val="007D0566"/>
    <w:rsid w:val="007D38A9"/>
    <w:rsid w:val="007D4651"/>
    <w:rsid w:val="007D7CFE"/>
    <w:rsid w:val="007E314A"/>
    <w:rsid w:val="007E6F28"/>
    <w:rsid w:val="007F6F57"/>
    <w:rsid w:val="008010A6"/>
    <w:rsid w:val="00804E1C"/>
    <w:rsid w:val="00810A4C"/>
    <w:rsid w:val="00813E3C"/>
    <w:rsid w:val="0081609E"/>
    <w:rsid w:val="00826AEC"/>
    <w:rsid w:val="008277A9"/>
    <w:rsid w:val="00842FFE"/>
    <w:rsid w:val="008501C7"/>
    <w:rsid w:val="00851B4B"/>
    <w:rsid w:val="00861640"/>
    <w:rsid w:val="008718E5"/>
    <w:rsid w:val="008844B1"/>
    <w:rsid w:val="00891B11"/>
    <w:rsid w:val="00892181"/>
    <w:rsid w:val="00892DE1"/>
    <w:rsid w:val="008A2427"/>
    <w:rsid w:val="008D5E9E"/>
    <w:rsid w:val="008E5C4F"/>
    <w:rsid w:val="008E7869"/>
    <w:rsid w:val="008F312E"/>
    <w:rsid w:val="008F4BCE"/>
    <w:rsid w:val="008F5DBB"/>
    <w:rsid w:val="00910163"/>
    <w:rsid w:val="00916532"/>
    <w:rsid w:val="00924E88"/>
    <w:rsid w:val="00942163"/>
    <w:rsid w:val="00950874"/>
    <w:rsid w:val="00951347"/>
    <w:rsid w:val="00964466"/>
    <w:rsid w:val="00965F44"/>
    <w:rsid w:val="00972FCF"/>
    <w:rsid w:val="00981FB0"/>
    <w:rsid w:val="00986297"/>
    <w:rsid w:val="0099341E"/>
    <w:rsid w:val="00993857"/>
    <w:rsid w:val="00997A06"/>
    <w:rsid w:val="009A12F9"/>
    <w:rsid w:val="009A3187"/>
    <w:rsid w:val="009A47FE"/>
    <w:rsid w:val="009A5380"/>
    <w:rsid w:val="009B7148"/>
    <w:rsid w:val="009C0583"/>
    <w:rsid w:val="009C0B93"/>
    <w:rsid w:val="009C361A"/>
    <w:rsid w:val="009C3938"/>
    <w:rsid w:val="009C4027"/>
    <w:rsid w:val="009D0D94"/>
    <w:rsid w:val="009D25F9"/>
    <w:rsid w:val="009D2C22"/>
    <w:rsid w:val="009D72CF"/>
    <w:rsid w:val="009F164F"/>
    <w:rsid w:val="009F1C62"/>
    <w:rsid w:val="009F628A"/>
    <w:rsid w:val="00A25906"/>
    <w:rsid w:val="00A26C76"/>
    <w:rsid w:val="00A305E5"/>
    <w:rsid w:val="00A32AA1"/>
    <w:rsid w:val="00A46630"/>
    <w:rsid w:val="00A54CC2"/>
    <w:rsid w:val="00A64AE4"/>
    <w:rsid w:val="00A706A2"/>
    <w:rsid w:val="00A7383F"/>
    <w:rsid w:val="00A74F16"/>
    <w:rsid w:val="00A775C6"/>
    <w:rsid w:val="00A875EE"/>
    <w:rsid w:val="00A900E8"/>
    <w:rsid w:val="00A92D6E"/>
    <w:rsid w:val="00A970F8"/>
    <w:rsid w:val="00AA11B9"/>
    <w:rsid w:val="00AA54A5"/>
    <w:rsid w:val="00AA6C6B"/>
    <w:rsid w:val="00AA7DB0"/>
    <w:rsid w:val="00AB2522"/>
    <w:rsid w:val="00AB52BE"/>
    <w:rsid w:val="00AC7961"/>
    <w:rsid w:val="00AD5816"/>
    <w:rsid w:val="00AE2039"/>
    <w:rsid w:val="00AE50A8"/>
    <w:rsid w:val="00AF073D"/>
    <w:rsid w:val="00AF4290"/>
    <w:rsid w:val="00AF68D3"/>
    <w:rsid w:val="00AF7ACE"/>
    <w:rsid w:val="00B04D97"/>
    <w:rsid w:val="00B05AC1"/>
    <w:rsid w:val="00B136D6"/>
    <w:rsid w:val="00B21010"/>
    <w:rsid w:val="00B26014"/>
    <w:rsid w:val="00B2709E"/>
    <w:rsid w:val="00B43892"/>
    <w:rsid w:val="00B5079C"/>
    <w:rsid w:val="00B57AAB"/>
    <w:rsid w:val="00B57CED"/>
    <w:rsid w:val="00B624B3"/>
    <w:rsid w:val="00B667BC"/>
    <w:rsid w:val="00B7136E"/>
    <w:rsid w:val="00B84995"/>
    <w:rsid w:val="00B86812"/>
    <w:rsid w:val="00B9286A"/>
    <w:rsid w:val="00B95BBF"/>
    <w:rsid w:val="00B96036"/>
    <w:rsid w:val="00BA3920"/>
    <w:rsid w:val="00BC2768"/>
    <w:rsid w:val="00BC4F9E"/>
    <w:rsid w:val="00BC7539"/>
    <w:rsid w:val="00BC79C1"/>
    <w:rsid w:val="00BD3A7C"/>
    <w:rsid w:val="00BD4961"/>
    <w:rsid w:val="00BF2610"/>
    <w:rsid w:val="00C074EF"/>
    <w:rsid w:val="00C15432"/>
    <w:rsid w:val="00C15AC4"/>
    <w:rsid w:val="00C33674"/>
    <w:rsid w:val="00C41470"/>
    <w:rsid w:val="00C41FF2"/>
    <w:rsid w:val="00C54747"/>
    <w:rsid w:val="00C646C4"/>
    <w:rsid w:val="00C76463"/>
    <w:rsid w:val="00C85696"/>
    <w:rsid w:val="00C9002C"/>
    <w:rsid w:val="00C91204"/>
    <w:rsid w:val="00C922D7"/>
    <w:rsid w:val="00C935C2"/>
    <w:rsid w:val="00CA57D4"/>
    <w:rsid w:val="00CA6173"/>
    <w:rsid w:val="00CA65FF"/>
    <w:rsid w:val="00CB0938"/>
    <w:rsid w:val="00CC2800"/>
    <w:rsid w:val="00CC3420"/>
    <w:rsid w:val="00CC547C"/>
    <w:rsid w:val="00CC60FF"/>
    <w:rsid w:val="00CD7760"/>
    <w:rsid w:val="00CE13DA"/>
    <w:rsid w:val="00CF0F94"/>
    <w:rsid w:val="00CF2D98"/>
    <w:rsid w:val="00CF5AB1"/>
    <w:rsid w:val="00CF73B4"/>
    <w:rsid w:val="00D01738"/>
    <w:rsid w:val="00D1383A"/>
    <w:rsid w:val="00D24DA4"/>
    <w:rsid w:val="00D26F28"/>
    <w:rsid w:val="00D30D15"/>
    <w:rsid w:val="00D32839"/>
    <w:rsid w:val="00D33EE3"/>
    <w:rsid w:val="00D40769"/>
    <w:rsid w:val="00D411E6"/>
    <w:rsid w:val="00D4202F"/>
    <w:rsid w:val="00D43052"/>
    <w:rsid w:val="00D466D2"/>
    <w:rsid w:val="00D50ABF"/>
    <w:rsid w:val="00D50DD2"/>
    <w:rsid w:val="00D51EBD"/>
    <w:rsid w:val="00D532B4"/>
    <w:rsid w:val="00D616E2"/>
    <w:rsid w:val="00D63CFC"/>
    <w:rsid w:val="00D66D34"/>
    <w:rsid w:val="00D716E4"/>
    <w:rsid w:val="00D73D1A"/>
    <w:rsid w:val="00D75C74"/>
    <w:rsid w:val="00D858E5"/>
    <w:rsid w:val="00DA53C7"/>
    <w:rsid w:val="00DA5809"/>
    <w:rsid w:val="00DA7B48"/>
    <w:rsid w:val="00DB2350"/>
    <w:rsid w:val="00DB4551"/>
    <w:rsid w:val="00DC44CF"/>
    <w:rsid w:val="00DC6DE1"/>
    <w:rsid w:val="00DD01C5"/>
    <w:rsid w:val="00DD23C0"/>
    <w:rsid w:val="00DD4AB3"/>
    <w:rsid w:val="00DD4D5D"/>
    <w:rsid w:val="00DE4D85"/>
    <w:rsid w:val="00DF317F"/>
    <w:rsid w:val="00DF3C7A"/>
    <w:rsid w:val="00DF71A8"/>
    <w:rsid w:val="00E02A24"/>
    <w:rsid w:val="00E16925"/>
    <w:rsid w:val="00E3382E"/>
    <w:rsid w:val="00E3492D"/>
    <w:rsid w:val="00E3753A"/>
    <w:rsid w:val="00E42E28"/>
    <w:rsid w:val="00E43BF3"/>
    <w:rsid w:val="00E45C4B"/>
    <w:rsid w:val="00E47525"/>
    <w:rsid w:val="00E47F91"/>
    <w:rsid w:val="00E5126C"/>
    <w:rsid w:val="00E545F1"/>
    <w:rsid w:val="00E63798"/>
    <w:rsid w:val="00E7442E"/>
    <w:rsid w:val="00E82188"/>
    <w:rsid w:val="00E825A1"/>
    <w:rsid w:val="00E85293"/>
    <w:rsid w:val="00E94F03"/>
    <w:rsid w:val="00EA37FC"/>
    <w:rsid w:val="00EB0687"/>
    <w:rsid w:val="00EB0FC5"/>
    <w:rsid w:val="00EB1910"/>
    <w:rsid w:val="00EB317F"/>
    <w:rsid w:val="00EB335D"/>
    <w:rsid w:val="00EB62F2"/>
    <w:rsid w:val="00ED2C29"/>
    <w:rsid w:val="00ED7253"/>
    <w:rsid w:val="00EE02F0"/>
    <w:rsid w:val="00EE72DB"/>
    <w:rsid w:val="00EF56F9"/>
    <w:rsid w:val="00F10A29"/>
    <w:rsid w:val="00F10ACE"/>
    <w:rsid w:val="00F16658"/>
    <w:rsid w:val="00F16692"/>
    <w:rsid w:val="00F20D0D"/>
    <w:rsid w:val="00F229CE"/>
    <w:rsid w:val="00F23065"/>
    <w:rsid w:val="00F27024"/>
    <w:rsid w:val="00F341FB"/>
    <w:rsid w:val="00F47088"/>
    <w:rsid w:val="00F644EA"/>
    <w:rsid w:val="00F75C84"/>
    <w:rsid w:val="00F762E5"/>
    <w:rsid w:val="00F76491"/>
    <w:rsid w:val="00FA3B81"/>
    <w:rsid w:val="00FA5DE4"/>
    <w:rsid w:val="00FA5E7B"/>
    <w:rsid w:val="00FB2C2F"/>
    <w:rsid w:val="00FC3884"/>
    <w:rsid w:val="00FD61B9"/>
    <w:rsid w:val="00FE56B8"/>
    <w:rsid w:val="00FE65DB"/>
    <w:rsid w:val="00FE6FD3"/>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10DD0"/>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6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7D4651"/>
  </w:style>
  <w:style w:type="paragraph" w:styleId="Footer">
    <w:name w:val="footer"/>
    <w:basedOn w:val="Normal"/>
    <w:link w:val="FooterChar"/>
    <w:uiPriority w:val="99"/>
    <w:unhideWhenUsed/>
    <w:rsid w:val="007D46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7D4651"/>
  </w:style>
  <w:style w:type="paragraph" w:styleId="NoSpacing">
    <w:name w:val="No Spacing"/>
    <w:link w:val="NoSpacingChar"/>
    <w:uiPriority w:val="1"/>
    <w:qFormat/>
    <w:rsid w:val="007D4651"/>
    <w:pPr>
      <w:spacing w:after="0" w:line="240" w:lineRule="auto"/>
    </w:pPr>
  </w:style>
  <w:style w:type="character" w:customStyle="1" w:styleId="NoSpacingChar">
    <w:name w:val="No Spacing Char"/>
    <w:basedOn w:val="DefaultParagraphFont"/>
    <w:link w:val="NoSpacing"/>
    <w:uiPriority w:val="1"/>
    <w:locked/>
    <w:rsid w:val="007D4651"/>
  </w:style>
  <w:style w:type="paragraph" w:styleId="FootnoteText">
    <w:name w:val="footnote text"/>
    <w:aliases w:val="Texto nota pie Car Car Car Car Car Car,Texto nota pie Car Car Car Car Car Car Car,Texto nota pie Car Car Car Car Car Car Ca"/>
    <w:basedOn w:val="Normal"/>
    <w:link w:val="FootnoteTextChar"/>
    <w:uiPriority w:val="99"/>
    <w:unhideWhenUsed/>
    <w:rsid w:val="00FA3B81"/>
    <w:pPr>
      <w:spacing w:after="0" w:line="240" w:lineRule="auto"/>
    </w:pPr>
    <w:rPr>
      <w:sz w:val="20"/>
      <w:szCs w:val="20"/>
    </w:rPr>
  </w:style>
  <w:style w:type="character" w:customStyle="1" w:styleId="FootnoteTextChar">
    <w:name w:val="Footnote Text Char"/>
    <w:aliases w:val="Texto nota pie Car Car Car Car Car Car Char,Texto nota pie Car Car Car Car Car Car Car Char,Texto nota pie Car Car Car Car Car Car Ca Char"/>
    <w:basedOn w:val="DefaultParagraphFont"/>
    <w:link w:val="FootnoteText"/>
    <w:uiPriority w:val="99"/>
    <w:rsid w:val="00FA3B81"/>
    <w:rPr>
      <w:sz w:val="20"/>
      <w:szCs w:val="20"/>
    </w:rPr>
  </w:style>
  <w:style w:type="character" w:styleId="FootnoteReference">
    <w:name w:val="footnote reference"/>
    <w:basedOn w:val="DefaultParagraphFont"/>
    <w:uiPriority w:val="99"/>
    <w:semiHidden/>
    <w:unhideWhenUsed/>
    <w:rsid w:val="00FA3B81"/>
    <w:rPr>
      <w:vertAlign w:val="superscript"/>
    </w:rPr>
  </w:style>
  <w:style w:type="table" w:styleId="TableGrid">
    <w:name w:val="Table Grid"/>
    <w:basedOn w:val="Table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F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2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emf"/><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0.10966068585689082"/>
          <c:y val="6.3317585301837273E-2"/>
          <c:w val="0.69440017258116704"/>
          <c:h val="0.91524247641087875"/>
        </c:manualLayout>
      </c:layout>
      <c:radarChart>
        <c:radarStyle val="filled"/>
        <c:varyColors val="0"/>
        <c:ser>
          <c:idx val="1"/>
          <c:order val="1"/>
          <c:tx>
            <c:strRef>
              <c:f>Hoja1!$C$1</c:f>
              <c:strCache>
                <c:ptCount val="1"/>
                <c:pt idx="0">
                  <c:v>Obs</c:v>
                </c:pt>
              </c:strCache>
            </c:strRef>
          </c:tx>
          <c:spPr>
            <a:ln>
              <a:solidFill>
                <a:srgbClr val="FF0000"/>
              </a:solidFill>
            </a:ln>
          </c:spPr>
          <c:dLbls>
            <c:dLbl>
              <c:idx val="0"/>
              <c:layout>
                <c:manualLayout>
                  <c:x val="0.10604707198485436"/>
                  <c:y val="-5.4911511061117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8F-4F6D-B52C-2ACB84917A70}"/>
                </c:ext>
              </c:extLst>
            </c:dLbl>
            <c:dLbl>
              <c:idx val="1"/>
              <c:layout>
                <c:manualLayout>
                  <c:x val="0.18909134718815887"/>
                  <c:y val="-0.135588301462317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F-4F6D-B52C-2ACB84917A70}"/>
                </c:ext>
              </c:extLst>
            </c:dLbl>
            <c:dLbl>
              <c:idx val="2"/>
              <c:layout>
                <c:manualLayout>
                  <c:x val="5.5749752592401357E-2"/>
                  <c:y val="-6.7770903637045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F-4F6D-B52C-2ACB84917A70}"/>
                </c:ext>
              </c:extLst>
            </c:dLbl>
            <c:dLbl>
              <c:idx val="3"/>
              <c:layout>
                <c:manualLayout>
                  <c:x val="7.0428294823802765E-2"/>
                  <c:y val="-6.190476190476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8F-4F6D-B52C-2ACB84917A70}"/>
                </c:ext>
              </c:extLst>
            </c:dLbl>
            <c:dLbl>
              <c:idx val="4"/>
              <c:layout>
                <c:manualLayout>
                  <c:x val="0.193978916569855"/>
                  <c:y val="0.10669441319835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8F-4F6D-B52C-2ACB84917A70}"/>
                </c:ext>
              </c:extLst>
            </c:dLbl>
            <c:dLbl>
              <c:idx val="5"/>
              <c:layout>
                <c:manualLayout>
                  <c:x val="9.5061658276322014E-2"/>
                  <c:y val="0.113436070491188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F-4F6D-B52C-2ACB84917A70}"/>
                </c:ext>
              </c:extLst>
            </c:dLbl>
            <c:dLbl>
              <c:idx val="6"/>
              <c:layout>
                <c:manualLayout>
                  <c:x val="-0.12868858267716535"/>
                  <c:y val="-3.1428571428571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8F-4F6D-B52C-2ACB84917A70}"/>
                </c:ext>
              </c:extLst>
            </c:dLbl>
            <c:dLbl>
              <c:idx val="7"/>
              <c:layout>
                <c:manualLayout>
                  <c:x val="-0.13646889763779527"/>
                  <c:y val="-3.1428571428571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8F-4F6D-B52C-2ACB84917A70}"/>
                </c:ext>
              </c:extLst>
            </c:dLbl>
            <c:dLbl>
              <c:idx val="8"/>
              <c:layout>
                <c:manualLayout>
                  <c:x val="-0.18360655737704923"/>
                  <c:y val="-0.12380952380952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8F-4F6D-B52C-2ACB84917A70}"/>
                </c:ext>
              </c:extLst>
            </c:dLbl>
            <c:spPr>
              <a:noFill/>
              <a:ln>
                <a:noFill/>
              </a:ln>
              <a:effectLst/>
            </c:spPr>
            <c:txPr>
              <a:bodyPr/>
              <a:lstStyle/>
              <a:p>
                <a:pPr>
                  <a:defRPr b="1">
                    <a:solidFill>
                      <a:srgbClr val="FF000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Hoja1!$C$2:$C$10</c:f>
              <c:numCache>
                <c:formatCode>_(* #,##0.0_);_(* \(#,##0.0\);_(* "-"??_);_(@_)</c:formatCode>
                <c:ptCount val="9"/>
                <c:pt idx="0">
                  <c:v>5263.6985960700003</c:v>
                </c:pt>
                <c:pt idx="1">
                  <c:v>3619.0174597299997</c:v>
                </c:pt>
                <c:pt idx="2">
                  <c:v>4894.5504783299984</c:v>
                </c:pt>
                <c:pt idx="3">
                  <c:v>5742.6185616599987</c:v>
                </c:pt>
                <c:pt idx="4">
                  <c:v>3936.2514973800003</c:v>
                </c:pt>
                <c:pt idx="5">
                  <c:v>4629.6755531199988</c:v>
                </c:pt>
                <c:pt idx="6">
                  <c:v>6253.4757642500008</c:v>
                </c:pt>
                <c:pt idx="7">
                  <c:v>4080.8</c:v>
                </c:pt>
                <c:pt idx="8">
                  <c:v>3767.8520884999994</c:v>
                </c:pt>
              </c:numCache>
            </c:numRef>
          </c:val>
          <c:extLst>
            <c:ext xmlns:c16="http://schemas.microsoft.com/office/drawing/2014/chart" uri="{C3380CC4-5D6E-409C-BE32-E72D297353CC}">
              <c16:uniqueId val="{00000009-8C8F-4F6D-B52C-2ACB84917A70}"/>
            </c:ext>
          </c:extLst>
        </c:ser>
        <c:dLbls>
          <c:showLegendKey val="0"/>
          <c:showVal val="0"/>
          <c:showCatName val="0"/>
          <c:showSerName val="0"/>
          <c:showPercent val="0"/>
          <c:showBubbleSize val="0"/>
        </c:dLbls>
        <c:axId val="122414208"/>
        <c:axId val="122415744"/>
      </c:radarChart>
      <c:radarChart>
        <c:radarStyle val="marker"/>
        <c:varyColors val="0"/>
        <c:ser>
          <c:idx val="0"/>
          <c:order val="0"/>
          <c:tx>
            <c:strRef>
              <c:f>Hoja1!$B$1</c:f>
              <c:strCache>
                <c:ptCount val="1"/>
                <c:pt idx="0">
                  <c:v>Meta</c:v>
                </c:pt>
              </c:strCache>
            </c:strRef>
          </c:tx>
          <c:spPr>
            <a:ln w="19050">
              <a:solidFill>
                <a:schemeClr val="tx1"/>
              </a:solidFill>
              <a:prstDash val="sysDash"/>
            </a:ln>
          </c:spPr>
          <c:marker>
            <c:symbol val="none"/>
          </c:marker>
          <c:dLbls>
            <c:dLbl>
              <c:idx val="0"/>
              <c:layout>
                <c:manualLayout>
                  <c:x val="0.1169842949959124"/>
                  <c:y val="6.14210723659543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8F-4F6D-B52C-2ACB84917A70}"/>
                </c:ext>
              </c:extLst>
            </c:dLbl>
            <c:dLbl>
              <c:idx val="1"/>
              <c:layout>
                <c:manualLayout>
                  <c:x val="0.20109289617486339"/>
                  <c:y val="-7.6742407199100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8F-4F6D-B52C-2ACB84917A70}"/>
                </c:ext>
              </c:extLst>
            </c:dLbl>
            <c:dLbl>
              <c:idx val="2"/>
              <c:layout>
                <c:manualLayout>
                  <c:x val="6.0121337291854912E-2"/>
                  <c:y val="3.584064491938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8F-4F6D-B52C-2ACB84917A70}"/>
                </c:ext>
              </c:extLst>
            </c:dLbl>
            <c:dLbl>
              <c:idx val="3"/>
              <c:layout>
                <c:manualLayout>
                  <c:x val="6.6073921087732884E-2"/>
                  <c:y val="5.2380952380952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C8F-4F6D-B52C-2ACB84917A70}"/>
                </c:ext>
              </c:extLst>
            </c:dLbl>
            <c:dLbl>
              <c:idx val="4"/>
              <c:layout>
                <c:manualLayout>
                  <c:x val="0.19559227227744072"/>
                  <c:y val="0.153508061492313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C8F-4F6D-B52C-2ACB84917A70}"/>
                </c:ext>
              </c:extLst>
            </c:dLbl>
            <c:dLbl>
              <c:idx val="5"/>
              <c:layout>
                <c:manualLayout>
                  <c:x val="-0.10982178047416204"/>
                  <c:y val="0.13278140232470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C8F-4F6D-B52C-2ACB84917A70}"/>
                </c:ext>
              </c:extLst>
            </c:dLbl>
            <c:dLbl>
              <c:idx val="6"/>
              <c:layout>
                <c:manualLayout>
                  <c:x val="-9.3715748031496085E-2"/>
                  <c:y val="2.857142857142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C8F-4F6D-B52C-2ACB84917A70}"/>
                </c:ext>
              </c:extLst>
            </c:dLbl>
            <c:dLbl>
              <c:idx val="7"/>
              <c:layout>
                <c:manualLayout>
                  <c:x val="-0.11672322834645669"/>
                  <c:y val="9.4285714285714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C8F-4F6D-B52C-2ACB84917A70}"/>
                </c:ext>
              </c:extLst>
            </c:dLbl>
            <c:dLbl>
              <c:idx val="8"/>
              <c:layout>
                <c:manualLayout>
                  <c:x val="-0.20546448087431693"/>
                  <c:y val="-7.1428571428571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C8F-4F6D-B52C-2ACB84917A70}"/>
                </c:ext>
              </c:extLst>
            </c:dLbl>
            <c:spPr>
              <a:noFill/>
              <a:ln>
                <a:noFill/>
              </a:ln>
              <a:effectLst/>
            </c:spPr>
            <c:txPr>
              <a:bodyPr/>
              <a:lstStyle/>
              <a:p>
                <a:pPr>
                  <a:defRPr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Hoja1!$B$2:$B$10</c:f>
              <c:numCache>
                <c:formatCode>_(* #,##0.0_);_(* \(#,##0.0\);_(* "-"??_);_(@_)</c:formatCode>
                <c:ptCount val="9"/>
                <c:pt idx="0">
                  <c:v>5627.4079276378061</c:v>
                </c:pt>
                <c:pt idx="1">
                  <c:v>3792.9570322124555</c:v>
                </c:pt>
                <c:pt idx="2">
                  <c:v>5023.2423792012787</c:v>
                </c:pt>
                <c:pt idx="3">
                  <c:v>5710.1174957668418</c:v>
                </c:pt>
                <c:pt idx="4">
                  <c:v>4071.0732233766971</c:v>
                </c:pt>
                <c:pt idx="5">
                  <c:v>4193.5379882839652</c:v>
                </c:pt>
                <c:pt idx="6">
                  <c:v>6563.8447263014104</c:v>
                </c:pt>
                <c:pt idx="7">
                  <c:v>4189</c:v>
                </c:pt>
                <c:pt idx="8">
                  <c:v>3978</c:v>
                </c:pt>
              </c:numCache>
            </c:numRef>
          </c:val>
          <c:extLst>
            <c:ext xmlns:c16="http://schemas.microsoft.com/office/drawing/2014/chart" uri="{C3380CC4-5D6E-409C-BE32-E72D297353CC}">
              <c16:uniqueId val="{00000013-8C8F-4F6D-B52C-2ACB84917A70}"/>
            </c:ext>
          </c:extLst>
        </c:ser>
        <c:dLbls>
          <c:showLegendKey val="0"/>
          <c:showVal val="0"/>
          <c:showCatName val="0"/>
          <c:showSerName val="0"/>
          <c:showPercent val="0"/>
          <c:showBubbleSize val="0"/>
        </c:dLbls>
        <c:axId val="122414208"/>
        <c:axId val="122415744"/>
      </c:radarChart>
      <c:catAx>
        <c:axId val="122414208"/>
        <c:scaling>
          <c:orientation val="minMax"/>
        </c:scaling>
        <c:delete val="0"/>
        <c:axPos val="b"/>
        <c:majorGridlines/>
        <c:numFmt formatCode="General" sourceLinked="1"/>
        <c:majorTickMark val="out"/>
        <c:minorTickMark val="none"/>
        <c:tickLblPos val="nextTo"/>
        <c:txPr>
          <a:bodyPr/>
          <a:lstStyle/>
          <a:p>
            <a:pPr>
              <a:defRPr b="1"/>
            </a:pPr>
            <a:endParaRPr lang="es-GT"/>
          </a:p>
        </c:txPr>
        <c:crossAx val="122415744"/>
        <c:crosses val="autoZero"/>
        <c:auto val="1"/>
        <c:lblAlgn val="ctr"/>
        <c:lblOffset val="100"/>
        <c:noMultiLvlLbl val="0"/>
      </c:catAx>
      <c:valAx>
        <c:axId val="122415744"/>
        <c:scaling>
          <c:orientation val="minMax"/>
        </c:scaling>
        <c:delete val="0"/>
        <c:axPos val="l"/>
        <c:numFmt formatCode="#,##0" sourceLinked="0"/>
        <c:majorTickMark val="out"/>
        <c:minorTickMark val="none"/>
        <c:tickLblPos val="nextTo"/>
        <c:txPr>
          <a:bodyPr/>
          <a:lstStyle/>
          <a:p>
            <a:pPr>
              <a:defRPr sz="600" b="1"/>
            </a:pPr>
            <a:endParaRPr lang="es-GT"/>
          </a:p>
        </c:txPr>
        <c:crossAx val="122414208"/>
        <c:crosses val="autoZero"/>
        <c:crossBetween val="between"/>
      </c:valAx>
      <c:spPr>
        <a:noFill/>
        <a:ln w="25400">
          <a:noFill/>
        </a:ln>
      </c:spPr>
    </c:plotArea>
    <c:legend>
      <c:legendPos val="b"/>
      <c:layout>
        <c:manualLayout>
          <c:xMode val="edge"/>
          <c:yMode val="edge"/>
          <c:x val="3.0686082047963185E-2"/>
          <c:y val="2.8351724851597853E-2"/>
          <c:w val="0.26231057183425843"/>
          <c:h val="0.12748218972628422"/>
        </c:manualLayout>
      </c:layout>
      <c:overlay val="0"/>
      <c:txPr>
        <a:bodyPr/>
        <a:lstStyle/>
        <a:p>
          <a:pPr>
            <a:defRPr b="1"/>
          </a:pPr>
          <a:endParaRPr lang="es-GT"/>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0.12942983603064376"/>
          <c:y val="5.6791090302901324E-2"/>
          <c:w val="0.85088996716738818"/>
          <c:h val="0.78755549624093601"/>
        </c:manualLayout>
      </c:layout>
      <c:lineChart>
        <c:grouping val="standard"/>
        <c:varyColors val="0"/>
        <c:ser>
          <c:idx val="0"/>
          <c:order val="0"/>
          <c:tx>
            <c:strRef>
              <c:f>Hoja1!$B$1</c:f>
              <c:strCache>
                <c:ptCount val="1"/>
                <c:pt idx="0">
                  <c:v>2017/2016</c:v>
                </c:pt>
              </c:strCache>
            </c:strRef>
          </c:tx>
          <c:spPr>
            <a:ln w="19050">
              <a:solidFill>
                <a:srgbClr val="FF0000"/>
              </a:solidFill>
            </a:ln>
          </c:spPr>
          <c:marker>
            <c:symbol val="circle"/>
            <c:size val="5"/>
            <c:spPr>
              <a:solidFill>
                <a:srgbClr val="FF0000"/>
              </a:solidFill>
            </c:spPr>
          </c:marker>
          <c:dLbls>
            <c:dLbl>
              <c:idx val="4"/>
              <c:layout>
                <c:manualLayout>
                  <c:x val="-6.5408761174225921E-2"/>
                  <c:y val="6.844432581520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1B-47C1-BB12-0C3E8406BCB5}"/>
                </c:ext>
              </c:extLst>
            </c:dLbl>
            <c:dLbl>
              <c:idx val="5"/>
              <c:layout>
                <c:manualLayout>
                  <c:x val="-2.0269053084231632E-3"/>
                  <c:y val="-2.033898305084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1B-47C1-BB12-0C3E8406BCB5}"/>
                </c:ext>
              </c:extLst>
            </c:dLbl>
            <c:dLbl>
              <c:idx val="6"/>
              <c:layout>
                <c:manualLayout>
                  <c:x val="3.1829231678142649E-3"/>
                  <c:y val="0.1209039548022597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1B-47C1-BB12-0C3E8406BCB5}"/>
                </c:ext>
              </c:extLst>
            </c:dLbl>
            <c:dLbl>
              <c:idx val="7"/>
              <c:layout>
                <c:manualLayout>
                  <c:x val="-0.13038130381303814"/>
                  <c:y val="-9.378531073446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1B-47C1-BB12-0C3E8406BCB5}"/>
                </c:ext>
              </c:extLst>
            </c:dLbl>
            <c:dLbl>
              <c:idx val="8"/>
              <c:layout>
                <c:manualLayout>
                  <c:x val="-2.9911574706298245E-3"/>
                  <c:y val="-4.2937853107344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1B-47C1-BB12-0C3E8406BCB5}"/>
                </c:ext>
              </c:extLst>
            </c:dLbl>
            <c:spPr>
              <a:noFill/>
              <a:ln>
                <a:noFill/>
              </a:ln>
              <a:effectLst/>
            </c:spPr>
            <c:txPr>
              <a:bodyPr rot="0" vert="horz"/>
              <a:lstStyle/>
              <a:p>
                <a:pPr>
                  <a:defRPr sz="600" b="1">
                    <a:solidFill>
                      <a:srgbClr val="FF000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c:v>
                </c:pt>
                <c:pt idx="1">
                  <c:v>Feb</c:v>
                </c:pt>
                <c:pt idx="2">
                  <c:v>Mar</c:v>
                </c:pt>
                <c:pt idx="3">
                  <c:v>Abr</c:v>
                </c:pt>
                <c:pt idx="4">
                  <c:v>May</c:v>
                </c:pt>
                <c:pt idx="5">
                  <c:v>Jun</c:v>
                </c:pt>
                <c:pt idx="6">
                  <c:v>Jul</c:v>
                </c:pt>
                <c:pt idx="7">
                  <c:v>Ago</c:v>
                </c:pt>
                <c:pt idx="8">
                  <c:v>Sept</c:v>
                </c:pt>
              </c:strCache>
            </c:strRef>
          </c:cat>
          <c:val>
            <c:numRef>
              <c:f>Hoja1!$B$2:$B$10</c:f>
              <c:numCache>
                <c:formatCode>0.0%</c:formatCode>
                <c:ptCount val="9"/>
                <c:pt idx="0">
                  <c:v>0.14711342893697199</c:v>
                </c:pt>
                <c:pt idx="1">
                  <c:v>0.15353301655355001</c:v>
                </c:pt>
                <c:pt idx="2">
                  <c:v>0.1588626652779721</c:v>
                </c:pt>
                <c:pt idx="3">
                  <c:v>0.19687396453161088</c:v>
                </c:pt>
                <c:pt idx="4">
                  <c:v>6.6000000000000003E-2</c:v>
                </c:pt>
                <c:pt idx="5">
                  <c:v>9.4560771521028597E-2</c:v>
                </c:pt>
                <c:pt idx="6">
                  <c:v>4.6241320449325274E-2</c:v>
                </c:pt>
                <c:pt idx="7">
                  <c:v>2.1193782068903877E-2</c:v>
                </c:pt>
                <c:pt idx="8">
                  <c:v>2.0023481750812699E-2</c:v>
                </c:pt>
              </c:numCache>
            </c:numRef>
          </c:val>
          <c:smooth val="0"/>
          <c:extLst>
            <c:ext xmlns:c16="http://schemas.microsoft.com/office/drawing/2014/chart" uri="{C3380CC4-5D6E-409C-BE32-E72D297353CC}">
              <c16:uniqueId val="{00000005-D71B-47C1-BB12-0C3E8406BCB5}"/>
            </c:ext>
          </c:extLst>
        </c:ser>
        <c:ser>
          <c:idx val="1"/>
          <c:order val="1"/>
          <c:tx>
            <c:strRef>
              <c:f>Hoja1!$C$1</c:f>
              <c:strCache>
                <c:ptCount val="1"/>
                <c:pt idx="0">
                  <c:v>2016/2015</c:v>
                </c:pt>
              </c:strCache>
            </c:strRef>
          </c:tx>
          <c:spPr>
            <a:ln w="19050">
              <a:solidFill>
                <a:schemeClr val="tx2"/>
              </a:solidFill>
              <a:prstDash val="sysDash"/>
            </a:ln>
          </c:spPr>
          <c:marker>
            <c:spPr>
              <a:solidFill>
                <a:srgbClr val="002060"/>
              </a:solidFill>
            </c:spPr>
          </c:marker>
          <c:dLbls>
            <c:spPr>
              <a:noFill/>
              <a:ln>
                <a:noFill/>
              </a:ln>
              <a:effectLst/>
            </c:spPr>
            <c:txPr>
              <a:bodyPr/>
              <a:lstStyle/>
              <a:p>
                <a:pPr>
                  <a:defRPr sz="600" b="1">
                    <a:solidFill>
                      <a:sysClr val="windowText" lastClr="00000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c:v>
                </c:pt>
                <c:pt idx="1">
                  <c:v>Feb</c:v>
                </c:pt>
                <c:pt idx="2">
                  <c:v>Mar</c:v>
                </c:pt>
                <c:pt idx="3">
                  <c:v>Abr</c:v>
                </c:pt>
                <c:pt idx="4">
                  <c:v>May</c:v>
                </c:pt>
                <c:pt idx="5">
                  <c:v>Jun</c:v>
                </c:pt>
                <c:pt idx="6">
                  <c:v>Jul</c:v>
                </c:pt>
                <c:pt idx="7">
                  <c:v>Ago</c:v>
                </c:pt>
                <c:pt idx="8">
                  <c:v>Sept</c:v>
                </c:pt>
              </c:strCache>
            </c:strRef>
          </c:cat>
          <c:val>
            <c:numRef>
              <c:f>Hoja1!$C$2:$C$10</c:f>
              <c:numCache>
                <c:formatCode>0.0%</c:formatCode>
                <c:ptCount val="9"/>
                <c:pt idx="0">
                  <c:v>2.597414359755601E-2</c:v>
                </c:pt>
                <c:pt idx="1">
                  <c:v>-4.4987491310084504E-2</c:v>
                </c:pt>
                <c:pt idx="2">
                  <c:v>1.8696642978055511E-3</c:v>
                </c:pt>
                <c:pt idx="3">
                  <c:v>1.2480307838625304E-2</c:v>
                </c:pt>
                <c:pt idx="4">
                  <c:v>0.11899999999999999</c:v>
                </c:pt>
                <c:pt idx="5">
                  <c:v>0.13155045891703909</c:v>
                </c:pt>
                <c:pt idx="6">
                  <c:v>0.17599999999999999</c:v>
                </c:pt>
                <c:pt idx="7">
                  <c:v>0.19391221947495341</c:v>
                </c:pt>
                <c:pt idx="8">
                  <c:v>0.18803081910519581</c:v>
                </c:pt>
              </c:numCache>
            </c:numRef>
          </c:val>
          <c:smooth val="0"/>
          <c:extLst>
            <c:ext xmlns:c16="http://schemas.microsoft.com/office/drawing/2014/chart" uri="{C3380CC4-5D6E-409C-BE32-E72D297353CC}">
              <c16:uniqueId val="{00000006-D71B-47C1-BB12-0C3E8406BCB5}"/>
            </c:ext>
          </c:extLst>
        </c:ser>
        <c:dLbls>
          <c:showLegendKey val="0"/>
          <c:showVal val="0"/>
          <c:showCatName val="0"/>
          <c:showSerName val="0"/>
          <c:showPercent val="0"/>
          <c:showBubbleSize val="0"/>
        </c:dLbls>
        <c:marker val="1"/>
        <c:smooth val="0"/>
        <c:axId val="132668800"/>
        <c:axId val="132670592"/>
      </c:lineChart>
      <c:catAx>
        <c:axId val="132668800"/>
        <c:scaling>
          <c:orientation val="minMax"/>
        </c:scaling>
        <c:delete val="0"/>
        <c:axPos val="b"/>
        <c:numFmt formatCode="General" sourceLinked="1"/>
        <c:majorTickMark val="out"/>
        <c:minorTickMark val="none"/>
        <c:tickLblPos val="low"/>
        <c:crossAx val="132670592"/>
        <c:crosses val="autoZero"/>
        <c:auto val="1"/>
        <c:lblAlgn val="ctr"/>
        <c:lblOffset val="100"/>
        <c:noMultiLvlLbl val="0"/>
      </c:catAx>
      <c:valAx>
        <c:axId val="132670592"/>
        <c:scaling>
          <c:orientation val="minMax"/>
        </c:scaling>
        <c:delete val="0"/>
        <c:axPos val="l"/>
        <c:numFmt formatCode="0%" sourceLinked="0"/>
        <c:majorTickMark val="out"/>
        <c:minorTickMark val="none"/>
        <c:tickLblPos val="nextTo"/>
        <c:crossAx val="132668800"/>
        <c:crosses val="autoZero"/>
        <c:crossBetween val="between"/>
      </c:valAx>
      <c:spPr>
        <a:noFill/>
        <a:ln w="25400">
          <a:noFill/>
        </a:ln>
      </c:spPr>
    </c:plotArea>
    <c:legend>
      <c:legendPos val="b"/>
      <c:layout>
        <c:manualLayout>
          <c:xMode val="edge"/>
          <c:yMode val="edge"/>
          <c:x val="0.24333672313101085"/>
          <c:y val="0.78240585095402404"/>
          <c:w val="0.75666327686898915"/>
          <c:h val="0.11064614114246955"/>
        </c:manualLayout>
      </c:layout>
      <c:overlay val="0"/>
      <c:txPr>
        <a:bodyPr/>
        <a:lstStyle/>
        <a:p>
          <a:pPr>
            <a:defRPr b="1"/>
          </a:pPr>
          <a:endParaRPr lang="es-GT"/>
        </a:p>
      </c:txPr>
    </c:legend>
    <c:plotVisOnly val="1"/>
    <c:dispBlanksAs val="gap"/>
    <c:showDLblsOverMax val="0"/>
  </c:chart>
  <c:spPr>
    <a:ln>
      <a:noFill/>
    </a:ln>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79261520881318"/>
          <c:y val="2.5225225225225224E-2"/>
          <c:w val="0.74718017390683311"/>
          <c:h val="0.82744328580549054"/>
        </c:manualLayout>
      </c:layout>
      <c:barChart>
        <c:barDir val="bar"/>
        <c:grouping val="clustered"/>
        <c:varyColors val="0"/>
        <c:ser>
          <c:idx val="0"/>
          <c:order val="0"/>
          <c:tx>
            <c:strRef>
              <c:f>Hoja1!$B$1</c:f>
              <c:strCache>
                <c:ptCount val="1"/>
                <c:pt idx="0">
                  <c:v>2017-2016</c:v>
                </c:pt>
              </c:strCache>
            </c:strRef>
          </c:tx>
          <c:invertIfNegative val="0"/>
          <c:dLbls>
            <c:spPr>
              <a:noFill/>
              <a:ln>
                <a:noFill/>
              </a:ln>
              <a:effectLst/>
            </c:spPr>
            <c:txPr>
              <a:bodyPr/>
              <a:lstStyle/>
              <a:p>
                <a:pPr>
                  <a:defRPr sz="700" b="1">
                    <a:solidFill>
                      <a:srgbClr val="0070C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Hoja1!$A$2:$A$19</c:f>
              <c:strCache>
                <c:ptCount val="18"/>
                <c:pt idx="0">
                  <c:v>IVA imp</c:v>
                </c:pt>
                <c:pt idx="1">
                  <c:v>ISO</c:v>
                </c:pt>
                <c:pt idx="2">
                  <c:v>Petróleo</c:v>
                </c:pt>
                <c:pt idx="3">
                  <c:v>DAI</c:v>
                </c:pt>
                <c:pt idx="4">
                  <c:v>Vehículos</c:v>
                </c:pt>
                <c:pt idx="5">
                  <c:v>IPRIMA</c:v>
                </c:pt>
                <c:pt idx="6">
                  <c:v>IVA dom</c:v>
                </c:pt>
                <c:pt idx="7">
                  <c:v>Bebidas</c:v>
                </c:pt>
                <c:pt idx="8">
                  <c:v>Salida del País</c:v>
                </c:pt>
                <c:pt idx="9">
                  <c:v>Tabacos</c:v>
                </c:pt>
                <c:pt idx="10">
                  <c:v>Regalías</c:v>
                </c:pt>
                <c:pt idx="11">
                  <c:v>Otros</c:v>
                </c:pt>
                <c:pt idx="12">
                  <c:v>Cemento</c:v>
                </c:pt>
                <c:pt idx="13">
                  <c:v>IEMA</c:v>
                </c:pt>
                <c:pt idx="14">
                  <c:v>Propiedad</c:v>
                </c:pt>
                <c:pt idx="15">
                  <c:v>IETAAP</c:v>
                </c:pt>
                <c:pt idx="16">
                  <c:v>Timbres</c:v>
                </c:pt>
                <c:pt idx="17">
                  <c:v>ISR</c:v>
                </c:pt>
              </c:strCache>
            </c:strRef>
          </c:cat>
          <c:val>
            <c:numRef>
              <c:f>Hoja1!$B$2:$B$19</c:f>
              <c:numCache>
                <c:formatCode>#,##0.0</c:formatCode>
                <c:ptCount val="18"/>
                <c:pt idx="0">
                  <c:v>353.85811067000031</c:v>
                </c:pt>
                <c:pt idx="1">
                  <c:v>196.74075063999953</c:v>
                </c:pt>
                <c:pt idx="2">
                  <c:v>56.517674900000202</c:v>
                </c:pt>
                <c:pt idx="3">
                  <c:v>68.749727750000375</c:v>
                </c:pt>
                <c:pt idx="4">
                  <c:v>49.040041810000048</c:v>
                </c:pt>
                <c:pt idx="5">
                  <c:v>-20.204024990000107</c:v>
                </c:pt>
                <c:pt idx="6">
                  <c:v>847.24585048000154</c:v>
                </c:pt>
                <c:pt idx="7">
                  <c:v>5.8323618199999601</c:v>
                </c:pt>
                <c:pt idx="8">
                  <c:v>15.455281799999995</c:v>
                </c:pt>
                <c:pt idx="9">
                  <c:v>-15.319988000000023</c:v>
                </c:pt>
                <c:pt idx="10">
                  <c:v>37.253535730000024</c:v>
                </c:pt>
                <c:pt idx="11">
                  <c:v>1.7211342600000012</c:v>
                </c:pt>
                <c:pt idx="12">
                  <c:v>-5.4574818899999968</c:v>
                </c:pt>
                <c:pt idx="13">
                  <c:v>5.2651297700000006</c:v>
                </c:pt>
                <c:pt idx="14">
                  <c:v>8.5807410499999968</c:v>
                </c:pt>
                <c:pt idx="15">
                  <c:v>23.780396090000004</c:v>
                </c:pt>
                <c:pt idx="16">
                  <c:v>126.33695324000001</c:v>
                </c:pt>
                <c:pt idx="17">
                  <c:v>242.63726110000061</c:v>
                </c:pt>
              </c:numCache>
            </c:numRef>
          </c:val>
          <c:extLst>
            <c:ext xmlns:c16="http://schemas.microsoft.com/office/drawing/2014/chart" uri="{C3380CC4-5D6E-409C-BE32-E72D297353CC}">
              <c16:uniqueId val="{00000000-3F89-41D7-A193-9646D50E70AA}"/>
            </c:ext>
          </c:extLst>
        </c:ser>
        <c:ser>
          <c:idx val="1"/>
          <c:order val="1"/>
          <c:tx>
            <c:strRef>
              <c:f>Hoja1!$C$1</c:f>
              <c:strCache>
                <c:ptCount val="1"/>
                <c:pt idx="0">
                  <c:v>2017-Pres</c:v>
                </c:pt>
              </c:strCache>
            </c:strRef>
          </c:tx>
          <c:invertIfNegative val="0"/>
          <c:dLbls>
            <c:spPr>
              <a:noFill/>
              <a:ln>
                <a:noFill/>
              </a:ln>
              <a:effectLst/>
            </c:spPr>
            <c:txPr>
              <a:bodyPr/>
              <a:lstStyle/>
              <a:p>
                <a:pPr>
                  <a:defRPr sz="700" b="1">
                    <a:solidFill>
                      <a:srgbClr val="C0000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Hoja1!$A$2:$A$19</c:f>
              <c:strCache>
                <c:ptCount val="18"/>
                <c:pt idx="0">
                  <c:v>IVA imp</c:v>
                </c:pt>
                <c:pt idx="1">
                  <c:v>ISO</c:v>
                </c:pt>
                <c:pt idx="2">
                  <c:v>Petróleo</c:v>
                </c:pt>
                <c:pt idx="3">
                  <c:v>DAI</c:v>
                </c:pt>
                <c:pt idx="4">
                  <c:v>Vehículos</c:v>
                </c:pt>
                <c:pt idx="5">
                  <c:v>IPRIMA</c:v>
                </c:pt>
                <c:pt idx="6">
                  <c:v>IVA dom</c:v>
                </c:pt>
                <c:pt idx="7">
                  <c:v>Bebidas</c:v>
                </c:pt>
                <c:pt idx="8">
                  <c:v>Salida del País</c:v>
                </c:pt>
                <c:pt idx="9">
                  <c:v>Tabacos</c:v>
                </c:pt>
                <c:pt idx="10">
                  <c:v>Regalías</c:v>
                </c:pt>
                <c:pt idx="11">
                  <c:v>Otros</c:v>
                </c:pt>
                <c:pt idx="12">
                  <c:v>Cemento</c:v>
                </c:pt>
                <c:pt idx="13">
                  <c:v>IEMA</c:v>
                </c:pt>
                <c:pt idx="14">
                  <c:v>Propiedad</c:v>
                </c:pt>
                <c:pt idx="15">
                  <c:v>IETAAP</c:v>
                </c:pt>
                <c:pt idx="16">
                  <c:v>Timbres</c:v>
                </c:pt>
                <c:pt idx="17">
                  <c:v>ISR</c:v>
                </c:pt>
              </c:strCache>
            </c:strRef>
          </c:cat>
          <c:val>
            <c:numRef>
              <c:f>Hoja1!$C$2:$C$19</c:f>
              <c:numCache>
                <c:formatCode>#,##0.0</c:formatCode>
                <c:ptCount val="18"/>
                <c:pt idx="0">
                  <c:v>-573.70619541000087</c:v>
                </c:pt>
                <c:pt idx="1">
                  <c:v>-324.57925949000082</c:v>
                </c:pt>
                <c:pt idx="2">
                  <c:v>-187.08638023999993</c:v>
                </c:pt>
                <c:pt idx="3">
                  <c:v>-157.59959410999954</c:v>
                </c:pt>
                <c:pt idx="4">
                  <c:v>-82.798363150000114</c:v>
                </c:pt>
                <c:pt idx="5">
                  <c:v>-67.100348350000104</c:v>
                </c:pt>
                <c:pt idx="6">
                  <c:v>-50.209349959999599</c:v>
                </c:pt>
                <c:pt idx="7">
                  <c:v>-47.459103870000149</c:v>
                </c:pt>
                <c:pt idx="8">
                  <c:v>-41.081300519900935</c:v>
                </c:pt>
                <c:pt idx="9">
                  <c:v>-40.205807890000017</c:v>
                </c:pt>
                <c:pt idx="10">
                  <c:v>0.99505986169148741</c:v>
                </c:pt>
                <c:pt idx="11">
                  <c:v>1.8573857600000014</c:v>
                </c:pt>
                <c:pt idx="12">
                  <c:v>3.5241329600000029</c:v>
                </c:pt>
                <c:pt idx="13">
                  <c:v>6.2149335900000002</c:v>
                </c:pt>
                <c:pt idx="14">
                  <c:v>7.4575952699999988</c:v>
                </c:pt>
                <c:pt idx="15">
                  <c:v>24.702651640000003</c:v>
                </c:pt>
                <c:pt idx="16">
                  <c:v>35.350539600000047</c:v>
                </c:pt>
                <c:pt idx="17">
                  <c:v>524.23136195000006</c:v>
                </c:pt>
              </c:numCache>
            </c:numRef>
          </c:val>
          <c:extLst>
            <c:ext xmlns:c16="http://schemas.microsoft.com/office/drawing/2014/chart" uri="{C3380CC4-5D6E-409C-BE32-E72D297353CC}">
              <c16:uniqueId val="{00000001-3F89-41D7-A193-9646D50E70AA}"/>
            </c:ext>
          </c:extLst>
        </c:ser>
        <c:dLbls>
          <c:showLegendKey val="0"/>
          <c:showVal val="0"/>
          <c:showCatName val="0"/>
          <c:showSerName val="0"/>
          <c:showPercent val="0"/>
          <c:showBubbleSize val="0"/>
        </c:dLbls>
        <c:gapWidth val="25"/>
        <c:axId val="132733568"/>
        <c:axId val="133042560"/>
      </c:barChart>
      <c:catAx>
        <c:axId val="132733568"/>
        <c:scaling>
          <c:orientation val="minMax"/>
        </c:scaling>
        <c:delete val="0"/>
        <c:axPos val="l"/>
        <c:majorGridlines>
          <c:spPr>
            <a:ln w="6350">
              <a:solidFill>
                <a:schemeClr val="tx2">
                  <a:lumMod val="20000"/>
                  <a:lumOff val="80000"/>
                </a:schemeClr>
              </a:solidFill>
              <a:prstDash val="sysDash"/>
            </a:ln>
          </c:spPr>
        </c:majorGridlines>
        <c:numFmt formatCode="General" sourceLinked="0"/>
        <c:majorTickMark val="out"/>
        <c:minorTickMark val="none"/>
        <c:tickLblPos val="low"/>
        <c:txPr>
          <a:bodyPr/>
          <a:lstStyle/>
          <a:p>
            <a:pPr>
              <a:defRPr b="1"/>
            </a:pPr>
            <a:endParaRPr lang="es-GT"/>
          </a:p>
        </c:txPr>
        <c:crossAx val="133042560"/>
        <c:crosses val="autoZero"/>
        <c:auto val="1"/>
        <c:lblAlgn val="ctr"/>
        <c:lblOffset val="100"/>
        <c:noMultiLvlLbl val="0"/>
      </c:catAx>
      <c:valAx>
        <c:axId val="133042560"/>
        <c:scaling>
          <c:orientation val="minMax"/>
        </c:scaling>
        <c:delete val="0"/>
        <c:axPos val="b"/>
        <c:majorGridlines>
          <c:spPr>
            <a:ln w="6350">
              <a:solidFill>
                <a:schemeClr val="tx2">
                  <a:lumMod val="20000"/>
                  <a:lumOff val="80000"/>
                </a:schemeClr>
              </a:solidFill>
              <a:prstDash val="sysDash"/>
            </a:ln>
          </c:spPr>
        </c:majorGridlines>
        <c:numFmt formatCode="#,##0" sourceLinked="0"/>
        <c:majorTickMark val="out"/>
        <c:minorTickMark val="none"/>
        <c:tickLblPos val="nextTo"/>
        <c:txPr>
          <a:bodyPr/>
          <a:lstStyle/>
          <a:p>
            <a:pPr>
              <a:defRPr b="1"/>
            </a:pPr>
            <a:endParaRPr lang="es-GT"/>
          </a:p>
        </c:txPr>
        <c:crossAx val="132733568"/>
        <c:crosses val="autoZero"/>
        <c:crossBetween val="between"/>
      </c:valAx>
      <c:spPr>
        <a:ln>
          <a:noFill/>
        </a:ln>
      </c:spPr>
    </c:plotArea>
    <c:legend>
      <c:legendPos val="b"/>
      <c:overlay val="0"/>
      <c:txPr>
        <a:bodyPr/>
        <a:lstStyle/>
        <a:p>
          <a:pPr>
            <a:defRPr b="1"/>
          </a:pPr>
          <a:endParaRPr lang="es-GT"/>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1804770837311525E-2"/>
          <c:y val="2.5925407010956376E-2"/>
          <c:w val="0.88956114767941508"/>
          <c:h val="0.77685000571205631"/>
        </c:manualLayout>
      </c:layout>
      <c:lineChart>
        <c:grouping val="standard"/>
        <c:varyColors val="0"/>
        <c:ser>
          <c:idx val="1"/>
          <c:order val="1"/>
          <c:tx>
            <c:strRef>
              <c:f>'Dtos de años anteriores'!$B$130</c:f>
              <c:strCache>
                <c:ptCount val="1"/>
                <c:pt idx="0">
                  <c:v>2017</c:v>
                </c:pt>
              </c:strCache>
            </c:strRef>
          </c:tx>
          <c:spPr>
            <a:ln w="25400">
              <a:solidFill>
                <a:srgbClr val="C00000"/>
              </a:solidFill>
            </a:ln>
          </c:spPr>
          <c:marker>
            <c:symbol val="none"/>
          </c:marker>
          <c:dLbls>
            <c:spPr>
              <a:noFill/>
              <a:ln>
                <a:noFill/>
              </a:ln>
              <a:effectLst/>
            </c:spPr>
            <c:txPr>
              <a:bodyPr rot="-5400000" vert="horz"/>
              <a:lstStyle/>
              <a:p>
                <a:pPr>
                  <a:defRPr lang="es-GT" sz="700" b="1">
                    <a:solidFill>
                      <a:srgbClr val="C0000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anteriores'!$C$130:$N$130</c:f>
              <c:numCache>
                <c:formatCode>#,##0.0</c:formatCode>
                <c:ptCount val="12"/>
                <c:pt idx="0">
                  <c:v>6.8493916558772838</c:v>
                </c:pt>
                <c:pt idx="1">
                  <c:v>3.6827531182522648</c:v>
                </c:pt>
                <c:pt idx="2">
                  <c:v>2.8768813598438072</c:v>
                </c:pt>
                <c:pt idx="3">
                  <c:v>8.0558127326302724</c:v>
                </c:pt>
                <c:pt idx="4">
                  <c:v>9.21062237079704</c:v>
                </c:pt>
                <c:pt idx="5">
                  <c:v>6.9614963642196557</c:v>
                </c:pt>
                <c:pt idx="6">
                  <c:v>5.6823067959896179</c:v>
                </c:pt>
                <c:pt idx="7">
                  <c:v>5.1792540429844109</c:v>
                </c:pt>
                <c:pt idx="8">
                  <c:v>5.2848083511036066</c:v>
                </c:pt>
              </c:numCache>
            </c:numRef>
          </c:val>
          <c:smooth val="0"/>
          <c:extLst>
            <c:ext xmlns:c16="http://schemas.microsoft.com/office/drawing/2014/chart" uri="{C3380CC4-5D6E-409C-BE32-E72D297353CC}">
              <c16:uniqueId val="{00000000-D97A-454B-B2C1-145B2966801F}"/>
            </c:ext>
          </c:extLst>
        </c:ser>
        <c:ser>
          <c:idx val="0"/>
          <c:order val="0"/>
          <c:tx>
            <c:strRef>
              <c:f>'Dtos de años anteriores'!$B$129</c:f>
              <c:strCache>
                <c:ptCount val="1"/>
                <c:pt idx="0">
                  <c:v>2016</c:v>
                </c:pt>
              </c:strCache>
            </c:strRef>
          </c:tx>
          <c:spPr>
            <a:ln w="38100">
              <a:solidFill>
                <a:schemeClr val="tx2"/>
              </a:solidFill>
              <a:prstDash val="sysDot"/>
            </a:ln>
            <a:effectLst>
              <a:outerShdw blurRad="50800" dist="38100" dir="2700000" algn="tl" rotWithShape="0">
                <a:prstClr val="black">
                  <a:alpha val="40000"/>
                </a:prstClr>
              </a:outerShdw>
            </a:effectLst>
          </c:spPr>
          <c:marker>
            <c:symbol val="none"/>
          </c:marker>
          <c:dLbls>
            <c:spPr>
              <a:noFill/>
              <a:ln>
                <a:noFill/>
              </a:ln>
              <a:effectLst/>
            </c:spPr>
            <c:txPr>
              <a:bodyPr rot="-5400000" vert="horz"/>
              <a:lstStyle/>
              <a:p>
                <a:pPr>
                  <a:defRPr lang="es-GT" sz="700" b="1">
                    <a:solidFill>
                      <a:schemeClr val="tx2"/>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anteriores'!$C$129:$N$129</c:f>
              <c:numCache>
                <c:formatCode>#,##0.0</c:formatCode>
                <c:ptCount val="12"/>
                <c:pt idx="0">
                  <c:v>3.4995171400033627</c:v>
                </c:pt>
                <c:pt idx="1">
                  <c:v>-3.4164251288528646</c:v>
                </c:pt>
                <c:pt idx="2">
                  <c:v>-8.1697580852405309</c:v>
                </c:pt>
                <c:pt idx="3">
                  <c:v>-11.556048029399889</c:v>
                </c:pt>
                <c:pt idx="4">
                  <c:v>-10.337137461792594</c:v>
                </c:pt>
                <c:pt idx="5">
                  <c:v>-7.8020074352829596</c:v>
                </c:pt>
                <c:pt idx="6">
                  <c:v>-4.8170747020683393</c:v>
                </c:pt>
                <c:pt idx="7">
                  <c:v>-3.8924664405751344</c:v>
                </c:pt>
                <c:pt idx="8">
                  <c:v>-1.9096535842909219</c:v>
                </c:pt>
                <c:pt idx="9">
                  <c:v>-2.9652328503857461E-2</c:v>
                </c:pt>
                <c:pt idx="10">
                  <c:v>3.0112436876196966</c:v>
                </c:pt>
                <c:pt idx="11">
                  <c:v>5.0480768088570613</c:v>
                </c:pt>
              </c:numCache>
            </c:numRef>
          </c:val>
          <c:smooth val="0"/>
          <c:extLst>
            <c:ext xmlns:c16="http://schemas.microsoft.com/office/drawing/2014/chart" uri="{C3380CC4-5D6E-409C-BE32-E72D297353CC}">
              <c16:uniqueId val="{00000001-D97A-454B-B2C1-145B2966801F}"/>
            </c:ext>
          </c:extLst>
        </c:ser>
        <c:dLbls>
          <c:showLegendKey val="0"/>
          <c:showVal val="0"/>
          <c:showCatName val="0"/>
          <c:showSerName val="0"/>
          <c:showPercent val="0"/>
          <c:showBubbleSize val="0"/>
        </c:dLbls>
        <c:smooth val="0"/>
        <c:axId val="110927872"/>
        <c:axId val="110929408"/>
      </c:lineChart>
      <c:catAx>
        <c:axId val="110927872"/>
        <c:scaling>
          <c:orientation val="minMax"/>
        </c:scaling>
        <c:delete val="0"/>
        <c:axPos val="b"/>
        <c:numFmt formatCode="General" sourceLinked="0"/>
        <c:majorTickMark val="out"/>
        <c:minorTickMark val="none"/>
        <c:tickLblPos val="low"/>
        <c:txPr>
          <a:bodyPr rot="-5400000" vert="horz"/>
          <a:lstStyle/>
          <a:p>
            <a:pPr>
              <a:defRPr lang="es-GT"/>
            </a:pPr>
            <a:endParaRPr lang="es-GT"/>
          </a:p>
        </c:txPr>
        <c:crossAx val="110929408"/>
        <c:crosses val="autoZero"/>
        <c:auto val="1"/>
        <c:lblAlgn val="ctr"/>
        <c:lblOffset val="100"/>
        <c:noMultiLvlLbl val="0"/>
      </c:catAx>
      <c:valAx>
        <c:axId val="110929408"/>
        <c:scaling>
          <c:orientation val="minMax"/>
        </c:scaling>
        <c:delete val="0"/>
        <c:axPos val="l"/>
        <c:numFmt formatCode="#,##0" sourceLinked="0"/>
        <c:majorTickMark val="out"/>
        <c:minorTickMark val="none"/>
        <c:tickLblPos val="nextTo"/>
        <c:txPr>
          <a:bodyPr/>
          <a:lstStyle/>
          <a:p>
            <a:pPr>
              <a:defRPr lang="es-GT"/>
            </a:pPr>
            <a:endParaRPr lang="es-GT"/>
          </a:p>
        </c:txPr>
        <c:crossAx val="110927872"/>
        <c:crosses val="autoZero"/>
        <c:crossBetween val="between"/>
      </c:valAx>
    </c:plotArea>
    <c:legend>
      <c:legendPos val="b"/>
      <c:layout>
        <c:manualLayout>
          <c:xMode val="edge"/>
          <c:yMode val="edge"/>
          <c:x val="0.68733680044630652"/>
          <c:y val="3.333599177463889E-2"/>
          <c:w val="0.26552872497109709"/>
          <c:h val="9.0686478296102241E-2"/>
        </c:manualLayout>
      </c:layout>
      <c:overlay val="0"/>
      <c:txPr>
        <a:bodyPr/>
        <a:lstStyle/>
        <a:p>
          <a:pPr>
            <a:defRPr lang="es-GT" sz="800"/>
          </a:pPr>
          <a:endParaRPr lang="es-GT"/>
        </a:p>
      </c:txPr>
    </c:legend>
    <c:plotVisOnly val="1"/>
    <c:dispBlanksAs val="gap"/>
    <c:showDLblsOverMax val="0"/>
  </c:chart>
  <c:spPr>
    <a:ln>
      <a:noFill/>
    </a:ln>
    <a:effectLst/>
  </c:spPr>
  <c:txPr>
    <a:bodyPr/>
    <a:lstStyle/>
    <a:p>
      <a:pPr>
        <a:defRPr sz="700">
          <a:latin typeface="Times New Roman" pitchFamily="18" charset="0"/>
          <a:cs typeface="Times New Roman" pitchFamily="18" charset="0"/>
        </a:defRPr>
      </a:pPr>
      <a:endParaRPr lang="es-G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0.92373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076451"/>
          <a:ext cx="2581274" cy="1714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GT" sz="800">
              <a:latin typeface="Times New Roman" panose="02020603050405020304" pitchFamily="18" charset="0"/>
              <a:cs typeface="Times New Roman" panose="02020603050405020304" pitchFamily="18" charset="0"/>
            </a:rPr>
            <a:t>*/2016</a:t>
          </a:r>
          <a:r>
            <a:rPr lang="es-GT" sz="800" baseline="0">
              <a:latin typeface="Times New Roman" panose="02020603050405020304" pitchFamily="18" charset="0"/>
              <a:cs typeface="Times New Roman" panose="02020603050405020304" pitchFamily="18" charset="0"/>
            </a:rPr>
            <a:t> incluye Q 1,305.9 por adeudos tributarios </a:t>
          </a:r>
          <a:endParaRPr lang="es-GT" sz="8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0.90511</cdr:y>
    </cdr:from>
    <cdr:to>
      <cdr:x>0.72814</cdr:x>
      <cdr:y>1</cdr:y>
    </cdr:to>
    <cdr:sp macro="" textlink="">
      <cdr:nvSpPr>
        <cdr:cNvPr id="2" name="1 CuadroTexto"/>
        <cdr:cNvSpPr txBox="1"/>
      </cdr:nvSpPr>
      <cdr:spPr>
        <a:xfrm xmlns:a="http://schemas.openxmlformats.org/drawingml/2006/main">
          <a:off x="0" y="2930079"/>
          <a:ext cx="2777027" cy="30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700" b="1">
              <a:latin typeface="Times New Roman" pitchFamily="18" charset="0"/>
              <a:cs typeface="Times New Roman" pitchFamily="18" charset="0"/>
            </a:rPr>
            <a:t>* Incluye amortizaciones de la deuda</a:t>
          </a:r>
          <a:r>
            <a:rPr lang="es-GT" sz="700" b="1" baseline="0">
              <a:latin typeface="Times New Roman" pitchFamily="18" charset="0"/>
              <a:cs typeface="Times New Roman" pitchFamily="18" charset="0"/>
            </a:rPr>
            <a:t> pública</a:t>
          </a:r>
        </a:p>
        <a:p xmlns:a="http://schemas.openxmlformats.org/drawingml/2006/main">
          <a:r>
            <a:rPr lang="es-GT" sz="700" b="1" baseline="0">
              <a:latin typeface="Times New Roman" pitchFamily="18" charset="0"/>
              <a:cs typeface="Times New Roman" pitchFamily="18" charset="0"/>
            </a:rPr>
            <a:t>Fuente: DAPF</a:t>
          </a:r>
          <a:endParaRPr lang="es-GT" sz="7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AF901-C3CF-4EA3-BA1D-BBE33054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7</Pages>
  <Words>2387</Words>
  <Characters>13132</Characters>
  <Application>Microsoft Office Word</Application>
  <DocSecurity>0</DocSecurity>
  <Lines>109</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9</cp:revision>
  <dcterms:created xsi:type="dcterms:W3CDTF">2017-10-30T16:59:00Z</dcterms:created>
  <dcterms:modified xsi:type="dcterms:W3CDTF">2017-10-30T21:37:00Z</dcterms:modified>
</cp:coreProperties>
</file>