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51" w:rsidRPr="0065558E" w:rsidRDefault="0065558E"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65558E" w:rsidSect="00754057">
          <w:headerReference w:type="default" r:id="rId9"/>
          <w:footerReference w:type="default" r:id="rId10"/>
          <w:pgSz w:w="12240" w:h="15840" w:code="1"/>
          <w:pgMar w:top="1418" w:right="1418" w:bottom="1418" w:left="1418" w:header="709" w:footer="709" w:gutter="0"/>
          <w:cols w:space="708"/>
          <w:docGrid w:linePitch="360"/>
        </w:sectPr>
      </w:pPr>
      <w:r w:rsidRPr="0065558E">
        <w:rPr>
          <w:rFonts w:ascii="Times New Roman" w:hAnsi="Times New Roman" w:cs="Times New Roman"/>
          <w:b/>
          <w:lang w:val="es-MX"/>
        </w:rPr>
        <w:t>R</w:t>
      </w:r>
      <w:r w:rsidR="00157402" w:rsidRPr="0065558E">
        <w:rPr>
          <w:rFonts w:ascii="Times New Roman" w:hAnsi="Times New Roman" w:cs="Times New Roman"/>
          <w:b/>
          <w:lang w:val="es-MX"/>
        </w:rPr>
        <w:t xml:space="preserve">esultado fiscal </w:t>
      </w:r>
      <w:r w:rsidRPr="0065558E">
        <w:rPr>
          <w:rFonts w:ascii="Times New Roman" w:hAnsi="Times New Roman" w:cs="Times New Roman"/>
          <w:b/>
          <w:lang w:val="es-MX"/>
        </w:rPr>
        <w:t>muestra</w:t>
      </w:r>
      <w:r w:rsidR="00157402" w:rsidRPr="0065558E">
        <w:rPr>
          <w:rFonts w:ascii="Times New Roman" w:hAnsi="Times New Roman" w:cs="Times New Roman"/>
          <w:b/>
          <w:lang w:val="es-MX"/>
        </w:rPr>
        <w:t xml:space="preserve"> un déficit </w:t>
      </w:r>
      <w:r w:rsidRPr="0065558E">
        <w:rPr>
          <w:rFonts w:ascii="Times New Roman" w:hAnsi="Times New Roman" w:cs="Times New Roman"/>
          <w:b/>
          <w:lang w:val="es-MX"/>
        </w:rPr>
        <w:t>moderado</w:t>
      </w:r>
    </w:p>
    <w:p w:rsidR="007D4651" w:rsidRPr="002B5DEE" w:rsidRDefault="007D4651" w:rsidP="007D4651">
      <w:pPr>
        <w:pStyle w:val="Sinespaciado"/>
        <w:rPr>
          <w:rFonts w:ascii="Times New Roman" w:hAnsi="Times New Roman" w:cs="Times New Roman"/>
          <w:b/>
          <w:color w:val="FF0000"/>
          <w:sz w:val="18"/>
          <w:lang w:val="es-MX"/>
        </w:rPr>
      </w:pPr>
    </w:p>
    <w:p w:rsidR="007D4651" w:rsidRPr="002B5DEE" w:rsidRDefault="007D4651" w:rsidP="007D4651">
      <w:pPr>
        <w:pStyle w:val="Sinespaciado"/>
        <w:jc w:val="center"/>
        <w:rPr>
          <w:rFonts w:ascii="Times New Roman" w:hAnsi="Times New Roman" w:cs="Times New Roman"/>
          <w:b/>
          <w:color w:val="FF0000"/>
          <w:lang w:val="es-MX"/>
        </w:rPr>
        <w:sectPr w:rsidR="007D4651" w:rsidRPr="002B5DEE" w:rsidSect="00213F7F">
          <w:type w:val="continuous"/>
          <w:pgSz w:w="12240" w:h="15840"/>
          <w:pgMar w:top="1417" w:right="1701" w:bottom="1417" w:left="1701" w:header="708" w:footer="708" w:gutter="0"/>
          <w:cols w:space="708"/>
          <w:docGrid w:linePitch="360"/>
        </w:sectPr>
      </w:pPr>
    </w:p>
    <w:p w:rsidR="008B12FF" w:rsidRPr="002B5DEE" w:rsidRDefault="0065558E" w:rsidP="008B12FF">
      <w:pPr>
        <w:pStyle w:val="Sinespaciado"/>
        <w:jc w:val="both"/>
        <w:rPr>
          <w:rFonts w:ascii="Times New Roman" w:hAnsi="Times New Roman" w:cs="Times New Roman"/>
          <w:color w:val="FF0000"/>
          <w:lang w:val="es-MX"/>
        </w:rPr>
      </w:pPr>
      <w:r>
        <w:rPr>
          <w:rFonts w:ascii="Times New Roman" w:hAnsi="Times New Roman" w:cs="Times New Roman"/>
          <w:color w:val="000000" w:themeColor="text1"/>
          <w:lang w:val="es-MX"/>
        </w:rPr>
        <w:lastRenderedPageBreak/>
        <w:t xml:space="preserve">Dado el comportamiento estacional de los ingresos, en septiembre el nivel observado de recaudación fue bastante moderado a causa de que no hubo vencimientos de impuestos importantes.  De esa cuenta, los gastos fueron sustancialmente superiores a la ejecución de gasto público, por lo que el déficit fiscal acumulado al 30 de septiembre de este año se </w:t>
      </w:r>
      <w:r>
        <w:rPr>
          <w:rFonts w:ascii="Times New Roman" w:hAnsi="Times New Roman" w:cs="Times New Roman"/>
          <w:color w:val="000000" w:themeColor="text1"/>
          <w:lang w:val="es-MX"/>
        </w:rPr>
        <w:lastRenderedPageBreak/>
        <w:t>ubicó en Q</w:t>
      </w:r>
      <w:r>
        <w:rPr>
          <w:rFonts w:ascii="Times New Roman" w:hAnsi="Times New Roman" w:cs="Times New Roman"/>
          <w:color w:val="000000" w:themeColor="text1"/>
          <w:lang w:val="es-MX"/>
        </w:rPr>
        <w:t xml:space="preserve"> </w:t>
      </w:r>
      <w:r>
        <w:rPr>
          <w:rFonts w:ascii="Times New Roman" w:hAnsi="Times New Roman" w:cs="Times New Roman"/>
          <w:color w:val="000000" w:themeColor="text1"/>
          <w:lang w:val="es-MX"/>
        </w:rPr>
        <w:t>1,223.1 millones, que contrasta con el déficit observado a esa misma fecha del 2015 (5,218.0 millones).  Se espera que dado el comportamiento del gasto este aumente y ubique el déficit fiscal, al final del año, en un máximo de 1.3% del PIB.</w:t>
      </w:r>
      <w:r w:rsidR="008B12FF" w:rsidRPr="002B5DEE">
        <w:rPr>
          <w:rFonts w:ascii="Times New Roman" w:hAnsi="Times New Roman" w:cs="Times New Roman"/>
          <w:color w:val="FF0000"/>
          <w:lang w:val="es-MX"/>
        </w:rPr>
        <w:t xml:space="preserve"> </w:t>
      </w:r>
    </w:p>
    <w:p w:rsidR="007D4651" w:rsidRPr="002B5DEE" w:rsidRDefault="007D4651" w:rsidP="008F312E">
      <w:pPr>
        <w:pStyle w:val="Sinespaciado"/>
        <w:jc w:val="both"/>
        <w:rPr>
          <w:rFonts w:ascii="Times New Roman" w:hAnsi="Times New Roman" w:cs="Times New Roman"/>
          <w:color w:val="FF0000"/>
          <w:lang w:val="es-MX"/>
        </w:rPr>
      </w:pPr>
    </w:p>
    <w:p w:rsidR="007D4651" w:rsidRPr="002B5DEE" w:rsidRDefault="007D4651" w:rsidP="007D4651">
      <w:pPr>
        <w:pStyle w:val="Sinespaciado"/>
        <w:jc w:val="both"/>
        <w:rPr>
          <w:rFonts w:ascii="Times New Roman" w:hAnsi="Times New Roman" w:cs="Times New Roman"/>
          <w:color w:val="FF0000"/>
          <w:lang w:val="es-MX"/>
        </w:rPr>
      </w:pPr>
    </w:p>
    <w:p w:rsidR="007D4651" w:rsidRPr="002B5DEE" w:rsidRDefault="007D4651" w:rsidP="007D4651">
      <w:pPr>
        <w:pStyle w:val="Sinespaciado"/>
        <w:jc w:val="center"/>
        <w:rPr>
          <w:rFonts w:ascii="Times New Roman" w:hAnsi="Times New Roman" w:cs="Times New Roman"/>
          <w:b/>
          <w:color w:val="FF0000"/>
          <w:lang w:val="es-MX"/>
        </w:rPr>
        <w:sectPr w:rsidR="007D4651" w:rsidRPr="002B5DEE" w:rsidSect="005D6A2E">
          <w:type w:val="continuous"/>
          <w:pgSz w:w="12240" w:h="15840"/>
          <w:pgMar w:top="1417" w:right="1701" w:bottom="1417" w:left="1701" w:header="708" w:footer="708" w:gutter="0"/>
          <w:cols w:num="2" w:space="708"/>
          <w:docGrid w:linePitch="360"/>
        </w:sectPr>
      </w:pPr>
    </w:p>
    <w:p w:rsidR="007D4651" w:rsidRPr="002B5DEE" w:rsidRDefault="007D4651" w:rsidP="007D4651">
      <w:pPr>
        <w:pStyle w:val="Sinespaciado"/>
        <w:jc w:val="center"/>
        <w:rPr>
          <w:rFonts w:ascii="Times New Roman" w:hAnsi="Times New Roman" w:cs="Times New Roman"/>
          <w:b/>
          <w:color w:val="FF0000"/>
          <w:lang w:val="es-MX"/>
        </w:rPr>
      </w:pPr>
    </w:p>
    <w:p w:rsidR="007D4651" w:rsidRPr="002B5DEE" w:rsidRDefault="007D4651" w:rsidP="007D4651">
      <w:pPr>
        <w:pStyle w:val="Sinespaciado"/>
        <w:jc w:val="center"/>
        <w:rPr>
          <w:rFonts w:ascii="Times New Roman" w:hAnsi="Times New Roman" w:cs="Times New Roman"/>
          <w:b/>
          <w:color w:val="FF0000"/>
          <w:lang w:val="es-MX"/>
        </w:rPr>
        <w:sectPr w:rsidR="007D4651" w:rsidRPr="002B5DEE" w:rsidSect="007D4651">
          <w:type w:val="continuous"/>
          <w:pgSz w:w="12240" w:h="15840" w:code="1"/>
          <w:pgMar w:top="1418" w:right="1418" w:bottom="1418" w:left="1418" w:header="709" w:footer="709" w:gutter="0"/>
          <w:cols w:num="2" w:space="708"/>
          <w:docGrid w:linePitch="360"/>
        </w:sectPr>
      </w:pPr>
    </w:p>
    <w:p w:rsidR="0065558E" w:rsidRDefault="0065558E" w:rsidP="0065558E">
      <w:pPr>
        <w:pStyle w:val="Sinespaciado"/>
        <w:jc w:val="center"/>
        <w:rPr>
          <w:rFonts w:ascii="Times New Roman" w:hAnsi="Times New Roman" w:cs="Times New Roman"/>
          <w:b/>
          <w:lang w:val="es-MX"/>
        </w:rPr>
      </w:pPr>
      <w:r w:rsidRPr="00C1022E">
        <w:rPr>
          <w:rFonts w:ascii="Times New Roman" w:hAnsi="Times New Roman" w:cs="Times New Roman"/>
          <w:b/>
          <w:lang w:val="es-MX"/>
        </w:rPr>
        <w:lastRenderedPageBreak/>
        <w:t>Resultado Presupuestario</w:t>
      </w:r>
    </w:p>
    <w:p w:rsidR="00BC79C1" w:rsidRPr="0065558E" w:rsidRDefault="00BC79C1" w:rsidP="00BC79C1">
      <w:pPr>
        <w:pStyle w:val="Sinespaciado"/>
        <w:jc w:val="center"/>
        <w:rPr>
          <w:rFonts w:ascii="Times New Roman" w:hAnsi="Times New Roman" w:cs="Times New Roman"/>
          <w:sz w:val="18"/>
          <w:lang w:val="es-MX"/>
        </w:rPr>
      </w:pPr>
      <w:r w:rsidRPr="0065558E">
        <w:rPr>
          <w:rFonts w:ascii="Times New Roman" w:hAnsi="Times New Roman" w:cs="Times New Roman"/>
          <w:sz w:val="18"/>
          <w:lang w:val="es-MX"/>
        </w:rPr>
        <w:t>Millones de quetzales</w:t>
      </w:r>
    </w:p>
    <w:p w:rsidR="007D4651" w:rsidRPr="002B5DEE" w:rsidRDefault="0065558E" w:rsidP="007D4651">
      <w:pPr>
        <w:pStyle w:val="Sinespaciado"/>
        <w:jc w:val="center"/>
        <w:rPr>
          <w:rFonts w:ascii="Times New Roman" w:hAnsi="Times New Roman" w:cs="Times New Roman"/>
          <w:color w:val="FF0000"/>
          <w:lang w:val="es-MX"/>
        </w:rPr>
      </w:pPr>
      <w:r>
        <w:rPr>
          <w:rFonts w:ascii="Times New Roman" w:hAnsi="Times New Roman" w:cs="Times New Roman"/>
          <w:noProof/>
          <w:sz w:val="18"/>
          <w:lang w:eastAsia="es-GT"/>
        </w:rPr>
        <w:drawing>
          <wp:inline distT="0" distB="0" distL="0" distR="0" wp14:anchorId="408AD7FA" wp14:editId="298C57E1">
            <wp:extent cx="3823762" cy="2850776"/>
            <wp:effectExtent l="0" t="0" r="5715"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0848" cy="2863514"/>
                    </a:xfrm>
                    <a:prstGeom prst="rect">
                      <a:avLst/>
                    </a:prstGeom>
                    <a:noFill/>
                  </pic:spPr>
                </pic:pic>
              </a:graphicData>
            </a:graphic>
          </wp:inline>
        </w:drawing>
      </w:r>
    </w:p>
    <w:p w:rsidR="007D4651" w:rsidRPr="0065558E" w:rsidRDefault="0065558E" w:rsidP="00CC3420">
      <w:pPr>
        <w:pStyle w:val="Sinespaciado"/>
        <w:ind w:left="1416" w:firstLine="708"/>
        <w:jc w:val="both"/>
        <w:rPr>
          <w:rFonts w:ascii="Times New Roman" w:hAnsi="Times New Roman" w:cs="Times New Roman"/>
          <w:sz w:val="16"/>
        </w:rPr>
      </w:pPr>
      <w:r>
        <w:rPr>
          <w:rFonts w:ascii="Times New Roman" w:hAnsi="Times New Roman" w:cs="Times New Roman"/>
          <w:sz w:val="16"/>
        </w:rPr>
        <w:t xml:space="preserve">         </w:t>
      </w:r>
      <w:r w:rsidR="007D4651" w:rsidRPr="0065558E">
        <w:rPr>
          <w:rFonts w:ascii="Times New Roman" w:hAnsi="Times New Roman" w:cs="Times New Roman"/>
          <w:sz w:val="16"/>
        </w:rPr>
        <w:t>Fuente: Dirección de Análisis y Política fiscal</w:t>
      </w:r>
    </w:p>
    <w:p w:rsidR="00DF71A8" w:rsidRPr="002B5DEE" w:rsidRDefault="00DF71A8" w:rsidP="007D4651">
      <w:pPr>
        <w:spacing w:after="0" w:line="240" w:lineRule="auto"/>
        <w:rPr>
          <w:rFonts w:ascii="Times New Roman" w:hAnsi="Times New Roman" w:cs="Times New Roman"/>
          <w:color w:val="FF0000"/>
          <w:lang w:val="es-MX"/>
        </w:rPr>
      </w:pPr>
    </w:p>
    <w:p w:rsidR="00DF71A8" w:rsidRDefault="00DF71A8" w:rsidP="007D4651">
      <w:pPr>
        <w:spacing w:after="0" w:line="240" w:lineRule="auto"/>
        <w:rPr>
          <w:rFonts w:ascii="Times New Roman" w:hAnsi="Times New Roman" w:cs="Times New Roman"/>
          <w:color w:val="FF0000"/>
          <w:lang w:val="es-MX"/>
        </w:rPr>
      </w:pPr>
    </w:p>
    <w:p w:rsidR="00C00DBD" w:rsidRPr="002B5DEE" w:rsidRDefault="00C00DBD" w:rsidP="007D4651">
      <w:pPr>
        <w:spacing w:after="0" w:line="240" w:lineRule="auto"/>
        <w:rPr>
          <w:rFonts w:ascii="Times New Roman" w:hAnsi="Times New Roman" w:cs="Times New Roman"/>
          <w:color w:val="FF0000"/>
          <w:lang w:val="es-MX"/>
        </w:rPr>
        <w:sectPr w:rsidR="00C00DBD" w:rsidRPr="002B5DEE" w:rsidSect="007D4651">
          <w:type w:val="continuous"/>
          <w:pgSz w:w="12240" w:h="15840" w:code="1"/>
          <w:pgMar w:top="1418" w:right="1418" w:bottom="1418" w:left="1418" w:header="709" w:footer="709" w:gutter="0"/>
          <w:cols w:space="708"/>
          <w:docGrid w:linePitch="360"/>
        </w:sectPr>
      </w:pPr>
    </w:p>
    <w:p w:rsidR="00E16925" w:rsidRPr="00B64336" w:rsidRDefault="00B64336" w:rsidP="00CC3420">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sidRPr="00B64336">
        <w:rPr>
          <w:rFonts w:ascii="Times New Roman" w:hAnsi="Times New Roman" w:cs="Times New Roman"/>
          <w:b/>
          <w:lang w:val="es-MX"/>
        </w:rPr>
        <w:lastRenderedPageBreak/>
        <w:t>La meta mensual de septiembre no</w:t>
      </w:r>
      <w:r w:rsidR="00B21010" w:rsidRPr="00B64336">
        <w:rPr>
          <w:rFonts w:ascii="Times New Roman" w:hAnsi="Times New Roman" w:cs="Times New Roman"/>
          <w:b/>
          <w:lang w:val="es-MX"/>
        </w:rPr>
        <w:t xml:space="preserve"> se </w:t>
      </w:r>
      <w:r w:rsidRPr="00B64336">
        <w:rPr>
          <w:rFonts w:ascii="Times New Roman" w:hAnsi="Times New Roman" w:cs="Times New Roman"/>
          <w:b/>
          <w:lang w:val="es-MX"/>
        </w:rPr>
        <w:t>alcanzó</w:t>
      </w:r>
    </w:p>
    <w:p w:rsidR="00E16925" w:rsidRPr="002B5DEE" w:rsidRDefault="00E16925" w:rsidP="00E16925">
      <w:pPr>
        <w:rPr>
          <w:rFonts w:ascii="Times New Roman" w:hAnsi="Times New Roman" w:cs="Times New Roman"/>
          <w:b/>
          <w:color w:val="FF0000"/>
          <w:lang w:val="es-MX"/>
        </w:rPr>
        <w:sectPr w:rsidR="00E16925" w:rsidRPr="002B5DEE" w:rsidSect="00E16925">
          <w:headerReference w:type="default" r:id="rId12"/>
          <w:footerReference w:type="default" r:id="rId13"/>
          <w:type w:val="continuous"/>
          <w:pgSz w:w="12240" w:h="15840" w:code="1"/>
          <w:pgMar w:top="1418" w:right="1418" w:bottom="1418" w:left="1418" w:header="709" w:footer="709" w:gutter="0"/>
          <w:cols w:space="708"/>
          <w:docGrid w:linePitch="360"/>
        </w:sectPr>
      </w:pPr>
    </w:p>
    <w:p w:rsidR="00E16925" w:rsidRPr="002B5DEE" w:rsidRDefault="00E16925" w:rsidP="00E16925">
      <w:pPr>
        <w:pStyle w:val="Sinespaciado"/>
        <w:rPr>
          <w:rFonts w:ascii="Times New Roman" w:hAnsi="Times New Roman" w:cs="Times New Roman"/>
          <w:b/>
          <w:color w:val="FF0000"/>
          <w:sz w:val="18"/>
          <w:lang w:val="es-MX"/>
        </w:rPr>
      </w:pPr>
    </w:p>
    <w:p w:rsidR="00E16925" w:rsidRPr="002B5DEE" w:rsidRDefault="00E16925" w:rsidP="00E16925">
      <w:pPr>
        <w:pStyle w:val="Sinespaciado"/>
        <w:jc w:val="center"/>
        <w:rPr>
          <w:rFonts w:ascii="Times New Roman" w:hAnsi="Times New Roman" w:cs="Times New Roman"/>
          <w:b/>
          <w:color w:val="FF0000"/>
          <w:lang w:val="es-MX"/>
        </w:rPr>
        <w:sectPr w:rsidR="00E16925" w:rsidRPr="002B5DEE" w:rsidSect="00213F7F">
          <w:type w:val="continuous"/>
          <w:pgSz w:w="12240" w:h="15840"/>
          <w:pgMar w:top="1417" w:right="1701" w:bottom="1417" w:left="1701" w:header="708" w:footer="708" w:gutter="0"/>
          <w:cols w:space="708"/>
          <w:docGrid w:linePitch="360"/>
        </w:sectPr>
      </w:pPr>
    </w:p>
    <w:p w:rsidR="00B64336" w:rsidRDefault="00B64336" w:rsidP="00B64336">
      <w:pPr>
        <w:spacing w:after="0" w:line="240" w:lineRule="auto"/>
        <w:jc w:val="both"/>
        <w:rPr>
          <w:rFonts w:ascii="Times New Roman" w:hAnsi="Times New Roman" w:cs="Times New Roman"/>
          <w:lang w:val="es-MX"/>
        </w:rPr>
      </w:pPr>
      <w:r>
        <w:rPr>
          <w:rFonts w:ascii="Times New Roman" w:hAnsi="Times New Roman" w:cs="Times New Roman"/>
          <w:lang w:val="es-MX"/>
        </w:rPr>
        <w:lastRenderedPageBreak/>
        <w:t>La ejecución mensual de la recaudación respecto a presupuesto fue 96.3</w:t>
      </w:r>
      <w:r w:rsidRPr="009F78B7">
        <w:rPr>
          <w:rFonts w:ascii="Times New Roman" w:hAnsi="Times New Roman" w:cs="Times New Roman"/>
          <w:lang w:val="es-MX"/>
        </w:rPr>
        <w:t>%</w:t>
      </w:r>
      <w:r>
        <w:rPr>
          <w:rFonts w:ascii="Times New Roman" w:hAnsi="Times New Roman" w:cs="Times New Roman"/>
          <w:lang w:val="es-MX"/>
        </w:rPr>
        <w:t>, dejándose de recaudar Q</w:t>
      </w:r>
      <w:r>
        <w:rPr>
          <w:rFonts w:ascii="Times New Roman" w:hAnsi="Times New Roman" w:cs="Times New Roman"/>
          <w:lang w:val="es-MX"/>
        </w:rPr>
        <w:t xml:space="preserve"> </w:t>
      </w:r>
      <w:r>
        <w:rPr>
          <w:rFonts w:ascii="Times New Roman" w:hAnsi="Times New Roman" w:cs="Times New Roman"/>
          <w:lang w:val="es-MX"/>
        </w:rPr>
        <w:t>140.9 millones.</w:t>
      </w:r>
      <w:r w:rsidRPr="009F78B7">
        <w:rPr>
          <w:rFonts w:ascii="Times New Roman" w:hAnsi="Times New Roman" w:cs="Times New Roman"/>
          <w:lang w:val="es-MX"/>
        </w:rPr>
        <w:t xml:space="preserve"> </w:t>
      </w:r>
      <w:r>
        <w:rPr>
          <w:rFonts w:ascii="Times New Roman" w:hAnsi="Times New Roman" w:cs="Times New Roman"/>
          <w:lang w:val="es-MX"/>
        </w:rPr>
        <w:t>Factores que impidieron alcanzar la meta mensual de presupuesto fueron la baja ejecución (91.9%) en la recaudación del ISR, el deterioro en el IVA doméstico y el IVA de importaciones que en conjunto dejaron de recaudar Q 131.9 millones.</w:t>
      </w:r>
    </w:p>
    <w:p w:rsidR="00B64336" w:rsidRDefault="00B64336" w:rsidP="00B64336">
      <w:pPr>
        <w:spacing w:after="0" w:line="240" w:lineRule="auto"/>
        <w:jc w:val="both"/>
        <w:rPr>
          <w:rFonts w:ascii="Times New Roman" w:hAnsi="Times New Roman" w:cs="Times New Roman"/>
          <w:lang w:val="es-MX"/>
        </w:rPr>
      </w:pPr>
    </w:p>
    <w:p w:rsidR="00C00DBD" w:rsidRDefault="00C00DBD" w:rsidP="00B64336">
      <w:pPr>
        <w:spacing w:after="0" w:line="240" w:lineRule="auto"/>
        <w:jc w:val="both"/>
        <w:rPr>
          <w:rFonts w:ascii="Times New Roman" w:hAnsi="Times New Roman" w:cs="Times New Roman"/>
          <w:lang w:val="es-MX"/>
        </w:rPr>
      </w:pPr>
    </w:p>
    <w:p w:rsidR="00C00DBD" w:rsidRPr="009F78B7" w:rsidRDefault="00C00DBD" w:rsidP="00B64336">
      <w:pPr>
        <w:spacing w:after="0" w:line="240" w:lineRule="auto"/>
        <w:jc w:val="both"/>
        <w:rPr>
          <w:rFonts w:ascii="Times New Roman" w:hAnsi="Times New Roman" w:cs="Times New Roman"/>
          <w:lang w:val="es-MX"/>
        </w:rPr>
      </w:pPr>
    </w:p>
    <w:p w:rsidR="00B64336" w:rsidRPr="007A2067" w:rsidRDefault="00B64336" w:rsidP="00B64336">
      <w:pPr>
        <w:spacing w:after="0" w:line="240" w:lineRule="auto"/>
        <w:jc w:val="both"/>
        <w:rPr>
          <w:rFonts w:ascii="Times New Roman" w:hAnsi="Times New Roman" w:cs="Times New Roman"/>
          <w:lang w:val="es-MX"/>
        </w:rPr>
      </w:pPr>
      <w:r w:rsidRPr="009F78B7">
        <w:rPr>
          <w:rFonts w:ascii="Times New Roman" w:hAnsi="Times New Roman" w:cs="Times New Roman"/>
          <w:lang w:val="es-MX"/>
        </w:rPr>
        <w:t xml:space="preserve">Con relación al año anterior </w:t>
      </w:r>
      <w:r>
        <w:rPr>
          <w:rFonts w:ascii="Times New Roman" w:hAnsi="Times New Roman" w:cs="Times New Roman"/>
          <w:lang w:val="es-MX"/>
        </w:rPr>
        <w:t xml:space="preserve">la recaudación </w:t>
      </w:r>
      <w:r w:rsidRPr="007A2067">
        <w:rPr>
          <w:rFonts w:ascii="Times New Roman" w:hAnsi="Times New Roman" w:cs="Times New Roman"/>
          <w:lang w:val="es-MX"/>
        </w:rPr>
        <w:t xml:space="preserve">mensual </w:t>
      </w:r>
      <w:r>
        <w:rPr>
          <w:rFonts w:ascii="Times New Roman" w:hAnsi="Times New Roman" w:cs="Times New Roman"/>
          <w:lang w:val="es-MX"/>
        </w:rPr>
        <w:t xml:space="preserve">se superó en </w:t>
      </w:r>
      <w:r w:rsidRPr="007A2067">
        <w:rPr>
          <w:rFonts w:ascii="Times New Roman" w:hAnsi="Times New Roman" w:cs="Times New Roman"/>
          <w:lang w:val="es-MX"/>
        </w:rPr>
        <w:t>Q</w:t>
      </w:r>
      <w:r>
        <w:rPr>
          <w:rFonts w:ascii="Times New Roman" w:hAnsi="Times New Roman" w:cs="Times New Roman"/>
          <w:lang w:val="es-MX"/>
        </w:rPr>
        <w:t xml:space="preserve"> </w:t>
      </w:r>
      <w:r w:rsidRPr="007A2067">
        <w:rPr>
          <w:rFonts w:ascii="Times New Roman" w:hAnsi="Times New Roman" w:cs="Times New Roman"/>
          <w:lang w:val="es-MX"/>
        </w:rPr>
        <w:t>23</w:t>
      </w:r>
      <w:r>
        <w:rPr>
          <w:rFonts w:ascii="Times New Roman" w:hAnsi="Times New Roman" w:cs="Times New Roman"/>
          <w:lang w:val="es-MX"/>
        </w:rPr>
        <w:t>5</w:t>
      </w:r>
      <w:r w:rsidRPr="007A2067">
        <w:rPr>
          <w:rFonts w:ascii="Times New Roman" w:hAnsi="Times New Roman" w:cs="Times New Roman"/>
          <w:lang w:val="es-MX"/>
        </w:rPr>
        <w:t>.</w:t>
      </w:r>
      <w:r>
        <w:rPr>
          <w:rFonts w:ascii="Times New Roman" w:hAnsi="Times New Roman" w:cs="Times New Roman"/>
          <w:lang w:val="es-MX"/>
        </w:rPr>
        <w:t>6</w:t>
      </w:r>
      <w:r w:rsidRPr="007A2067">
        <w:rPr>
          <w:rFonts w:ascii="Times New Roman" w:hAnsi="Times New Roman" w:cs="Times New Roman"/>
          <w:lang w:val="es-MX"/>
        </w:rPr>
        <w:t xml:space="preserve"> millones impulsada principalmente por el ISR e  IVA total que en conjunto determinan el 7</w:t>
      </w:r>
      <w:r>
        <w:rPr>
          <w:rFonts w:ascii="Times New Roman" w:hAnsi="Times New Roman" w:cs="Times New Roman"/>
          <w:lang w:val="es-MX"/>
        </w:rPr>
        <w:t>8.4</w:t>
      </w:r>
      <w:r w:rsidRPr="007A2067">
        <w:rPr>
          <w:rFonts w:ascii="Times New Roman" w:hAnsi="Times New Roman" w:cs="Times New Roman"/>
          <w:lang w:val="es-MX"/>
        </w:rPr>
        <w:t>% de la recaudación total y aportan Q</w:t>
      </w:r>
      <w:r>
        <w:rPr>
          <w:rFonts w:ascii="Times New Roman" w:hAnsi="Times New Roman" w:cs="Times New Roman"/>
          <w:lang w:val="es-MX"/>
        </w:rPr>
        <w:t xml:space="preserve"> </w:t>
      </w:r>
      <w:r w:rsidRPr="007A2067">
        <w:rPr>
          <w:rFonts w:ascii="Times New Roman" w:hAnsi="Times New Roman" w:cs="Times New Roman"/>
          <w:lang w:val="es-MX"/>
        </w:rPr>
        <w:t>2,874.5 millones a los Q</w:t>
      </w:r>
      <w:r>
        <w:rPr>
          <w:rFonts w:ascii="Times New Roman" w:hAnsi="Times New Roman" w:cs="Times New Roman"/>
          <w:lang w:val="es-MX"/>
        </w:rPr>
        <w:t xml:space="preserve"> </w:t>
      </w:r>
      <w:r w:rsidRPr="007A2067">
        <w:rPr>
          <w:rFonts w:ascii="Times New Roman" w:hAnsi="Times New Roman" w:cs="Times New Roman"/>
          <w:lang w:val="es-MX"/>
        </w:rPr>
        <w:t>3,66</w:t>
      </w:r>
      <w:r>
        <w:rPr>
          <w:rFonts w:ascii="Times New Roman" w:hAnsi="Times New Roman" w:cs="Times New Roman"/>
          <w:lang w:val="es-MX"/>
        </w:rPr>
        <w:t>5</w:t>
      </w:r>
      <w:r w:rsidRPr="007A2067">
        <w:rPr>
          <w:rFonts w:ascii="Times New Roman" w:hAnsi="Times New Roman" w:cs="Times New Roman"/>
          <w:lang w:val="es-MX"/>
        </w:rPr>
        <w:t>.</w:t>
      </w:r>
      <w:r>
        <w:rPr>
          <w:rFonts w:ascii="Times New Roman" w:hAnsi="Times New Roman" w:cs="Times New Roman"/>
          <w:lang w:val="es-MX"/>
        </w:rPr>
        <w:t>1</w:t>
      </w:r>
      <w:r w:rsidRPr="007A2067">
        <w:rPr>
          <w:rFonts w:ascii="Times New Roman" w:hAnsi="Times New Roman" w:cs="Times New Roman"/>
          <w:lang w:val="es-MX"/>
        </w:rPr>
        <w:t xml:space="preserve"> millones recaudados.</w:t>
      </w:r>
    </w:p>
    <w:p w:rsidR="00B64336" w:rsidRDefault="00B64336" w:rsidP="00B64336">
      <w:pPr>
        <w:spacing w:after="0" w:line="240" w:lineRule="auto"/>
        <w:jc w:val="both"/>
        <w:rPr>
          <w:rFonts w:ascii="Times New Roman" w:hAnsi="Times New Roman" w:cs="Times New Roman"/>
          <w:lang w:val="es-MX"/>
        </w:rPr>
      </w:pPr>
    </w:p>
    <w:p w:rsidR="00C00DBD" w:rsidRDefault="00C00DBD" w:rsidP="00B64336">
      <w:pPr>
        <w:spacing w:after="0" w:line="240" w:lineRule="auto"/>
        <w:jc w:val="both"/>
        <w:rPr>
          <w:rFonts w:ascii="Times New Roman" w:hAnsi="Times New Roman" w:cs="Times New Roman"/>
          <w:lang w:val="es-MX"/>
        </w:rPr>
      </w:pPr>
    </w:p>
    <w:p w:rsidR="00C00DBD" w:rsidRDefault="00C00DBD" w:rsidP="00B64336">
      <w:pPr>
        <w:spacing w:after="0" w:line="240" w:lineRule="auto"/>
        <w:jc w:val="both"/>
        <w:rPr>
          <w:rFonts w:ascii="Times New Roman" w:hAnsi="Times New Roman" w:cs="Times New Roman"/>
          <w:lang w:val="es-MX"/>
        </w:rPr>
      </w:pPr>
    </w:p>
    <w:p w:rsidR="00B64336" w:rsidRPr="006F5A21" w:rsidRDefault="00B64336" w:rsidP="00B64336">
      <w:pPr>
        <w:spacing w:after="0" w:line="240" w:lineRule="auto"/>
        <w:jc w:val="center"/>
        <w:rPr>
          <w:rFonts w:ascii="Times New Roman" w:hAnsi="Times New Roman" w:cs="Times New Roman"/>
          <w:b/>
          <w:lang w:val="es-MX"/>
        </w:rPr>
      </w:pPr>
      <w:r w:rsidRPr="006F5A21">
        <w:rPr>
          <w:rFonts w:ascii="Times New Roman" w:hAnsi="Times New Roman" w:cs="Times New Roman"/>
          <w:b/>
          <w:lang w:val="es-MX"/>
        </w:rPr>
        <w:lastRenderedPageBreak/>
        <w:t xml:space="preserve">Recaudación observada </w:t>
      </w:r>
      <w:r>
        <w:rPr>
          <w:rFonts w:ascii="Times New Roman" w:hAnsi="Times New Roman" w:cs="Times New Roman"/>
          <w:b/>
          <w:lang w:val="es-MX"/>
        </w:rPr>
        <w:t>vrs</w:t>
      </w:r>
      <w:r w:rsidRPr="006F5A21">
        <w:rPr>
          <w:rFonts w:ascii="Times New Roman" w:hAnsi="Times New Roman" w:cs="Times New Roman"/>
          <w:b/>
          <w:lang w:val="es-MX"/>
        </w:rPr>
        <w:t xml:space="preserve"> meta</w:t>
      </w:r>
      <w:r>
        <w:rPr>
          <w:rFonts w:ascii="Times New Roman" w:hAnsi="Times New Roman" w:cs="Times New Roman"/>
          <w:b/>
          <w:lang w:val="es-MX"/>
        </w:rPr>
        <w:t xml:space="preserve"> y 2015</w:t>
      </w:r>
    </w:p>
    <w:p w:rsidR="00B64336" w:rsidRDefault="00B64336" w:rsidP="00B64336">
      <w:pPr>
        <w:spacing w:after="0" w:line="240" w:lineRule="auto"/>
        <w:jc w:val="center"/>
        <w:rPr>
          <w:rFonts w:ascii="Times New Roman" w:hAnsi="Times New Roman" w:cs="Times New Roman"/>
          <w:b/>
          <w:sz w:val="18"/>
          <w:lang w:val="es-MX"/>
        </w:rPr>
      </w:pPr>
      <w:r w:rsidRPr="009F78B7">
        <w:rPr>
          <w:rFonts w:ascii="Times New Roman" w:hAnsi="Times New Roman" w:cs="Times New Roman"/>
          <w:noProof/>
          <w:lang w:eastAsia="es-GT"/>
        </w:rPr>
        <w:drawing>
          <wp:inline distT="0" distB="0" distL="0" distR="0" wp14:anchorId="00A738DD" wp14:editId="2A3D1A8D">
            <wp:extent cx="3038475" cy="2676525"/>
            <wp:effectExtent l="0" t="0" r="0" b="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4336" w:rsidRPr="007B3D0C" w:rsidRDefault="00B64336" w:rsidP="00B64336">
      <w:pPr>
        <w:spacing w:after="0" w:line="240" w:lineRule="auto"/>
        <w:jc w:val="center"/>
        <w:rPr>
          <w:rFonts w:ascii="Times New Roman" w:hAnsi="Times New Roman" w:cs="Times New Roman"/>
          <w:sz w:val="16"/>
          <w:lang w:val="es-MX"/>
        </w:rPr>
      </w:pPr>
      <w:r w:rsidRPr="007B3D0C">
        <w:rPr>
          <w:rFonts w:ascii="Times New Roman" w:hAnsi="Times New Roman" w:cs="Times New Roman"/>
          <w:sz w:val="16"/>
          <w:lang w:val="es-MX"/>
        </w:rPr>
        <w:t>Fuente: Dirección de Análisis y Política Fiscal</w:t>
      </w:r>
    </w:p>
    <w:p w:rsidR="00B64336" w:rsidRDefault="00B64336" w:rsidP="00B64336">
      <w:pPr>
        <w:spacing w:after="0" w:line="240" w:lineRule="auto"/>
        <w:jc w:val="center"/>
        <w:rPr>
          <w:rFonts w:ascii="Times New Roman" w:hAnsi="Times New Roman" w:cs="Times New Roman"/>
          <w:lang w:val="es-MX"/>
        </w:rPr>
      </w:pPr>
    </w:p>
    <w:p w:rsidR="00B64336" w:rsidRDefault="00B64336" w:rsidP="00B64336">
      <w:pPr>
        <w:spacing w:after="0" w:line="240" w:lineRule="auto"/>
        <w:jc w:val="both"/>
        <w:rPr>
          <w:rFonts w:ascii="Times New Roman" w:hAnsi="Times New Roman" w:cs="Times New Roman"/>
          <w:lang w:val="es-MX"/>
        </w:rPr>
      </w:pPr>
      <w:r>
        <w:rPr>
          <w:rFonts w:ascii="Times New Roman" w:hAnsi="Times New Roman" w:cs="Times New Roman"/>
          <w:lang w:val="es-MX"/>
        </w:rPr>
        <w:t>La recaudación acumulada tiene una ejecución de 99.4% respecto a la meta de presupuesto, la brecha negativa observada en agosto (Q</w:t>
      </w:r>
      <w:r w:rsidR="005D6BEF">
        <w:rPr>
          <w:rFonts w:ascii="Times New Roman" w:hAnsi="Times New Roman" w:cs="Times New Roman"/>
          <w:lang w:val="es-MX"/>
        </w:rPr>
        <w:t xml:space="preserve"> </w:t>
      </w:r>
      <w:r>
        <w:rPr>
          <w:rFonts w:ascii="Times New Roman" w:hAnsi="Times New Roman" w:cs="Times New Roman"/>
          <w:lang w:val="es-MX"/>
        </w:rPr>
        <w:t xml:space="preserve">105.9 millones) se amplió nuevamente ubicándola en Q 246.8 millones. El deterioro nuevamente se fundamenta en la baja recaudación del IVA total pero principalmente en el IVA asociado al comercio exterior, el cual a la fecha tiene una brecha negativa de Q 1,036.1 millones. </w:t>
      </w:r>
    </w:p>
    <w:p w:rsidR="00B64336" w:rsidRDefault="00B64336" w:rsidP="00B64336">
      <w:pPr>
        <w:spacing w:after="0" w:line="240" w:lineRule="auto"/>
        <w:jc w:val="both"/>
        <w:rPr>
          <w:rFonts w:ascii="Times New Roman" w:hAnsi="Times New Roman" w:cs="Times New Roman"/>
          <w:lang w:val="es-MX"/>
        </w:rPr>
      </w:pPr>
    </w:p>
    <w:p w:rsidR="00B64336" w:rsidRDefault="00B64336" w:rsidP="00B64336">
      <w:pPr>
        <w:spacing w:after="0" w:line="240" w:lineRule="auto"/>
        <w:jc w:val="center"/>
        <w:rPr>
          <w:rFonts w:ascii="Times New Roman" w:hAnsi="Times New Roman" w:cs="Times New Roman"/>
          <w:b/>
          <w:lang w:val="es-MX"/>
        </w:rPr>
      </w:pPr>
      <w:r>
        <w:rPr>
          <w:rFonts w:ascii="Times New Roman" w:hAnsi="Times New Roman" w:cs="Times New Roman"/>
          <w:b/>
          <w:lang w:val="es-MX"/>
        </w:rPr>
        <w:t>Variación de r</w:t>
      </w:r>
      <w:r w:rsidRPr="006F5A21">
        <w:rPr>
          <w:rFonts w:ascii="Times New Roman" w:hAnsi="Times New Roman" w:cs="Times New Roman"/>
          <w:b/>
          <w:lang w:val="es-MX"/>
        </w:rPr>
        <w:t xml:space="preserve">ecaudación </w:t>
      </w:r>
    </w:p>
    <w:p w:rsidR="00B64336" w:rsidRPr="007B3D0C" w:rsidRDefault="00B64336" w:rsidP="00B64336">
      <w:pPr>
        <w:spacing w:after="0" w:line="240" w:lineRule="auto"/>
        <w:jc w:val="center"/>
        <w:rPr>
          <w:rFonts w:ascii="Times New Roman" w:hAnsi="Times New Roman" w:cs="Times New Roman"/>
          <w:sz w:val="18"/>
          <w:lang w:val="es-MX"/>
        </w:rPr>
      </w:pPr>
      <w:r w:rsidRPr="007B3D0C">
        <w:rPr>
          <w:rFonts w:ascii="Times New Roman" w:hAnsi="Times New Roman" w:cs="Times New Roman"/>
          <w:sz w:val="18"/>
          <w:lang w:val="es-MX"/>
        </w:rPr>
        <w:t>Millones de quetzales</w:t>
      </w:r>
    </w:p>
    <w:p w:rsidR="00B64336" w:rsidRDefault="00B64336" w:rsidP="00B64336">
      <w:pPr>
        <w:spacing w:after="0" w:line="240" w:lineRule="aut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053069C5" wp14:editId="2D5661AD">
            <wp:extent cx="2447365" cy="2205317"/>
            <wp:effectExtent l="0" t="0" r="0" b="5080"/>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4336" w:rsidRPr="007B3D0C" w:rsidRDefault="00B64336" w:rsidP="00B64336">
      <w:pPr>
        <w:spacing w:after="0" w:line="240" w:lineRule="auto"/>
        <w:jc w:val="center"/>
        <w:rPr>
          <w:rFonts w:ascii="Times New Roman" w:hAnsi="Times New Roman" w:cs="Times New Roman"/>
          <w:sz w:val="16"/>
          <w:lang w:val="es-MX"/>
        </w:rPr>
      </w:pPr>
      <w:r w:rsidRPr="007B3D0C">
        <w:rPr>
          <w:rFonts w:ascii="Times New Roman" w:hAnsi="Times New Roman" w:cs="Times New Roman"/>
          <w:sz w:val="16"/>
          <w:lang w:val="es-MX"/>
        </w:rPr>
        <w:t>Fuente: Dirección de Análisis y Política Fiscal</w:t>
      </w:r>
    </w:p>
    <w:p w:rsidR="00B64336" w:rsidRPr="007B3D0C" w:rsidRDefault="00B64336" w:rsidP="00B64336">
      <w:pPr>
        <w:spacing w:after="0" w:line="240" w:lineRule="auto"/>
        <w:jc w:val="both"/>
        <w:rPr>
          <w:rFonts w:ascii="Times New Roman" w:hAnsi="Times New Roman" w:cs="Times New Roman"/>
          <w:lang w:val="es-MX"/>
        </w:rPr>
      </w:pPr>
      <w:r>
        <w:rPr>
          <w:rFonts w:ascii="Times New Roman" w:hAnsi="Times New Roman" w:cs="Times New Roman"/>
          <w:lang w:val="es-MX"/>
        </w:rPr>
        <w:lastRenderedPageBreak/>
        <w:t>La recaudación acumulada del ISR presenta un crecimiento de 6.3% respecto a la meta de presupuesto y de forma interanual 18.8%. Dicho crecimiento en gran medida se debe a los procesos de recuperación de adeudos tributarios en tribunales, por su parte el IVA total tiene una caída de 7.1% (Q</w:t>
      </w:r>
      <w:r w:rsidR="005D6BEF">
        <w:rPr>
          <w:rFonts w:ascii="Times New Roman" w:hAnsi="Times New Roman" w:cs="Times New Roman"/>
          <w:lang w:val="es-MX"/>
        </w:rPr>
        <w:t xml:space="preserve"> </w:t>
      </w:r>
      <w:r>
        <w:rPr>
          <w:rFonts w:ascii="Times New Roman" w:hAnsi="Times New Roman" w:cs="Times New Roman"/>
          <w:lang w:val="es-MX"/>
        </w:rPr>
        <w:t xml:space="preserve">1,367.4 millones) respecto a la meta de presupuesto, este comportamiento está influenciado por el deterioro acumulado a agosto del </w:t>
      </w:r>
      <w:r w:rsidRPr="007B3D0C">
        <w:rPr>
          <w:rFonts w:ascii="Times New Roman" w:hAnsi="Times New Roman" w:cs="Times New Roman"/>
          <w:lang w:val="es-MX"/>
        </w:rPr>
        <w:t xml:space="preserve">IVA asociado a las importaciones. </w:t>
      </w:r>
    </w:p>
    <w:p w:rsidR="00B64336" w:rsidRPr="007B3D0C" w:rsidRDefault="00B64336" w:rsidP="00B64336">
      <w:pPr>
        <w:spacing w:after="0" w:line="240" w:lineRule="auto"/>
        <w:jc w:val="both"/>
        <w:rPr>
          <w:rFonts w:ascii="Times New Roman" w:hAnsi="Times New Roman" w:cs="Times New Roman"/>
          <w:lang w:val="es-MX"/>
        </w:rPr>
      </w:pPr>
    </w:p>
    <w:p w:rsidR="00B64336" w:rsidRPr="007B3D0C" w:rsidRDefault="00B64336" w:rsidP="00B64336">
      <w:pPr>
        <w:spacing w:after="0" w:line="240" w:lineRule="auto"/>
        <w:jc w:val="both"/>
        <w:rPr>
          <w:rFonts w:ascii="Times New Roman" w:hAnsi="Times New Roman" w:cs="Times New Roman"/>
          <w:lang w:val="es-MX"/>
        </w:rPr>
      </w:pPr>
      <w:r w:rsidRPr="007B3D0C">
        <w:rPr>
          <w:rFonts w:ascii="Times New Roman" w:hAnsi="Times New Roman" w:cs="Times New Roman"/>
          <w:lang w:val="es-MX"/>
        </w:rPr>
        <w:t>De manera interanual el IVA total tiene un crecimiento de 3.1% (Q</w:t>
      </w:r>
      <w:r w:rsidR="005D6BEF">
        <w:rPr>
          <w:rFonts w:ascii="Times New Roman" w:hAnsi="Times New Roman" w:cs="Times New Roman"/>
          <w:lang w:val="es-MX"/>
        </w:rPr>
        <w:t xml:space="preserve"> </w:t>
      </w:r>
      <w:r w:rsidRPr="007B3D0C">
        <w:rPr>
          <w:rFonts w:ascii="Times New Roman" w:hAnsi="Times New Roman" w:cs="Times New Roman"/>
          <w:lang w:val="es-MX"/>
        </w:rPr>
        <w:t>547.9 millones) influenciado por el crecimiento de 10.3% del IVA doméstico</w:t>
      </w:r>
      <w:r>
        <w:rPr>
          <w:rFonts w:ascii="Times New Roman" w:hAnsi="Times New Roman" w:cs="Times New Roman"/>
          <w:lang w:val="es-MX"/>
        </w:rPr>
        <w:t xml:space="preserve">, dicho crecimiento fuera mayor si no se tuviera la influencia de la </w:t>
      </w:r>
      <w:r w:rsidRPr="007B3D0C">
        <w:rPr>
          <w:rFonts w:ascii="Times New Roman" w:hAnsi="Times New Roman" w:cs="Times New Roman"/>
          <w:lang w:val="es-MX"/>
        </w:rPr>
        <w:t>brecha negativa (Q</w:t>
      </w:r>
      <w:r>
        <w:rPr>
          <w:rFonts w:ascii="Times New Roman" w:hAnsi="Times New Roman" w:cs="Times New Roman"/>
          <w:lang w:val="es-MX"/>
        </w:rPr>
        <w:t xml:space="preserve"> </w:t>
      </w:r>
      <w:r w:rsidRPr="007B3D0C">
        <w:rPr>
          <w:rFonts w:ascii="Times New Roman" w:hAnsi="Times New Roman" w:cs="Times New Roman"/>
          <w:lang w:val="es-MX"/>
        </w:rPr>
        <w:t>953.4 millones) de recaudación de IVA importaciones que se generó de enero a agosto</w:t>
      </w:r>
      <w:r>
        <w:rPr>
          <w:rFonts w:ascii="Times New Roman" w:hAnsi="Times New Roman" w:cs="Times New Roman"/>
          <w:lang w:val="es-MX"/>
        </w:rPr>
        <w:t>, producto del precio de los combustibles y una apreciación del tipo de cambio</w:t>
      </w:r>
      <w:r w:rsidRPr="007B3D0C">
        <w:rPr>
          <w:rFonts w:ascii="Times New Roman" w:hAnsi="Times New Roman" w:cs="Times New Roman"/>
          <w:lang w:val="es-MX"/>
        </w:rPr>
        <w:t>.</w:t>
      </w:r>
    </w:p>
    <w:p w:rsidR="00B64336" w:rsidRPr="007B3D0C" w:rsidRDefault="00B64336" w:rsidP="00B64336">
      <w:pPr>
        <w:spacing w:after="0" w:line="240" w:lineRule="auto"/>
        <w:jc w:val="both"/>
        <w:rPr>
          <w:rFonts w:ascii="Times New Roman" w:hAnsi="Times New Roman" w:cs="Times New Roman"/>
          <w:lang w:val="es-MX"/>
        </w:rPr>
      </w:pPr>
    </w:p>
    <w:p w:rsidR="00B64336" w:rsidRPr="007B3D0C" w:rsidRDefault="00B64336" w:rsidP="00B64336">
      <w:pPr>
        <w:spacing w:after="0" w:line="240" w:lineRule="auto"/>
        <w:jc w:val="both"/>
        <w:rPr>
          <w:rFonts w:ascii="Times New Roman" w:hAnsi="Times New Roman" w:cs="Times New Roman"/>
          <w:lang w:val="es-MX"/>
        </w:rPr>
      </w:pPr>
      <w:r w:rsidRPr="007B3D0C">
        <w:rPr>
          <w:rFonts w:ascii="Times New Roman" w:hAnsi="Times New Roman" w:cs="Times New Roman"/>
          <w:lang w:val="es-MX"/>
        </w:rPr>
        <w:t xml:space="preserve">Los productos industriales </w:t>
      </w:r>
      <w:r w:rsidRPr="007B3D0C">
        <w:rPr>
          <w:rFonts w:ascii="Times New Roman" w:hAnsi="Times New Roman" w:cs="Times New Roman"/>
          <w:i/>
          <w:lang w:val="es-MX"/>
        </w:rPr>
        <w:t>(bebidas, tabacos, cemento y derivados del petróleo)</w:t>
      </w:r>
      <w:r w:rsidRPr="007B3D0C">
        <w:rPr>
          <w:rFonts w:ascii="Times New Roman" w:hAnsi="Times New Roman" w:cs="Times New Roman"/>
          <w:lang w:val="es-MX"/>
        </w:rPr>
        <w:t xml:space="preserve"> mantienen un crecimiento positivo </w:t>
      </w:r>
      <w:r>
        <w:rPr>
          <w:rFonts w:ascii="Times New Roman" w:hAnsi="Times New Roman" w:cs="Times New Roman"/>
          <w:lang w:val="es-MX"/>
        </w:rPr>
        <w:t xml:space="preserve">de </w:t>
      </w:r>
      <w:r w:rsidRPr="007B3D0C">
        <w:rPr>
          <w:rFonts w:ascii="Times New Roman" w:hAnsi="Times New Roman" w:cs="Times New Roman"/>
          <w:lang w:val="es-MX"/>
        </w:rPr>
        <w:t>7.2% respecto a la meta de presupuesto y 3.3% respecto al año anterior, los crecimientos se fundamentan en el impulso de la recaudación de los derivados de petróleo que crecen en 10.3%, el impuesto a la bebidas con crecimientos arriba del 5.9%, el de tabacos cae respecto a la meta de presupuesto 12.4% y cemento que crece respecto a lo presupuestado en 13.7%.</w:t>
      </w:r>
    </w:p>
    <w:p w:rsidR="00B64336" w:rsidRPr="007B3D0C" w:rsidRDefault="00B64336" w:rsidP="00B64336">
      <w:pPr>
        <w:spacing w:after="0" w:line="240" w:lineRule="auto"/>
        <w:jc w:val="both"/>
        <w:rPr>
          <w:rFonts w:ascii="Times New Roman" w:hAnsi="Times New Roman" w:cs="Times New Roman"/>
          <w:lang w:val="es-MX"/>
        </w:rPr>
      </w:pPr>
    </w:p>
    <w:p w:rsidR="00B64336" w:rsidRDefault="00B64336" w:rsidP="00B64336">
      <w:pPr>
        <w:spacing w:after="0" w:line="240" w:lineRule="auto"/>
        <w:jc w:val="both"/>
        <w:rPr>
          <w:rFonts w:ascii="Times New Roman" w:hAnsi="Times New Roman" w:cs="Times New Roman"/>
          <w:lang w:val="es-MX"/>
        </w:rPr>
        <w:sectPr w:rsidR="00B64336" w:rsidSect="00691514">
          <w:headerReference w:type="default" r:id="rId16"/>
          <w:footerReference w:type="default" r:id="rId17"/>
          <w:type w:val="continuous"/>
          <w:pgSz w:w="12240" w:h="15840" w:code="1"/>
          <w:pgMar w:top="1418" w:right="1418" w:bottom="1418" w:left="1418" w:header="709" w:footer="709" w:gutter="0"/>
          <w:cols w:num="2" w:space="708"/>
          <w:docGrid w:linePitch="360"/>
        </w:sectPr>
      </w:pPr>
      <w:r w:rsidRPr="007B3D0C">
        <w:rPr>
          <w:rFonts w:ascii="Times New Roman" w:hAnsi="Times New Roman" w:cs="Times New Roman"/>
          <w:lang w:val="es-MX"/>
        </w:rPr>
        <w:t xml:space="preserve">La recaudación acumulada en las aduanas del país </w:t>
      </w:r>
      <w:r w:rsidR="005D6BEF" w:rsidRPr="007B3D0C">
        <w:rPr>
          <w:rFonts w:ascii="Times New Roman" w:hAnsi="Times New Roman" w:cs="Times New Roman"/>
          <w:lang w:val="es-MX"/>
        </w:rPr>
        <w:t>presenta</w:t>
      </w:r>
      <w:r w:rsidRPr="007B3D0C">
        <w:rPr>
          <w:rFonts w:ascii="Times New Roman" w:hAnsi="Times New Roman" w:cs="Times New Roman"/>
          <w:lang w:val="es-MX"/>
        </w:rPr>
        <w:t xml:space="preserve"> una caída del 10% respecto a la meta establecida por </w:t>
      </w:r>
      <w:r>
        <w:rPr>
          <w:rFonts w:ascii="Times New Roman" w:hAnsi="Times New Roman" w:cs="Times New Roman"/>
          <w:lang w:val="es-MX"/>
        </w:rPr>
        <w:t xml:space="preserve">la </w:t>
      </w:r>
      <w:r w:rsidRPr="007B3D0C">
        <w:rPr>
          <w:rFonts w:ascii="Times New Roman" w:hAnsi="Times New Roman" w:cs="Times New Roman"/>
          <w:lang w:val="es-MX"/>
        </w:rPr>
        <w:t>SAT</w:t>
      </w:r>
      <w:r>
        <w:rPr>
          <w:rFonts w:ascii="Times New Roman" w:hAnsi="Times New Roman" w:cs="Times New Roman"/>
          <w:lang w:val="es-MX"/>
        </w:rPr>
        <w:t>. Las principales aduanas (Central, Exprés Aéreo, Puerto Quetzal y Santo Tomás), que recaudan el 77% de la recaudación total, tienen caída en la recaudación acumulada. En el mes de septiembre, de las aduanas citadas, solo la de Puerto Quetzal presenta valores positivos en la recaudación mensual superando su meta en 0.7%.</w:t>
      </w:r>
    </w:p>
    <w:p w:rsidR="00DD01C5" w:rsidRPr="002B5DEE" w:rsidRDefault="00DD01C5" w:rsidP="00B21010">
      <w:pPr>
        <w:spacing w:after="0" w:line="240" w:lineRule="auto"/>
        <w:jc w:val="both"/>
        <w:rPr>
          <w:rFonts w:ascii="Times New Roman" w:hAnsi="Times New Roman" w:cs="Times New Roman"/>
          <w:color w:val="FF0000"/>
          <w:lang w:val="es-MX"/>
        </w:rPr>
        <w:sectPr w:rsidR="00DD01C5" w:rsidRPr="002B5DEE" w:rsidSect="005A694E">
          <w:type w:val="continuous"/>
          <w:pgSz w:w="12240" w:h="15840"/>
          <w:pgMar w:top="1417" w:right="1701" w:bottom="1417" w:left="1701" w:header="708" w:footer="708" w:gutter="0"/>
          <w:cols w:num="2" w:space="708"/>
          <w:docGrid w:linePitch="360"/>
        </w:sectPr>
      </w:pPr>
    </w:p>
    <w:p w:rsidR="005D6BEF" w:rsidRPr="0029321A" w:rsidRDefault="005D6BEF" w:rsidP="005D6BEF">
      <w:pPr>
        <w:pStyle w:val="Prrafodelista"/>
        <w:jc w:val="center"/>
        <w:rPr>
          <w:rFonts w:ascii="Times New Roman" w:hAnsi="Times New Roman" w:cs="Times New Roman"/>
          <w:b/>
          <w:sz w:val="20"/>
          <w:lang w:val="es-MX"/>
        </w:rPr>
      </w:pPr>
      <w:r w:rsidRPr="006F5A21">
        <w:rPr>
          <w:rFonts w:ascii="Times New Roman" w:hAnsi="Times New Roman" w:cs="Times New Roman"/>
          <w:b/>
          <w:lang w:val="es-MX"/>
        </w:rPr>
        <w:lastRenderedPageBreak/>
        <w:t xml:space="preserve">Recaudación </w:t>
      </w:r>
      <w:r>
        <w:rPr>
          <w:rFonts w:ascii="Times New Roman" w:hAnsi="Times New Roman" w:cs="Times New Roman"/>
          <w:b/>
          <w:lang w:val="es-MX"/>
        </w:rPr>
        <w:t xml:space="preserve">aduanera </w:t>
      </w:r>
      <w:r w:rsidRPr="006F5A21">
        <w:rPr>
          <w:rFonts w:ascii="Times New Roman" w:hAnsi="Times New Roman" w:cs="Times New Roman"/>
          <w:b/>
          <w:lang w:val="es-MX"/>
        </w:rPr>
        <w:t xml:space="preserve">acumulada </w:t>
      </w:r>
      <w:r w:rsidRPr="0029321A">
        <w:rPr>
          <w:rFonts w:ascii="Times New Roman" w:hAnsi="Times New Roman" w:cs="Times New Roman"/>
          <w:b/>
          <w:sz w:val="20"/>
          <w:lang w:val="es-MX"/>
        </w:rPr>
        <w:t>al 31 de septiembre</w:t>
      </w:r>
    </w:p>
    <w:p w:rsidR="00DD01C5" w:rsidRPr="005D6BEF" w:rsidRDefault="00B21010" w:rsidP="00B21010">
      <w:pPr>
        <w:pStyle w:val="Prrafodelista"/>
        <w:ind w:left="0"/>
        <w:jc w:val="center"/>
        <w:rPr>
          <w:rFonts w:ascii="Times New Roman" w:hAnsi="Times New Roman" w:cs="Times New Roman"/>
          <w:b/>
          <w:color w:val="FF0000"/>
          <w:sz w:val="16"/>
        </w:rPr>
      </w:pPr>
      <w:r w:rsidRPr="005D6BEF">
        <w:rPr>
          <w:rFonts w:ascii="Times New Roman" w:hAnsi="Times New Roman" w:cs="Times New Roman"/>
          <w:sz w:val="18"/>
          <w:lang w:val="es-MX"/>
        </w:rPr>
        <w:t>Millones de quetzales y porcentajes</w:t>
      </w:r>
      <w:r w:rsidR="005D6BEF" w:rsidRPr="000910A0">
        <w:rPr>
          <w:noProof/>
          <w:lang w:eastAsia="es-GT"/>
        </w:rPr>
        <w:drawing>
          <wp:inline distT="0" distB="0" distL="0" distR="0" wp14:anchorId="77A9BF01" wp14:editId="46118DC3">
            <wp:extent cx="5591911" cy="3281082"/>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7690" cy="3302076"/>
                    </a:xfrm>
                    <a:prstGeom prst="rect">
                      <a:avLst/>
                    </a:prstGeom>
                    <a:noFill/>
                    <a:ln>
                      <a:noFill/>
                    </a:ln>
                  </pic:spPr>
                </pic:pic>
              </a:graphicData>
            </a:graphic>
          </wp:inline>
        </w:drawing>
      </w:r>
    </w:p>
    <w:p w:rsidR="00DD23C0" w:rsidRPr="005D6BEF" w:rsidRDefault="00A26C76" w:rsidP="00A26C76">
      <w:pPr>
        <w:jc w:val="both"/>
        <w:rPr>
          <w:rFonts w:ascii="Times New Roman" w:hAnsi="Times New Roman" w:cs="Times New Roman"/>
          <w:sz w:val="16"/>
          <w:lang w:val="es-MX"/>
        </w:rPr>
      </w:pPr>
      <w:r w:rsidRPr="002B5DEE">
        <w:rPr>
          <w:rFonts w:ascii="Times New Roman" w:hAnsi="Times New Roman" w:cs="Times New Roman"/>
          <w:color w:val="FF0000"/>
          <w:sz w:val="18"/>
          <w:lang w:val="es-MX"/>
        </w:rPr>
        <w:t xml:space="preserve">       </w:t>
      </w:r>
      <w:r w:rsidR="00910163" w:rsidRPr="002B5DEE">
        <w:rPr>
          <w:rFonts w:ascii="Times New Roman" w:hAnsi="Times New Roman" w:cs="Times New Roman"/>
          <w:color w:val="FF0000"/>
          <w:sz w:val="18"/>
          <w:lang w:val="es-MX"/>
        </w:rPr>
        <w:t xml:space="preserve">       </w:t>
      </w:r>
      <w:r w:rsidR="00CC3420" w:rsidRPr="002B5DEE">
        <w:rPr>
          <w:rFonts w:ascii="Times New Roman" w:hAnsi="Times New Roman" w:cs="Times New Roman"/>
          <w:color w:val="FF0000"/>
          <w:sz w:val="18"/>
          <w:lang w:val="es-MX"/>
        </w:rPr>
        <w:tab/>
      </w:r>
      <w:r w:rsidR="00CC3420" w:rsidRPr="002B5DEE">
        <w:rPr>
          <w:rFonts w:ascii="Times New Roman" w:hAnsi="Times New Roman" w:cs="Times New Roman"/>
          <w:color w:val="FF0000"/>
          <w:sz w:val="18"/>
          <w:lang w:val="es-MX"/>
        </w:rPr>
        <w:tab/>
      </w:r>
      <w:r w:rsidRPr="005D6BEF">
        <w:rPr>
          <w:rFonts w:ascii="Times New Roman" w:hAnsi="Times New Roman" w:cs="Times New Roman"/>
          <w:sz w:val="18"/>
          <w:lang w:val="es-MX"/>
        </w:rPr>
        <w:t xml:space="preserve"> </w:t>
      </w:r>
      <w:r w:rsidR="00DD01C5" w:rsidRPr="005D6BEF">
        <w:rPr>
          <w:rFonts w:ascii="Times New Roman" w:hAnsi="Times New Roman" w:cs="Times New Roman"/>
          <w:sz w:val="16"/>
          <w:lang w:val="es-MX"/>
        </w:rPr>
        <w:t>Fuente: Ministerio de Finanzas Públicas</w:t>
      </w:r>
    </w:p>
    <w:p w:rsidR="00FA3B81" w:rsidRPr="0065558E" w:rsidRDefault="0065558E"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65558E" w:rsidSect="00FA3B81">
          <w:headerReference w:type="default" r:id="rId19"/>
          <w:footerReference w:type="default" r:id="rId20"/>
          <w:type w:val="continuous"/>
          <w:pgSz w:w="12240" w:h="15840" w:code="1"/>
          <w:pgMar w:top="1418" w:right="1418" w:bottom="1418" w:left="1418" w:header="709" w:footer="709" w:gutter="0"/>
          <w:cols w:space="708"/>
          <w:docGrid w:linePitch="360"/>
        </w:sectPr>
      </w:pPr>
      <w:r w:rsidRPr="0065558E">
        <w:rPr>
          <w:rFonts w:ascii="Times New Roman" w:hAnsi="Times New Roman" w:cs="Times New Roman"/>
          <w:b/>
          <w:lang w:val="es-MX"/>
        </w:rPr>
        <w:t>G</w:t>
      </w:r>
      <w:r w:rsidR="00D532B4" w:rsidRPr="0065558E">
        <w:rPr>
          <w:rFonts w:ascii="Times New Roman" w:hAnsi="Times New Roman" w:cs="Times New Roman"/>
          <w:b/>
          <w:lang w:val="es-MX"/>
        </w:rPr>
        <w:t>asto</w:t>
      </w:r>
      <w:r w:rsidRPr="0065558E">
        <w:rPr>
          <w:rFonts w:ascii="Times New Roman" w:hAnsi="Times New Roman" w:cs="Times New Roman"/>
          <w:b/>
          <w:lang w:val="es-MX"/>
        </w:rPr>
        <w:t xml:space="preserve"> público mantiene una lenta recuperación en su ritmo de ejecución</w:t>
      </w:r>
    </w:p>
    <w:p w:rsidR="00FA3B81" w:rsidRPr="002B5DEE" w:rsidRDefault="00FA3B81" w:rsidP="00FA3B81">
      <w:pPr>
        <w:pStyle w:val="Sinespaciado"/>
        <w:rPr>
          <w:rFonts w:ascii="Times New Roman" w:hAnsi="Times New Roman" w:cs="Times New Roman"/>
          <w:b/>
          <w:color w:val="FF0000"/>
          <w:sz w:val="18"/>
          <w:lang w:val="es-MX"/>
        </w:rPr>
      </w:pPr>
    </w:p>
    <w:p w:rsidR="00FA3B81" w:rsidRPr="002B5DEE" w:rsidRDefault="00FA3B81" w:rsidP="00FA3B81">
      <w:pPr>
        <w:pStyle w:val="Sinespaciado"/>
        <w:jc w:val="center"/>
        <w:rPr>
          <w:rFonts w:ascii="Times New Roman" w:hAnsi="Times New Roman" w:cs="Times New Roman"/>
          <w:b/>
          <w:color w:val="FF0000"/>
          <w:lang w:val="es-MX"/>
        </w:rPr>
        <w:sectPr w:rsidR="00FA3B81" w:rsidRPr="002B5DEE" w:rsidSect="00213F7F">
          <w:type w:val="continuous"/>
          <w:pgSz w:w="12240" w:h="15840"/>
          <w:pgMar w:top="1417" w:right="1701" w:bottom="1417" w:left="1701" w:header="708" w:footer="708" w:gutter="0"/>
          <w:cols w:space="708"/>
          <w:docGrid w:linePitch="360"/>
        </w:sectPr>
      </w:pPr>
    </w:p>
    <w:p w:rsidR="0065558E" w:rsidRDefault="0065558E" w:rsidP="0065558E">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La recuperación en el ritmo de ejecución de gasto público sigue siendo lenta a pesar de la mejora en la recaudación tributaria y a la flexibilidad en la aprobación de cuotas financieras.  En ese sentido, las dificultades para ejecutar trascienden la liquidez del gobierno, más bien están asociadas a la capacidad real de las instituciones para ejecutar los proyectos de inversión y en la adquisición de bienes y servicios. </w:t>
      </w:r>
    </w:p>
    <w:p w:rsidR="0065558E" w:rsidRDefault="0065558E" w:rsidP="0065558E">
      <w:pPr>
        <w:pStyle w:val="Sinespaciado"/>
        <w:jc w:val="both"/>
        <w:rPr>
          <w:rFonts w:ascii="Times New Roman" w:hAnsi="Times New Roman" w:cs="Times New Roman"/>
          <w:lang w:val="es-MX"/>
        </w:rPr>
      </w:pPr>
    </w:p>
    <w:p w:rsidR="0065558E" w:rsidRDefault="0065558E" w:rsidP="0065558E">
      <w:pPr>
        <w:pStyle w:val="Sinespaciado"/>
        <w:jc w:val="both"/>
        <w:rPr>
          <w:rFonts w:ascii="Times New Roman" w:hAnsi="Times New Roman" w:cs="Times New Roman"/>
          <w:lang w:val="es-MX"/>
        </w:rPr>
      </w:pPr>
      <w:r>
        <w:rPr>
          <w:rFonts w:ascii="Times New Roman" w:hAnsi="Times New Roman" w:cs="Times New Roman"/>
          <w:lang w:val="es-MX"/>
        </w:rPr>
        <w:t xml:space="preserve">De esa cuenta, el nivel de ejecución de gasto observado al 30 de septiembre se ubicó en </w:t>
      </w:r>
      <w:r w:rsidR="00C00DBD">
        <w:rPr>
          <w:rFonts w:ascii="Times New Roman" w:hAnsi="Times New Roman" w:cs="Times New Roman"/>
          <w:lang w:val="es-MX"/>
        </w:rPr>
        <w:t xml:space="preserve">    </w:t>
      </w:r>
      <w:r>
        <w:rPr>
          <w:rFonts w:ascii="Times New Roman" w:hAnsi="Times New Roman" w:cs="Times New Roman"/>
          <w:lang w:val="es-MX"/>
        </w:rPr>
        <w:t>Q</w:t>
      </w:r>
      <w:r w:rsidR="00C00DBD">
        <w:rPr>
          <w:rFonts w:ascii="Times New Roman" w:hAnsi="Times New Roman" w:cs="Times New Roman"/>
          <w:lang w:val="es-MX"/>
        </w:rPr>
        <w:t xml:space="preserve"> </w:t>
      </w:r>
      <w:r>
        <w:rPr>
          <w:rFonts w:ascii="Times New Roman" w:hAnsi="Times New Roman" w:cs="Times New Roman"/>
          <w:lang w:val="es-MX"/>
        </w:rPr>
        <w:t xml:space="preserve">43,837.9 </w:t>
      </w:r>
      <w:r w:rsidRPr="00F92177">
        <w:rPr>
          <w:rFonts w:ascii="Times New Roman" w:hAnsi="Times New Roman" w:cs="Times New Roman"/>
          <w:lang w:val="es-MX"/>
        </w:rPr>
        <w:t>millones</w:t>
      </w:r>
      <w:r>
        <w:rPr>
          <w:rFonts w:ascii="Times New Roman" w:hAnsi="Times New Roman" w:cs="Times New Roman"/>
          <w:lang w:val="es-MX"/>
        </w:rPr>
        <w:t xml:space="preserve"> (sin incluir amortizaciones de deuda)</w:t>
      </w:r>
      <w:r w:rsidRPr="00F92177">
        <w:rPr>
          <w:rFonts w:ascii="Times New Roman" w:hAnsi="Times New Roman" w:cs="Times New Roman"/>
          <w:lang w:val="es-MX"/>
        </w:rPr>
        <w:t xml:space="preserve">, </w:t>
      </w:r>
      <w:r>
        <w:rPr>
          <w:rFonts w:ascii="Times New Roman" w:hAnsi="Times New Roman" w:cs="Times New Roman"/>
          <w:lang w:val="es-MX"/>
        </w:rPr>
        <w:t xml:space="preserve">mostrando una contracción (crecimiento negativo) con respecto a lo observado en igual fecha del año anterior de 2.0%.  Cifra que contrasta con el </w:t>
      </w:r>
      <w:r>
        <w:rPr>
          <w:rFonts w:ascii="Times New Roman" w:hAnsi="Times New Roman" w:cs="Times New Roman"/>
          <w:lang w:val="es-MX"/>
        </w:rPr>
        <w:lastRenderedPageBreak/>
        <w:t xml:space="preserve">crecimiento interanual observado en septiembre de 2015 (2.1%).  </w:t>
      </w:r>
      <w:r w:rsidRPr="00F92177">
        <w:rPr>
          <w:rFonts w:ascii="Times New Roman" w:hAnsi="Times New Roman" w:cs="Times New Roman"/>
          <w:lang w:val="es-MX"/>
        </w:rPr>
        <w:t xml:space="preserve"> </w:t>
      </w:r>
    </w:p>
    <w:p w:rsidR="0065558E" w:rsidRDefault="0065558E" w:rsidP="0065558E">
      <w:pPr>
        <w:pStyle w:val="Sinespaciado"/>
        <w:jc w:val="center"/>
        <w:rPr>
          <w:rFonts w:ascii="Times New Roman" w:hAnsi="Times New Roman" w:cs="Times New Roman"/>
          <w:b/>
          <w:lang w:val="es-MX"/>
        </w:rPr>
      </w:pPr>
    </w:p>
    <w:p w:rsidR="0065558E" w:rsidRPr="00C27D73" w:rsidRDefault="0065558E" w:rsidP="0065558E">
      <w:pPr>
        <w:pStyle w:val="Sinespaciado"/>
        <w:jc w:val="center"/>
        <w:rPr>
          <w:rFonts w:ascii="Times New Roman" w:hAnsi="Times New Roman" w:cs="Times New Roman"/>
          <w:b/>
          <w:lang w:val="es-MX"/>
        </w:rPr>
      </w:pPr>
      <w:r w:rsidRPr="00C27D73">
        <w:rPr>
          <w:rFonts w:ascii="Times New Roman" w:hAnsi="Times New Roman" w:cs="Times New Roman"/>
          <w:b/>
          <w:lang w:val="es-MX"/>
        </w:rPr>
        <w:t>Ritmo de Ejecución del Gasto</w:t>
      </w:r>
    </w:p>
    <w:p w:rsidR="0065558E" w:rsidRPr="00C27D73" w:rsidRDefault="0065558E" w:rsidP="0065558E">
      <w:pPr>
        <w:pStyle w:val="Sinespaciado"/>
        <w:jc w:val="center"/>
        <w:rPr>
          <w:rFonts w:ascii="Times New Roman" w:hAnsi="Times New Roman" w:cs="Times New Roman"/>
          <w:sz w:val="18"/>
          <w:lang w:val="es-MX"/>
        </w:rPr>
      </w:pPr>
      <w:r w:rsidRPr="00C27D73">
        <w:rPr>
          <w:rFonts w:ascii="Times New Roman" w:hAnsi="Times New Roman" w:cs="Times New Roman"/>
          <w:sz w:val="18"/>
          <w:lang w:val="es-MX"/>
        </w:rPr>
        <w:t>Variación Interanual</w:t>
      </w:r>
    </w:p>
    <w:p w:rsidR="0065558E" w:rsidRPr="00C27D73" w:rsidRDefault="0065558E" w:rsidP="0065558E">
      <w:pPr>
        <w:pStyle w:val="Sinespaciado"/>
        <w:jc w:val="both"/>
        <w:rPr>
          <w:rFonts w:ascii="Times New Roman" w:hAnsi="Times New Roman" w:cs="Times New Roman"/>
          <w:i/>
          <w:lang w:val="es-MX"/>
        </w:rPr>
      </w:pPr>
      <w:r>
        <w:rPr>
          <w:rFonts w:ascii="Times New Roman" w:hAnsi="Times New Roman" w:cs="Times New Roman"/>
          <w:i/>
          <w:noProof/>
          <w:lang w:eastAsia="es-GT"/>
        </w:rPr>
        <w:drawing>
          <wp:inline distT="0" distB="0" distL="0" distR="0" wp14:anchorId="15E4D81B" wp14:editId="074335FA">
            <wp:extent cx="2575560" cy="1808480"/>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9064" cy="1810940"/>
                    </a:xfrm>
                    <a:prstGeom prst="rect">
                      <a:avLst/>
                    </a:prstGeom>
                    <a:noFill/>
                  </pic:spPr>
                </pic:pic>
              </a:graphicData>
            </a:graphic>
          </wp:inline>
        </w:drawing>
      </w:r>
    </w:p>
    <w:p w:rsidR="0065558E" w:rsidRPr="00C27D73" w:rsidRDefault="0065558E" w:rsidP="0065558E">
      <w:pPr>
        <w:pStyle w:val="Sinespaciado"/>
        <w:rPr>
          <w:rFonts w:ascii="Times New Roman" w:hAnsi="Times New Roman" w:cs="Times New Roman"/>
          <w:sz w:val="16"/>
        </w:rPr>
      </w:pPr>
      <w:r w:rsidRPr="00C27D73">
        <w:rPr>
          <w:rFonts w:ascii="Times New Roman" w:hAnsi="Times New Roman" w:cs="Times New Roman"/>
          <w:sz w:val="16"/>
        </w:rPr>
        <w:t>Fuente: Dirección de Análisis y Política fiscal</w:t>
      </w:r>
    </w:p>
    <w:p w:rsidR="0065558E" w:rsidRPr="009D459C" w:rsidRDefault="0065558E" w:rsidP="0065558E">
      <w:pPr>
        <w:pStyle w:val="Sinespaciado"/>
        <w:jc w:val="both"/>
        <w:rPr>
          <w:rFonts w:ascii="Times New Roman" w:hAnsi="Times New Roman" w:cs="Times New Roman"/>
        </w:rPr>
      </w:pPr>
    </w:p>
    <w:p w:rsidR="0065558E" w:rsidRDefault="0065558E" w:rsidP="0065558E">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lastRenderedPageBreak/>
        <w:t xml:space="preserve">Como se indicó, el ritmo de ejecución se debe principalmente a la baja ejecución en los rubros de bienes y servicios e inversión real directa, los cuales están asociados con los problemas en la planificación institucional y la baja gestión de las operaciones de la cooperación internacional, especialmente en los Ministerios de Comunicaciones, Desarrollo Social, entre otros. </w:t>
      </w:r>
    </w:p>
    <w:p w:rsidR="0065558E" w:rsidRDefault="0065558E" w:rsidP="0065558E">
      <w:pPr>
        <w:pStyle w:val="Sinespaciado"/>
        <w:jc w:val="both"/>
        <w:rPr>
          <w:rFonts w:ascii="Times New Roman" w:hAnsi="Times New Roman" w:cs="Times New Roman"/>
          <w:color w:val="000000" w:themeColor="text1"/>
          <w:lang w:val="es-MX"/>
        </w:rPr>
      </w:pPr>
    </w:p>
    <w:p w:rsidR="0065558E" w:rsidRDefault="0065558E" w:rsidP="0065558E">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Por su parte, hay rubros de gasto que muestran un mejor ritmo en su ejecución, siendo estas las prestaciones a la seguridad social derivado del aumento a los pensionados que devengan montos menores al salario mínimo, así como las transferencias corrientes, especialmente por los aportes adicionales aprobados para el Ministerio Público, Organismos Judicial y Universidad de San Carlos, entre otros.  Asimismo, las remuneraciones han aumentado aunque a un ritmo mucho más moderado que en los últimos 3 años ya que no se han realizado incrementos salariales importantes en lo que va del año.</w:t>
      </w:r>
    </w:p>
    <w:p w:rsidR="0065558E" w:rsidRDefault="0065558E" w:rsidP="0065558E">
      <w:pPr>
        <w:pStyle w:val="Sinespaciado"/>
        <w:jc w:val="both"/>
        <w:rPr>
          <w:rFonts w:ascii="Times New Roman" w:hAnsi="Times New Roman" w:cs="Times New Roman"/>
          <w:color w:val="000000" w:themeColor="text1"/>
          <w:lang w:val="es-MX"/>
        </w:rPr>
      </w:pPr>
    </w:p>
    <w:p w:rsidR="0065558E" w:rsidRPr="00C27D73" w:rsidRDefault="0065558E" w:rsidP="0065558E">
      <w:pPr>
        <w:pStyle w:val="Sinespaciado"/>
        <w:jc w:val="center"/>
        <w:rPr>
          <w:rFonts w:ascii="Times New Roman" w:hAnsi="Times New Roman" w:cs="Times New Roman"/>
          <w:b/>
          <w:lang w:val="es-MX"/>
        </w:rPr>
      </w:pPr>
      <w:r w:rsidRPr="00C27D73">
        <w:rPr>
          <w:rFonts w:ascii="Times New Roman" w:hAnsi="Times New Roman" w:cs="Times New Roman"/>
          <w:b/>
          <w:lang w:val="es-MX"/>
        </w:rPr>
        <w:t xml:space="preserve">Ritmo de Ejecución </w:t>
      </w:r>
      <w:r>
        <w:rPr>
          <w:rFonts w:ascii="Times New Roman" w:hAnsi="Times New Roman" w:cs="Times New Roman"/>
          <w:b/>
          <w:lang w:val="es-MX"/>
        </w:rPr>
        <w:t xml:space="preserve">por Rubro de </w:t>
      </w:r>
      <w:r w:rsidRPr="00C27D73">
        <w:rPr>
          <w:rFonts w:ascii="Times New Roman" w:hAnsi="Times New Roman" w:cs="Times New Roman"/>
          <w:b/>
          <w:lang w:val="es-MX"/>
        </w:rPr>
        <w:t>Gasto</w:t>
      </w:r>
    </w:p>
    <w:p w:rsidR="0065558E" w:rsidRDefault="0065558E" w:rsidP="0065558E">
      <w:pPr>
        <w:pStyle w:val="Sinespaciado"/>
        <w:jc w:val="center"/>
        <w:rPr>
          <w:rFonts w:ascii="Times New Roman" w:hAnsi="Times New Roman" w:cs="Times New Roman"/>
          <w:color w:val="000000" w:themeColor="text1"/>
          <w:lang w:val="es-MX"/>
        </w:rPr>
      </w:pPr>
      <w:r w:rsidRPr="00C27D73">
        <w:rPr>
          <w:rFonts w:ascii="Times New Roman" w:hAnsi="Times New Roman" w:cs="Times New Roman"/>
          <w:sz w:val="18"/>
          <w:lang w:val="es-MX"/>
        </w:rPr>
        <w:t>Variación Interanual</w:t>
      </w:r>
    </w:p>
    <w:p w:rsidR="0065558E" w:rsidRDefault="0065558E" w:rsidP="0065558E">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387A6F75" wp14:editId="4C129D1A">
            <wp:extent cx="2402840" cy="1656080"/>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6393" cy="1658529"/>
                    </a:xfrm>
                    <a:prstGeom prst="rect">
                      <a:avLst/>
                    </a:prstGeom>
                    <a:noFill/>
                  </pic:spPr>
                </pic:pic>
              </a:graphicData>
            </a:graphic>
          </wp:inline>
        </w:drawing>
      </w:r>
    </w:p>
    <w:p w:rsidR="0065558E" w:rsidRPr="00184C99" w:rsidRDefault="0065558E" w:rsidP="0065558E">
      <w:pPr>
        <w:pStyle w:val="Sinespaciado"/>
        <w:jc w:val="both"/>
        <w:rPr>
          <w:rFonts w:ascii="Times New Roman" w:hAnsi="Times New Roman" w:cs="Times New Roman"/>
          <w:sz w:val="14"/>
        </w:rPr>
      </w:pPr>
      <w:r w:rsidRPr="00184C99">
        <w:rPr>
          <w:rFonts w:ascii="Times New Roman" w:hAnsi="Times New Roman" w:cs="Times New Roman"/>
          <w:sz w:val="14"/>
        </w:rPr>
        <w:t>Fuente: Dirección de Análisis y Política fiscal</w:t>
      </w:r>
    </w:p>
    <w:p w:rsidR="0065558E" w:rsidRPr="00184C99" w:rsidRDefault="0065558E" w:rsidP="0065558E">
      <w:pPr>
        <w:pStyle w:val="Sinespaciado"/>
        <w:jc w:val="center"/>
        <w:rPr>
          <w:rFonts w:ascii="Times New Roman" w:hAnsi="Times New Roman" w:cs="Times New Roman"/>
        </w:rPr>
      </w:pPr>
    </w:p>
    <w:p w:rsidR="0065558E" w:rsidRDefault="0065558E" w:rsidP="0065558E">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Al comparar el grado de ejecución de este año, comparado con lo observado al inicio de cada administración en los últimos cuatro periodos, se puede observar que en 2016, se encuentra por arriba del promedio pero por </w:t>
      </w:r>
      <w:r>
        <w:rPr>
          <w:rFonts w:ascii="Times New Roman" w:hAnsi="Times New Roman" w:cs="Times New Roman"/>
          <w:color w:val="000000" w:themeColor="text1"/>
          <w:lang w:val="es-MX"/>
        </w:rPr>
        <w:lastRenderedPageBreak/>
        <w:t>debajo de lo realizado en los últimos dos años.   Es importante destacar acá que en buena medida esta situación se debe a que esta administración tuvo que atender pagos de compromisos que no fueron liquidados en el período anterior por más de Q</w:t>
      </w:r>
      <w:r>
        <w:rPr>
          <w:rFonts w:ascii="Times New Roman" w:hAnsi="Times New Roman" w:cs="Times New Roman"/>
          <w:color w:val="000000" w:themeColor="text1"/>
          <w:lang w:val="es-MX"/>
        </w:rPr>
        <w:t xml:space="preserve"> </w:t>
      </w:r>
      <w:r>
        <w:rPr>
          <w:rFonts w:ascii="Times New Roman" w:hAnsi="Times New Roman" w:cs="Times New Roman"/>
          <w:color w:val="000000" w:themeColor="text1"/>
          <w:lang w:val="es-MX"/>
        </w:rPr>
        <w:t>1,000 millones, situación que no se dio en las administraciones pasadas.   Además el efecto en los cambios en la Ley de Contrataciones y el problema que se ha venido gestando con la ejecución de la inversión pública especialmente con desembolsos de préstamos ha sido otra limitante en la ejecución en este ejercicio fiscal.</w:t>
      </w:r>
    </w:p>
    <w:p w:rsidR="0065558E" w:rsidRDefault="0065558E" w:rsidP="0065558E">
      <w:pPr>
        <w:pStyle w:val="Sinespaciado"/>
        <w:jc w:val="both"/>
        <w:rPr>
          <w:rFonts w:ascii="Times New Roman" w:hAnsi="Times New Roman" w:cs="Times New Roman"/>
          <w:color w:val="000000" w:themeColor="text1"/>
          <w:lang w:val="es-MX"/>
        </w:rPr>
      </w:pPr>
    </w:p>
    <w:p w:rsidR="0065558E" w:rsidRPr="00DD3893" w:rsidRDefault="0065558E" w:rsidP="0065558E">
      <w:pPr>
        <w:pStyle w:val="Sinespaciado"/>
        <w:jc w:val="center"/>
        <w:rPr>
          <w:rFonts w:ascii="Times New Roman" w:hAnsi="Times New Roman" w:cs="Times New Roman"/>
          <w:color w:val="000000" w:themeColor="text1"/>
          <w:sz w:val="18"/>
          <w:lang w:val="es-MX"/>
        </w:rPr>
      </w:pPr>
      <w:r>
        <w:rPr>
          <w:rFonts w:ascii="Times New Roman" w:hAnsi="Times New Roman" w:cs="Times New Roman"/>
          <w:b/>
          <w:color w:val="000000" w:themeColor="text1"/>
          <w:lang w:val="es-MX"/>
        </w:rPr>
        <w:t>Grado de Ejecución</w:t>
      </w:r>
    </w:p>
    <w:p w:rsidR="0065558E" w:rsidRPr="00DD3893" w:rsidRDefault="0065558E" w:rsidP="0065558E">
      <w:pPr>
        <w:pStyle w:val="Sinespaciado"/>
        <w:jc w:val="center"/>
        <w:rPr>
          <w:rFonts w:ascii="Times New Roman" w:hAnsi="Times New Roman" w:cs="Times New Roman"/>
          <w:color w:val="000000" w:themeColor="text1"/>
          <w:sz w:val="18"/>
          <w:lang w:val="es-MX"/>
        </w:rPr>
      </w:pPr>
      <w:r>
        <w:rPr>
          <w:rFonts w:ascii="Times New Roman" w:hAnsi="Times New Roman" w:cs="Times New Roman"/>
          <w:color w:val="000000" w:themeColor="text1"/>
          <w:sz w:val="18"/>
          <w:lang w:val="es-MX"/>
        </w:rPr>
        <w:t>Al 30 de septiembre del primer año de cada administración</w:t>
      </w:r>
    </w:p>
    <w:p w:rsidR="0065558E" w:rsidRPr="00D602BF" w:rsidRDefault="0065558E" w:rsidP="0065558E">
      <w:pPr>
        <w:pStyle w:val="Sinespaciado"/>
        <w:jc w:val="both"/>
        <w:rPr>
          <w:rFonts w:ascii="Times New Roman" w:hAnsi="Times New Roman" w:cs="Times New Roman"/>
          <w:color w:val="000000" w:themeColor="text1"/>
          <w:lang w:val="es-MX"/>
        </w:rPr>
      </w:pPr>
      <w:r>
        <w:rPr>
          <w:rFonts w:ascii="Times New Roman" w:hAnsi="Times New Roman" w:cs="Times New Roman"/>
          <w:noProof/>
          <w:color w:val="000000" w:themeColor="text1"/>
          <w:lang w:eastAsia="es-GT"/>
        </w:rPr>
        <w:drawing>
          <wp:inline distT="0" distB="0" distL="0" distR="0" wp14:anchorId="0121DC85" wp14:editId="0B158747">
            <wp:extent cx="2606040" cy="18542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0762" cy="1857560"/>
                    </a:xfrm>
                    <a:prstGeom prst="rect">
                      <a:avLst/>
                    </a:prstGeom>
                    <a:noFill/>
                  </pic:spPr>
                </pic:pic>
              </a:graphicData>
            </a:graphic>
          </wp:inline>
        </w:drawing>
      </w:r>
    </w:p>
    <w:p w:rsidR="0065558E" w:rsidRDefault="0065558E" w:rsidP="0065558E">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65558E" w:rsidRDefault="0065558E" w:rsidP="0065558E">
      <w:pPr>
        <w:pStyle w:val="Sinespaciado"/>
        <w:jc w:val="both"/>
        <w:rPr>
          <w:rFonts w:ascii="Times New Roman" w:hAnsi="Times New Roman" w:cs="Times New Roman"/>
          <w:color w:val="000000" w:themeColor="text1"/>
        </w:rPr>
      </w:pPr>
    </w:p>
    <w:p w:rsidR="0065558E" w:rsidRDefault="0065558E" w:rsidP="0065558E">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lang w:val="es-MX"/>
        </w:rPr>
        <w:t>Por otro lado, a pesar que ha aumentado el espacio para que las entidades aumenten su ejecución, es importante indicar que la política de austeridad se mantiene, ya que al evaluar la ejecución d</w:t>
      </w:r>
      <w:r w:rsidRPr="00022903">
        <w:rPr>
          <w:rFonts w:ascii="Times New Roman" w:hAnsi="Times New Roman" w:cs="Times New Roman"/>
          <w:color w:val="000000" w:themeColor="text1"/>
          <w:lang w:val="es-MX"/>
        </w:rPr>
        <w:t xml:space="preserve">el </w:t>
      </w:r>
      <w:r w:rsidRPr="00022903">
        <w:rPr>
          <w:rFonts w:ascii="Times New Roman" w:hAnsi="Times New Roman" w:cs="Times New Roman"/>
          <w:color w:val="000000" w:themeColor="text1"/>
        </w:rPr>
        <w:t>gasto considerado como superfluo</w:t>
      </w:r>
      <w:r w:rsidRPr="00022903">
        <w:rPr>
          <w:rStyle w:val="Refdenotaalpie"/>
          <w:rFonts w:ascii="Times New Roman" w:hAnsi="Times New Roman" w:cs="Times New Roman"/>
          <w:color w:val="000000" w:themeColor="text1"/>
        </w:rPr>
        <w:footnoteReference w:id="1"/>
      </w:r>
      <w:r w:rsidRPr="00022903">
        <w:rPr>
          <w:rFonts w:ascii="Times New Roman" w:hAnsi="Times New Roman" w:cs="Times New Roman"/>
          <w:color w:val="000000" w:themeColor="text1"/>
        </w:rPr>
        <w:t xml:space="preserve"> muestra un nivel de </w:t>
      </w:r>
      <w:r>
        <w:rPr>
          <w:rFonts w:ascii="Times New Roman" w:hAnsi="Times New Roman" w:cs="Times New Roman"/>
          <w:color w:val="000000" w:themeColor="text1"/>
        </w:rPr>
        <w:t>Q</w:t>
      </w:r>
      <w:r>
        <w:rPr>
          <w:rFonts w:ascii="Times New Roman" w:hAnsi="Times New Roman" w:cs="Times New Roman"/>
          <w:color w:val="000000" w:themeColor="text1"/>
        </w:rPr>
        <w:t xml:space="preserve"> </w:t>
      </w:r>
      <w:r>
        <w:rPr>
          <w:rFonts w:ascii="Times New Roman" w:hAnsi="Times New Roman" w:cs="Times New Roman"/>
          <w:color w:val="000000" w:themeColor="text1"/>
        </w:rPr>
        <w:t>406.9</w:t>
      </w:r>
      <w:r w:rsidRPr="00022903">
        <w:rPr>
          <w:rFonts w:ascii="Times New Roman" w:hAnsi="Times New Roman" w:cs="Times New Roman"/>
          <w:color w:val="000000" w:themeColor="text1"/>
        </w:rPr>
        <w:t xml:space="preserve"> </w:t>
      </w:r>
      <w:r w:rsidRPr="00022903">
        <w:rPr>
          <w:rFonts w:ascii="Times New Roman" w:hAnsi="Times New Roman" w:cs="Times New Roman"/>
          <w:color w:val="000000" w:themeColor="text1"/>
        </w:rPr>
        <w:lastRenderedPageBreak/>
        <w:t xml:space="preserve">millones, </w:t>
      </w:r>
      <w:r>
        <w:rPr>
          <w:rFonts w:ascii="Times New Roman" w:hAnsi="Times New Roman" w:cs="Times New Roman"/>
          <w:color w:val="000000" w:themeColor="text1"/>
        </w:rPr>
        <w:t>mostrando una contracción importante de 14.0</w:t>
      </w:r>
      <w:r w:rsidRPr="00022903">
        <w:rPr>
          <w:rFonts w:ascii="Times New Roman" w:hAnsi="Times New Roman" w:cs="Times New Roman"/>
          <w:color w:val="000000" w:themeColor="text1"/>
        </w:rPr>
        <w:t xml:space="preserve">% con respecto al nivel observado en </w:t>
      </w:r>
      <w:r>
        <w:rPr>
          <w:rFonts w:ascii="Times New Roman" w:hAnsi="Times New Roman" w:cs="Times New Roman"/>
          <w:color w:val="000000" w:themeColor="text1"/>
        </w:rPr>
        <w:t>agosto</w:t>
      </w:r>
      <w:r w:rsidRPr="00022903">
        <w:rPr>
          <w:rFonts w:ascii="Times New Roman" w:hAnsi="Times New Roman" w:cs="Times New Roman"/>
          <w:color w:val="000000" w:themeColor="text1"/>
        </w:rPr>
        <w:t xml:space="preserve"> del año anterior, es decir, una reducción de gasto superfluo de </w:t>
      </w:r>
      <w:proofErr w:type="spellStart"/>
      <w:r w:rsidRPr="00022903">
        <w:rPr>
          <w:rFonts w:ascii="Times New Roman" w:hAnsi="Times New Roman" w:cs="Times New Roman"/>
          <w:color w:val="000000" w:themeColor="text1"/>
        </w:rPr>
        <w:t>Q</w:t>
      </w:r>
      <w:r>
        <w:rPr>
          <w:rFonts w:ascii="Times New Roman" w:hAnsi="Times New Roman" w:cs="Times New Roman"/>
          <w:color w:val="000000" w:themeColor="text1"/>
        </w:rPr>
        <w:t>66.0</w:t>
      </w:r>
      <w:proofErr w:type="spellEnd"/>
      <w:r w:rsidRPr="00022903">
        <w:rPr>
          <w:rFonts w:ascii="Times New Roman" w:hAnsi="Times New Roman" w:cs="Times New Roman"/>
          <w:color w:val="000000" w:themeColor="text1"/>
        </w:rPr>
        <w:t xml:space="preserve"> millones. Dicha disminución, a la fecha, afecta a</w:t>
      </w:r>
      <w:r>
        <w:rPr>
          <w:rFonts w:ascii="Times New Roman" w:hAnsi="Times New Roman" w:cs="Times New Roman"/>
          <w:color w:val="000000" w:themeColor="text1"/>
        </w:rPr>
        <w:t xml:space="preserve"> la mayor parte de</w:t>
      </w:r>
      <w:r w:rsidRPr="00022903">
        <w:rPr>
          <w:rFonts w:ascii="Times New Roman" w:hAnsi="Times New Roman" w:cs="Times New Roman"/>
          <w:color w:val="000000" w:themeColor="text1"/>
        </w:rPr>
        <w:t xml:space="preserve"> los renglones que componen este </w:t>
      </w:r>
      <w:r>
        <w:rPr>
          <w:rFonts w:ascii="Times New Roman" w:hAnsi="Times New Roman" w:cs="Times New Roman"/>
          <w:color w:val="000000" w:themeColor="text1"/>
        </w:rPr>
        <w:t>tipo de gasto a excepción de otros rubros principalmente asociados a los ministerios de relaciones exteriores y gobernación.</w:t>
      </w:r>
    </w:p>
    <w:p w:rsidR="0065558E" w:rsidRDefault="0065558E" w:rsidP="0065558E">
      <w:pPr>
        <w:pStyle w:val="Sinespaciado"/>
        <w:jc w:val="both"/>
        <w:rPr>
          <w:rFonts w:ascii="Times New Roman" w:hAnsi="Times New Roman" w:cs="Times New Roman"/>
          <w:color w:val="000000" w:themeColor="text1"/>
        </w:rPr>
      </w:pPr>
    </w:p>
    <w:p w:rsidR="0065558E" w:rsidRDefault="0065558E" w:rsidP="0065558E">
      <w:pPr>
        <w:pStyle w:val="Sinespaciado"/>
        <w:jc w:val="center"/>
        <w:rPr>
          <w:rFonts w:ascii="Times New Roman" w:hAnsi="Times New Roman" w:cs="Times New Roman"/>
          <w:b/>
        </w:rPr>
      </w:pPr>
      <w:r>
        <w:rPr>
          <w:rFonts w:ascii="Times New Roman" w:hAnsi="Times New Roman" w:cs="Times New Roman"/>
          <w:b/>
        </w:rPr>
        <w:t>Gasto S</w:t>
      </w:r>
      <w:r w:rsidRPr="00017CB5">
        <w:rPr>
          <w:rFonts w:ascii="Times New Roman" w:hAnsi="Times New Roman" w:cs="Times New Roman"/>
          <w:b/>
        </w:rPr>
        <w:t>uperfluo</w:t>
      </w:r>
    </w:p>
    <w:p w:rsidR="0065558E" w:rsidRDefault="0065558E" w:rsidP="0065558E">
      <w:pPr>
        <w:pStyle w:val="Sinespaciado"/>
        <w:jc w:val="center"/>
        <w:rPr>
          <w:rFonts w:ascii="Times New Roman" w:hAnsi="Times New Roman" w:cs="Times New Roman"/>
          <w:sz w:val="18"/>
        </w:rPr>
      </w:pPr>
      <w:r>
        <w:rPr>
          <w:rFonts w:ascii="Times New Roman" w:hAnsi="Times New Roman" w:cs="Times New Roman"/>
          <w:sz w:val="18"/>
        </w:rPr>
        <w:t>Millones de q</w:t>
      </w:r>
      <w:r w:rsidRPr="00890632">
        <w:rPr>
          <w:rFonts w:ascii="Times New Roman" w:hAnsi="Times New Roman" w:cs="Times New Roman"/>
          <w:sz w:val="18"/>
        </w:rPr>
        <w:t>uetzales</w:t>
      </w:r>
    </w:p>
    <w:p w:rsidR="0065558E" w:rsidRPr="00961484" w:rsidRDefault="0065558E" w:rsidP="0065558E">
      <w:pPr>
        <w:pStyle w:val="Sinespaciado"/>
        <w:jc w:val="both"/>
        <w:rPr>
          <w:rFonts w:ascii="Times New Roman" w:hAnsi="Times New Roman" w:cs="Times New Roman"/>
          <w:sz w:val="12"/>
        </w:rPr>
      </w:pPr>
      <w:r w:rsidRPr="00961484">
        <w:rPr>
          <w:rFonts w:ascii="Times New Roman" w:hAnsi="Times New Roman" w:cs="Times New Roman"/>
          <w:sz w:val="12"/>
        </w:rPr>
        <w:t xml:space="preserve">Acumulado a </w:t>
      </w:r>
      <w:r>
        <w:rPr>
          <w:rFonts w:ascii="Times New Roman" w:hAnsi="Times New Roman" w:cs="Times New Roman"/>
          <w:sz w:val="12"/>
        </w:rPr>
        <w:t>septiembre</w:t>
      </w:r>
      <w:r w:rsidRPr="00961484">
        <w:rPr>
          <w:rFonts w:ascii="Times New Roman" w:hAnsi="Times New Roman" w:cs="Times New Roman"/>
          <w:sz w:val="12"/>
        </w:rPr>
        <w:t xml:space="preserve"> de cada año             </w:t>
      </w:r>
      <w:r>
        <w:rPr>
          <w:rFonts w:ascii="Times New Roman" w:hAnsi="Times New Roman" w:cs="Times New Roman"/>
          <w:sz w:val="12"/>
        </w:rPr>
        <w:t xml:space="preserve">     </w:t>
      </w:r>
      <w:r w:rsidRPr="00961484">
        <w:rPr>
          <w:rFonts w:ascii="Times New Roman" w:hAnsi="Times New Roman" w:cs="Times New Roman"/>
          <w:sz w:val="12"/>
        </w:rPr>
        <w:t xml:space="preserve">   Variación por rubro a </w:t>
      </w:r>
      <w:r>
        <w:rPr>
          <w:rFonts w:ascii="Times New Roman" w:hAnsi="Times New Roman" w:cs="Times New Roman"/>
          <w:sz w:val="12"/>
        </w:rPr>
        <w:t>septiembre</w:t>
      </w:r>
      <w:r w:rsidRPr="00961484">
        <w:rPr>
          <w:rFonts w:ascii="Times New Roman" w:hAnsi="Times New Roman" w:cs="Times New Roman"/>
          <w:sz w:val="12"/>
        </w:rPr>
        <w:t xml:space="preserve">                  </w:t>
      </w:r>
    </w:p>
    <w:p w:rsidR="0065558E" w:rsidRPr="00961484" w:rsidRDefault="0065558E" w:rsidP="0065558E">
      <w:pPr>
        <w:pStyle w:val="Sinespaciado"/>
        <w:jc w:val="both"/>
        <w:rPr>
          <w:rFonts w:ascii="Times New Roman" w:hAnsi="Times New Roman" w:cs="Times New Roman"/>
          <w:sz w:val="12"/>
        </w:rPr>
      </w:pPr>
      <w:r w:rsidRPr="00961484">
        <w:rPr>
          <w:rFonts w:ascii="Times New Roman" w:hAnsi="Times New Roman" w:cs="Times New Roman"/>
          <w:sz w:val="12"/>
        </w:rPr>
        <w:t xml:space="preserve">                                                                           </w:t>
      </w:r>
      <w:r>
        <w:rPr>
          <w:rFonts w:ascii="Times New Roman" w:hAnsi="Times New Roman" w:cs="Times New Roman"/>
          <w:sz w:val="12"/>
        </w:rPr>
        <w:t xml:space="preserve">            </w:t>
      </w:r>
      <w:r w:rsidRPr="00961484">
        <w:rPr>
          <w:rFonts w:ascii="Times New Roman" w:hAnsi="Times New Roman" w:cs="Times New Roman"/>
          <w:sz w:val="12"/>
        </w:rPr>
        <w:t xml:space="preserve"> 2015-2016</w:t>
      </w:r>
    </w:p>
    <w:p w:rsidR="0065558E" w:rsidRDefault="0065558E" w:rsidP="0065558E">
      <w:pPr>
        <w:pStyle w:val="Sinespaciado"/>
        <w:jc w:val="both"/>
        <w:rPr>
          <w:rFonts w:ascii="Times New Roman" w:hAnsi="Times New Roman" w:cs="Times New Roman"/>
          <w:sz w:val="16"/>
        </w:rPr>
      </w:pPr>
      <w:r>
        <w:rPr>
          <w:rFonts w:ascii="Times New Roman" w:hAnsi="Times New Roman" w:cs="Times New Roman"/>
          <w:noProof/>
          <w:sz w:val="16"/>
          <w:lang w:eastAsia="es-GT"/>
        </w:rPr>
        <w:drawing>
          <wp:inline distT="0" distB="0" distL="0" distR="0" wp14:anchorId="53F361AB" wp14:editId="3AF6CF46">
            <wp:extent cx="2646679" cy="1397000"/>
            <wp:effectExtent l="0" t="0" r="190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61890" cy="1405029"/>
                    </a:xfrm>
                    <a:prstGeom prst="rect">
                      <a:avLst/>
                    </a:prstGeom>
                    <a:noFill/>
                  </pic:spPr>
                </pic:pic>
              </a:graphicData>
            </a:graphic>
          </wp:inline>
        </w:drawing>
      </w: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65558E" w:rsidRDefault="0065558E" w:rsidP="0065558E">
      <w:pPr>
        <w:pStyle w:val="Sinespaciado"/>
        <w:jc w:val="both"/>
        <w:rPr>
          <w:rFonts w:ascii="Times New Roman" w:hAnsi="Times New Roman" w:cs="Times New Roman"/>
          <w:sz w:val="16"/>
        </w:rPr>
      </w:pPr>
    </w:p>
    <w:p w:rsidR="0065558E" w:rsidRDefault="0065558E" w:rsidP="0065558E">
      <w:pPr>
        <w:pStyle w:val="Sinespaciado"/>
        <w:jc w:val="both"/>
        <w:rPr>
          <w:rFonts w:ascii="Times New Roman" w:hAnsi="Times New Roman" w:cs="Times New Roman"/>
        </w:rPr>
      </w:pPr>
      <w:r w:rsidRPr="005869DB">
        <w:rPr>
          <w:rFonts w:ascii="Times New Roman" w:hAnsi="Times New Roman" w:cs="Times New Roman"/>
        </w:rPr>
        <w:t xml:space="preserve">Por su parte el gasto sectorial de los Acuerdos de Paz muestra una ejecución global de </w:t>
      </w:r>
      <w:r>
        <w:rPr>
          <w:rFonts w:ascii="Times New Roman" w:hAnsi="Times New Roman" w:cs="Times New Roman"/>
        </w:rPr>
        <w:t xml:space="preserve">        </w:t>
      </w:r>
      <w:r w:rsidRPr="005869DB">
        <w:rPr>
          <w:rFonts w:ascii="Times New Roman" w:hAnsi="Times New Roman" w:cs="Times New Roman"/>
        </w:rPr>
        <w:lastRenderedPageBreak/>
        <w:t>Q</w:t>
      </w:r>
      <w:r>
        <w:rPr>
          <w:rFonts w:ascii="Times New Roman" w:hAnsi="Times New Roman" w:cs="Times New Roman"/>
        </w:rPr>
        <w:t xml:space="preserve"> </w:t>
      </w:r>
      <w:r w:rsidRPr="005869DB">
        <w:rPr>
          <w:rFonts w:ascii="Times New Roman" w:hAnsi="Times New Roman" w:cs="Times New Roman"/>
        </w:rPr>
        <w:t xml:space="preserve">22,822.6 millones, equivalente al 66% del monto presupuestado.  Dicho grado de ejecución supera lo observado en todo el gasto de gobierno (64.5%), además muestra mayor dinamismo en su ejecución porque </w:t>
      </w:r>
      <w:r>
        <w:rPr>
          <w:rFonts w:ascii="Times New Roman" w:hAnsi="Times New Roman" w:cs="Times New Roman"/>
        </w:rPr>
        <w:t>al</w:t>
      </w:r>
      <w:r w:rsidRPr="005869DB">
        <w:rPr>
          <w:rFonts w:ascii="Times New Roman" w:hAnsi="Times New Roman" w:cs="Times New Roman"/>
        </w:rPr>
        <w:t xml:space="preserve"> cierre de septiembre se observa una tasa de crecimiento positiva de 0.6% con respecto a lo observado en igual fecha del año anterior.   </w:t>
      </w:r>
      <w:r>
        <w:rPr>
          <w:rFonts w:ascii="Times New Roman" w:hAnsi="Times New Roman" w:cs="Times New Roman"/>
        </w:rPr>
        <w:t>Asimismo, l</w:t>
      </w:r>
      <w:r w:rsidRPr="005869DB">
        <w:rPr>
          <w:rFonts w:ascii="Times New Roman" w:hAnsi="Times New Roman" w:cs="Times New Roman"/>
        </w:rPr>
        <w:t>o</w:t>
      </w:r>
      <w:r>
        <w:rPr>
          <w:rFonts w:ascii="Times New Roman" w:hAnsi="Times New Roman" w:cs="Times New Roman"/>
        </w:rPr>
        <w:t>s</w:t>
      </w:r>
      <w:r w:rsidRPr="005869DB">
        <w:rPr>
          <w:rFonts w:ascii="Times New Roman" w:hAnsi="Times New Roman" w:cs="Times New Roman"/>
        </w:rPr>
        <w:t xml:space="preserve"> sectores que muestran mayor dinamismo y mayor grado de ejecución son educación</w:t>
      </w:r>
      <w:r>
        <w:rPr>
          <w:rFonts w:ascii="Times New Roman" w:hAnsi="Times New Roman" w:cs="Times New Roman"/>
        </w:rPr>
        <w:t>,</w:t>
      </w:r>
      <w:r w:rsidRPr="005869DB">
        <w:rPr>
          <w:rFonts w:ascii="Times New Roman" w:hAnsi="Times New Roman" w:cs="Times New Roman"/>
        </w:rPr>
        <w:t xml:space="preserve">  seguridad y justicia</w:t>
      </w:r>
      <w:r>
        <w:rPr>
          <w:rFonts w:ascii="Times New Roman" w:hAnsi="Times New Roman" w:cs="Times New Roman"/>
        </w:rPr>
        <w:t>;</w:t>
      </w:r>
      <w:r w:rsidRPr="005869DB">
        <w:rPr>
          <w:rFonts w:ascii="Times New Roman" w:hAnsi="Times New Roman" w:cs="Times New Roman"/>
        </w:rPr>
        <w:t xml:space="preserve"> y en menor medida el sector de salud, aunque este último ha mejorado mucho su comportamiento con respecto a los meses anteriores.</w:t>
      </w:r>
    </w:p>
    <w:p w:rsidR="0065558E" w:rsidRPr="005869DB" w:rsidRDefault="0065558E" w:rsidP="0065558E">
      <w:pPr>
        <w:pStyle w:val="Sinespaciado"/>
        <w:jc w:val="both"/>
        <w:rPr>
          <w:rFonts w:ascii="Times New Roman" w:hAnsi="Times New Roman" w:cs="Times New Roman"/>
        </w:rPr>
      </w:pPr>
    </w:p>
    <w:p w:rsidR="0065558E" w:rsidRPr="005869DB" w:rsidRDefault="0065558E" w:rsidP="0065558E">
      <w:pPr>
        <w:pStyle w:val="Sinespaciado"/>
        <w:jc w:val="center"/>
        <w:rPr>
          <w:rFonts w:ascii="Times New Roman" w:hAnsi="Times New Roman" w:cs="Times New Roman"/>
          <w:b/>
          <w:color w:val="000000" w:themeColor="text1"/>
          <w:lang w:val="es-MX"/>
        </w:rPr>
      </w:pPr>
      <w:r w:rsidRPr="005869DB">
        <w:rPr>
          <w:rFonts w:ascii="Times New Roman" w:hAnsi="Times New Roman" w:cs="Times New Roman"/>
          <w:b/>
          <w:color w:val="000000" w:themeColor="text1"/>
          <w:lang w:val="es-MX"/>
        </w:rPr>
        <w:t>Gasto Sectorial Acuerdos de Paz</w:t>
      </w:r>
    </w:p>
    <w:p w:rsidR="0065558E" w:rsidRPr="005869DB" w:rsidRDefault="0065558E" w:rsidP="0065558E">
      <w:pPr>
        <w:pStyle w:val="Sinespaciado"/>
        <w:jc w:val="center"/>
        <w:rPr>
          <w:rFonts w:ascii="Times New Roman" w:hAnsi="Times New Roman" w:cs="Times New Roman"/>
          <w:color w:val="000000" w:themeColor="text1"/>
          <w:sz w:val="18"/>
          <w:lang w:val="es-MX"/>
        </w:rPr>
      </w:pPr>
      <w:r>
        <w:rPr>
          <w:rFonts w:ascii="Times New Roman" w:hAnsi="Times New Roman" w:cs="Times New Roman"/>
          <w:color w:val="000000" w:themeColor="text1"/>
          <w:sz w:val="18"/>
          <w:lang w:val="es-MX"/>
        </w:rPr>
        <w:t>Presupuesto y e</w:t>
      </w:r>
      <w:r w:rsidRPr="005869DB">
        <w:rPr>
          <w:rFonts w:ascii="Times New Roman" w:hAnsi="Times New Roman" w:cs="Times New Roman"/>
          <w:color w:val="000000" w:themeColor="text1"/>
          <w:sz w:val="18"/>
          <w:lang w:val="es-MX"/>
        </w:rPr>
        <w:t xml:space="preserve">jecución </w:t>
      </w:r>
      <w:r>
        <w:rPr>
          <w:rFonts w:ascii="Times New Roman" w:hAnsi="Times New Roman" w:cs="Times New Roman"/>
          <w:color w:val="000000" w:themeColor="text1"/>
          <w:sz w:val="18"/>
          <w:lang w:val="es-MX"/>
        </w:rPr>
        <w:t xml:space="preserve">a septiembre </w:t>
      </w:r>
      <w:r w:rsidRPr="005869DB">
        <w:rPr>
          <w:rFonts w:ascii="Times New Roman" w:hAnsi="Times New Roman" w:cs="Times New Roman"/>
          <w:color w:val="000000" w:themeColor="text1"/>
          <w:sz w:val="18"/>
          <w:lang w:val="es-MX"/>
        </w:rPr>
        <w:t>2016</w:t>
      </w:r>
    </w:p>
    <w:p w:rsidR="0065558E" w:rsidRDefault="0065558E" w:rsidP="0065558E">
      <w:pPr>
        <w:pStyle w:val="Sinespaciado"/>
        <w:jc w:val="center"/>
        <w:rPr>
          <w:rFonts w:ascii="Times New Roman" w:hAnsi="Times New Roman" w:cs="Times New Roman"/>
          <w:color w:val="000000" w:themeColor="text1"/>
          <w:lang w:val="es-MX"/>
        </w:rPr>
      </w:pPr>
      <w:r w:rsidRPr="005869DB">
        <w:rPr>
          <w:rFonts w:ascii="Times New Roman" w:hAnsi="Times New Roman" w:cs="Times New Roman"/>
          <w:color w:val="000000" w:themeColor="text1"/>
          <w:sz w:val="18"/>
          <w:lang w:val="es-MX"/>
        </w:rPr>
        <w:t>Millones de quetzales</w:t>
      </w:r>
    </w:p>
    <w:p w:rsidR="0065558E" w:rsidRDefault="0065558E" w:rsidP="0065558E">
      <w:pPr>
        <w:pStyle w:val="Sinespaciado"/>
        <w:jc w:val="both"/>
        <w:rPr>
          <w:rFonts w:ascii="Times New Roman" w:hAnsi="Times New Roman" w:cs="Times New Roman"/>
          <w:sz w:val="16"/>
        </w:rPr>
      </w:pPr>
    </w:p>
    <w:p w:rsidR="0065558E" w:rsidRDefault="0065558E" w:rsidP="0065558E">
      <w:pPr>
        <w:pStyle w:val="Sinespaciado"/>
        <w:jc w:val="both"/>
        <w:rPr>
          <w:rFonts w:ascii="Times New Roman" w:hAnsi="Times New Roman" w:cs="Times New Roman"/>
          <w:color w:val="000000" w:themeColor="text1"/>
        </w:rPr>
      </w:pPr>
      <w:r w:rsidRPr="005869DB">
        <w:rPr>
          <w:noProof/>
          <w:lang w:eastAsia="es-GT"/>
        </w:rPr>
        <w:drawing>
          <wp:inline distT="0" distB="0" distL="0" distR="0" wp14:anchorId="297A931D" wp14:editId="5E6A7B7A">
            <wp:extent cx="2580640" cy="95504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1275" cy="955275"/>
                    </a:xfrm>
                    <a:prstGeom prst="rect">
                      <a:avLst/>
                    </a:prstGeom>
                    <a:noFill/>
                    <a:ln>
                      <a:noFill/>
                    </a:ln>
                  </pic:spPr>
                </pic:pic>
              </a:graphicData>
            </a:graphic>
          </wp:inline>
        </w:drawing>
      </w:r>
    </w:p>
    <w:p w:rsidR="0065558E" w:rsidRDefault="0065558E" w:rsidP="0065558E">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F76491" w:rsidRPr="002B5DEE" w:rsidRDefault="00F76491" w:rsidP="00F76491">
      <w:pPr>
        <w:jc w:val="both"/>
        <w:rPr>
          <w:rFonts w:ascii="Times New Roman" w:hAnsi="Times New Roman" w:cs="Times New Roman"/>
          <w:color w:val="FF0000"/>
          <w:sz w:val="12"/>
          <w:szCs w:val="24"/>
          <w:lang w:val="es-MX"/>
        </w:rPr>
      </w:pPr>
    </w:p>
    <w:p w:rsidR="00DD23C0" w:rsidRPr="002B5DEE" w:rsidRDefault="00DD23C0" w:rsidP="00F76491">
      <w:pPr>
        <w:jc w:val="both"/>
        <w:rPr>
          <w:rFonts w:ascii="Times New Roman" w:hAnsi="Times New Roman" w:cs="Times New Roman"/>
          <w:color w:val="FF0000"/>
          <w:sz w:val="12"/>
          <w:szCs w:val="24"/>
          <w:lang w:val="es-MX"/>
        </w:rPr>
        <w:sectPr w:rsidR="00DD23C0" w:rsidRPr="002B5DEE" w:rsidSect="00BC7539">
          <w:type w:val="continuous"/>
          <w:pgSz w:w="12240" w:h="15840"/>
          <w:pgMar w:top="1417" w:right="1701" w:bottom="1417" w:left="1701" w:header="708" w:footer="708" w:gutter="0"/>
          <w:cols w:num="2" w:space="708"/>
          <w:docGrid w:linePitch="360"/>
        </w:sectPr>
      </w:pPr>
    </w:p>
    <w:p w:rsidR="00DD23C0" w:rsidRPr="002B5DEE" w:rsidRDefault="00DD23C0" w:rsidP="00BC7539">
      <w:pPr>
        <w:pStyle w:val="Sinespaciado"/>
        <w:jc w:val="both"/>
        <w:rPr>
          <w:rFonts w:ascii="Times New Roman" w:hAnsi="Times New Roman" w:cs="Times New Roman"/>
          <w:color w:val="FF0000"/>
          <w:sz w:val="16"/>
          <w:lang w:val="es-MX"/>
        </w:rPr>
      </w:pPr>
    </w:p>
    <w:p w:rsidR="00F76491" w:rsidRPr="00C377EB" w:rsidRDefault="00C377EB"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76491" w:rsidRPr="00C377EB" w:rsidSect="00FA3B81">
          <w:headerReference w:type="default" r:id="rId26"/>
          <w:footerReference w:type="default" r:id="rId27"/>
          <w:type w:val="continuous"/>
          <w:pgSz w:w="12240" w:h="15840" w:code="1"/>
          <w:pgMar w:top="1418" w:right="1418" w:bottom="1418" w:left="1418" w:header="709" w:footer="709" w:gutter="0"/>
          <w:cols w:space="708"/>
          <w:docGrid w:linePitch="360"/>
        </w:sectPr>
      </w:pPr>
      <w:r w:rsidRPr="00C377EB">
        <w:rPr>
          <w:rFonts w:ascii="Times New Roman" w:hAnsi="Times New Roman" w:cs="Times New Roman"/>
          <w:b/>
          <w:lang w:val="es-MX"/>
        </w:rPr>
        <w:t xml:space="preserve">Se mantiene una modesta </w:t>
      </w:r>
      <w:r w:rsidR="008B12FF" w:rsidRPr="00C377EB">
        <w:rPr>
          <w:rFonts w:ascii="Times New Roman" w:hAnsi="Times New Roman" w:cs="Times New Roman"/>
          <w:b/>
          <w:lang w:val="es-MX"/>
        </w:rPr>
        <w:t>demanda en los títulos del gobierno</w:t>
      </w:r>
    </w:p>
    <w:p w:rsidR="00F76491" w:rsidRPr="002B5DEE" w:rsidRDefault="00F76491" w:rsidP="00F76491">
      <w:pPr>
        <w:pStyle w:val="Sinespaciado"/>
        <w:rPr>
          <w:rFonts w:ascii="Times New Roman" w:hAnsi="Times New Roman" w:cs="Times New Roman"/>
          <w:b/>
          <w:color w:val="FF0000"/>
          <w:sz w:val="24"/>
          <w:lang w:val="es-MX"/>
        </w:rPr>
      </w:pPr>
    </w:p>
    <w:p w:rsidR="00F76491" w:rsidRPr="002B5DEE" w:rsidRDefault="00F76491" w:rsidP="00F76491">
      <w:pPr>
        <w:pStyle w:val="Sinespaciado"/>
        <w:rPr>
          <w:rFonts w:ascii="Times New Roman" w:hAnsi="Times New Roman" w:cs="Times New Roman"/>
          <w:b/>
          <w:color w:val="FF0000"/>
          <w:lang w:val="es-MX"/>
        </w:rPr>
        <w:sectPr w:rsidR="00F76491" w:rsidRPr="002B5DEE" w:rsidSect="00213F7F">
          <w:type w:val="continuous"/>
          <w:pgSz w:w="12240" w:h="15840"/>
          <w:pgMar w:top="1417" w:right="1701" w:bottom="1417" w:left="1701" w:header="708" w:footer="708" w:gutter="0"/>
          <w:cols w:space="708"/>
          <w:docGrid w:linePitch="360"/>
        </w:sectPr>
      </w:pPr>
    </w:p>
    <w:p w:rsidR="0065558E" w:rsidRDefault="0065558E" w:rsidP="0065558E">
      <w:pPr>
        <w:pStyle w:val="Sinespaciado"/>
        <w:jc w:val="both"/>
        <w:rPr>
          <w:rFonts w:ascii="Times New Roman" w:hAnsi="Times New Roman" w:cs="Times New Roman"/>
        </w:rPr>
      </w:pPr>
      <w:r>
        <w:rPr>
          <w:rFonts w:ascii="Times New Roman" w:hAnsi="Times New Roman" w:cs="Times New Roman"/>
        </w:rPr>
        <w:lastRenderedPageBreak/>
        <w:t>En cuanto al financiamiento del déficit existente a la fecha, este se ha financiado principalmente con los recursos de la colocación de Bonos del Tesoro en el mercado interno como la colocación que se realizara en mayo en el mercado internacional de capitales (Eurobonos).  Estos recursos han sido suficientes para cubrir las necesidades de caja y las que se prevé se generen en los próximos meses.</w:t>
      </w:r>
    </w:p>
    <w:p w:rsidR="0065558E" w:rsidRDefault="0065558E" w:rsidP="0065558E">
      <w:pPr>
        <w:pStyle w:val="Sinespaciado"/>
        <w:jc w:val="both"/>
        <w:rPr>
          <w:rFonts w:ascii="Times New Roman" w:hAnsi="Times New Roman" w:cs="Times New Roman"/>
        </w:rPr>
      </w:pPr>
    </w:p>
    <w:p w:rsidR="0065558E" w:rsidRDefault="0065558E" w:rsidP="0065558E">
      <w:pPr>
        <w:pStyle w:val="Sinespaciado"/>
        <w:jc w:val="both"/>
        <w:rPr>
          <w:rFonts w:ascii="Times New Roman" w:hAnsi="Times New Roman" w:cs="Times New Roman"/>
        </w:rPr>
      </w:pPr>
      <w:r>
        <w:rPr>
          <w:rFonts w:ascii="Times New Roman" w:hAnsi="Times New Roman" w:cs="Times New Roman"/>
          <w:color w:val="000000" w:themeColor="text1"/>
        </w:rPr>
        <w:t xml:space="preserve">Es importante mencionar que en las colocaciones de agosto y septiembre hubo una reducción importante en la demanda de títulos del gobierno, a pesar que los altos  </w:t>
      </w:r>
      <w:r>
        <w:rPr>
          <w:rFonts w:ascii="Times New Roman" w:hAnsi="Times New Roman" w:cs="Times New Roman"/>
          <w:color w:val="000000" w:themeColor="text1"/>
        </w:rPr>
        <w:lastRenderedPageBreak/>
        <w:t xml:space="preserve">niveles de liquidez en el sistema bancario, ya que este superó en algunas semanas los </w:t>
      </w:r>
      <w:r>
        <w:rPr>
          <w:rFonts w:ascii="Times New Roman" w:hAnsi="Times New Roman" w:cs="Times New Roman"/>
          <w:color w:val="000000" w:themeColor="text1"/>
        </w:rPr>
        <w:t xml:space="preserve">        </w:t>
      </w:r>
      <w:r>
        <w:rPr>
          <w:rFonts w:ascii="Times New Roman" w:hAnsi="Times New Roman" w:cs="Times New Roman"/>
          <w:color w:val="000000" w:themeColor="text1"/>
        </w:rPr>
        <w:t>Q</w:t>
      </w:r>
      <w:r>
        <w:rPr>
          <w:rFonts w:ascii="Times New Roman" w:hAnsi="Times New Roman" w:cs="Times New Roman"/>
          <w:color w:val="000000" w:themeColor="text1"/>
        </w:rPr>
        <w:t xml:space="preserve"> </w:t>
      </w:r>
      <w:r>
        <w:rPr>
          <w:rFonts w:ascii="Times New Roman" w:hAnsi="Times New Roman" w:cs="Times New Roman"/>
          <w:color w:val="000000" w:themeColor="text1"/>
        </w:rPr>
        <w:t>6,000 millones, lo que puede sugerir que los inversionistas podrían estar presionando por una mejora en el precio de los títulos.</w:t>
      </w:r>
    </w:p>
    <w:p w:rsidR="0065558E" w:rsidRDefault="0065558E" w:rsidP="0065558E">
      <w:pPr>
        <w:pStyle w:val="Sinespaciado"/>
        <w:jc w:val="both"/>
        <w:rPr>
          <w:rFonts w:ascii="Times New Roman" w:hAnsi="Times New Roman" w:cs="Times New Roman"/>
        </w:rPr>
      </w:pPr>
      <w:r>
        <w:rPr>
          <w:rFonts w:ascii="Times New Roman" w:hAnsi="Times New Roman" w:cs="Times New Roman"/>
        </w:rPr>
        <w:t xml:space="preserve"> </w:t>
      </w:r>
    </w:p>
    <w:p w:rsidR="0065558E" w:rsidRPr="002B5DEE" w:rsidRDefault="0065558E" w:rsidP="0065558E">
      <w:pPr>
        <w:pStyle w:val="Sinespaciado"/>
        <w:jc w:val="both"/>
        <w:rPr>
          <w:rFonts w:ascii="Times New Roman" w:hAnsi="Times New Roman" w:cs="Times New Roman"/>
          <w:color w:val="FF0000"/>
          <w:lang w:val="es-MX"/>
        </w:rPr>
      </w:pPr>
      <w:r>
        <w:rPr>
          <w:rFonts w:ascii="Times New Roman" w:hAnsi="Times New Roman" w:cs="Times New Roman"/>
        </w:rPr>
        <w:t>Por su parte, los desembolsos de préstamos externos, siguen mostrando un bajo nivel ya que apenas se han recibido Q</w:t>
      </w:r>
      <w:r>
        <w:rPr>
          <w:rFonts w:ascii="Times New Roman" w:hAnsi="Times New Roman" w:cs="Times New Roman"/>
        </w:rPr>
        <w:t xml:space="preserve"> </w:t>
      </w:r>
      <w:r>
        <w:rPr>
          <w:rFonts w:ascii="Times New Roman" w:hAnsi="Times New Roman" w:cs="Times New Roman"/>
        </w:rPr>
        <w:t xml:space="preserve">477.0 millones, de un estimado en el presupuesto de </w:t>
      </w:r>
      <w:r>
        <w:rPr>
          <w:rFonts w:ascii="Times New Roman" w:hAnsi="Times New Roman" w:cs="Times New Roman"/>
        </w:rPr>
        <w:t xml:space="preserve">              </w:t>
      </w:r>
      <w:r>
        <w:rPr>
          <w:rFonts w:ascii="Times New Roman" w:hAnsi="Times New Roman" w:cs="Times New Roman"/>
        </w:rPr>
        <w:t>Q</w:t>
      </w:r>
      <w:r>
        <w:rPr>
          <w:rFonts w:ascii="Times New Roman" w:hAnsi="Times New Roman" w:cs="Times New Roman"/>
        </w:rPr>
        <w:t xml:space="preserve"> </w:t>
      </w:r>
      <w:r>
        <w:rPr>
          <w:rFonts w:ascii="Times New Roman" w:hAnsi="Times New Roman" w:cs="Times New Roman"/>
        </w:rPr>
        <w:t>3,229.6 millones De esa cuenta, únicamente el 14.8% de los préstamos programados en el presupuesto de este año se ha logrado percibir.</w:t>
      </w:r>
    </w:p>
    <w:p w:rsidR="008B12FF" w:rsidRPr="002B5DEE" w:rsidRDefault="008B12FF" w:rsidP="008B12FF">
      <w:pPr>
        <w:pStyle w:val="Sinespaciado"/>
        <w:jc w:val="both"/>
        <w:rPr>
          <w:rFonts w:ascii="Times New Roman" w:hAnsi="Times New Roman" w:cs="Times New Roman"/>
          <w:color w:val="FF0000"/>
        </w:rPr>
      </w:pPr>
      <w:r w:rsidRPr="002B5DEE">
        <w:rPr>
          <w:rFonts w:ascii="Times New Roman" w:hAnsi="Times New Roman" w:cs="Times New Roman"/>
          <w:color w:val="FF0000"/>
          <w:lang w:val="es-MX"/>
        </w:rPr>
        <w:t xml:space="preserve"> </w:t>
      </w:r>
    </w:p>
    <w:p w:rsidR="00FA5DE4" w:rsidRPr="002B5DEE" w:rsidRDefault="00FA5DE4" w:rsidP="00FA5DE4">
      <w:pPr>
        <w:pStyle w:val="Sinespaciado"/>
        <w:jc w:val="both"/>
        <w:rPr>
          <w:rFonts w:ascii="Times New Roman" w:hAnsi="Times New Roman" w:cs="Times New Roman"/>
          <w:color w:val="FF0000"/>
        </w:rPr>
        <w:sectPr w:rsidR="00FA5DE4" w:rsidRPr="002B5DEE" w:rsidSect="00516433">
          <w:type w:val="continuous"/>
          <w:pgSz w:w="12240" w:h="15840"/>
          <w:pgMar w:top="1417" w:right="1701" w:bottom="1417" w:left="1701" w:header="708" w:footer="708" w:gutter="0"/>
          <w:cols w:num="2" w:space="708"/>
          <w:docGrid w:linePitch="360"/>
        </w:sectPr>
      </w:pPr>
    </w:p>
    <w:p w:rsidR="00DD4D5D" w:rsidRPr="002B5DEE" w:rsidRDefault="00DD4D5D" w:rsidP="00C00DBD">
      <w:pPr>
        <w:pStyle w:val="Sinespaciado"/>
        <w:jc w:val="both"/>
        <w:rPr>
          <w:rFonts w:ascii="Times New Roman" w:hAnsi="Times New Roman" w:cs="Times New Roman"/>
          <w:color w:val="FF0000"/>
          <w:sz w:val="14"/>
          <w:lang w:val="es-MX"/>
        </w:rPr>
      </w:pPr>
    </w:p>
    <w:p w:rsidR="00DD4D5D" w:rsidRPr="002B5DEE" w:rsidRDefault="00DD4D5D" w:rsidP="00F76491">
      <w:pPr>
        <w:pStyle w:val="Sinespaciado"/>
        <w:ind w:left="360"/>
        <w:jc w:val="both"/>
        <w:rPr>
          <w:rFonts w:ascii="Times New Roman" w:hAnsi="Times New Roman" w:cs="Times New Roman"/>
          <w:color w:val="FF0000"/>
          <w:sz w:val="14"/>
          <w:lang w:val="es-MX"/>
        </w:rPr>
      </w:pPr>
    </w:p>
    <w:p w:rsidR="00F76491" w:rsidRPr="002B5DEE" w:rsidRDefault="00F76491" w:rsidP="00F76491">
      <w:pPr>
        <w:rPr>
          <w:color w:val="FF0000"/>
          <w:lang w:val="es-MX"/>
        </w:rPr>
        <w:sectPr w:rsidR="00F76491" w:rsidRPr="002B5DEE" w:rsidSect="00516433">
          <w:type w:val="continuous"/>
          <w:pgSz w:w="12240" w:h="15840"/>
          <w:pgMar w:top="1417" w:right="1701" w:bottom="1417" w:left="1701" w:header="708" w:footer="708" w:gutter="0"/>
          <w:cols w:num="2" w:space="708"/>
          <w:docGrid w:linePitch="360"/>
        </w:sectPr>
      </w:pPr>
    </w:p>
    <w:p w:rsidR="00F76491" w:rsidRPr="002B5DEE" w:rsidRDefault="00F76491" w:rsidP="00F76491">
      <w:pPr>
        <w:pStyle w:val="Sinespaciado"/>
        <w:jc w:val="both"/>
        <w:rPr>
          <w:rFonts w:ascii="Times New Roman" w:hAnsi="Times New Roman" w:cs="Times New Roman"/>
          <w:color w:val="FF0000"/>
          <w:sz w:val="8"/>
          <w:lang w:val="es-MX"/>
        </w:rPr>
      </w:pPr>
    </w:p>
    <w:p w:rsidR="00494D1D" w:rsidRPr="00C00DBD"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C00DBD" w:rsidSect="00FA3B81">
          <w:headerReference w:type="default" r:id="rId28"/>
          <w:footerReference w:type="default" r:id="rId29"/>
          <w:type w:val="continuous"/>
          <w:pgSz w:w="12240" w:h="15840" w:code="1"/>
          <w:pgMar w:top="1418" w:right="1418" w:bottom="1418" w:left="1418" w:header="709" w:footer="709" w:gutter="0"/>
          <w:cols w:space="708"/>
          <w:docGrid w:linePitch="360"/>
        </w:sectPr>
      </w:pPr>
      <w:r w:rsidRPr="00C00DBD">
        <w:rPr>
          <w:rFonts w:ascii="Times New Roman" w:hAnsi="Times New Roman" w:cs="Times New Roman"/>
          <w:b/>
          <w:lang w:val="es-MX"/>
        </w:rPr>
        <w:lastRenderedPageBreak/>
        <w:t>Ambientes macroeconómicos (externo e interno)</w:t>
      </w:r>
    </w:p>
    <w:p w:rsidR="00494D1D" w:rsidRPr="002B5DEE" w:rsidRDefault="00494D1D" w:rsidP="00494D1D">
      <w:pPr>
        <w:pStyle w:val="Sinespaciado"/>
        <w:rPr>
          <w:rFonts w:ascii="Times New Roman" w:hAnsi="Times New Roman" w:cs="Times New Roman"/>
          <w:b/>
          <w:color w:val="FF0000"/>
          <w:sz w:val="18"/>
          <w:lang w:val="es-MX"/>
        </w:rPr>
      </w:pPr>
    </w:p>
    <w:p w:rsidR="00494D1D" w:rsidRPr="002B5DEE" w:rsidRDefault="00494D1D" w:rsidP="00494D1D">
      <w:pPr>
        <w:pStyle w:val="Sinespaciado"/>
        <w:rPr>
          <w:rFonts w:ascii="Times New Roman" w:hAnsi="Times New Roman" w:cs="Times New Roman"/>
          <w:b/>
          <w:color w:val="FF0000"/>
          <w:lang w:val="es-MX"/>
        </w:rPr>
        <w:sectPr w:rsidR="00494D1D" w:rsidRPr="002B5DEE" w:rsidSect="00213F7F">
          <w:type w:val="continuous"/>
          <w:pgSz w:w="12240" w:h="15840"/>
          <w:pgMar w:top="1417" w:right="1701" w:bottom="1417" w:left="1701" w:header="708" w:footer="708" w:gutter="0"/>
          <w:cols w:space="708"/>
          <w:docGrid w:linePitch="360"/>
        </w:sectPr>
      </w:pPr>
    </w:p>
    <w:p w:rsidR="00C00DBD" w:rsidRPr="0059421A" w:rsidRDefault="00C00DBD" w:rsidP="00C00DBD">
      <w:pPr>
        <w:pStyle w:val="Prrafodelista"/>
        <w:ind w:left="0"/>
        <w:jc w:val="both"/>
        <w:rPr>
          <w:rFonts w:ascii="Times New Roman" w:hAnsi="Times New Roman" w:cs="Times New Roman"/>
          <w:lang w:val="es-MX"/>
        </w:rPr>
      </w:pPr>
      <w:r w:rsidRPr="0059421A">
        <w:rPr>
          <w:rFonts w:ascii="Times New Roman" w:hAnsi="Times New Roman" w:cs="Times New Roman"/>
          <w:lang w:val="es-MX"/>
        </w:rPr>
        <w:lastRenderedPageBreak/>
        <w:t>El crecimiento de la economía global en lo que va del año se ha visto mermado ante las condiciones de debilitamiento en las economías avanzadas, incluidos los efectos del Brexit; en menor medida se han  contrarrestado dichos efectos por una mejoría gradual entre los países emergentes productores de materias primas.  Esto ocasionó que entidades como la OCDE rebajara en un 0,1 punto hasta el 2,9% su previsión del crecimiento de la economía global para el 2016</w:t>
      </w:r>
      <w:r>
        <w:rPr>
          <w:rFonts w:ascii="Times New Roman" w:hAnsi="Times New Roman" w:cs="Times New Roman"/>
          <w:lang w:val="es-MX"/>
        </w:rPr>
        <w:t xml:space="preserve"> y</w:t>
      </w:r>
      <w:r w:rsidRPr="0059421A">
        <w:rPr>
          <w:rFonts w:ascii="Times New Roman" w:hAnsi="Times New Roman" w:cs="Times New Roman"/>
          <w:lang w:val="es-MX"/>
        </w:rPr>
        <w:t xml:space="preserve"> rebajó </w:t>
      </w:r>
      <w:r>
        <w:rPr>
          <w:rFonts w:ascii="Times New Roman" w:hAnsi="Times New Roman" w:cs="Times New Roman"/>
          <w:lang w:val="es-MX"/>
        </w:rPr>
        <w:t>hasta el 3.</w:t>
      </w:r>
      <w:r w:rsidRPr="0059421A">
        <w:rPr>
          <w:rFonts w:ascii="Times New Roman" w:hAnsi="Times New Roman" w:cs="Times New Roman"/>
          <w:lang w:val="es-MX"/>
        </w:rPr>
        <w:t>2% para 2017</w:t>
      </w:r>
      <w:r>
        <w:rPr>
          <w:rFonts w:ascii="Times New Roman" w:hAnsi="Times New Roman" w:cs="Times New Roman"/>
          <w:lang w:val="es-MX"/>
        </w:rPr>
        <w:t>.</w:t>
      </w:r>
      <w:r w:rsidRPr="0059421A">
        <w:rPr>
          <w:rFonts w:ascii="Times New Roman" w:hAnsi="Times New Roman" w:cs="Times New Roman"/>
          <w:lang w:val="es-MX"/>
        </w:rPr>
        <w:t xml:space="preserve"> </w:t>
      </w:r>
      <w:r>
        <w:rPr>
          <w:rFonts w:ascii="Times New Roman" w:hAnsi="Times New Roman" w:cs="Times New Roman"/>
          <w:lang w:val="es-MX"/>
        </w:rPr>
        <w:t>También</w:t>
      </w:r>
      <w:r w:rsidRPr="0059421A">
        <w:rPr>
          <w:rFonts w:ascii="Times New Roman" w:hAnsi="Times New Roman" w:cs="Times New Roman"/>
          <w:lang w:val="es-MX"/>
        </w:rPr>
        <w:t xml:space="preserve"> rebajó la previsión del crecimiento del PIB en la eurozona en un 0,1 punto hasta el 1,5% para el año en curso y </w:t>
      </w:r>
      <w:r>
        <w:rPr>
          <w:rFonts w:ascii="Times New Roman" w:hAnsi="Times New Roman" w:cs="Times New Roman"/>
          <w:lang w:val="es-MX"/>
        </w:rPr>
        <w:t>redujo</w:t>
      </w:r>
      <w:r w:rsidRPr="0059421A">
        <w:rPr>
          <w:rFonts w:ascii="Times New Roman" w:hAnsi="Times New Roman" w:cs="Times New Roman"/>
          <w:lang w:val="es-MX"/>
        </w:rPr>
        <w:t xml:space="preserve"> un 0,3% hasta 1,4%</w:t>
      </w:r>
      <w:r w:rsidRPr="009A5380">
        <w:rPr>
          <w:rFonts w:ascii="Times New Roman" w:hAnsi="Times New Roman" w:cs="Times New Roman"/>
          <w:lang w:val="es-MX"/>
        </w:rPr>
        <w:t xml:space="preserve"> </w:t>
      </w:r>
      <w:r w:rsidRPr="0059421A">
        <w:rPr>
          <w:rFonts w:ascii="Times New Roman" w:hAnsi="Times New Roman" w:cs="Times New Roman"/>
          <w:lang w:val="es-MX"/>
        </w:rPr>
        <w:t>para 2017</w:t>
      </w:r>
      <w:r>
        <w:rPr>
          <w:rFonts w:ascii="Times New Roman" w:hAnsi="Times New Roman" w:cs="Times New Roman"/>
          <w:lang w:val="es-MX"/>
        </w:rPr>
        <w:t>;</w:t>
      </w:r>
      <w:r w:rsidRPr="0059421A">
        <w:rPr>
          <w:rFonts w:ascii="Times New Roman" w:hAnsi="Times New Roman" w:cs="Times New Roman"/>
          <w:lang w:val="es-MX"/>
        </w:rPr>
        <w:t xml:space="preserve"> </w:t>
      </w:r>
      <w:r>
        <w:rPr>
          <w:rFonts w:ascii="Times New Roman" w:hAnsi="Times New Roman" w:cs="Times New Roman"/>
          <w:lang w:val="es-MX"/>
        </w:rPr>
        <w:t>p</w:t>
      </w:r>
      <w:r w:rsidRPr="0059421A">
        <w:rPr>
          <w:rFonts w:ascii="Times New Roman" w:hAnsi="Times New Roman" w:cs="Times New Roman"/>
          <w:lang w:val="es-MX"/>
        </w:rPr>
        <w:t>ara Estados Unidos las expectativas disminuyeron a 1.4 %, comparado con el 1.8% que anticipaba en junio; entre las economías avanzadas la estadounidense será la que mayor</w:t>
      </w:r>
      <w:r>
        <w:rPr>
          <w:rFonts w:ascii="Times New Roman" w:hAnsi="Times New Roman" w:cs="Times New Roman"/>
          <w:lang w:val="es-MX"/>
        </w:rPr>
        <w:t xml:space="preserve"> desaceleración sufra este 2016, </w:t>
      </w:r>
      <w:r w:rsidRPr="0059421A">
        <w:rPr>
          <w:rFonts w:ascii="Times New Roman" w:hAnsi="Times New Roman" w:cs="Times New Roman"/>
          <w:lang w:val="es-MX"/>
        </w:rPr>
        <w:t>según el reporte de Perspectivas Económicas Mundiales intermedias publicado este mes.</w:t>
      </w:r>
    </w:p>
    <w:p w:rsidR="00C00DBD" w:rsidRPr="0059421A" w:rsidRDefault="00C00DBD" w:rsidP="00C00DBD">
      <w:pPr>
        <w:pStyle w:val="Sinespaciado"/>
        <w:jc w:val="both"/>
        <w:rPr>
          <w:rFonts w:ascii="Times New Roman" w:hAnsi="Times New Roman" w:cs="Times New Roman"/>
          <w:color w:val="FF0000"/>
        </w:rPr>
      </w:pPr>
    </w:p>
    <w:p w:rsidR="00C00DBD" w:rsidRPr="0059421A" w:rsidRDefault="00C00DBD" w:rsidP="00C00DBD">
      <w:pPr>
        <w:pStyle w:val="Prrafodelista"/>
        <w:ind w:left="0"/>
        <w:jc w:val="both"/>
        <w:rPr>
          <w:rFonts w:ascii="Times New Roman" w:hAnsi="Times New Roman" w:cs="Times New Roman"/>
          <w:color w:val="FF0000"/>
          <w:lang w:val="es-MX"/>
        </w:rPr>
      </w:pPr>
      <w:r w:rsidRPr="0059421A">
        <w:rPr>
          <w:rFonts w:ascii="Times New Roman" w:hAnsi="Times New Roman" w:cs="Times New Roman"/>
          <w:lang w:val="es-MX"/>
        </w:rPr>
        <w:t xml:space="preserve">En Estados Unidos, la Fed decidió mantener sin movimiento sus tasas de interés entre 0,25% y 0,50%, en espera de nuevas señales de fortalecimiento de la economía de Estados Unidos; además,  resaltó que son más altas que las tasas negativas aplicadas por el Banco Central Europeo y el Banco de Japón.  </w:t>
      </w:r>
    </w:p>
    <w:p w:rsidR="00C00DBD" w:rsidRPr="0059421A" w:rsidRDefault="00C00DBD" w:rsidP="00C00DBD">
      <w:pPr>
        <w:pStyle w:val="Sinespaciado"/>
        <w:jc w:val="both"/>
        <w:rPr>
          <w:rFonts w:ascii="Times New Roman" w:hAnsi="Times New Roman" w:cs="Times New Roman"/>
          <w:color w:val="FF0000"/>
          <w:lang w:val="es-MX"/>
        </w:rPr>
      </w:pPr>
    </w:p>
    <w:p w:rsidR="00C00DBD" w:rsidRPr="0059421A" w:rsidRDefault="00C00DBD" w:rsidP="00C00DBD">
      <w:pPr>
        <w:pStyle w:val="Sinespaciado"/>
        <w:jc w:val="both"/>
        <w:rPr>
          <w:rFonts w:ascii="Times New Roman" w:hAnsi="Times New Roman" w:cs="Times New Roman"/>
          <w:lang w:val="es-MX"/>
        </w:rPr>
      </w:pPr>
      <w:r w:rsidRPr="0059421A">
        <w:rPr>
          <w:rFonts w:ascii="Times New Roman" w:hAnsi="Times New Roman" w:cs="Times New Roman"/>
          <w:lang w:val="es-MX"/>
        </w:rPr>
        <w:t>La revisión definitiva del PIB de Estados Unidos correspondiente al segundo trimestre indica que creció un 1,4% en tasa anualizada, tres décimas por encima de la estimación anterior;  la revisión al alza se debe a una caída menor de lo estimado de las inversiones de capital y una mayor fortaleza de las exportaciones, así como el mantenimiento del buen dato de consumo interno</w:t>
      </w:r>
    </w:p>
    <w:p w:rsidR="00C00DBD" w:rsidRPr="0059421A" w:rsidRDefault="00C00DBD" w:rsidP="00C00DBD">
      <w:pPr>
        <w:pStyle w:val="Sinespaciado"/>
        <w:jc w:val="both"/>
        <w:rPr>
          <w:rFonts w:ascii="Times New Roman" w:hAnsi="Times New Roman" w:cs="Times New Roman"/>
          <w:color w:val="FF0000"/>
        </w:rPr>
      </w:pPr>
    </w:p>
    <w:p w:rsidR="00C00DBD" w:rsidRPr="0059421A" w:rsidRDefault="00C00DBD" w:rsidP="00C00DBD">
      <w:pPr>
        <w:spacing w:after="0" w:line="240" w:lineRule="auto"/>
        <w:jc w:val="both"/>
        <w:rPr>
          <w:rFonts w:ascii="Times New Roman" w:hAnsi="Times New Roman" w:cs="Times New Roman"/>
          <w:lang w:val="es-MX"/>
        </w:rPr>
      </w:pPr>
      <w:r>
        <w:rPr>
          <w:rFonts w:ascii="Times New Roman" w:hAnsi="Times New Roman" w:cs="Times New Roman"/>
          <w:lang w:val="es-MX"/>
        </w:rPr>
        <w:t>En l</w:t>
      </w:r>
      <w:r w:rsidRPr="0059421A">
        <w:rPr>
          <w:rFonts w:ascii="Times New Roman" w:hAnsi="Times New Roman" w:cs="Times New Roman"/>
          <w:lang w:val="es-MX"/>
        </w:rPr>
        <w:t xml:space="preserve">a zona euro, </w:t>
      </w:r>
      <w:r>
        <w:rPr>
          <w:rFonts w:ascii="Times New Roman" w:hAnsi="Times New Roman" w:cs="Times New Roman"/>
          <w:lang w:val="es-MX"/>
        </w:rPr>
        <w:t xml:space="preserve">el </w:t>
      </w:r>
      <w:r w:rsidRPr="0059421A">
        <w:rPr>
          <w:rFonts w:ascii="Times New Roman" w:hAnsi="Times New Roman" w:cs="Times New Roman"/>
          <w:lang w:val="es-MX"/>
        </w:rPr>
        <w:t xml:space="preserve">FMI aumentó sus previsiones de crecimiento a un 1,7% para 2016 y a un 1,5% para 2017, aunque advirtió que el Brexit y las </w:t>
      </w:r>
      <w:r w:rsidRPr="0059421A">
        <w:rPr>
          <w:rFonts w:ascii="Times New Roman" w:hAnsi="Times New Roman" w:cs="Times New Roman"/>
          <w:lang w:val="es-MX"/>
        </w:rPr>
        <w:lastRenderedPageBreak/>
        <w:t xml:space="preserve">consecuencias de una baja inflación siguen pesando en la actividad.  </w:t>
      </w:r>
      <w:r>
        <w:rPr>
          <w:rFonts w:ascii="Times New Roman" w:hAnsi="Times New Roman" w:cs="Times New Roman"/>
          <w:lang w:val="es-MX"/>
        </w:rPr>
        <w:t xml:space="preserve"> </w:t>
      </w:r>
      <w:r w:rsidRPr="0059421A">
        <w:rPr>
          <w:rFonts w:ascii="Times New Roman" w:hAnsi="Times New Roman" w:cs="Times New Roman"/>
          <w:lang w:val="es-MX"/>
        </w:rPr>
        <w:t>E</w:t>
      </w:r>
      <w:r>
        <w:rPr>
          <w:rFonts w:ascii="Times New Roman" w:hAnsi="Times New Roman" w:cs="Times New Roman"/>
          <w:lang w:val="es-MX"/>
        </w:rPr>
        <w:t>l dato preliminar de</w:t>
      </w:r>
      <w:r w:rsidRPr="0059421A">
        <w:rPr>
          <w:rFonts w:ascii="Times New Roman" w:hAnsi="Times New Roman" w:cs="Times New Roman"/>
          <w:lang w:val="es-MX"/>
        </w:rPr>
        <w:t xml:space="preserve"> inflación aumentó en septiembre al 0.4% interanual desde el 0.2% del mes anterior, según el instituto eur</w:t>
      </w:r>
      <w:r>
        <w:rPr>
          <w:rFonts w:ascii="Times New Roman" w:hAnsi="Times New Roman" w:cs="Times New Roman"/>
          <w:lang w:val="es-MX"/>
        </w:rPr>
        <w:t>opeo de estadísticas Eurostat. P</w:t>
      </w:r>
      <w:r w:rsidRPr="0059421A">
        <w:rPr>
          <w:rFonts w:ascii="Times New Roman" w:hAnsi="Times New Roman" w:cs="Times New Roman"/>
          <w:lang w:val="es-MX"/>
        </w:rPr>
        <w:t>or componentes</w:t>
      </w:r>
      <w:r>
        <w:rPr>
          <w:rFonts w:ascii="Times New Roman" w:hAnsi="Times New Roman" w:cs="Times New Roman"/>
          <w:lang w:val="es-MX"/>
        </w:rPr>
        <w:t>,</w:t>
      </w:r>
      <w:r w:rsidRPr="0059421A">
        <w:rPr>
          <w:rFonts w:ascii="Times New Roman" w:hAnsi="Times New Roman" w:cs="Times New Roman"/>
          <w:lang w:val="es-MX"/>
        </w:rPr>
        <w:t xml:space="preserve"> indica que los servicios alcanzaron el 1.2% desde el 1.1% de agosto, seguidos por la comida, alcohol y tabaco con un 0.7%, bienes industriales no energéticos con 0.3%.  La inflación interanual subyacente se mantuvo estable en 0.8%.  </w:t>
      </w:r>
    </w:p>
    <w:p w:rsidR="00C00DBD" w:rsidRPr="009A5380" w:rsidRDefault="00C00DBD" w:rsidP="00C00DBD">
      <w:pPr>
        <w:pStyle w:val="Sinespaciado"/>
        <w:jc w:val="both"/>
        <w:rPr>
          <w:rFonts w:ascii="Times New Roman" w:hAnsi="Times New Roman" w:cs="Times New Roman"/>
          <w:lang w:val="es-MX"/>
        </w:rPr>
      </w:pPr>
    </w:p>
    <w:p w:rsidR="00C00DBD" w:rsidRPr="00C00DBD" w:rsidRDefault="00C00DBD" w:rsidP="00C00DBD">
      <w:pPr>
        <w:pStyle w:val="Prrafodelista"/>
        <w:spacing w:line="223" w:lineRule="auto"/>
        <w:ind w:left="0"/>
        <w:jc w:val="both"/>
        <w:rPr>
          <w:rFonts w:ascii="Times New Roman" w:hAnsi="Times New Roman"/>
          <w:szCs w:val="21"/>
          <w:shd w:val="clear" w:color="auto" w:fill="FFFFFF"/>
        </w:rPr>
      </w:pPr>
      <w:r w:rsidRPr="009A5380">
        <w:rPr>
          <w:rFonts w:ascii="Times New Roman" w:hAnsi="Times New Roman" w:cs="Times New Roman"/>
          <w:lang w:val="es-MX"/>
        </w:rPr>
        <w:t>E</w:t>
      </w:r>
      <w:r>
        <w:rPr>
          <w:rFonts w:ascii="Times New Roman" w:hAnsi="Times New Roman" w:cs="Times New Roman"/>
          <w:lang w:val="es-MX"/>
        </w:rPr>
        <w:t xml:space="preserve">n el ámbito interno, </w:t>
      </w:r>
      <w:r>
        <w:rPr>
          <w:rFonts w:ascii="Times New Roman" w:hAnsi="Times New Roman" w:cs="Times New Roman"/>
          <w:lang w:val="es-MX"/>
        </w:rPr>
        <w:t>l</w:t>
      </w:r>
      <w:r w:rsidRPr="00364DD6">
        <w:rPr>
          <w:rFonts w:ascii="Times New Roman" w:hAnsi="Times New Roman" w:cs="Times New Roman"/>
          <w:lang w:val="es-MX"/>
        </w:rPr>
        <w:t xml:space="preserve">a Junta Monetaria decidió mantener en 3.0% la tasa de interés líder de política monetaria, basado en factores como la lenta recuperación del crecimiento económico mundial y de la permanencia de amplios márgenes de incertidumbre y volatilidad en los mercados financieros </w:t>
      </w:r>
    </w:p>
    <w:p w:rsidR="00C00DBD" w:rsidRDefault="00C00DBD" w:rsidP="00C00DBD">
      <w:pPr>
        <w:spacing w:after="0" w:line="240" w:lineRule="auto"/>
        <w:jc w:val="both"/>
        <w:rPr>
          <w:rFonts w:ascii="Times New Roman" w:hAnsi="Times New Roman" w:cs="Times New Roman"/>
          <w:color w:val="FF0000"/>
          <w:lang w:val="es-MX"/>
        </w:rPr>
      </w:pPr>
    </w:p>
    <w:p w:rsidR="00C00DBD" w:rsidRDefault="00C00DBD" w:rsidP="00C00DBD">
      <w:pPr>
        <w:pStyle w:val="Prrafodelista"/>
        <w:ind w:left="0"/>
        <w:jc w:val="both"/>
        <w:rPr>
          <w:rFonts w:ascii="Times New Roman" w:hAnsi="Times New Roman" w:cs="Times New Roman"/>
          <w:lang w:val="es-MX"/>
        </w:rPr>
      </w:pPr>
      <w:r w:rsidRPr="00E02A24">
        <w:rPr>
          <w:rFonts w:ascii="Times New Roman" w:hAnsi="Times New Roman" w:cs="Times New Roman"/>
          <w:lang w:val="es-MX"/>
        </w:rPr>
        <w:t>Factores como la trayectoria del precio internacional del petróleo, el comportamiento de los combustibles, el desempeño de la política fiscal y el tipo de cambio nominal ayudaron a mantener estable en septiembre la percepción sobre la situación económica actual y el ambiente para los negocios; el Banco de Guatemala consideró en base a esto, una proyección del ritmo inflacionario de 4.40% para septiembre, 4.36% para octubre y 4.37% para noviembre del presente año</w:t>
      </w:r>
      <w:r>
        <w:rPr>
          <w:rFonts w:ascii="Times New Roman" w:hAnsi="Times New Roman" w:cs="Times New Roman"/>
          <w:lang w:val="es-MX"/>
        </w:rPr>
        <w:t>.</w:t>
      </w:r>
      <w:r w:rsidRPr="00E02A24">
        <w:rPr>
          <w:rFonts w:ascii="Times New Roman" w:hAnsi="Times New Roman" w:cs="Times New Roman"/>
          <w:lang w:val="es-MX"/>
        </w:rPr>
        <w:t xml:space="preserve"> </w:t>
      </w:r>
    </w:p>
    <w:p w:rsidR="00C00DBD" w:rsidRDefault="00C00DBD" w:rsidP="00C00DBD">
      <w:pPr>
        <w:pStyle w:val="Prrafodelista"/>
        <w:ind w:left="0"/>
        <w:jc w:val="both"/>
        <w:rPr>
          <w:rFonts w:ascii="Times New Roman" w:hAnsi="Times New Roman" w:cs="Times New Roman"/>
          <w:lang w:val="es-MX"/>
        </w:rPr>
      </w:pPr>
    </w:p>
    <w:p w:rsidR="00B923CD" w:rsidRDefault="00C00DBD" w:rsidP="00B923CD">
      <w:pPr>
        <w:pStyle w:val="Prrafodelista"/>
        <w:ind w:left="0"/>
        <w:jc w:val="both"/>
        <w:rPr>
          <w:rFonts w:ascii="Times New Roman" w:hAnsi="Times New Roman" w:cs="Times New Roman"/>
          <w:lang w:val="es-MX"/>
        </w:rPr>
      </w:pPr>
      <w:r w:rsidRPr="00E02A24">
        <w:rPr>
          <w:rFonts w:ascii="Times New Roman" w:hAnsi="Times New Roman" w:cs="Times New Roman"/>
          <w:lang w:val="es-MX"/>
        </w:rPr>
        <w:t>El nivel del Índice de Confianza de la Actividad Económica se situó en 38.89 puntos, superior en 3.71% con el registrado en agosto.  El 33.3% de los analistas económicos entrevistados para la elaboración del indicador, consideran una evolución positiva en el clima de los negocios para las actividades productivas del sector privado en los próximos seis meses; el 77.8% considera que la economía no está mejor que hace un año y el 33.3% espera que la evolución económica del país mejore durante el primer semestre del año.</w:t>
      </w:r>
      <w:bookmarkStart w:id="0" w:name="_GoBack"/>
      <w:bookmarkEnd w:id="0"/>
    </w:p>
    <w:sectPr w:rsidR="00B923CD" w:rsidSect="00B923CD">
      <w:headerReference w:type="default" r:id="rId30"/>
      <w:footerReference w:type="default" r:id="rId31"/>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BD" w:rsidRDefault="006207BD" w:rsidP="007D4651">
      <w:pPr>
        <w:spacing w:after="0" w:line="240" w:lineRule="auto"/>
      </w:pPr>
      <w:r>
        <w:separator/>
      </w:r>
    </w:p>
  </w:endnote>
  <w:endnote w:type="continuationSeparator" w:id="0">
    <w:p w:rsidR="006207BD" w:rsidRDefault="006207BD"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89789790"/>
      <w:docPartObj>
        <w:docPartGallery w:val="Page Numbers (Bottom of Page)"/>
        <w:docPartUnique/>
      </w:docPartObj>
    </w:sdtPr>
    <w:sdtEndPr/>
    <w:sdtContent>
      <w:p w:rsidR="007D4651" w:rsidRDefault="007D4651">
        <w:pPr>
          <w:pStyle w:val="Piedepgina"/>
          <w:jc w:val="right"/>
          <w:rPr>
            <w:lang w:val="es-ES"/>
          </w:rPr>
        </w:pPr>
      </w:p>
      <w:p w:rsidR="007D4651" w:rsidRDefault="007D465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5E5D7D39" wp14:editId="4399E72C">
                  <wp:simplePos x="0" y="0"/>
                  <wp:positionH relativeFrom="column">
                    <wp:posOffset>1776669</wp:posOffset>
                  </wp:positionH>
                  <wp:positionV relativeFrom="paragraph">
                    <wp:posOffset>70516</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6" style="position:absolute;margin-left:139.9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Dziu1g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7D4651" w:rsidRDefault="007D465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B923CD" w:rsidRPr="00B923CD">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7D4651" w:rsidRDefault="007D4651" w:rsidP="007D4651">
    <w:pPr>
      <w:pStyle w:val="Piedepgina"/>
      <w:tabs>
        <w:tab w:val="clear" w:pos="4419"/>
        <w:tab w:val="clear" w:pos="8838"/>
        <w:tab w:val="left" w:pos="5777"/>
      </w:tabs>
    </w:pPr>
  </w:p>
  <w:p w:rsidR="0066791B" w:rsidRDefault="006679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59405431"/>
      <w:docPartObj>
        <w:docPartGallery w:val="Page Numbers (Bottom of Page)"/>
        <w:docPartUnique/>
      </w:docPartObj>
    </w:sdtPr>
    <w:sdtEndPr/>
    <w:sdtContent>
      <w:p w:rsidR="00E16925" w:rsidRDefault="00E16925">
        <w:pPr>
          <w:pStyle w:val="Piedepgina"/>
          <w:jc w:val="right"/>
          <w:rPr>
            <w:lang w:val="es-ES"/>
          </w:rPr>
        </w:pPr>
      </w:p>
      <w:p w:rsidR="00E16925" w:rsidRDefault="00E1692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051AF76E" wp14:editId="7692F9DE">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16925" w:rsidRDefault="00E1692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B64336" w:rsidRPr="00B64336">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16925" w:rsidRDefault="00E16925" w:rsidP="007D4651">
    <w:pPr>
      <w:pStyle w:val="Piedepgina"/>
      <w:tabs>
        <w:tab w:val="clear" w:pos="4419"/>
        <w:tab w:val="clear" w:pos="8838"/>
        <w:tab w:val="left" w:pos="5777"/>
      </w:tabs>
    </w:pPr>
  </w:p>
  <w:p w:rsidR="00E16925" w:rsidRDefault="00E169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2143034883"/>
      <w:docPartObj>
        <w:docPartGallery w:val="Page Numbers (Bottom of Page)"/>
        <w:docPartUnique/>
      </w:docPartObj>
    </w:sdtPr>
    <w:sdtContent>
      <w:p w:rsidR="00B64336" w:rsidRDefault="00B64336">
        <w:pPr>
          <w:pStyle w:val="Piedepgina"/>
          <w:jc w:val="right"/>
          <w:rPr>
            <w:lang w:val="es-ES"/>
          </w:rPr>
        </w:pPr>
      </w:p>
      <w:p w:rsidR="00B64336" w:rsidRDefault="00B64336"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7936" behindDoc="0" locked="0" layoutInCell="1" allowOverlap="1" wp14:anchorId="52F11377" wp14:editId="05848FDB">
                  <wp:simplePos x="0" y="0"/>
                  <wp:positionH relativeFrom="column">
                    <wp:posOffset>1776669</wp:posOffset>
                  </wp:positionH>
                  <wp:positionV relativeFrom="paragraph">
                    <wp:posOffset>70516</wp:posOffset>
                  </wp:positionV>
                  <wp:extent cx="5155565" cy="45719"/>
                  <wp:effectExtent l="38100" t="38100" r="64135" b="88265"/>
                  <wp:wrapNone/>
                  <wp:docPr id="10" name="10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0 Rectángulo" o:spid="_x0000_s1026" style="position:absolute;margin-left:139.9pt;margin-top:5.55pt;width:405.95pt;height:3.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&#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Q+Okt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B64336" w:rsidRDefault="00B6433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B923CD" w:rsidRPr="00B923CD">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B64336" w:rsidRDefault="00B64336" w:rsidP="007D4651">
    <w:pPr>
      <w:pStyle w:val="Piedepgina"/>
      <w:tabs>
        <w:tab w:val="clear" w:pos="4419"/>
        <w:tab w:val="clear" w:pos="8838"/>
        <w:tab w:val="left" w:pos="5777"/>
      </w:tabs>
    </w:pPr>
  </w:p>
  <w:p w:rsidR="00B64336" w:rsidRDefault="00B6433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203057022"/>
      <w:docPartObj>
        <w:docPartGallery w:val="Page Numbers (Bottom of Page)"/>
        <w:docPartUnique/>
      </w:docPartObj>
    </w:sdtPr>
    <w:sdtEndPr/>
    <w:sdtContent>
      <w:p w:rsidR="00FA3B81" w:rsidRDefault="00FA3B81">
        <w:pPr>
          <w:pStyle w:val="Piedepgina"/>
          <w:jc w:val="right"/>
          <w:rPr>
            <w:lang w:val="es-ES"/>
          </w:rPr>
        </w:pPr>
      </w:p>
      <w:p w:rsidR="00FA3B81" w:rsidRDefault="00FA3B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395B4505" wp14:editId="7D73A029">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A3B81" w:rsidRDefault="00FA3B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B923CD" w:rsidRPr="00B923CD">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FA3B81" w:rsidRDefault="00FA3B81" w:rsidP="007D4651">
    <w:pPr>
      <w:pStyle w:val="Piedepgina"/>
      <w:tabs>
        <w:tab w:val="clear" w:pos="4419"/>
        <w:tab w:val="clear" w:pos="8838"/>
        <w:tab w:val="left" w:pos="5777"/>
      </w:tabs>
    </w:pPr>
  </w:p>
  <w:p w:rsidR="00FA3B81" w:rsidRDefault="00FA3B8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520901799"/>
      <w:docPartObj>
        <w:docPartGallery w:val="Page Numbers (Bottom of Page)"/>
        <w:docPartUnique/>
      </w:docPartObj>
    </w:sdtPr>
    <w:sdtEndPr/>
    <w:sdtContent>
      <w:p w:rsidR="00F76491" w:rsidRDefault="00F76491">
        <w:pPr>
          <w:pStyle w:val="Piedepgina"/>
          <w:jc w:val="right"/>
          <w:rPr>
            <w:lang w:val="es-ES"/>
          </w:rPr>
        </w:pPr>
      </w:p>
      <w:p w:rsidR="00F76491" w:rsidRDefault="00F7649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38A93F24" wp14:editId="4FE818A0">
                  <wp:simplePos x="0" y="0"/>
                  <wp:positionH relativeFrom="column">
                    <wp:posOffset>1776669</wp:posOffset>
                  </wp:positionH>
                  <wp:positionV relativeFrom="paragraph">
                    <wp:posOffset>70516</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3 Rectángulo" o:spid="_x0000_s1026" style="position:absolute;margin-left:139.9pt;margin-top:5.55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YItCnj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76491" w:rsidRDefault="00F7649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00DBD" w:rsidRPr="00C00DBD">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F76491" w:rsidRDefault="00F76491" w:rsidP="007D4651">
    <w:pPr>
      <w:pStyle w:val="Piedepgina"/>
      <w:tabs>
        <w:tab w:val="clear" w:pos="4419"/>
        <w:tab w:val="clear" w:pos="8838"/>
        <w:tab w:val="left" w:pos="5777"/>
      </w:tabs>
    </w:pPr>
  </w:p>
  <w:p w:rsidR="00F76491" w:rsidRDefault="00F7649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650588095"/>
      <w:docPartObj>
        <w:docPartGallery w:val="Page Numbers (Bottom of Page)"/>
        <w:docPartUnique/>
      </w:docPartObj>
    </w:sdtPr>
    <w:sdtEndPr/>
    <w:sdtContent>
      <w:p w:rsidR="00494D1D" w:rsidRDefault="00494D1D">
        <w:pPr>
          <w:pStyle w:val="Piedepgina"/>
          <w:jc w:val="right"/>
          <w:rPr>
            <w:lang w:val="es-ES"/>
          </w:rPr>
        </w:pPr>
      </w:p>
      <w:p w:rsidR="00494D1D" w:rsidRDefault="00494D1D"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62F047A6" wp14:editId="36F994A8">
                  <wp:simplePos x="0" y="0"/>
                  <wp:positionH relativeFrom="column">
                    <wp:posOffset>1776669</wp:posOffset>
                  </wp:positionH>
                  <wp:positionV relativeFrom="paragraph">
                    <wp:posOffset>70516</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6 Rectángulo" o:spid="_x0000_s1026" style="position:absolute;margin-left:139.9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LgM0AD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94D1D" w:rsidRDefault="00494D1D">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B923CD" w:rsidRPr="00B923CD">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494D1D" w:rsidRDefault="00494D1D" w:rsidP="007D4651">
    <w:pPr>
      <w:pStyle w:val="Piedepgina"/>
      <w:tabs>
        <w:tab w:val="clear" w:pos="4419"/>
        <w:tab w:val="clear" w:pos="8838"/>
        <w:tab w:val="left" w:pos="5777"/>
      </w:tabs>
    </w:pPr>
  </w:p>
  <w:p w:rsidR="00494D1D" w:rsidRDefault="00494D1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039429106"/>
      <w:docPartObj>
        <w:docPartGallery w:val="Page Numbers (Bottom of Page)"/>
        <w:docPartUnique/>
      </w:docPartObj>
    </w:sdtPr>
    <w:sdtEndPr/>
    <w:sdtContent>
      <w:p w:rsidR="00416D41" w:rsidRDefault="00416D41">
        <w:pPr>
          <w:pStyle w:val="Piedepgina"/>
          <w:jc w:val="right"/>
          <w:rPr>
            <w:lang w:val="es-ES"/>
          </w:rPr>
        </w:pPr>
      </w:p>
      <w:p w:rsidR="00416D41" w:rsidRDefault="00416D4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71E970FF" wp14:editId="23A0C99E">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16D41" w:rsidRDefault="00416D4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B923CD" w:rsidRPr="00B923CD">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416D41" w:rsidRDefault="00416D41" w:rsidP="007D4651">
    <w:pPr>
      <w:pStyle w:val="Piedepgina"/>
      <w:tabs>
        <w:tab w:val="clear" w:pos="4419"/>
        <w:tab w:val="clear" w:pos="8838"/>
        <w:tab w:val="left" w:pos="5777"/>
      </w:tabs>
    </w:pPr>
  </w:p>
  <w:p w:rsidR="00416D41" w:rsidRDefault="00416D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BD" w:rsidRDefault="006207BD" w:rsidP="007D4651">
      <w:pPr>
        <w:spacing w:after="0" w:line="240" w:lineRule="auto"/>
      </w:pPr>
      <w:r>
        <w:separator/>
      </w:r>
    </w:p>
  </w:footnote>
  <w:footnote w:type="continuationSeparator" w:id="0">
    <w:p w:rsidR="006207BD" w:rsidRDefault="006207BD" w:rsidP="007D4651">
      <w:pPr>
        <w:spacing w:after="0" w:line="240" w:lineRule="auto"/>
      </w:pPr>
      <w:r>
        <w:continuationSeparator/>
      </w:r>
    </w:p>
  </w:footnote>
  <w:footnote w:id="1">
    <w:p w:rsidR="0065558E" w:rsidRPr="00782B4D" w:rsidRDefault="0065558E" w:rsidP="0065558E">
      <w:pPr>
        <w:pStyle w:val="Sinespaciado"/>
        <w:jc w:val="both"/>
        <w:rPr>
          <w:rFonts w:ascii="Times New Roman" w:hAnsi="Times New Roman" w:cs="Times New Roman"/>
          <w:sz w:val="18"/>
          <w:szCs w:val="16"/>
          <w:lang w:val="es-MX"/>
        </w:rPr>
      </w:pPr>
      <w:r>
        <w:rPr>
          <w:rStyle w:val="Refdenotaalpie"/>
        </w:rPr>
        <w:footnoteRef/>
      </w:r>
      <w:r>
        <w:t xml:space="preserve"> </w:t>
      </w:r>
      <w:r w:rsidRPr="00782B4D">
        <w:rPr>
          <w:rFonts w:ascii="Times New Roman" w:hAnsi="Times New Roman" w:cs="Times New Roman"/>
          <w:sz w:val="18"/>
          <w:szCs w:val="16"/>
        </w:rPr>
        <w:t xml:space="preserve">Los renglones de gasto que integran este componente considerado como superfluo son: </w:t>
      </w:r>
      <w:r w:rsidRPr="00782B4D">
        <w:rPr>
          <w:rFonts w:ascii="Times New Roman" w:hAnsi="Times New Roman" w:cs="Times New Roman"/>
          <w:sz w:val="18"/>
          <w:szCs w:val="16"/>
          <w:lang w:val="es-MX"/>
        </w:rPr>
        <w:t>Divulgación de información (121), Viáticos (131,132,133,134 y 135), Transporte de personas (141), Combustibles y lubricantes (262),Útiles de oficina (291),Otros materiales y suministros (299), Equipo de oficina (322), Equipo de transporte (325), Equipo de cómputo (328), Alimentos para personas (211)</w:t>
      </w:r>
    </w:p>
    <w:p w:rsidR="0065558E" w:rsidRDefault="0065558E" w:rsidP="0065558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51" w:rsidRPr="007D4651" w:rsidRDefault="007D465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1312" behindDoc="1" locked="0" layoutInCell="1" allowOverlap="1" wp14:anchorId="359737B8" wp14:editId="05415D0C">
          <wp:simplePos x="0" y="0"/>
          <wp:positionH relativeFrom="column">
            <wp:posOffset>-89849</wp:posOffset>
          </wp:positionH>
          <wp:positionV relativeFrom="paragraph">
            <wp:posOffset>-163027</wp:posOffset>
          </wp:positionV>
          <wp:extent cx="1697990" cy="914400"/>
          <wp:effectExtent l="0" t="0" r="0" b="0"/>
          <wp:wrapNone/>
          <wp:docPr id="5" name="Imagen 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D4651" w:rsidRPr="007D4651" w:rsidRDefault="002B5DEE"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7D4651" w:rsidRPr="007D4651">
      <w:rPr>
        <w:rFonts w:ascii="Times New Roman" w:hAnsi="Times New Roman" w:cs="Times New Roman"/>
        <w:color w:val="1F497D" w:themeColor="text2"/>
        <w:lang w:val="es-MX"/>
      </w:rPr>
      <w:t xml:space="preserve"> 2016</w:t>
    </w:r>
  </w:p>
  <w:p w:rsidR="007D4651" w:rsidRDefault="007D465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59264" behindDoc="0" locked="0" layoutInCell="1" allowOverlap="1" wp14:anchorId="379B489C" wp14:editId="5B3D6BCD">
              <wp:simplePos x="0" y="0"/>
              <wp:positionH relativeFrom="column">
                <wp:posOffset>1710568</wp:posOffset>
              </wp:positionH>
              <wp:positionV relativeFrom="paragraph">
                <wp:posOffset>29118</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134.7pt;margin-top:2.3pt;width:40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3RGbA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66791B" w:rsidRDefault="007D465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25" w:rsidRPr="007D4651" w:rsidRDefault="00E1692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6432" behindDoc="1" locked="0" layoutInCell="1" allowOverlap="1" wp14:anchorId="11DD2E1C" wp14:editId="6D3E9068">
          <wp:simplePos x="0" y="0"/>
          <wp:positionH relativeFrom="column">
            <wp:posOffset>-89849</wp:posOffset>
          </wp:positionH>
          <wp:positionV relativeFrom="paragraph">
            <wp:posOffset>-163027</wp:posOffset>
          </wp:positionV>
          <wp:extent cx="1697990" cy="914400"/>
          <wp:effectExtent l="0" t="0" r="0" b="0"/>
          <wp:wrapNone/>
          <wp:docPr id="9" name="Imagen 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16925" w:rsidRPr="007D4651" w:rsidRDefault="002B5DEE"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E16925" w:rsidRPr="007D4651">
      <w:rPr>
        <w:rFonts w:ascii="Times New Roman" w:hAnsi="Times New Roman" w:cs="Times New Roman"/>
        <w:color w:val="1F497D" w:themeColor="text2"/>
        <w:lang w:val="es-MX"/>
      </w:rPr>
      <w:t xml:space="preserve"> 2016</w:t>
    </w:r>
  </w:p>
  <w:p w:rsidR="00E16925" w:rsidRDefault="00E1692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5408" behindDoc="0" locked="0" layoutInCell="1" allowOverlap="1" wp14:anchorId="1436D461" wp14:editId="167E449D">
              <wp:simplePos x="0" y="0"/>
              <wp:positionH relativeFrom="column">
                <wp:posOffset>1710568</wp:posOffset>
              </wp:positionH>
              <wp:positionV relativeFrom="paragraph">
                <wp:posOffset>29118</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6 Rectángulo" o:spid="_x0000_s1026" style="position:absolute;margin-left:134.7pt;margin-top:2.3pt;width:406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FTgscI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16925" w:rsidRDefault="00E16925"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36" w:rsidRPr="007D4651" w:rsidRDefault="00B64336"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6912" behindDoc="1" locked="0" layoutInCell="1" allowOverlap="1" wp14:anchorId="749965C1" wp14:editId="3BE18CD5">
          <wp:simplePos x="0" y="0"/>
          <wp:positionH relativeFrom="column">
            <wp:posOffset>-89849</wp:posOffset>
          </wp:positionH>
          <wp:positionV relativeFrom="paragraph">
            <wp:posOffset>-163027</wp:posOffset>
          </wp:positionV>
          <wp:extent cx="1697990" cy="914400"/>
          <wp:effectExtent l="0" t="0" r="0" b="0"/>
          <wp:wrapNone/>
          <wp:docPr id="20" name="Imagen 2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B64336" w:rsidRPr="007D4651" w:rsidRDefault="00B64336"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Pr="007D4651">
      <w:rPr>
        <w:rFonts w:ascii="Times New Roman" w:hAnsi="Times New Roman" w:cs="Times New Roman"/>
        <w:color w:val="1F497D" w:themeColor="text2"/>
        <w:lang w:val="es-MX"/>
      </w:rPr>
      <w:t xml:space="preserve"> 2016</w:t>
    </w:r>
  </w:p>
  <w:p w:rsidR="00B64336" w:rsidRDefault="00B64336"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5888" behindDoc="0" locked="0" layoutInCell="1" allowOverlap="1" wp14:anchorId="56E49AA0" wp14:editId="1B0CBE66">
              <wp:simplePos x="0" y="0"/>
              <wp:positionH relativeFrom="column">
                <wp:posOffset>1710568</wp:posOffset>
              </wp:positionH>
              <wp:positionV relativeFrom="paragraph">
                <wp:posOffset>29118</wp:posOffset>
              </wp:positionV>
              <wp:extent cx="5155894" cy="45719"/>
              <wp:effectExtent l="38100" t="38100" r="64135" b="88265"/>
              <wp:wrapNone/>
              <wp:docPr id="7" name="7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7 Rectángulo" o:spid="_x0000_s1026" style="position:absolute;margin-left:134.7pt;margin-top:2.3pt;width:406pt;height:3.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BzqQpc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B64336" w:rsidRDefault="00B64336"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B64336" w:rsidRPr="00E16925" w:rsidRDefault="00B64336"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81" w:rsidRPr="007D4651" w:rsidRDefault="00FA3B8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0528" behindDoc="1" locked="0" layoutInCell="1" allowOverlap="1" wp14:anchorId="45D1E255" wp14:editId="1FE4A123">
          <wp:simplePos x="0" y="0"/>
          <wp:positionH relativeFrom="column">
            <wp:posOffset>-89849</wp:posOffset>
          </wp:positionH>
          <wp:positionV relativeFrom="paragraph">
            <wp:posOffset>-163027</wp:posOffset>
          </wp:positionV>
          <wp:extent cx="1697990" cy="914400"/>
          <wp:effectExtent l="0" t="0" r="0" b="0"/>
          <wp:wrapNone/>
          <wp:docPr id="46" name="Imagen 46"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A3B81" w:rsidRPr="007D4651" w:rsidRDefault="002B5DEE"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FA3B81" w:rsidRPr="007D4651">
      <w:rPr>
        <w:rFonts w:ascii="Times New Roman" w:hAnsi="Times New Roman" w:cs="Times New Roman"/>
        <w:color w:val="1F497D" w:themeColor="text2"/>
        <w:lang w:val="es-MX"/>
      </w:rPr>
      <w:t xml:space="preserve"> 2016</w:t>
    </w:r>
  </w:p>
  <w:p w:rsidR="00FA3B81" w:rsidRDefault="00FA3B8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9504" behindDoc="0" locked="0" layoutInCell="1" allowOverlap="1" wp14:anchorId="21066F6B" wp14:editId="0EED1C17">
              <wp:simplePos x="0" y="0"/>
              <wp:positionH relativeFrom="column">
                <wp:posOffset>1710568</wp:posOffset>
              </wp:positionH>
              <wp:positionV relativeFrom="paragraph">
                <wp:posOffset>29118</wp:posOffset>
              </wp:positionV>
              <wp:extent cx="5155894" cy="45719"/>
              <wp:effectExtent l="38100" t="38100" r="64135" b="88265"/>
              <wp:wrapNone/>
              <wp:docPr id="15" name="1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5 Rectángulo" o:spid="_x0000_s1026" style="position:absolute;margin-left:134.7pt;margin-top:2.3pt;width:406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&#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J9X2/A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A3B81" w:rsidRDefault="00FA3B8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FA3B81" w:rsidRPr="00E16925" w:rsidRDefault="00FA3B81"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91" w:rsidRPr="007D4651" w:rsidRDefault="00F7649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2547ABCE" wp14:editId="4996B61B">
          <wp:simplePos x="0" y="0"/>
          <wp:positionH relativeFrom="column">
            <wp:posOffset>-89849</wp:posOffset>
          </wp:positionH>
          <wp:positionV relativeFrom="paragraph">
            <wp:posOffset>-163027</wp:posOffset>
          </wp:positionV>
          <wp:extent cx="1697990" cy="914400"/>
          <wp:effectExtent l="0" t="0" r="0" b="0"/>
          <wp:wrapNone/>
          <wp:docPr id="37" name="Imagen 3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76491" w:rsidRPr="007D4651" w:rsidRDefault="002B5DEE"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F76491" w:rsidRPr="007D4651">
      <w:rPr>
        <w:rFonts w:ascii="Times New Roman" w:hAnsi="Times New Roman" w:cs="Times New Roman"/>
        <w:color w:val="1F497D" w:themeColor="text2"/>
        <w:lang w:val="es-MX"/>
      </w:rPr>
      <w:t xml:space="preserve"> 2016</w:t>
    </w:r>
  </w:p>
  <w:p w:rsidR="00F76491" w:rsidRDefault="00F7649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35D51375" wp14:editId="4A584DB0">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76491" w:rsidRDefault="00F7649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F76491" w:rsidRPr="00E16925" w:rsidRDefault="00F76491"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1D" w:rsidRPr="007D4651" w:rsidRDefault="00494D1D"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8720" behindDoc="1" locked="0" layoutInCell="1" allowOverlap="1" wp14:anchorId="05ED6555" wp14:editId="7F55148A">
          <wp:simplePos x="0" y="0"/>
          <wp:positionH relativeFrom="column">
            <wp:posOffset>-89849</wp:posOffset>
          </wp:positionH>
          <wp:positionV relativeFrom="paragraph">
            <wp:posOffset>-163027</wp:posOffset>
          </wp:positionV>
          <wp:extent cx="1697990" cy="914400"/>
          <wp:effectExtent l="0" t="0" r="0" b="0"/>
          <wp:wrapNone/>
          <wp:docPr id="27"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494D1D" w:rsidRPr="007D4651" w:rsidRDefault="002B5DEE"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494D1D" w:rsidRPr="007D4651">
      <w:rPr>
        <w:rFonts w:ascii="Times New Roman" w:hAnsi="Times New Roman" w:cs="Times New Roman"/>
        <w:color w:val="1F497D" w:themeColor="text2"/>
        <w:lang w:val="es-MX"/>
      </w:rPr>
      <w:t xml:space="preserve"> 2016</w:t>
    </w:r>
  </w:p>
  <w:p w:rsidR="00494D1D" w:rsidRDefault="00494D1D"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7696" behindDoc="0" locked="0" layoutInCell="1" allowOverlap="1" wp14:anchorId="7E01E7D7" wp14:editId="2A283119">
              <wp:simplePos x="0" y="0"/>
              <wp:positionH relativeFrom="column">
                <wp:posOffset>1710568</wp:posOffset>
              </wp:positionH>
              <wp:positionV relativeFrom="paragraph">
                <wp:posOffset>29118</wp:posOffset>
              </wp:positionV>
              <wp:extent cx="5155894" cy="45719"/>
              <wp:effectExtent l="38100" t="38100" r="64135" b="88265"/>
              <wp:wrapNone/>
              <wp:docPr id="25" name="2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5 Rectángulo" o:spid="_x0000_s1026" style="position:absolute;margin-left:134.7pt;margin-top:2.3pt;width:406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&#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BVXKI2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494D1D" w:rsidRDefault="00494D1D"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494D1D" w:rsidRPr="00E16925" w:rsidRDefault="00494D1D"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41" w:rsidRPr="007D4651" w:rsidRDefault="00416D4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1E6519BB" wp14:editId="2798E809">
          <wp:simplePos x="0" y="0"/>
          <wp:positionH relativeFrom="column">
            <wp:posOffset>-89849</wp:posOffset>
          </wp:positionH>
          <wp:positionV relativeFrom="paragraph">
            <wp:posOffset>-163027</wp:posOffset>
          </wp:positionV>
          <wp:extent cx="1697990" cy="914400"/>
          <wp:effectExtent l="0" t="0" r="0" b="0"/>
          <wp:wrapNone/>
          <wp:docPr id="45" name="Imagen 4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416D41" w:rsidRPr="007D4651" w:rsidRDefault="00416D41"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Agosto</w:t>
    </w:r>
    <w:r w:rsidRPr="007D4651">
      <w:rPr>
        <w:rFonts w:ascii="Times New Roman" w:hAnsi="Times New Roman" w:cs="Times New Roman"/>
        <w:color w:val="1F497D" w:themeColor="text2"/>
        <w:lang w:val="es-MX"/>
      </w:rPr>
      <w:t xml:space="preserve"> 2016</w:t>
    </w:r>
  </w:p>
  <w:p w:rsidR="00416D41" w:rsidRDefault="00416D4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300A7797" wp14:editId="1C9A98ED">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416D41" w:rsidRDefault="00416D4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416D41" w:rsidRPr="00E16925" w:rsidRDefault="00416D41"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51"/>
    <w:rsid w:val="00006489"/>
    <w:rsid w:val="00053517"/>
    <w:rsid w:val="00087ADE"/>
    <w:rsid w:val="000D2FA4"/>
    <w:rsid w:val="000E31DD"/>
    <w:rsid w:val="00111B77"/>
    <w:rsid w:val="001259BA"/>
    <w:rsid w:val="00157402"/>
    <w:rsid w:val="00160EAC"/>
    <w:rsid w:val="00185253"/>
    <w:rsid w:val="001D01FB"/>
    <w:rsid w:val="001D46C3"/>
    <w:rsid w:val="001E0E10"/>
    <w:rsid w:val="001F7141"/>
    <w:rsid w:val="002101C9"/>
    <w:rsid w:val="00213C92"/>
    <w:rsid w:val="00240D86"/>
    <w:rsid w:val="00242202"/>
    <w:rsid w:val="00264C3A"/>
    <w:rsid w:val="002672D5"/>
    <w:rsid w:val="00281FB7"/>
    <w:rsid w:val="00296D57"/>
    <w:rsid w:val="002B5DEE"/>
    <w:rsid w:val="002E3F4C"/>
    <w:rsid w:val="002F2A42"/>
    <w:rsid w:val="00345216"/>
    <w:rsid w:val="0034700C"/>
    <w:rsid w:val="00376802"/>
    <w:rsid w:val="00393E59"/>
    <w:rsid w:val="003A3726"/>
    <w:rsid w:val="003C7085"/>
    <w:rsid w:val="00416D41"/>
    <w:rsid w:val="0042387A"/>
    <w:rsid w:val="004575BA"/>
    <w:rsid w:val="004606FD"/>
    <w:rsid w:val="00494D1D"/>
    <w:rsid w:val="00495F43"/>
    <w:rsid w:val="004A6705"/>
    <w:rsid w:val="004B5B0F"/>
    <w:rsid w:val="004C208F"/>
    <w:rsid w:val="004E4FDE"/>
    <w:rsid w:val="004F72F9"/>
    <w:rsid w:val="005004C9"/>
    <w:rsid w:val="005077A5"/>
    <w:rsid w:val="005428C6"/>
    <w:rsid w:val="005A1EFC"/>
    <w:rsid w:val="005B1B53"/>
    <w:rsid w:val="005B6D05"/>
    <w:rsid w:val="005D6BEF"/>
    <w:rsid w:val="00606D70"/>
    <w:rsid w:val="00610F84"/>
    <w:rsid w:val="006207BD"/>
    <w:rsid w:val="006525C5"/>
    <w:rsid w:val="006553D6"/>
    <w:rsid w:val="0065558E"/>
    <w:rsid w:val="0066791B"/>
    <w:rsid w:val="006A1473"/>
    <w:rsid w:val="006B0D82"/>
    <w:rsid w:val="006D1857"/>
    <w:rsid w:val="006D7BB6"/>
    <w:rsid w:val="006E27A5"/>
    <w:rsid w:val="006F20A4"/>
    <w:rsid w:val="00715D8F"/>
    <w:rsid w:val="00741F6B"/>
    <w:rsid w:val="00753591"/>
    <w:rsid w:val="00754057"/>
    <w:rsid w:val="0078479F"/>
    <w:rsid w:val="00784AF8"/>
    <w:rsid w:val="007A7814"/>
    <w:rsid w:val="007C4E46"/>
    <w:rsid w:val="007D38A9"/>
    <w:rsid w:val="007D4651"/>
    <w:rsid w:val="007E314A"/>
    <w:rsid w:val="00851B4B"/>
    <w:rsid w:val="00861640"/>
    <w:rsid w:val="00887661"/>
    <w:rsid w:val="00891B11"/>
    <w:rsid w:val="00892DE1"/>
    <w:rsid w:val="008B12FF"/>
    <w:rsid w:val="008E5C4F"/>
    <w:rsid w:val="008E7869"/>
    <w:rsid w:val="008F312E"/>
    <w:rsid w:val="00910163"/>
    <w:rsid w:val="00993857"/>
    <w:rsid w:val="00997A06"/>
    <w:rsid w:val="009A12F9"/>
    <w:rsid w:val="009A3187"/>
    <w:rsid w:val="009A47FE"/>
    <w:rsid w:val="009B7148"/>
    <w:rsid w:val="009D0D94"/>
    <w:rsid w:val="009D25F9"/>
    <w:rsid w:val="00A26C76"/>
    <w:rsid w:val="00A64AE4"/>
    <w:rsid w:val="00A92D6E"/>
    <w:rsid w:val="00A970F8"/>
    <w:rsid w:val="00AA11B9"/>
    <w:rsid w:val="00AD03E8"/>
    <w:rsid w:val="00AE2039"/>
    <w:rsid w:val="00B21010"/>
    <w:rsid w:val="00B2709E"/>
    <w:rsid w:val="00B5079C"/>
    <w:rsid w:val="00B64336"/>
    <w:rsid w:val="00B667BC"/>
    <w:rsid w:val="00B86812"/>
    <w:rsid w:val="00B923CD"/>
    <w:rsid w:val="00BC7539"/>
    <w:rsid w:val="00BC79C1"/>
    <w:rsid w:val="00C00DBD"/>
    <w:rsid w:val="00C33674"/>
    <w:rsid w:val="00C377EB"/>
    <w:rsid w:val="00C85696"/>
    <w:rsid w:val="00C935C2"/>
    <w:rsid w:val="00CA175B"/>
    <w:rsid w:val="00CA57D4"/>
    <w:rsid w:val="00CA65FF"/>
    <w:rsid w:val="00CC3420"/>
    <w:rsid w:val="00CD7760"/>
    <w:rsid w:val="00CF2D98"/>
    <w:rsid w:val="00CF73B4"/>
    <w:rsid w:val="00D30D15"/>
    <w:rsid w:val="00D40769"/>
    <w:rsid w:val="00D43052"/>
    <w:rsid w:val="00D50ABF"/>
    <w:rsid w:val="00D532B4"/>
    <w:rsid w:val="00D66D34"/>
    <w:rsid w:val="00D75C74"/>
    <w:rsid w:val="00D858E5"/>
    <w:rsid w:val="00DA7B48"/>
    <w:rsid w:val="00DC44CF"/>
    <w:rsid w:val="00DD01C5"/>
    <w:rsid w:val="00DD23C0"/>
    <w:rsid w:val="00DD4AB3"/>
    <w:rsid w:val="00DD4D5D"/>
    <w:rsid w:val="00DF71A8"/>
    <w:rsid w:val="00E16925"/>
    <w:rsid w:val="00E3492D"/>
    <w:rsid w:val="00EA37FC"/>
    <w:rsid w:val="00EB0FC5"/>
    <w:rsid w:val="00ED2C29"/>
    <w:rsid w:val="00F20D0D"/>
    <w:rsid w:val="00F229CE"/>
    <w:rsid w:val="00F644EA"/>
    <w:rsid w:val="00F76491"/>
    <w:rsid w:val="00FA3B81"/>
    <w:rsid w:val="00FA5DE4"/>
    <w:rsid w:val="00FB2C2F"/>
    <w:rsid w:val="00FD61B9"/>
    <w:rsid w:val="00FE65DB"/>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C00D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C00D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6.png"/><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image" Target="media/image5.png"/><Relationship Id="rId27" Type="http://schemas.openxmlformats.org/officeDocument/2006/relationships/footer" Target="footer5.xm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3627976735467"/>
          <c:y val="7.8889447329722084E-2"/>
          <c:w val="0.70934016968809144"/>
          <c:h val="0.75713259246849474"/>
        </c:manualLayout>
      </c:layout>
      <c:radarChart>
        <c:radarStyle val="filled"/>
        <c:varyColors val="0"/>
        <c:ser>
          <c:idx val="0"/>
          <c:order val="0"/>
          <c:tx>
            <c:strRef>
              <c:f>Hoja1!$B$1</c:f>
              <c:strCache>
                <c:ptCount val="1"/>
                <c:pt idx="0">
                  <c:v>Obs 2015</c:v>
                </c:pt>
              </c:strCache>
            </c:strRef>
          </c:tx>
          <c:cat>
            <c:strRef>
              <c:f>Hoja1!$A$2:$A$10</c:f>
              <c:strCache>
                <c:ptCount val="9"/>
                <c:pt idx="0">
                  <c:v>Ene</c:v>
                </c:pt>
                <c:pt idx="1">
                  <c:v>Feb</c:v>
                </c:pt>
                <c:pt idx="2">
                  <c:v>Mar</c:v>
                </c:pt>
                <c:pt idx="3">
                  <c:v>Abr</c:v>
                </c:pt>
                <c:pt idx="4">
                  <c:v>May</c:v>
                </c:pt>
                <c:pt idx="5">
                  <c:v>Jun</c:v>
                </c:pt>
                <c:pt idx="6">
                  <c:v>Jul</c:v>
                </c:pt>
                <c:pt idx="7">
                  <c:v>Ago</c:v>
                </c:pt>
                <c:pt idx="8">
                  <c:v>Sep</c:v>
                </c:pt>
              </c:strCache>
            </c:strRef>
          </c:cat>
          <c:val>
            <c:numRef>
              <c:f>Hoja1!$B$2:$B$10</c:f>
              <c:numCache>
                <c:formatCode>General</c:formatCode>
                <c:ptCount val="9"/>
                <c:pt idx="0">
                  <c:v>4793.1929513699997</c:v>
                </c:pt>
                <c:pt idx="1">
                  <c:v>3340.3352861099997</c:v>
                </c:pt>
                <c:pt idx="2">
                  <c:v>4196.6591701000007</c:v>
                </c:pt>
                <c:pt idx="3">
                  <c:v>5113.6796767500009</c:v>
                </c:pt>
                <c:pt idx="4">
                  <c:v>3518.2657985399983</c:v>
                </c:pt>
                <c:pt idx="5">
                  <c:v>3532.4241271699993</c:v>
                </c:pt>
                <c:pt idx="6">
                  <c:v>5776.3105588500002</c:v>
                </c:pt>
                <c:pt idx="7">
                  <c:v>3540.7439999499993</c:v>
                </c:pt>
                <c:pt idx="8">
                  <c:v>3429.5416249600003</c:v>
                </c:pt>
              </c:numCache>
            </c:numRef>
          </c:val>
        </c:ser>
        <c:dLbls>
          <c:showLegendKey val="0"/>
          <c:showVal val="0"/>
          <c:showCatName val="0"/>
          <c:showSerName val="0"/>
          <c:showPercent val="0"/>
          <c:showBubbleSize val="0"/>
        </c:dLbls>
        <c:axId val="43795200"/>
        <c:axId val="43797120"/>
      </c:radarChart>
      <c:radarChart>
        <c:radarStyle val="marker"/>
        <c:varyColors val="0"/>
        <c:ser>
          <c:idx val="1"/>
          <c:order val="1"/>
          <c:tx>
            <c:strRef>
              <c:f>Hoja1!$C$1</c:f>
              <c:strCache>
                <c:ptCount val="1"/>
                <c:pt idx="0">
                  <c:v>Obs 2016</c:v>
                </c:pt>
              </c:strCache>
            </c:strRef>
          </c:tx>
          <c:spPr>
            <a:ln w="19050">
              <a:solidFill>
                <a:srgbClr val="FF0000"/>
              </a:solidFill>
            </a:ln>
          </c:spPr>
          <c:marker>
            <c:symbol val="star"/>
            <c:size val="5"/>
            <c:spPr>
              <a:noFill/>
              <a:ln>
                <a:solidFill>
                  <a:srgbClr val="FF0000"/>
                </a:solidFill>
              </a:ln>
            </c:spPr>
          </c:marker>
          <c:cat>
            <c:strRef>
              <c:f>Hoja1!$A$2:$A$10</c:f>
              <c:strCache>
                <c:ptCount val="9"/>
                <c:pt idx="0">
                  <c:v>Ene</c:v>
                </c:pt>
                <c:pt idx="1">
                  <c:v>Feb</c:v>
                </c:pt>
                <c:pt idx="2">
                  <c:v>Mar</c:v>
                </c:pt>
                <c:pt idx="3">
                  <c:v>Abr</c:v>
                </c:pt>
                <c:pt idx="4">
                  <c:v>May</c:v>
                </c:pt>
                <c:pt idx="5">
                  <c:v>Jun</c:v>
                </c:pt>
                <c:pt idx="6">
                  <c:v>Jul</c:v>
                </c:pt>
                <c:pt idx="7">
                  <c:v>Ago</c:v>
                </c:pt>
                <c:pt idx="8">
                  <c:v>Sep</c:v>
                </c:pt>
              </c:strCache>
            </c:strRef>
          </c:cat>
          <c:val>
            <c:numRef>
              <c:f>Hoja1!$C$2:$C$10</c:f>
              <c:numCache>
                <c:formatCode>General</c:formatCode>
                <c:ptCount val="9"/>
                <c:pt idx="0">
                  <c:v>4921.7370413000008</c:v>
                </c:pt>
                <c:pt idx="1">
                  <c:v>3350.36568291</c:v>
                </c:pt>
                <c:pt idx="2">
                  <c:v>4244.1582652600009</c:v>
                </c:pt>
                <c:pt idx="3">
                  <c:v>5310.2536938900012</c:v>
                </c:pt>
                <c:pt idx="4">
                  <c:v>4457.7989239899998</c:v>
                </c:pt>
                <c:pt idx="5">
                  <c:v>3828.188011589999</c:v>
                </c:pt>
                <c:pt idx="6">
                  <c:v>6257.3371342500013</c:v>
                </c:pt>
                <c:pt idx="7">
                  <c:v>4140.8641634599971</c:v>
                </c:pt>
                <c:pt idx="8">
                  <c:v>3665.0993921899994</c:v>
                </c:pt>
              </c:numCache>
            </c:numRef>
          </c:val>
        </c:ser>
        <c:ser>
          <c:idx val="2"/>
          <c:order val="2"/>
          <c:tx>
            <c:strRef>
              <c:f>Hoja1!$D$1</c:f>
              <c:strCache>
                <c:ptCount val="1"/>
                <c:pt idx="0">
                  <c:v>Meta</c:v>
                </c:pt>
              </c:strCache>
            </c:strRef>
          </c:tx>
          <c:spPr>
            <a:ln w="19050">
              <a:solidFill>
                <a:schemeClr val="tx1"/>
              </a:solidFill>
              <a:prstDash val="sysDash"/>
            </a:ln>
          </c:spPr>
          <c:marker>
            <c:symbol val="circle"/>
            <c:size val="4"/>
            <c:spPr>
              <a:solidFill>
                <a:schemeClr val="tx1"/>
              </a:solidFill>
            </c:spPr>
          </c:marker>
          <c:cat>
            <c:strRef>
              <c:f>Hoja1!$A$2:$A$10</c:f>
              <c:strCache>
                <c:ptCount val="9"/>
                <c:pt idx="0">
                  <c:v>Ene</c:v>
                </c:pt>
                <c:pt idx="1">
                  <c:v>Feb</c:v>
                </c:pt>
                <c:pt idx="2">
                  <c:v>Mar</c:v>
                </c:pt>
                <c:pt idx="3">
                  <c:v>Abr</c:v>
                </c:pt>
                <c:pt idx="4">
                  <c:v>May</c:v>
                </c:pt>
                <c:pt idx="5">
                  <c:v>Jun</c:v>
                </c:pt>
                <c:pt idx="6">
                  <c:v>Jul</c:v>
                </c:pt>
                <c:pt idx="7">
                  <c:v>Ago</c:v>
                </c:pt>
                <c:pt idx="8">
                  <c:v>Sep</c:v>
                </c:pt>
              </c:strCache>
            </c:strRef>
          </c:cat>
          <c:val>
            <c:numRef>
              <c:f>Hoja1!$D$2:$D$10</c:f>
              <c:numCache>
                <c:formatCode>General</c:formatCode>
                <c:ptCount val="9"/>
                <c:pt idx="0">
                  <c:v>4887.7148302026471</c:v>
                </c:pt>
                <c:pt idx="1">
                  <c:v>3439.2913989343078</c:v>
                </c:pt>
                <c:pt idx="2">
                  <c:v>4616.5192966087643</c:v>
                </c:pt>
                <c:pt idx="3">
                  <c:v>5639.1303698183019</c:v>
                </c:pt>
                <c:pt idx="4">
                  <c:v>3913.219141793998</c:v>
                </c:pt>
                <c:pt idx="5">
                  <c:v>3885.8640132168375</c:v>
                </c:pt>
                <c:pt idx="6">
                  <c:v>6336.2675583674245</c:v>
                </c:pt>
                <c:pt idx="7">
                  <c:v>3898.0072775394024</c:v>
                </c:pt>
                <c:pt idx="8">
                  <c:v>3806.013745442563</c:v>
                </c:pt>
              </c:numCache>
            </c:numRef>
          </c:val>
        </c:ser>
        <c:dLbls>
          <c:showLegendKey val="0"/>
          <c:showVal val="0"/>
          <c:showCatName val="0"/>
          <c:showSerName val="0"/>
          <c:showPercent val="0"/>
          <c:showBubbleSize val="0"/>
        </c:dLbls>
        <c:axId val="43795200"/>
        <c:axId val="43797120"/>
      </c:radarChart>
      <c:catAx>
        <c:axId val="43795200"/>
        <c:scaling>
          <c:orientation val="minMax"/>
        </c:scaling>
        <c:delete val="0"/>
        <c:axPos val="b"/>
        <c:majorGridlines/>
        <c:numFmt formatCode="m/d/yyyy" sourceLinked="1"/>
        <c:majorTickMark val="out"/>
        <c:minorTickMark val="none"/>
        <c:tickLblPos val="nextTo"/>
        <c:txPr>
          <a:bodyPr/>
          <a:lstStyle/>
          <a:p>
            <a:pPr>
              <a:defRPr sz="800" b="1"/>
            </a:pPr>
            <a:endParaRPr lang="es-GT"/>
          </a:p>
        </c:txPr>
        <c:crossAx val="43797120"/>
        <c:crosses val="autoZero"/>
        <c:auto val="1"/>
        <c:lblAlgn val="ctr"/>
        <c:lblOffset val="100"/>
        <c:noMultiLvlLbl val="0"/>
      </c:catAx>
      <c:valAx>
        <c:axId val="43797120"/>
        <c:scaling>
          <c:orientation val="minMax"/>
        </c:scaling>
        <c:delete val="0"/>
        <c:axPos val="l"/>
        <c:majorGridlines>
          <c:spPr>
            <a:ln>
              <a:solidFill>
                <a:schemeClr val="accent1">
                  <a:lumMod val="40000"/>
                  <a:lumOff val="60000"/>
                </a:schemeClr>
              </a:solidFill>
            </a:ln>
          </c:spPr>
        </c:majorGridlines>
        <c:numFmt formatCode="General" sourceLinked="1"/>
        <c:majorTickMark val="cross"/>
        <c:minorTickMark val="none"/>
        <c:tickLblPos val="low"/>
        <c:txPr>
          <a:bodyPr/>
          <a:lstStyle/>
          <a:p>
            <a:pPr>
              <a:defRPr sz="800"/>
            </a:pPr>
            <a:endParaRPr lang="es-GT"/>
          </a:p>
        </c:txPr>
        <c:crossAx val="43795200"/>
        <c:crosses val="autoZero"/>
        <c:crossBetween val="between"/>
      </c:valAx>
    </c:plotArea>
    <c:legend>
      <c:legendPos val="r"/>
      <c:layout>
        <c:manualLayout>
          <c:xMode val="edge"/>
          <c:yMode val="edge"/>
          <c:x val="0"/>
          <c:y val="0.89108611423572048"/>
          <c:w val="0.95402298850574707"/>
          <c:h val="0.10628983877015373"/>
        </c:manualLayout>
      </c:layout>
      <c:overlay val="0"/>
      <c:txPr>
        <a:bodyPr/>
        <a:lstStyle/>
        <a:p>
          <a:pPr>
            <a:defRPr sz="800"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4591103743611"/>
          <c:y val="4.3137254901960784E-2"/>
          <c:w val="0.70768959801077502"/>
          <c:h val="0.89759518295507179"/>
        </c:manualLayout>
      </c:layout>
      <c:barChart>
        <c:barDir val="bar"/>
        <c:grouping val="clustered"/>
        <c:varyColors val="0"/>
        <c:ser>
          <c:idx val="0"/>
          <c:order val="0"/>
          <c:tx>
            <c:strRef>
              <c:f>Hoja1!$B$1</c:f>
              <c:strCache>
                <c:ptCount val="1"/>
                <c:pt idx="0">
                  <c:v>2016-2015</c:v>
                </c:pt>
              </c:strCache>
            </c:strRef>
          </c:tx>
          <c:spPr>
            <a:solidFill>
              <a:srgbClr val="0070C0"/>
            </a:solidFill>
          </c:spPr>
          <c:invertIfNegative val="0"/>
          <c:dLbls>
            <c:txPr>
              <a:bodyPr/>
              <a:lstStyle/>
              <a:p>
                <a:pPr>
                  <a:defRPr sz="500" b="1">
                    <a:solidFill>
                      <a:srgbClr val="0070C0"/>
                    </a:solidFill>
                  </a:defRPr>
                </a:pPr>
                <a:endParaRPr lang="es-GT"/>
              </a:p>
            </c:txPr>
            <c:showLegendKey val="0"/>
            <c:showVal val="1"/>
            <c:showCatName val="0"/>
            <c:showSerName val="0"/>
            <c:showPercent val="0"/>
            <c:showBubbleSize val="0"/>
            <c:showLeaderLines val="0"/>
          </c:dLbls>
          <c:cat>
            <c:strRef>
              <c:f>Hoja1!$A$2:$A$19</c:f>
              <c:strCache>
                <c:ptCount val="15"/>
                <c:pt idx="0">
                  <c:v>IVA Imp</c:v>
                </c:pt>
                <c:pt idx="1">
                  <c:v>Cemento</c:v>
                </c:pt>
                <c:pt idx="2">
                  <c:v>Regalías</c:v>
                </c:pt>
                <c:pt idx="3">
                  <c:v>Tabacos</c:v>
                </c:pt>
                <c:pt idx="4">
                  <c:v>Propiedad</c:v>
                </c:pt>
                <c:pt idx="5">
                  <c:v>Salidas</c:v>
                </c:pt>
                <c:pt idx="6">
                  <c:v>Timbres</c:v>
                </c:pt>
                <c:pt idx="7">
                  <c:v>Bebidas</c:v>
                </c:pt>
                <c:pt idx="8">
                  <c:v>IPRIMA</c:v>
                </c:pt>
                <c:pt idx="9">
                  <c:v>Vehículos</c:v>
                </c:pt>
                <c:pt idx="10">
                  <c:v>ISO</c:v>
                </c:pt>
                <c:pt idx="11">
                  <c:v>DAI</c:v>
                </c:pt>
                <c:pt idx="12">
                  <c:v>Petróleo</c:v>
                </c:pt>
                <c:pt idx="13">
                  <c:v>IVA Dom</c:v>
                </c:pt>
                <c:pt idx="14">
                  <c:v>ISR</c:v>
                </c:pt>
              </c:strCache>
            </c:strRef>
          </c:cat>
          <c:val>
            <c:numRef>
              <c:f>Hoja1!$B$2:$B$19</c:f>
              <c:numCache>
                <c:formatCode>#,##0.0</c:formatCode>
                <c:ptCount val="15"/>
                <c:pt idx="0">
                  <c:v>-279.7419830200015</c:v>
                </c:pt>
                <c:pt idx="1">
                  <c:v>-161.48073980999996</c:v>
                </c:pt>
                <c:pt idx="2">
                  <c:v>-74.295367429999985</c:v>
                </c:pt>
                <c:pt idx="3">
                  <c:v>0.37537727000000132</c:v>
                </c:pt>
                <c:pt idx="4">
                  <c:v>2.8985962999999995</c:v>
                </c:pt>
                <c:pt idx="5">
                  <c:v>15.959229160000035</c:v>
                </c:pt>
                <c:pt idx="6">
                  <c:v>20.506787199999962</c:v>
                </c:pt>
                <c:pt idx="7">
                  <c:v>35.240352069999972</c:v>
                </c:pt>
                <c:pt idx="8">
                  <c:v>42.354439270000057</c:v>
                </c:pt>
                <c:pt idx="9">
                  <c:v>60.370796399999904</c:v>
                </c:pt>
                <c:pt idx="10">
                  <c:v>137.89904796000019</c:v>
                </c:pt>
                <c:pt idx="11">
                  <c:v>155.1394606399997</c:v>
                </c:pt>
                <c:pt idx="12">
                  <c:v>231.6557196599997</c:v>
                </c:pt>
                <c:pt idx="13">
                  <c:v>827.63787303999925</c:v>
                </c:pt>
                <c:pt idx="14">
                  <c:v>1917.8702819099981</c:v>
                </c:pt>
              </c:numCache>
            </c:numRef>
          </c:val>
        </c:ser>
        <c:ser>
          <c:idx val="1"/>
          <c:order val="1"/>
          <c:tx>
            <c:strRef>
              <c:f>Hoja1!$C$1</c:f>
              <c:strCache>
                <c:ptCount val="1"/>
                <c:pt idx="0">
                  <c:v>2016-Presupuesto</c:v>
                </c:pt>
              </c:strCache>
            </c:strRef>
          </c:tx>
          <c:spPr>
            <a:solidFill>
              <a:srgbClr val="FF0000"/>
            </a:solidFill>
          </c:spPr>
          <c:invertIfNegative val="0"/>
          <c:dLbls>
            <c:txPr>
              <a:bodyPr/>
              <a:lstStyle/>
              <a:p>
                <a:pPr>
                  <a:defRPr sz="500" b="1">
                    <a:solidFill>
                      <a:srgbClr val="FF0000"/>
                    </a:solidFill>
                  </a:defRPr>
                </a:pPr>
                <a:endParaRPr lang="es-GT"/>
              </a:p>
            </c:txPr>
            <c:showLegendKey val="0"/>
            <c:showVal val="1"/>
            <c:showCatName val="0"/>
            <c:showSerName val="0"/>
            <c:showPercent val="0"/>
            <c:showBubbleSize val="0"/>
            <c:showLeaderLines val="0"/>
          </c:dLbls>
          <c:cat>
            <c:strRef>
              <c:f>Hoja1!$A$2:$A$19</c:f>
              <c:strCache>
                <c:ptCount val="15"/>
                <c:pt idx="0">
                  <c:v>IVA Imp</c:v>
                </c:pt>
                <c:pt idx="1">
                  <c:v>Cemento</c:v>
                </c:pt>
                <c:pt idx="2">
                  <c:v>Regalías</c:v>
                </c:pt>
                <c:pt idx="3">
                  <c:v>Tabacos</c:v>
                </c:pt>
                <c:pt idx="4">
                  <c:v>Propiedad</c:v>
                </c:pt>
                <c:pt idx="5">
                  <c:v>Salidas</c:v>
                </c:pt>
                <c:pt idx="6">
                  <c:v>Timbres</c:v>
                </c:pt>
                <c:pt idx="7">
                  <c:v>Bebidas</c:v>
                </c:pt>
                <c:pt idx="8">
                  <c:v>IPRIMA</c:v>
                </c:pt>
                <c:pt idx="9">
                  <c:v>Vehículos</c:v>
                </c:pt>
                <c:pt idx="10">
                  <c:v>ISO</c:v>
                </c:pt>
                <c:pt idx="11">
                  <c:v>DAI</c:v>
                </c:pt>
                <c:pt idx="12">
                  <c:v>Petróleo</c:v>
                </c:pt>
                <c:pt idx="13">
                  <c:v>IVA Dom</c:v>
                </c:pt>
                <c:pt idx="14">
                  <c:v>ISR</c:v>
                </c:pt>
              </c:strCache>
            </c:strRef>
          </c:cat>
          <c:val>
            <c:numRef>
              <c:f>Hoja1!$C$2:$C$19</c:f>
              <c:numCache>
                <c:formatCode>#,##0.0</c:formatCode>
                <c:ptCount val="15"/>
                <c:pt idx="0">
                  <c:v>-1036.1361370200011</c:v>
                </c:pt>
                <c:pt idx="1">
                  <c:v>11.113359250000002</c:v>
                </c:pt>
                <c:pt idx="2">
                  <c:v>-41.779323726768737</c:v>
                </c:pt>
                <c:pt idx="3">
                  <c:v>-40.724164970000004</c:v>
                </c:pt>
                <c:pt idx="4">
                  <c:v>4.9018169800000013</c:v>
                </c:pt>
                <c:pt idx="5">
                  <c:v>-1.18455581747466</c:v>
                </c:pt>
                <c:pt idx="6">
                  <c:v>-9.5027600600000142</c:v>
                </c:pt>
                <c:pt idx="7">
                  <c:v>30.77430124</c:v>
                </c:pt>
                <c:pt idx="8">
                  <c:v>58.046613610000009</c:v>
                </c:pt>
                <c:pt idx="9">
                  <c:v>52.505947940000055</c:v>
                </c:pt>
                <c:pt idx="10">
                  <c:v>-22.390928639999402</c:v>
                </c:pt>
                <c:pt idx="11">
                  <c:v>139.83615468999983</c:v>
                </c:pt>
                <c:pt idx="12">
                  <c:v>222.65820734999988</c:v>
                </c:pt>
                <c:pt idx="13">
                  <c:v>-331.21416813000178</c:v>
                </c:pt>
                <c:pt idx="14">
                  <c:v>713.17397076000088</c:v>
                </c:pt>
              </c:numCache>
            </c:numRef>
          </c:val>
        </c:ser>
        <c:dLbls>
          <c:showLegendKey val="0"/>
          <c:showVal val="0"/>
          <c:showCatName val="0"/>
          <c:showSerName val="0"/>
          <c:showPercent val="0"/>
          <c:showBubbleSize val="0"/>
        </c:dLbls>
        <c:gapWidth val="42"/>
        <c:axId val="23289856"/>
        <c:axId val="23291392"/>
      </c:barChart>
      <c:catAx>
        <c:axId val="23289856"/>
        <c:scaling>
          <c:orientation val="minMax"/>
        </c:scaling>
        <c:delete val="0"/>
        <c:axPos val="l"/>
        <c:majorGridlines>
          <c:spPr>
            <a:ln>
              <a:solidFill>
                <a:srgbClr val="00B0F0">
                  <a:alpha val="30000"/>
                </a:srgbClr>
              </a:solidFill>
              <a:prstDash val="sysDash"/>
            </a:ln>
          </c:spPr>
        </c:majorGridlines>
        <c:majorTickMark val="out"/>
        <c:minorTickMark val="none"/>
        <c:tickLblPos val="low"/>
        <c:spPr>
          <a:ln>
            <a:solidFill>
              <a:srgbClr val="00B0F0"/>
            </a:solidFill>
          </a:ln>
        </c:spPr>
        <c:txPr>
          <a:bodyPr/>
          <a:lstStyle/>
          <a:p>
            <a:pPr>
              <a:defRPr sz="800" b="1"/>
            </a:pPr>
            <a:endParaRPr lang="es-GT"/>
          </a:p>
        </c:txPr>
        <c:crossAx val="23291392"/>
        <c:crosses val="autoZero"/>
        <c:auto val="1"/>
        <c:lblAlgn val="ctr"/>
        <c:lblOffset val="100"/>
        <c:noMultiLvlLbl val="0"/>
      </c:catAx>
      <c:valAx>
        <c:axId val="23291392"/>
        <c:scaling>
          <c:orientation val="minMax"/>
          <c:min val="-2000"/>
        </c:scaling>
        <c:delete val="0"/>
        <c:axPos val="b"/>
        <c:majorGridlines>
          <c:spPr>
            <a:ln>
              <a:solidFill>
                <a:srgbClr val="00B0F0">
                  <a:alpha val="30000"/>
                </a:srgbClr>
              </a:solidFill>
              <a:prstDash val="sysDash"/>
            </a:ln>
          </c:spPr>
        </c:majorGridlines>
        <c:numFmt formatCode="#,##0" sourceLinked="0"/>
        <c:majorTickMark val="out"/>
        <c:minorTickMark val="none"/>
        <c:tickLblPos val="nextTo"/>
        <c:txPr>
          <a:bodyPr/>
          <a:lstStyle/>
          <a:p>
            <a:pPr>
              <a:defRPr sz="800" b="1"/>
            </a:pPr>
            <a:endParaRPr lang="es-GT"/>
          </a:p>
        </c:txPr>
        <c:crossAx val="23289856"/>
        <c:crosses val="autoZero"/>
        <c:crossBetween val="between"/>
      </c:valAx>
    </c:plotArea>
    <c:legend>
      <c:legendPos val="b"/>
      <c:layout>
        <c:manualLayout>
          <c:xMode val="edge"/>
          <c:yMode val="edge"/>
          <c:x val="0.57887809950702085"/>
          <c:y val="0.74638139990565699"/>
          <c:w val="0.41718758299997138"/>
          <c:h val="0.15860615113103871"/>
        </c:manualLayout>
      </c:layout>
      <c:overlay val="0"/>
      <c:txPr>
        <a:bodyPr/>
        <a:lstStyle/>
        <a:p>
          <a:pPr>
            <a:defRPr sz="700" b="1"/>
          </a:pPr>
          <a:endParaRPr lang="es-GT"/>
        </a:p>
      </c:txPr>
    </c:legend>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6533-1743-431E-B5C2-13A84103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2066</Words>
  <Characters>11366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DAPF</cp:lastModifiedBy>
  <cp:revision>9</cp:revision>
  <dcterms:created xsi:type="dcterms:W3CDTF">2016-10-26T15:37:00Z</dcterms:created>
  <dcterms:modified xsi:type="dcterms:W3CDTF">2016-10-26T16:29:00Z</dcterms:modified>
</cp:coreProperties>
</file>