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FE3D4D" w:rsidRDefault="00FE3D4D" w:rsidP="00FE3D4D">
      <w:pPr>
        <w:pBdr>
          <w:top w:val="single" w:sz="4" w:space="1" w:color="auto"/>
          <w:left w:val="single" w:sz="4" w:space="4" w:color="auto"/>
          <w:bottom w:val="single" w:sz="4" w:space="1" w:color="auto"/>
          <w:right w:val="single" w:sz="4" w:space="4" w:color="auto"/>
        </w:pBdr>
        <w:shd w:val="clear" w:color="auto" w:fill="B8CCE4" w:themeFill="accent1" w:themeFillTint="66"/>
        <w:tabs>
          <w:tab w:val="center" w:pos="4702"/>
          <w:tab w:val="left" w:pos="7417"/>
        </w:tabs>
        <w:spacing w:after="0" w:line="240" w:lineRule="auto"/>
        <w:rPr>
          <w:rFonts w:ascii="Times New Roman" w:hAnsi="Times New Roman" w:cs="Times New Roman"/>
          <w:b/>
          <w:lang w:val="es-MX"/>
        </w:rPr>
        <w:sectPr w:rsidR="007D4651" w:rsidRPr="00FE3D4D" w:rsidSect="00754057">
          <w:headerReference w:type="default" r:id="rId9"/>
          <w:footerReference w:type="default" r:id="rId10"/>
          <w:pgSz w:w="12240" w:h="15840" w:code="1"/>
          <w:pgMar w:top="1418" w:right="1418" w:bottom="1418" w:left="1418" w:header="709" w:footer="709" w:gutter="0"/>
          <w:cols w:space="708"/>
          <w:docGrid w:linePitch="360"/>
        </w:sectPr>
      </w:pPr>
      <w:bookmarkStart w:id="0" w:name="_GoBack"/>
      <w:bookmarkEnd w:id="0"/>
      <w:r w:rsidRPr="00FE3D4D">
        <w:rPr>
          <w:rFonts w:ascii="Times New Roman" w:hAnsi="Times New Roman" w:cs="Times New Roman"/>
          <w:b/>
          <w:lang w:val="es-MX"/>
        </w:rPr>
        <w:tab/>
      </w:r>
      <w:r w:rsidR="00157C3A" w:rsidRPr="00FE3D4D">
        <w:rPr>
          <w:rFonts w:ascii="Times New Roman" w:hAnsi="Times New Roman" w:cs="Times New Roman"/>
          <w:b/>
          <w:lang w:val="es-MX"/>
        </w:rPr>
        <w:t>D</w:t>
      </w:r>
      <w:r w:rsidR="007362C1" w:rsidRPr="00FE3D4D">
        <w:rPr>
          <w:rFonts w:ascii="Times New Roman" w:hAnsi="Times New Roman" w:cs="Times New Roman"/>
          <w:b/>
          <w:lang w:val="es-MX"/>
        </w:rPr>
        <w:t>éfic</w:t>
      </w:r>
      <w:r w:rsidR="00CE75B5" w:rsidRPr="00FE3D4D">
        <w:rPr>
          <w:rFonts w:ascii="Times New Roman" w:hAnsi="Times New Roman" w:cs="Times New Roman"/>
          <w:b/>
          <w:lang w:val="es-MX"/>
        </w:rPr>
        <w:t xml:space="preserve">it </w:t>
      </w:r>
      <w:r w:rsidR="00157402" w:rsidRPr="00FE3D4D">
        <w:rPr>
          <w:rFonts w:ascii="Times New Roman" w:hAnsi="Times New Roman" w:cs="Times New Roman"/>
          <w:b/>
          <w:lang w:val="es-MX"/>
        </w:rPr>
        <w:t>fiscal</w:t>
      </w:r>
      <w:r w:rsidR="00157C3A" w:rsidRPr="00FE3D4D">
        <w:rPr>
          <w:rFonts w:ascii="Times New Roman" w:hAnsi="Times New Roman" w:cs="Times New Roman"/>
          <w:b/>
          <w:lang w:val="es-MX"/>
        </w:rPr>
        <w:t xml:space="preserve"> </w:t>
      </w:r>
      <w:r w:rsidR="00051776" w:rsidRPr="00FE3D4D">
        <w:rPr>
          <w:rFonts w:ascii="Times New Roman" w:hAnsi="Times New Roman" w:cs="Times New Roman"/>
          <w:b/>
          <w:lang w:val="es-MX"/>
        </w:rPr>
        <w:t>a octubre se mantiene en</w:t>
      </w:r>
      <w:r w:rsidR="00157C3A" w:rsidRPr="00FE3D4D">
        <w:rPr>
          <w:rFonts w:ascii="Times New Roman" w:hAnsi="Times New Roman" w:cs="Times New Roman"/>
          <w:b/>
          <w:lang w:val="es-MX"/>
        </w:rPr>
        <w:t xml:space="preserve"> 0.6% del PIB</w:t>
      </w:r>
      <w:r w:rsidRPr="00FE3D4D">
        <w:rPr>
          <w:rFonts w:ascii="Times New Roman" w:hAnsi="Times New Roman" w:cs="Times New Roman"/>
          <w:b/>
          <w:lang w:val="es-MX"/>
        </w:rPr>
        <w:tab/>
      </w:r>
    </w:p>
    <w:p w:rsidR="007D4651" w:rsidRPr="00FF68EA" w:rsidRDefault="007D4651" w:rsidP="007D4651">
      <w:pPr>
        <w:pStyle w:val="Sinespaciado"/>
        <w:rPr>
          <w:rFonts w:ascii="Times New Roman" w:hAnsi="Times New Roman" w:cs="Times New Roman"/>
          <w:b/>
          <w:color w:val="FF0000"/>
          <w:sz w:val="6"/>
          <w:lang w:val="es-MX"/>
        </w:rPr>
      </w:pPr>
    </w:p>
    <w:p w:rsidR="007D4651" w:rsidRPr="00FF68EA" w:rsidRDefault="007D4651" w:rsidP="007D4651">
      <w:pPr>
        <w:pStyle w:val="Sinespaciado"/>
        <w:jc w:val="center"/>
        <w:rPr>
          <w:rFonts w:ascii="Times New Roman" w:hAnsi="Times New Roman" w:cs="Times New Roman"/>
          <w:b/>
          <w:color w:val="FF0000"/>
          <w:sz w:val="16"/>
          <w:lang w:val="es-MX"/>
        </w:rPr>
      </w:pPr>
    </w:p>
    <w:p w:rsidR="009C4027" w:rsidRPr="00FF68EA" w:rsidRDefault="009C4027" w:rsidP="007D4651">
      <w:pPr>
        <w:pStyle w:val="Sinespaciado"/>
        <w:jc w:val="center"/>
        <w:rPr>
          <w:rFonts w:ascii="Times New Roman" w:hAnsi="Times New Roman" w:cs="Times New Roman"/>
          <w:b/>
          <w:color w:val="FF0000"/>
          <w:lang w:val="es-MX"/>
        </w:rPr>
        <w:sectPr w:rsidR="009C4027" w:rsidRPr="00FF68EA" w:rsidSect="004E358C">
          <w:type w:val="continuous"/>
          <w:pgSz w:w="12240" w:h="15840"/>
          <w:pgMar w:top="1417" w:right="1701" w:bottom="1417" w:left="1701" w:header="708" w:footer="708" w:gutter="0"/>
          <w:cols w:space="708"/>
          <w:docGrid w:linePitch="360"/>
        </w:sectPr>
      </w:pPr>
    </w:p>
    <w:p w:rsidR="00B73AF2" w:rsidRDefault="00B73AF2" w:rsidP="00B73AF2">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w:t>
      </w:r>
      <w:r w:rsidRPr="00F92177">
        <w:rPr>
          <w:rFonts w:ascii="Times New Roman" w:hAnsi="Times New Roman" w:cs="Times New Roman"/>
          <w:lang w:val="es-MX"/>
        </w:rPr>
        <w:t xml:space="preserve">un </w:t>
      </w:r>
      <w:r>
        <w:rPr>
          <w:rFonts w:ascii="Times New Roman" w:hAnsi="Times New Roman" w:cs="Times New Roman"/>
          <w:lang w:val="es-MX"/>
        </w:rPr>
        <w:t>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octubre de 2018 en</w:t>
      </w:r>
      <w:r w:rsidRPr="00F92177">
        <w:rPr>
          <w:rFonts w:ascii="Times New Roman" w:hAnsi="Times New Roman" w:cs="Times New Roman"/>
          <w:lang w:val="es-MX"/>
        </w:rPr>
        <w:t xml:space="preserve"> Q</w:t>
      </w:r>
      <w:r>
        <w:rPr>
          <w:rFonts w:ascii="Times New Roman" w:hAnsi="Times New Roman" w:cs="Times New Roman"/>
          <w:lang w:val="es-MX"/>
        </w:rPr>
        <w:t>3</w:t>
      </w:r>
      <w:proofErr w:type="gramStart"/>
      <w:r>
        <w:rPr>
          <w:rFonts w:ascii="Times New Roman" w:hAnsi="Times New Roman" w:cs="Times New Roman"/>
          <w:lang w:val="es-MX"/>
        </w:rPr>
        <w:t>,205.4</w:t>
      </w:r>
      <w:proofErr w:type="gramEnd"/>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déficit se generó por un gasto público que continúa mostrando un comportamiento dinámico que se ha acentuado desde agosto. Por el lado de la recaudación tributaria, durante este mes se tuvieron vencimientos importantes como el ISR sobre utilidades (pago trimestral) y el ISO, sin embargo, el </w:t>
      </w:r>
      <w:r>
        <w:rPr>
          <w:rFonts w:ascii="Times New Roman" w:hAnsi="Times New Roman" w:cs="Times New Roman"/>
          <w:lang w:val="es-MX"/>
        </w:rPr>
        <w:lastRenderedPageBreak/>
        <w:t>comportamiento de la recaudación sigue siendo modesto creciendo 3.9%, aunque respecto a la meta SAT existe una brecha positiva acumulada de Q577.7 millones.</w:t>
      </w:r>
    </w:p>
    <w:p w:rsidR="00B73AF2" w:rsidRDefault="00B73AF2" w:rsidP="00B73AF2">
      <w:pPr>
        <w:pStyle w:val="Sinespaciado"/>
        <w:jc w:val="both"/>
        <w:rPr>
          <w:rFonts w:ascii="Times New Roman" w:hAnsi="Times New Roman" w:cs="Times New Roman"/>
          <w:lang w:val="es-MX"/>
        </w:rPr>
      </w:pPr>
    </w:p>
    <w:p w:rsidR="00B73AF2" w:rsidRDefault="00B73AF2" w:rsidP="00B73AF2">
      <w:pPr>
        <w:pStyle w:val="Sinespaciado"/>
        <w:jc w:val="both"/>
        <w:rPr>
          <w:rFonts w:ascii="Times New Roman" w:hAnsi="Times New Roman" w:cs="Times New Roman"/>
          <w:lang w:val="es-MX"/>
        </w:rPr>
      </w:pPr>
      <w:r>
        <w:rPr>
          <w:rFonts w:ascii="Times New Roman" w:hAnsi="Times New Roman" w:cs="Times New Roman"/>
          <w:lang w:val="es-MX"/>
        </w:rPr>
        <w:t>Se espera que el dinamismo del gasto continúe y por ende el déficit fiscal al final de año podría ubicarse en torno al 1.6% del PIB.</w:t>
      </w:r>
    </w:p>
    <w:p w:rsidR="007D4651" w:rsidRPr="00FF68EA" w:rsidRDefault="00771670" w:rsidP="00771670">
      <w:pPr>
        <w:pStyle w:val="Sinespaciado"/>
        <w:ind w:left="142" w:right="-46"/>
        <w:jc w:val="both"/>
        <w:rPr>
          <w:rFonts w:ascii="Times New Roman" w:hAnsi="Times New Roman" w:cs="Times New Roman"/>
          <w:color w:val="FF0000"/>
          <w:lang w:val="es-MX"/>
        </w:rPr>
      </w:pPr>
      <w:r w:rsidRPr="00FF68EA">
        <w:rPr>
          <w:rFonts w:ascii="Times New Roman" w:hAnsi="Times New Roman" w:cs="Times New Roman"/>
          <w:color w:val="FF0000"/>
          <w:lang w:val="es-MX"/>
        </w:rPr>
        <w:t xml:space="preserve"> </w:t>
      </w:r>
    </w:p>
    <w:p w:rsidR="007D4651" w:rsidRPr="00FF68EA" w:rsidRDefault="007D4651" w:rsidP="007D4651">
      <w:pPr>
        <w:pStyle w:val="Sinespaciado"/>
        <w:jc w:val="center"/>
        <w:rPr>
          <w:rFonts w:ascii="Times New Roman" w:hAnsi="Times New Roman" w:cs="Times New Roman"/>
          <w:b/>
          <w:color w:val="FF0000"/>
          <w:lang w:val="es-MX"/>
        </w:rPr>
        <w:sectPr w:rsidR="007D4651" w:rsidRPr="00FF68EA" w:rsidSect="004E358C">
          <w:type w:val="continuous"/>
          <w:pgSz w:w="12240" w:h="15840"/>
          <w:pgMar w:top="1417" w:right="1701" w:bottom="1417" w:left="1701" w:header="708" w:footer="708" w:gutter="0"/>
          <w:cols w:num="2" w:space="708"/>
          <w:docGrid w:linePitch="360"/>
        </w:sectPr>
      </w:pPr>
    </w:p>
    <w:p w:rsidR="007D4651" w:rsidRPr="00FF68EA" w:rsidRDefault="007D4651" w:rsidP="00B9286A">
      <w:pPr>
        <w:pStyle w:val="Sinespaciado"/>
        <w:rPr>
          <w:rFonts w:ascii="Times New Roman" w:hAnsi="Times New Roman" w:cs="Times New Roman"/>
          <w:b/>
          <w:color w:val="FF0000"/>
          <w:sz w:val="4"/>
          <w:lang w:val="es-MX"/>
        </w:rPr>
      </w:pPr>
    </w:p>
    <w:p w:rsidR="009C4027" w:rsidRPr="00FF68EA" w:rsidRDefault="009C4027" w:rsidP="007D4651">
      <w:pPr>
        <w:pStyle w:val="Sinespaciado"/>
        <w:jc w:val="center"/>
        <w:rPr>
          <w:rFonts w:ascii="Times New Roman" w:hAnsi="Times New Roman" w:cs="Times New Roman"/>
          <w:b/>
          <w:color w:val="FF0000"/>
          <w:sz w:val="14"/>
          <w:lang w:val="es-MX"/>
        </w:rPr>
      </w:pPr>
    </w:p>
    <w:p w:rsidR="009C4027" w:rsidRPr="00FF68EA" w:rsidRDefault="009C4027" w:rsidP="007D4651">
      <w:pPr>
        <w:pStyle w:val="Sinespaciado"/>
        <w:jc w:val="center"/>
        <w:rPr>
          <w:rFonts w:ascii="Times New Roman" w:hAnsi="Times New Roman" w:cs="Times New Roman"/>
          <w:b/>
          <w:color w:val="FF0000"/>
          <w:lang w:val="es-MX"/>
        </w:rPr>
        <w:sectPr w:rsidR="009C4027" w:rsidRPr="00FF68EA" w:rsidSect="007D4651">
          <w:type w:val="continuous"/>
          <w:pgSz w:w="12240" w:h="15840" w:code="1"/>
          <w:pgMar w:top="1418" w:right="1418" w:bottom="1418" w:left="1418" w:header="709" w:footer="709" w:gutter="0"/>
          <w:cols w:num="2" w:space="708"/>
          <w:docGrid w:linePitch="360"/>
        </w:sectPr>
      </w:pPr>
    </w:p>
    <w:p w:rsidR="006F5EA0" w:rsidRPr="00FE3D4D" w:rsidRDefault="00950874" w:rsidP="006F5EA0">
      <w:pPr>
        <w:pStyle w:val="Sinespaciado"/>
        <w:jc w:val="center"/>
        <w:rPr>
          <w:rFonts w:ascii="Times New Roman" w:hAnsi="Times New Roman" w:cs="Times New Roman"/>
          <w:b/>
          <w:sz w:val="24"/>
          <w:lang w:val="es-MX"/>
        </w:rPr>
      </w:pPr>
      <w:r w:rsidRPr="00FE3D4D">
        <w:rPr>
          <w:rFonts w:ascii="Times New Roman" w:hAnsi="Times New Roman" w:cs="Times New Roman"/>
          <w:b/>
          <w:sz w:val="24"/>
          <w:lang w:val="es-MX"/>
        </w:rPr>
        <w:lastRenderedPageBreak/>
        <w:t>Resultado Presupuestario</w:t>
      </w:r>
    </w:p>
    <w:p w:rsidR="00950874" w:rsidRPr="00FE3D4D" w:rsidRDefault="006F5EA0" w:rsidP="006F5EA0">
      <w:pPr>
        <w:pStyle w:val="Sinespaciado"/>
        <w:jc w:val="center"/>
        <w:rPr>
          <w:rFonts w:ascii="Times New Roman" w:hAnsi="Times New Roman" w:cs="Times New Roman"/>
          <w:sz w:val="18"/>
          <w:lang w:val="es-MX"/>
        </w:rPr>
      </w:pPr>
      <w:r w:rsidRPr="00FE3D4D">
        <w:rPr>
          <w:rFonts w:ascii="Times New Roman" w:hAnsi="Times New Roman" w:cs="Times New Roman"/>
          <w:sz w:val="20"/>
          <w:lang w:val="es-MX"/>
        </w:rPr>
        <w:t xml:space="preserve">       </w:t>
      </w:r>
      <w:r w:rsidR="00051776" w:rsidRPr="00FE3D4D">
        <w:rPr>
          <w:rFonts w:ascii="Times New Roman" w:hAnsi="Times New Roman" w:cs="Times New Roman"/>
          <w:sz w:val="20"/>
          <w:lang w:val="es-MX"/>
        </w:rPr>
        <w:t>Al 31</w:t>
      </w:r>
      <w:r w:rsidRPr="00FE3D4D">
        <w:rPr>
          <w:rFonts w:ascii="Times New Roman" w:hAnsi="Times New Roman" w:cs="Times New Roman"/>
          <w:sz w:val="20"/>
          <w:lang w:val="es-MX"/>
        </w:rPr>
        <w:t xml:space="preserve"> de </w:t>
      </w:r>
      <w:r w:rsidR="00051776" w:rsidRPr="00FE3D4D">
        <w:rPr>
          <w:rFonts w:ascii="Times New Roman" w:hAnsi="Times New Roman" w:cs="Times New Roman"/>
          <w:sz w:val="20"/>
          <w:lang w:val="es-MX"/>
        </w:rPr>
        <w:t>octu</w:t>
      </w:r>
      <w:r w:rsidR="00157C3A" w:rsidRPr="00FE3D4D">
        <w:rPr>
          <w:rFonts w:ascii="Times New Roman" w:hAnsi="Times New Roman" w:cs="Times New Roman"/>
          <w:sz w:val="20"/>
          <w:lang w:val="es-MX"/>
        </w:rPr>
        <w:t>bre</w:t>
      </w:r>
      <w:r w:rsidRPr="00FE3D4D">
        <w:rPr>
          <w:rFonts w:ascii="Times New Roman" w:hAnsi="Times New Roman" w:cs="Times New Roman"/>
          <w:sz w:val="20"/>
          <w:lang w:val="es-MX"/>
        </w:rPr>
        <w:t xml:space="preserve"> de cada año</w:t>
      </w:r>
      <w:r w:rsidR="00F27024" w:rsidRPr="00FE3D4D">
        <w:rPr>
          <w:rFonts w:ascii="Times New Roman" w:hAnsi="Times New Roman" w:cs="Times New Roman"/>
          <w:b/>
          <w:lang w:val="es-MX"/>
        </w:rPr>
        <w:tab/>
      </w:r>
    </w:p>
    <w:p w:rsidR="00AF68D3" w:rsidRPr="00FE3D4D" w:rsidRDefault="00950874" w:rsidP="00443336">
      <w:pPr>
        <w:pStyle w:val="Sinespaciado"/>
        <w:jc w:val="center"/>
        <w:rPr>
          <w:rFonts w:ascii="Times New Roman" w:hAnsi="Times New Roman" w:cs="Times New Roman"/>
          <w:sz w:val="18"/>
          <w:lang w:val="es-MX"/>
        </w:rPr>
      </w:pPr>
      <w:r w:rsidRPr="00FE3D4D">
        <w:rPr>
          <w:rFonts w:ascii="Times New Roman" w:hAnsi="Times New Roman" w:cs="Times New Roman"/>
          <w:sz w:val="18"/>
          <w:lang w:val="es-MX"/>
        </w:rPr>
        <w:t>Millones de quetzales</w:t>
      </w:r>
    </w:p>
    <w:p w:rsidR="00A21A6A" w:rsidRPr="00FE3D4D" w:rsidRDefault="00FE3D4D" w:rsidP="00891F2D">
      <w:pPr>
        <w:pStyle w:val="Sinespaciado"/>
        <w:jc w:val="center"/>
        <w:rPr>
          <w:noProof/>
          <w:lang w:eastAsia="es-GT"/>
        </w:rPr>
      </w:pPr>
      <w:r w:rsidRPr="00FE3D4D">
        <w:rPr>
          <w:rFonts w:ascii="Times New Roman" w:hAnsi="Times New Roman" w:cs="Times New Roman"/>
          <w:noProof/>
          <w:lang w:val="es-ES" w:eastAsia="es-ES"/>
        </w:rPr>
        <w:drawing>
          <wp:inline distT="0" distB="0" distL="0" distR="0" wp14:anchorId="0C9A55E4" wp14:editId="17DDC334">
            <wp:extent cx="5151120" cy="2743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096" cy="2755436"/>
                    </a:xfrm>
                    <a:prstGeom prst="rect">
                      <a:avLst/>
                    </a:prstGeom>
                    <a:noFill/>
                  </pic:spPr>
                </pic:pic>
              </a:graphicData>
            </a:graphic>
          </wp:inline>
        </w:drawing>
      </w:r>
    </w:p>
    <w:p w:rsidR="009C4027" w:rsidRPr="00FE3D4D" w:rsidRDefault="00157C3A" w:rsidP="00B917E5">
      <w:pPr>
        <w:pStyle w:val="Sinespaciado"/>
        <w:jc w:val="both"/>
        <w:rPr>
          <w:rFonts w:ascii="Times New Roman" w:hAnsi="Times New Roman" w:cs="Times New Roman"/>
          <w:sz w:val="16"/>
        </w:rPr>
      </w:pPr>
      <w:r w:rsidRPr="00FE3D4D">
        <w:rPr>
          <w:rFonts w:ascii="Times New Roman" w:hAnsi="Times New Roman" w:cs="Times New Roman"/>
          <w:sz w:val="16"/>
        </w:rPr>
        <w:t xml:space="preserve">               </w:t>
      </w:r>
      <w:r w:rsidRPr="00FE3D4D">
        <w:rPr>
          <w:rFonts w:ascii="Times New Roman" w:hAnsi="Times New Roman" w:cs="Times New Roman"/>
          <w:sz w:val="16"/>
        </w:rPr>
        <w:tab/>
      </w:r>
      <w:r w:rsidRPr="00FE3D4D">
        <w:rPr>
          <w:rFonts w:ascii="Times New Roman" w:hAnsi="Times New Roman" w:cs="Times New Roman"/>
          <w:sz w:val="16"/>
        </w:rPr>
        <w:tab/>
        <w:t>F</w:t>
      </w:r>
      <w:r w:rsidR="007D4651" w:rsidRPr="00FE3D4D">
        <w:rPr>
          <w:rFonts w:ascii="Times New Roman" w:hAnsi="Times New Roman" w:cs="Times New Roman"/>
          <w:sz w:val="16"/>
        </w:rPr>
        <w:t>uente: Dirección de Análisis y Política fiscal</w:t>
      </w:r>
    </w:p>
    <w:p w:rsidR="009C4027" w:rsidRPr="00FF68EA" w:rsidRDefault="009C4027" w:rsidP="007D4651">
      <w:pPr>
        <w:spacing w:after="0" w:line="240" w:lineRule="auto"/>
        <w:rPr>
          <w:rFonts w:ascii="Times New Roman" w:hAnsi="Times New Roman" w:cs="Times New Roman"/>
          <w:color w:val="FF0000"/>
          <w:lang w:val="es-MX"/>
        </w:rPr>
      </w:pPr>
    </w:p>
    <w:p w:rsidR="00591D14" w:rsidRPr="00FF68EA" w:rsidRDefault="00591D14" w:rsidP="007D4651">
      <w:pPr>
        <w:spacing w:after="0" w:line="240" w:lineRule="auto"/>
        <w:rPr>
          <w:rFonts w:ascii="Times New Roman" w:hAnsi="Times New Roman" w:cs="Times New Roman"/>
          <w:color w:val="FF0000"/>
          <w:lang w:val="es-MX"/>
        </w:rPr>
        <w:sectPr w:rsidR="00591D14" w:rsidRPr="00FF68EA" w:rsidSect="007D4651">
          <w:type w:val="continuous"/>
          <w:pgSz w:w="12240" w:h="15840" w:code="1"/>
          <w:pgMar w:top="1418" w:right="1418" w:bottom="1418" w:left="1418" w:header="709" w:footer="709" w:gutter="0"/>
          <w:cols w:space="708"/>
          <w:docGrid w:linePitch="360"/>
        </w:sectPr>
      </w:pPr>
    </w:p>
    <w:p w:rsidR="00E16925" w:rsidRPr="004D66E1"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4D66E1"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proofErr w:type="gramStart"/>
      <w:r w:rsidRPr="004D66E1">
        <w:rPr>
          <w:rFonts w:ascii="Times New Roman" w:hAnsi="Times New Roman" w:cs="Times New Roman"/>
          <w:b/>
          <w:lang w:val="es-MX"/>
        </w:rPr>
        <w:lastRenderedPageBreak/>
        <w:t>La</w:t>
      </w:r>
      <w:r w:rsidR="005550D8" w:rsidRPr="004D66E1">
        <w:rPr>
          <w:rFonts w:ascii="Times New Roman" w:hAnsi="Times New Roman" w:cs="Times New Roman"/>
          <w:b/>
          <w:lang w:val="es-MX"/>
        </w:rPr>
        <w:t>s</w:t>
      </w:r>
      <w:proofErr w:type="gramEnd"/>
      <w:r w:rsidR="005550D8" w:rsidRPr="004D66E1">
        <w:rPr>
          <w:rFonts w:ascii="Times New Roman" w:hAnsi="Times New Roman" w:cs="Times New Roman"/>
          <w:b/>
          <w:lang w:val="es-MX"/>
        </w:rPr>
        <w:t xml:space="preserve"> meta de presupuesto </w:t>
      </w:r>
      <w:r w:rsidR="0081055D" w:rsidRPr="004D66E1">
        <w:rPr>
          <w:rFonts w:ascii="Times New Roman" w:hAnsi="Times New Roman" w:cs="Times New Roman"/>
          <w:b/>
          <w:lang w:val="es-MX"/>
        </w:rPr>
        <w:t xml:space="preserve">se </w:t>
      </w:r>
      <w:r w:rsidR="00F54C17" w:rsidRPr="004D66E1">
        <w:rPr>
          <w:rFonts w:ascii="Times New Roman" w:hAnsi="Times New Roman" w:cs="Times New Roman"/>
          <w:b/>
          <w:lang w:val="es-MX"/>
        </w:rPr>
        <w:t>superó</w:t>
      </w:r>
    </w:p>
    <w:p w:rsidR="00E16925" w:rsidRPr="00FF68EA" w:rsidRDefault="00E16925" w:rsidP="00E16925">
      <w:pPr>
        <w:pStyle w:val="Sinespaciado"/>
        <w:rPr>
          <w:rFonts w:ascii="Times New Roman" w:hAnsi="Times New Roman" w:cs="Times New Roman"/>
          <w:b/>
          <w:color w:val="FF0000"/>
          <w:sz w:val="8"/>
          <w:lang w:val="es-MX"/>
        </w:rPr>
      </w:pPr>
    </w:p>
    <w:p w:rsidR="00E16925" w:rsidRPr="00FF68EA" w:rsidRDefault="00E16925" w:rsidP="00E16925">
      <w:pPr>
        <w:pStyle w:val="Sinespaciado"/>
        <w:jc w:val="center"/>
        <w:rPr>
          <w:rFonts w:ascii="Times New Roman" w:hAnsi="Times New Roman" w:cs="Times New Roman"/>
          <w:b/>
          <w:color w:val="FF0000"/>
          <w:sz w:val="10"/>
          <w:lang w:val="es-MX"/>
        </w:rPr>
      </w:pPr>
    </w:p>
    <w:p w:rsidR="00343A5D" w:rsidRPr="00FF68EA" w:rsidRDefault="00343A5D" w:rsidP="00E16925">
      <w:pPr>
        <w:pStyle w:val="Sinespaciado"/>
        <w:jc w:val="center"/>
        <w:rPr>
          <w:rFonts w:ascii="Times New Roman" w:hAnsi="Times New Roman" w:cs="Times New Roman"/>
          <w:b/>
          <w:color w:val="FF0000"/>
          <w:sz w:val="20"/>
          <w:lang w:val="es-MX"/>
        </w:rPr>
        <w:sectPr w:rsidR="00343A5D" w:rsidRPr="00FF68EA" w:rsidSect="004E358C">
          <w:type w:val="continuous"/>
          <w:pgSz w:w="12240" w:h="15840"/>
          <w:pgMar w:top="1417" w:right="1701" w:bottom="1417" w:left="1701" w:header="708" w:footer="708" w:gutter="0"/>
          <w:cols w:space="708"/>
          <w:docGrid w:linePitch="360"/>
        </w:sect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lastRenderedPageBreak/>
        <w:t>Cifras preliminares de recaudación de octubre generan una brecha positiva de Q59.9 millones respecto a la meta de presupuesto, factores que permitieron que se superara la meta del mes fueron el desempeño positivo en la recaudación proveniente de los impuestos asociados al comercio exterior que presentaron un crecimiento del 16.7% respecto a la meta de presupuesto.</w:t>
      </w:r>
    </w:p>
    <w:p w:rsidR="004D66E1" w:rsidRPr="00B3510F" w:rsidRDefault="004D66E1" w:rsidP="004D66E1">
      <w:pPr>
        <w:spacing w:after="0" w:line="240" w:lineRule="auto"/>
        <w:jc w:val="both"/>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 xml:space="preserve">De manera acumulada se observa una brecha positiva de Q569.8 millones respecto a la meta de presupuesto, esta brecha se genera principalmente por ISR, IETAAP, patrimonio, el IVA total, cemento y regalías e hidrocarburos compartibles que en conjunto suman Q1,074.1 millones, el resto de </w:t>
      </w:r>
      <w:r w:rsidRPr="00B3510F">
        <w:rPr>
          <w:rFonts w:ascii="Times New Roman" w:hAnsi="Times New Roman" w:cs="Times New Roman"/>
          <w:lang w:val="es-US"/>
        </w:rPr>
        <w:lastRenderedPageBreak/>
        <w:t>impuestos genera brecha negativa de Q505.3 millones.</w:t>
      </w:r>
    </w:p>
    <w:p w:rsidR="004D66E1" w:rsidRPr="00B3510F" w:rsidRDefault="004D66E1" w:rsidP="004D66E1">
      <w:pPr>
        <w:spacing w:after="0" w:line="240" w:lineRule="auto"/>
        <w:jc w:val="both"/>
        <w:rPr>
          <w:rFonts w:ascii="Times New Roman" w:hAnsi="Times New Roman" w:cs="Times New Roman"/>
          <w:lang w:val="es-US"/>
        </w:rPr>
      </w:pPr>
    </w:p>
    <w:p w:rsidR="004D66E1" w:rsidRPr="00B3510F" w:rsidRDefault="004D66E1" w:rsidP="004D66E1">
      <w:pPr>
        <w:spacing w:after="0" w:line="240" w:lineRule="auto"/>
        <w:rPr>
          <w:rFonts w:ascii="Times New Roman" w:hAnsi="Times New Roman" w:cs="Times New Roman"/>
          <w:lang w:val="es-US"/>
        </w:rPr>
      </w:pPr>
      <w:r w:rsidRPr="00B3510F">
        <w:rPr>
          <w:rFonts w:ascii="Times New Roman" w:hAnsi="Times New Roman" w:cs="Times New Roman"/>
          <w:lang w:val="es-US"/>
        </w:rPr>
        <w:t>Impuesto al valor agregado</w:t>
      </w:r>
    </w:p>
    <w:p w:rsidR="004D66E1" w:rsidRPr="00B3510F" w:rsidRDefault="004D66E1" w:rsidP="004D66E1">
      <w:pPr>
        <w:spacing w:after="0" w:line="240" w:lineRule="auto"/>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 xml:space="preserve">Este impuesto de manera acumulada refleja un crecimiento del 3.7% respecto a la meta de presupuesto, dicho crecimiento está impulsado principalmente por el IVA de importaciones, de manera interanual se observa un crecimiento del 7% que está impulsado principalmente por la recaudación proveniente del IVA de importaciones que crece en 11.8%. </w:t>
      </w:r>
    </w:p>
    <w:p w:rsidR="004D66E1" w:rsidRPr="00B3510F" w:rsidRDefault="004D66E1" w:rsidP="004D66E1">
      <w:pPr>
        <w:spacing w:after="0" w:line="240" w:lineRule="auto"/>
        <w:jc w:val="both"/>
        <w:rPr>
          <w:rFonts w:ascii="Times New Roman" w:hAnsi="Times New Roman" w:cs="Times New Roman"/>
          <w:lang w:val="es-US"/>
        </w:rPr>
      </w:pPr>
    </w:p>
    <w:p w:rsidR="004D66E1" w:rsidRPr="004D66E1" w:rsidRDefault="004D66E1" w:rsidP="004D66E1">
      <w:pPr>
        <w:spacing w:after="0" w:line="240" w:lineRule="auto"/>
        <w:jc w:val="center"/>
        <w:rPr>
          <w:rFonts w:ascii="Times New Roman" w:hAnsi="Times New Roman" w:cs="Times New Roman"/>
          <w:b/>
          <w:sz w:val="24"/>
          <w:lang w:val="es-US"/>
        </w:rPr>
      </w:pPr>
      <w:r w:rsidRPr="004D66E1">
        <w:rPr>
          <w:rFonts w:ascii="Times New Roman" w:hAnsi="Times New Roman" w:cs="Times New Roman"/>
          <w:b/>
          <w:sz w:val="24"/>
          <w:lang w:val="es-US"/>
        </w:rPr>
        <w:t>Variación Interanual del IVA total</w:t>
      </w:r>
    </w:p>
    <w:p w:rsidR="004D66E1" w:rsidRPr="00B3510F" w:rsidRDefault="004D66E1" w:rsidP="004D66E1">
      <w:pPr>
        <w:spacing w:after="0" w:line="240" w:lineRule="auto"/>
        <w:jc w:val="center"/>
        <w:rPr>
          <w:rFonts w:ascii="Times New Roman" w:hAnsi="Times New Roman" w:cs="Times New Roman"/>
          <w:lang w:val="es-US"/>
        </w:rPr>
      </w:pPr>
      <w:r w:rsidRPr="004D66E1">
        <w:rPr>
          <w:rFonts w:ascii="Times New Roman" w:hAnsi="Times New Roman" w:cs="Times New Roman"/>
          <w:sz w:val="20"/>
          <w:lang w:val="es-US"/>
        </w:rPr>
        <w:t>Porcentajes</w:t>
      </w:r>
      <w:r w:rsidRPr="00B3510F">
        <w:rPr>
          <w:rFonts w:ascii="Times New Roman" w:hAnsi="Times New Roman" w:cs="Times New Roman"/>
          <w:noProof/>
          <w:lang w:val="es-ES" w:eastAsia="es-ES"/>
        </w:rPr>
        <w:drawing>
          <wp:inline distT="0" distB="0" distL="0" distR="0" wp14:anchorId="2E26D1B3" wp14:editId="22479DFD">
            <wp:extent cx="2760453" cy="2173856"/>
            <wp:effectExtent l="0" t="0" r="1905"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66E1" w:rsidRPr="004D66E1" w:rsidRDefault="004D66E1" w:rsidP="004D66E1">
      <w:pPr>
        <w:spacing w:after="0" w:line="240" w:lineRule="auto"/>
        <w:jc w:val="both"/>
        <w:rPr>
          <w:rFonts w:ascii="Times New Roman" w:hAnsi="Times New Roman" w:cs="Times New Roman"/>
          <w:sz w:val="16"/>
          <w:lang w:val="es-US"/>
        </w:rPr>
      </w:pPr>
      <w:r w:rsidRPr="004D66E1">
        <w:rPr>
          <w:rFonts w:ascii="Times New Roman" w:hAnsi="Times New Roman" w:cs="Times New Roman"/>
          <w:sz w:val="16"/>
          <w:lang w:val="es-US"/>
        </w:rPr>
        <w:t>Fuente: Dirección de Análisis y Política Fiscal.</w:t>
      </w:r>
    </w:p>
    <w:p w:rsidR="004D66E1" w:rsidRPr="00B3510F" w:rsidRDefault="004D66E1" w:rsidP="004D66E1">
      <w:pPr>
        <w:spacing w:after="0" w:line="240" w:lineRule="auto"/>
        <w:jc w:val="both"/>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La recaudación tributaria asociada al comercio exterior muestra una recuperación a partir del mes de marzo, para octubre se observó una recaudación diaria promedio de Q53.6 millones monto superior al Q46.2 millones observados en octubre de 2017, por otro lado, vale comentar que la recaudación de impuestos internos en octubre dejo de percibir Q182.8 millones, y de manera acumulada genera una brecha negativa de Q104.3 millones respecto a la meta de presupuesto.</w:t>
      </w:r>
    </w:p>
    <w:p w:rsidR="004D66E1" w:rsidRPr="00B3510F" w:rsidRDefault="004D66E1" w:rsidP="004D66E1">
      <w:pPr>
        <w:spacing w:after="0" w:line="240" w:lineRule="auto"/>
        <w:jc w:val="both"/>
        <w:rPr>
          <w:rFonts w:ascii="Times New Roman" w:hAnsi="Times New Roman" w:cs="Times New Roman"/>
          <w:lang w:val="es-US"/>
        </w:rPr>
      </w:pPr>
    </w:p>
    <w:p w:rsidR="004D66E1" w:rsidRPr="004D66E1" w:rsidRDefault="004D66E1" w:rsidP="004D66E1">
      <w:pPr>
        <w:spacing w:after="0" w:line="240" w:lineRule="auto"/>
        <w:jc w:val="center"/>
        <w:rPr>
          <w:rFonts w:ascii="Times New Roman" w:hAnsi="Times New Roman" w:cs="Times New Roman"/>
          <w:b/>
          <w:sz w:val="24"/>
          <w:lang w:val="es-US"/>
        </w:rPr>
      </w:pPr>
      <w:r w:rsidRPr="004D66E1">
        <w:rPr>
          <w:rFonts w:ascii="Times New Roman" w:hAnsi="Times New Roman" w:cs="Times New Roman"/>
          <w:b/>
          <w:sz w:val="24"/>
          <w:lang w:val="es-US"/>
        </w:rPr>
        <w:t>Recaudación tributaria Neta</w:t>
      </w:r>
    </w:p>
    <w:p w:rsidR="004D66E1" w:rsidRPr="004D66E1" w:rsidRDefault="004D66E1" w:rsidP="004D66E1">
      <w:pPr>
        <w:spacing w:after="0" w:line="240" w:lineRule="auto"/>
        <w:jc w:val="center"/>
        <w:rPr>
          <w:rFonts w:ascii="Times New Roman" w:hAnsi="Times New Roman" w:cs="Times New Roman"/>
          <w:sz w:val="18"/>
          <w:lang w:val="es-US"/>
        </w:rPr>
      </w:pPr>
      <w:r w:rsidRPr="004D66E1">
        <w:rPr>
          <w:rFonts w:ascii="Times New Roman" w:hAnsi="Times New Roman" w:cs="Times New Roman"/>
          <w:sz w:val="18"/>
          <w:lang w:val="es-US"/>
        </w:rPr>
        <w:t>Variación</w:t>
      </w: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noProof/>
          <w:lang w:val="es-ES" w:eastAsia="es-ES"/>
        </w:rPr>
        <w:lastRenderedPageBreak/>
        <w:drawing>
          <wp:inline distT="0" distB="0" distL="0" distR="0" wp14:anchorId="3084C435" wp14:editId="7068022A">
            <wp:extent cx="2715895" cy="2208362"/>
            <wp:effectExtent l="0" t="0" r="8255"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66E1" w:rsidRPr="004D66E1" w:rsidRDefault="004D66E1" w:rsidP="004D66E1">
      <w:pPr>
        <w:spacing w:after="0" w:line="240" w:lineRule="auto"/>
        <w:jc w:val="both"/>
        <w:rPr>
          <w:rFonts w:ascii="Times New Roman" w:hAnsi="Times New Roman" w:cs="Times New Roman"/>
          <w:sz w:val="16"/>
          <w:lang w:val="es-US"/>
        </w:rPr>
      </w:pPr>
      <w:r w:rsidRPr="004D66E1">
        <w:rPr>
          <w:rFonts w:ascii="Times New Roman" w:hAnsi="Times New Roman" w:cs="Times New Roman"/>
          <w:sz w:val="16"/>
          <w:lang w:val="es-US"/>
        </w:rPr>
        <w:t>Fuente: Dirección de Análisis y Política Fiscal.</w:t>
      </w:r>
    </w:p>
    <w:p w:rsidR="004D66E1" w:rsidRPr="00B3510F" w:rsidRDefault="004D66E1" w:rsidP="004D66E1">
      <w:pPr>
        <w:spacing w:after="0" w:line="240" w:lineRule="auto"/>
        <w:jc w:val="both"/>
        <w:rPr>
          <w:rFonts w:ascii="Times New Roman" w:hAnsi="Times New Roman" w:cs="Times New Roman"/>
          <w:lang w:val="es-US"/>
        </w:rPr>
      </w:pPr>
    </w:p>
    <w:p w:rsidR="004D66E1" w:rsidRPr="004D66E1" w:rsidRDefault="004D66E1" w:rsidP="004D66E1">
      <w:pPr>
        <w:spacing w:after="0" w:line="240" w:lineRule="auto"/>
        <w:rPr>
          <w:rFonts w:ascii="Times New Roman" w:hAnsi="Times New Roman" w:cs="Times New Roman"/>
          <w:b/>
          <w:lang w:val="es-US"/>
        </w:rPr>
      </w:pPr>
      <w:r w:rsidRPr="004D66E1">
        <w:rPr>
          <w:rFonts w:ascii="Times New Roman" w:hAnsi="Times New Roman" w:cs="Times New Roman"/>
          <w:b/>
          <w:lang w:val="es-US"/>
        </w:rPr>
        <w:t>Impuesto a la Renta</w:t>
      </w:r>
    </w:p>
    <w:p w:rsidR="004D66E1" w:rsidRPr="00B3510F" w:rsidRDefault="004D66E1" w:rsidP="004D66E1">
      <w:pPr>
        <w:spacing w:after="0" w:line="240" w:lineRule="auto"/>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Este impuesto no cumplió con la meta mensual establecida en presupuesto dejó de recaudar Q204 millones, el último pago trimestral programado para octubre no alcanzó lo programado en presupuesto.</w:t>
      </w:r>
    </w:p>
    <w:p w:rsidR="004D66E1" w:rsidRPr="00B3510F" w:rsidRDefault="004D66E1" w:rsidP="004D66E1">
      <w:pPr>
        <w:spacing w:after="0" w:line="240" w:lineRule="auto"/>
        <w:jc w:val="both"/>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De manera acumulada este impuesto presenta una brecha positiva respecto a la meta de presupuesto de Q138.5 millones y una caída interanual de Q179.7 millones, dicha caída se explica por una menor recaudación en el régimen de utilidades que a octubre cae en 5.7%, y por la recaudación extraordinaria producto de adeudos y exoneración de multas de 2017.</w:t>
      </w:r>
    </w:p>
    <w:p w:rsidR="004D66E1" w:rsidRPr="00B3510F" w:rsidRDefault="004D66E1" w:rsidP="004D66E1">
      <w:pPr>
        <w:spacing w:after="0" w:line="240" w:lineRule="auto"/>
        <w:jc w:val="both"/>
        <w:rPr>
          <w:rFonts w:ascii="Times New Roman" w:hAnsi="Times New Roman" w:cs="Times New Roman"/>
          <w:lang w:val="es-US"/>
        </w:rPr>
      </w:pPr>
    </w:p>
    <w:p w:rsidR="004D66E1" w:rsidRPr="004D66E1" w:rsidRDefault="004D66E1" w:rsidP="004D66E1">
      <w:pPr>
        <w:spacing w:after="0" w:line="240" w:lineRule="auto"/>
        <w:jc w:val="both"/>
        <w:rPr>
          <w:rFonts w:ascii="Times New Roman" w:hAnsi="Times New Roman" w:cs="Times New Roman"/>
          <w:b/>
          <w:lang w:val="es-US"/>
        </w:rPr>
      </w:pPr>
      <w:r w:rsidRPr="004D66E1">
        <w:rPr>
          <w:rFonts w:ascii="Times New Roman" w:hAnsi="Times New Roman" w:cs="Times New Roman"/>
          <w:b/>
          <w:lang w:val="es-US"/>
        </w:rPr>
        <w:t>Resto de impuestos</w:t>
      </w:r>
    </w:p>
    <w:p w:rsidR="004D66E1" w:rsidRPr="00B3510F" w:rsidRDefault="004D66E1" w:rsidP="004D66E1">
      <w:pPr>
        <w:spacing w:after="0" w:line="240" w:lineRule="auto"/>
        <w:jc w:val="both"/>
        <w:rPr>
          <w:rFonts w:ascii="Times New Roman" w:hAnsi="Times New Roman" w:cs="Times New Roman"/>
          <w:lang w:val="es-US"/>
        </w:rPr>
      </w:pPr>
    </w:p>
    <w:p w:rsidR="004D66E1" w:rsidRPr="00B3510F" w:rsidRDefault="004D66E1" w:rsidP="004D66E1">
      <w:pPr>
        <w:spacing w:after="0" w:line="240" w:lineRule="auto"/>
        <w:jc w:val="both"/>
        <w:rPr>
          <w:rFonts w:ascii="Times New Roman" w:hAnsi="Times New Roman" w:cs="Times New Roman"/>
          <w:lang w:val="es-US"/>
        </w:rPr>
      </w:pPr>
      <w:r w:rsidRPr="00B3510F">
        <w:rPr>
          <w:rFonts w:ascii="Times New Roman" w:hAnsi="Times New Roman" w:cs="Times New Roman"/>
          <w:lang w:val="es-US"/>
        </w:rPr>
        <w:t xml:space="preserve">De manera mensual el ISO, patrimonio, DAI, </w:t>
      </w:r>
      <w:proofErr w:type="gramStart"/>
      <w:r w:rsidRPr="00B3510F">
        <w:rPr>
          <w:rFonts w:ascii="Times New Roman" w:hAnsi="Times New Roman" w:cs="Times New Roman"/>
          <w:lang w:val="es-US"/>
        </w:rPr>
        <w:t>derivados</w:t>
      </w:r>
      <w:proofErr w:type="gramEnd"/>
      <w:r w:rsidRPr="00B3510F">
        <w:rPr>
          <w:rFonts w:ascii="Times New Roman" w:hAnsi="Times New Roman" w:cs="Times New Roman"/>
          <w:lang w:val="es-US"/>
        </w:rPr>
        <w:t xml:space="preserve"> del petróleo el IPRIMA y regalías son los únicos que superan la meta establecida en el presupuesto.</w:t>
      </w:r>
    </w:p>
    <w:p w:rsidR="004D66E1" w:rsidRPr="00B3510F" w:rsidRDefault="004D66E1" w:rsidP="004D66E1">
      <w:pPr>
        <w:spacing w:after="0" w:line="240" w:lineRule="auto"/>
        <w:jc w:val="both"/>
        <w:rPr>
          <w:rFonts w:ascii="Times New Roman" w:hAnsi="Times New Roman" w:cs="Times New Roman"/>
          <w:lang w:val="es-US"/>
        </w:rPr>
      </w:pPr>
    </w:p>
    <w:p w:rsidR="004D66E1" w:rsidRPr="00FF68EA" w:rsidRDefault="004D66E1" w:rsidP="004D66E1">
      <w:pPr>
        <w:spacing w:after="0" w:line="240" w:lineRule="auto"/>
        <w:jc w:val="both"/>
        <w:rPr>
          <w:rFonts w:ascii="Times New Roman" w:hAnsi="Times New Roman" w:cs="Times New Roman"/>
          <w:color w:val="FF0000"/>
          <w:sz w:val="20"/>
          <w:lang w:val="es-MX"/>
        </w:rPr>
      </w:pPr>
      <w:r w:rsidRPr="00B3510F">
        <w:rPr>
          <w:rFonts w:ascii="Times New Roman" w:hAnsi="Times New Roman" w:cs="Times New Roman"/>
          <w:lang w:val="es-US"/>
        </w:rPr>
        <w:t>De manera acumulada únicamente el impuesto al patrimonio, cemento y regalías superan la meta de presupuesto.</w:t>
      </w:r>
    </w:p>
    <w:p w:rsidR="00D3500F" w:rsidRPr="00FF68EA" w:rsidRDefault="00D3500F" w:rsidP="00F54C17">
      <w:pPr>
        <w:spacing w:after="0" w:line="240" w:lineRule="auto"/>
        <w:jc w:val="both"/>
        <w:rPr>
          <w:rFonts w:ascii="Times New Roman" w:hAnsi="Times New Roman" w:cs="Times New Roman"/>
          <w:color w:val="FF0000"/>
          <w:sz w:val="20"/>
          <w:lang w:val="es-MX"/>
        </w:rPr>
      </w:pPr>
    </w:p>
    <w:p w:rsidR="00523738" w:rsidRPr="00FF68EA" w:rsidRDefault="00523738" w:rsidP="00EB1910">
      <w:pPr>
        <w:pStyle w:val="Sinespaciado"/>
        <w:jc w:val="both"/>
        <w:rPr>
          <w:rFonts w:ascii="Times New Roman" w:hAnsi="Times New Roman" w:cs="Times New Roman"/>
          <w:color w:val="FF0000"/>
          <w:sz w:val="12"/>
          <w:lang w:val="es-MX"/>
        </w:rPr>
        <w:sectPr w:rsidR="00523738" w:rsidRPr="00FF68EA" w:rsidSect="00374D44">
          <w:headerReference w:type="default" r:id="rId16"/>
          <w:footerReference w:type="default" r:id="rId17"/>
          <w:type w:val="continuous"/>
          <w:pgSz w:w="12240" w:h="15840" w:code="1"/>
          <w:pgMar w:top="1418" w:right="1418" w:bottom="1418" w:left="1701" w:header="709" w:footer="709" w:gutter="0"/>
          <w:cols w:num="2" w:space="708"/>
          <w:docGrid w:linePitch="360"/>
        </w:sectPr>
      </w:pPr>
    </w:p>
    <w:p w:rsidR="00674EAE" w:rsidRPr="00FF68EA" w:rsidRDefault="00674EAE" w:rsidP="00674EAE">
      <w:pPr>
        <w:pStyle w:val="Sinespaciado"/>
        <w:jc w:val="both"/>
        <w:rPr>
          <w:rFonts w:ascii="Times New Roman" w:hAnsi="Times New Roman" w:cs="Times New Roman"/>
          <w:color w:val="FF0000"/>
          <w:szCs w:val="18"/>
          <w:lang w:val="es-MX"/>
        </w:rPr>
        <w:sectPr w:rsidR="00674EAE" w:rsidRPr="00FF68EA" w:rsidSect="005A03A9">
          <w:type w:val="continuous"/>
          <w:pgSz w:w="12240" w:h="15840"/>
          <w:pgMar w:top="1417" w:right="1701" w:bottom="1417" w:left="1701" w:header="708" w:footer="708" w:gutter="0"/>
          <w:cols w:num="2" w:space="708"/>
          <w:docGrid w:linePitch="360"/>
        </w:sectPr>
      </w:pPr>
    </w:p>
    <w:p w:rsidR="00FA3B81" w:rsidRPr="00C10DC1" w:rsidRDefault="00C10DC1" w:rsidP="00C10DC1">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391"/>
          <w:tab w:val="center" w:pos="4702"/>
        </w:tabs>
        <w:spacing w:after="0" w:line="240" w:lineRule="auto"/>
        <w:rPr>
          <w:rFonts w:ascii="Times New Roman" w:hAnsi="Times New Roman" w:cs="Times New Roman"/>
          <w:b/>
          <w:lang w:val="es-MX"/>
        </w:rPr>
        <w:sectPr w:rsidR="00FA3B81" w:rsidRPr="00C10DC1"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Pr>
          <w:rFonts w:ascii="Times New Roman" w:hAnsi="Times New Roman" w:cs="Times New Roman"/>
          <w:b/>
          <w:color w:val="FF0000"/>
          <w:lang w:val="es-MX"/>
        </w:rPr>
        <w:lastRenderedPageBreak/>
        <w:tab/>
      </w:r>
      <w:r w:rsidRPr="00C10DC1">
        <w:rPr>
          <w:rFonts w:ascii="Times New Roman" w:hAnsi="Times New Roman" w:cs="Times New Roman"/>
          <w:b/>
          <w:lang w:val="es-MX"/>
        </w:rPr>
        <w:tab/>
      </w:r>
      <w:r w:rsidR="00C04E3C" w:rsidRPr="00C10DC1">
        <w:rPr>
          <w:rFonts w:ascii="Times New Roman" w:hAnsi="Times New Roman" w:cs="Times New Roman"/>
          <w:b/>
          <w:lang w:val="es-MX"/>
        </w:rPr>
        <w:t>Ritmo de</w:t>
      </w:r>
      <w:r w:rsidR="00946523" w:rsidRPr="00C10DC1">
        <w:rPr>
          <w:rFonts w:ascii="Times New Roman" w:hAnsi="Times New Roman" w:cs="Times New Roman"/>
          <w:b/>
          <w:lang w:val="es-MX"/>
        </w:rPr>
        <w:t xml:space="preserve"> ejecución </w:t>
      </w:r>
      <w:r w:rsidR="00C04E3C" w:rsidRPr="00C10DC1">
        <w:rPr>
          <w:rFonts w:ascii="Times New Roman" w:hAnsi="Times New Roman" w:cs="Times New Roman"/>
          <w:b/>
          <w:lang w:val="es-MX"/>
        </w:rPr>
        <w:t>se mantiene arriba del 8%</w:t>
      </w:r>
    </w:p>
    <w:p w:rsidR="00FA3B81" w:rsidRPr="00FF68EA" w:rsidRDefault="00FA3B81" w:rsidP="00FA3B81">
      <w:pPr>
        <w:pStyle w:val="Sinespaciado"/>
        <w:rPr>
          <w:rFonts w:ascii="Times New Roman" w:hAnsi="Times New Roman" w:cs="Times New Roman"/>
          <w:b/>
          <w:color w:val="FF0000"/>
          <w:sz w:val="18"/>
          <w:lang w:val="es-MX"/>
        </w:rPr>
      </w:pPr>
    </w:p>
    <w:p w:rsidR="00FA3B81" w:rsidRPr="00FF68EA" w:rsidRDefault="00FA3B81" w:rsidP="00FA3B81">
      <w:pPr>
        <w:pStyle w:val="Sinespaciado"/>
        <w:jc w:val="center"/>
        <w:rPr>
          <w:rFonts w:ascii="Times New Roman" w:hAnsi="Times New Roman" w:cs="Times New Roman"/>
          <w:b/>
          <w:color w:val="FF0000"/>
          <w:lang w:val="es-MX"/>
        </w:rPr>
        <w:sectPr w:rsidR="00FA3B81" w:rsidRPr="00FF68EA" w:rsidSect="004E358C">
          <w:type w:val="continuous"/>
          <w:pgSz w:w="12240" w:h="15840"/>
          <w:pgMar w:top="1417" w:right="1701" w:bottom="1417" w:left="1701" w:header="708" w:footer="708" w:gutter="0"/>
          <w:cols w:space="708"/>
          <w:docGrid w:linePitch="360"/>
        </w:sectPr>
      </w:pPr>
    </w:p>
    <w:p w:rsidR="00C10DC1" w:rsidRDefault="00C10DC1" w:rsidP="00C10DC1">
      <w:pPr>
        <w:pStyle w:val="Sinespaciado"/>
        <w:jc w:val="both"/>
        <w:rPr>
          <w:rFonts w:ascii="Times New Roman" w:hAnsi="Times New Roman" w:cs="Times New Roman"/>
          <w:lang w:val="es-MX"/>
        </w:rPr>
      </w:pPr>
      <w:r>
        <w:rPr>
          <w:rFonts w:ascii="Times New Roman" w:hAnsi="Times New Roman" w:cs="Times New Roman"/>
          <w:lang w:val="es-MX"/>
        </w:rPr>
        <w:lastRenderedPageBreak/>
        <w:t>El gasto público mantiene la dinámica que se ha venido observado desde agosto del presente año en donde su crecimiento ha estado por arriba del 8%, lo cual es positivo desde el punto vista de brindar un impulso a la economía, principalmente cuando este aumento en el gasto se da por una mayor dinámica en la inversión pública principalmente asociada a obras de infraestructura vial, así como en el mantenimiento de obras públicas por el lado del gasto funcionamiento.  De esa cuenta, al 31 de octubre la ejecución de gasto público muestra una ejecución de Q56</w:t>
      </w:r>
      <w:proofErr w:type="gramStart"/>
      <w:r>
        <w:rPr>
          <w:rFonts w:ascii="Times New Roman" w:hAnsi="Times New Roman" w:cs="Times New Roman"/>
          <w:lang w:val="es-MX"/>
        </w:rPr>
        <w:t>,157.6</w:t>
      </w:r>
      <w:proofErr w:type="gramEnd"/>
      <w:r>
        <w:rPr>
          <w:rFonts w:ascii="Times New Roman" w:hAnsi="Times New Roman" w:cs="Times New Roman"/>
          <w:lang w:val="es-MX"/>
        </w:rPr>
        <w:t xml:space="preserve"> millones (no incluye amortizaciones de deuda pública), mostrando un crecimiento interanual de 8.7%, con respecto al cierre del mismo mes del año anterior. </w:t>
      </w:r>
    </w:p>
    <w:p w:rsidR="00C10DC1" w:rsidRDefault="00C10DC1" w:rsidP="00C10DC1">
      <w:pPr>
        <w:pStyle w:val="Sinespaciado"/>
        <w:jc w:val="both"/>
        <w:rPr>
          <w:rFonts w:ascii="Times New Roman" w:hAnsi="Times New Roman" w:cs="Times New Roman"/>
          <w:lang w:val="es-MX"/>
        </w:rPr>
      </w:pPr>
    </w:p>
    <w:p w:rsidR="00C10DC1" w:rsidRPr="009D459C" w:rsidRDefault="00C10DC1" w:rsidP="004D66E1">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C10DC1" w:rsidRPr="00C10DC1" w:rsidRDefault="00C10DC1" w:rsidP="00C10DC1">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r>
        <w:rPr>
          <w:rFonts w:ascii="Times New Roman" w:hAnsi="Times New Roman" w:cs="Times New Roman"/>
          <w:sz w:val="18"/>
          <w:lang w:val="es-MX"/>
        </w:rPr>
        <w:t xml:space="preserve"> Acumulada</w:t>
      </w:r>
    </w:p>
    <w:p w:rsidR="00C10DC1" w:rsidRDefault="00C10DC1" w:rsidP="00C10DC1">
      <w:pPr>
        <w:pStyle w:val="Sinespaciado"/>
        <w:jc w:val="both"/>
        <w:rPr>
          <w:rFonts w:ascii="Times New Roman" w:hAnsi="Times New Roman" w:cs="Times New Roman"/>
          <w:lang w:val="es-MX"/>
        </w:rPr>
      </w:pPr>
      <w:r>
        <w:rPr>
          <w:rFonts w:ascii="Times New Roman" w:hAnsi="Times New Roman" w:cs="Times New Roman"/>
          <w:noProof/>
          <w:lang w:val="es-ES" w:eastAsia="es-ES"/>
        </w:rPr>
        <w:drawing>
          <wp:inline distT="0" distB="0" distL="0" distR="0" wp14:anchorId="4DE2A43D" wp14:editId="0AC388C0">
            <wp:extent cx="2816225" cy="1880558"/>
            <wp:effectExtent l="0" t="0" r="3175"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6998" cy="1941172"/>
                    </a:xfrm>
                    <a:prstGeom prst="rect">
                      <a:avLst/>
                    </a:prstGeom>
                    <a:noFill/>
                  </pic:spPr>
                </pic:pic>
              </a:graphicData>
            </a:graphic>
          </wp:inline>
        </w:drawing>
      </w:r>
    </w:p>
    <w:p w:rsidR="00C10DC1" w:rsidRDefault="00C10DC1" w:rsidP="00C10DC1">
      <w:pPr>
        <w:pStyle w:val="Sinespaciado"/>
        <w:jc w:val="both"/>
        <w:rPr>
          <w:rFonts w:ascii="Times New Roman" w:hAnsi="Times New Roman" w:cs="Times New Roman"/>
          <w:lang w:val="es-MX"/>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10DC1" w:rsidRDefault="00C10DC1" w:rsidP="00C10DC1">
      <w:pPr>
        <w:pStyle w:val="Sinespaciado"/>
        <w:jc w:val="both"/>
        <w:rPr>
          <w:rFonts w:ascii="Times New Roman" w:hAnsi="Times New Roman" w:cs="Times New Roman"/>
          <w:lang w:val="es-MX"/>
        </w:rPr>
      </w:pPr>
    </w:p>
    <w:p w:rsidR="00C10DC1" w:rsidRDefault="00C10DC1" w:rsidP="00C10DC1">
      <w:pPr>
        <w:pStyle w:val="Sinespaciado"/>
        <w:jc w:val="both"/>
        <w:rPr>
          <w:rFonts w:ascii="Times New Roman" w:hAnsi="Times New Roman" w:cs="Times New Roman"/>
          <w:lang w:val="es-MX"/>
        </w:rPr>
      </w:pPr>
      <w:r w:rsidRPr="00417D6D">
        <w:rPr>
          <w:rFonts w:ascii="Times New Roman" w:hAnsi="Times New Roman" w:cs="Times New Roman"/>
          <w:lang w:val="es-MX"/>
        </w:rPr>
        <w:t>Como se ha</w:t>
      </w:r>
      <w:r>
        <w:rPr>
          <w:rFonts w:ascii="Times New Roman" w:hAnsi="Times New Roman" w:cs="Times New Roman"/>
          <w:lang w:val="es-MX"/>
        </w:rPr>
        <w:t xml:space="preserve"> venido </w:t>
      </w:r>
      <w:r w:rsidRPr="00417D6D">
        <w:rPr>
          <w:rFonts w:ascii="Times New Roman" w:hAnsi="Times New Roman" w:cs="Times New Roman"/>
          <w:lang w:val="es-MX"/>
        </w:rPr>
        <w:t>observa</w:t>
      </w:r>
      <w:r>
        <w:rPr>
          <w:rFonts w:ascii="Times New Roman" w:hAnsi="Times New Roman" w:cs="Times New Roman"/>
          <w:lang w:val="es-MX"/>
        </w:rPr>
        <w:t>n</w:t>
      </w:r>
      <w:r w:rsidRPr="00417D6D">
        <w:rPr>
          <w:rFonts w:ascii="Times New Roman" w:hAnsi="Times New Roman" w:cs="Times New Roman"/>
          <w:lang w:val="es-MX"/>
        </w:rPr>
        <w:t>do</w:t>
      </w:r>
      <w:r>
        <w:rPr>
          <w:rFonts w:ascii="Times New Roman" w:hAnsi="Times New Roman" w:cs="Times New Roman"/>
          <w:lang w:val="es-MX"/>
        </w:rPr>
        <w:t xml:space="preserve"> en los meses previos</w:t>
      </w:r>
      <w:r w:rsidRPr="00417D6D">
        <w:rPr>
          <w:rFonts w:ascii="Times New Roman" w:hAnsi="Times New Roman" w:cs="Times New Roman"/>
          <w:lang w:val="es-MX"/>
        </w:rPr>
        <w:t xml:space="preserve">, los rubros que mostraron un </w:t>
      </w:r>
      <w:r>
        <w:rPr>
          <w:rFonts w:ascii="Times New Roman" w:hAnsi="Times New Roman" w:cs="Times New Roman"/>
          <w:lang w:val="es-MX"/>
        </w:rPr>
        <w:t xml:space="preserve">crecimiento en la ejecución respecto a lo observado el año anterior son la inversión real directa cuyo crecimiento es de 162.2% derivado de los proyectos de infraestructura realizados por el Ministerio de Comunicaciones, Infraestructura y Vivienda.  Asimismo, los bienes y servicios han crecido por arriba del 20% asociado al aumento en los </w:t>
      </w:r>
      <w:r>
        <w:rPr>
          <w:rFonts w:ascii="Times New Roman" w:hAnsi="Times New Roman" w:cs="Times New Roman"/>
          <w:lang w:val="es-MX"/>
        </w:rPr>
        <w:lastRenderedPageBreak/>
        <w:t xml:space="preserve">gastos de mantenimiento de obras y a una mayor dotación de insumos por parte de entidades como salud pública, educación y gobernación, entre otras.  Igualmente, las transferencias corrientes han aumentado principalmente al sector privado en donde la mayor ejecución de transferencias condicionadas y la alimentación escolar han sido los principales rubros que han expandido la ejecución en este rubro.   </w:t>
      </w:r>
    </w:p>
    <w:p w:rsidR="00C10DC1" w:rsidRDefault="00C10DC1" w:rsidP="00C10DC1">
      <w:pPr>
        <w:pStyle w:val="Sinespaciado"/>
        <w:jc w:val="both"/>
        <w:rPr>
          <w:rFonts w:ascii="Times New Roman" w:hAnsi="Times New Roman" w:cs="Times New Roman"/>
          <w:lang w:val="es-MX"/>
        </w:rPr>
      </w:pPr>
    </w:p>
    <w:p w:rsidR="00C10DC1" w:rsidRDefault="00C10DC1" w:rsidP="00C10DC1">
      <w:pPr>
        <w:pStyle w:val="Sinespaciado"/>
        <w:jc w:val="both"/>
        <w:rPr>
          <w:rFonts w:ascii="Times New Roman" w:hAnsi="Times New Roman" w:cs="Times New Roman"/>
          <w:lang w:val="es-MX"/>
        </w:rPr>
      </w:pPr>
      <w:r w:rsidRPr="00417D6D">
        <w:rPr>
          <w:rFonts w:ascii="Times New Roman" w:hAnsi="Times New Roman" w:cs="Times New Roman"/>
          <w:lang w:val="es-MX"/>
        </w:rPr>
        <w:t>Por</w:t>
      </w:r>
      <w:r>
        <w:rPr>
          <w:rFonts w:ascii="Times New Roman" w:hAnsi="Times New Roman" w:cs="Times New Roman"/>
          <w:lang w:val="es-MX"/>
        </w:rPr>
        <w:t xml:space="preserve"> otro lado, los rubros que muestran a octubre una menor ejecución respecto a lo observado en el año previo son</w:t>
      </w:r>
      <w:r w:rsidRPr="00417D6D">
        <w:rPr>
          <w:rFonts w:ascii="Times New Roman" w:hAnsi="Times New Roman" w:cs="Times New Roman"/>
          <w:lang w:val="es-MX"/>
        </w:rPr>
        <w:t xml:space="preserve"> las prestaciones a la seguridad social</w:t>
      </w:r>
      <w:r>
        <w:rPr>
          <w:rFonts w:ascii="Times New Roman" w:hAnsi="Times New Roman" w:cs="Times New Roman"/>
          <w:lang w:val="es-MX"/>
        </w:rPr>
        <w:t xml:space="preserve"> derivado principalmente a una depuración en la nómina de los pensionados del Estado.  Asimismo, las transferencias de capital y los intereses de la deuda pública</w:t>
      </w:r>
      <w:r w:rsidRPr="00417D6D">
        <w:rPr>
          <w:rFonts w:ascii="Times New Roman" w:hAnsi="Times New Roman" w:cs="Times New Roman"/>
          <w:lang w:val="es-MX"/>
        </w:rPr>
        <w:t xml:space="preserve"> muestran</w:t>
      </w:r>
      <w:r>
        <w:rPr>
          <w:rFonts w:ascii="Times New Roman" w:hAnsi="Times New Roman" w:cs="Times New Roman"/>
          <w:lang w:val="es-MX"/>
        </w:rPr>
        <w:t xml:space="preserve"> una menor ejecución.</w:t>
      </w:r>
    </w:p>
    <w:p w:rsidR="00686B8B" w:rsidRDefault="00686B8B" w:rsidP="00C10DC1">
      <w:pPr>
        <w:pStyle w:val="Sinespaciado"/>
        <w:jc w:val="both"/>
        <w:rPr>
          <w:rFonts w:ascii="Times New Roman" w:hAnsi="Times New Roman" w:cs="Times New Roman"/>
          <w:lang w:val="es-MX"/>
        </w:rPr>
      </w:pPr>
    </w:p>
    <w:p w:rsidR="00C10DC1" w:rsidRPr="003C0B21" w:rsidRDefault="00C10DC1" w:rsidP="00C10DC1">
      <w:pPr>
        <w:pStyle w:val="Sinespaciado"/>
        <w:jc w:val="center"/>
        <w:rPr>
          <w:rFonts w:ascii="Times New Roman" w:hAnsi="Times New Roman" w:cs="Times New Roman"/>
          <w:b/>
          <w:lang w:val="es-MX"/>
        </w:rPr>
      </w:pPr>
      <w:r w:rsidRPr="003C0B21">
        <w:rPr>
          <w:rFonts w:ascii="Times New Roman" w:hAnsi="Times New Roman" w:cs="Times New Roman"/>
          <w:b/>
          <w:lang w:val="es-MX"/>
        </w:rPr>
        <w:t xml:space="preserve">Variación </w:t>
      </w:r>
      <w:r>
        <w:rPr>
          <w:rFonts w:ascii="Times New Roman" w:hAnsi="Times New Roman" w:cs="Times New Roman"/>
          <w:b/>
          <w:lang w:val="es-MX"/>
        </w:rPr>
        <w:t>Relativa</w:t>
      </w:r>
      <w:r w:rsidRPr="003C0B21">
        <w:rPr>
          <w:rFonts w:ascii="Times New Roman" w:hAnsi="Times New Roman" w:cs="Times New Roman"/>
          <w:b/>
          <w:lang w:val="es-MX"/>
        </w:rPr>
        <w:t xml:space="preserve"> del Gasto Económico</w:t>
      </w:r>
    </w:p>
    <w:p w:rsidR="004D66E1" w:rsidRDefault="00C10DC1" w:rsidP="004D66E1">
      <w:pPr>
        <w:pStyle w:val="Sinespaciado"/>
        <w:jc w:val="center"/>
        <w:rPr>
          <w:rFonts w:ascii="Times New Roman" w:hAnsi="Times New Roman" w:cs="Times New Roman"/>
          <w:sz w:val="18"/>
          <w:lang w:val="es-MX"/>
        </w:rPr>
      </w:pPr>
      <w:r>
        <w:rPr>
          <w:rFonts w:ascii="Times New Roman" w:hAnsi="Times New Roman" w:cs="Times New Roman"/>
          <w:sz w:val="18"/>
          <w:lang w:val="es-MX"/>
        </w:rPr>
        <w:t>Porcentajes</w:t>
      </w:r>
    </w:p>
    <w:p w:rsidR="00C10DC1" w:rsidRDefault="00C10DC1" w:rsidP="004D66E1">
      <w:pPr>
        <w:pStyle w:val="Sinespaciado"/>
        <w:jc w:val="both"/>
        <w:rPr>
          <w:rFonts w:ascii="Times New Roman" w:hAnsi="Times New Roman" w:cs="Times New Roman"/>
          <w:sz w:val="16"/>
        </w:rPr>
      </w:pPr>
      <w:r>
        <w:rPr>
          <w:rFonts w:ascii="Times New Roman" w:hAnsi="Times New Roman" w:cs="Times New Roman"/>
          <w:noProof/>
          <w:sz w:val="18"/>
          <w:lang w:val="es-ES" w:eastAsia="es-ES"/>
        </w:rPr>
        <w:drawing>
          <wp:inline distT="0" distB="0" distL="0" distR="0" wp14:anchorId="0A61DB9C" wp14:editId="6732A971">
            <wp:extent cx="2650621" cy="261380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7584" cy="2669976"/>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C10DC1" w:rsidRDefault="00C10DC1" w:rsidP="00C10DC1">
      <w:pPr>
        <w:pStyle w:val="Sinespaciado"/>
        <w:jc w:val="both"/>
        <w:rPr>
          <w:rFonts w:ascii="Times New Roman" w:hAnsi="Times New Roman" w:cs="Times New Roman"/>
          <w:sz w:val="16"/>
        </w:rPr>
      </w:pPr>
    </w:p>
    <w:p w:rsidR="00C10DC1" w:rsidRPr="004D66E1" w:rsidRDefault="00C10DC1" w:rsidP="00C10DC1">
      <w:pPr>
        <w:pStyle w:val="Sinespaciado"/>
        <w:jc w:val="both"/>
        <w:rPr>
          <w:rFonts w:ascii="Times New Roman" w:hAnsi="Times New Roman" w:cs="Times New Roman"/>
          <w:sz w:val="16"/>
          <w:lang w:val="es-MX"/>
        </w:rPr>
      </w:pPr>
      <w:r>
        <w:rPr>
          <w:rFonts w:ascii="Times New Roman" w:hAnsi="Times New Roman" w:cs="Times New Roman"/>
          <w:lang w:val="es-MX"/>
        </w:rPr>
        <w:t>La ejecución presupuestaria incluyendo amortizaciones de deuda pública se ubicó en n Q58</w:t>
      </w:r>
      <w:proofErr w:type="gramStart"/>
      <w:r>
        <w:rPr>
          <w:rFonts w:ascii="Times New Roman" w:hAnsi="Times New Roman" w:cs="Times New Roman"/>
          <w:lang w:val="es-MX"/>
        </w:rPr>
        <w:t>,322.1</w:t>
      </w:r>
      <w:proofErr w:type="gramEnd"/>
      <w:r>
        <w:rPr>
          <w:rFonts w:ascii="Times New Roman" w:hAnsi="Times New Roman" w:cs="Times New Roman"/>
          <w:lang w:val="es-MX"/>
        </w:rPr>
        <w:t xml:space="preserve"> millones, con un nivel de ejecución </w:t>
      </w:r>
      <w:r>
        <w:rPr>
          <w:rFonts w:ascii="Times New Roman" w:hAnsi="Times New Roman" w:cs="Times New Roman"/>
          <w:lang w:val="es-MX"/>
        </w:rPr>
        <w:lastRenderedPageBreak/>
        <w:t xml:space="preserve">de 74.4%, mostrando el nivel más alto en los últimos años. </w:t>
      </w:r>
    </w:p>
    <w:p w:rsidR="00C10DC1" w:rsidRPr="002A1B95" w:rsidRDefault="00C10DC1" w:rsidP="00C10DC1">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 xml:space="preserve">Ejecución </w:t>
      </w:r>
      <w:r>
        <w:rPr>
          <w:rFonts w:ascii="Times New Roman" w:hAnsi="Times New Roman" w:cs="Times New Roman"/>
          <w:b/>
          <w:lang w:val="es-MX"/>
        </w:rPr>
        <w:t>Presupuestaria</w:t>
      </w:r>
    </w:p>
    <w:p w:rsidR="00C10DC1" w:rsidRPr="009D459C"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octubre de 2018</w:t>
      </w:r>
    </w:p>
    <w:p w:rsidR="00C10DC1"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C10DC1" w:rsidRPr="009D459C"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noProof/>
          <w:sz w:val="18"/>
          <w:szCs w:val="18"/>
          <w:lang w:val="es-ES" w:eastAsia="es-ES"/>
        </w:rPr>
        <w:drawing>
          <wp:inline distT="0" distB="0" distL="0" distR="0" wp14:anchorId="1D9B2F9E" wp14:editId="657E7286">
            <wp:extent cx="2578100" cy="1725283"/>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9677" cy="1779875"/>
                    </a:xfrm>
                    <a:prstGeom prst="rect">
                      <a:avLst/>
                    </a:prstGeom>
                    <a:noFill/>
                  </pic:spPr>
                </pic:pic>
              </a:graphicData>
            </a:graphic>
          </wp:inline>
        </w:drawing>
      </w:r>
    </w:p>
    <w:p w:rsidR="00C10DC1" w:rsidRDefault="00C10DC1" w:rsidP="00C10DC1">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C10DC1" w:rsidRDefault="00C10DC1" w:rsidP="00C10DC1">
      <w:pPr>
        <w:pStyle w:val="Sinespaciado"/>
        <w:jc w:val="both"/>
        <w:rPr>
          <w:rFonts w:ascii="Times New Roman" w:hAnsi="Times New Roman" w:cs="Times New Roman"/>
        </w:rPr>
      </w:pPr>
    </w:p>
    <w:p w:rsidR="00C10DC1" w:rsidRDefault="00C10DC1" w:rsidP="00C10DC1">
      <w:pPr>
        <w:pStyle w:val="Sinespaciado"/>
        <w:jc w:val="both"/>
        <w:rPr>
          <w:rFonts w:ascii="Times New Roman" w:hAnsi="Times New Roman" w:cs="Times New Roman"/>
        </w:rPr>
      </w:pPr>
      <w:r>
        <w:rPr>
          <w:rFonts w:ascii="Times New Roman" w:hAnsi="Times New Roman" w:cs="Times New Roman"/>
        </w:rPr>
        <w:t>Al observar el nivel de ejecución por entidad, se puede observar que las instituciones como educación (79.5%), defensa (77.9%), trabajo (76.2%), obligaciones (77.1%) y PGN (77.3%) muestran los porcentajes más altos de ejecución por arriba del promedio institucional.  Por su parte, las entidades que se encuentran muy por debajo del promedio institucional son agricultura cultura y deportes y desarrollo social.</w:t>
      </w:r>
    </w:p>
    <w:p w:rsidR="00C10DC1" w:rsidRDefault="00C10DC1" w:rsidP="00C10DC1">
      <w:pPr>
        <w:pStyle w:val="Sinespaciado"/>
        <w:jc w:val="center"/>
        <w:rPr>
          <w:rFonts w:ascii="Times New Roman" w:hAnsi="Times New Roman" w:cs="Times New Roman"/>
          <w:b/>
          <w:lang w:val="es-MX"/>
        </w:rPr>
      </w:pPr>
    </w:p>
    <w:p w:rsidR="00C10DC1" w:rsidRPr="002A1B95" w:rsidRDefault="00C10DC1" w:rsidP="00C10DC1">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C10DC1" w:rsidRPr="009D459C"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octubre de 2018</w:t>
      </w:r>
    </w:p>
    <w:p w:rsidR="00C10DC1"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C10DC1" w:rsidRPr="00686B8B" w:rsidRDefault="00C10DC1" w:rsidP="00686B8B">
      <w:pPr>
        <w:pStyle w:val="Sinespaciado"/>
        <w:rPr>
          <w:rFonts w:ascii="Times New Roman" w:hAnsi="Times New Roman" w:cs="Times New Roman"/>
          <w:sz w:val="18"/>
          <w:szCs w:val="18"/>
          <w:lang w:val="es-MX"/>
        </w:rPr>
      </w:pPr>
      <w:r>
        <w:rPr>
          <w:rFonts w:ascii="Times New Roman" w:hAnsi="Times New Roman" w:cs="Times New Roman"/>
          <w:noProof/>
          <w:sz w:val="18"/>
          <w:szCs w:val="18"/>
          <w:lang w:val="es-ES" w:eastAsia="es-ES"/>
        </w:rPr>
        <w:lastRenderedPageBreak/>
        <w:drawing>
          <wp:inline distT="0" distB="0" distL="0" distR="0" wp14:anchorId="3EFC6C60" wp14:editId="74D675B7">
            <wp:extent cx="2751000" cy="2587924"/>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8532" cy="2613824"/>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686B8B" w:rsidRDefault="00686B8B" w:rsidP="00C10DC1">
      <w:pPr>
        <w:pStyle w:val="Sinespaciado"/>
        <w:jc w:val="both"/>
        <w:rPr>
          <w:rFonts w:ascii="Times New Roman" w:hAnsi="Times New Roman" w:cs="Times New Roman"/>
          <w:sz w:val="16"/>
        </w:rPr>
      </w:pPr>
    </w:p>
    <w:p w:rsidR="00307996" w:rsidRDefault="00C10DC1" w:rsidP="00C10DC1">
      <w:pPr>
        <w:pStyle w:val="Sinespaciado"/>
        <w:jc w:val="both"/>
        <w:rPr>
          <w:rFonts w:ascii="Times New Roman" w:hAnsi="Times New Roman" w:cs="Times New Roman"/>
        </w:rPr>
      </w:pPr>
      <w:r>
        <w:rPr>
          <w:rFonts w:ascii="Times New Roman" w:hAnsi="Times New Roman" w:cs="Times New Roman"/>
        </w:rPr>
        <w:t>Por su parte, el gasto social reporta una ejecución de Q21,820.7 millones, equivalente a un grado de ejecución de 72.1% con respecto al presupuesto vigente, dentro de los sectores sociales el que va más rezagado en su ejecución es salud pública el cual muestra un</w:t>
      </w:r>
      <w:r w:rsidR="00307996">
        <w:rPr>
          <w:rFonts w:ascii="Times New Roman" w:hAnsi="Times New Roman" w:cs="Times New Roman"/>
        </w:rPr>
        <w:t xml:space="preserve"> nivel de 64.3%.  </w:t>
      </w:r>
    </w:p>
    <w:p w:rsidR="00307996" w:rsidRDefault="00307996" w:rsidP="00C10DC1">
      <w:pPr>
        <w:pStyle w:val="Sinespaciado"/>
        <w:jc w:val="both"/>
        <w:rPr>
          <w:rFonts w:ascii="Times New Roman" w:hAnsi="Times New Roman" w:cs="Times New Roman"/>
        </w:rPr>
      </w:pPr>
    </w:p>
    <w:p w:rsidR="00C10DC1" w:rsidRDefault="00307996" w:rsidP="00C10DC1">
      <w:pPr>
        <w:pStyle w:val="Sinespaciado"/>
        <w:jc w:val="both"/>
        <w:rPr>
          <w:rFonts w:ascii="Times New Roman" w:hAnsi="Times New Roman" w:cs="Times New Roman"/>
        </w:rPr>
      </w:pPr>
      <w:r>
        <w:rPr>
          <w:rFonts w:ascii="Times New Roman" w:hAnsi="Times New Roman" w:cs="Times New Roman"/>
        </w:rPr>
        <w:t>E</w:t>
      </w:r>
      <w:r w:rsidR="00C10DC1">
        <w:rPr>
          <w:rFonts w:ascii="Times New Roman" w:hAnsi="Times New Roman" w:cs="Times New Roman"/>
        </w:rPr>
        <w:t>l gasto social asociado a los Acuerdos de Paz, que incluye adicionalmente al OJ, la CC y el MP muestra un nivel de ejecución global de Q29</w:t>
      </w:r>
      <w:proofErr w:type="gramStart"/>
      <w:r w:rsidR="00C10DC1">
        <w:rPr>
          <w:rFonts w:ascii="Times New Roman" w:hAnsi="Times New Roman" w:cs="Times New Roman"/>
        </w:rPr>
        <w:t>,017.4</w:t>
      </w:r>
      <w:proofErr w:type="gramEnd"/>
      <w:r w:rsidR="00C10DC1">
        <w:rPr>
          <w:rFonts w:ascii="Times New Roman" w:hAnsi="Times New Roman" w:cs="Times New Roman"/>
        </w:rPr>
        <w:t xml:space="preserve"> millones, cuyo de grado de ejecución es de 73.0% con respecto al presupuesto vigente.  Se espera que en los dos últimos meses del año este indicador muestre un aumento importante.</w:t>
      </w:r>
    </w:p>
    <w:p w:rsidR="00686B8B" w:rsidRDefault="00686B8B" w:rsidP="00C10DC1">
      <w:pPr>
        <w:pStyle w:val="Sinespaciado"/>
        <w:jc w:val="center"/>
        <w:rPr>
          <w:rFonts w:ascii="Times New Roman" w:hAnsi="Times New Roman" w:cs="Times New Roman"/>
          <w:b/>
          <w:lang w:val="es-MX"/>
        </w:rPr>
      </w:pPr>
    </w:p>
    <w:p w:rsidR="00C10DC1" w:rsidRPr="002A1B95" w:rsidRDefault="00C10DC1" w:rsidP="00C10DC1">
      <w:pPr>
        <w:pStyle w:val="Sinespaciado"/>
        <w:jc w:val="center"/>
        <w:rPr>
          <w:rFonts w:ascii="Times New Roman" w:hAnsi="Times New Roman" w:cs="Times New Roman"/>
          <w:b/>
          <w:lang w:val="es-MX"/>
        </w:rPr>
      </w:pPr>
      <w:r>
        <w:rPr>
          <w:rFonts w:ascii="Times New Roman" w:hAnsi="Times New Roman" w:cs="Times New Roman"/>
          <w:b/>
          <w:lang w:val="es-MX"/>
        </w:rPr>
        <w:t>Ej</w:t>
      </w:r>
      <w:r w:rsidRPr="002A1B95">
        <w:rPr>
          <w:rFonts w:ascii="Times New Roman" w:hAnsi="Times New Roman" w:cs="Times New Roman"/>
          <w:b/>
          <w:lang w:val="es-MX"/>
        </w:rPr>
        <w:t xml:space="preserve">ecución </w:t>
      </w:r>
      <w:r>
        <w:rPr>
          <w:rFonts w:ascii="Times New Roman" w:hAnsi="Times New Roman" w:cs="Times New Roman"/>
          <w:b/>
          <w:lang w:val="es-MX"/>
        </w:rPr>
        <w:t>del gasto social</w:t>
      </w:r>
    </w:p>
    <w:p w:rsidR="00C10DC1" w:rsidRPr="009D459C" w:rsidRDefault="00C10DC1" w:rsidP="00C10DC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octubre del 2018</w:t>
      </w:r>
    </w:p>
    <w:p w:rsidR="00C10DC1" w:rsidRDefault="00C10DC1" w:rsidP="00C10DC1">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DB03B7" w:rsidRPr="00307996" w:rsidRDefault="00C10DC1" w:rsidP="00E570ED">
      <w:pPr>
        <w:pStyle w:val="Sinespaciado"/>
        <w:jc w:val="both"/>
        <w:rPr>
          <w:rFonts w:ascii="Times New Roman" w:hAnsi="Times New Roman" w:cs="Times New Roman"/>
          <w:color w:val="FF0000"/>
          <w:sz w:val="16"/>
        </w:rPr>
        <w:sectPr w:rsidR="00DB03B7" w:rsidRPr="00307996" w:rsidSect="00040C99">
          <w:headerReference w:type="default" r:id="rId24"/>
          <w:footerReference w:type="default" r:id="rId25"/>
          <w:type w:val="continuous"/>
          <w:pgSz w:w="12240" w:h="15840" w:code="1"/>
          <w:pgMar w:top="1418" w:right="1418" w:bottom="1418" w:left="1701" w:header="709" w:footer="709" w:gutter="0"/>
          <w:cols w:num="2" w:space="708"/>
          <w:docGrid w:linePitch="360"/>
        </w:sectPr>
      </w:pPr>
      <w:r w:rsidRPr="00FE35D2">
        <w:rPr>
          <w:noProof/>
          <w:lang w:val="es-ES" w:eastAsia="es-ES"/>
        </w:rPr>
        <w:lastRenderedPageBreak/>
        <w:drawing>
          <wp:inline distT="0" distB="0" distL="0" distR="0" wp14:anchorId="626EDB53" wp14:editId="51E0E414">
            <wp:extent cx="2875855" cy="1673225"/>
            <wp:effectExtent l="0" t="0" r="127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2416" cy="1711952"/>
                    </a:xfrm>
                    <a:prstGeom prst="rect">
                      <a:avLst/>
                    </a:prstGeom>
                    <a:noFill/>
                    <a:ln>
                      <a:noFill/>
                    </a:ln>
                  </pic:spPr>
                </pic:pic>
              </a:graphicData>
            </a:graphic>
          </wp:inline>
        </w:drawing>
      </w:r>
      <w:r>
        <w:rPr>
          <w:rFonts w:ascii="Times New Roman" w:hAnsi="Times New Roman" w:cs="Times New Roman"/>
          <w:sz w:val="16"/>
        </w:rPr>
        <w:lastRenderedPageBreak/>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1E4CD2" w:rsidRPr="00FF68EA" w:rsidRDefault="001E4CD2" w:rsidP="00216605">
      <w:pPr>
        <w:pStyle w:val="Sinespaciado"/>
        <w:jc w:val="both"/>
        <w:rPr>
          <w:rFonts w:ascii="Times New Roman" w:hAnsi="Times New Roman" w:cs="Times New Roman"/>
          <w:color w:val="FF0000"/>
          <w:sz w:val="16"/>
          <w:lang w:val="es-MX"/>
        </w:rPr>
      </w:pPr>
    </w:p>
    <w:p w:rsidR="00216605" w:rsidRPr="00686B8B" w:rsidRDefault="00C04E3C"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686B8B" w:rsidSect="00FA3B81">
          <w:type w:val="continuous"/>
          <w:pgSz w:w="12240" w:h="15840" w:code="1"/>
          <w:pgMar w:top="1418" w:right="1418" w:bottom="1418" w:left="1418" w:header="709" w:footer="709" w:gutter="0"/>
          <w:cols w:space="708"/>
          <w:docGrid w:linePitch="360"/>
        </w:sectPr>
      </w:pPr>
      <w:r w:rsidRPr="00686B8B">
        <w:rPr>
          <w:rFonts w:ascii="Times New Roman" w:hAnsi="Times New Roman" w:cs="Times New Roman"/>
          <w:b/>
          <w:lang w:val="es-MX"/>
        </w:rPr>
        <w:t>En noviembre podría finalizar la colocación de Bonos del Tesoro</w:t>
      </w:r>
    </w:p>
    <w:p w:rsidR="00216605" w:rsidRPr="00FF68EA" w:rsidRDefault="00216605" w:rsidP="00216605">
      <w:pPr>
        <w:pStyle w:val="Sinespaciado"/>
        <w:rPr>
          <w:rFonts w:ascii="Times New Roman" w:hAnsi="Times New Roman" w:cs="Times New Roman"/>
          <w:b/>
          <w:color w:val="FF0000"/>
          <w:sz w:val="24"/>
          <w:lang w:val="es-MX"/>
        </w:rPr>
      </w:pPr>
    </w:p>
    <w:p w:rsidR="00216605" w:rsidRPr="00FF68EA" w:rsidRDefault="00216605" w:rsidP="00216605">
      <w:pPr>
        <w:pStyle w:val="Sinespaciado"/>
        <w:rPr>
          <w:rFonts w:ascii="Times New Roman" w:hAnsi="Times New Roman" w:cs="Times New Roman"/>
          <w:b/>
          <w:color w:val="FF0000"/>
          <w:lang w:val="es-MX"/>
        </w:rPr>
        <w:sectPr w:rsidR="00216605" w:rsidRPr="00FF68EA" w:rsidSect="004E358C">
          <w:type w:val="continuous"/>
          <w:pgSz w:w="12240" w:h="15840"/>
          <w:pgMar w:top="1417" w:right="1701" w:bottom="1417" w:left="1701" w:header="708" w:footer="708" w:gutter="0"/>
          <w:cols w:space="708"/>
          <w:docGrid w:linePitch="360"/>
        </w:sectPr>
      </w:pPr>
    </w:p>
    <w:p w:rsidR="00686B8B" w:rsidRDefault="00686B8B" w:rsidP="00686B8B">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octubre de 2018 se obtuvo un flujo de endeudamiento de préstamos externos neto por el equivalente a Q609.7 millones. Derivado que este año ha mejorado los desembolsos de préstamos externos, de forma acumulada se han obtenido desembolsos por Q2</w:t>
      </w:r>
      <w:proofErr w:type="gramStart"/>
      <w:r>
        <w:rPr>
          <w:rFonts w:ascii="Times New Roman" w:hAnsi="Times New Roman" w:cs="Times New Roman"/>
        </w:rPr>
        <w:t>,746.0</w:t>
      </w:r>
      <w:proofErr w:type="gramEnd"/>
      <w:r>
        <w:rPr>
          <w:rFonts w:ascii="Times New Roman" w:hAnsi="Times New Roman" w:cs="Times New Roman"/>
        </w:rPr>
        <w:t xml:space="preserve"> millones, mientras que las amortizaciones se ubican en Q2,136.3 millones. </w:t>
      </w:r>
    </w:p>
    <w:p w:rsidR="00686B8B" w:rsidRDefault="00686B8B" w:rsidP="00686B8B">
      <w:pPr>
        <w:pStyle w:val="Sinespaciado"/>
        <w:jc w:val="both"/>
        <w:rPr>
          <w:rFonts w:ascii="Times New Roman" w:hAnsi="Times New Roman" w:cs="Times New Roman"/>
        </w:rPr>
      </w:pPr>
    </w:p>
    <w:p w:rsidR="00686B8B" w:rsidRDefault="00686B8B" w:rsidP="00686B8B">
      <w:pPr>
        <w:pStyle w:val="Sinespaciado"/>
        <w:jc w:val="both"/>
        <w:rPr>
          <w:rFonts w:ascii="Times New Roman" w:hAnsi="Times New Roman" w:cs="Times New Roman"/>
        </w:rPr>
      </w:pPr>
      <w:r>
        <w:rPr>
          <w:rFonts w:ascii="Times New Roman" w:hAnsi="Times New Roman" w:cs="Times New Roman"/>
        </w:rPr>
        <w:t>Asimismo, se han realizado varios eventos de colocación de Bonos del Tesoro los cuales muestran una demanda acumulada de Q43</w:t>
      </w:r>
      <w:proofErr w:type="gramStart"/>
      <w:r>
        <w:rPr>
          <w:rFonts w:ascii="Times New Roman" w:hAnsi="Times New Roman" w:cs="Times New Roman"/>
        </w:rPr>
        <w:t>,366.8</w:t>
      </w:r>
      <w:proofErr w:type="gramEnd"/>
      <w:r>
        <w:rPr>
          <w:rFonts w:ascii="Times New Roman" w:hAnsi="Times New Roman" w:cs="Times New Roman"/>
        </w:rPr>
        <w:t xml:space="preserve"> millones de los cuales se adjudicaron Q11,068.7 millones en el mercado interno, incluye una adjudicación de US$12.3 millones en bonos en moneda extranjera. </w:t>
      </w:r>
    </w:p>
    <w:p w:rsidR="00686B8B" w:rsidRDefault="00686B8B" w:rsidP="00686B8B">
      <w:pPr>
        <w:pStyle w:val="Sinespaciado"/>
        <w:jc w:val="both"/>
        <w:rPr>
          <w:rFonts w:ascii="Times New Roman" w:hAnsi="Times New Roman" w:cs="Times New Roman"/>
        </w:rPr>
      </w:pPr>
    </w:p>
    <w:p w:rsidR="00686B8B" w:rsidRDefault="00686B8B" w:rsidP="00686B8B">
      <w:pPr>
        <w:pStyle w:val="Sinespaciado"/>
        <w:jc w:val="both"/>
        <w:rPr>
          <w:rFonts w:ascii="Times New Roman" w:hAnsi="Times New Roman" w:cs="Times New Roman"/>
        </w:rPr>
      </w:pPr>
      <w:r>
        <w:rPr>
          <w:rFonts w:ascii="Times New Roman" w:hAnsi="Times New Roman" w:cs="Times New Roman"/>
        </w:rPr>
        <w:t>Derivado de lo anterior, la colocación de Bonos del Tesoro pendiente de realizar es de Q2</w:t>
      </w:r>
      <w:proofErr w:type="gramStart"/>
      <w:r>
        <w:rPr>
          <w:rFonts w:ascii="Times New Roman" w:hAnsi="Times New Roman" w:cs="Times New Roman"/>
        </w:rPr>
        <w:t>,680.7</w:t>
      </w:r>
      <w:proofErr w:type="gramEnd"/>
      <w:r>
        <w:rPr>
          <w:rFonts w:ascii="Times New Roman" w:hAnsi="Times New Roman" w:cs="Times New Roman"/>
        </w:rPr>
        <w:t xml:space="preserve"> millones, pero derivado de la sustitución de </w:t>
      </w:r>
      <w:r>
        <w:rPr>
          <w:rFonts w:ascii="Times New Roman" w:hAnsi="Times New Roman" w:cs="Times New Roman"/>
        </w:rPr>
        <w:lastRenderedPageBreak/>
        <w:t>fuente 41 por 52 por un monto de Q1,267.5 millones, la disponibilidad pendiente de colocar es de Q1,412.9 millones, un 10.3% del total de la emisión autorizada por el Congreso de la República.</w:t>
      </w:r>
    </w:p>
    <w:p w:rsidR="00686B8B" w:rsidRPr="00FF68EA" w:rsidRDefault="00686B8B" w:rsidP="00C04E3C">
      <w:pPr>
        <w:pStyle w:val="Sinespaciado"/>
        <w:jc w:val="both"/>
        <w:rPr>
          <w:rFonts w:ascii="Times New Roman" w:hAnsi="Times New Roman" w:cs="Times New Roman"/>
          <w:color w:val="FF0000"/>
        </w:rPr>
      </w:pPr>
    </w:p>
    <w:p w:rsidR="00C04E3C" w:rsidRPr="00686B8B" w:rsidRDefault="00C04E3C" w:rsidP="00C04E3C">
      <w:pPr>
        <w:pStyle w:val="Sinespaciado"/>
        <w:jc w:val="center"/>
        <w:rPr>
          <w:rFonts w:ascii="Times New Roman" w:hAnsi="Times New Roman" w:cs="Times New Roman"/>
          <w:b/>
        </w:rPr>
      </w:pPr>
      <w:r w:rsidRPr="00686B8B">
        <w:rPr>
          <w:rFonts w:ascii="Times New Roman" w:hAnsi="Times New Roman" w:cs="Times New Roman"/>
          <w:b/>
        </w:rPr>
        <w:t>Colocación de Bonos del Tesoro 2018</w:t>
      </w:r>
    </w:p>
    <w:p w:rsidR="00C04E3C" w:rsidRPr="00686B8B" w:rsidRDefault="00C04E3C" w:rsidP="00C04E3C">
      <w:pPr>
        <w:pStyle w:val="Sinespaciado"/>
        <w:jc w:val="center"/>
        <w:rPr>
          <w:rFonts w:ascii="Times New Roman" w:hAnsi="Times New Roman" w:cs="Times New Roman"/>
          <w:sz w:val="18"/>
        </w:rPr>
      </w:pPr>
      <w:r w:rsidRPr="00686B8B">
        <w:rPr>
          <w:rFonts w:ascii="Times New Roman" w:hAnsi="Times New Roman" w:cs="Times New Roman"/>
          <w:sz w:val="18"/>
        </w:rPr>
        <w:t>Millones de quetzales y Porcentajes</w:t>
      </w:r>
    </w:p>
    <w:p w:rsidR="00686B8B" w:rsidRPr="00686B8B" w:rsidRDefault="00686B8B" w:rsidP="00C04E3C">
      <w:pPr>
        <w:pStyle w:val="Sinespaciado"/>
        <w:jc w:val="center"/>
        <w:rPr>
          <w:rFonts w:ascii="Times New Roman" w:hAnsi="Times New Roman" w:cs="Times New Roman"/>
        </w:rPr>
      </w:pPr>
      <w:r w:rsidRPr="00686B8B">
        <w:rPr>
          <w:rFonts w:ascii="Times New Roman" w:hAnsi="Times New Roman" w:cs="Times New Roman"/>
          <w:noProof/>
          <w:lang w:val="es-ES" w:eastAsia="es-ES"/>
        </w:rPr>
        <w:drawing>
          <wp:inline distT="0" distB="0" distL="0" distR="0" wp14:anchorId="36B930DF" wp14:editId="7994AA22">
            <wp:extent cx="2742722" cy="1940943"/>
            <wp:effectExtent l="0" t="0" r="635"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971" cy="1955273"/>
                    </a:xfrm>
                    <a:prstGeom prst="rect">
                      <a:avLst/>
                    </a:prstGeom>
                    <a:noFill/>
                  </pic:spPr>
                </pic:pic>
              </a:graphicData>
            </a:graphic>
          </wp:inline>
        </w:drawing>
      </w:r>
    </w:p>
    <w:p w:rsidR="00D23424" w:rsidRPr="00686B8B" w:rsidRDefault="00D23424" w:rsidP="00C04E3C">
      <w:pPr>
        <w:pStyle w:val="Sinespaciado"/>
        <w:jc w:val="both"/>
        <w:rPr>
          <w:rFonts w:ascii="Times New Roman" w:hAnsi="Times New Roman" w:cs="Times New Roman"/>
          <w:sz w:val="16"/>
        </w:rPr>
      </w:pPr>
      <w:r w:rsidRPr="00686B8B">
        <w:rPr>
          <w:rFonts w:ascii="Times New Roman" w:hAnsi="Times New Roman" w:cs="Times New Roman"/>
          <w:sz w:val="16"/>
        </w:rPr>
        <w:t>Fuente: Dirección de Análisis y Política Fiscal</w:t>
      </w:r>
    </w:p>
    <w:p w:rsidR="00D23424" w:rsidRPr="00FF68EA" w:rsidRDefault="00D23424" w:rsidP="000C65AB">
      <w:pPr>
        <w:pStyle w:val="Sinespaciado"/>
        <w:jc w:val="both"/>
        <w:rPr>
          <w:rFonts w:ascii="Times New Roman" w:hAnsi="Times New Roman" w:cs="Times New Roman"/>
          <w:color w:val="FF0000"/>
          <w:lang w:val="es-MX"/>
        </w:rPr>
        <w:sectPr w:rsidR="00D23424" w:rsidRPr="00FF68EA" w:rsidSect="00040C99">
          <w:headerReference w:type="default" r:id="rId28"/>
          <w:footerReference w:type="default" r:id="rId29"/>
          <w:type w:val="continuous"/>
          <w:pgSz w:w="12240" w:h="15840" w:code="1"/>
          <w:pgMar w:top="1418" w:right="1418" w:bottom="1418" w:left="1701" w:header="709" w:footer="709" w:gutter="0"/>
          <w:cols w:num="2" w:space="708"/>
          <w:docGrid w:linePitch="360"/>
        </w:sectPr>
      </w:pPr>
    </w:p>
    <w:p w:rsidR="00CE75B5" w:rsidRPr="00FF68EA" w:rsidRDefault="00CE75B5" w:rsidP="00CE75B5">
      <w:pPr>
        <w:pStyle w:val="Sinespaciado"/>
        <w:jc w:val="both"/>
        <w:rPr>
          <w:rFonts w:ascii="Times New Roman" w:hAnsi="Times New Roman" w:cs="Times New Roman"/>
          <w:color w:val="FF0000"/>
        </w:rPr>
        <w:sectPr w:rsidR="00CE75B5" w:rsidRPr="00FF68EA" w:rsidSect="00D554B2">
          <w:type w:val="continuous"/>
          <w:pgSz w:w="12240" w:h="15840"/>
          <w:pgMar w:top="1417" w:right="1701" w:bottom="1417" w:left="1701" w:header="708" w:footer="708" w:gutter="0"/>
          <w:cols w:num="2" w:space="708"/>
          <w:docGrid w:linePitch="360"/>
        </w:sectPr>
      </w:pPr>
    </w:p>
    <w:p w:rsidR="00B96036" w:rsidRPr="00FF68EA" w:rsidRDefault="00B96036" w:rsidP="00D4202F">
      <w:pPr>
        <w:spacing w:after="0"/>
        <w:rPr>
          <w:rFonts w:ascii="Times New Roman" w:hAnsi="Times New Roman" w:cs="Times New Roman"/>
          <w:color w:val="FF0000"/>
          <w:sz w:val="18"/>
          <w:lang w:val="es-MX"/>
        </w:rPr>
        <w:sectPr w:rsidR="00B96036" w:rsidRPr="00FF68EA" w:rsidSect="004E358C">
          <w:type w:val="continuous"/>
          <w:pgSz w:w="12240" w:h="15840"/>
          <w:pgMar w:top="1417" w:right="1701" w:bottom="1417" w:left="1701" w:header="708" w:footer="708" w:gutter="0"/>
          <w:cols w:num="2" w:space="708"/>
          <w:docGrid w:linePitch="360"/>
        </w:sectPr>
      </w:pPr>
    </w:p>
    <w:p w:rsidR="00494D1D" w:rsidRPr="006E6A2C"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6E6A2C"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6E6A2C">
        <w:rPr>
          <w:rFonts w:ascii="Times New Roman" w:hAnsi="Times New Roman" w:cs="Times New Roman"/>
          <w:b/>
          <w:lang w:val="es-MX"/>
        </w:rPr>
        <w:lastRenderedPageBreak/>
        <w:t>Ambientes macroeconómicos (externo e interno)</w:t>
      </w:r>
    </w:p>
    <w:p w:rsidR="00494D1D" w:rsidRPr="006E6A2C" w:rsidRDefault="00494D1D" w:rsidP="00494D1D">
      <w:pPr>
        <w:pStyle w:val="Sinespaciado"/>
        <w:rPr>
          <w:rFonts w:ascii="Times New Roman" w:hAnsi="Times New Roman" w:cs="Times New Roman"/>
          <w:b/>
          <w:sz w:val="18"/>
          <w:lang w:val="es-MX"/>
        </w:rPr>
      </w:pPr>
    </w:p>
    <w:p w:rsidR="00494D1D" w:rsidRPr="006E6A2C" w:rsidRDefault="00494D1D" w:rsidP="00494D1D">
      <w:pPr>
        <w:pStyle w:val="Sinespaciado"/>
        <w:rPr>
          <w:rFonts w:ascii="Times New Roman" w:hAnsi="Times New Roman" w:cs="Times New Roman"/>
          <w:b/>
          <w:sz w:val="28"/>
          <w:lang w:val="es-MX"/>
        </w:rPr>
        <w:sectPr w:rsidR="00494D1D" w:rsidRPr="006E6A2C" w:rsidSect="004E358C">
          <w:type w:val="continuous"/>
          <w:pgSz w:w="12240" w:h="15840"/>
          <w:pgMar w:top="1417" w:right="1701" w:bottom="1417" w:left="1701" w:header="708" w:footer="708" w:gutter="0"/>
          <w:cols w:space="708"/>
          <w:docGrid w:linePitch="360"/>
        </w:sectPr>
      </w:pPr>
    </w:p>
    <w:p w:rsidR="0006261A" w:rsidRPr="006E6A2C" w:rsidRDefault="0006261A" w:rsidP="0006261A">
      <w:pPr>
        <w:pStyle w:val="Sinespaciado"/>
        <w:jc w:val="both"/>
        <w:rPr>
          <w:rFonts w:ascii="Times New Roman" w:hAnsi="Times New Roman" w:cs="Times New Roman"/>
          <w:lang w:val="es-MX"/>
        </w:rPr>
      </w:pPr>
      <w:r w:rsidRPr="006E6A2C">
        <w:rPr>
          <w:rFonts w:ascii="Times New Roman" w:hAnsi="Times New Roman" w:cs="Times New Roman"/>
          <w:lang w:val="es-MX"/>
        </w:rPr>
        <w:lastRenderedPageBreak/>
        <w:t xml:space="preserve">El Departamento de Comercio de Estados Unidos publicó este mes el primero de sus tres cálculos sobre la evolución del PIB correspondiente al tercer trimestre, indicando que su economía moderó su crecimiento hasta el ritmo anual del 3.5%, menor al crecimiento </w:t>
      </w:r>
      <w:r w:rsidRPr="006E6A2C">
        <w:rPr>
          <w:rFonts w:ascii="Times New Roman" w:hAnsi="Times New Roman" w:cs="Times New Roman"/>
          <w:lang w:val="es-MX"/>
        </w:rPr>
        <w:lastRenderedPageBreak/>
        <w:t xml:space="preserve">de 4.2% del trimestre anterior. Dicho resultado es atribuido principalmente a la agenda proteccionista comercial del presidente estadounidense, que ha impuesto aranceles a gran parte de sus principales socios comerciales, entre ellos China y la Unión </w:t>
      </w:r>
      <w:r w:rsidRPr="006E6A2C">
        <w:rPr>
          <w:rFonts w:ascii="Times New Roman" w:hAnsi="Times New Roman" w:cs="Times New Roman"/>
          <w:lang w:val="es-MX"/>
        </w:rPr>
        <w:lastRenderedPageBreak/>
        <w:t xml:space="preserve">Europea, pues las exportaciones disminuyeron hasta el 3.5%.  </w:t>
      </w:r>
    </w:p>
    <w:p w:rsidR="008A5760" w:rsidRPr="006E6A2C" w:rsidRDefault="008A5760" w:rsidP="0006261A">
      <w:pPr>
        <w:pStyle w:val="Sinespaciado"/>
        <w:jc w:val="both"/>
        <w:rPr>
          <w:rFonts w:ascii="Times New Roman" w:hAnsi="Times New Roman" w:cs="Times New Roman"/>
          <w:sz w:val="18"/>
          <w:lang w:val="es-MX"/>
        </w:rPr>
      </w:pPr>
    </w:p>
    <w:p w:rsidR="008A5760" w:rsidRPr="006E6A2C" w:rsidRDefault="008A5760" w:rsidP="0006261A">
      <w:pPr>
        <w:pStyle w:val="Sinespaciado"/>
        <w:jc w:val="both"/>
        <w:rPr>
          <w:rFonts w:ascii="Times New Roman" w:hAnsi="Times New Roman" w:cs="Times New Roman"/>
          <w:lang w:val="es-MX"/>
        </w:rPr>
      </w:pPr>
      <w:r w:rsidRPr="006E6A2C">
        <w:rPr>
          <w:rFonts w:ascii="Times New Roman" w:hAnsi="Times New Roman" w:cs="Times New Roman"/>
          <w:lang w:val="es-MX"/>
        </w:rPr>
        <w:t>Los precios al productor de Estados Unidos aumentaron más de lo esperado en octubre, aumentando 0.6%, atribuido en buena parte a un alza de los costos de la energía y los servicios comerciales, según cifras publicadas por el Departamento de Trabajo.</w:t>
      </w:r>
    </w:p>
    <w:p w:rsidR="0006261A" w:rsidRPr="006E6A2C" w:rsidRDefault="0006261A" w:rsidP="002719C8">
      <w:pPr>
        <w:spacing w:after="0" w:line="240" w:lineRule="auto"/>
        <w:jc w:val="both"/>
        <w:rPr>
          <w:rFonts w:ascii="Times New Roman" w:hAnsi="Times New Roman" w:cs="Times New Roman"/>
          <w:sz w:val="18"/>
          <w:lang w:val="es-MX"/>
        </w:rPr>
      </w:pPr>
    </w:p>
    <w:p w:rsidR="0006261A" w:rsidRPr="006E6A2C" w:rsidRDefault="0006261A" w:rsidP="002719C8">
      <w:pPr>
        <w:spacing w:after="0" w:line="240" w:lineRule="auto"/>
        <w:jc w:val="both"/>
        <w:rPr>
          <w:rFonts w:ascii="Times New Roman" w:hAnsi="Times New Roman" w:cs="Times New Roman"/>
          <w:lang w:val="es-MX"/>
        </w:rPr>
      </w:pPr>
      <w:r w:rsidRPr="006E6A2C">
        <w:rPr>
          <w:rFonts w:ascii="Times New Roman" w:hAnsi="Times New Roman" w:cs="Times New Roman"/>
          <w:lang w:val="es-MX"/>
        </w:rPr>
        <w:t>El FMI en su informe Perspectivas Económicas Regionales, indicó que la recuperación económica en América Latina y el Caribe se ha estancado, advirtiendo que los riesgos regionales y domésticos también se han intensificado en los últimos meses, e incluyen riesgos políticos, efectos secundarios regionales principalmente en Argentina producto de una recesión mayor a la esperada y factores no económicos, en medio de un agravamiento de las tensiones comerciales y volatilidad en los mercados de materias primas.  El FMI también revisó también a la baja los pronósticos de crecimiento para la región, ubicándolos en 1.2% desde un pronóstico de 2.0% y para 2019 espera 2.2% desde el 2.8% pronosticado en mayo del presente año.</w:t>
      </w:r>
    </w:p>
    <w:p w:rsidR="00FC4F6B" w:rsidRPr="006E6A2C" w:rsidRDefault="00FC4F6B" w:rsidP="002719C8">
      <w:pPr>
        <w:spacing w:after="0" w:line="240" w:lineRule="auto"/>
        <w:jc w:val="both"/>
        <w:rPr>
          <w:rFonts w:ascii="Times New Roman" w:hAnsi="Times New Roman" w:cs="Times New Roman"/>
          <w:sz w:val="18"/>
          <w:lang w:val="es-MX"/>
        </w:rPr>
      </w:pPr>
    </w:p>
    <w:p w:rsidR="00FC4F6B" w:rsidRPr="006E6A2C" w:rsidRDefault="00FC4F6B" w:rsidP="00FC4F6B">
      <w:pPr>
        <w:spacing w:after="0" w:line="240" w:lineRule="auto"/>
        <w:jc w:val="both"/>
        <w:rPr>
          <w:rFonts w:ascii="Times New Roman" w:hAnsi="Times New Roman" w:cs="Times New Roman"/>
          <w:lang w:val="es-MX"/>
        </w:rPr>
      </w:pPr>
      <w:r w:rsidRPr="006E6A2C">
        <w:rPr>
          <w:rFonts w:ascii="Times New Roman" w:hAnsi="Times New Roman" w:cs="Times New Roman"/>
          <w:lang w:val="es-MX"/>
        </w:rPr>
        <w:t xml:space="preserve">El crecimiento de la actividad económica en la zona euro se disminuyó a un mínimo de dos años en octubre, debido a que las crecientes tensiones comerciales y arancelarias, junto con las incertidumbres políticas, deterioraron las exportaciones y el optimismo de los habitantes de la zona.  El Índice compuesto de Gerentes de Compras final de IHS </w:t>
      </w:r>
      <w:proofErr w:type="spellStart"/>
      <w:r w:rsidRPr="006E6A2C">
        <w:rPr>
          <w:rFonts w:ascii="Times New Roman" w:hAnsi="Times New Roman" w:cs="Times New Roman"/>
          <w:lang w:val="es-MX"/>
        </w:rPr>
        <w:t>Markit</w:t>
      </w:r>
      <w:proofErr w:type="spellEnd"/>
      <w:r w:rsidRPr="006E6A2C">
        <w:rPr>
          <w:rFonts w:ascii="Times New Roman" w:hAnsi="Times New Roman" w:cs="Times New Roman"/>
          <w:lang w:val="es-MX"/>
        </w:rPr>
        <w:t>, considerado un buen indicador sobre la situación económica, cayó a 53.1 en octubre desde 54.1 puntos en septiembre.</w:t>
      </w:r>
    </w:p>
    <w:p w:rsidR="00706A33" w:rsidRPr="006E6A2C" w:rsidRDefault="00706A33" w:rsidP="00B468EF">
      <w:pPr>
        <w:spacing w:after="0" w:line="240" w:lineRule="auto"/>
        <w:jc w:val="both"/>
        <w:rPr>
          <w:rFonts w:ascii="Times New Roman" w:hAnsi="Times New Roman" w:cs="Times New Roman"/>
          <w:sz w:val="18"/>
          <w:lang w:val="es-MX"/>
        </w:rPr>
      </w:pPr>
    </w:p>
    <w:p w:rsidR="0006261A" w:rsidRPr="006E6A2C" w:rsidRDefault="0006261A" w:rsidP="0006261A">
      <w:pPr>
        <w:pStyle w:val="Sinespaciado"/>
        <w:jc w:val="both"/>
        <w:rPr>
          <w:rFonts w:ascii="Times New Roman" w:hAnsi="Times New Roman" w:cs="Times New Roman"/>
          <w:lang w:val="es-MX"/>
        </w:rPr>
      </w:pPr>
      <w:r w:rsidRPr="006E6A2C">
        <w:rPr>
          <w:rFonts w:ascii="Times New Roman" w:hAnsi="Times New Roman" w:cs="Times New Roman"/>
          <w:lang w:val="es-MX"/>
        </w:rPr>
        <w:t xml:space="preserve">El primer ministro chino Li </w:t>
      </w:r>
      <w:proofErr w:type="spellStart"/>
      <w:r w:rsidRPr="006E6A2C">
        <w:rPr>
          <w:rFonts w:ascii="Times New Roman" w:hAnsi="Times New Roman" w:cs="Times New Roman"/>
          <w:lang w:val="es-MX"/>
        </w:rPr>
        <w:t>Keqiang</w:t>
      </w:r>
      <w:proofErr w:type="spellEnd"/>
      <w:r w:rsidRPr="006E6A2C">
        <w:rPr>
          <w:rFonts w:ascii="Times New Roman" w:hAnsi="Times New Roman" w:cs="Times New Roman"/>
          <w:lang w:val="es-MX"/>
        </w:rPr>
        <w:t xml:space="preserve"> y el primer ministro japonés </w:t>
      </w:r>
      <w:proofErr w:type="spellStart"/>
      <w:r w:rsidRPr="006E6A2C">
        <w:rPr>
          <w:rFonts w:ascii="Times New Roman" w:hAnsi="Times New Roman" w:cs="Times New Roman"/>
          <w:lang w:val="es-MX"/>
        </w:rPr>
        <w:t>Shinzo</w:t>
      </w:r>
      <w:proofErr w:type="spellEnd"/>
      <w:r w:rsidRPr="006E6A2C">
        <w:rPr>
          <w:rFonts w:ascii="Times New Roman" w:hAnsi="Times New Roman" w:cs="Times New Roman"/>
          <w:lang w:val="es-MX"/>
        </w:rPr>
        <w:t xml:space="preserve"> Abe se comprometieron a estrechar sus vínculos en un “punto de inflexión histórico” que incluye la firma de una amplia serie de acuerdos, entre ellos un pacto de intercambio de divisas por </w:t>
      </w:r>
      <w:r w:rsidRPr="006E6A2C">
        <w:rPr>
          <w:rFonts w:ascii="Times New Roman" w:hAnsi="Times New Roman" w:cs="Times New Roman"/>
          <w:lang w:val="es-MX"/>
        </w:rPr>
        <w:lastRenderedPageBreak/>
        <w:t>30.000 millones de dólares, en un contexto de creciente tensión comercial con Washington</w:t>
      </w:r>
      <w:r w:rsidR="00F541D1" w:rsidRPr="006E6A2C">
        <w:rPr>
          <w:rFonts w:ascii="Times New Roman" w:hAnsi="Times New Roman" w:cs="Times New Roman"/>
          <w:lang w:val="es-MX"/>
        </w:rPr>
        <w:t>.</w:t>
      </w:r>
      <w:r w:rsidRPr="006E6A2C">
        <w:rPr>
          <w:rFonts w:ascii="Times New Roman" w:hAnsi="Times New Roman" w:cs="Times New Roman"/>
          <w:lang w:val="es-MX"/>
        </w:rPr>
        <w:t xml:space="preserve">  </w:t>
      </w:r>
    </w:p>
    <w:p w:rsidR="0006261A" w:rsidRPr="006E6A2C" w:rsidRDefault="0006261A" w:rsidP="0006261A">
      <w:pPr>
        <w:pStyle w:val="Prrafodelista"/>
        <w:rPr>
          <w:rFonts w:ascii="Times New Roman" w:hAnsi="Times New Roman" w:cs="Times New Roman"/>
          <w:sz w:val="18"/>
          <w:lang w:val="es-MX"/>
        </w:rPr>
      </w:pPr>
    </w:p>
    <w:p w:rsidR="0006261A" w:rsidRPr="006E6A2C" w:rsidRDefault="0006261A" w:rsidP="0006261A">
      <w:pPr>
        <w:pStyle w:val="Sinespaciado"/>
        <w:jc w:val="both"/>
        <w:rPr>
          <w:rFonts w:ascii="Times New Roman" w:hAnsi="Times New Roman" w:cs="Times New Roman"/>
          <w:lang w:val="es-MX"/>
        </w:rPr>
      </w:pPr>
      <w:r w:rsidRPr="006E6A2C">
        <w:rPr>
          <w:rFonts w:ascii="Times New Roman" w:hAnsi="Times New Roman" w:cs="Times New Roman"/>
          <w:lang w:val="es-MX"/>
        </w:rPr>
        <w:t xml:space="preserve">BBVA </w:t>
      </w:r>
      <w:proofErr w:type="spellStart"/>
      <w:r w:rsidRPr="006E6A2C">
        <w:rPr>
          <w:rFonts w:ascii="Times New Roman" w:hAnsi="Times New Roman" w:cs="Times New Roman"/>
          <w:lang w:val="es-MX"/>
        </w:rPr>
        <w:t>Research</w:t>
      </w:r>
      <w:proofErr w:type="spellEnd"/>
      <w:r w:rsidRPr="006E6A2C">
        <w:rPr>
          <w:rFonts w:ascii="Times New Roman" w:hAnsi="Times New Roman" w:cs="Times New Roman"/>
          <w:lang w:val="es-MX"/>
        </w:rPr>
        <w:t xml:space="preserve"> revisó a la baja sus previsiones de crecimiento de Argentina, Brasil, México y Uruguay para 2018, con lo que la proyección promedio del PIB de América Latina también se reduce a 0.9% desde 1.3% de la previsión anterior.  De acuerdo con el informe “Situación América Latina 4T18”, la región recobrará el dinamismo en 2019, </w:t>
      </w:r>
      <w:r w:rsidR="00FC4F6B" w:rsidRPr="006E6A2C">
        <w:rPr>
          <w:rFonts w:ascii="Times New Roman" w:hAnsi="Times New Roman" w:cs="Times New Roman"/>
          <w:lang w:val="es-MX"/>
        </w:rPr>
        <w:t xml:space="preserve">hasta el </w:t>
      </w:r>
      <w:r w:rsidR="000067B1" w:rsidRPr="006E6A2C">
        <w:rPr>
          <w:rFonts w:ascii="Times New Roman" w:hAnsi="Times New Roman" w:cs="Times New Roman"/>
          <w:lang w:val="es-MX"/>
        </w:rPr>
        <w:t>1.8%.  A</w:t>
      </w:r>
      <w:r w:rsidRPr="006E6A2C">
        <w:rPr>
          <w:rFonts w:ascii="Times New Roman" w:hAnsi="Times New Roman" w:cs="Times New Roman"/>
          <w:lang w:val="es-MX"/>
        </w:rPr>
        <w:t xml:space="preserve"> partir de 2020, el PIB se acercará a su potencial de entre 2.5% y 3.0%.  La reducción de la proyección para Argentina de acuerdo al informe, obedece a la</w:t>
      </w:r>
      <w:r w:rsidR="00FC4F6B" w:rsidRPr="006E6A2C">
        <w:rPr>
          <w:rFonts w:ascii="Times New Roman" w:hAnsi="Times New Roman" w:cs="Times New Roman"/>
          <w:lang w:val="es-MX"/>
        </w:rPr>
        <w:t xml:space="preserve"> crisis cambiaria</w:t>
      </w:r>
      <w:r w:rsidRPr="006E6A2C">
        <w:rPr>
          <w:rFonts w:ascii="Times New Roman" w:hAnsi="Times New Roman" w:cs="Times New Roman"/>
          <w:lang w:val="es-MX"/>
        </w:rPr>
        <w:t>, así como a las necesarias políticas</w:t>
      </w:r>
      <w:r w:rsidR="00FC4F6B" w:rsidRPr="006E6A2C">
        <w:rPr>
          <w:rFonts w:ascii="Times New Roman" w:hAnsi="Times New Roman" w:cs="Times New Roman"/>
          <w:lang w:val="es-MX"/>
        </w:rPr>
        <w:t xml:space="preserve"> monetaria y fiscal restrictiva</w:t>
      </w:r>
      <w:r w:rsidRPr="006E6A2C">
        <w:rPr>
          <w:rFonts w:ascii="Times New Roman" w:hAnsi="Times New Roman" w:cs="Times New Roman"/>
          <w:lang w:val="es-MX"/>
        </w:rPr>
        <w:t xml:space="preserve">; por su parte, las estimaciones para Brasil, </w:t>
      </w:r>
      <w:proofErr w:type="spellStart"/>
      <w:r w:rsidRPr="006E6A2C">
        <w:rPr>
          <w:rFonts w:ascii="Times New Roman" w:hAnsi="Times New Roman" w:cs="Times New Roman"/>
          <w:lang w:val="es-MX"/>
        </w:rPr>
        <w:t>Mexico</w:t>
      </w:r>
      <w:proofErr w:type="spellEnd"/>
      <w:r w:rsidRPr="006E6A2C">
        <w:rPr>
          <w:rFonts w:ascii="Times New Roman" w:hAnsi="Times New Roman" w:cs="Times New Roman"/>
          <w:lang w:val="es-MX"/>
        </w:rPr>
        <w:t xml:space="preserve"> y Uruguay </w:t>
      </w:r>
      <w:r w:rsidR="00FC4F6B" w:rsidRPr="006E6A2C">
        <w:rPr>
          <w:rFonts w:ascii="Times New Roman" w:hAnsi="Times New Roman" w:cs="Times New Roman"/>
          <w:lang w:val="es-MX"/>
        </w:rPr>
        <w:t xml:space="preserve">disminuyeron, </w:t>
      </w:r>
      <w:r w:rsidRPr="006E6A2C">
        <w:rPr>
          <w:rFonts w:ascii="Times New Roman" w:hAnsi="Times New Roman" w:cs="Times New Roman"/>
          <w:lang w:val="es-MX"/>
        </w:rPr>
        <w:t>fruto de los malos datos de crecimiento en el primer semestre del año</w:t>
      </w:r>
      <w:r w:rsidR="00FC4F6B" w:rsidRPr="006E6A2C">
        <w:rPr>
          <w:rFonts w:ascii="Times New Roman" w:hAnsi="Times New Roman" w:cs="Times New Roman"/>
          <w:lang w:val="es-MX"/>
        </w:rPr>
        <w:t xml:space="preserve"> y</w:t>
      </w:r>
      <w:r w:rsidRPr="006E6A2C">
        <w:rPr>
          <w:rFonts w:ascii="Times New Roman" w:hAnsi="Times New Roman" w:cs="Times New Roman"/>
          <w:lang w:val="es-MX"/>
        </w:rPr>
        <w:t xml:space="preserve"> las previsiones de crecimiento para Chile y Paraguay se incrementan dados los buenos resultados en la primera parte del año, en tanto que </w:t>
      </w:r>
      <w:r w:rsidR="00FC4F6B" w:rsidRPr="006E6A2C">
        <w:rPr>
          <w:rFonts w:ascii="Times New Roman" w:hAnsi="Times New Roman" w:cs="Times New Roman"/>
          <w:lang w:val="es-MX"/>
        </w:rPr>
        <w:t>en</w:t>
      </w:r>
      <w:r w:rsidRPr="006E6A2C">
        <w:rPr>
          <w:rFonts w:ascii="Times New Roman" w:hAnsi="Times New Roman" w:cs="Times New Roman"/>
          <w:lang w:val="es-MX"/>
        </w:rPr>
        <w:t xml:space="preserve"> Colombia y Perú se mantienen sin cambios.</w:t>
      </w:r>
    </w:p>
    <w:p w:rsidR="0053566F" w:rsidRPr="006E6A2C" w:rsidRDefault="0053566F" w:rsidP="00C02A39">
      <w:pPr>
        <w:spacing w:after="0" w:line="240" w:lineRule="auto"/>
        <w:jc w:val="both"/>
        <w:rPr>
          <w:rFonts w:ascii="Times New Roman" w:hAnsi="Times New Roman" w:cs="Times New Roman"/>
          <w:lang w:val="es-MX"/>
        </w:rPr>
      </w:pPr>
    </w:p>
    <w:p w:rsidR="001D3345" w:rsidRPr="006E6A2C" w:rsidRDefault="00106793" w:rsidP="00D61F8E">
      <w:pPr>
        <w:pStyle w:val="Sinespaciado"/>
        <w:jc w:val="both"/>
        <w:rPr>
          <w:rFonts w:ascii="Times New Roman" w:hAnsi="Times New Roman" w:cs="Times New Roman"/>
          <w:lang w:val="es-MX"/>
        </w:rPr>
      </w:pPr>
      <w:r w:rsidRPr="006E6A2C">
        <w:rPr>
          <w:rFonts w:ascii="Times New Roman" w:hAnsi="Times New Roman" w:cs="Times New Roman"/>
          <w:lang w:val="es-MX"/>
        </w:rPr>
        <w:t>En el entorno interno,</w:t>
      </w:r>
      <w:r w:rsidR="001D3345" w:rsidRPr="006E6A2C">
        <w:rPr>
          <w:rFonts w:ascii="Times New Roman" w:hAnsi="Times New Roman" w:cs="Times New Roman"/>
          <w:lang w:val="es-MX"/>
        </w:rPr>
        <w:t xml:space="preserve"> el personal técnico del Fondo Monetario Internacional concluyó su visita, en la cual evaluó el desempeño de la economía guatemalteca, sus perspectivas, la estrategia de desarrollo a mediano plazo y los planes de políticas públicas. Los aspectos más relevantes declarados por el fondo son:</w:t>
      </w:r>
    </w:p>
    <w:p w:rsidR="00F541D1" w:rsidRPr="006E6A2C" w:rsidRDefault="00F541D1" w:rsidP="00D61F8E">
      <w:pPr>
        <w:pStyle w:val="Sinespaciado"/>
        <w:jc w:val="both"/>
        <w:rPr>
          <w:rFonts w:ascii="Times New Roman" w:hAnsi="Times New Roman" w:cs="Times New Roman"/>
          <w:lang w:val="es-MX"/>
        </w:rPr>
      </w:pPr>
    </w:p>
    <w:p w:rsidR="001D3345" w:rsidRPr="006E6A2C" w:rsidRDefault="00F541D1" w:rsidP="001D3345">
      <w:pPr>
        <w:pStyle w:val="Sinespaciado"/>
        <w:numPr>
          <w:ilvl w:val="0"/>
          <w:numId w:val="14"/>
        </w:numPr>
        <w:ind w:left="426"/>
        <w:jc w:val="both"/>
        <w:rPr>
          <w:rFonts w:ascii="Times New Roman" w:hAnsi="Times New Roman" w:cs="Times New Roman"/>
          <w:lang w:val="es-MX"/>
        </w:rPr>
      </w:pPr>
      <w:r w:rsidRPr="006E6A2C">
        <w:rPr>
          <w:rFonts w:ascii="Times New Roman" w:hAnsi="Times New Roman" w:cs="Times New Roman"/>
          <w:lang w:val="es-MX"/>
        </w:rPr>
        <w:t>La economía continúa abriéndose camino entre las tensiones políticas internas y fuerzas externas en contra, fundamentadas en un marco macroeconómico sólido. Se prevé un ritmo de crecimiento de 3.0% para 2018 y 3.3 para 2019.</w:t>
      </w:r>
    </w:p>
    <w:p w:rsidR="00F541D1" w:rsidRPr="006E6A2C" w:rsidRDefault="00F541D1" w:rsidP="00F541D1">
      <w:pPr>
        <w:pStyle w:val="Prrafodelista"/>
        <w:numPr>
          <w:ilvl w:val="0"/>
          <w:numId w:val="14"/>
        </w:numPr>
        <w:ind w:left="426"/>
        <w:jc w:val="both"/>
        <w:rPr>
          <w:rFonts w:ascii="Times New Roman" w:hAnsi="Times New Roman" w:cs="Times New Roman"/>
          <w:lang w:val="es-MX"/>
        </w:rPr>
      </w:pPr>
      <w:r w:rsidRPr="006E6A2C">
        <w:rPr>
          <w:rFonts w:ascii="Times New Roman" w:hAnsi="Times New Roman" w:cs="Times New Roman"/>
          <w:lang w:val="es-MX"/>
        </w:rPr>
        <w:t xml:space="preserve">Prevalecen los riesgos a la baja. Por el lado externo, los riesgos provienen principalmente de la desaceleración del crecimiento de los principales socios comerciales de la región; los riesgos </w:t>
      </w:r>
      <w:r w:rsidRPr="006E6A2C">
        <w:rPr>
          <w:rFonts w:ascii="Times New Roman" w:hAnsi="Times New Roman" w:cs="Times New Roman"/>
          <w:lang w:val="es-MX"/>
        </w:rPr>
        <w:lastRenderedPageBreak/>
        <w:t>internos están asociados a la incertidumbre y fragmentación política derivadas del proceso electoral, y a la implementación de la agenda anticorrupción.</w:t>
      </w:r>
    </w:p>
    <w:p w:rsidR="00F541D1" w:rsidRPr="006E6A2C" w:rsidRDefault="00F541D1" w:rsidP="00F541D1">
      <w:pPr>
        <w:pStyle w:val="Sinespaciado"/>
        <w:numPr>
          <w:ilvl w:val="0"/>
          <w:numId w:val="14"/>
        </w:numPr>
        <w:ind w:left="426"/>
        <w:jc w:val="both"/>
        <w:rPr>
          <w:rFonts w:ascii="Times New Roman" w:hAnsi="Times New Roman" w:cs="Times New Roman"/>
          <w:lang w:val="es-MX"/>
        </w:rPr>
      </w:pPr>
      <w:r w:rsidRPr="006E6A2C">
        <w:rPr>
          <w:rFonts w:ascii="Times New Roman" w:hAnsi="Times New Roman" w:cs="Times New Roman"/>
          <w:lang w:val="es-MX"/>
        </w:rPr>
        <w:t xml:space="preserve">El reto a corto plazo para Guatemala está en asegurar la aceleración del crecimiento en 2019, en un contexto de elecciones generales y una mayor incertidumbre global. El estímulo fiscal contemplado en la propuesta de presupuesto para 2019, que está examinando actualmente el </w:t>
      </w:r>
      <w:r w:rsidRPr="006E6A2C">
        <w:rPr>
          <w:rFonts w:ascii="Times New Roman" w:hAnsi="Times New Roman" w:cs="Times New Roman"/>
          <w:lang w:val="es-MX"/>
        </w:rPr>
        <w:lastRenderedPageBreak/>
        <w:t>Congreso, reforzaría los cimientos de la recuperación y representaría un primer paso hacia el logro de los Objetivos de Desarrollo Sostenible.</w:t>
      </w:r>
    </w:p>
    <w:p w:rsidR="00F541D1" w:rsidRPr="006E6A2C" w:rsidRDefault="00F541D1" w:rsidP="00F541D1">
      <w:pPr>
        <w:pStyle w:val="Normal1"/>
        <w:numPr>
          <w:ilvl w:val="0"/>
          <w:numId w:val="14"/>
        </w:numPr>
        <w:ind w:left="426"/>
        <w:jc w:val="both"/>
        <w:rPr>
          <w:rFonts w:eastAsiaTheme="minorHAnsi"/>
          <w:sz w:val="22"/>
          <w:szCs w:val="22"/>
          <w:lang w:val="es-MX"/>
        </w:rPr>
      </w:pPr>
      <w:r w:rsidRPr="006E6A2C">
        <w:rPr>
          <w:rFonts w:eastAsiaTheme="minorHAnsi"/>
          <w:sz w:val="22"/>
          <w:szCs w:val="22"/>
          <w:lang w:val="es-MX"/>
        </w:rPr>
        <w:t>A mediano plazo, el desarrollo económico y la reducción de la pobreza deberían situarse en el centro de la formulación de políticas públicas, con objeto de promover mayor crecimiento económico, mejoras en productividad y competitividad, así como a una mayor cohesión social.</w:t>
      </w:r>
    </w:p>
    <w:p w:rsidR="00751CCA" w:rsidRPr="00FF68EA" w:rsidRDefault="00751CCA" w:rsidP="00C02A39">
      <w:pPr>
        <w:spacing w:after="0" w:line="240" w:lineRule="auto"/>
        <w:jc w:val="both"/>
        <w:rPr>
          <w:rFonts w:ascii="Times New Roman" w:hAnsi="Times New Roman" w:cs="Times New Roman"/>
          <w:color w:val="FF0000"/>
        </w:rPr>
        <w:sectPr w:rsidR="00751CCA" w:rsidRPr="00FF68EA" w:rsidSect="00040C99">
          <w:headerReference w:type="default" r:id="rId32"/>
          <w:footerReference w:type="default" r:id="rId33"/>
          <w:type w:val="continuous"/>
          <w:pgSz w:w="12240" w:h="15840" w:code="1"/>
          <w:pgMar w:top="1418" w:right="1467" w:bottom="1418" w:left="1560" w:header="709" w:footer="709" w:gutter="0"/>
          <w:cols w:num="2" w:space="802"/>
          <w:docGrid w:linePitch="360"/>
        </w:sectPr>
      </w:pPr>
    </w:p>
    <w:p w:rsidR="0000354D" w:rsidRPr="00FF68EA" w:rsidRDefault="0000354D" w:rsidP="00307996">
      <w:pPr>
        <w:tabs>
          <w:tab w:val="left" w:pos="5638"/>
        </w:tabs>
        <w:spacing w:after="0" w:line="240" w:lineRule="auto"/>
        <w:rPr>
          <w:rFonts w:ascii="Times New Roman" w:hAnsi="Times New Roman" w:cs="Times New Roman"/>
          <w:noProof/>
          <w:color w:val="FF0000"/>
          <w:sz w:val="16"/>
          <w:lang w:eastAsia="es-GT"/>
        </w:rPr>
      </w:pPr>
    </w:p>
    <w:p w:rsidR="0000354D" w:rsidRPr="00FF68EA" w:rsidRDefault="0000354D" w:rsidP="00AD5816">
      <w:pPr>
        <w:spacing w:after="0" w:line="240" w:lineRule="auto"/>
        <w:rPr>
          <w:rFonts w:ascii="Times New Roman" w:hAnsi="Times New Roman" w:cs="Times New Roman"/>
          <w:noProof/>
          <w:color w:val="FF0000"/>
          <w:sz w:val="16"/>
          <w:lang w:eastAsia="es-GT"/>
        </w:rPr>
      </w:pPr>
    </w:p>
    <w:p w:rsidR="006530FD" w:rsidRPr="00FF68EA" w:rsidRDefault="006530FD" w:rsidP="00AD5816">
      <w:pPr>
        <w:spacing w:after="0" w:line="240" w:lineRule="auto"/>
        <w:rPr>
          <w:rFonts w:ascii="Times New Roman" w:hAnsi="Times New Roman" w:cs="Times New Roman"/>
          <w:noProof/>
          <w:color w:val="FF0000"/>
          <w:sz w:val="16"/>
          <w:lang w:eastAsia="es-GT"/>
        </w:rPr>
      </w:pPr>
    </w:p>
    <w:p w:rsidR="00751CCA" w:rsidRPr="00FF68EA" w:rsidRDefault="00751CCA" w:rsidP="00AD5816">
      <w:pPr>
        <w:spacing w:after="0" w:line="240" w:lineRule="auto"/>
        <w:rPr>
          <w:rFonts w:ascii="Times New Roman" w:hAnsi="Times New Roman" w:cs="Times New Roman"/>
          <w:noProof/>
          <w:color w:val="FF0000"/>
          <w:sz w:val="16"/>
          <w:lang w:eastAsia="es-GT"/>
        </w:rPr>
      </w:pPr>
    </w:p>
    <w:p w:rsidR="001F5581" w:rsidRPr="00F90FB6"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F90FB6"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F90FB6">
        <w:rPr>
          <w:rFonts w:ascii="Times New Roman" w:hAnsi="Times New Roman" w:cs="Times New Roman"/>
          <w:b/>
          <w:lang w:val="es-MX"/>
        </w:rPr>
        <w:t>Anexo</w:t>
      </w:r>
    </w:p>
    <w:p w:rsidR="001F5581" w:rsidRPr="00FF68EA" w:rsidRDefault="001F5581" w:rsidP="001F5581">
      <w:pPr>
        <w:pStyle w:val="Sinespaciado"/>
        <w:rPr>
          <w:rFonts w:ascii="Times New Roman" w:hAnsi="Times New Roman" w:cs="Times New Roman"/>
          <w:b/>
          <w:color w:val="FF0000"/>
          <w:sz w:val="18"/>
          <w:lang w:val="es-MX"/>
        </w:rPr>
      </w:pPr>
    </w:p>
    <w:p w:rsidR="001F5581" w:rsidRPr="00FF68EA" w:rsidRDefault="001F5581" w:rsidP="00AD5816">
      <w:pPr>
        <w:spacing w:after="0" w:line="240" w:lineRule="auto"/>
        <w:rPr>
          <w:rFonts w:ascii="Times New Roman" w:hAnsi="Times New Roman" w:cs="Times New Roman"/>
          <w:noProof/>
          <w:color w:val="FF0000"/>
          <w:sz w:val="16"/>
          <w:lang w:val="es-MX" w:eastAsia="es-GT"/>
        </w:rPr>
      </w:pPr>
    </w:p>
    <w:p w:rsidR="001F5581" w:rsidRPr="00FF68EA" w:rsidRDefault="001F5581" w:rsidP="00AD5816">
      <w:pPr>
        <w:spacing w:after="0" w:line="240" w:lineRule="auto"/>
        <w:rPr>
          <w:rFonts w:ascii="Times New Roman" w:hAnsi="Times New Roman" w:cs="Times New Roman"/>
          <w:noProof/>
          <w:color w:val="FF0000"/>
          <w:sz w:val="16"/>
          <w:lang w:val="es-MX" w:eastAsia="es-GT"/>
        </w:rPr>
        <w:sectPr w:rsidR="001F5581" w:rsidRPr="00FF68EA"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rsidR="001F5581" w:rsidRPr="00FF68EA" w:rsidRDefault="00F90FB6" w:rsidP="001F5581">
      <w:pPr>
        <w:spacing w:after="0" w:line="240" w:lineRule="auto"/>
        <w:jc w:val="center"/>
        <w:rPr>
          <w:rFonts w:ascii="Times New Roman" w:hAnsi="Times New Roman" w:cs="Times New Roman"/>
          <w:noProof/>
          <w:color w:val="FF0000"/>
          <w:sz w:val="16"/>
          <w:lang w:val="es-MX" w:eastAsia="es-GT"/>
        </w:rPr>
        <w:sectPr w:rsidR="001F5581" w:rsidRPr="00FF68EA" w:rsidSect="001F5581">
          <w:type w:val="continuous"/>
          <w:pgSz w:w="12240" w:h="15840" w:code="1"/>
          <w:pgMar w:top="1418" w:right="1418" w:bottom="1418" w:left="1418" w:header="709" w:footer="709" w:gutter="0"/>
          <w:cols w:space="708"/>
          <w:docGrid w:linePitch="360"/>
        </w:sectPr>
      </w:pPr>
      <w:r>
        <w:rPr>
          <w:noProof/>
          <w:lang w:val="es-ES" w:eastAsia="es-ES"/>
        </w:rPr>
        <w:lastRenderedPageBreak/>
        <w:drawing>
          <wp:inline distT="0" distB="0" distL="0" distR="0">
            <wp:extent cx="6072996" cy="4925060"/>
            <wp:effectExtent l="0" t="0" r="4445" b="8890"/>
            <wp:docPr id="51" name="Imagen 51" descr="cid:image001.png@01D48642.16AA7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01.png@01D48642.16AA73A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6077838" cy="4928987"/>
                    </a:xfrm>
                    <a:prstGeom prst="rect">
                      <a:avLst/>
                    </a:prstGeom>
                    <a:noFill/>
                    <a:ln>
                      <a:noFill/>
                    </a:ln>
                  </pic:spPr>
                </pic:pic>
              </a:graphicData>
            </a:graphic>
          </wp:inline>
        </w:drawing>
      </w:r>
    </w:p>
    <w:p w:rsidR="00AD5816" w:rsidRPr="00FF68EA" w:rsidRDefault="00AD5816" w:rsidP="00AD5816">
      <w:pPr>
        <w:spacing w:after="0" w:line="240" w:lineRule="auto"/>
        <w:rPr>
          <w:rFonts w:ascii="Times New Roman" w:hAnsi="Times New Roman" w:cs="Times New Roman"/>
          <w:noProof/>
          <w:color w:val="FF0000"/>
          <w:sz w:val="16"/>
          <w:lang w:val="es-MX" w:eastAsia="es-GT"/>
        </w:rPr>
      </w:pPr>
    </w:p>
    <w:p w:rsidR="00D00E78" w:rsidRPr="00FF68EA" w:rsidRDefault="00D00E78" w:rsidP="00AD5816">
      <w:pPr>
        <w:spacing w:after="0" w:line="240" w:lineRule="auto"/>
        <w:rPr>
          <w:rFonts w:ascii="Times New Roman" w:hAnsi="Times New Roman" w:cs="Times New Roman"/>
          <w:noProof/>
          <w:color w:val="FF0000"/>
          <w:sz w:val="16"/>
          <w:lang w:eastAsia="es-GT"/>
        </w:rPr>
        <w:sectPr w:rsidR="00D00E78" w:rsidRPr="00FF68EA" w:rsidSect="00D00E78">
          <w:type w:val="continuous"/>
          <w:pgSz w:w="12240" w:h="15840" w:code="1"/>
          <w:pgMar w:top="1418" w:right="1418" w:bottom="1418" w:left="1418" w:header="709" w:footer="709" w:gutter="0"/>
          <w:cols w:space="708"/>
          <w:docGrid w:linePitch="360"/>
        </w:sectPr>
      </w:pPr>
    </w:p>
    <w:p w:rsidR="00AD5816" w:rsidRPr="00FF68EA" w:rsidRDefault="00AD5816" w:rsidP="00AD5816">
      <w:pPr>
        <w:spacing w:after="0" w:line="240" w:lineRule="auto"/>
        <w:rPr>
          <w:rFonts w:ascii="Times New Roman" w:hAnsi="Times New Roman" w:cs="Times New Roman"/>
          <w:noProof/>
          <w:color w:val="FF0000"/>
          <w:sz w:val="16"/>
          <w:lang w:eastAsia="es-GT"/>
        </w:rPr>
      </w:pPr>
    </w:p>
    <w:p w:rsidR="00AD5816" w:rsidRPr="00FF68EA" w:rsidRDefault="00AD5816" w:rsidP="00AD5816">
      <w:pPr>
        <w:spacing w:after="0" w:line="240" w:lineRule="auto"/>
        <w:rPr>
          <w:rFonts w:ascii="Times New Roman" w:hAnsi="Times New Roman" w:cs="Times New Roman"/>
          <w:noProof/>
          <w:color w:val="FF0000"/>
          <w:sz w:val="16"/>
          <w:lang w:eastAsia="es-GT"/>
        </w:rPr>
      </w:pPr>
    </w:p>
    <w:p w:rsidR="007703A2" w:rsidRPr="00FF68EA" w:rsidRDefault="007703A2" w:rsidP="00986297">
      <w:pPr>
        <w:pStyle w:val="Sinespaciado"/>
        <w:jc w:val="both"/>
        <w:rPr>
          <w:rFonts w:ascii="Times New Roman" w:hAnsi="Times New Roman" w:cs="Times New Roman"/>
          <w:color w:val="FF0000"/>
        </w:rPr>
      </w:pPr>
    </w:p>
    <w:sectPr w:rsidR="007703A2" w:rsidRPr="00FF68EA"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71" w:rsidRDefault="00A82771" w:rsidP="007D4651">
      <w:pPr>
        <w:spacing w:after="0" w:line="240" w:lineRule="auto"/>
      </w:pPr>
      <w:r>
        <w:separator/>
      </w:r>
    </w:p>
  </w:endnote>
  <w:endnote w:type="continuationSeparator" w:id="0">
    <w:p w:rsidR="00A82771" w:rsidRDefault="00A82771"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79F8D155" wp14:editId="5983AB21">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64A702A0" wp14:editId="761CAABC">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58A65681" wp14:editId="0051795F">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91F2D" w:rsidRPr="00891F2D">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608011952"/>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08416" behindDoc="0" locked="0" layoutInCell="1" allowOverlap="1" wp14:anchorId="0B3B5DD8" wp14:editId="7F8BE6DB">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63EB3D72" wp14:editId="52A119AD">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02544411"/>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8896" behindDoc="0" locked="0" layoutInCell="1" allowOverlap="1" wp14:anchorId="07141C68" wp14:editId="29927988">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508363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583F946D" wp14:editId="1A2DEEF2">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D66E1" w:rsidRPr="004D66E1">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351B4F33" wp14:editId="73BA151E">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86B8B" w:rsidRPr="00686B8B">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4800" behindDoc="0" locked="0" layoutInCell="1" allowOverlap="1" wp14:anchorId="0D947982" wp14:editId="14061791">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8163F" w:rsidRPr="00C8163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310025255"/>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30944" behindDoc="0" locked="0" layoutInCell="1" allowOverlap="1" wp14:anchorId="10EA9B8C" wp14:editId="135DFFBC">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07996" w:rsidRPr="00307996">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71" w:rsidRDefault="00A82771" w:rsidP="007D4651">
      <w:pPr>
        <w:spacing w:after="0" w:line="240" w:lineRule="auto"/>
      </w:pPr>
      <w:r>
        <w:separator/>
      </w:r>
    </w:p>
  </w:footnote>
  <w:footnote w:type="continuationSeparator" w:id="0">
    <w:p w:rsidR="00A82771" w:rsidRDefault="00A82771"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6608" behindDoc="1" locked="0" layoutInCell="1" allowOverlap="1" wp14:anchorId="38A05E42" wp14:editId="7B4CCA30">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5E4D76"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833E90">
      <w:rPr>
        <w:rFonts w:ascii="Times New Roman" w:hAnsi="Times New Roman" w:cs="Times New Roman"/>
        <w:color w:val="1F497D" w:themeColor="text2"/>
        <w:lang w:val="es-MX"/>
      </w:rPr>
      <w:t>bre</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4560" behindDoc="0" locked="0" layoutInCell="1" allowOverlap="1" wp14:anchorId="4BF586D4" wp14:editId="2542425E">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2816" behindDoc="1" locked="0" layoutInCell="1" allowOverlap="1" wp14:anchorId="182899C7" wp14:editId="68A02FE5">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645A64C4" wp14:editId="7AD8A7B7">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9984" behindDoc="1" locked="0" layoutInCell="1" allowOverlap="1" wp14:anchorId="2B48F791" wp14:editId="294E42B4">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val="es-ES" w:eastAsia="es-ES"/>
      </w:rPr>
      <mc:AlternateContent>
        <mc:Choice Requires="wps">
          <w:drawing>
            <wp:anchor distT="0" distB="0" distL="114300" distR="114300" simplePos="0" relativeHeight="251696128" behindDoc="0" locked="0" layoutInCell="1" allowOverlap="1" wp14:anchorId="3A61C2BE" wp14:editId="5378B436">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07392" behindDoc="1" locked="0" layoutInCell="1" allowOverlap="1" wp14:anchorId="50A9D135" wp14:editId="1DCBB1BA">
          <wp:simplePos x="0" y="0"/>
          <wp:positionH relativeFrom="column">
            <wp:posOffset>-89849</wp:posOffset>
          </wp:positionH>
          <wp:positionV relativeFrom="paragraph">
            <wp:posOffset>-163027</wp:posOffset>
          </wp:positionV>
          <wp:extent cx="1697990" cy="914400"/>
          <wp:effectExtent l="0" t="0" r="0" b="0"/>
          <wp:wrapNone/>
          <wp:docPr id="73" name="Imagen 7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06368" behindDoc="0" locked="0" layoutInCell="1" allowOverlap="1" wp14:anchorId="2A6DFBC5" wp14:editId="58608E2E">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8656" behindDoc="1" locked="0" layoutInCell="1" allowOverlap="1" wp14:anchorId="35245306" wp14:editId="4D91E392">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2512" behindDoc="0" locked="0" layoutInCell="1" allowOverlap="1" wp14:anchorId="70D4426F" wp14:editId="1A0599D5">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7872" behindDoc="1" locked="0" layoutInCell="1" allowOverlap="1" wp14:anchorId="0962E4D5" wp14:editId="31F170D5">
          <wp:simplePos x="0" y="0"/>
          <wp:positionH relativeFrom="column">
            <wp:posOffset>-89849</wp:posOffset>
          </wp:positionH>
          <wp:positionV relativeFrom="paragraph">
            <wp:posOffset>-163027</wp:posOffset>
          </wp:positionV>
          <wp:extent cx="1697990" cy="914400"/>
          <wp:effectExtent l="0" t="0" r="0" b="0"/>
          <wp:wrapNone/>
          <wp:docPr id="75"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6848" behindDoc="0" locked="0" layoutInCell="1" allowOverlap="1" wp14:anchorId="168270BA" wp14:editId="252B3EC7">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74624" behindDoc="1" locked="0" layoutInCell="1" allowOverlap="1" wp14:anchorId="734D0F46" wp14:editId="6E4FEB76">
          <wp:simplePos x="0" y="0"/>
          <wp:positionH relativeFrom="column">
            <wp:posOffset>-89849</wp:posOffset>
          </wp:positionH>
          <wp:positionV relativeFrom="paragraph">
            <wp:posOffset>-163027</wp:posOffset>
          </wp:positionV>
          <wp:extent cx="1697990" cy="914400"/>
          <wp:effectExtent l="0" t="0" r="0" b="0"/>
          <wp:wrapNone/>
          <wp:docPr id="41"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0B08F19A" wp14:editId="71294B6D">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0704" behindDoc="1" locked="0" layoutInCell="1" allowOverlap="1" wp14:anchorId="6F34691E" wp14:editId="48B18E5F">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10464" behindDoc="0" locked="0" layoutInCell="1" allowOverlap="1" wp14:anchorId="5EAFB0B2" wp14:editId="151A82DF">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3776" behindDoc="1" locked="0" layoutInCell="1" allowOverlap="1" wp14:anchorId="44C90593" wp14:editId="6EE7C4F9">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2752" behindDoc="0" locked="0" layoutInCell="1" allowOverlap="1" wp14:anchorId="4C7C65DD" wp14:editId="5B5CAE38">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32992" behindDoc="1" locked="0" layoutInCell="1" allowOverlap="1" wp14:anchorId="48C2D703" wp14:editId="75BF76E9">
          <wp:simplePos x="0" y="0"/>
          <wp:positionH relativeFrom="column">
            <wp:posOffset>-93997</wp:posOffset>
          </wp:positionH>
          <wp:positionV relativeFrom="paragraph">
            <wp:posOffset>-177800</wp:posOffset>
          </wp:positionV>
          <wp:extent cx="1697990" cy="914400"/>
          <wp:effectExtent l="0" t="0" r="0" b="0"/>
          <wp:wrapNone/>
          <wp:docPr id="4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E4D76" w:rsidRDefault="005E4D7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31968" behindDoc="0" locked="0" layoutInCell="1" allowOverlap="1" wp14:anchorId="4D41CD44" wp14:editId="706C9705">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12"/>
  </w:num>
  <w:num w:numId="8">
    <w:abstractNumId w:val="3"/>
  </w:num>
  <w:num w:numId="9">
    <w:abstractNumId w:val="9"/>
  </w:num>
  <w:num w:numId="10">
    <w:abstractNumId w:val="5"/>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78CF"/>
    <w:rsid w:val="00040C99"/>
    <w:rsid w:val="00042B27"/>
    <w:rsid w:val="00045D14"/>
    <w:rsid w:val="00051776"/>
    <w:rsid w:val="00051A92"/>
    <w:rsid w:val="00053517"/>
    <w:rsid w:val="0006261A"/>
    <w:rsid w:val="000723B2"/>
    <w:rsid w:val="00072EEB"/>
    <w:rsid w:val="00074BC6"/>
    <w:rsid w:val="00076AB4"/>
    <w:rsid w:val="00076AD2"/>
    <w:rsid w:val="0008348D"/>
    <w:rsid w:val="00087ADE"/>
    <w:rsid w:val="000A0A4F"/>
    <w:rsid w:val="000A6E8E"/>
    <w:rsid w:val="000C1547"/>
    <w:rsid w:val="000C21E1"/>
    <w:rsid w:val="000C65AB"/>
    <w:rsid w:val="000D016D"/>
    <w:rsid w:val="000D2FA4"/>
    <w:rsid w:val="000D489E"/>
    <w:rsid w:val="000E43A8"/>
    <w:rsid w:val="000F1314"/>
    <w:rsid w:val="000F3B7F"/>
    <w:rsid w:val="000F5F87"/>
    <w:rsid w:val="00102939"/>
    <w:rsid w:val="00103DA9"/>
    <w:rsid w:val="001045CE"/>
    <w:rsid w:val="00106793"/>
    <w:rsid w:val="00111B77"/>
    <w:rsid w:val="001178B6"/>
    <w:rsid w:val="001259BA"/>
    <w:rsid w:val="0013022C"/>
    <w:rsid w:val="001339A4"/>
    <w:rsid w:val="00133DBA"/>
    <w:rsid w:val="00136D08"/>
    <w:rsid w:val="00142BF3"/>
    <w:rsid w:val="00143620"/>
    <w:rsid w:val="00145313"/>
    <w:rsid w:val="00150585"/>
    <w:rsid w:val="00152798"/>
    <w:rsid w:val="001549AB"/>
    <w:rsid w:val="00157402"/>
    <w:rsid w:val="00157C3A"/>
    <w:rsid w:val="00160EAC"/>
    <w:rsid w:val="00171909"/>
    <w:rsid w:val="001735EE"/>
    <w:rsid w:val="0017454D"/>
    <w:rsid w:val="00185253"/>
    <w:rsid w:val="001913A4"/>
    <w:rsid w:val="00196A44"/>
    <w:rsid w:val="001A0C82"/>
    <w:rsid w:val="001A3185"/>
    <w:rsid w:val="001A79F4"/>
    <w:rsid w:val="001B3EEE"/>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259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B64C0"/>
    <w:rsid w:val="002B7644"/>
    <w:rsid w:val="002C0021"/>
    <w:rsid w:val="002C2547"/>
    <w:rsid w:val="002C482A"/>
    <w:rsid w:val="002C6478"/>
    <w:rsid w:val="002C68B8"/>
    <w:rsid w:val="002C7F2B"/>
    <w:rsid w:val="002D3469"/>
    <w:rsid w:val="002D54E6"/>
    <w:rsid w:val="002E3F4C"/>
    <w:rsid w:val="002F29DE"/>
    <w:rsid w:val="002F2A42"/>
    <w:rsid w:val="002F7E08"/>
    <w:rsid w:val="00302D40"/>
    <w:rsid w:val="0030695C"/>
    <w:rsid w:val="00307996"/>
    <w:rsid w:val="00321745"/>
    <w:rsid w:val="0032198D"/>
    <w:rsid w:val="00322ECC"/>
    <w:rsid w:val="00330A9D"/>
    <w:rsid w:val="00334324"/>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4BC6"/>
    <w:rsid w:val="00494D1D"/>
    <w:rsid w:val="00495F43"/>
    <w:rsid w:val="004A3D32"/>
    <w:rsid w:val="004A3DB8"/>
    <w:rsid w:val="004A6705"/>
    <w:rsid w:val="004A73AA"/>
    <w:rsid w:val="004B336D"/>
    <w:rsid w:val="004B4B9F"/>
    <w:rsid w:val="004B5B0F"/>
    <w:rsid w:val="004C208F"/>
    <w:rsid w:val="004C3B4E"/>
    <w:rsid w:val="004D1F76"/>
    <w:rsid w:val="004D66E1"/>
    <w:rsid w:val="004D7482"/>
    <w:rsid w:val="004E358C"/>
    <w:rsid w:val="004E4FDE"/>
    <w:rsid w:val="004E54B7"/>
    <w:rsid w:val="004E5D0E"/>
    <w:rsid w:val="004F02B2"/>
    <w:rsid w:val="004F4F4D"/>
    <w:rsid w:val="004F72F9"/>
    <w:rsid w:val="005004C9"/>
    <w:rsid w:val="005016F6"/>
    <w:rsid w:val="00502FD6"/>
    <w:rsid w:val="005077A5"/>
    <w:rsid w:val="00507E67"/>
    <w:rsid w:val="005104DC"/>
    <w:rsid w:val="005136F3"/>
    <w:rsid w:val="00517930"/>
    <w:rsid w:val="00520FB0"/>
    <w:rsid w:val="00523738"/>
    <w:rsid w:val="00530EAC"/>
    <w:rsid w:val="0053566F"/>
    <w:rsid w:val="005364DE"/>
    <w:rsid w:val="005428C6"/>
    <w:rsid w:val="00544E9A"/>
    <w:rsid w:val="00546650"/>
    <w:rsid w:val="005537D0"/>
    <w:rsid w:val="005550D8"/>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C103A"/>
    <w:rsid w:val="005D2336"/>
    <w:rsid w:val="005D51CA"/>
    <w:rsid w:val="005E4D76"/>
    <w:rsid w:val="005E6BD0"/>
    <w:rsid w:val="005E7E89"/>
    <w:rsid w:val="0060094A"/>
    <w:rsid w:val="006014EC"/>
    <w:rsid w:val="00603743"/>
    <w:rsid w:val="00606D70"/>
    <w:rsid w:val="00610F84"/>
    <w:rsid w:val="00623EC9"/>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86B8B"/>
    <w:rsid w:val="006A1473"/>
    <w:rsid w:val="006B0D82"/>
    <w:rsid w:val="006C2F15"/>
    <w:rsid w:val="006D1857"/>
    <w:rsid w:val="006D7B6E"/>
    <w:rsid w:val="006D7BB6"/>
    <w:rsid w:val="006E1D11"/>
    <w:rsid w:val="006E27A5"/>
    <w:rsid w:val="006E4937"/>
    <w:rsid w:val="006E63F3"/>
    <w:rsid w:val="006E6A13"/>
    <w:rsid w:val="006E6A2C"/>
    <w:rsid w:val="006F157C"/>
    <w:rsid w:val="006F202E"/>
    <w:rsid w:val="006F20A4"/>
    <w:rsid w:val="006F3FF3"/>
    <w:rsid w:val="006F4891"/>
    <w:rsid w:val="006F5EA0"/>
    <w:rsid w:val="006F7575"/>
    <w:rsid w:val="00706A33"/>
    <w:rsid w:val="00712339"/>
    <w:rsid w:val="00714E40"/>
    <w:rsid w:val="00715C88"/>
    <w:rsid w:val="00715D8F"/>
    <w:rsid w:val="00723F6E"/>
    <w:rsid w:val="00725F93"/>
    <w:rsid w:val="0073367E"/>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703A2"/>
    <w:rsid w:val="00771670"/>
    <w:rsid w:val="00775DE3"/>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6AEC"/>
    <w:rsid w:val="00826D9D"/>
    <w:rsid w:val="008277A9"/>
    <w:rsid w:val="00833E90"/>
    <w:rsid w:val="00842D8F"/>
    <w:rsid w:val="00842FFE"/>
    <w:rsid w:val="008501C7"/>
    <w:rsid w:val="00851B4B"/>
    <w:rsid w:val="0085741B"/>
    <w:rsid w:val="00861640"/>
    <w:rsid w:val="008718E5"/>
    <w:rsid w:val="008844B1"/>
    <w:rsid w:val="00891B11"/>
    <w:rsid w:val="00891F2D"/>
    <w:rsid w:val="00892181"/>
    <w:rsid w:val="00892DE1"/>
    <w:rsid w:val="00895722"/>
    <w:rsid w:val="008A2427"/>
    <w:rsid w:val="008A5760"/>
    <w:rsid w:val="008B110A"/>
    <w:rsid w:val="008C079A"/>
    <w:rsid w:val="008D5E9E"/>
    <w:rsid w:val="008E0F73"/>
    <w:rsid w:val="008E5C4F"/>
    <w:rsid w:val="008E7869"/>
    <w:rsid w:val="008E7927"/>
    <w:rsid w:val="008F312E"/>
    <w:rsid w:val="008F46B7"/>
    <w:rsid w:val="008F4BCE"/>
    <w:rsid w:val="008F5DBB"/>
    <w:rsid w:val="00910163"/>
    <w:rsid w:val="009121F7"/>
    <w:rsid w:val="00916532"/>
    <w:rsid w:val="00924E88"/>
    <w:rsid w:val="0093522C"/>
    <w:rsid w:val="00935D14"/>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07BE4"/>
    <w:rsid w:val="00A15244"/>
    <w:rsid w:val="00A159B6"/>
    <w:rsid w:val="00A2151F"/>
    <w:rsid w:val="00A21A6A"/>
    <w:rsid w:val="00A24C4D"/>
    <w:rsid w:val="00A25906"/>
    <w:rsid w:val="00A26C76"/>
    <w:rsid w:val="00A305E5"/>
    <w:rsid w:val="00A32AA1"/>
    <w:rsid w:val="00A446DB"/>
    <w:rsid w:val="00A46630"/>
    <w:rsid w:val="00A53877"/>
    <w:rsid w:val="00A54CC2"/>
    <w:rsid w:val="00A64AE4"/>
    <w:rsid w:val="00A706A2"/>
    <w:rsid w:val="00A7383F"/>
    <w:rsid w:val="00A74F16"/>
    <w:rsid w:val="00A75539"/>
    <w:rsid w:val="00A75E19"/>
    <w:rsid w:val="00A775C6"/>
    <w:rsid w:val="00A82771"/>
    <w:rsid w:val="00A875EE"/>
    <w:rsid w:val="00A900E8"/>
    <w:rsid w:val="00A92D6E"/>
    <w:rsid w:val="00A970F8"/>
    <w:rsid w:val="00AA11B9"/>
    <w:rsid w:val="00AA54A5"/>
    <w:rsid w:val="00AA6C6B"/>
    <w:rsid w:val="00AA7DB0"/>
    <w:rsid w:val="00AB20BD"/>
    <w:rsid w:val="00AB2522"/>
    <w:rsid w:val="00AB52BE"/>
    <w:rsid w:val="00AC5CAC"/>
    <w:rsid w:val="00AC7961"/>
    <w:rsid w:val="00AD4251"/>
    <w:rsid w:val="00AD5816"/>
    <w:rsid w:val="00AE2039"/>
    <w:rsid w:val="00AE50A8"/>
    <w:rsid w:val="00AF073D"/>
    <w:rsid w:val="00AF4290"/>
    <w:rsid w:val="00AF68D3"/>
    <w:rsid w:val="00AF7ACE"/>
    <w:rsid w:val="00B00205"/>
    <w:rsid w:val="00B04D97"/>
    <w:rsid w:val="00B05AC1"/>
    <w:rsid w:val="00B11FD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73AF2"/>
    <w:rsid w:val="00B83CAC"/>
    <w:rsid w:val="00B84995"/>
    <w:rsid w:val="00B86812"/>
    <w:rsid w:val="00B917E5"/>
    <w:rsid w:val="00B9286A"/>
    <w:rsid w:val="00B95BBF"/>
    <w:rsid w:val="00B96036"/>
    <w:rsid w:val="00BA12CD"/>
    <w:rsid w:val="00BA3920"/>
    <w:rsid w:val="00BB1AAC"/>
    <w:rsid w:val="00BB4C28"/>
    <w:rsid w:val="00BB5426"/>
    <w:rsid w:val="00BC2768"/>
    <w:rsid w:val="00BC4F9E"/>
    <w:rsid w:val="00BC647C"/>
    <w:rsid w:val="00BC7539"/>
    <w:rsid w:val="00BC79C1"/>
    <w:rsid w:val="00BD0FCC"/>
    <w:rsid w:val="00BD1088"/>
    <w:rsid w:val="00BD3A7C"/>
    <w:rsid w:val="00BD4961"/>
    <w:rsid w:val="00BE54D6"/>
    <w:rsid w:val="00BF1481"/>
    <w:rsid w:val="00BF2610"/>
    <w:rsid w:val="00C02A39"/>
    <w:rsid w:val="00C02FE1"/>
    <w:rsid w:val="00C04E3C"/>
    <w:rsid w:val="00C069B8"/>
    <w:rsid w:val="00C074EF"/>
    <w:rsid w:val="00C10DC1"/>
    <w:rsid w:val="00C12720"/>
    <w:rsid w:val="00C15432"/>
    <w:rsid w:val="00C15AC4"/>
    <w:rsid w:val="00C21149"/>
    <w:rsid w:val="00C2773E"/>
    <w:rsid w:val="00C3128B"/>
    <w:rsid w:val="00C33674"/>
    <w:rsid w:val="00C3385B"/>
    <w:rsid w:val="00C41470"/>
    <w:rsid w:val="00C41FF2"/>
    <w:rsid w:val="00C54747"/>
    <w:rsid w:val="00C56C98"/>
    <w:rsid w:val="00C6254D"/>
    <w:rsid w:val="00C646C4"/>
    <w:rsid w:val="00C76463"/>
    <w:rsid w:val="00C8163F"/>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10A83"/>
    <w:rsid w:val="00D1383A"/>
    <w:rsid w:val="00D13F84"/>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66D2"/>
    <w:rsid w:val="00D50ABF"/>
    <w:rsid w:val="00D51EBD"/>
    <w:rsid w:val="00D532B4"/>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3020"/>
    <w:rsid w:val="00DE4D85"/>
    <w:rsid w:val="00DE6D9A"/>
    <w:rsid w:val="00DE6DD3"/>
    <w:rsid w:val="00DF18B6"/>
    <w:rsid w:val="00DF317F"/>
    <w:rsid w:val="00DF3C7A"/>
    <w:rsid w:val="00DF70C1"/>
    <w:rsid w:val="00DF71A8"/>
    <w:rsid w:val="00E027B0"/>
    <w:rsid w:val="00E02A24"/>
    <w:rsid w:val="00E11403"/>
    <w:rsid w:val="00E16925"/>
    <w:rsid w:val="00E27247"/>
    <w:rsid w:val="00E31CA5"/>
    <w:rsid w:val="00E3382E"/>
    <w:rsid w:val="00E3492D"/>
    <w:rsid w:val="00E3753A"/>
    <w:rsid w:val="00E42E28"/>
    <w:rsid w:val="00E43BF3"/>
    <w:rsid w:val="00E45C4B"/>
    <w:rsid w:val="00E47525"/>
    <w:rsid w:val="00E47720"/>
    <w:rsid w:val="00E47F91"/>
    <w:rsid w:val="00E5126C"/>
    <w:rsid w:val="00E526A4"/>
    <w:rsid w:val="00E545F1"/>
    <w:rsid w:val="00E570ED"/>
    <w:rsid w:val="00E627ED"/>
    <w:rsid w:val="00E63798"/>
    <w:rsid w:val="00E6619D"/>
    <w:rsid w:val="00E7442E"/>
    <w:rsid w:val="00E82188"/>
    <w:rsid w:val="00E825A1"/>
    <w:rsid w:val="00E85293"/>
    <w:rsid w:val="00E871CE"/>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72DB"/>
    <w:rsid w:val="00EF1CB1"/>
    <w:rsid w:val="00EF56F9"/>
    <w:rsid w:val="00F03418"/>
    <w:rsid w:val="00F06437"/>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541D1"/>
    <w:rsid w:val="00F54C17"/>
    <w:rsid w:val="00F641E1"/>
    <w:rsid w:val="00F644EA"/>
    <w:rsid w:val="00F70176"/>
    <w:rsid w:val="00F70871"/>
    <w:rsid w:val="00F75C84"/>
    <w:rsid w:val="00F75EDB"/>
    <w:rsid w:val="00F762E5"/>
    <w:rsid w:val="00F76491"/>
    <w:rsid w:val="00F8230E"/>
    <w:rsid w:val="00F90FB6"/>
    <w:rsid w:val="00F930A8"/>
    <w:rsid w:val="00FA3B81"/>
    <w:rsid w:val="00FA5DE4"/>
    <w:rsid w:val="00FA5E7B"/>
    <w:rsid w:val="00FB2C2F"/>
    <w:rsid w:val="00FB5F5C"/>
    <w:rsid w:val="00FC319F"/>
    <w:rsid w:val="00FC3884"/>
    <w:rsid w:val="00FC4F6B"/>
    <w:rsid w:val="00FD61B9"/>
    <w:rsid w:val="00FE3D4D"/>
    <w:rsid w:val="00FE500D"/>
    <w:rsid w:val="00FE56B8"/>
    <w:rsid w:val="00FE65DB"/>
    <w:rsid w:val="00FE6FD3"/>
    <w:rsid w:val="00FF0C96"/>
    <w:rsid w:val="00FF58D4"/>
    <w:rsid w:val="00FF68E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7.emf"/><Relationship Id="rId39" Type="http://schemas.openxmlformats.org/officeDocument/2006/relationships/image" Target="cid:image001.png@01D48642.16AA73A0"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5.5928102315935015E-2"/>
          <c:w val="0.84040051013690165"/>
          <c:h val="0.77844084393296997"/>
        </c:manualLayout>
      </c:layout>
      <c:lineChart>
        <c:grouping val="standard"/>
        <c:varyColors val="0"/>
        <c:ser>
          <c:idx val="0"/>
          <c:order val="0"/>
          <c:tx>
            <c:strRef>
              <c:f>Hoja1!$B$1</c:f>
              <c:strCache>
                <c:ptCount val="1"/>
                <c:pt idx="0">
                  <c:v>IVA total</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Pt>
            <c:idx val="8"/>
            <c:bubble3D val="0"/>
            <c:extLst xmlns:c16r2="http://schemas.microsoft.com/office/drawing/2015/06/chart">
              <c:ext xmlns:c16="http://schemas.microsoft.com/office/drawing/2014/chart" uri="{C3380CC4-5D6E-409C-BE32-E72D297353CC}">
                <c16:uniqueId val="{00000000-048D-4013-AD8A-1C7EE1BEC94C}"/>
              </c:ext>
            </c:extLst>
          </c:dPt>
          <c:dPt>
            <c:idx val="9"/>
            <c:marker>
              <c:spPr>
                <a:solidFill>
                  <a:schemeClr val="lt1"/>
                </a:solidFill>
                <a:ln w="15875">
                  <a:solidFill>
                    <a:srgbClr val="FF0000"/>
                  </a:solidFill>
                  <a:round/>
                </a:ln>
                <a:effectLst/>
              </c:spPr>
            </c:marker>
            <c:bubble3D val="0"/>
            <c:extLst xmlns:c16r2="http://schemas.microsoft.com/office/drawing/2015/06/chart">
              <c:ext xmlns:c16="http://schemas.microsoft.com/office/drawing/2014/chart" uri="{C3380CC4-5D6E-409C-BE32-E72D297353CC}">
                <c16:uniqueId val="{00000001-048D-4013-AD8A-1C7EE1BEC94C}"/>
              </c:ext>
            </c:extLst>
          </c:dPt>
          <c:dPt>
            <c:idx val="20"/>
            <c:bubble3D val="0"/>
            <c:extLst xmlns:c16r2="http://schemas.microsoft.com/office/drawing/2015/06/chart">
              <c:ext xmlns:c16="http://schemas.microsoft.com/office/drawing/2014/chart" uri="{C3380CC4-5D6E-409C-BE32-E72D297353CC}">
                <c16:uniqueId val="{00000003-048D-4013-AD8A-1C7EE1BEC94C}"/>
              </c:ext>
            </c:extLst>
          </c:dPt>
          <c:dPt>
            <c:idx val="21"/>
            <c:marker>
              <c:spPr>
                <a:solidFill>
                  <a:schemeClr val="lt1"/>
                </a:solidFill>
                <a:ln w="15875">
                  <a:solidFill>
                    <a:srgbClr val="FF0000"/>
                  </a:solidFill>
                  <a:round/>
                </a:ln>
                <a:effectLst/>
              </c:spPr>
            </c:marker>
            <c:bubble3D val="0"/>
            <c:extLst xmlns:c16r2="http://schemas.microsoft.com/office/drawing/2015/06/chart">
              <c:ext xmlns:c16="http://schemas.microsoft.com/office/drawing/2014/chart" uri="{C3380CC4-5D6E-409C-BE32-E72D297353CC}">
                <c16:uniqueId val="{00000004-048D-4013-AD8A-1C7EE1BEC94C}"/>
              </c:ext>
            </c:extLst>
          </c:dPt>
          <c:dPt>
            <c:idx val="32"/>
            <c:bubble3D val="0"/>
            <c:extLst xmlns:c16r2="http://schemas.microsoft.com/office/drawing/2015/06/chart">
              <c:ext xmlns:c16="http://schemas.microsoft.com/office/drawing/2014/chart" uri="{C3380CC4-5D6E-409C-BE32-E72D297353CC}">
                <c16:uniqueId val="{00000005-048D-4013-AD8A-1C7EE1BEC94C}"/>
              </c:ext>
            </c:extLst>
          </c:dPt>
          <c:dPt>
            <c:idx val="33"/>
            <c:marker>
              <c:spPr>
                <a:solidFill>
                  <a:schemeClr val="lt1"/>
                </a:solidFill>
                <a:ln w="15875">
                  <a:solidFill>
                    <a:srgbClr val="FF0000"/>
                  </a:solidFill>
                  <a:round/>
                </a:ln>
                <a:effectLst/>
              </c:spPr>
            </c:marker>
            <c:bubble3D val="0"/>
            <c:extLst xmlns:c16r2="http://schemas.microsoft.com/office/drawing/2015/06/chart">
              <c:ext xmlns:c16="http://schemas.microsoft.com/office/drawing/2014/chart" uri="{C3380CC4-5D6E-409C-BE32-E72D297353CC}">
                <c16:uniqueId val="{00000006-048D-4013-AD8A-1C7EE1BEC94C}"/>
              </c:ext>
            </c:extLst>
          </c:dPt>
          <c:dPt>
            <c:idx val="44"/>
            <c:bubble3D val="0"/>
            <c:extLst xmlns:c16r2="http://schemas.microsoft.com/office/drawing/2015/06/chart">
              <c:ext xmlns:c16="http://schemas.microsoft.com/office/drawing/2014/chart" uri="{C3380CC4-5D6E-409C-BE32-E72D297353CC}">
                <c16:uniqueId val="{00000007-048D-4013-AD8A-1C7EE1BEC94C}"/>
              </c:ext>
            </c:extLst>
          </c:dPt>
          <c:dPt>
            <c:idx val="45"/>
            <c:marker>
              <c:spPr>
                <a:solidFill>
                  <a:schemeClr val="lt1"/>
                </a:solidFill>
                <a:ln w="15875">
                  <a:solidFill>
                    <a:srgbClr val="FF0000"/>
                  </a:solidFill>
                  <a:round/>
                </a:ln>
                <a:effectLst/>
              </c:spPr>
            </c:marker>
            <c:bubble3D val="0"/>
            <c:extLst xmlns:c16r2="http://schemas.microsoft.com/office/drawing/2015/06/chart">
              <c:ext xmlns:c16="http://schemas.microsoft.com/office/drawing/2014/chart" uri="{C3380CC4-5D6E-409C-BE32-E72D297353CC}">
                <c16:uniqueId val="{00000008-048D-4013-AD8A-1C7EE1BEC94C}"/>
              </c:ext>
            </c:extLst>
          </c:dPt>
          <c:dLbls>
            <c:dLbl>
              <c:idx val="9"/>
              <c:layout>
                <c:manualLayout>
                  <c:x val="-9.8400984009840098E-2"/>
                  <c:y val="-0.17827665896335423"/>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FF0000"/>
                        </a:solidFill>
                        <a:latin typeface="+mn-lt"/>
                        <a:ea typeface="+mn-ea"/>
                        <a:cs typeface="+mn-cs"/>
                      </a:defRPr>
                    </a:pPr>
                    <a:r>
                      <a:rPr lang="en-US" sz="600" b="1">
                        <a:solidFill>
                          <a:srgbClr val="FF0000"/>
                        </a:solidFill>
                      </a:rPr>
                      <a:t>Oct 2015 </a:t>
                    </a:r>
                    <a:fld id="{CFE55354-500B-407C-9810-8B5C1FC373C1}" type="VALUE">
                      <a:rPr lang="en-US" sz="600" b="1">
                        <a:solidFill>
                          <a:srgbClr val="FF0000"/>
                        </a:solidFill>
                      </a:rPr>
                      <a:pPr>
                        <a:defRPr sz="600" b="1" i="0" u="none" strike="noStrike" kern="1200" baseline="0">
                          <a:solidFill>
                            <a:srgbClr val="FF0000"/>
                          </a:solidFill>
                          <a:latin typeface="+mn-lt"/>
                          <a:ea typeface="+mn-ea"/>
                          <a:cs typeface="+mn-cs"/>
                        </a:defRPr>
                      </a:pPr>
                      <a:t>[VALOR]</a:t>
                    </a:fld>
                    <a:endParaRPr lang="en-US" sz="600" b="1">
                      <a:solidFill>
                        <a:srgbClr val="FF0000"/>
                      </a:solidFill>
                    </a:endParaRP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048D-4013-AD8A-1C7EE1BEC94C}"/>
                </c:ext>
              </c:extLst>
            </c:dLbl>
            <c:dLbl>
              <c:idx val="21"/>
              <c:layout>
                <c:manualLayout>
                  <c:x val="-8.8560885608856083E-2"/>
                  <c:y val="0.15186530207989435"/>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FF0000"/>
                        </a:solidFill>
                        <a:latin typeface="+mn-lt"/>
                        <a:ea typeface="+mn-ea"/>
                        <a:cs typeface="+mn-cs"/>
                      </a:defRPr>
                    </a:pPr>
                    <a:r>
                      <a:rPr lang="en-US" sz="600" b="1">
                        <a:solidFill>
                          <a:srgbClr val="FF0000"/>
                        </a:solidFill>
                      </a:rPr>
                      <a:t>Oct 2016 </a:t>
                    </a:r>
                    <a:fld id="{4A58B2E7-7143-47D5-9C89-70C96B19F3EA}" type="VALUE">
                      <a:rPr lang="en-US" sz="600" b="1">
                        <a:solidFill>
                          <a:srgbClr val="FF0000"/>
                        </a:solidFill>
                      </a:rPr>
                      <a:pPr>
                        <a:defRPr sz="600" b="1" i="0" u="none" strike="noStrike" kern="1200" baseline="0">
                          <a:solidFill>
                            <a:srgbClr val="FF0000"/>
                          </a:solidFill>
                          <a:latin typeface="+mn-lt"/>
                          <a:ea typeface="+mn-ea"/>
                          <a:cs typeface="+mn-cs"/>
                        </a:defRPr>
                      </a:pPr>
                      <a:t>[VALOR]</a:t>
                    </a:fld>
                    <a:endParaRPr lang="en-US" sz="600" b="1">
                      <a:solidFill>
                        <a:srgbClr val="FF0000"/>
                      </a:solidFill>
                    </a:endParaRP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048D-4013-AD8A-1C7EE1BEC94C}"/>
                </c:ext>
              </c:extLst>
            </c:dLbl>
            <c:dLbl>
              <c:idx val="33"/>
              <c:layout>
                <c:manualLayout>
                  <c:x val="-9.3480934809348187E-2"/>
                  <c:y val="0.17827665896335418"/>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FF0000"/>
                        </a:solidFill>
                        <a:latin typeface="+mn-lt"/>
                        <a:ea typeface="+mn-ea"/>
                        <a:cs typeface="+mn-cs"/>
                      </a:defRPr>
                    </a:pPr>
                    <a:r>
                      <a:rPr lang="en-US" sz="600" b="1">
                        <a:solidFill>
                          <a:srgbClr val="FF0000"/>
                        </a:solidFill>
                      </a:rPr>
                      <a:t>Oct 2017 </a:t>
                    </a:r>
                    <a:fld id="{02E3241D-289B-42F0-9F81-B18FF0488A9F}" type="VALUE">
                      <a:rPr lang="en-US" sz="600" b="1">
                        <a:solidFill>
                          <a:srgbClr val="FF0000"/>
                        </a:solidFill>
                      </a:rPr>
                      <a:pPr>
                        <a:defRPr sz="600" b="1" i="0" u="none" strike="noStrike" kern="1200" baseline="0">
                          <a:solidFill>
                            <a:srgbClr val="FF0000"/>
                          </a:solidFill>
                          <a:latin typeface="+mn-lt"/>
                          <a:ea typeface="+mn-ea"/>
                          <a:cs typeface="+mn-cs"/>
                        </a:defRPr>
                      </a:pPr>
                      <a:t>[VALOR]</a:t>
                    </a:fld>
                    <a:endParaRPr lang="en-US" sz="600" b="1">
                      <a:solidFill>
                        <a:srgbClr val="FF0000"/>
                      </a:solidFill>
                    </a:endParaRP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6-048D-4013-AD8A-1C7EE1BEC94C}"/>
                </c:ext>
              </c:extLst>
            </c:dLbl>
            <c:dLbl>
              <c:idx val="45"/>
              <c:layout>
                <c:manualLayout>
                  <c:x val="0"/>
                  <c:y val="-9.2439749092109613E-2"/>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FF0000"/>
                        </a:solidFill>
                        <a:latin typeface="+mn-lt"/>
                        <a:ea typeface="+mn-ea"/>
                        <a:cs typeface="+mn-cs"/>
                      </a:defRPr>
                    </a:pPr>
                    <a:r>
                      <a:rPr lang="en-US" sz="600" b="1">
                        <a:solidFill>
                          <a:srgbClr val="FF0000"/>
                        </a:solidFill>
                      </a:rPr>
                      <a:t>Oct 2018 </a:t>
                    </a:r>
                    <a:fld id="{8C69970F-F547-4409-9196-76ADB8302937}" type="VALUE">
                      <a:rPr lang="en-US" sz="600" b="1">
                        <a:solidFill>
                          <a:srgbClr val="FF0000"/>
                        </a:solidFill>
                      </a:rPr>
                      <a:pPr>
                        <a:defRPr sz="600" b="1" i="0" u="none" strike="noStrike" kern="1200" baseline="0">
                          <a:solidFill>
                            <a:srgbClr val="FF0000"/>
                          </a:solidFill>
                          <a:latin typeface="+mn-lt"/>
                          <a:ea typeface="+mn-ea"/>
                          <a:cs typeface="+mn-cs"/>
                        </a:defRPr>
                      </a:pPr>
                      <a:t>[VALOR]</a:t>
                    </a:fld>
                    <a:endParaRPr lang="en-US" sz="600" b="1">
                      <a:solidFill>
                        <a:srgbClr val="FF0000"/>
                      </a:solidFill>
                    </a:endParaRP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048D-4013-AD8A-1C7EE1BEC9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Hoja1!$A$2:$A$47</c:f>
              <c:numCache>
                <c:formatCode>mmm\-yy</c:formatCode>
                <c:ptCount val="4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numCache>
            </c:numRef>
          </c:cat>
          <c:val>
            <c:numRef>
              <c:f>Hoja1!$B$2:$B$47</c:f>
              <c:numCache>
                <c:formatCode>General</c:formatCode>
                <c:ptCount val="46"/>
                <c:pt idx="0">
                  <c:v>-2.9017054700847367E-2</c:v>
                </c:pt>
                <c:pt idx="1">
                  <c:v>5.1103706852997366E-3</c:v>
                </c:pt>
                <c:pt idx="2">
                  <c:v>2.9383846720371976E-2</c:v>
                </c:pt>
                <c:pt idx="3">
                  <c:v>2.2032460539220589E-2</c:v>
                </c:pt>
                <c:pt idx="4">
                  <c:v>1.1595397491762638E-2</c:v>
                </c:pt>
                <c:pt idx="5">
                  <c:v>1.7775082449459356E-2</c:v>
                </c:pt>
                <c:pt idx="6">
                  <c:v>1.5385481830701764E-2</c:v>
                </c:pt>
                <c:pt idx="7">
                  <c:v>1.1406279246660267E-2</c:v>
                </c:pt>
                <c:pt idx="8">
                  <c:v>8.4267934241422093E-3</c:v>
                </c:pt>
                <c:pt idx="9">
                  <c:v>8.6303899960540331E-3</c:v>
                </c:pt>
                <c:pt idx="10">
                  <c:v>9.9679752167309843E-3</c:v>
                </c:pt>
                <c:pt idx="11">
                  <c:v>5.1150686229244346E-3</c:v>
                </c:pt>
                <c:pt idx="12">
                  <c:v>-2.3375490882261318E-2</c:v>
                </c:pt>
                <c:pt idx="13">
                  <c:v>4.3206148558598834E-3</c:v>
                </c:pt>
                <c:pt idx="14">
                  <c:v>-1.0267216186412131E-2</c:v>
                </c:pt>
                <c:pt idx="15">
                  <c:v>1.9355073413711565E-3</c:v>
                </c:pt>
                <c:pt idx="16">
                  <c:v>2.7909423723244675E-2</c:v>
                </c:pt>
                <c:pt idx="17">
                  <c:v>3.0148336255222619E-2</c:v>
                </c:pt>
                <c:pt idx="18">
                  <c:v>2.1199137199183538E-2</c:v>
                </c:pt>
                <c:pt idx="19">
                  <c:v>3.0580027988716285E-2</c:v>
                </c:pt>
                <c:pt idx="20">
                  <c:v>3.1491712271289662E-2</c:v>
                </c:pt>
                <c:pt idx="21">
                  <c:v>3.2201955861681952E-2</c:v>
                </c:pt>
                <c:pt idx="22">
                  <c:v>3.786758919284483E-2</c:v>
                </c:pt>
                <c:pt idx="23">
                  <c:v>4.056079201831464E-2</c:v>
                </c:pt>
                <c:pt idx="24">
                  <c:v>8.7106089305437395E-2</c:v>
                </c:pt>
                <c:pt idx="25">
                  <c:v>7.8763477966087292E-2</c:v>
                </c:pt>
                <c:pt idx="26">
                  <c:v>9.6681641236973093E-2</c:v>
                </c:pt>
                <c:pt idx="27">
                  <c:v>6.8973276937126293E-2</c:v>
                </c:pt>
                <c:pt idx="28">
                  <c:v>5.2962903153777718E-2</c:v>
                </c:pt>
                <c:pt idx="29">
                  <c:v>7.4072469271402763E-2</c:v>
                </c:pt>
                <c:pt idx="30">
                  <c:v>7.1155328018784436E-2</c:v>
                </c:pt>
                <c:pt idx="31">
                  <c:v>6.9954004069015197E-2</c:v>
                </c:pt>
                <c:pt idx="32">
                  <c:v>6.6928807722936412E-2</c:v>
                </c:pt>
                <c:pt idx="33">
                  <c:v>6.9996321878726953E-2</c:v>
                </c:pt>
                <c:pt idx="34">
                  <c:v>7.7298532432651834E-2</c:v>
                </c:pt>
                <c:pt idx="35">
                  <c:v>8.1414926720337899E-2</c:v>
                </c:pt>
                <c:pt idx="36">
                  <c:v>0.11648246377875715</c:v>
                </c:pt>
                <c:pt idx="37">
                  <c:v>9.4141659787712273E-2</c:v>
                </c:pt>
                <c:pt idx="38">
                  <c:v>6.0321721832116371E-2</c:v>
                </c:pt>
                <c:pt idx="39">
                  <c:v>8.2607930700431043E-2</c:v>
                </c:pt>
                <c:pt idx="40">
                  <c:v>8.0882856062030273E-2</c:v>
                </c:pt>
                <c:pt idx="41">
                  <c:v>5.8913505498626062E-2</c:v>
                </c:pt>
                <c:pt idx="42">
                  <c:v>6.4055927203414242E-2</c:v>
                </c:pt>
                <c:pt idx="43">
                  <c:v>6.2442099332829848E-2</c:v>
                </c:pt>
                <c:pt idx="44">
                  <c:v>6.3866761879444622E-2</c:v>
                </c:pt>
                <c:pt idx="45">
                  <c:v>6.9652497982028994E-2</c:v>
                </c:pt>
              </c:numCache>
            </c:numRef>
          </c:val>
          <c:smooth val="1"/>
          <c:extLst xmlns:c16r2="http://schemas.microsoft.com/office/drawing/2015/06/chart">
            <c:ext xmlns:c16="http://schemas.microsoft.com/office/drawing/2014/chart" uri="{C3380CC4-5D6E-409C-BE32-E72D297353CC}">
              <c16:uniqueId val="{00000009-048D-4013-AD8A-1C7EE1BEC94C}"/>
            </c:ext>
          </c:extLst>
        </c:ser>
        <c:dLbls>
          <c:showLegendKey val="0"/>
          <c:showVal val="0"/>
          <c:showCatName val="0"/>
          <c:showSerName val="0"/>
          <c:showPercent val="0"/>
          <c:showBubbleSize val="0"/>
        </c:dLbls>
        <c:marker val="1"/>
        <c:smooth val="0"/>
        <c:axId val="100906880"/>
        <c:axId val="100908416"/>
      </c:lineChart>
      <c:dateAx>
        <c:axId val="100906880"/>
        <c:scaling>
          <c:orientation val="minMax"/>
        </c:scaling>
        <c:delete val="0"/>
        <c:axPos val="b"/>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mn-lt"/>
                <a:ea typeface="+mn-ea"/>
                <a:cs typeface="+mn-cs"/>
              </a:defRPr>
            </a:pPr>
            <a:endParaRPr lang="es-ES"/>
          </a:p>
        </c:txPr>
        <c:crossAx val="100908416"/>
        <c:crosses val="autoZero"/>
        <c:auto val="1"/>
        <c:lblOffset val="100"/>
        <c:baseTimeUnit val="months"/>
      </c:dateAx>
      <c:valAx>
        <c:axId val="10090841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ES"/>
          </a:p>
        </c:txPr>
        <c:crossAx val="1009068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5840487205875"/>
          <c:y val="5.356708059410762E-2"/>
          <c:w val="0.79775911808078004"/>
          <c:h val="0.71271748445615224"/>
        </c:manualLayout>
      </c:layout>
      <c:lineChart>
        <c:grouping val="standard"/>
        <c:varyColors val="0"/>
        <c:ser>
          <c:idx val="0"/>
          <c:order val="0"/>
          <c:tx>
            <c:strRef>
              <c:f>Hoja1!$B$1</c:f>
              <c:strCache>
                <c:ptCount val="1"/>
                <c:pt idx="0">
                  <c:v>Internos</c:v>
                </c:pt>
              </c:strCache>
            </c:strRef>
          </c:tx>
          <c:spPr>
            <a:ln w="22225" cap="rnd">
              <a:solidFill>
                <a:schemeClr val="accent1"/>
              </a:solidFill>
              <a:round/>
            </a:ln>
            <a:effectLst/>
          </c:spPr>
          <c:marker>
            <c:symbol val="none"/>
          </c:marker>
          <c:dLbls>
            <c:dLbl>
              <c:idx val="5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7D-4AB3-B7A5-DCE124163F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Hoja1!$A$2:$A$71</c:f>
              <c:numCache>
                <c:formatCode>mmm\-yy</c:formatCode>
                <c:ptCount val="58"/>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numCache>
            </c:numRef>
          </c:cat>
          <c:val>
            <c:numRef>
              <c:f>Hoja1!$B$2:$B$71</c:f>
              <c:numCache>
                <c:formatCode>0.0%</c:formatCode>
                <c:ptCount val="58"/>
                <c:pt idx="0">
                  <c:v>3.6227835139919229E-2</c:v>
                </c:pt>
                <c:pt idx="1">
                  <c:v>5.1241634586143947E-2</c:v>
                </c:pt>
                <c:pt idx="2">
                  <c:v>1.642247375346706E-2</c:v>
                </c:pt>
                <c:pt idx="3">
                  <c:v>4.0341949485398265E-2</c:v>
                </c:pt>
                <c:pt idx="4">
                  <c:v>3.4973595444827144E-2</c:v>
                </c:pt>
                <c:pt idx="5">
                  <c:v>5.1230435287412002E-2</c:v>
                </c:pt>
                <c:pt idx="6">
                  <c:v>5.3460040171030121E-2</c:v>
                </c:pt>
                <c:pt idx="7">
                  <c:v>5.9885336755803653E-2</c:v>
                </c:pt>
                <c:pt idx="8">
                  <c:v>6.7612594480682242E-2</c:v>
                </c:pt>
                <c:pt idx="9">
                  <c:v>6.6049362345258933E-2</c:v>
                </c:pt>
                <c:pt idx="10">
                  <c:v>6.7465767693603684E-2</c:v>
                </c:pt>
                <c:pt idx="11">
                  <c:v>7.0246871595944782E-2</c:v>
                </c:pt>
                <c:pt idx="12">
                  <c:v>7.9406593859834507E-2</c:v>
                </c:pt>
                <c:pt idx="13">
                  <c:v>8.2483274952353858E-2</c:v>
                </c:pt>
                <c:pt idx="14">
                  <c:v>5.6336506426175825E-2</c:v>
                </c:pt>
                <c:pt idx="15">
                  <c:v>4.9336454987198408E-2</c:v>
                </c:pt>
                <c:pt idx="16">
                  <c:v>4.6316398343146714E-2</c:v>
                </c:pt>
                <c:pt idx="17">
                  <c:v>4.6854463055232554E-2</c:v>
                </c:pt>
                <c:pt idx="18">
                  <c:v>4.7627374083739848E-2</c:v>
                </c:pt>
                <c:pt idx="19">
                  <c:v>4.0690599590714971E-2</c:v>
                </c:pt>
                <c:pt idx="20">
                  <c:v>3.4440878750669368E-2</c:v>
                </c:pt>
                <c:pt idx="21">
                  <c:v>3.2417424047064047E-2</c:v>
                </c:pt>
                <c:pt idx="22">
                  <c:v>3.088252091285959E-2</c:v>
                </c:pt>
                <c:pt idx="23">
                  <c:v>2.9413801404637674E-2</c:v>
                </c:pt>
                <c:pt idx="24">
                  <c:v>4.424943918444435E-2</c:v>
                </c:pt>
                <c:pt idx="25">
                  <c:v>2.643268365127982E-2</c:v>
                </c:pt>
                <c:pt idx="26">
                  <c:v>3.4638111190548049E-2</c:v>
                </c:pt>
                <c:pt idx="27">
                  <c:v>3.26622653918196E-2</c:v>
                </c:pt>
                <c:pt idx="28">
                  <c:v>9.0379431490401618E-2</c:v>
                </c:pt>
                <c:pt idx="29">
                  <c:v>9.2363743549651822E-2</c:v>
                </c:pt>
                <c:pt idx="30">
                  <c:v>0.10610924594334903</c:v>
                </c:pt>
                <c:pt idx="31">
                  <c:v>0.11655301784927863</c:v>
                </c:pt>
                <c:pt idx="32">
                  <c:v>0.11637814431515436</c:v>
                </c:pt>
                <c:pt idx="33">
                  <c:v>0.11486490493072066</c:v>
                </c:pt>
                <c:pt idx="34">
                  <c:v>0.11900714945640045</c:v>
                </c:pt>
                <c:pt idx="35">
                  <c:v>0.12819065443220334</c:v>
                </c:pt>
                <c:pt idx="36">
                  <c:v>5.9182082284754411E-2</c:v>
                </c:pt>
                <c:pt idx="37">
                  <c:v>7.4212646020694439E-2</c:v>
                </c:pt>
                <c:pt idx="38">
                  <c:v>0.10347575974463363</c:v>
                </c:pt>
                <c:pt idx="39">
                  <c:v>0.11723172144890004</c:v>
                </c:pt>
                <c:pt idx="40">
                  <c:v>5.9228800487155286E-2</c:v>
                </c:pt>
                <c:pt idx="41">
                  <c:v>8.9567767108291507E-2</c:v>
                </c:pt>
                <c:pt idx="42">
                  <c:v>6.5256294542686E-2</c:v>
                </c:pt>
                <c:pt idx="43">
                  <c:v>5.3387499574891306E-2</c:v>
                </c:pt>
                <c:pt idx="44">
                  <c:v>5.3652773553085176E-2</c:v>
                </c:pt>
                <c:pt idx="45">
                  <c:v>5.1085057617270557E-2</c:v>
                </c:pt>
                <c:pt idx="46">
                  <c:v>4.7429612878236771E-2</c:v>
                </c:pt>
                <c:pt idx="47">
                  <c:v>3.8832748141549356E-2</c:v>
                </c:pt>
                <c:pt idx="48">
                  <c:v>9.5032135826378816E-2</c:v>
                </c:pt>
                <c:pt idx="49">
                  <c:v>7.4196617854437763E-2</c:v>
                </c:pt>
                <c:pt idx="50">
                  <c:v>4.4339378131903029E-2</c:v>
                </c:pt>
                <c:pt idx="51">
                  <c:v>3.0622200027100366E-2</c:v>
                </c:pt>
                <c:pt idx="52">
                  <c:v>3.5678077735156632E-2</c:v>
                </c:pt>
                <c:pt idx="53">
                  <c:v>6.9864738473750521E-3</c:v>
                </c:pt>
                <c:pt idx="54">
                  <c:v>1.362309346531454E-2</c:v>
                </c:pt>
                <c:pt idx="55">
                  <c:v>1.3638611630615305E-2</c:v>
                </c:pt>
                <c:pt idx="56">
                  <c:v>1.1608527891051379E-2</c:v>
                </c:pt>
                <c:pt idx="57">
                  <c:v>1.2999999999999999E-2</c:v>
                </c:pt>
              </c:numCache>
            </c:numRef>
          </c:val>
          <c:smooth val="0"/>
          <c:extLst xmlns:c16r2="http://schemas.microsoft.com/office/drawing/2015/06/chart">
            <c:ext xmlns:c16="http://schemas.microsoft.com/office/drawing/2014/chart" uri="{C3380CC4-5D6E-409C-BE32-E72D297353CC}">
              <c16:uniqueId val="{00000001-2A7D-4AB3-B7A5-DCE124163F18}"/>
            </c:ext>
          </c:extLst>
        </c:ser>
        <c:ser>
          <c:idx val="1"/>
          <c:order val="1"/>
          <c:tx>
            <c:strRef>
              <c:f>Hoja1!$C$1</c:f>
              <c:strCache>
                <c:ptCount val="1"/>
                <c:pt idx="0">
                  <c:v>Aduanas</c:v>
                </c:pt>
              </c:strCache>
            </c:strRef>
          </c:tx>
          <c:spPr>
            <a:ln w="22225" cap="rnd">
              <a:solidFill>
                <a:schemeClr val="accent2"/>
              </a:solidFill>
              <a:round/>
            </a:ln>
            <a:effectLst/>
          </c:spPr>
          <c:marker>
            <c:symbol val="none"/>
          </c:marker>
          <c:dLbls>
            <c:dLbl>
              <c:idx val="57"/>
              <c:layout>
                <c:manualLayout>
                  <c:x val="0"/>
                  <c:y val="-3.895787679571463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7D-4AB3-B7A5-DCE124163F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Hoja1!$A$2:$A$71</c:f>
              <c:numCache>
                <c:formatCode>mmm\-yy</c:formatCode>
                <c:ptCount val="58"/>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numCache>
            </c:numRef>
          </c:cat>
          <c:val>
            <c:numRef>
              <c:f>Hoja1!$C$2:$C$71</c:f>
              <c:numCache>
                <c:formatCode>0.0%</c:formatCode>
                <c:ptCount val="58"/>
                <c:pt idx="0">
                  <c:v>5.8980031044905346E-2</c:v>
                </c:pt>
                <c:pt idx="1">
                  <c:v>1.4150917497397941E-2</c:v>
                </c:pt>
                <c:pt idx="2">
                  <c:v>3.2465138729146803E-2</c:v>
                </c:pt>
                <c:pt idx="3">
                  <c:v>1.3976274718128012E-2</c:v>
                </c:pt>
                <c:pt idx="4">
                  <c:v>2.9879664224966795E-2</c:v>
                </c:pt>
                <c:pt idx="5">
                  <c:v>3.1673970235546411E-2</c:v>
                </c:pt>
                <c:pt idx="6">
                  <c:v>4.2338959262591569E-2</c:v>
                </c:pt>
                <c:pt idx="7">
                  <c:v>4.1668973336703052E-2</c:v>
                </c:pt>
                <c:pt idx="8">
                  <c:v>4.1769301013734328E-2</c:v>
                </c:pt>
                <c:pt idx="9">
                  <c:v>3.2041226589561544E-2</c:v>
                </c:pt>
                <c:pt idx="10">
                  <c:v>2.8451717735493265E-2</c:v>
                </c:pt>
                <c:pt idx="11">
                  <c:v>3.6326450330135263E-2</c:v>
                </c:pt>
                <c:pt idx="12">
                  <c:v>-0.13487218569601356</c:v>
                </c:pt>
                <c:pt idx="13">
                  <c:v>-6.5575707003519224E-2</c:v>
                </c:pt>
                <c:pt idx="14">
                  <c:v>-1.9235137987445028E-2</c:v>
                </c:pt>
                <c:pt idx="15">
                  <c:v>-3.2007948589622637E-2</c:v>
                </c:pt>
                <c:pt idx="16">
                  <c:v>-4.3515623848928708E-2</c:v>
                </c:pt>
                <c:pt idx="17">
                  <c:v>-3.414750266893829E-2</c:v>
                </c:pt>
                <c:pt idx="18">
                  <c:v>-3.1627969618539975E-2</c:v>
                </c:pt>
                <c:pt idx="19">
                  <c:v>-2.9012193505297712E-2</c:v>
                </c:pt>
                <c:pt idx="20">
                  <c:v>-2.833967593062503E-2</c:v>
                </c:pt>
                <c:pt idx="21">
                  <c:v>-2.4389124158339381E-2</c:v>
                </c:pt>
                <c:pt idx="22">
                  <c:v>-2.1107684305315622E-2</c:v>
                </c:pt>
                <c:pt idx="23">
                  <c:v>-2.4191594480281631E-2</c:v>
                </c:pt>
                <c:pt idx="24">
                  <c:v>-3.074061674235995E-2</c:v>
                </c:pt>
                <c:pt idx="25">
                  <c:v>-8.2683265494918334E-3</c:v>
                </c:pt>
                <c:pt idx="26">
                  <c:v>-3.4892831345091135E-2</c:v>
                </c:pt>
                <c:pt idx="27">
                  <c:v>-7.8077923586968856E-3</c:v>
                </c:pt>
                <c:pt idx="28">
                  <c:v>-7.3763902362521394E-3</c:v>
                </c:pt>
                <c:pt idx="29">
                  <c:v>7.8420292078540399E-4</c:v>
                </c:pt>
                <c:pt idx="30">
                  <c:v>-2.6337873050912619E-2</c:v>
                </c:pt>
                <c:pt idx="31">
                  <c:v>-1.2524519959355107E-2</c:v>
                </c:pt>
                <c:pt idx="32">
                  <c:v>-1.1445146411512397E-2</c:v>
                </c:pt>
                <c:pt idx="33">
                  <c:v>-1.8433826052644431E-2</c:v>
                </c:pt>
                <c:pt idx="34">
                  <c:v>-1.051112797892062E-2</c:v>
                </c:pt>
                <c:pt idx="35">
                  <c:v>-7.2746433534310873E-3</c:v>
                </c:pt>
                <c:pt idx="36">
                  <c:v>0.10614681311325014</c:v>
                </c:pt>
                <c:pt idx="37">
                  <c:v>7.2752015905392486E-2</c:v>
                </c:pt>
                <c:pt idx="38">
                  <c:v>9.3348002892399196E-2</c:v>
                </c:pt>
                <c:pt idx="39">
                  <c:v>3.0864910932986156E-2</c:v>
                </c:pt>
                <c:pt idx="40">
                  <c:v>3.4568977151425928E-2</c:v>
                </c:pt>
                <c:pt idx="41">
                  <c:v>3.9623468418318541E-2</c:v>
                </c:pt>
                <c:pt idx="42">
                  <c:v>4.9776252684956557E-2</c:v>
                </c:pt>
                <c:pt idx="43">
                  <c:v>4.8512568678109158E-2</c:v>
                </c:pt>
                <c:pt idx="44">
                  <c:v>3.9267322923518311E-2</c:v>
                </c:pt>
                <c:pt idx="45">
                  <c:v>5.3547664989434196E-2</c:v>
                </c:pt>
                <c:pt idx="46">
                  <c:v>6.4620526664914912E-2</c:v>
                </c:pt>
                <c:pt idx="47">
                  <c:v>7.1192261205467844E-2</c:v>
                </c:pt>
                <c:pt idx="48">
                  <c:v>8.3856014173852023E-2</c:v>
                </c:pt>
                <c:pt idx="49">
                  <c:v>7.2340311732032259E-2</c:v>
                </c:pt>
                <c:pt idx="50">
                  <c:v>2.8078972297937987E-2</c:v>
                </c:pt>
                <c:pt idx="51">
                  <c:v>8.8263205068506378E-2</c:v>
                </c:pt>
                <c:pt idx="52">
                  <c:v>9.9942194018473263E-2</c:v>
                </c:pt>
                <c:pt idx="53">
                  <c:v>9.0778243708949491E-2</c:v>
                </c:pt>
                <c:pt idx="54">
                  <c:v>9.6117993092632581E-2</c:v>
                </c:pt>
                <c:pt idx="55">
                  <c:v>9.362038133141648E-2</c:v>
                </c:pt>
                <c:pt idx="56">
                  <c:v>9.9634642430840969E-2</c:v>
                </c:pt>
                <c:pt idx="57">
                  <c:v>0.1064621203958187</c:v>
                </c:pt>
              </c:numCache>
            </c:numRef>
          </c:val>
          <c:smooth val="0"/>
          <c:extLst xmlns:c16r2="http://schemas.microsoft.com/office/drawing/2015/06/chart">
            <c:ext xmlns:c16="http://schemas.microsoft.com/office/drawing/2014/chart" uri="{C3380CC4-5D6E-409C-BE32-E72D297353CC}">
              <c16:uniqueId val="{00000003-2A7D-4AB3-B7A5-DCE124163F18}"/>
            </c:ext>
          </c:extLst>
        </c:ser>
        <c:ser>
          <c:idx val="2"/>
          <c:order val="2"/>
          <c:tx>
            <c:strRef>
              <c:f>Hoja1!$D$1</c:f>
              <c:strCache>
                <c:ptCount val="1"/>
                <c:pt idx="0">
                  <c:v>Totales</c:v>
                </c:pt>
              </c:strCache>
            </c:strRef>
          </c:tx>
          <c:spPr>
            <a:ln w="22225" cap="rnd">
              <a:solidFill>
                <a:schemeClr val="accent3"/>
              </a:solidFill>
              <a:round/>
            </a:ln>
            <a:effectLst/>
          </c:spPr>
          <c:marker>
            <c:symbol val="none"/>
          </c:marker>
          <c:dLbls>
            <c:dLbl>
              <c:idx val="57"/>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7D-4AB3-B7A5-DCE124163F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Hoja1!$A$2:$A$71</c:f>
              <c:numCache>
                <c:formatCode>mmm\-yy</c:formatCode>
                <c:ptCount val="58"/>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numCache>
            </c:numRef>
          </c:cat>
          <c:val>
            <c:numRef>
              <c:f>Hoja1!$D$2:$D$71</c:f>
              <c:numCache>
                <c:formatCode>0.0%</c:formatCode>
                <c:ptCount val="58"/>
                <c:pt idx="0">
                  <c:v>4.2369406466282733E-2</c:v>
                </c:pt>
                <c:pt idx="1">
                  <c:v>3.980456414257838E-2</c:v>
                </c:pt>
                <c:pt idx="2">
                  <c:v>2.112484411125104E-2</c:v>
                </c:pt>
                <c:pt idx="3">
                  <c:v>3.2794186052429231E-2</c:v>
                </c:pt>
                <c:pt idx="4">
                  <c:v>3.3451678851219357E-2</c:v>
                </c:pt>
                <c:pt idx="5">
                  <c:v>4.5206002489583064E-2</c:v>
                </c:pt>
                <c:pt idx="6">
                  <c:v>5.0169621191741287E-2</c:v>
                </c:pt>
                <c:pt idx="7">
                  <c:v>5.4375649966212691E-2</c:v>
                </c:pt>
                <c:pt idx="8">
                  <c:v>5.9583648447879778E-2</c:v>
                </c:pt>
                <c:pt idx="9">
                  <c:v>5.5677711441468603E-2</c:v>
                </c:pt>
                <c:pt idx="10">
                  <c:v>5.5316810802318761E-2</c:v>
                </c:pt>
                <c:pt idx="11">
                  <c:v>5.957891018154915E-2</c:v>
                </c:pt>
                <c:pt idx="12">
                  <c:v>2.0643932053213909E-2</c:v>
                </c:pt>
                <c:pt idx="13">
                  <c:v>3.7955069418535103E-2</c:v>
                </c:pt>
                <c:pt idx="14">
                  <c:v>3.3939202503295629E-2</c:v>
                </c:pt>
                <c:pt idx="15">
                  <c:v>2.647409402438905E-2</c:v>
                </c:pt>
                <c:pt idx="16">
                  <c:v>1.9570003024222293E-2</c:v>
                </c:pt>
                <c:pt idx="17">
                  <c:v>2.2224602995835729E-2</c:v>
                </c:pt>
                <c:pt idx="18">
                  <c:v>2.435277148330095E-2</c:v>
                </c:pt>
                <c:pt idx="19">
                  <c:v>1.9862493963713757E-2</c:v>
                </c:pt>
                <c:pt idx="20">
                  <c:v>1.5264255512445812E-2</c:v>
                </c:pt>
                <c:pt idx="21">
                  <c:v>1.5480709832647044E-2</c:v>
                </c:pt>
                <c:pt idx="22">
                  <c:v>1.5104935551195631E-2</c:v>
                </c:pt>
                <c:pt idx="23">
                  <c:v>1.2924890020286073E-2</c:v>
                </c:pt>
                <c:pt idx="24">
                  <c:v>2.6818050354776579E-2</c:v>
                </c:pt>
                <c:pt idx="25">
                  <c:v>1.7037438450319575E-2</c:v>
                </c:pt>
                <c:pt idx="26">
                  <c:v>1.5090896491614769E-2</c:v>
                </c:pt>
                <c:pt idx="27">
                  <c:v>2.193593869869237E-2</c:v>
                </c:pt>
                <c:pt idx="28">
                  <c:v>6.3074722971557362E-2</c:v>
                </c:pt>
                <c:pt idx="29">
                  <c:v>6.605323003950736E-2</c:v>
                </c:pt>
                <c:pt idx="30">
                  <c:v>6.9339644115689492E-2</c:v>
                </c:pt>
                <c:pt idx="31">
                  <c:v>7.9831348295670734E-2</c:v>
                </c:pt>
                <c:pt idx="32">
                  <c:v>7.9010789607875553E-2</c:v>
                </c:pt>
                <c:pt idx="33">
                  <c:v>7.668263629211669E-2</c:v>
                </c:pt>
                <c:pt idx="34">
                  <c:v>8.1104109219026999E-2</c:v>
                </c:pt>
                <c:pt idx="35">
                  <c:v>8.8048669447153838E-2</c:v>
                </c:pt>
                <c:pt idx="36">
                  <c:v>6.9487050821729124E-2</c:v>
                </c:pt>
                <c:pt idx="37">
                  <c:v>7.3827022517823249E-2</c:v>
                </c:pt>
                <c:pt idx="38">
                  <c:v>0.10076874487525411</c:v>
                </c:pt>
                <c:pt idx="39">
                  <c:v>9.5007005592681271E-2</c:v>
                </c:pt>
                <c:pt idx="40">
                  <c:v>5.279739808014261E-2</c:v>
                </c:pt>
                <c:pt idx="41">
                  <c:v>7.6097434045871548E-2</c:v>
                </c:pt>
                <c:pt idx="42">
                  <c:v>6.1343282800082166E-2</c:v>
                </c:pt>
                <c:pt idx="43">
                  <c:v>5.2119232848030217E-2</c:v>
                </c:pt>
                <c:pt idx="44">
                  <c:v>4.9799934948974389E-2</c:v>
                </c:pt>
                <c:pt idx="45">
                  <c:v>5.1728134301197937E-2</c:v>
                </c:pt>
                <c:pt idx="46">
                  <c:v>5.2034143286658452E-2</c:v>
                </c:pt>
                <c:pt idx="47">
                  <c:v>4.7581650280832166E-2</c:v>
                </c:pt>
                <c:pt idx="48">
                  <c:v>9.2495820798939921E-2</c:v>
                </c:pt>
                <c:pt idx="49">
                  <c:v>7.3707021864171107E-2</c:v>
                </c:pt>
                <c:pt idx="50">
                  <c:v>4.0022487141605279E-2</c:v>
                </c:pt>
                <c:pt idx="51">
                  <c:v>4.458606818555455E-2</c:v>
                </c:pt>
                <c:pt idx="52">
                  <c:v>5.2148279185268542E-2</c:v>
                </c:pt>
                <c:pt idx="53">
                  <c:v>2.8819717301872494E-2</c:v>
                </c:pt>
                <c:pt idx="54">
                  <c:v>3.424871229724169E-2</c:v>
                </c:pt>
                <c:pt idx="55">
                  <c:v>3.437541575207903E-2</c:v>
                </c:pt>
                <c:pt idx="56">
                  <c:v>3.4947923698195549E-2</c:v>
                </c:pt>
                <c:pt idx="57">
                  <c:v>3.9169677404512937E-2</c:v>
                </c:pt>
              </c:numCache>
            </c:numRef>
          </c:val>
          <c:smooth val="0"/>
          <c:extLst xmlns:c16r2="http://schemas.microsoft.com/office/drawing/2015/06/chart">
            <c:ext xmlns:c16="http://schemas.microsoft.com/office/drawing/2014/chart" uri="{C3380CC4-5D6E-409C-BE32-E72D297353CC}">
              <c16:uniqueId val="{00000005-2A7D-4AB3-B7A5-DCE124163F18}"/>
            </c:ext>
          </c:extLst>
        </c:ser>
        <c:dLbls>
          <c:showLegendKey val="0"/>
          <c:showVal val="0"/>
          <c:showCatName val="0"/>
          <c:showSerName val="0"/>
          <c:showPercent val="0"/>
          <c:showBubbleSize val="0"/>
        </c:dLbls>
        <c:marker val="1"/>
        <c:smooth val="0"/>
        <c:axId val="100816000"/>
        <c:axId val="100817536"/>
      </c:lineChart>
      <c:dateAx>
        <c:axId val="100816000"/>
        <c:scaling>
          <c:orientation val="minMax"/>
          <c:max val="43405"/>
        </c:scaling>
        <c:delete val="0"/>
        <c:axPos val="b"/>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00817536"/>
        <c:crosses val="autoZero"/>
        <c:auto val="1"/>
        <c:lblOffset val="100"/>
        <c:baseTimeUnit val="months"/>
        <c:majorUnit val="3"/>
        <c:majorTimeUnit val="months"/>
      </c:dateAx>
      <c:valAx>
        <c:axId val="1008175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s-ES"/>
          </a:p>
        </c:txPr>
        <c:crossAx val="1008160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5.4676266939627634E-2"/>
          <c:y val="0.91782265346853553"/>
          <c:w val="0.89999981589862643"/>
          <c:h val="8.2177346531464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827E-A5EB-42AE-9668-AC67138C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11380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René Augusto Castro González</cp:lastModifiedBy>
  <cp:revision>2</cp:revision>
  <dcterms:created xsi:type="dcterms:W3CDTF">2018-11-27T20:36:00Z</dcterms:created>
  <dcterms:modified xsi:type="dcterms:W3CDTF">2018-11-27T20:36:00Z</dcterms:modified>
</cp:coreProperties>
</file>