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51" w:rsidRPr="00DF22C3" w:rsidRDefault="00CE75B5"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DF22C3" w:rsidSect="00754057">
          <w:headerReference w:type="default" r:id="rId8"/>
          <w:footerReference w:type="default" r:id="rId9"/>
          <w:pgSz w:w="12240" w:h="15840" w:code="1"/>
          <w:pgMar w:top="1418" w:right="1418" w:bottom="1418" w:left="1418" w:header="709" w:footer="709" w:gutter="0"/>
          <w:cols w:space="708"/>
          <w:docGrid w:linePitch="360"/>
        </w:sectPr>
      </w:pPr>
      <w:r w:rsidRPr="00DF22C3">
        <w:rPr>
          <w:rFonts w:ascii="Times New Roman" w:hAnsi="Times New Roman" w:cs="Times New Roman"/>
          <w:b/>
          <w:lang w:val="es-MX"/>
        </w:rPr>
        <w:t xml:space="preserve">Se mantiene superávit </w:t>
      </w:r>
      <w:r w:rsidR="00157402" w:rsidRPr="00DF22C3">
        <w:rPr>
          <w:rFonts w:ascii="Times New Roman" w:hAnsi="Times New Roman" w:cs="Times New Roman"/>
          <w:b/>
          <w:lang w:val="es-MX"/>
        </w:rPr>
        <w:t>fiscal</w:t>
      </w:r>
    </w:p>
    <w:p w:rsidR="007D4651" w:rsidRPr="00D41BA1" w:rsidRDefault="007D4651" w:rsidP="007D4651">
      <w:pPr>
        <w:pStyle w:val="Sinespaciado"/>
        <w:rPr>
          <w:rFonts w:ascii="Times New Roman" w:hAnsi="Times New Roman" w:cs="Times New Roman"/>
          <w:b/>
          <w:color w:val="FF0000"/>
          <w:sz w:val="6"/>
          <w:lang w:val="es-MX"/>
        </w:rPr>
      </w:pPr>
    </w:p>
    <w:p w:rsidR="007D4651" w:rsidRPr="00D41BA1" w:rsidRDefault="007D4651" w:rsidP="007D4651">
      <w:pPr>
        <w:pStyle w:val="Sinespaciado"/>
        <w:jc w:val="center"/>
        <w:rPr>
          <w:rFonts w:ascii="Times New Roman" w:hAnsi="Times New Roman" w:cs="Times New Roman"/>
          <w:b/>
          <w:color w:val="FF0000"/>
          <w:sz w:val="16"/>
          <w:lang w:val="es-MX"/>
        </w:rPr>
      </w:pPr>
    </w:p>
    <w:p w:rsidR="009C4027" w:rsidRPr="00D41BA1" w:rsidRDefault="009C4027" w:rsidP="007D4651">
      <w:pPr>
        <w:pStyle w:val="Sinespaciado"/>
        <w:jc w:val="center"/>
        <w:rPr>
          <w:rFonts w:ascii="Times New Roman" w:hAnsi="Times New Roman" w:cs="Times New Roman"/>
          <w:b/>
          <w:color w:val="FF0000"/>
          <w:lang w:val="es-MX"/>
        </w:rPr>
        <w:sectPr w:rsidR="009C4027" w:rsidRPr="00D41BA1" w:rsidSect="004E358C">
          <w:type w:val="continuous"/>
          <w:pgSz w:w="12240" w:h="15840"/>
          <w:pgMar w:top="1417" w:right="1701" w:bottom="1417" w:left="1701" w:header="708" w:footer="708" w:gutter="0"/>
          <w:cols w:space="708"/>
          <w:docGrid w:linePitch="360"/>
        </w:sectPr>
      </w:pPr>
    </w:p>
    <w:p w:rsidR="007D4651" w:rsidRPr="00D41BA1" w:rsidRDefault="00873EBB" w:rsidP="007D4651">
      <w:pPr>
        <w:pStyle w:val="Sinespaciado"/>
        <w:jc w:val="both"/>
        <w:rPr>
          <w:rFonts w:ascii="Times New Roman" w:hAnsi="Times New Roman" w:cs="Times New Roman"/>
          <w:color w:val="FF0000"/>
          <w:lang w:val="es-MX"/>
        </w:rPr>
      </w:pPr>
      <w:r>
        <w:rPr>
          <w:rFonts w:ascii="Times New Roman" w:hAnsi="Times New Roman" w:cs="Times New Roman"/>
          <w:lang w:val="es-MX"/>
        </w:rPr>
        <w:lastRenderedPageBreak/>
        <w:t>E</w:t>
      </w:r>
      <w:r w:rsidRPr="00F92177">
        <w:rPr>
          <w:rFonts w:ascii="Times New Roman" w:hAnsi="Times New Roman" w:cs="Times New Roman"/>
          <w:lang w:val="es-MX"/>
        </w:rPr>
        <w:t>l resultado pr</w:t>
      </w:r>
      <w:r>
        <w:rPr>
          <w:rFonts w:ascii="Times New Roman" w:hAnsi="Times New Roman" w:cs="Times New Roman"/>
          <w:lang w:val="es-MX"/>
        </w:rPr>
        <w:t>esupuestario del gobierno muestra, como en años anteriores,</w:t>
      </w:r>
      <w:r w:rsidRPr="00F92177">
        <w:rPr>
          <w:rFonts w:ascii="Times New Roman" w:hAnsi="Times New Roman" w:cs="Times New Roman"/>
          <w:lang w:val="es-MX"/>
        </w:rPr>
        <w:t xml:space="preserve"> un </w:t>
      </w:r>
      <w:r>
        <w:rPr>
          <w:rFonts w:ascii="Times New Roman" w:hAnsi="Times New Roman" w:cs="Times New Roman"/>
          <w:lang w:val="es-MX"/>
        </w:rPr>
        <w:t>superávit</w:t>
      </w:r>
      <w:r w:rsidRPr="00F92177">
        <w:rPr>
          <w:rFonts w:ascii="Times New Roman" w:hAnsi="Times New Roman" w:cs="Times New Roman"/>
          <w:lang w:val="es-MX"/>
        </w:rPr>
        <w:t xml:space="preserve"> fiscal</w:t>
      </w:r>
      <w:r>
        <w:rPr>
          <w:rFonts w:ascii="Times New Roman" w:hAnsi="Times New Roman" w:cs="Times New Roman"/>
          <w:lang w:val="es-MX"/>
        </w:rPr>
        <w:t xml:space="preserve"> que se sitúa al 31 de marzo de 2018 en</w:t>
      </w:r>
      <w:r w:rsidRPr="00F92177">
        <w:rPr>
          <w:rFonts w:ascii="Times New Roman" w:hAnsi="Times New Roman" w:cs="Times New Roman"/>
          <w:lang w:val="es-MX"/>
        </w:rPr>
        <w:t xml:space="preserve"> Q</w:t>
      </w:r>
      <w:r>
        <w:rPr>
          <w:rFonts w:ascii="Times New Roman" w:hAnsi="Times New Roman" w:cs="Times New Roman"/>
          <w:lang w:val="es-MX"/>
        </w:rPr>
        <w:t>1,206.8</w:t>
      </w:r>
      <w:r w:rsidRPr="00F92177">
        <w:rPr>
          <w:rFonts w:ascii="Times New Roman" w:hAnsi="Times New Roman" w:cs="Times New Roman"/>
          <w:lang w:val="es-MX"/>
        </w:rPr>
        <w:t xml:space="preserve"> millones</w:t>
      </w:r>
      <w:r>
        <w:rPr>
          <w:rFonts w:ascii="Times New Roman" w:hAnsi="Times New Roman" w:cs="Times New Roman"/>
          <w:lang w:val="es-MX"/>
        </w:rPr>
        <w:t xml:space="preserve">. </w:t>
      </w:r>
      <w:r w:rsidRPr="00F92177">
        <w:rPr>
          <w:rFonts w:ascii="Times New Roman" w:hAnsi="Times New Roman" w:cs="Times New Roman"/>
          <w:lang w:val="es-MX"/>
        </w:rPr>
        <w:t xml:space="preserve"> </w:t>
      </w:r>
      <w:r>
        <w:rPr>
          <w:rFonts w:ascii="Times New Roman" w:hAnsi="Times New Roman" w:cs="Times New Roman"/>
          <w:lang w:val="es-MX"/>
        </w:rPr>
        <w:t xml:space="preserve">Este superávit está determinado por el incremento en la recaudación tributaria que, si bien perdió el dinamismo de los meses anteriores, crece por </w:t>
      </w:r>
      <w:r>
        <w:rPr>
          <w:rFonts w:ascii="Times New Roman" w:hAnsi="Times New Roman" w:cs="Times New Roman"/>
          <w:lang w:val="es-MX"/>
        </w:rPr>
        <w:lastRenderedPageBreak/>
        <w:t xml:space="preserve">encima del gasto público, el cual a su vez sigue mostrando un comportamiento bastante moderado, pero con expectativas que la ejecución aumente en los próximos meses a pesar que no fue aprobado el presupuesto para este año, lo que introduce limitantes en la ejecución. </w:t>
      </w:r>
    </w:p>
    <w:p w:rsidR="007D4651" w:rsidRPr="00D41BA1" w:rsidRDefault="007D4651" w:rsidP="007D4651">
      <w:pPr>
        <w:pStyle w:val="Sinespaciado"/>
        <w:jc w:val="center"/>
        <w:rPr>
          <w:rFonts w:ascii="Times New Roman" w:hAnsi="Times New Roman" w:cs="Times New Roman"/>
          <w:b/>
          <w:color w:val="FF0000"/>
          <w:lang w:val="es-MX"/>
        </w:rPr>
        <w:sectPr w:rsidR="007D4651" w:rsidRPr="00D41BA1" w:rsidSect="004E358C">
          <w:type w:val="continuous"/>
          <w:pgSz w:w="12240" w:h="15840"/>
          <w:pgMar w:top="1417" w:right="1701" w:bottom="1417" w:left="1701" w:header="708" w:footer="708" w:gutter="0"/>
          <w:cols w:num="2" w:space="708"/>
          <w:docGrid w:linePitch="360"/>
        </w:sectPr>
      </w:pPr>
    </w:p>
    <w:p w:rsidR="007D4651" w:rsidRPr="00D41BA1" w:rsidRDefault="007D4651" w:rsidP="00B9286A">
      <w:pPr>
        <w:pStyle w:val="Sinespaciado"/>
        <w:rPr>
          <w:rFonts w:ascii="Times New Roman" w:hAnsi="Times New Roman" w:cs="Times New Roman"/>
          <w:b/>
          <w:color w:val="FF0000"/>
          <w:sz w:val="4"/>
          <w:lang w:val="es-MX"/>
        </w:rPr>
      </w:pPr>
    </w:p>
    <w:p w:rsidR="009C4027" w:rsidRPr="00D41BA1" w:rsidRDefault="009C4027" w:rsidP="007D4651">
      <w:pPr>
        <w:pStyle w:val="Sinespaciado"/>
        <w:jc w:val="center"/>
        <w:rPr>
          <w:rFonts w:ascii="Times New Roman" w:hAnsi="Times New Roman" w:cs="Times New Roman"/>
          <w:b/>
          <w:color w:val="FF0000"/>
          <w:sz w:val="14"/>
          <w:lang w:val="es-MX"/>
        </w:rPr>
      </w:pPr>
    </w:p>
    <w:p w:rsidR="009C4027" w:rsidRDefault="009C4027" w:rsidP="007D4651">
      <w:pPr>
        <w:pStyle w:val="Sinespaciado"/>
        <w:jc w:val="center"/>
        <w:rPr>
          <w:rFonts w:ascii="Times New Roman" w:hAnsi="Times New Roman" w:cs="Times New Roman"/>
          <w:b/>
          <w:color w:val="FF0000"/>
          <w:lang w:val="es-MX"/>
        </w:rPr>
      </w:pPr>
    </w:p>
    <w:p w:rsidR="005F4EEF" w:rsidRPr="00D41BA1" w:rsidRDefault="005F4EEF" w:rsidP="007D4651">
      <w:pPr>
        <w:pStyle w:val="Sinespaciado"/>
        <w:jc w:val="center"/>
        <w:rPr>
          <w:rFonts w:ascii="Times New Roman" w:hAnsi="Times New Roman" w:cs="Times New Roman"/>
          <w:b/>
          <w:color w:val="FF0000"/>
          <w:lang w:val="es-MX"/>
        </w:rPr>
        <w:sectPr w:rsidR="005F4EEF" w:rsidRPr="00D41BA1" w:rsidSect="007D4651">
          <w:type w:val="continuous"/>
          <w:pgSz w:w="12240" w:h="15840" w:code="1"/>
          <w:pgMar w:top="1418" w:right="1418" w:bottom="1418" w:left="1418" w:header="709" w:footer="709" w:gutter="0"/>
          <w:cols w:num="2" w:space="708"/>
          <w:docGrid w:linePitch="360"/>
        </w:sectPr>
      </w:pPr>
    </w:p>
    <w:p w:rsidR="006F5EA0" w:rsidRPr="00873EBB" w:rsidRDefault="00950874" w:rsidP="006F5EA0">
      <w:pPr>
        <w:pStyle w:val="Sinespaciado"/>
        <w:jc w:val="center"/>
        <w:rPr>
          <w:rFonts w:ascii="Times New Roman" w:hAnsi="Times New Roman" w:cs="Times New Roman"/>
          <w:b/>
          <w:sz w:val="24"/>
          <w:lang w:val="es-MX"/>
        </w:rPr>
      </w:pPr>
      <w:r w:rsidRPr="00873EBB">
        <w:rPr>
          <w:rFonts w:ascii="Times New Roman" w:hAnsi="Times New Roman" w:cs="Times New Roman"/>
          <w:b/>
          <w:sz w:val="24"/>
          <w:lang w:val="es-MX"/>
        </w:rPr>
        <w:lastRenderedPageBreak/>
        <w:t>Resultado Presupuestario</w:t>
      </w:r>
    </w:p>
    <w:p w:rsidR="00950874" w:rsidRPr="00873EBB" w:rsidRDefault="006F5EA0" w:rsidP="006F5EA0">
      <w:pPr>
        <w:pStyle w:val="Sinespaciado"/>
        <w:jc w:val="center"/>
        <w:rPr>
          <w:rFonts w:ascii="Times New Roman" w:hAnsi="Times New Roman" w:cs="Times New Roman"/>
          <w:sz w:val="18"/>
          <w:lang w:val="es-MX"/>
        </w:rPr>
      </w:pPr>
      <w:r w:rsidRPr="00873EBB">
        <w:rPr>
          <w:rFonts w:ascii="Times New Roman" w:hAnsi="Times New Roman" w:cs="Times New Roman"/>
          <w:sz w:val="20"/>
          <w:lang w:val="es-MX"/>
        </w:rPr>
        <w:t xml:space="preserve">       </w:t>
      </w:r>
      <w:r w:rsidR="00CE75B5" w:rsidRPr="00873EBB">
        <w:rPr>
          <w:rFonts w:ascii="Times New Roman" w:hAnsi="Times New Roman" w:cs="Times New Roman"/>
          <w:sz w:val="20"/>
          <w:lang w:val="es-MX"/>
        </w:rPr>
        <w:t>Al 31</w:t>
      </w:r>
      <w:r w:rsidRPr="00873EBB">
        <w:rPr>
          <w:rFonts w:ascii="Times New Roman" w:hAnsi="Times New Roman" w:cs="Times New Roman"/>
          <w:sz w:val="20"/>
          <w:lang w:val="es-MX"/>
        </w:rPr>
        <w:t xml:space="preserve"> de </w:t>
      </w:r>
      <w:r w:rsidR="00CE75B5" w:rsidRPr="00873EBB">
        <w:rPr>
          <w:rFonts w:ascii="Times New Roman" w:hAnsi="Times New Roman" w:cs="Times New Roman"/>
          <w:sz w:val="20"/>
          <w:lang w:val="es-MX"/>
        </w:rPr>
        <w:t>marz</w:t>
      </w:r>
      <w:r w:rsidRPr="00873EBB">
        <w:rPr>
          <w:rFonts w:ascii="Times New Roman" w:hAnsi="Times New Roman" w:cs="Times New Roman"/>
          <w:sz w:val="20"/>
          <w:lang w:val="es-MX"/>
        </w:rPr>
        <w:t>o de cada año</w:t>
      </w:r>
      <w:r w:rsidR="00F27024" w:rsidRPr="00873EBB">
        <w:rPr>
          <w:rFonts w:ascii="Times New Roman" w:hAnsi="Times New Roman" w:cs="Times New Roman"/>
          <w:b/>
          <w:lang w:val="es-MX"/>
        </w:rPr>
        <w:tab/>
      </w:r>
    </w:p>
    <w:p w:rsidR="00AF68D3" w:rsidRPr="00873EBB" w:rsidRDefault="00950874" w:rsidP="00443336">
      <w:pPr>
        <w:pStyle w:val="Sinespaciado"/>
        <w:jc w:val="center"/>
        <w:rPr>
          <w:rFonts w:ascii="Times New Roman" w:hAnsi="Times New Roman" w:cs="Times New Roman"/>
          <w:sz w:val="18"/>
          <w:lang w:val="es-MX"/>
        </w:rPr>
      </w:pPr>
      <w:r w:rsidRPr="00873EBB">
        <w:rPr>
          <w:rFonts w:ascii="Times New Roman" w:hAnsi="Times New Roman" w:cs="Times New Roman"/>
          <w:sz w:val="18"/>
          <w:lang w:val="es-MX"/>
        </w:rPr>
        <w:t>Millones de quetzales</w:t>
      </w:r>
    </w:p>
    <w:p w:rsidR="007D4651" w:rsidRPr="00D41BA1" w:rsidRDefault="00873EBB" w:rsidP="007D4651">
      <w:pPr>
        <w:pStyle w:val="Sinespaciado"/>
        <w:jc w:val="center"/>
        <w:rPr>
          <w:rFonts w:ascii="Times New Roman" w:hAnsi="Times New Roman" w:cs="Times New Roman"/>
          <w:color w:val="FF0000"/>
          <w:lang w:val="es-MX"/>
        </w:rPr>
      </w:pPr>
      <w:r>
        <w:rPr>
          <w:rFonts w:ascii="Times New Roman" w:hAnsi="Times New Roman" w:cs="Times New Roman"/>
          <w:noProof/>
          <w:lang w:eastAsia="es-GT"/>
        </w:rPr>
        <w:drawing>
          <wp:inline distT="0" distB="0" distL="0" distR="0" wp14:anchorId="09FB1E05" wp14:editId="01BB5EB1">
            <wp:extent cx="5859583" cy="2829464"/>
            <wp:effectExtent l="0" t="0" r="825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494" cy="2868051"/>
                    </a:xfrm>
                    <a:prstGeom prst="rect">
                      <a:avLst/>
                    </a:prstGeom>
                    <a:noFill/>
                  </pic:spPr>
                </pic:pic>
              </a:graphicData>
            </a:graphic>
          </wp:inline>
        </w:drawing>
      </w:r>
    </w:p>
    <w:p w:rsidR="009C4027" w:rsidRPr="00873EBB" w:rsidRDefault="00AF68D3" w:rsidP="00B917E5">
      <w:pPr>
        <w:pStyle w:val="Sinespaciado"/>
        <w:jc w:val="both"/>
        <w:rPr>
          <w:rFonts w:ascii="Times New Roman" w:hAnsi="Times New Roman" w:cs="Times New Roman"/>
          <w:sz w:val="16"/>
        </w:rPr>
      </w:pPr>
      <w:r w:rsidRPr="00873EBB">
        <w:rPr>
          <w:rFonts w:ascii="Times New Roman" w:hAnsi="Times New Roman" w:cs="Times New Roman"/>
          <w:sz w:val="16"/>
        </w:rPr>
        <w:t xml:space="preserve">                      </w:t>
      </w:r>
      <w:r w:rsidR="007D4651" w:rsidRPr="00873EBB">
        <w:rPr>
          <w:rFonts w:ascii="Times New Roman" w:hAnsi="Times New Roman" w:cs="Times New Roman"/>
          <w:sz w:val="16"/>
        </w:rPr>
        <w:t>Fuente: Dirección de Análisis y Política fiscal</w:t>
      </w:r>
    </w:p>
    <w:p w:rsidR="009C4027" w:rsidRPr="00D41BA1" w:rsidRDefault="009C4027" w:rsidP="007D4651">
      <w:pPr>
        <w:spacing w:after="0" w:line="240" w:lineRule="auto"/>
        <w:rPr>
          <w:rFonts w:ascii="Times New Roman" w:hAnsi="Times New Roman" w:cs="Times New Roman"/>
          <w:color w:val="FF0000"/>
          <w:lang w:val="es-MX"/>
        </w:rPr>
      </w:pPr>
    </w:p>
    <w:p w:rsidR="00591D14" w:rsidRPr="00D41BA1" w:rsidRDefault="00591D14" w:rsidP="007D4651">
      <w:pPr>
        <w:spacing w:after="0" w:line="240" w:lineRule="auto"/>
        <w:rPr>
          <w:rFonts w:ascii="Times New Roman" w:hAnsi="Times New Roman" w:cs="Times New Roman"/>
          <w:color w:val="FF0000"/>
          <w:lang w:val="es-MX"/>
        </w:rPr>
        <w:sectPr w:rsidR="00591D14" w:rsidRPr="00D41BA1" w:rsidSect="007D4651">
          <w:type w:val="continuous"/>
          <w:pgSz w:w="12240" w:h="15840" w:code="1"/>
          <w:pgMar w:top="1418" w:right="1418" w:bottom="1418" w:left="1418" w:header="709" w:footer="709" w:gutter="0"/>
          <w:cols w:space="708"/>
          <w:docGrid w:linePitch="360"/>
        </w:sectPr>
      </w:pPr>
    </w:p>
    <w:p w:rsidR="00E16925" w:rsidRPr="003251FB" w:rsidRDefault="00E27247" w:rsidP="00270CAB">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E16925" w:rsidRPr="003251FB" w:rsidSect="00E16925">
          <w:headerReference w:type="default" r:id="rId11"/>
          <w:footerReference w:type="default" r:id="rId12"/>
          <w:type w:val="continuous"/>
          <w:pgSz w:w="12240" w:h="15840" w:code="1"/>
          <w:pgMar w:top="1418" w:right="1418" w:bottom="1418" w:left="1418" w:header="709" w:footer="709" w:gutter="0"/>
          <w:cols w:space="708"/>
          <w:docGrid w:linePitch="360"/>
        </w:sectPr>
      </w:pPr>
      <w:r w:rsidRPr="003251FB">
        <w:rPr>
          <w:rFonts w:ascii="Times New Roman" w:hAnsi="Times New Roman" w:cs="Times New Roman"/>
          <w:b/>
          <w:lang w:val="es-MX"/>
        </w:rPr>
        <w:lastRenderedPageBreak/>
        <w:t>La meta</w:t>
      </w:r>
      <w:r w:rsidR="00663EB3" w:rsidRPr="003251FB">
        <w:rPr>
          <w:rFonts w:ascii="Times New Roman" w:hAnsi="Times New Roman" w:cs="Times New Roman"/>
          <w:b/>
          <w:lang w:val="es-MX"/>
        </w:rPr>
        <w:t xml:space="preserve"> de recaudación</w:t>
      </w:r>
      <w:r w:rsidR="00DF18B6" w:rsidRPr="003251FB">
        <w:rPr>
          <w:rFonts w:ascii="Times New Roman" w:hAnsi="Times New Roman" w:cs="Times New Roman"/>
          <w:b/>
          <w:lang w:val="es-MX"/>
        </w:rPr>
        <w:t xml:space="preserve"> de marzo</w:t>
      </w:r>
      <w:r w:rsidR="00663EB3" w:rsidRPr="003251FB">
        <w:rPr>
          <w:rFonts w:ascii="Times New Roman" w:hAnsi="Times New Roman" w:cs="Times New Roman"/>
          <w:b/>
          <w:lang w:val="es-MX"/>
        </w:rPr>
        <w:t xml:space="preserve"> no se alcanzó</w:t>
      </w:r>
    </w:p>
    <w:p w:rsidR="00E16925" w:rsidRPr="00D41BA1" w:rsidRDefault="00E16925" w:rsidP="00E16925">
      <w:pPr>
        <w:pStyle w:val="Sinespaciado"/>
        <w:rPr>
          <w:rFonts w:ascii="Times New Roman" w:hAnsi="Times New Roman" w:cs="Times New Roman"/>
          <w:b/>
          <w:color w:val="FF0000"/>
          <w:sz w:val="8"/>
          <w:lang w:val="es-MX"/>
        </w:rPr>
      </w:pPr>
    </w:p>
    <w:p w:rsidR="00E16925" w:rsidRPr="00C40E36" w:rsidRDefault="00E16925" w:rsidP="00E16925">
      <w:pPr>
        <w:pStyle w:val="Sinespaciado"/>
        <w:jc w:val="center"/>
        <w:rPr>
          <w:rFonts w:ascii="Times New Roman" w:hAnsi="Times New Roman" w:cs="Times New Roman"/>
          <w:b/>
          <w:sz w:val="10"/>
          <w:lang w:val="es-MX"/>
        </w:rPr>
      </w:pPr>
    </w:p>
    <w:p w:rsidR="00343A5D" w:rsidRPr="00C40E36" w:rsidRDefault="00343A5D" w:rsidP="00E16925">
      <w:pPr>
        <w:pStyle w:val="Sinespaciado"/>
        <w:jc w:val="center"/>
        <w:rPr>
          <w:rFonts w:ascii="Times New Roman" w:hAnsi="Times New Roman" w:cs="Times New Roman"/>
          <w:b/>
          <w:sz w:val="20"/>
          <w:lang w:val="es-MX"/>
        </w:rPr>
        <w:sectPr w:rsidR="00343A5D" w:rsidRPr="00C40E36" w:rsidSect="004E358C">
          <w:type w:val="continuous"/>
          <w:pgSz w:w="12240" w:h="15840"/>
          <w:pgMar w:top="1417" w:right="1701" w:bottom="1417" w:left="1701" w:header="708" w:footer="708" w:gutter="0"/>
          <w:cols w:space="708"/>
          <w:docGrid w:linePitch="360"/>
        </w:sectPr>
      </w:pPr>
    </w:p>
    <w:p w:rsidR="00C40E36" w:rsidRPr="003251FB" w:rsidRDefault="00C40E36" w:rsidP="003251FB">
      <w:pPr>
        <w:pStyle w:val="Sinespaciado"/>
        <w:jc w:val="both"/>
        <w:rPr>
          <w:rFonts w:ascii="Times New Roman" w:hAnsi="Times New Roman" w:cs="Times New Roman"/>
          <w:lang w:val="es-MX"/>
        </w:rPr>
      </w:pPr>
      <w:r w:rsidRPr="003251FB">
        <w:rPr>
          <w:rFonts w:ascii="Times New Roman" w:hAnsi="Times New Roman" w:cs="Times New Roman"/>
          <w:lang w:val="es-MX"/>
        </w:rPr>
        <w:lastRenderedPageBreak/>
        <w:t xml:space="preserve">Cifras preliminares de marzo generaron una brecha negativa de recaudación mensual de Q234.5 millones respecto a la meta de presupuesto, aspectos a considerar de este resultado son el desempeño negativo en impuestos asociados al comercio exterior el cual se vio afectado por el descanso de semana santa. </w:t>
      </w:r>
    </w:p>
    <w:p w:rsidR="00C40E36" w:rsidRDefault="00C40E36" w:rsidP="003251FB">
      <w:pPr>
        <w:pStyle w:val="Sinespaciado"/>
        <w:jc w:val="both"/>
        <w:rPr>
          <w:rFonts w:ascii="Times New Roman" w:hAnsi="Times New Roman" w:cs="Times New Roman"/>
          <w:lang w:val="es-MX"/>
        </w:rPr>
      </w:pPr>
    </w:p>
    <w:p w:rsidR="000655E6" w:rsidRDefault="000655E6" w:rsidP="003251FB">
      <w:pPr>
        <w:pStyle w:val="Sinespaciado"/>
        <w:jc w:val="both"/>
        <w:rPr>
          <w:rFonts w:ascii="Times New Roman" w:hAnsi="Times New Roman" w:cs="Times New Roman"/>
          <w:lang w:val="es-MX"/>
        </w:rPr>
      </w:pPr>
    </w:p>
    <w:p w:rsidR="000655E6" w:rsidRDefault="000655E6" w:rsidP="003251FB">
      <w:pPr>
        <w:pStyle w:val="Sinespaciado"/>
        <w:jc w:val="both"/>
        <w:rPr>
          <w:rFonts w:ascii="Times New Roman" w:hAnsi="Times New Roman" w:cs="Times New Roman"/>
          <w:lang w:val="es-MX"/>
        </w:rPr>
      </w:pPr>
    </w:p>
    <w:p w:rsidR="00663EB3" w:rsidRDefault="00C40E36" w:rsidP="003251FB">
      <w:pPr>
        <w:pStyle w:val="Sinespaciado"/>
        <w:jc w:val="both"/>
        <w:rPr>
          <w:rFonts w:ascii="Times New Roman" w:hAnsi="Times New Roman" w:cs="Times New Roman"/>
          <w:lang w:val="es-MX"/>
        </w:rPr>
      </w:pPr>
      <w:r w:rsidRPr="003251FB">
        <w:rPr>
          <w:rFonts w:ascii="Times New Roman" w:hAnsi="Times New Roman" w:cs="Times New Roman"/>
          <w:lang w:val="es-MX"/>
        </w:rPr>
        <w:lastRenderedPageBreak/>
        <w:t>Con relación a marzo 2017 se observa un decrecimiento de 2.2% (Q106 millones), factores que contribuyeron con este resultado son la menor recaudación ISR, impuestos al comercio exterior, y en derivados del petróleo entre otros.</w:t>
      </w:r>
    </w:p>
    <w:p w:rsidR="000655E6" w:rsidRDefault="000655E6" w:rsidP="00663EB3">
      <w:pPr>
        <w:spacing w:after="0" w:line="240" w:lineRule="auto"/>
        <w:jc w:val="center"/>
        <w:rPr>
          <w:rFonts w:ascii="Times New Roman" w:hAnsi="Times New Roman" w:cs="Times New Roman"/>
          <w:b/>
          <w:sz w:val="24"/>
          <w:szCs w:val="20"/>
          <w:lang w:val="es-MX"/>
        </w:rPr>
      </w:pPr>
    </w:p>
    <w:p w:rsidR="000655E6" w:rsidRDefault="000655E6" w:rsidP="00663EB3">
      <w:pPr>
        <w:spacing w:after="0" w:line="240" w:lineRule="auto"/>
        <w:jc w:val="center"/>
        <w:rPr>
          <w:rFonts w:ascii="Times New Roman" w:hAnsi="Times New Roman" w:cs="Times New Roman"/>
          <w:b/>
          <w:sz w:val="24"/>
          <w:szCs w:val="20"/>
          <w:lang w:val="es-MX"/>
        </w:rPr>
      </w:pPr>
    </w:p>
    <w:p w:rsidR="000655E6" w:rsidRDefault="000655E6" w:rsidP="00663EB3">
      <w:pPr>
        <w:spacing w:after="0" w:line="240" w:lineRule="auto"/>
        <w:jc w:val="center"/>
        <w:rPr>
          <w:rFonts w:ascii="Times New Roman" w:hAnsi="Times New Roman" w:cs="Times New Roman"/>
          <w:b/>
          <w:sz w:val="24"/>
          <w:szCs w:val="20"/>
          <w:lang w:val="es-MX"/>
        </w:rPr>
      </w:pPr>
    </w:p>
    <w:p w:rsidR="000655E6" w:rsidRDefault="000655E6" w:rsidP="00663EB3">
      <w:pPr>
        <w:spacing w:after="0" w:line="240" w:lineRule="auto"/>
        <w:jc w:val="center"/>
        <w:rPr>
          <w:rFonts w:ascii="Times New Roman" w:hAnsi="Times New Roman" w:cs="Times New Roman"/>
          <w:b/>
          <w:sz w:val="24"/>
          <w:szCs w:val="20"/>
          <w:lang w:val="es-MX"/>
        </w:rPr>
      </w:pPr>
    </w:p>
    <w:p w:rsidR="00663EB3" w:rsidRPr="00C40E36" w:rsidRDefault="00663EB3" w:rsidP="00663EB3">
      <w:pPr>
        <w:spacing w:after="0" w:line="240" w:lineRule="auto"/>
        <w:jc w:val="center"/>
        <w:rPr>
          <w:rFonts w:ascii="Times New Roman" w:hAnsi="Times New Roman" w:cs="Times New Roman"/>
          <w:b/>
          <w:sz w:val="24"/>
          <w:szCs w:val="20"/>
          <w:lang w:val="es-MX"/>
        </w:rPr>
      </w:pPr>
      <w:r w:rsidRPr="00C40E36">
        <w:rPr>
          <w:rFonts w:ascii="Times New Roman" w:hAnsi="Times New Roman" w:cs="Times New Roman"/>
          <w:b/>
          <w:sz w:val="24"/>
          <w:szCs w:val="20"/>
          <w:lang w:val="es-MX"/>
        </w:rPr>
        <w:lastRenderedPageBreak/>
        <w:t>Recaudación Tributaria</w:t>
      </w:r>
    </w:p>
    <w:p w:rsidR="00663EB3" w:rsidRPr="00C40E36" w:rsidRDefault="00663EB3" w:rsidP="00663EB3">
      <w:pPr>
        <w:spacing w:after="0" w:line="240" w:lineRule="auto"/>
        <w:jc w:val="center"/>
        <w:rPr>
          <w:rFonts w:ascii="Times New Roman" w:hAnsi="Times New Roman" w:cs="Times New Roman"/>
          <w:sz w:val="18"/>
          <w:szCs w:val="18"/>
          <w:lang w:val="es-MX"/>
        </w:rPr>
      </w:pPr>
      <w:r w:rsidRPr="00C40E36">
        <w:rPr>
          <w:rFonts w:ascii="Times New Roman" w:hAnsi="Times New Roman" w:cs="Times New Roman"/>
          <w:sz w:val="18"/>
          <w:szCs w:val="18"/>
          <w:lang w:val="es-MX"/>
        </w:rPr>
        <w:t>Millones de quetzales</w:t>
      </w:r>
    </w:p>
    <w:p w:rsidR="00663EB3" w:rsidRPr="00C40E36" w:rsidRDefault="00C40E36" w:rsidP="00663EB3">
      <w:pPr>
        <w:spacing w:after="0" w:line="240" w:lineRule="auto"/>
        <w:rPr>
          <w:rFonts w:ascii="Times New Roman" w:hAnsi="Times New Roman" w:cs="Times New Roman"/>
          <w:b/>
          <w:sz w:val="20"/>
          <w:szCs w:val="20"/>
          <w:lang w:val="es-MX"/>
        </w:rPr>
      </w:pPr>
      <w:r w:rsidRPr="00C40E36">
        <w:rPr>
          <w:rFonts w:ascii="Times New Roman" w:hAnsi="Times New Roman" w:cs="Times New Roman"/>
          <w:shd w:val="clear" w:color="auto" w:fill="FABF8F" w:themeFill="accent6" w:themeFillTint="99"/>
          <w:lang w:val="es-MX"/>
        </w:rPr>
        <w:drawing>
          <wp:inline distT="0" distB="0" distL="0" distR="0" wp14:anchorId="1162B749" wp14:editId="131E2ECF">
            <wp:extent cx="2670810" cy="2122098"/>
            <wp:effectExtent l="0" t="0" r="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3EB3" w:rsidRPr="00C40E36" w:rsidRDefault="00663EB3" w:rsidP="00663EB3">
      <w:pPr>
        <w:spacing w:after="0" w:line="240" w:lineRule="auto"/>
        <w:rPr>
          <w:rFonts w:ascii="Times New Roman" w:hAnsi="Times New Roman" w:cs="Times New Roman"/>
          <w:sz w:val="16"/>
          <w:szCs w:val="20"/>
          <w:lang w:val="es-MX"/>
        </w:rPr>
      </w:pPr>
      <w:r w:rsidRPr="00C40E36">
        <w:rPr>
          <w:rFonts w:ascii="Times New Roman" w:hAnsi="Times New Roman" w:cs="Times New Roman"/>
          <w:sz w:val="16"/>
          <w:szCs w:val="20"/>
          <w:lang w:val="es-MX"/>
        </w:rPr>
        <w:t>Fuente: Dirección de Análisis y Política Fiscal</w:t>
      </w:r>
    </w:p>
    <w:p w:rsidR="000655E6" w:rsidRDefault="000655E6" w:rsidP="003251FB">
      <w:pPr>
        <w:pStyle w:val="Sinespaciado"/>
        <w:jc w:val="both"/>
        <w:rPr>
          <w:rFonts w:ascii="Times New Roman" w:hAnsi="Times New Roman" w:cs="Times New Roman"/>
          <w:lang w:val="es-MX"/>
        </w:rPr>
      </w:pPr>
    </w:p>
    <w:p w:rsidR="009F530C" w:rsidRPr="003251FB" w:rsidRDefault="00C40E36" w:rsidP="003251FB">
      <w:pPr>
        <w:pStyle w:val="Sinespaciado"/>
        <w:jc w:val="both"/>
        <w:rPr>
          <w:rFonts w:ascii="Times New Roman" w:hAnsi="Times New Roman" w:cs="Times New Roman"/>
          <w:color w:val="FF0000"/>
          <w:lang w:val="es-MX"/>
        </w:rPr>
      </w:pPr>
      <w:r w:rsidRPr="003251FB">
        <w:rPr>
          <w:rFonts w:ascii="Times New Roman" w:hAnsi="Times New Roman" w:cs="Times New Roman"/>
          <w:lang w:val="es-MX"/>
        </w:rPr>
        <w:t>De manera acumulada se observa una brecha negativa de Q122.9 millones la cual esta generada principalmente por los impuestos asociados al comercio exterior (IVA importaciones y DAI) que en conjunto han dejado de percibir Q178.9 millones, impuestos como el ISR e IVA doméstico han contribuido de manera positiva a disminuir dicha brecha.</w:t>
      </w:r>
      <w:r w:rsidR="009F530C" w:rsidRPr="003251FB">
        <w:rPr>
          <w:rFonts w:ascii="Times New Roman" w:hAnsi="Times New Roman" w:cs="Times New Roman"/>
          <w:color w:val="FF0000"/>
          <w:lang w:val="es-MX"/>
        </w:rPr>
        <w:t xml:space="preserve"> </w:t>
      </w:r>
    </w:p>
    <w:p w:rsidR="00CE75B5" w:rsidRPr="003251FB" w:rsidRDefault="00CE75B5" w:rsidP="003251FB">
      <w:pPr>
        <w:pStyle w:val="Sinespaciado"/>
        <w:jc w:val="both"/>
        <w:rPr>
          <w:rFonts w:ascii="Times New Roman" w:hAnsi="Times New Roman" w:cs="Times New Roman"/>
          <w:lang w:val="es-MX"/>
        </w:rPr>
      </w:pPr>
    </w:p>
    <w:p w:rsidR="009F530C" w:rsidRPr="003251FB" w:rsidRDefault="009F530C" w:rsidP="003251FB">
      <w:pPr>
        <w:pStyle w:val="Sinespaciado"/>
        <w:jc w:val="both"/>
        <w:rPr>
          <w:rFonts w:ascii="Times New Roman" w:hAnsi="Times New Roman" w:cs="Times New Roman"/>
          <w:b/>
          <w:lang w:val="es-MX"/>
        </w:rPr>
      </w:pPr>
      <w:r w:rsidRPr="003251FB">
        <w:rPr>
          <w:rFonts w:ascii="Times New Roman" w:hAnsi="Times New Roman" w:cs="Times New Roman"/>
          <w:b/>
          <w:lang w:val="es-MX"/>
        </w:rPr>
        <w:t>El IVA total</w:t>
      </w:r>
    </w:p>
    <w:p w:rsidR="009F530C" w:rsidRPr="003251FB" w:rsidRDefault="009F530C" w:rsidP="003251FB">
      <w:pPr>
        <w:pStyle w:val="Sinespaciado"/>
        <w:jc w:val="both"/>
        <w:rPr>
          <w:rFonts w:ascii="Times New Roman" w:hAnsi="Times New Roman" w:cs="Times New Roman"/>
          <w:color w:val="FF0000"/>
          <w:lang w:val="es-MX"/>
        </w:rPr>
      </w:pPr>
    </w:p>
    <w:p w:rsidR="009F530C" w:rsidRPr="003251FB" w:rsidRDefault="00C40E36" w:rsidP="000655E6">
      <w:pPr>
        <w:pStyle w:val="Sinespaciado"/>
        <w:jc w:val="both"/>
        <w:rPr>
          <w:rFonts w:ascii="Times New Roman" w:hAnsi="Times New Roman" w:cs="Times New Roman"/>
          <w:lang w:val="es-MX"/>
        </w:rPr>
      </w:pPr>
      <w:r w:rsidRPr="003251FB">
        <w:rPr>
          <w:rFonts w:ascii="Times New Roman" w:hAnsi="Times New Roman" w:cs="Times New Roman"/>
          <w:lang w:val="es-MX"/>
        </w:rPr>
        <w:t>De manera acumulada se observa una caída en este impuesto de 1% (Q65.2 millones) respecto a la meta de presupuesto la cual esta explicada principalmente por el deterioro que se observa en el IVA asociado a las importaciones que ha dejado de percibir Q178.9 millones en el primer trimestre, factores que pueden incidir son, el desempeño en procesos de recaudación del impuesto en aduanas y el comportamiento de variables que inciden en el flujo de recaudación como las importaciones bajo el régimen de territorio aduanero que dan cuenta de una disminución en el ritmo de estas pasando de una variación interanual de 9.9% en enero a un 7.3% en febrero, además otro factor importante a considerar es el del tipo de cambio y su efecto neto en la recaudación.</w:t>
      </w:r>
    </w:p>
    <w:p w:rsidR="00DE6D9A" w:rsidRPr="003251FB" w:rsidRDefault="00DE6D9A" w:rsidP="00DE6D9A">
      <w:pPr>
        <w:spacing w:after="0" w:line="240" w:lineRule="auto"/>
        <w:jc w:val="center"/>
        <w:rPr>
          <w:rFonts w:ascii="Times New Roman" w:hAnsi="Times New Roman" w:cs="Times New Roman"/>
          <w:b/>
          <w:sz w:val="24"/>
          <w:szCs w:val="20"/>
          <w:lang w:val="es-MX"/>
        </w:rPr>
      </w:pPr>
      <w:r w:rsidRPr="003251FB">
        <w:rPr>
          <w:rFonts w:ascii="Times New Roman" w:hAnsi="Times New Roman" w:cs="Times New Roman"/>
          <w:b/>
          <w:sz w:val="24"/>
          <w:szCs w:val="20"/>
          <w:lang w:val="es-MX"/>
        </w:rPr>
        <w:lastRenderedPageBreak/>
        <w:t xml:space="preserve">Recaudación aduanera </w:t>
      </w:r>
      <w:r w:rsidRPr="003251FB">
        <w:rPr>
          <w:rFonts w:ascii="Times New Roman" w:hAnsi="Times New Roman" w:cs="Times New Roman"/>
          <w:b/>
          <w:i/>
          <w:sz w:val="24"/>
          <w:szCs w:val="20"/>
          <w:lang w:val="es-MX"/>
        </w:rPr>
        <w:t>(DAI e IVA importaciones)</w:t>
      </w:r>
      <w:r w:rsidRPr="003251FB">
        <w:rPr>
          <w:rFonts w:ascii="Times New Roman" w:hAnsi="Times New Roman" w:cs="Times New Roman"/>
          <w:b/>
          <w:sz w:val="24"/>
          <w:szCs w:val="20"/>
          <w:lang w:val="es-MX"/>
        </w:rPr>
        <w:t xml:space="preserve"> acumulada</w:t>
      </w:r>
    </w:p>
    <w:p w:rsidR="00DE6D9A" w:rsidRPr="003251FB" w:rsidRDefault="00DE6D9A" w:rsidP="00DE6D9A">
      <w:pPr>
        <w:spacing w:after="0" w:line="240" w:lineRule="auto"/>
        <w:jc w:val="center"/>
        <w:rPr>
          <w:rFonts w:ascii="Times New Roman" w:hAnsi="Times New Roman" w:cs="Times New Roman"/>
          <w:sz w:val="18"/>
          <w:szCs w:val="18"/>
          <w:lang w:val="es-MX"/>
        </w:rPr>
      </w:pPr>
      <w:r w:rsidRPr="003251FB">
        <w:rPr>
          <w:rFonts w:ascii="Times New Roman" w:hAnsi="Times New Roman" w:cs="Times New Roman"/>
          <w:sz w:val="18"/>
          <w:szCs w:val="18"/>
          <w:lang w:val="es-MX"/>
        </w:rPr>
        <w:t>Millones de quetzales</w:t>
      </w:r>
    </w:p>
    <w:p w:rsidR="00DE6D9A" w:rsidRPr="003251FB" w:rsidRDefault="00C40E36" w:rsidP="009F530C">
      <w:pPr>
        <w:spacing w:after="0" w:line="240" w:lineRule="auto"/>
        <w:jc w:val="both"/>
        <w:rPr>
          <w:rFonts w:ascii="Times New Roman" w:hAnsi="Times New Roman" w:cs="Times New Roman"/>
          <w:lang w:val="es-MX"/>
        </w:rPr>
      </w:pPr>
      <w:r w:rsidRPr="003251FB">
        <w:rPr>
          <w:rFonts w:ascii="Times New Roman" w:hAnsi="Times New Roman" w:cs="Times New Roman"/>
          <w:lang w:val="es-MX"/>
        </w:rPr>
        <w:drawing>
          <wp:inline distT="0" distB="0" distL="0" distR="0" wp14:anchorId="1DDF4861" wp14:editId="19E864A4">
            <wp:extent cx="2670810" cy="2165230"/>
            <wp:effectExtent l="0" t="0" r="0" b="6985"/>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6D9A" w:rsidRPr="003251FB" w:rsidRDefault="00DE6D9A" w:rsidP="00DE6D9A">
      <w:pPr>
        <w:spacing w:after="0" w:line="240" w:lineRule="auto"/>
        <w:rPr>
          <w:rFonts w:ascii="Times New Roman" w:hAnsi="Times New Roman" w:cs="Times New Roman"/>
          <w:sz w:val="16"/>
          <w:szCs w:val="20"/>
          <w:lang w:val="es-MX"/>
        </w:rPr>
      </w:pPr>
      <w:r w:rsidRPr="003251FB">
        <w:rPr>
          <w:rFonts w:ascii="Times New Roman" w:hAnsi="Times New Roman" w:cs="Times New Roman"/>
          <w:sz w:val="16"/>
          <w:szCs w:val="20"/>
          <w:lang w:val="es-MX"/>
        </w:rPr>
        <w:t>Fuente: Dirección de Análisis y Política Fiscal</w:t>
      </w:r>
    </w:p>
    <w:p w:rsidR="000655E6" w:rsidRDefault="000655E6" w:rsidP="003251FB">
      <w:pPr>
        <w:pStyle w:val="Sinespaciado"/>
        <w:jc w:val="both"/>
        <w:rPr>
          <w:rFonts w:ascii="Times New Roman" w:hAnsi="Times New Roman" w:cs="Times New Roman"/>
          <w:lang w:val="es-MX"/>
        </w:rPr>
      </w:pPr>
    </w:p>
    <w:p w:rsidR="009F530C" w:rsidRPr="003251FB" w:rsidRDefault="00C40E36" w:rsidP="003251FB">
      <w:pPr>
        <w:pStyle w:val="Sinespaciado"/>
        <w:jc w:val="both"/>
        <w:rPr>
          <w:rFonts w:ascii="Times New Roman" w:hAnsi="Times New Roman" w:cs="Times New Roman"/>
          <w:lang w:val="es-MX"/>
        </w:rPr>
      </w:pPr>
      <w:r w:rsidRPr="003251FB">
        <w:rPr>
          <w:rFonts w:ascii="Times New Roman" w:hAnsi="Times New Roman" w:cs="Times New Roman"/>
          <w:lang w:val="es-MX"/>
        </w:rPr>
        <w:t>En el caso específico del IVA doméstico de manera acumulada y mensual presenta un desempeño positivo el cual puede asociarse a la variación positiva en variables económicas que influyen de manera directa en el comportamiento del impuesto siendo estas, las remesas familiares y la tendencia del índice mensual de la actividad económica que a febrero muestra una ligera recuperación respecto a los últimos meses.</w:t>
      </w:r>
    </w:p>
    <w:p w:rsidR="009F530C" w:rsidRPr="003251FB" w:rsidRDefault="009F530C" w:rsidP="009F530C">
      <w:pPr>
        <w:spacing w:after="0" w:line="240" w:lineRule="auto"/>
        <w:jc w:val="both"/>
        <w:rPr>
          <w:rFonts w:ascii="Times New Roman" w:hAnsi="Times New Roman" w:cs="Times New Roman"/>
          <w:lang w:val="es-MX"/>
        </w:rPr>
      </w:pPr>
    </w:p>
    <w:p w:rsidR="009F530C" w:rsidRPr="003251FB" w:rsidRDefault="009F530C" w:rsidP="009F530C">
      <w:pPr>
        <w:spacing w:after="0" w:line="240" w:lineRule="auto"/>
        <w:jc w:val="both"/>
        <w:rPr>
          <w:rFonts w:ascii="Times New Roman" w:hAnsi="Times New Roman" w:cs="Times New Roman"/>
          <w:b/>
          <w:lang w:val="es-MX"/>
        </w:rPr>
      </w:pPr>
      <w:r w:rsidRPr="003251FB">
        <w:rPr>
          <w:rFonts w:ascii="Times New Roman" w:hAnsi="Times New Roman" w:cs="Times New Roman"/>
          <w:b/>
          <w:lang w:val="es-MX"/>
        </w:rPr>
        <w:t>ISR</w:t>
      </w:r>
    </w:p>
    <w:p w:rsidR="009F530C" w:rsidRPr="003251FB" w:rsidRDefault="009F530C" w:rsidP="009F530C">
      <w:pPr>
        <w:spacing w:after="0" w:line="240" w:lineRule="auto"/>
        <w:jc w:val="both"/>
        <w:rPr>
          <w:rFonts w:ascii="Times New Roman" w:hAnsi="Times New Roman" w:cs="Times New Roman"/>
          <w:lang w:val="es-MX"/>
        </w:rPr>
      </w:pPr>
    </w:p>
    <w:p w:rsidR="003251FB" w:rsidRPr="003251FB" w:rsidRDefault="003251FB" w:rsidP="003251FB">
      <w:pPr>
        <w:pStyle w:val="Sinespaciado"/>
        <w:jc w:val="both"/>
        <w:rPr>
          <w:rFonts w:ascii="Times New Roman" w:hAnsi="Times New Roman" w:cs="Times New Roman"/>
          <w:lang w:val="es-MX"/>
        </w:rPr>
      </w:pPr>
      <w:r w:rsidRPr="003251FB">
        <w:rPr>
          <w:rFonts w:ascii="Times New Roman" w:hAnsi="Times New Roman" w:cs="Times New Roman"/>
          <w:lang w:val="es-MX"/>
        </w:rPr>
        <w:t>De este impuesto podemos acotar que ha cumplido con las metas mensuales propuestas en presupuesto generando una brecha positiva al 31 de marzo de Q221.1 millones este impuesto ha visto crecimiento en regímenes de relación de dependencia, en retención a no domiciliados y en impuestos sobre productos financieros y rentas de capital según datos acumulados a febrero. De manera interanual se tiene un crecimiento de 1.9% (Q79.2 millones) respecto a 2017.</w:t>
      </w:r>
    </w:p>
    <w:p w:rsidR="009F530C" w:rsidRDefault="009F530C" w:rsidP="009F530C">
      <w:pPr>
        <w:spacing w:after="0" w:line="240" w:lineRule="auto"/>
        <w:jc w:val="both"/>
        <w:rPr>
          <w:rFonts w:ascii="Times New Roman" w:hAnsi="Times New Roman" w:cs="Times New Roman"/>
          <w:lang w:val="es-MX"/>
        </w:rPr>
      </w:pPr>
    </w:p>
    <w:p w:rsidR="000655E6" w:rsidRDefault="000655E6" w:rsidP="009F530C">
      <w:pPr>
        <w:spacing w:after="0" w:line="240" w:lineRule="auto"/>
        <w:jc w:val="both"/>
        <w:rPr>
          <w:rFonts w:ascii="Times New Roman" w:hAnsi="Times New Roman" w:cs="Times New Roman"/>
          <w:lang w:val="es-MX"/>
        </w:rPr>
      </w:pPr>
    </w:p>
    <w:p w:rsidR="000655E6" w:rsidRDefault="000655E6" w:rsidP="009F530C">
      <w:pPr>
        <w:spacing w:after="0" w:line="240" w:lineRule="auto"/>
        <w:jc w:val="both"/>
        <w:rPr>
          <w:rFonts w:ascii="Times New Roman" w:hAnsi="Times New Roman" w:cs="Times New Roman"/>
          <w:lang w:val="es-MX"/>
        </w:rPr>
      </w:pPr>
    </w:p>
    <w:p w:rsidR="009F530C" w:rsidRPr="003251FB" w:rsidRDefault="009F530C" w:rsidP="009F530C">
      <w:pPr>
        <w:spacing w:after="0" w:line="240" w:lineRule="auto"/>
        <w:jc w:val="both"/>
        <w:rPr>
          <w:rFonts w:ascii="Times New Roman" w:hAnsi="Times New Roman" w:cs="Times New Roman"/>
          <w:b/>
          <w:lang w:val="es-MX"/>
        </w:rPr>
      </w:pPr>
      <w:r w:rsidRPr="003251FB">
        <w:rPr>
          <w:rFonts w:ascii="Times New Roman" w:hAnsi="Times New Roman" w:cs="Times New Roman"/>
          <w:b/>
          <w:lang w:val="es-MX"/>
        </w:rPr>
        <w:lastRenderedPageBreak/>
        <w:t>El resto de los impuestos</w:t>
      </w:r>
    </w:p>
    <w:p w:rsidR="009F530C" w:rsidRPr="00D41BA1" w:rsidRDefault="009F530C" w:rsidP="009F530C">
      <w:pPr>
        <w:spacing w:after="0" w:line="240" w:lineRule="auto"/>
        <w:jc w:val="both"/>
        <w:rPr>
          <w:rFonts w:ascii="Times New Roman" w:hAnsi="Times New Roman" w:cs="Times New Roman"/>
          <w:color w:val="FF0000"/>
          <w:lang w:val="es-MX"/>
        </w:rPr>
      </w:pPr>
    </w:p>
    <w:p w:rsidR="003251FB" w:rsidRPr="00C23AC3" w:rsidRDefault="003251FB" w:rsidP="003251FB">
      <w:pPr>
        <w:pStyle w:val="Sinespaciado"/>
        <w:jc w:val="both"/>
        <w:rPr>
          <w:rFonts w:ascii="Times New Roman" w:hAnsi="Times New Roman" w:cs="Times New Roman"/>
          <w:lang w:val="es-MX"/>
        </w:rPr>
      </w:pPr>
      <w:r w:rsidRPr="00C23AC3">
        <w:rPr>
          <w:rFonts w:ascii="Times New Roman" w:hAnsi="Times New Roman" w:cs="Times New Roman"/>
          <w:lang w:val="es-MX"/>
        </w:rPr>
        <w:t>Impuestos asociados a los productos industriales (bebidas, tabacos y cemento) dan cuenta de una ejecución de 98.6% respecto a la meta de presupuesto, con relación al año anterior se observa una ejecución del 99.6%, este resultado se ve afectado por el resultado negativo en el impuesto a las bebidas el cual ha dejado de recaudar Q8.8 millones respecto a la meta, de los impuestos no administrados por SAT podemos resaltar que el de regalías e hidrocarburos compartibles tiene un excedente respecto a la meta de presupuesto de Q30.2 millones, para el caso del impuesto de salidas del país se han dejado de recaudar Q9.5 millones los cuales pueden deberse a problemas en el traslado de información de parte del INGUAT para poder realizar los registros.</w:t>
      </w:r>
    </w:p>
    <w:p w:rsidR="00B917E5" w:rsidRDefault="00B917E5" w:rsidP="00663EB3">
      <w:pPr>
        <w:spacing w:after="0" w:line="240" w:lineRule="auto"/>
        <w:jc w:val="both"/>
        <w:rPr>
          <w:rFonts w:ascii="Times New Roman" w:hAnsi="Times New Roman" w:cs="Times New Roman"/>
          <w:color w:val="FF0000"/>
          <w:lang w:val="es-MX"/>
        </w:rPr>
      </w:pPr>
    </w:p>
    <w:p w:rsidR="000655E6" w:rsidRDefault="000655E6" w:rsidP="00663EB3">
      <w:pPr>
        <w:spacing w:after="0" w:line="240" w:lineRule="auto"/>
        <w:jc w:val="both"/>
        <w:rPr>
          <w:rFonts w:ascii="Times New Roman" w:hAnsi="Times New Roman" w:cs="Times New Roman"/>
          <w:color w:val="FF0000"/>
          <w:lang w:val="es-MX"/>
        </w:rPr>
      </w:pPr>
    </w:p>
    <w:p w:rsidR="000655E6" w:rsidRDefault="000655E6" w:rsidP="00663EB3">
      <w:pPr>
        <w:spacing w:after="0" w:line="240" w:lineRule="auto"/>
        <w:jc w:val="both"/>
        <w:rPr>
          <w:rFonts w:ascii="Times New Roman" w:hAnsi="Times New Roman" w:cs="Times New Roman"/>
          <w:color w:val="FF0000"/>
          <w:lang w:val="es-MX"/>
        </w:rPr>
      </w:pPr>
    </w:p>
    <w:p w:rsidR="000655E6" w:rsidRDefault="000655E6" w:rsidP="00663EB3">
      <w:pPr>
        <w:spacing w:after="0" w:line="240" w:lineRule="auto"/>
        <w:jc w:val="both"/>
        <w:rPr>
          <w:rFonts w:ascii="Times New Roman" w:hAnsi="Times New Roman" w:cs="Times New Roman"/>
          <w:color w:val="FF0000"/>
          <w:lang w:val="es-MX"/>
        </w:rPr>
      </w:pPr>
    </w:p>
    <w:p w:rsidR="000655E6" w:rsidRDefault="000655E6" w:rsidP="00663EB3">
      <w:pPr>
        <w:spacing w:after="0" w:line="240" w:lineRule="auto"/>
        <w:jc w:val="both"/>
        <w:rPr>
          <w:rFonts w:ascii="Times New Roman" w:hAnsi="Times New Roman" w:cs="Times New Roman"/>
          <w:color w:val="FF0000"/>
          <w:lang w:val="es-MX"/>
        </w:rPr>
      </w:pPr>
    </w:p>
    <w:p w:rsidR="00663EB3" w:rsidRPr="000655E6" w:rsidRDefault="00663EB3" w:rsidP="005F4EEF">
      <w:pPr>
        <w:spacing w:after="0" w:line="240" w:lineRule="auto"/>
        <w:jc w:val="center"/>
        <w:rPr>
          <w:rFonts w:ascii="Times New Roman" w:hAnsi="Times New Roman" w:cs="Times New Roman"/>
          <w:b/>
          <w:sz w:val="24"/>
          <w:lang w:val="es-MX"/>
        </w:rPr>
      </w:pPr>
      <w:r w:rsidRPr="000655E6">
        <w:rPr>
          <w:rFonts w:ascii="Times New Roman" w:hAnsi="Times New Roman" w:cs="Times New Roman"/>
          <w:b/>
          <w:sz w:val="24"/>
          <w:lang w:val="es-MX"/>
        </w:rPr>
        <w:lastRenderedPageBreak/>
        <w:t>Variación de recaudación tributaria</w:t>
      </w:r>
    </w:p>
    <w:p w:rsidR="00663EB3" w:rsidRPr="000655E6" w:rsidRDefault="00663EB3" w:rsidP="00663EB3">
      <w:pPr>
        <w:spacing w:after="0" w:line="240" w:lineRule="auto"/>
        <w:jc w:val="center"/>
        <w:rPr>
          <w:rFonts w:ascii="Times New Roman" w:hAnsi="Times New Roman" w:cs="Times New Roman"/>
          <w:sz w:val="18"/>
          <w:lang w:val="es-MX"/>
        </w:rPr>
      </w:pPr>
      <w:r w:rsidRPr="000655E6">
        <w:rPr>
          <w:rFonts w:ascii="Times New Roman" w:hAnsi="Times New Roman" w:cs="Times New Roman"/>
          <w:sz w:val="18"/>
          <w:lang w:val="es-MX"/>
        </w:rPr>
        <w:t>Millones de quetzales</w:t>
      </w:r>
    </w:p>
    <w:p w:rsidR="00663EB3" w:rsidRPr="000655E6" w:rsidRDefault="003251FB" w:rsidP="00663EB3">
      <w:pPr>
        <w:spacing w:after="0" w:line="240" w:lineRule="auto"/>
        <w:jc w:val="both"/>
        <w:rPr>
          <w:rFonts w:ascii="Times New Roman" w:hAnsi="Times New Roman" w:cs="Times New Roman"/>
          <w:lang w:val="es-MX"/>
        </w:rPr>
      </w:pPr>
      <w:r w:rsidRPr="000655E6">
        <w:rPr>
          <w:rFonts w:ascii="Times New Roman" w:hAnsi="Times New Roman" w:cs="Times New Roman"/>
          <w:lang w:val="es-MX"/>
        </w:rPr>
        <w:drawing>
          <wp:inline distT="0" distB="0" distL="0" distR="0" wp14:anchorId="05F151C9" wp14:editId="15DB3E26">
            <wp:extent cx="2581275" cy="341606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63EB3" w:rsidRPr="000655E6" w:rsidRDefault="00663EB3" w:rsidP="00663EB3">
      <w:pPr>
        <w:spacing w:after="0" w:line="240" w:lineRule="auto"/>
        <w:rPr>
          <w:rFonts w:ascii="Times New Roman" w:hAnsi="Times New Roman" w:cs="Times New Roman"/>
          <w:sz w:val="16"/>
          <w:szCs w:val="20"/>
          <w:lang w:val="es-MX"/>
        </w:rPr>
      </w:pPr>
      <w:r w:rsidRPr="000655E6">
        <w:rPr>
          <w:rFonts w:ascii="Times New Roman" w:hAnsi="Times New Roman" w:cs="Times New Roman"/>
          <w:sz w:val="16"/>
          <w:szCs w:val="20"/>
          <w:lang w:val="es-MX"/>
        </w:rPr>
        <w:t>Fuente: Dirección de Análisis y Política Fiscal</w:t>
      </w:r>
    </w:p>
    <w:p w:rsidR="00EB1910" w:rsidRPr="00D41BA1" w:rsidRDefault="00EB1910" w:rsidP="00EB1910">
      <w:pPr>
        <w:pStyle w:val="Sinespaciado"/>
        <w:jc w:val="both"/>
        <w:rPr>
          <w:rFonts w:ascii="Times New Roman" w:hAnsi="Times New Roman" w:cs="Times New Roman"/>
          <w:color w:val="FF0000"/>
          <w:sz w:val="12"/>
          <w:lang w:val="es-MX"/>
        </w:rPr>
        <w:sectPr w:rsidR="00EB1910" w:rsidRPr="00D41BA1" w:rsidSect="00374D44">
          <w:headerReference w:type="default" r:id="rId16"/>
          <w:footerReference w:type="default" r:id="rId17"/>
          <w:type w:val="continuous"/>
          <w:pgSz w:w="12240" w:h="15840" w:code="1"/>
          <w:pgMar w:top="1418" w:right="1418" w:bottom="1418" w:left="1701" w:header="709" w:footer="709" w:gutter="0"/>
          <w:cols w:num="2" w:space="708"/>
          <w:docGrid w:linePitch="360"/>
        </w:sectPr>
      </w:pPr>
    </w:p>
    <w:p w:rsidR="00674EAE" w:rsidRPr="00D41BA1" w:rsidRDefault="00674EAE" w:rsidP="00674EAE">
      <w:pPr>
        <w:pStyle w:val="Sinespaciado"/>
        <w:jc w:val="both"/>
        <w:rPr>
          <w:rFonts w:ascii="Times New Roman" w:hAnsi="Times New Roman" w:cs="Times New Roman"/>
          <w:color w:val="FF0000"/>
          <w:szCs w:val="18"/>
          <w:lang w:val="es-MX"/>
        </w:rPr>
        <w:sectPr w:rsidR="00674EAE" w:rsidRPr="00D41BA1" w:rsidSect="005A03A9">
          <w:type w:val="continuous"/>
          <w:pgSz w:w="12240" w:h="15840"/>
          <w:pgMar w:top="1417" w:right="1701" w:bottom="1417" w:left="1701" w:header="708" w:footer="708" w:gutter="0"/>
          <w:cols w:num="2" w:space="708"/>
          <w:docGrid w:linePitch="360"/>
        </w:sectPr>
      </w:pPr>
    </w:p>
    <w:p w:rsidR="00FA3B81" w:rsidRPr="00C40E36" w:rsidRDefault="00CE75B5"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C40E36" w:rsidSect="00FA3B81">
          <w:headerReference w:type="default" r:id="rId18"/>
          <w:footerReference w:type="default" r:id="rId19"/>
          <w:type w:val="continuous"/>
          <w:pgSz w:w="12240" w:h="15840" w:code="1"/>
          <w:pgMar w:top="1418" w:right="1418" w:bottom="1418" w:left="1418" w:header="709" w:footer="709" w:gutter="0"/>
          <w:cols w:space="708"/>
          <w:docGrid w:linePitch="360"/>
        </w:sectPr>
      </w:pPr>
      <w:r w:rsidRPr="00C40E36">
        <w:rPr>
          <w:rFonts w:ascii="Times New Roman" w:hAnsi="Times New Roman" w:cs="Times New Roman"/>
          <w:b/>
          <w:lang w:val="es-MX"/>
        </w:rPr>
        <w:lastRenderedPageBreak/>
        <w:t>Leve mejora interanual en la e</w:t>
      </w:r>
      <w:r w:rsidR="001045CE" w:rsidRPr="00C40E36">
        <w:rPr>
          <w:rFonts w:ascii="Times New Roman" w:hAnsi="Times New Roman" w:cs="Times New Roman"/>
          <w:b/>
          <w:lang w:val="es-MX"/>
        </w:rPr>
        <w:t xml:space="preserve">jecución </w:t>
      </w:r>
      <w:r w:rsidRPr="00C40E36">
        <w:rPr>
          <w:rFonts w:ascii="Times New Roman" w:hAnsi="Times New Roman" w:cs="Times New Roman"/>
          <w:b/>
          <w:lang w:val="es-MX"/>
        </w:rPr>
        <w:t>de gasto</w:t>
      </w:r>
    </w:p>
    <w:p w:rsidR="00FA3B81" w:rsidRPr="00D41BA1" w:rsidRDefault="00FA3B81" w:rsidP="00FA3B81">
      <w:pPr>
        <w:pStyle w:val="Sinespaciado"/>
        <w:rPr>
          <w:rFonts w:ascii="Times New Roman" w:hAnsi="Times New Roman" w:cs="Times New Roman"/>
          <w:b/>
          <w:color w:val="FF0000"/>
          <w:sz w:val="18"/>
          <w:lang w:val="es-MX"/>
        </w:rPr>
      </w:pPr>
    </w:p>
    <w:p w:rsidR="00FA3B81" w:rsidRPr="00D41BA1" w:rsidRDefault="00FA3B81" w:rsidP="00FA3B81">
      <w:pPr>
        <w:pStyle w:val="Sinespaciado"/>
        <w:jc w:val="center"/>
        <w:rPr>
          <w:rFonts w:ascii="Times New Roman" w:hAnsi="Times New Roman" w:cs="Times New Roman"/>
          <w:b/>
          <w:color w:val="FF0000"/>
          <w:lang w:val="es-MX"/>
        </w:rPr>
        <w:sectPr w:rsidR="00FA3B81" w:rsidRPr="00D41BA1" w:rsidSect="004E358C">
          <w:type w:val="continuous"/>
          <w:pgSz w:w="12240" w:h="15840"/>
          <w:pgMar w:top="1417" w:right="1701" w:bottom="1417" w:left="1701" w:header="708" w:footer="708" w:gutter="0"/>
          <w:cols w:space="708"/>
          <w:docGrid w:linePitch="360"/>
        </w:sectPr>
      </w:pPr>
    </w:p>
    <w:p w:rsidR="00C40E36" w:rsidRDefault="00C40E36" w:rsidP="00C40E36">
      <w:pPr>
        <w:pStyle w:val="Sinespaciado"/>
        <w:jc w:val="both"/>
        <w:rPr>
          <w:rFonts w:ascii="Times New Roman" w:hAnsi="Times New Roman" w:cs="Times New Roman"/>
          <w:lang w:val="es-MX"/>
        </w:rPr>
      </w:pPr>
      <w:r>
        <w:rPr>
          <w:rFonts w:ascii="Times New Roman" w:hAnsi="Times New Roman" w:cs="Times New Roman"/>
          <w:lang w:val="es-MX"/>
        </w:rPr>
        <w:lastRenderedPageBreak/>
        <w:t xml:space="preserve">El gasto público a marzo de 2018, si bien no muestra un repunte en su ejecución, al menos se observa mayor dinamismo que el experimentado en el primer trimestre de 2017 y conforme a las expectativas se prevé para abril el gasto muestre una mayor tasa de crecimiento impulsado por la adquisición de bienes y servicios y la inversión. </w:t>
      </w:r>
    </w:p>
    <w:p w:rsidR="00C40E36" w:rsidRDefault="00C40E36" w:rsidP="00C40E36">
      <w:pPr>
        <w:pStyle w:val="Sinespaciado"/>
        <w:jc w:val="both"/>
        <w:rPr>
          <w:rFonts w:ascii="Times New Roman" w:hAnsi="Times New Roman" w:cs="Times New Roman"/>
          <w:lang w:val="es-MX"/>
        </w:rPr>
      </w:pPr>
    </w:p>
    <w:p w:rsidR="00C40E36" w:rsidRDefault="00C40E36" w:rsidP="00C40E36">
      <w:pPr>
        <w:pStyle w:val="Sinespaciado"/>
        <w:jc w:val="both"/>
        <w:rPr>
          <w:rFonts w:ascii="Times New Roman" w:hAnsi="Times New Roman" w:cs="Times New Roman"/>
          <w:lang w:val="es-MX"/>
        </w:rPr>
      </w:pPr>
      <w:r>
        <w:rPr>
          <w:rFonts w:ascii="Times New Roman" w:hAnsi="Times New Roman" w:cs="Times New Roman"/>
          <w:lang w:val="es-MX"/>
        </w:rPr>
        <w:t xml:space="preserve">En ese sentido, la ejecución al 31 </w:t>
      </w:r>
      <w:r w:rsidRPr="00F92177">
        <w:rPr>
          <w:rFonts w:ascii="Times New Roman" w:hAnsi="Times New Roman" w:cs="Times New Roman"/>
          <w:lang w:val="es-MX"/>
        </w:rPr>
        <w:t xml:space="preserve">de </w:t>
      </w:r>
      <w:r>
        <w:rPr>
          <w:rFonts w:ascii="Times New Roman" w:hAnsi="Times New Roman" w:cs="Times New Roman"/>
          <w:lang w:val="es-MX"/>
        </w:rPr>
        <w:t>marzo de 2018, se situó en Q13,963.8 millones (no incluye amortizaciones de deuda pública)</w:t>
      </w:r>
      <w:r w:rsidRPr="00F92177">
        <w:rPr>
          <w:rFonts w:ascii="Times New Roman" w:hAnsi="Times New Roman" w:cs="Times New Roman"/>
          <w:lang w:val="es-MX"/>
        </w:rPr>
        <w:t xml:space="preserve">, </w:t>
      </w:r>
      <w:r>
        <w:rPr>
          <w:rFonts w:ascii="Times New Roman" w:hAnsi="Times New Roman" w:cs="Times New Roman"/>
          <w:lang w:val="es-MX"/>
        </w:rPr>
        <w:t>mostrando un</w:t>
      </w:r>
      <w:r w:rsidRPr="00F92177">
        <w:rPr>
          <w:rFonts w:ascii="Times New Roman" w:hAnsi="Times New Roman" w:cs="Times New Roman"/>
          <w:lang w:val="es-MX"/>
        </w:rPr>
        <w:t xml:space="preserve"> crecimiento interanual </w:t>
      </w:r>
      <w:r>
        <w:rPr>
          <w:rFonts w:ascii="Times New Roman" w:hAnsi="Times New Roman" w:cs="Times New Roman"/>
          <w:lang w:val="es-MX"/>
        </w:rPr>
        <w:t>del 3.2</w:t>
      </w:r>
      <w:r w:rsidRPr="00F92177">
        <w:rPr>
          <w:rFonts w:ascii="Times New Roman" w:hAnsi="Times New Roman" w:cs="Times New Roman"/>
          <w:lang w:val="es-MX"/>
        </w:rPr>
        <w:t>%</w:t>
      </w:r>
      <w:r>
        <w:rPr>
          <w:rFonts w:ascii="Times New Roman" w:hAnsi="Times New Roman" w:cs="Times New Roman"/>
          <w:lang w:val="es-MX"/>
        </w:rPr>
        <w:t xml:space="preserve"> con</w:t>
      </w:r>
      <w:r w:rsidRPr="00F92177">
        <w:rPr>
          <w:rFonts w:ascii="Times New Roman" w:hAnsi="Times New Roman" w:cs="Times New Roman"/>
          <w:lang w:val="es-MX"/>
        </w:rPr>
        <w:t xml:space="preserve"> respecto </w:t>
      </w:r>
      <w:r>
        <w:rPr>
          <w:rFonts w:ascii="Times New Roman" w:hAnsi="Times New Roman" w:cs="Times New Roman"/>
          <w:lang w:val="es-MX"/>
        </w:rPr>
        <w:t xml:space="preserve">al mismo período de 2017. </w:t>
      </w:r>
    </w:p>
    <w:p w:rsidR="00CE75B5" w:rsidRPr="00D41BA1" w:rsidRDefault="00CE75B5" w:rsidP="00CE75B5">
      <w:pPr>
        <w:pStyle w:val="Sinespaciado"/>
        <w:jc w:val="both"/>
        <w:rPr>
          <w:rFonts w:ascii="Times New Roman" w:hAnsi="Times New Roman" w:cs="Times New Roman"/>
          <w:color w:val="FF0000"/>
          <w:lang w:val="es-MX"/>
        </w:rPr>
      </w:pPr>
    </w:p>
    <w:p w:rsidR="00051A92" w:rsidRDefault="00051A92" w:rsidP="00CE75B5">
      <w:pPr>
        <w:pStyle w:val="Sinespaciado"/>
        <w:jc w:val="both"/>
        <w:rPr>
          <w:rFonts w:ascii="Times New Roman" w:hAnsi="Times New Roman" w:cs="Times New Roman"/>
          <w:color w:val="FF0000"/>
          <w:lang w:val="es-MX"/>
        </w:rPr>
      </w:pPr>
    </w:p>
    <w:p w:rsidR="000655E6" w:rsidRDefault="000655E6" w:rsidP="00CE75B5">
      <w:pPr>
        <w:pStyle w:val="Sinespaciado"/>
        <w:jc w:val="both"/>
        <w:rPr>
          <w:rFonts w:ascii="Times New Roman" w:hAnsi="Times New Roman" w:cs="Times New Roman"/>
          <w:color w:val="FF0000"/>
          <w:lang w:val="es-MX"/>
        </w:rPr>
      </w:pPr>
    </w:p>
    <w:p w:rsidR="005F4EEF" w:rsidRPr="00D41BA1" w:rsidRDefault="005F4EEF" w:rsidP="00CE75B5">
      <w:pPr>
        <w:pStyle w:val="Sinespaciado"/>
        <w:jc w:val="both"/>
        <w:rPr>
          <w:rFonts w:ascii="Times New Roman" w:hAnsi="Times New Roman" w:cs="Times New Roman"/>
          <w:color w:val="FF0000"/>
          <w:lang w:val="es-MX"/>
        </w:rPr>
      </w:pPr>
    </w:p>
    <w:p w:rsidR="00CE75B5" w:rsidRPr="00C40E36" w:rsidRDefault="00CE75B5" w:rsidP="00CE75B5">
      <w:pPr>
        <w:pStyle w:val="Sinespaciado"/>
        <w:jc w:val="center"/>
        <w:rPr>
          <w:rFonts w:ascii="Times New Roman" w:hAnsi="Times New Roman" w:cs="Times New Roman"/>
          <w:b/>
          <w:lang w:val="es-MX"/>
        </w:rPr>
      </w:pPr>
      <w:r w:rsidRPr="00C40E36">
        <w:rPr>
          <w:rFonts w:ascii="Times New Roman" w:hAnsi="Times New Roman" w:cs="Times New Roman"/>
          <w:b/>
          <w:lang w:val="es-MX"/>
        </w:rPr>
        <w:lastRenderedPageBreak/>
        <w:t>Ritmo de Ejecución del Gasto</w:t>
      </w:r>
    </w:p>
    <w:p w:rsidR="00CE75B5" w:rsidRPr="00C40E36" w:rsidRDefault="00CE75B5" w:rsidP="00CE75B5">
      <w:pPr>
        <w:pStyle w:val="Sinespaciado"/>
        <w:jc w:val="center"/>
        <w:rPr>
          <w:noProof/>
          <w:lang w:eastAsia="es-GT"/>
        </w:rPr>
      </w:pPr>
      <w:r w:rsidRPr="00C40E36">
        <w:rPr>
          <w:rFonts w:ascii="Times New Roman" w:hAnsi="Times New Roman" w:cs="Times New Roman"/>
          <w:sz w:val="18"/>
          <w:lang w:val="es-MX"/>
        </w:rPr>
        <w:t>Variación Interanual</w:t>
      </w:r>
    </w:p>
    <w:p w:rsidR="00CE75B5" w:rsidRPr="00C40E36" w:rsidRDefault="00C40E36" w:rsidP="00CE75B5">
      <w:pPr>
        <w:pStyle w:val="Sinespaciado"/>
        <w:jc w:val="center"/>
        <w:rPr>
          <w:rFonts w:ascii="Times New Roman" w:hAnsi="Times New Roman" w:cs="Times New Roman"/>
          <w:lang w:val="es-MX"/>
        </w:rPr>
      </w:pPr>
      <w:bookmarkStart w:id="0" w:name="_GoBack"/>
      <w:r w:rsidRPr="00C40E36">
        <w:rPr>
          <w:rFonts w:ascii="Times New Roman" w:hAnsi="Times New Roman" w:cs="Times New Roman"/>
          <w:noProof/>
          <w:lang w:eastAsia="es-GT"/>
        </w:rPr>
        <w:drawing>
          <wp:inline distT="0" distB="0" distL="0" distR="0" wp14:anchorId="2466E70B" wp14:editId="1ABA619F">
            <wp:extent cx="2505075" cy="21240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05075" cy="2124075"/>
                    </a:xfrm>
                    <a:prstGeom prst="rect">
                      <a:avLst/>
                    </a:prstGeom>
                    <a:noFill/>
                  </pic:spPr>
                </pic:pic>
              </a:graphicData>
            </a:graphic>
          </wp:inline>
        </w:drawing>
      </w:r>
      <w:bookmarkEnd w:id="0"/>
    </w:p>
    <w:p w:rsidR="00CE75B5" w:rsidRPr="00C40E36" w:rsidRDefault="00CE75B5" w:rsidP="00CE75B5">
      <w:pPr>
        <w:pStyle w:val="Sinespaciado"/>
        <w:jc w:val="both"/>
        <w:rPr>
          <w:rFonts w:ascii="Times New Roman" w:hAnsi="Times New Roman" w:cs="Times New Roman"/>
          <w:sz w:val="16"/>
        </w:rPr>
      </w:pPr>
      <w:r w:rsidRPr="00C40E36">
        <w:rPr>
          <w:rFonts w:ascii="Times New Roman" w:hAnsi="Times New Roman" w:cs="Times New Roman"/>
          <w:sz w:val="16"/>
        </w:rPr>
        <w:t>Fuente: Dirección de Análisis y Política fiscal</w:t>
      </w:r>
    </w:p>
    <w:p w:rsidR="00C40E36" w:rsidRDefault="00C40E36" w:rsidP="00CE75B5">
      <w:pPr>
        <w:pStyle w:val="Sinespaciado"/>
        <w:jc w:val="both"/>
        <w:rPr>
          <w:rFonts w:ascii="Times New Roman" w:hAnsi="Times New Roman" w:cs="Times New Roman"/>
          <w:color w:val="FF0000"/>
          <w:lang w:val="es-MX"/>
        </w:rPr>
      </w:pPr>
    </w:p>
    <w:p w:rsidR="00C40E36" w:rsidRDefault="00C40E36" w:rsidP="00C40E36">
      <w:pPr>
        <w:pStyle w:val="Sinespaciado"/>
        <w:jc w:val="both"/>
        <w:rPr>
          <w:rFonts w:ascii="Times New Roman" w:hAnsi="Times New Roman" w:cs="Times New Roman"/>
          <w:lang w:val="es-MX"/>
        </w:rPr>
      </w:pPr>
      <w:r>
        <w:rPr>
          <w:rFonts w:ascii="Times New Roman" w:hAnsi="Times New Roman" w:cs="Times New Roman"/>
          <w:lang w:val="es-MX"/>
        </w:rPr>
        <w:lastRenderedPageBreak/>
        <w:t xml:space="preserve">Los rubros de gasto que muestran una menor ejecución con respecto a lo observado en marzo de 2017, son los intereses de la deuda pública como resultado de que en diciembre de 2017 se adelantaron algunas amortizaciones de la deuda que redujeron el pago de intereses, igualmente se explica por la reducción gradual en las tasas de interés de los títulos de deuda pública.  Asimismo, las transferencias de capital se han reducido en buena medida asociado a que el requerimiento por parte de las entidades descentralizadas es menor. </w:t>
      </w:r>
    </w:p>
    <w:p w:rsidR="00C40E36" w:rsidRDefault="00C40E36" w:rsidP="00C40E36">
      <w:pPr>
        <w:pStyle w:val="Sinespaciado"/>
        <w:jc w:val="both"/>
        <w:rPr>
          <w:rFonts w:ascii="Times New Roman" w:hAnsi="Times New Roman" w:cs="Times New Roman"/>
          <w:lang w:val="es-MX"/>
        </w:rPr>
      </w:pPr>
    </w:p>
    <w:p w:rsidR="00CE75B5" w:rsidRPr="00D41BA1" w:rsidRDefault="00C40E36" w:rsidP="00CE75B5">
      <w:pPr>
        <w:pStyle w:val="Sinespaciado"/>
        <w:jc w:val="both"/>
        <w:rPr>
          <w:rFonts w:ascii="Times New Roman" w:hAnsi="Times New Roman" w:cs="Times New Roman"/>
          <w:color w:val="FF0000"/>
          <w:lang w:val="es-MX"/>
        </w:rPr>
      </w:pPr>
      <w:r>
        <w:rPr>
          <w:rFonts w:ascii="Times New Roman" w:hAnsi="Times New Roman" w:cs="Times New Roman"/>
          <w:lang w:val="es-MX"/>
        </w:rPr>
        <w:t>Por su parte, los rubros que mostraron un aumento en la ejecución están las remuneraciones, bienes y servicios, las prestaciones a la seguridad social y la inversión real directa.  A este respecto, es importante indicar que el comportamiento en estos rubros se debe entre otros aspectos al aumento que tuvieron las adjudicaciones de contratos en 2017, exceptuando las prestaciones a la seguridad social que muestra el efecto del aumento en las pensiones con aporte menores al salario mínimo que se otorgaron en mayo de 2017.</w:t>
      </w:r>
    </w:p>
    <w:p w:rsidR="00CE75B5" w:rsidRPr="00D41BA1" w:rsidRDefault="00CE75B5" w:rsidP="00CE75B5">
      <w:pPr>
        <w:pStyle w:val="Sinespaciado"/>
        <w:jc w:val="both"/>
        <w:rPr>
          <w:rFonts w:ascii="Times New Roman" w:hAnsi="Times New Roman" w:cs="Times New Roman"/>
          <w:color w:val="FF0000"/>
          <w:lang w:val="es-MX"/>
        </w:rPr>
      </w:pPr>
    </w:p>
    <w:p w:rsidR="00CE75B5" w:rsidRPr="00C40E36" w:rsidRDefault="00CE75B5" w:rsidP="00CE75B5">
      <w:pPr>
        <w:pStyle w:val="Sinespaciado"/>
        <w:jc w:val="center"/>
        <w:rPr>
          <w:rFonts w:ascii="Times New Roman" w:hAnsi="Times New Roman" w:cs="Times New Roman"/>
          <w:b/>
          <w:lang w:val="es-MX"/>
        </w:rPr>
      </w:pPr>
      <w:r w:rsidRPr="00C40E36">
        <w:rPr>
          <w:rFonts w:ascii="Times New Roman" w:hAnsi="Times New Roman" w:cs="Times New Roman"/>
          <w:b/>
          <w:lang w:val="es-MX"/>
        </w:rPr>
        <w:t>Variación Nominal del Gasto Económico</w:t>
      </w:r>
    </w:p>
    <w:p w:rsidR="00CE75B5" w:rsidRPr="00C40E36" w:rsidRDefault="00CE75B5" w:rsidP="00CE75B5">
      <w:pPr>
        <w:pStyle w:val="Sinespaciado"/>
        <w:jc w:val="center"/>
        <w:rPr>
          <w:rFonts w:ascii="Times New Roman" w:hAnsi="Times New Roman" w:cs="Times New Roman"/>
          <w:sz w:val="18"/>
          <w:lang w:val="es-MX"/>
        </w:rPr>
      </w:pPr>
      <w:r w:rsidRPr="00C40E36">
        <w:rPr>
          <w:rFonts w:ascii="Times New Roman" w:hAnsi="Times New Roman" w:cs="Times New Roman"/>
          <w:sz w:val="18"/>
          <w:lang w:val="es-MX"/>
        </w:rPr>
        <w:t>Millones de quetzales</w:t>
      </w:r>
    </w:p>
    <w:p w:rsidR="00CE75B5" w:rsidRPr="00C40E36" w:rsidRDefault="00C40E36" w:rsidP="00CE75B5">
      <w:pPr>
        <w:pStyle w:val="Sinespaciado"/>
        <w:jc w:val="both"/>
        <w:rPr>
          <w:rFonts w:ascii="Times New Roman" w:hAnsi="Times New Roman" w:cs="Times New Roman"/>
          <w:lang w:val="es-MX"/>
        </w:rPr>
      </w:pPr>
      <w:r w:rsidRPr="00C40E36">
        <w:rPr>
          <w:rFonts w:ascii="Times New Roman" w:hAnsi="Times New Roman" w:cs="Times New Roman"/>
          <w:noProof/>
          <w:lang w:eastAsia="es-GT"/>
        </w:rPr>
        <w:drawing>
          <wp:inline distT="0" distB="0" distL="0" distR="0" wp14:anchorId="3D088262" wp14:editId="0A7EC9F7">
            <wp:extent cx="2628900" cy="2294626"/>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4234" cy="2316739"/>
                    </a:xfrm>
                    <a:prstGeom prst="rect">
                      <a:avLst/>
                    </a:prstGeom>
                    <a:noFill/>
                  </pic:spPr>
                </pic:pic>
              </a:graphicData>
            </a:graphic>
          </wp:inline>
        </w:drawing>
      </w:r>
    </w:p>
    <w:p w:rsidR="00CE75B5" w:rsidRPr="00C40E36" w:rsidRDefault="00CE75B5" w:rsidP="00CE75B5">
      <w:pPr>
        <w:pStyle w:val="Sinespaciado"/>
        <w:jc w:val="both"/>
        <w:rPr>
          <w:rFonts w:ascii="Times New Roman" w:hAnsi="Times New Roman" w:cs="Times New Roman"/>
          <w:sz w:val="16"/>
        </w:rPr>
      </w:pPr>
      <w:r w:rsidRPr="00C40E36">
        <w:rPr>
          <w:rFonts w:ascii="Times New Roman" w:hAnsi="Times New Roman" w:cs="Times New Roman"/>
          <w:sz w:val="16"/>
        </w:rPr>
        <w:t>Fuente: Dirección de Análisis y Política fiscal</w:t>
      </w:r>
    </w:p>
    <w:p w:rsidR="00CE75B5" w:rsidRPr="00D41BA1" w:rsidRDefault="00C40E36" w:rsidP="00CE75B5">
      <w:pPr>
        <w:pStyle w:val="Sinespaciado"/>
        <w:jc w:val="both"/>
        <w:rPr>
          <w:rFonts w:ascii="Times New Roman" w:hAnsi="Times New Roman" w:cs="Times New Roman"/>
          <w:color w:val="FF0000"/>
          <w:lang w:val="es-MX"/>
        </w:rPr>
      </w:pPr>
      <w:r>
        <w:rPr>
          <w:rFonts w:ascii="Times New Roman" w:hAnsi="Times New Roman" w:cs="Times New Roman"/>
          <w:lang w:val="es-MX"/>
        </w:rPr>
        <w:lastRenderedPageBreak/>
        <w:t>El comportamiento del gasto realizado, permitió que el grado de ejecución presupuestaria, se ubicara al cierre de marzo de 2018 en 19.0%, por debajo del promedio de los años (2013-2017) que fue de 19.4%, pero superior al observado 2017 que fue de 18.6%.</w:t>
      </w:r>
      <w:r w:rsidR="00CE75B5" w:rsidRPr="00D41BA1">
        <w:rPr>
          <w:rFonts w:ascii="Times New Roman" w:hAnsi="Times New Roman" w:cs="Times New Roman"/>
          <w:color w:val="FF0000"/>
          <w:lang w:val="es-MX"/>
        </w:rPr>
        <w:t xml:space="preserve"> </w:t>
      </w:r>
    </w:p>
    <w:p w:rsidR="00CE75B5" w:rsidRPr="00D41BA1" w:rsidRDefault="00CE75B5" w:rsidP="00CE75B5">
      <w:pPr>
        <w:pStyle w:val="Sinespaciado"/>
        <w:jc w:val="both"/>
        <w:rPr>
          <w:rFonts w:ascii="Times New Roman" w:hAnsi="Times New Roman" w:cs="Times New Roman"/>
          <w:color w:val="FF0000"/>
          <w:lang w:val="es-MX"/>
        </w:rPr>
      </w:pPr>
    </w:p>
    <w:p w:rsidR="00CE75B5" w:rsidRPr="00C40E36" w:rsidRDefault="00CE75B5" w:rsidP="00CE75B5">
      <w:pPr>
        <w:pStyle w:val="Sinespaciado"/>
        <w:jc w:val="center"/>
        <w:rPr>
          <w:rFonts w:ascii="Times New Roman" w:hAnsi="Times New Roman" w:cs="Times New Roman"/>
          <w:b/>
          <w:lang w:val="es-MX"/>
        </w:rPr>
      </w:pPr>
      <w:r w:rsidRPr="00D41BA1">
        <w:rPr>
          <w:rFonts w:ascii="Times New Roman" w:hAnsi="Times New Roman" w:cs="Times New Roman"/>
          <w:color w:val="FF0000"/>
          <w:lang w:val="es-MX"/>
        </w:rPr>
        <w:t xml:space="preserve"> </w:t>
      </w:r>
      <w:r w:rsidRPr="00C40E36">
        <w:rPr>
          <w:rFonts w:ascii="Times New Roman" w:hAnsi="Times New Roman" w:cs="Times New Roman"/>
          <w:b/>
          <w:lang w:val="es-MX"/>
        </w:rPr>
        <w:t>Grado de Ejecución por Entidad</w:t>
      </w:r>
    </w:p>
    <w:p w:rsidR="00CE75B5" w:rsidRPr="00C40E36" w:rsidRDefault="00CE75B5" w:rsidP="00CE75B5">
      <w:pPr>
        <w:pStyle w:val="Sinespaciado"/>
        <w:jc w:val="center"/>
        <w:rPr>
          <w:rFonts w:ascii="Times New Roman" w:hAnsi="Times New Roman" w:cs="Times New Roman"/>
          <w:sz w:val="18"/>
          <w:szCs w:val="18"/>
          <w:lang w:val="es-MX"/>
        </w:rPr>
      </w:pPr>
      <w:r w:rsidRPr="00C40E36">
        <w:rPr>
          <w:rFonts w:ascii="Times New Roman" w:hAnsi="Times New Roman" w:cs="Times New Roman"/>
          <w:sz w:val="18"/>
          <w:szCs w:val="18"/>
          <w:lang w:val="es-MX"/>
        </w:rPr>
        <w:t>Al 31 de marzo de 2018</w:t>
      </w:r>
    </w:p>
    <w:p w:rsidR="00CE75B5" w:rsidRPr="00C40E36" w:rsidRDefault="00CE75B5" w:rsidP="00CE75B5">
      <w:pPr>
        <w:pStyle w:val="Sinespaciado"/>
        <w:jc w:val="center"/>
        <w:rPr>
          <w:rFonts w:ascii="Times New Roman" w:hAnsi="Times New Roman" w:cs="Times New Roman"/>
          <w:sz w:val="18"/>
          <w:szCs w:val="18"/>
          <w:lang w:val="es-MX"/>
        </w:rPr>
      </w:pPr>
      <w:r w:rsidRPr="00C40E36">
        <w:rPr>
          <w:rFonts w:ascii="Times New Roman" w:hAnsi="Times New Roman" w:cs="Times New Roman"/>
          <w:sz w:val="18"/>
          <w:szCs w:val="18"/>
          <w:lang w:val="es-MX"/>
        </w:rPr>
        <w:t>Millones de quetzales</w:t>
      </w:r>
    </w:p>
    <w:p w:rsidR="00CE75B5" w:rsidRPr="00C40E36" w:rsidRDefault="00C40E36" w:rsidP="00CE75B5">
      <w:pPr>
        <w:pStyle w:val="Sinespaciado"/>
        <w:jc w:val="both"/>
        <w:rPr>
          <w:rFonts w:ascii="Times New Roman" w:hAnsi="Times New Roman" w:cs="Times New Roman"/>
          <w:lang w:val="es-MX"/>
        </w:rPr>
      </w:pPr>
      <w:r w:rsidRPr="00C40E36">
        <w:rPr>
          <w:rFonts w:ascii="Times New Roman" w:hAnsi="Times New Roman" w:cs="Times New Roman"/>
          <w:noProof/>
          <w:lang w:eastAsia="es-GT"/>
        </w:rPr>
        <w:drawing>
          <wp:inline distT="0" distB="0" distL="0" distR="0" wp14:anchorId="705A8537" wp14:editId="5BB571CF">
            <wp:extent cx="2670347" cy="2855344"/>
            <wp:effectExtent l="0" t="0" r="0" b="254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83302" cy="2869197"/>
                    </a:xfrm>
                    <a:prstGeom prst="rect">
                      <a:avLst/>
                    </a:prstGeom>
                    <a:noFill/>
                  </pic:spPr>
                </pic:pic>
              </a:graphicData>
            </a:graphic>
          </wp:inline>
        </w:drawing>
      </w:r>
    </w:p>
    <w:p w:rsidR="00CE75B5" w:rsidRPr="00C40E36" w:rsidRDefault="00CE75B5" w:rsidP="00CE75B5">
      <w:pPr>
        <w:pStyle w:val="Sinespaciado"/>
        <w:jc w:val="both"/>
        <w:rPr>
          <w:rFonts w:ascii="Times New Roman" w:hAnsi="Times New Roman" w:cs="Times New Roman"/>
          <w:sz w:val="16"/>
        </w:rPr>
      </w:pPr>
      <w:r w:rsidRPr="00C40E36">
        <w:rPr>
          <w:rFonts w:ascii="Times New Roman" w:hAnsi="Times New Roman" w:cs="Times New Roman"/>
          <w:sz w:val="16"/>
        </w:rPr>
        <w:t>Fuente: Dirección de Análisis y Política fiscal</w:t>
      </w:r>
    </w:p>
    <w:p w:rsidR="00CE75B5" w:rsidRPr="00D41BA1" w:rsidRDefault="00CE75B5" w:rsidP="00CE75B5">
      <w:pPr>
        <w:pStyle w:val="Sinespaciado"/>
        <w:jc w:val="both"/>
        <w:rPr>
          <w:rFonts w:ascii="Times New Roman" w:hAnsi="Times New Roman" w:cs="Times New Roman"/>
          <w:color w:val="FF0000"/>
        </w:rPr>
      </w:pPr>
    </w:p>
    <w:p w:rsidR="00E27247" w:rsidRPr="00D41BA1" w:rsidRDefault="00C40E36" w:rsidP="00E570ED">
      <w:pPr>
        <w:pStyle w:val="Sinespaciado"/>
        <w:jc w:val="both"/>
        <w:rPr>
          <w:rFonts w:ascii="Times New Roman" w:hAnsi="Times New Roman" w:cs="Times New Roman"/>
          <w:color w:val="FF0000"/>
        </w:rPr>
      </w:pPr>
      <w:r>
        <w:rPr>
          <w:rFonts w:ascii="Times New Roman" w:hAnsi="Times New Roman" w:cs="Times New Roman"/>
        </w:rPr>
        <w:t>La ejecución de gasto incluyendo las amortizaciones de la deuda pública, al 31 de marzo de 2018, se ubicó en Q14,644.3 millones.  Dentro de las entidades que muestran mayor ejecución a febrero de este año, destacan al PGN, la presidencia y los de educación, trabajo y defensa.   Por su parte, los ministerios cuya ejecución fue relativamente baja se encuentran Economía, Desarrollo y Comunicaciones.</w:t>
      </w:r>
    </w:p>
    <w:p w:rsidR="00051A92" w:rsidRPr="00D41BA1" w:rsidRDefault="00051A92" w:rsidP="00E570ED">
      <w:pPr>
        <w:pStyle w:val="Sinespaciado"/>
        <w:jc w:val="both"/>
        <w:rPr>
          <w:rFonts w:ascii="Times New Roman" w:hAnsi="Times New Roman" w:cs="Times New Roman"/>
          <w:color w:val="FF0000"/>
        </w:rPr>
      </w:pPr>
    </w:p>
    <w:p w:rsidR="00051A92" w:rsidRPr="00D41BA1" w:rsidRDefault="00051A92" w:rsidP="00E570ED">
      <w:pPr>
        <w:pStyle w:val="Sinespaciado"/>
        <w:jc w:val="both"/>
        <w:rPr>
          <w:rFonts w:ascii="Times New Roman" w:hAnsi="Times New Roman" w:cs="Times New Roman"/>
          <w:color w:val="FF0000"/>
        </w:rPr>
      </w:pPr>
    </w:p>
    <w:p w:rsidR="00051A92" w:rsidRPr="00D41BA1" w:rsidRDefault="00051A92" w:rsidP="00E570ED">
      <w:pPr>
        <w:pStyle w:val="Sinespaciado"/>
        <w:jc w:val="both"/>
        <w:rPr>
          <w:rFonts w:ascii="Times New Roman" w:hAnsi="Times New Roman" w:cs="Times New Roman"/>
          <w:color w:val="FF0000"/>
        </w:rPr>
      </w:pPr>
    </w:p>
    <w:p w:rsidR="00051A92" w:rsidRPr="00D41BA1" w:rsidRDefault="00051A92" w:rsidP="00E570ED">
      <w:pPr>
        <w:pStyle w:val="Sinespaciado"/>
        <w:jc w:val="both"/>
        <w:rPr>
          <w:rFonts w:ascii="Times New Roman" w:hAnsi="Times New Roman" w:cs="Times New Roman"/>
          <w:color w:val="FF0000"/>
        </w:rPr>
      </w:pPr>
    </w:p>
    <w:p w:rsidR="00051A92" w:rsidRPr="00D41BA1" w:rsidRDefault="00051A92" w:rsidP="00E570ED">
      <w:pPr>
        <w:pStyle w:val="Sinespaciado"/>
        <w:jc w:val="both"/>
        <w:rPr>
          <w:rFonts w:ascii="Times New Roman" w:hAnsi="Times New Roman" w:cs="Times New Roman"/>
          <w:color w:val="FF0000"/>
        </w:rPr>
      </w:pPr>
    </w:p>
    <w:p w:rsidR="00051A92" w:rsidRPr="00D41BA1" w:rsidRDefault="00051A92" w:rsidP="00E570ED">
      <w:pPr>
        <w:pStyle w:val="Sinespaciado"/>
        <w:jc w:val="both"/>
        <w:rPr>
          <w:rFonts w:ascii="Times New Roman" w:hAnsi="Times New Roman" w:cs="Times New Roman"/>
          <w:color w:val="FF0000"/>
          <w:sz w:val="16"/>
        </w:rPr>
      </w:pPr>
    </w:p>
    <w:p w:rsidR="00051A92" w:rsidRPr="00D41BA1" w:rsidRDefault="00051A92" w:rsidP="00E570ED">
      <w:pPr>
        <w:pStyle w:val="Sinespaciado"/>
        <w:jc w:val="both"/>
        <w:rPr>
          <w:rFonts w:ascii="Times New Roman" w:hAnsi="Times New Roman" w:cs="Times New Roman"/>
          <w:color w:val="FF0000"/>
          <w:sz w:val="16"/>
        </w:rPr>
        <w:sectPr w:rsidR="00051A92" w:rsidRPr="00D41BA1" w:rsidSect="00040C99">
          <w:headerReference w:type="default" r:id="rId23"/>
          <w:footerReference w:type="default" r:id="rId24"/>
          <w:type w:val="continuous"/>
          <w:pgSz w:w="12240" w:h="15840" w:code="1"/>
          <w:pgMar w:top="1418" w:right="1418" w:bottom="1418" w:left="1701" w:header="709" w:footer="709" w:gutter="0"/>
          <w:cols w:num="2" w:space="708"/>
          <w:docGrid w:linePitch="360"/>
        </w:sectPr>
      </w:pPr>
    </w:p>
    <w:p w:rsidR="001E4CD2" w:rsidRPr="00D41BA1" w:rsidRDefault="001E4CD2" w:rsidP="00216605">
      <w:pPr>
        <w:pStyle w:val="Sinespaciado"/>
        <w:jc w:val="both"/>
        <w:rPr>
          <w:rFonts w:ascii="Times New Roman" w:hAnsi="Times New Roman" w:cs="Times New Roman"/>
          <w:color w:val="FF0000"/>
          <w:lang w:val="es-MX"/>
        </w:rPr>
      </w:pPr>
    </w:p>
    <w:p w:rsidR="00216605" w:rsidRPr="00C40E36" w:rsidRDefault="00C40E36" w:rsidP="00216605">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216605" w:rsidRPr="00C40E36" w:rsidSect="00FA3B81">
          <w:type w:val="continuous"/>
          <w:pgSz w:w="12240" w:h="15840" w:code="1"/>
          <w:pgMar w:top="1418" w:right="1418" w:bottom="1418" w:left="1418" w:header="709" w:footer="709" w:gutter="0"/>
          <w:cols w:space="708"/>
          <w:docGrid w:linePitch="360"/>
        </w:sectPr>
      </w:pPr>
      <w:r w:rsidRPr="00C40E36">
        <w:rPr>
          <w:rFonts w:ascii="Times New Roman" w:hAnsi="Times New Roman" w:cs="Times New Roman"/>
          <w:b/>
          <w:lang w:val="es-MX"/>
        </w:rPr>
        <w:lastRenderedPageBreak/>
        <w:t>Financiamiento del déficit presupuestario</w:t>
      </w:r>
    </w:p>
    <w:p w:rsidR="00216605" w:rsidRPr="00D41BA1" w:rsidRDefault="00216605" w:rsidP="00216605">
      <w:pPr>
        <w:pStyle w:val="Sinespaciado"/>
        <w:rPr>
          <w:rFonts w:ascii="Times New Roman" w:hAnsi="Times New Roman" w:cs="Times New Roman"/>
          <w:b/>
          <w:color w:val="FF0000"/>
          <w:sz w:val="24"/>
          <w:lang w:val="es-MX"/>
        </w:rPr>
      </w:pPr>
    </w:p>
    <w:p w:rsidR="00216605" w:rsidRPr="00D41BA1" w:rsidRDefault="00216605" w:rsidP="00216605">
      <w:pPr>
        <w:pStyle w:val="Sinespaciado"/>
        <w:rPr>
          <w:rFonts w:ascii="Times New Roman" w:hAnsi="Times New Roman" w:cs="Times New Roman"/>
          <w:b/>
          <w:color w:val="FF0000"/>
          <w:lang w:val="es-MX"/>
        </w:rPr>
        <w:sectPr w:rsidR="00216605" w:rsidRPr="00D41BA1" w:rsidSect="004E358C">
          <w:type w:val="continuous"/>
          <w:pgSz w:w="12240" w:h="15840"/>
          <w:pgMar w:top="1417" w:right="1701" w:bottom="1417" w:left="1701" w:header="708" w:footer="708" w:gutter="0"/>
          <w:cols w:space="708"/>
          <w:docGrid w:linePitch="360"/>
        </w:sectPr>
      </w:pPr>
    </w:p>
    <w:p w:rsidR="00F641E1" w:rsidRPr="00D41BA1" w:rsidRDefault="00C40E36" w:rsidP="00C40E36">
      <w:pPr>
        <w:pStyle w:val="Sinespaciado"/>
        <w:jc w:val="both"/>
        <w:rPr>
          <w:rFonts w:ascii="Times New Roman" w:hAnsi="Times New Roman" w:cs="Times New Roman"/>
          <w:color w:val="FF0000"/>
          <w:lang w:val="es-MX"/>
        </w:rPr>
      </w:pPr>
      <w:r>
        <w:rPr>
          <w:rFonts w:ascii="Times New Roman" w:hAnsi="Times New Roman" w:cs="Times New Roman"/>
        </w:rPr>
        <w:lastRenderedPageBreak/>
        <w:t xml:space="preserve">En cuanto al financiamiento del déficit de presupuesto, al cierre de marzo 2018 se obtuvo un flujo negativo en el endeudamiento externo neto por el equivalente a Q515.5 millones. A pesar que el nivel de desembolsos de préstamos externos en lo que va del año es el más alto desde 2015.    Asimismo, se han realizado varios eventos de colocación de Bonos del Tesoro los </w:t>
      </w:r>
      <w:r>
        <w:rPr>
          <w:rFonts w:ascii="Times New Roman" w:hAnsi="Times New Roman" w:cs="Times New Roman"/>
        </w:rPr>
        <w:lastRenderedPageBreak/>
        <w:t>cuales muestran una demanda acumulada de Q11,496.0 de los cuales se adjudicaron Q2,530.9 millones en el mercado interno en moneda nacional, reportando una tasa promedio ponderada de 6.7% a un plazo promedio de 11.9 años.</w:t>
      </w:r>
      <w:r w:rsidR="00B606D0" w:rsidRPr="00D41BA1">
        <w:rPr>
          <w:rFonts w:ascii="Times New Roman" w:hAnsi="Times New Roman" w:cs="Times New Roman"/>
          <w:color w:val="FF0000"/>
          <w:lang w:val="es-MX"/>
        </w:rPr>
        <w:t xml:space="preserve"> </w:t>
      </w:r>
    </w:p>
    <w:p w:rsidR="00E570ED" w:rsidRPr="00D41BA1" w:rsidRDefault="00E570ED" w:rsidP="00E27247">
      <w:pPr>
        <w:pStyle w:val="Sinespaciado"/>
        <w:jc w:val="both"/>
        <w:rPr>
          <w:rFonts w:ascii="Times New Roman" w:hAnsi="Times New Roman" w:cs="Times New Roman"/>
          <w:color w:val="FF0000"/>
        </w:rPr>
      </w:pPr>
    </w:p>
    <w:p w:rsidR="00804E1C" w:rsidRPr="00D41BA1" w:rsidRDefault="00804E1C" w:rsidP="007C0C8C">
      <w:pPr>
        <w:pStyle w:val="Sinespaciado"/>
        <w:jc w:val="both"/>
        <w:rPr>
          <w:rFonts w:ascii="Times New Roman" w:hAnsi="Times New Roman" w:cs="Times New Roman"/>
          <w:color w:val="FF0000"/>
          <w:sz w:val="12"/>
        </w:rPr>
        <w:sectPr w:rsidR="00804E1C" w:rsidRPr="00D41BA1" w:rsidSect="00040C99">
          <w:headerReference w:type="default" r:id="rId25"/>
          <w:footerReference w:type="default" r:id="rId26"/>
          <w:type w:val="continuous"/>
          <w:pgSz w:w="12240" w:h="15840" w:code="1"/>
          <w:pgMar w:top="1418" w:right="1418" w:bottom="1418" w:left="1701" w:header="709" w:footer="709" w:gutter="0"/>
          <w:cols w:num="2" w:space="708"/>
          <w:docGrid w:linePitch="360"/>
        </w:sectPr>
      </w:pPr>
    </w:p>
    <w:p w:rsidR="001E4CD2" w:rsidRPr="00D41BA1" w:rsidRDefault="001E4CD2" w:rsidP="00BC7539">
      <w:pPr>
        <w:pStyle w:val="Sinespaciado"/>
        <w:jc w:val="both"/>
        <w:rPr>
          <w:rFonts w:ascii="Times New Roman" w:hAnsi="Times New Roman" w:cs="Times New Roman"/>
          <w:color w:val="FF0000"/>
          <w:sz w:val="16"/>
        </w:rPr>
      </w:pPr>
    </w:p>
    <w:p w:rsidR="00CE75B5" w:rsidRPr="00D41BA1" w:rsidRDefault="00CE75B5" w:rsidP="00CE75B5">
      <w:pPr>
        <w:pStyle w:val="Sinespaciado"/>
        <w:jc w:val="both"/>
        <w:rPr>
          <w:rFonts w:ascii="Times New Roman" w:hAnsi="Times New Roman" w:cs="Times New Roman"/>
          <w:color w:val="FF0000"/>
          <w:lang w:val="es-MX"/>
        </w:rPr>
        <w:sectPr w:rsidR="00CE75B5" w:rsidRPr="00D41BA1" w:rsidSect="00D554B2">
          <w:type w:val="continuous"/>
          <w:pgSz w:w="12240" w:h="15840"/>
          <w:pgMar w:top="1417" w:right="1701" w:bottom="1417" w:left="1701" w:header="708" w:footer="708" w:gutter="0"/>
          <w:cols w:num="2" w:space="708"/>
          <w:docGrid w:linePitch="360"/>
        </w:sectPr>
      </w:pPr>
    </w:p>
    <w:p w:rsidR="00B96036" w:rsidRPr="00D41BA1" w:rsidRDefault="00B96036" w:rsidP="00D4202F">
      <w:pPr>
        <w:spacing w:after="0"/>
        <w:rPr>
          <w:rFonts w:ascii="Times New Roman" w:hAnsi="Times New Roman" w:cs="Times New Roman"/>
          <w:color w:val="FF0000"/>
          <w:lang w:val="es-MX"/>
        </w:rPr>
        <w:sectPr w:rsidR="00B96036" w:rsidRPr="00D41BA1" w:rsidSect="004E358C">
          <w:type w:val="continuous"/>
          <w:pgSz w:w="12240" w:h="15840"/>
          <w:pgMar w:top="1417" w:right="1701" w:bottom="1417" w:left="1701" w:header="708" w:footer="708" w:gutter="0"/>
          <w:cols w:num="2" w:space="708"/>
          <w:docGrid w:linePitch="360"/>
        </w:sectPr>
      </w:pPr>
    </w:p>
    <w:p w:rsidR="00494D1D" w:rsidRPr="00D41BA1" w:rsidRDefault="0042387A" w:rsidP="00BB4C28">
      <w:pPr>
        <w:pBdr>
          <w:top w:val="single" w:sz="4" w:space="0"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D41BA1" w:rsidSect="00FA3B81">
          <w:headerReference w:type="default" r:id="rId27"/>
          <w:footerReference w:type="default" r:id="rId28"/>
          <w:type w:val="continuous"/>
          <w:pgSz w:w="12240" w:h="15840" w:code="1"/>
          <w:pgMar w:top="1418" w:right="1418" w:bottom="1418" w:left="1418" w:header="709" w:footer="709" w:gutter="0"/>
          <w:cols w:space="708"/>
          <w:docGrid w:linePitch="360"/>
        </w:sectPr>
      </w:pPr>
      <w:r w:rsidRPr="00D41BA1">
        <w:rPr>
          <w:rFonts w:ascii="Times New Roman" w:hAnsi="Times New Roman" w:cs="Times New Roman"/>
          <w:b/>
          <w:lang w:val="es-MX"/>
        </w:rPr>
        <w:lastRenderedPageBreak/>
        <w:t>Ambientes macroeconómicos (externo e interno)</w:t>
      </w:r>
    </w:p>
    <w:p w:rsidR="00494D1D" w:rsidRPr="00D41BA1" w:rsidRDefault="00494D1D" w:rsidP="00494D1D">
      <w:pPr>
        <w:pStyle w:val="Sinespaciado"/>
        <w:rPr>
          <w:rFonts w:ascii="Times New Roman" w:hAnsi="Times New Roman" w:cs="Times New Roman"/>
          <w:b/>
          <w:sz w:val="18"/>
          <w:lang w:val="es-MX"/>
        </w:rPr>
      </w:pPr>
    </w:p>
    <w:p w:rsidR="00494D1D" w:rsidRPr="00D41BA1" w:rsidRDefault="00494D1D" w:rsidP="00494D1D">
      <w:pPr>
        <w:pStyle w:val="Sinespaciado"/>
        <w:rPr>
          <w:rFonts w:ascii="Times New Roman" w:hAnsi="Times New Roman" w:cs="Times New Roman"/>
          <w:b/>
          <w:sz w:val="28"/>
          <w:lang w:val="es-MX"/>
        </w:rPr>
        <w:sectPr w:rsidR="00494D1D" w:rsidRPr="00D41BA1" w:rsidSect="004E358C">
          <w:type w:val="continuous"/>
          <w:pgSz w:w="12240" w:h="15840"/>
          <w:pgMar w:top="1417" w:right="1701" w:bottom="1417" w:left="1701" w:header="708" w:footer="708" w:gutter="0"/>
          <w:cols w:space="708"/>
          <w:docGrid w:linePitch="360"/>
        </w:sectPr>
      </w:pPr>
    </w:p>
    <w:p w:rsidR="00827563" w:rsidRDefault="0030695C" w:rsidP="003B00D2">
      <w:pPr>
        <w:spacing w:after="0" w:line="240" w:lineRule="auto"/>
        <w:jc w:val="both"/>
        <w:rPr>
          <w:rFonts w:ascii="Times New Roman" w:hAnsi="Times New Roman" w:cs="Times New Roman"/>
          <w:lang w:val="es-MX"/>
        </w:rPr>
      </w:pPr>
      <w:r w:rsidRPr="00D41BA1">
        <w:rPr>
          <w:rFonts w:ascii="Times New Roman" w:hAnsi="Times New Roman" w:cs="Times New Roman"/>
          <w:lang w:val="es-MX"/>
        </w:rPr>
        <w:lastRenderedPageBreak/>
        <w:t xml:space="preserve">Entre lo más relevante acontecido en </w:t>
      </w:r>
      <w:r w:rsidR="00A53877" w:rsidRPr="00D41BA1">
        <w:rPr>
          <w:rFonts w:ascii="Times New Roman" w:hAnsi="Times New Roman" w:cs="Times New Roman"/>
          <w:lang w:val="es-MX"/>
        </w:rPr>
        <w:t xml:space="preserve">marzo destaca </w:t>
      </w:r>
      <w:r w:rsidR="003B00D2" w:rsidRPr="00D41BA1">
        <w:rPr>
          <w:rFonts w:ascii="Times New Roman" w:hAnsi="Times New Roman" w:cs="Times New Roman"/>
          <w:lang w:val="es-MX"/>
        </w:rPr>
        <w:t>la revisión de las previsiones de crecimiento de la economía mundial realizada por l</w:t>
      </w:r>
      <w:r w:rsidR="00F03418" w:rsidRPr="00D41BA1">
        <w:rPr>
          <w:rFonts w:ascii="Times New Roman" w:hAnsi="Times New Roman" w:cs="Times New Roman"/>
          <w:lang w:val="es-MX"/>
        </w:rPr>
        <w:t xml:space="preserve">a Organización para la Cooperación y el Desarrollo Económico (OCDE), </w:t>
      </w:r>
      <w:r w:rsidR="003B00D2" w:rsidRPr="00D41BA1">
        <w:rPr>
          <w:rFonts w:ascii="Times New Roman" w:hAnsi="Times New Roman" w:cs="Times New Roman"/>
          <w:lang w:val="es-MX"/>
        </w:rPr>
        <w:t xml:space="preserve">en donde </w:t>
      </w:r>
      <w:r w:rsidR="00F03418" w:rsidRPr="00D41BA1">
        <w:rPr>
          <w:rFonts w:ascii="Times New Roman" w:hAnsi="Times New Roman" w:cs="Times New Roman"/>
          <w:lang w:val="es-MX"/>
        </w:rPr>
        <w:t xml:space="preserve">espera que en 2018 crezca a un ritmo de 3.9%, un aumento del 0.2% en relación a sus proyecciones publicadas en noviembre pasado; dicha previsión se </w:t>
      </w:r>
      <w:r w:rsidR="003B00D2" w:rsidRPr="00D41BA1">
        <w:rPr>
          <w:rFonts w:ascii="Times New Roman" w:hAnsi="Times New Roman" w:cs="Times New Roman"/>
          <w:lang w:val="es-MX"/>
        </w:rPr>
        <w:t>atribuye</w:t>
      </w:r>
      <w:r w:rsidR="00F03418" w:rsidRPr="00D41BA1">
        <w:rPr>
          <w:rFonts w:ascii="Times New Roman" w:hAnsi="Times New Roman" w:cs="Times New Roman"/>
          <w:lang w:val="es-MX"/>
        </w:rPr>
        <w:t xml:space="preserve"> principalmente a la mejora en el crecimiento en la mayoría de los países del G20.</w:t>
      </w:r>
      <w:r w:rsidR="003B00D2" w:rsidRPr="00D41BA1">
        <w:rPr>
          <w:rFonts w:ascii="Times New Roman" w:hAnsi="Times New Roman" w:cs="Times New Roman"/>
          <w:lang w:val="es-MX"/>
        </w:rPr>
        <w:t xml:space="preserve"> </w:t>
      </w:r>
      <w:r w:rsidR="00F03418" w:rsidRPr="00D41BA1">
        <w:rPr>
          <w:rFonts w:ascii="Times New Roman" w:hAnsi="Times New Roman" w:cs="Times New Roman"/>
          <w:lang w:val="es-MX"/>
        </w:rPr>
        <w:t xml:space="preserve"> </w:t>
      </w:r>
      <w:r w:rsidR="003B00D2" w:rsidRPr="00D41BA1">
        <w:rPr>
          <w:rFonts w:ascii="Times New Roman" w:hAnsi="Times New Roman" w:cs="Times New Roman"/>
          <w:lang w:val="es-MX"/>
        </w:rPr>
        <w:t>E</w:t>
      </w:r>
      <w:r w:rsidR="00F03418" w:rsidRPr="00D41BA1">
        <w:rPr>
          <w:rFonts w:ascii="Times New Roman" w:hAnsi="Times New Roman" w:cs="Times New Roman"/>
          <w:lang w:val="es-MX"/>
        </w:rPr>
        <w:t xml:space="preserve">l organismo hizo un llamado a “evitar una escalada de las tensiones comerciales", refiriéndose al nerviosismo provocado por la decisión del presidente estadounidense de imponer aranceles de 25% a las importaciones de acero y de 10% a las de aluminio.  </w:t>
      </w:r>
    </w:p>
    <w:p w:rsidR="00827563" w:rsidRDefault="00827563" w:rsidP="003B00D2">
      <w:pPr>
        <w:spacing w:after="0" w:line="240" w:lineRule="auto"/>
        <w:jc w:val="both"/>
        <w:rPr>
          <w:rFonts w:ascii="Times New Roman" w:hAnsi="Times New Roman" w:cs="Times New Roman"/>
          <w:lang w:val="es-MX"/>
        </w:rPr>
      </w:pPr>
    </w:p>
    <w:p w:rsidR="00F03418" w:rsidRPr="00D41BA1" w:rsidRDefault="00F03418" w:rsidP="003B00D2">
      <w:pPr>
        <w:spacing w:after="0" w:line="240" w:lineRule="auto"/>
        <w:jc w:val="both"/>
        <w:rPr>
          <w:rFonts w:ascii="Times New Roman" w:hAnsi="Times New Roman" w:cs="Times New Roman"/>
          <w:lang w:val="es-MX"/>
        </w:rPr>
      </w:pPr>
      <w:r w:rsidRPr="00D41BA1">
        <w:rPr>
          <w:rFonts w:ascii="Times New Roman" w:hAnsi="Times New Roman" w:cs="Times New Roman"/>
          <w:lang w:val="es-MX"/>
        </w:rPr>
        <w:t>Así mismo, indico que considera que el proteccionismo comercial sigue siendo un riesgo clave que afectaría negativamente la confianza, la inversión y el empleo. La OCDE elevó también las previsiones de crecimiento de Argentina, Brasil y México, siendo México el que lidera dicho crecimiento con 2.5%, Brasil crecerá 2.2% este año y 2.4% en 2019, y para Argentina se proyecta un crecimiento de 3.2% en 2018 y 2019.</w:t>
      </w:r>
    </w:p>
    <w:p w:rsidR="00F03418" w:rsidRPr="00D41BA1" w:rsidRDefault="00F03418" w:rsidP="009A1EA3">
      <w:pPr>
        <w:pStyle w:val="Sinespaciado"/>
        <w:ind w:right="-188"/>
        <w:jc w:val="both"/>
        <w:rPr>
          <w:rFonts w:ascii="Times New Roman" w:hAnsi="Times New Roman" w:cs="Times New Roman"/>
          <w:lang w:val="es-MX"/>
        </w:rPr>
      </w:pPr>
    </w:p>
    <w:p w:rsidR="00F03418" w:rsidRPr="00D41BA1" w:rsidRDefault="00F03418" w:rsidP="00F03418">
      <w:pPr>
        <w:spacing w:after="0" w:line="240" w:lineRule="auto"/>
        <w:jc w:val="both"/>
        <w:rPr>
          <w:rFonts w:ascii="Times New Roman" w:hAnsi="Times New Roman" w:cs="Times New Roman"/>
          <w:lang w:val="es-MX"/>
        </w:rPr>
      </w:pPr>
      <w:r w:rsidRPr="00D41BA1">
        <w:rPr>
          <w:rFonts w:ascii="Times New Roman" w:hAnsi="Times New Roman" w:cs="Times New Roman"/>
          <w:lang w:val="es-MX"/>
        </w:rPr>
        <w:t xml:space="preserve">En Estados Unidos, el Comité Federal de Mercado Abierto de la Fed decidió elevar de </w:t>
      </w:r>
      <w:r w:rsidRPr="00D41BA1">
        <w:rPr>
          <w:rFonts w:ascii="Times New Roman" w:hAnsi="Times New Roman" w:cs="Times New Roman"/>
          <w:lang w:val="es-MX"/>
        </w:rPr>
        <w:lastRenderedPageBreak/>
        <w:t>forma unánime los tipos de interés en un cuarto de punto porcentual, hasta un rango objetivo de entre el 1.50% y el 1.75%, cumpliendo así las expectativas del consenso del mercado</w:t>
      </w:r>
      <w:r w:rsidR="00827563">
        <w:rPr>
          <w:rFonts w:ascii="Times New Roman" w:hAnsi="Times New Roman" w:cs="Times New Roman"/>
          <w:lang w:val="es-MX"/>
        </w:rPr>
        <w:t xml:space="preserve">.  </w:t>
      </w:r>
      <w:r w:rsidRPr="00D41BA1">
        <w:rPr>
          <w:rFonts w:ascii="Times New Roman" w:hAnsi="Times New Roman" w:cs="Times New Roman"/>
          <w:lang w:val="es-MX"/>
        </w:rPr>
        <w:t xml:space="preserve">La Fed concluyó, tras la reunión celebrada </w:t>
      </w:r>
      <w:r w:rsidR="003B00D2" w:rsidRPr="00D41BA1">
        <w:rPr>
          <w:rFonts w:ascii="Times New Roman" w:hAnsi="Times New Roman" w:cs="Times New Roman"/>
          <w:lang w:val="es-MX"/>
        </w:rPr>
        <w:t>en marzo</w:t>
      </w:r>
      <w:r w:rsidRPr="00D41BA1">
        <w:rPr>
          <w:rFonts w:ascii="Times New Roman" w:hAnsi="Times New Roman" w:cs="Times New Roman"/>
          <w:lang w:val="es-MX"/>
        </w:rPr>
        <w:t xml:space="preserve">, que la posición de su política monetaria continúa siendo "acomodaticia", proporcionando así un fuerte respaldo a las condiciones del mercado laboral y hacia un retorno sostenido de la inflación al 2%. </w:t>
      </w:r>
    </w:p>
    <w:p w:rsidR="00F03418" w:rsidRPr="00D41BA1" w:rsidRDefault="00F03418" w:rsidP="005D51CA">
      <w:pPr>
        <w:pStyle w:val="Sinespaciado"/>
        <w:ind w:right="-188"/>
        <w:jc w:val="both"/>
        <w:rPr>
          <w:rFonts w:ascii="Times New Roman" w:hAnsi="Times New Roman" w:cs="Times New Roman"/>
          <w:lang w:val="es-MX"/>
        </w:rPr>
      </w:pPr>
    </w:p>
    <w:p w:rsidR="0020377F" w:rsidRPr="00D41BA1" w:rsidRDefault="0020377F" w:rsidP="005D51CA">
      <w:pPr>
        <w:pStyle w:val="Sinespaciado"/>
        <w:ind w:right="-188"/>
        <w:jc w:val="both"/>
        <w:rPr>
          <w:rFonts w:ascii="Times New Roman" w:hAnsi="Times New Roman" w:cs="Times New Roman"/>
          <w:lang w:val="es-MX"/>
        </w:rPr>
      </w:pPr>
      <w:r w:rsidRPr="00D41BA1">
        <w:rPr>
          <w:rFonts w:ascii="Times New Roman" w:hAnsi="Times New Roman" w:cs="Times New Roman"/>
          <w:lang w:val="es-MX"/>
        </w:rPr>
        <w:t>El índice de desempleo de los Estados Unidos se mantuvo estable en 4.1%</w:t>
      </w:r>
      <w:r w:rsidR="00BD1088" w:rsidRPr="00D41BA1">
        <w:rPr>
          <w:rFonts w:ascii="Times New Roman" w:hAnsi="Times New Roman" w:cs="Times New Roman"/>
          <w:lang w:val="es-MX"/>
        </w:rPr>
        <w:t xml:space="preserve"> en </w:t>
      </w:r>
      <w:r w:rsidR="00E31CA5" w:rsidRPr="00D41BA1">
        <w:rPr>
          <w:rFonts w:ascii="Times New Roman" w:hAnsi="Times New Roman" w:cs="Times New Roman"/>
          <w:lang w:val="es-MX"/>
        </w:rPr>
        <w:t>marz</w:t>
      </w:r>
      <w:r w:rsidR="00CE123C" w:rsidRPr="00D41BA1">
        <w:rPr>
          <w:rFonts w:ascii="Times New Roman" w:hAnsi="Times New Roman" w:cs="Times New Roman"/>
          <w:lang w:val="es-MX"/>
        </w:rPr>
        <w:t>o</w:t>
      </w:r>
      <w:r w:rsidRPr="00D41BA1">
        <w:rPr>
          <w:rFonts w:ascii="Times New Roman" w:hAnsi="Times New Roman" w:cs="Times New Roman"/>
          <w:lang w:val="es-MX"/>
        </w:rPr>
        <w:t xml:space="preserve">, </w:t>
      </w:r>
      <w:r w:rsidR="00CE123C" w:rsidRPr="00D41BA1">
        <w:rPr>
          <w:rFonts w:ascii="Times New Roman" w:hAnsi="Times New Roman" w:cs="Times New Roman"/>
          <w:lang w:val="es-MX"/>
        </w:rPr>
        <w:t>creando</w:t>
      </w:r>
      <w:r w:rsidR="00E31CA5" w:rsidRPr="00D41BA1">
        <w:rPr>
          <w:rFonts w:ascii="Times New Roman" w:hAnsi="Times New Roman" w:cs="Times New Roman"/>
          <w:lang w:val="es-MX"/>
        </w:rPr>
        <w:t xml:space="preserve"> </w:t>
      </w:r>
      <w:r w:rsidR="00BD1088" w:rsidRPr="00D41BA1">
        <w:rPr>
          <w:rFonts w:ascii="Times New Roman" w:hAnsi="Times New Roman" w:cs="Times New Roman"/>
          <w:lang w:val="es-MX"/>
        </w:rPr>
        <w:t>1</w:t>
      </w:r>
      <w:r w:rsidR="00E31CA5" w:rsidRPr="00D41BA1">
        <w:rPr>
          <w:rFonts w:ascii="Times New Roman" w:hAnsi="Times New Roman" w:cs="Times New Roman"/>
          <w:lang w:val="es-MX"/>
        </w:rPr>
        <w:t>0</w:t>
      </w:r>
      <w:r w:rsidR="00BD1088" w:rsidRPr="00D41BA1">
        <w:rPr>
          <w:rFonts w:ascii="Times New Roman" w:hAnsi="Times New Roman" w:cs="Times New Roman"/>
          <w:lang w:val="es-MX"/>
        </w:rPr>
        <w:t>3</w:t>
      </w:r>
      <w:r w:rsidRPr="00D41BA1">
        <w:rPr>
          <w:rFonts w:ascii="Times New Roman" w:hAnsi="Times New Roman" w:cs="Times New Roman"/>
          <w:lang w:val="es-MX"/>
        </w:rPr>
        <w:t>,000 nuevos empleos</w:t>
      </w:r>
      <w:r w:rsidR="00E31CA5" w:rsidRPr="00D41BA1">
        <w:rPr>
          <w:rFonts w:ascii="Times New Roman" w:hAnsi="Times New Roman" w:cs="Times New Roman"/>
          <w:lang w:val="es-MX"/>
        </w:rPr>
        <w:t xml:space="preserve">; la media de los salarios aumentó en 8 centavos la hora, equivalente </w:t>
      </w:r>
      <w:r w:rsidR="00D7427C" w:rsidRPr="00D41BA1">
        <w:rPr>
          <w:rFonts w:ascii="Times New Roman" w:hAnsi="Times New Roman" w:cs="Times New Roman"/>
          <w:lang w:val="es-MX"/>
        </w:rPr>
        <w:t>a un 0,3 %, para situarse en US$ 26.</w:t>
      </w:r>
      <w:r w:rsidR="00E31CA5" w:rsidRPr="00D41BA1">
        <w:rPr>
          <w:rFonts w:ascii="Times New Roman" w:hAnsi="Times New Roman" w:cs="Times New Roman"/>
          <w:lang w:val="es-MX"/>
        </w:rPr>
        <w:t>82, con lo que en el último</w:t>
      </w:r>
      <w:r w:rsidR="00D7427C" w:rsidRPr="00D41BA1">
        <w:rPr>
          <w:rFonts w:ascii="Times New Roman" w:hAnsi="Times New Roman" w:cs="Times New Roman"/>
          <w:lang w:val="es-MX"/>
        </w:rPr>
        <w:t xml:space="preserve"> año se ha incrementado en un 2.7</w:t>
      </w:r>
      <w:r w:rsidR="00E31CA5" w:rsidRPr="00D41BA1">
        <w:rPr>
          <w:rFonts w:ascii="Times New Roman" w:hAnsi="Times New Roman" w:cs="Times New Roman"/>
          <w:lang w:val="es-MX"/>
        </w:rPr>
        <w:t>% y se espera que siga subiendo debido al impulso que se mantiene en el mercado laboral</w:t>
      </w:r>
      <w:r w:rsidRPr="00D41BA1">
        <w:rPr>
          <w:rFonts w:ascii="Times New Roman" w:hAnsi="Times New Roman" w:cs="Times New Roman"/>
          <w:lang w:val="es-MX"/>
        </w:rPr>
        <w:t>, según l</w:t>
      </w:r>
      <w:r w:rsidR="005537D0" w:rsidRPr="00D41BA1">
        <w:rPr>
          <w:rFonts w:ascii="Times New Roman" w:hAnsi="Times New Roman" w:cs="Times New Roman"/>
          <w:lang w:val="es-MX"/>
        </w:rPr>
        <w:t>a cifra revisada y divulgada</w:t>
      </w:r>
      <w:r w:rsidRPr="00D41BA1">
        <w:rPr>
          <w:rFonts w:ascii="Times New Roman" w:hAnsi="Times New Roman" w:cs="Times New Roman"/>
          <w:lang w:val="es-MX"/>
        </w:rPr>
        <w:t xml:space="preserve"> por el Departamento de Trabajo. </w:t>
      </w:r>
    </w:p>
    <w:p w:rsidR="00BD1088" w:rsidRPr="00D41BA1" w:rsidRDefault="00BD1088" w:rsidP="00F03418">
      <w:pPr>
        <w:pStyle w:val="Sinespaciado"/>
        <w:ind w:right="-188"/>
        <w:jc w:val="both"/>
        <w:rPr>
          <w:rFonts w:ascii="Times New Roman" w:hAnsi="Times New Roman" w:cs="Times New Roman"/>
          <w:lang w:val="es-MX"/>
        </w:rPr>
      </w:pPr>
    </w:p>
    <w:p w:rsidR="00CA19F5" w:rsidRPr="00D41BA1" w:rsidRDefault="00F03418" w:rsidP="00CA19F5">
      <w:pPr>
        <w:spacing w:after="0" w:line="240" w:lineRule="auto"/>
        <w:jc w:val="both"/>
        <w:rPr>
          <w:rFonts w:ascii="Times New Roman" w:hAnsi="Times New Roman" w:cs="Times New Roman"/>
          <w:lang w:val="es-MX"/>
        </w:rPr>
      </w:pPr>
      <w:r w:rsidRPr="00D41BA1">
        <w:rPr>
          <w:rFonts w:ascii="Times New Roman" w:hAnsi="Times New Roman" w:cs="Times New Roman"/>
          <w:lang w:val="es-MX"/>
        </w:rPr>
        <w:t xml:space="preserve">En la zona euro, </w:t>
      </w:r>
      <w:r w:rsidR="001A79F4" w:rsidRPr="00D41BA1">
        <w:rPr>
          <w:rFonts w:ascii="Times New Roman" w:hAnsi="Times New Roman" w:cs="Times New Roman"/>
          <w:lang w:val="es-MX"/>
        </w:rPr>
        <w:t>l</w:t>
      </w:r>
      <w:r w:rsidR="00CA19F5" w:rsidRPr="00D41BA1">
        <w:rPr>
          <w:rFonts w:ascii="Times New Roman" w:hAnsi="Times New Roman" w:cs="Times New Roman"/>
          <w:lang w:val="es-MX"/>
        </w:rPr>
        <w:t xml:space="preserve">a confianza económica </w:t>
      </w:r>
      <w:r w:rsidR="001A79F4" w:rsidRPr="00D41BA1">
        <w:rPr>
          <w:rFonts w:ascii="Times New Roman" w:hAnsi="Times New Roman" w:cs="Times New Roman"/>
          <w:lang w:val="es-MX"/>
        </w:rPr>
        <w:t>registró</w:t>
      </w:r>
      <w:r w:rsidR="00CA19F5" w:rsidRPr="00D41BA1">
        <w:rPr>
          <w:rFonts w:ascii="Times New Roman" w:hAnsi="Times New Roman" w:cs="Times New Roman"/>
          <w:lang w:val="es-MX"/>
        </w:rPr>
        <w:t xml:space="preserve"> en marzo su tercera caída consecutiva, según el índice elaborado por la Comisión Eu</w:t>
      </w:r>
      <w:r w:rsidR="001A79F4" w:rsidRPr="00D41BA1">
        <w:rPr>
          <w:rFonts w:ascii="Times New Roman" w:hAnsi="Times New Roman" w:cs="Times New Roman"/>
          <w:lang w:val="es-MX"/>
        </w:rPr>
        <w:t>ropea, que se ha situado en 112.</w:t>
      </w:r>
      <w:r w:rsidR="00CA19F5" w:rsidRPr="00D41BA1">
        <w:rPr>
          <w:rFonts w:ascii="Times New Roman" w:hAnsi="Times New Roman" w:cs="Times New Roman"/>
          <w:lang w:val="es-MX"/>
        </w:rPr>
        <w:t>6 puntos desde los</w:t>
      </w:r>
      <w:r w:rsidR="001A79F4" w:rsidRPr="00D41BA1">
        <w:rPr>
          <w:rFonts w:ascii="Times New Roman" w:hAnsi="Times New Roman" w:cs="Times New Roman"/>
          <w:lang w:val="es-MX"/>
        </w:rPr>
        <w:t xml:space="preserve"> 114.</w:t>
      </w:r>
      <w:r w:rsidR="00CA19F5" w:rsidRPr="00D41BA1">
        <w:rPr>
          <w:rFonts w:ascii="Times New Roman" w:hAnsi="Times New Roman" w:cs="Times New Roman"/>
          <w:lang w:val="es-MX"/>
        </w:rPr>
        <w:t>2</w:t>
      </w:r>
      <w:r w:rsidR="001A79F4" w:rsidRPr="00D41BA1">
        <w:rPr>
          <w:rFonts w:ascii="Times New Roman" w:hAnsi="Times New Roman" w:cs="Times New Roman"/>
          <w:lang w:val="es-MX"/>
        </w:rPr>
        <w:t xml:space="preserve"> puntos</w:t>
      </w:r>
      <w:r w:rsidR="00CA19F5" w:rsidRPr="00D41BA1">
        <w:rPr>
          <w:rFonts w:ascii="Times New Roman" w:hAnsi="Times New Roman" w:cs="Times New Roman"/>
          <w:lang w:val="es-MX"/>
        </w:rPr>
        <w:t xml:space="preserve"> del mes anterior</w:t>
      </w:r>
      <w:r w:rsidR="001A79F4" w:rsidRPr="00D41BA1">
        <w:rPr>
          <w:rFonts w:ascii="Times New Roman" w:hAnsi="Times New Roman" w:cs="Times New Roman"/>
          <w:lang w:val="es-MX"/>
        </w:rPr>
        <w:t xml:space="preserve">.  </w:t>
      </w:r>
      <w:r w:rsidR="00CA19F5" w:rsidRPr="00D41BA1">
        <w:rPr>
          <w:rFonts w:ascii="Times New Roman" w:hAnsi="Times New Roman" w:cs="Times New Roman"/>
          <w:lang w:val="es-MX"/>
        </w:rPr>
        <w:t xml:space="preserve">En el conjunto de la Unión Europea (UE), el índice de confianza se </w:t>
      </w:r>
      <w:r w:rsidR="001A79F4" w:rsidRPr="00D41BA1">
        <w:rPr>
          <w:rFonts w:ascii="Times New Roman" w:hAnsi="Times New Roman" w:cs="Times New Roman"/>
          <w:lang w:val="es-MX"/>
        </w:rPr>
        <w:t>situó en marzo en 112.5 puntos, frente a los 114.4 de febrero.  Por su parte, e</w:t>
      </w:r>
      <w:r w:rsidR="00CA19F5" w:rsidRPr="00D41BA1">
        <w:rPr>
          <w:rFonts w:ascii="Times New Roman" w:hAnsi="Times New Roman" w:cs="Times New Roman"/>
          <w:lang w:val="es-MX"/>
        </w:rPr>
        <w:t xml:space="preserve">l índice de sentimiento económico ha registrado caídas en </w:t>
      </w:r>
      <w:r w:rsidR="00CA19F5" w:rsidRPr="00D41BA1">
        <w:rPr>
          <w:rFonts w:ascii="Times New Roman" w:hAnsi="Times New Roman" w:cs="Times New Roman"/>
          <w:lang w:val="es-MX"/>
        </w:rPr>
        <w:lastRenderedPageBreak/>
        <w:t>todas y cada una de las cinco mayores economías de la eu</w:t>
      </w:r>
      <w:r w:rsidR="001A79F4" w:rsidRPr="00D41BA1">
        <w:rPr>
          <w:rFonts w:ascii="Times New Roman" w:hAnsi="Times New Roman" w:cs="Times New Roman"/>
          <w:lang w:val="es-MX"/>
        </w:rPr>
        <w:t>rozona, con un retroceso de 2.4 puntos en Alemania y de 1.</w:t>
      </w:r>
      <w:r w:rsidR="00CA19F5" w:rsidRPr="00D41BA1">
        <w:rPr>
          <w:rFonts w:ascii="Times New Roman" w:hAnsi="Times New Roman" w:cs="Times New Roman"/>
          <w:lang w:val="es-MX"/>
        </w:rPr>
        <w:t>8 puntos en Italia, mientras e</w:t>
      </w:r>
      <w:r w:rsidR="001A79F4" w:rsidRPr="00D41BA1">
        <w:rPr>
          <w:rFonts w:ascii="Times New Roman" w:hAnsi="Times New Roman" w:cs="Times New Roman"/>
          <w:lang w:val="es-MX"/>
        </w:rPr>
        <w:t>n España la bajada ha sido de 1.</w:t>
      </w:r>
      <w:r w:rsidR="00CA19F5" w:rsidRPr="00D41BA1">
        <w:rPr>
          <w:rFonts w:ascii="Times New Roman" w:hAnsi="Times New Roman" w:cs="Times New Roman"/>
          <w:lang w:val="es-MX"/>
        </w:rPr>
        <w:t>2 puntos. En Países Ba</w:t>
      </w:r>
      <w:r w:rsidR="001A79F4" w:rsidRPr="00D41BA1">
        <w:rPr>
          <w:rFonts w:ascii="Times New Roman" w:hAnsi="Times New Roman" w:cs="Times New Roman"/>
          <w:lang w:val="es-MX"/>
        </w:rPr>
        <w:t>jos, el índice ha retrocedido 0.5 puntos y en Francia 0.</w:t>
      </w:r>
      <w:r w:rsidR="00CA19F5" w:rsidRPr="00D41BA1">
        <w:rPr>
          <w:rFonts w:ascii="Times New Roman" w:hAnsi="Times New Roman" w:cs="Times New Roman"/>
          <w:lang w:val="es-MX"/>
        </w:rPr>
        <w:t>4.</w:t>
      </w:r>
    </w:p>
    <w:p w:rsidR="00BD1088" w:rsidRPr="00D41BA1" w:rsidRDefault="00BD1088" w:rsidP="005D51CA">
      <w:pPr>
        <w:pStyle w:val="Sinespaciado"/>
        <w:ind w:right="-188"/>
        <w:jc w:val="both"/>
        <w:rPr>
          <w:rFonts w:ascii="Times New Roman" w:hAnsi="Times New Roman" w:cs="Times New Roman"/>
        </w:rPr>
      </w:pPr>
    </w:p>
    <w:p w:rsidR="00CA19F5" w:rsidRPr="00D41BA1" w:rsidRDefault="00CA19F5" w:rsidP="005D51CA">
      <w:pPr>
        <w:pStyle w:val="Sinespaciado"/>
        <w:ind w:right="-188"/>
        <w:jc w:val="both"/>
        <w:rPr>
          <w:rFonts w:ascii="Times New Roman" w:hAnsi="Times New Roman" w:cs="Times New Roman"/>
        </w:rPr>
      </w:pPr>
      <w:r w:rsidRPr="00D41BA1">
        <w:rPr>
          <w:rFonts w:ascii="Times New Roman" w:hAnsi="Times New Roman" w:cs="Times New Roman"/>
        </w:rPr>
        <w:t>E</w:t>
      </w:r>
      <w:r w:rsidR="001A79F4" w:rsidRPr="00D41BA1">
        <w:rPr>
          <w:rFonts w:ascii="Times New Roman" w:hAnsi="Times New Roman" w:cs="Times New Roman"/>
        </w:rPr>
        <w:t>n Japón, e</w:t>
      </w:r>
      <w:r w:rsidRPr="00D41BA1">
        <w:rPr>
          <w:rFonts w:ascii="Times New Roman" w:hAnsi="Times New Roman" w:cs="Times New Roman"/>
        </w:rPr>
        <w:t xml:space="preserve">l Consejo de Política Monetaria del Banco </w:t>
      </w:r>
      <w:r w:rsidR="001A79F4" w:rsidRPr="00D41BA1">
        <w:rPr>
          <w:rFonts w:ascii="Times New Roman" w:hAnsi="Times New Roman" w:cs="Times New Roman"/>
        </w:rPr>
        <w:t xml:space="preserve">Central </w:t>
      </w:r>
      <w:r w:rsidRPr="00D41BA1">
        <w:rPr>
          <w:rFonts w:ascii="Times New Roman" w:hAnsi="Times New Roman" w:cs="Times New Roman"/>
        </w:rPr>
        <w:t>(</w:t>
      </w:r>
      <w:proofErr w:type="spellStart"/>
      <w:r w:rsidRPr="00D41BA1">
        <w:rPr>
          <w:rFonts w:ascii="Times New Roman" w:hAnsi="Times New Roman" w:cs="Times New Roman"/>
        </w:rPr>
        <w:t>BoJ</w:t>
      </w:r>
      <w:proofErr w:type="spellEnd"/>
      <w:r w:rsidRPr="00D41BA1">
        <w:rPr>
          <w:rFonts w:ascii="Times New Roman" w:hAnsi="Times New Roman" w:cs="Times New Roman"/>
        </w:rPr>
        <w:t xml:space="preserve">) </w:t>
      </w:r>
      <w:r w:rsidR="001A79F4" w:rsidRPr="00D41BA1">
        <w:rPr>
          <w:rFonts w:ascii="Times New Roman" w:hAnsi="Times New Roman" w:cs="Times New Roman"/>
        </w:rPr>
        <w:t>decidió</w:t>
      </w:r>
      <w:r w:rsidR="00827563">
        <w:rPr>
          <w:rFonts w:ascii="Times New Roman" w:hAnsi="Times New Roman" w:cs="Times New Roman"/>
        </w:rPr>
        <w:t xml:space="preserve"> por </w:t>
      </w:r>
      <w:r w:rsidRPr="00D41BA1">
        <w:rPr>
          <w:rFonts w:ascii="Times New Roman" w:hAnsi="Times New Roman" w:cs="Times New Roman"/>
        </w:rPr>
        <w:t>mayoría de ocho votos favorables, frente a uno en contra mantener sin cambios su actual política monetaria, que f</w:t>
      </w:r>
      <w:r w:rsidR="001A79F4" w:rsidRPr="00D41BA1">
        <w:rPr>
          <w:rFonts w:ascii="Times New Roman" w:hAnsi="Times New Roman" w:cs="Times New Roman"/>
        </w:rPr>
        <w:t>ija una tasa de depósito del -0.</w:t>
      </w:r>
      <w:r w:rsidRPr="00D41BA1">
        <w:rPr>
          <w:rFonts w:ascii="Times New Roman" w:hAnsi="Times New Roman" w:cs="Times New Roman"/>
        </w:rPr>
        <w:t>1%, así como seguir adelante con sus compras de bonos con el objetivo de limitar la rentabilidad de la deuda japonesa con vencimiento a diez años en torno al 0%, según anunció la institución, que ha señalado el riesgo económico que representan las nuevas políticas introducidas por EEUU.</w:t>
      </w:r>
    </w:p>
    <w:p w:rsidR="00CA19F5" w:rsidRPr="00D41BA1" w:rsidRDefault="00CA19F5" w:rsidP="005D51CA">
      <w:pPr>
        <w:pStyle w:val="Sinespaciado"/>
        <w:ind w:right="-188"/>
        <w:jc w:val="both"/>
        <w:rPr>
          <w:rFonts w:ascii="Times New Roman" w:hAnsi="Times New Roman" w:cs="Times New Roman"/>
        </w:rPr>
      </w:pPr>
    </w:p>
    <w:p w:rsidR="0021693D" w:rsidRPr="00D41BA1" w:rsidRDefault="0021693D" w:rsidP="0021693D">
      <w:pPr>
        <w:spacing w:after="0" w:line="240" w:lineRule="auto"/>
        <w:jc w:val="both"/>
        <w:rPr>
          <w:rFonts w:ascii="Times New Roman" w:hAnsi="Times New Roman" w:cs="Times New Roman"/>
          <w:lang w:val="es-MX"/>
        </w:rPr>
      </w:pPr>
      <w:r w:rsidRPr="00D41BA1">
        <w:rPr>
          <w:rFonts w:ascii="Times New Roman" w:hAnsi="Times New Roman" w:cs="Times New Roman"/>
          <w:lang w:val="es-MX"/>
        </w:rPr>
        <w:t>En</w:t>
      </w:r>
      <w:r w:rsidR="004830FD" w:rsidRPr="00D41BA1">
        <w:rPr>
          <w:rFonts w:ascii="Times New Roman" w:hAnsi="Times New Roman" w:cs="Times New Roman"/>
          <w:lang w:val="es-MX"/>
        </w:rPr>
        <w:t xml:space="preserve"> el entorno interno,</w:t>
      </w:r>
      <w:r w:rsidRPr="00D41BA1">
        <w:rPr>
          <w:rFonts w:ascii="Times New Roman" w:hAnsi="Times New Roman" w:cs="Times New Roman"/>
          <w:lang w:val="es-MX"/>
        </w:rPr>
        <w:t xml:space="preserve"> la Junta Monetaria decidió mantener en 2.75% la tasa de interés líder de política monetaria, en base a que las proyecciones de crecimiento económico mundial continúan anticipando mayor dinamismo tanto para el presente año como para el próximo, en un entorno en el que prevalecen algunos riesgos a la baja; en el ámbito interno, la junta resaltó que varios indicadores de corto </w:t>
      </w:r>
      <w:r w:rsidRPr="00D41BA1">
        <w:rPr>
          <w:rFonts w:ascii="Times New Roman" w:hAnsi="Times New Roman" w:cs="Times New Roman"/>
          <w:lang w:val="es-MX"/>
        </w:rPr>
        <w:lastRenderedPageBreak/>
        <w:t xml:space="preserve">plazo, tales como el IMAE, las remesas familiares, el gasto público y el comercio exterior, son consistentes con el crecimiento económico anual pronosticado para 2018 de entre 3.0% y 3.8%.  </w:t>
      </w:r>
    </w:p>
    <w:p w:rsidR="0021693D" w:rsidRPr="00D41BA1" w:rsidRDefault="0021693D" w:rsidP="00633616">
      <w:pPr>
        <w:pStyle w:val="Sinespaciado"/>
        <w:ind w:right="-188"/>
        <w:jc w:val="both"/>
        <w:rPr>
          <w:rFonts w:ascii="Times New Roman" w:hAnsi="Times New Roman" w:cs="Times New Roman"/>
          <w:lang w:val="es-MX"/>
        </w:rPr>
      </w:pPr>
    </w:p>
    <w:p w:rsidR="00633616" w:rsidRPr="00D41BA1" w:rsidRDefault="004830FD" w:rsidP="00633616">
      <w:pPr>
        <w:pStyle w:val="Sinespaciado"/>
        <w:ind w:right="-188"/>
        <w:jc w:val="both"/>
        <w:rPr>
          <w:rFonts w:ascii="Times New Roman" w:hAnsi="Times New Roman" w:cs="Times New Roman"/>
          <w:lang w:val="es-MX"/>
        </w:rPr>
      </w:pPr>
      <w:r w:rsidRPr="00D41BA1">
        <w:rPr>
          <w:rFonts w:ascii="Times New Roman" w:hAnsi="Times New Roman" w:cs="Times New Roman"/>
          <w:lang w:val="es-MX"/>
        </w:rPr>
        <w:t>L</w:t>
      </w:r>
      <w:r w:rsidR="00633616" w:rsidRPr="00D41BA1">
        <w:rPr>
          <w:rFonts w:ascii="Times New Roman" w:hAnsi="Times New Roman" w:cs="Times New Roman"/>
          <w:lang w:val="es-MX"/>
        </w:rPr>
        <w:t xml:space="preserve">a percepción sobre la situación económica actual y el ambiente para los negocios continúa </w:t>
      </w:r>
      <w:r w:rsidRPr="00D41BA1">
        <w:rPr>
          <w:rFonts w:ascii="Times New Roman" w:hAnsi="Times New Roman" w:cs="Times New Roman"/>
          <w:lang w:val="es-MX"/>
        </w:rPr>
        <w:t>desfavorable</w:t>
      </w:r>
      <w:r w:rsidR="00633616" w:rsidRPr="00D41BA1">
        <w:rPr>
          <w:rFonts w:ascii="Times New Roman" w:hAnsi="Times New Roman" w:cs="Times New Roman"/>
          <w:lang w:val="es-MX"/>
        </w:rPr>
        <w:t xml:space="preserve">, en </w:t>
      </w:r>
      <w:r w:rsidRPr="00D41BA1">
        <w:rPr>
          <w:rFonts w:ascii="Times New Roman" w:hAnsi="Times New Roman" w:cs="Times New Roman"/>
          <w:lang w:val="es-MX"/>
        </w:rPr>
        <w:t>marzo</w:t>
      </w:r>
      <w:r w:rsidR="00633616" w:rsidRPr="00D41BA1">
        <w:rPr>
          <w:rFonts w:ascii="Times New Roman" w:hAnsi="Times New Roman" w:cs="Times New Roman"/>
          <w:lang w:val="es-MX"/>
        </w:rPr>
        <w:t xml:space="preserve"> el nivel de Confianza de la Actividad Económica se situó en 3</w:t>
      </w:r>
      <w:r w:rsidRPr="00D41BA1">
        <w:rPr>
          <w:rFonts w:ascii="Times New Roman" w:hAnsi="Times New Roman" w:cs="Times New Roman"/>
          <w:lang w:val="es-MX"/>
        </w:rPr>
        <w:t>4.62</w:t>
      </w:r>
      <w:r w:rsidR="00633616" w:rsidRPr="00D41BA1">
        <w:rPr>
          <w:rFonts w:ascii="Times New Roman" w:hAnsi="Times New Roman" w:cs="Times New Roman"/>
          <w:lang w:val="es-MX"/>
        </w:rPr>
        <w:t xml:space="preserve"> puntos, </w:t>
      </w:r>
      <w:r w:rsidRPr="00D41BA1">
        <w:rPr>
          <w:rFonts w:ascii="Times New Roman" w:hAnsi="Times New Roman" w:cs="Times New Roman"/>
          <w:lang w:val="es-MX"/>
        </w:rPr>
        <w:t>superior en 1.32</w:t>
      </w:r>
      <w:r w:rsidR="00633616" w:rsidRPr="00D41BA1">
        <w:rPr>
          <w:rFonts w:ascii="Times New Roman" w:hAnsi="Times New Roman" w:cs="Times New Roman"/>
          <w:lang w:val="es-MX"/>
        </w:rPr>
        <w:t>% con respecto al registrado en</w:t>
      </w:r>
      <w:r w:rsidRPr="00D41BA1">
        <w:rPr>
          <w:rFonts w:ascii="Times New Roman" w:hAnsi="Times New Roman" w:cs="Times New Roman"/>
          <w:lang w:val="es-MX"/>
        </w:rPr>
        <w:t xml:space="preserve"> febrero y menor en 30.</w:t>
      </w:r>
      <w:r w:rsidR="00633616" w:rsidRPr="00D41BA1">
        <w:rPr>
          <w:rFonts w:ascii="Times New Roman" w:hAnsi="Times New Roman" w:cs="Times New Roman"/>
          <w:lang w:val="es-MX"/>
        </w:rPr>
        <w:t>7</w:t>
      </w:r>
      <w:r w:rsidRPr="00D41BA1">
        <w:rPr>
          <w:rFonts w:ascii="Times New Roman" w:hAnsi="Times New Roman" w:cs="Times New Roman"/>
          <w:lang w:val="es-MX"/>
        </w:rPr>
        <w:t>6% respecto a los 50</w:t>
      </w:r>
      <w:r w:rsidR="00633616" w:rsidRPr="00D41BA1">
        <w:rPr>
          <w:rFonts w:ascii="Times New Roman" w:hAnsi="Times New Roman" w:cs="Times New Roman"/>
          <w:lang w:val="es-MX"/>
        </w:rPr>
        <w:t xml:space="preserve"> puntos registrados en </w:t>
      </w:r>
      <w:r w:rsidRPr="00D41BA1">
        <w:rPr>
          <w:rFonts w:ascii="Times New Roman" w:hAnsi="Times New Roman" w:cs="Times New Roman"/>
          <w:lang w:val="es-MX"/>
        </w:rPr>
        <w:t>marzo</w:t>
      </w:r>
      <w:r w:rsidR="00633616" w:rsidRPr="00D41BA1">
        <w:rPr>
          <w:rFonts w:ascii="Times New Roman" w:hAnsi="Times New Roman" w:cs="Times New Roman"/>
          <w:lang w:val="es-MX"/>
        </w:rPr>
        <w:t xml:space="preserve"> de 2017. El panel de analistas entrevistados para elaborar el indicador esper</w:t>
      </w:r>
      <w:r w:rsidRPr="00D41BA1">
        <w:rPr>
          <w:rFonts w:ascii="Times New Roman" w:hAnsi="Times New Roman" w:cs="Times New Roman"/>
          <w:lang w:val="es-MX"/>
        </w:rPr>
        <w:t>a un ritmo inflacionario de 4.34</w:t>
      </w:r>
      <w:r w:rsidR="00633616" w:rsidRPr="00D41BA1">
        <w:rPr>
          <w:rFonts w:ascii="Times New Roman" w:hAnsi="Times New Roman" w:cs="Times New Roman"/>
          <w:lang w:val="es-MX"/>
        </w:rPr>
        <w:t xml:space="preserve">% </w:t>
      </w:r>
      <w:r w:rsidRPr="00D41BA1">
        <w:rPr>
          <w:rFonts w:ascii="Times New Roman" w:hAnsi="Times New Roman" w:cs="Times New Roman"/>
          <w:lang w:val="es-MX"/>
        </w:rPr>
        <w:t>para marzo, 4.</w:t>
      </w:r>
      <w:r w:rsidR="00633616" w:rsidRPr="00D41BA1">
        <w:rPr>
          <w:rFonts w:ascii="Times New Roman" w:hAnsi="Times New Roman" w:cs="Times New Roman"/>
          <w:lang w:val="es-MX"/>
        </w:rPr>
        <w:t>4</w:t>
      </w:r>
      <w:r w:rsidRPr="00D41BA1">
        <w:rPr>
          <w:rFonts w:ascii="Times New Roman" w:hAnsi="Times New Roman" w:cs="Times New Roman"/>
          <w:lang w:val="es-MX"/>
        </w:rPr>
        <w:t>0</w:t>
      </w:r>
      <w:r w:rsidR="00633616" w:rsidRPr="00D41BA1">
        <w:rPr>
          <w:rFonts w:ascii="Times New Roman" w:hAnsi="Times New Roman" w:cs="Times New Roman"/>
          <w:lang w:val="es-MX"/>
        </w:rPr>
        <w:t xml:space="preserve">% para </w:t>
      </w:r>
      <w:r w:rsidRPr="00D41BA1">
        <w:rPr>
          <w:rFonts w:ascii="Times New Roman" w:hAnsi="Times New Roman" w:cs="Times New Roman"/>
          <w:lang w:val="es-MX"/>
        </w:rPr>
        <w:t>abril</w:t>
      </w:r>
      <w:r w:rsidR="00633616" w:rsidRPr="00D41BA1">
        <w:rPr>
          <w:rFonts w:ascii="Times New Roman" w:hAnsi="Times New Roman" w:cs="Times New Roman"/>
          <w:lang w:val="es-MX"/>
        </w:rPr>
        <w:t xml:space="preserve"> </w:t>
      </w:r>
      <w:r w:rsidR="0067132B" w:rsidRPr="00D41BA1">
        <w:rPr>
          <w:rFonts w:ascii="Times New Roman" w:hAnsi="Times New Roman" w:cs="Times New Roman"/>
          <w:lang w:val="es-MX"/>
        </w:rPr>
        <w:t>y 4.38% para junio</w:t>
      </w:r>
      <w:r w:rsidR="00633616" w:rsidRPr="00D41BA1">
        <w:rPr>
          <w:rFonts w:ascii="Times New Roman" w:hAnsi="Times New Roman" w:cs="Times New Roman"/>
          <w:lang w:val="es-MX"/>
        </w:rPr>
        <w:t xml:space="preserve"> 2018; en un horizonte de 12 y 24 mes</w:t>
      </w:r>
      <w:r w:rsidR="00A15244" w:rsidRPr="00D41BA1">
        <w:rPr>
          <w:rFonts w:ascii="Times New Roman" w:hAnsi="Times New Roman" w:cs="Times New Roman"/>
          <w:lang w:val="es-MX"/>
        </w:rPr>
        <w:t>es se esperaría un ritmo de 4.55% y 4.</w:t>
      </w:r>
      <w:r w:rsidR="00633616" w:rsidRPr="00D41BA1">
        <w:rPr>
          <w:rFonts w:ascii="Times New Roman" w:hAnsi="Times New Roman" w:cs="Times New Roman"/>
          <w:lang w:val="es-MX"/>
        </w:rPr>
        <w:t>6</w:t>
      </w:r>
      <w:r w:rsidR="00A15244" w:rsidRPr="00D41BA1">
        <w:rPr>
          <w:rFonts w:ascii="Times New Roman" w:hAnsi="Times New Roman" w:cs="Times New Roman"/>
          <w:lang w:val="es-MX"/>
        </w:rPr>
        <w:t>2</w:t>
      </w:r>
      <w:r w:rsidR="00633616" w:rsidRPr="00D41BA1">
        <w:rPr>
          <w:rFonts w:ascii="Times New Roman" w:hAnsi="Times New Roman" w:cs="Times New Roman"/>
          <w:lang w:val="es-MX"/>
        </w:rPr>
        <w:t>% respectivamente.</w:t>
      </w:r>
    </w:p>
    <w:p w:rsidR="00A15244" w:rsidRPr="00D41BA1" w:rsidRDefault="00A15244" w:rsidP="00633616">
      <w:pPr>
        <w:pStyle w:val="Sinespaciado"/>
        <w:ind w:right="-188"/>
        <w:jc w:val="both"/>
        <w:rPr>
          <w:rFonts w:ascii="Times New Roman" w:hAnsi="Times New Roman" w:cs="Times New Roman"/>
          <w:sz w:val="16"/>
          <w:lang w:val="es-MX"/>
        </w:rPr>
      </w:pPr>
    </w:p>
    <w:p w:rsidR="00633616" w:rsidRPr="00D41BA1" w:rsidRDefault="0017454D" w:rsidP="00633616">
      <w:pPr>
        <w:pStyle w:val="Sinespaciado"/>
        <w:ind w:right="-188"/>
        <w:jc w:val="both"/>
        <w:rPr>
          <w:rFonts w:ascii="Times New Roman" w:hAnsi="Times New Roman" w:cs="Times New Roman"/>
          <w:lang w:val="es-MX"/>
        </w:rPr>
      </w:pPr>
      <w:r w:rsidRPr="00D41BA1">
        <w:rPr>
          <w:rFonts w:ascii="Times New Roman" w:hAnsi="Times New Roman" w:cs="Times New Roman"/>
          <w:lang w:val="es-MX"/>
        </w:rPr>
        <w:t>El comportamiento de la actividad</w:t>
      </w:r>
      <w:r w:rsidR="00C95BFB" w:rsidRPr="00D41BA1">
        <w:rPr>
          <w:rFonts w:ascii="Times New Roman" w:hAnsi="Times New Roman" w:cs="Times New Roman"/>
          <w:lang w:val="es-MX"/>
        </w:rPr>
        <w:t xml:space="preserve"> económica medida a través del </w:t>
      </w:r>
      <w:r w:rsidRPr="00D41BA1">
        <w:rPr>
          <w:rFonts w:ascii="Times New Roman" w:hAnsi="Times New Roman" w:cs="Times New Roman"/>
          <w:lang w:val="es-MX"/>
        </w:rPr>
        <w:t>IMAE, muestra</w:t>
      </w:r>
      <w:r w:rsidR="00C95BFB" w:rsidRPr="00D41BA1">
        <w:rPr>
          <w:rFonts w:ascii="Times New Roman" w:hAnsi="Times New Roman" w:cs="Times New Roman"/>
          <w:lang w:val="es-MX"/>
        </w:rPr>
        <w:t xml:space="preserve"> q</w:t>
      </w:r>
      <w:r w:rsidR="00A15244" w:rsidRPr="00D41BA1">
        <w:rPr>
          <w:rFonts w:ascii="Times New Roman" w:hAnsi="Times New Roman" w:cs="Times New Roman"/>
          <w:lang w:val="es-MX"/>
        </w:rPr>
        <w:t>ue existió un crecimiento de 2.9</w:t>
      </w:r>
      <w:r w:rsidR="00C95BFB" w:rsidRPr="00D41BA1">
        <w:rPr>
          <w:rFonts w:ascii="Times New Roman" w:hAnsi="Times New Roman" w:cs="Times New Roman"/>
          <w:lang w:val="es-MX"/>
        </w:rPr>
        <w:t xml:space="preserve">% en </w:t>
      </w:r>
      <w:r w:rsidR="00A15244" w:rsidRPr="00D41BA1">
        <w:rPr>
          <w:rFonts w:ascii="Times New Roman" w:hAnsi="Times New Roman" w:cs="Times New Roman"/>
          <w:lang w:val="es-MX"/>
        </w:rPr>
        <w:t>febr</w:t>
      </w:r>
      <w:r w:rsidR="00C95BFB" w:rsidRPr="00D41BA1">
        <w:rPr>
          <w:rFonts w:ascii="Times New Roman" w:hAnsi="Times New Roman" w:cs="Times New Roman"/>
          <w:lang w:val="es-MX"/>
        </w:rPr>
        <w:t>ero 2018</w:t>
      </w:r>
      <w:r w:rsidRPr="00D41BA1">
        <w:rPr>
          <w:rFonts w:ascii="Times New Roman" w:hAnsi="Times New Roman" w:cs="Times New Roman"/>
          <w:lang w:val="es-MX"/>
        </w:rPr>
        <w:t xml:space="preserve">, </w:t>
      </w:r>
      <w:r w:rsidR="00A15244" w:rsidRPr="00D41BA1">
        <w:rPr>
          <w:rFonts w:ascii="Times New Roman" w:hAnsi="Times New Roman" w:cs="Times New Roman"/>
          <w:lang w:val="es-MX"/>
        </w:rPr>
        <w:t>al igual que en febrero</w:t>
      </w:r>
      <w:r w:rsidR="00C95BFB" w:rsidRPr="00D41BA1">
        <w:rPr>
          <w:rFonts w:ascii="Times New Roman" w:hAnsi="Times New Roman" w:cs="Times New Roman"/>
          <w:lang w:val="es-MX"/>
        </w:rPr>
        <w:t xml:space="preserve"> del 2017</w:t>
      </w:r>
      <w:r w:rsidRPr="00D41BA1">
        <w:rPr>
          <w:rFonts w:ascii="Times New Roman" w:hAnsi="Times New Roman" w:cs="Times New Roman"/>
          <w:lang w:val="es-MX"/>
        </w:rPr>
        <w:t>; el resultado, de a</w:t>
      </w:r>
      <w:r w:rsidR="00C95BFB" w:rsidRPr="00D41BA1">
        <w:rPr>
          <w:rFonts w:ascii="Times New Roman" w:hAnsi="Times New Roman" w:cs="Times New Roman"/>
          <w:lang w:val="es-MX"/>
        </w:rPr>
        <w:t>cuerdo a la publicación de febrero</w:t>
      </w:r>
      <w:r w:rsidRPr="00D41BA1">
        <w:rPr>
          <w:rFonts w:ascii="Times New Roman" w:hAnsi="Times New Roman" w:cs="Times New Roman"/>
          <w:lang w:val="es-MX"/>
        </w:rPr>
        <w:t xml:space="preserve"> del Banco de Guatemala, estuvo impulsado por el desempeño positivo de las actividades económicas </w:t>
      </w:r>
      <w:r w:rsidR="00C95BFB" w:rsidRPr="00D41BA1">
        <w:rPr>
          <w:rFonts w:ascii="Times New Roman" w:hAnsi="Times New Roman" w:cs="Times New Roman"/>
          <w:lang w:val="es-MX"/>
        </w:rPr>
        <w:t xml:space="preserve">como </w:t>
      </w:r>
      <w:r w:rsidRPr="00D41BA1">
        <w:rPr>
          <w:rFonts w:ascii="Times New Roman" w:hAnsi="Times New Roman" w:cs="Times New Roman"/>
          <w:lang w:val="es-MX"/>
        </w:rPr>
        <w:t>Transporte, almacenamiento y comunicaciones, Servicios privados</w:t>
      </w:r>
      <w:r w:rsidR="00C95BFB" w:rsidRPr="00D41BA1">
        <w:rPr>
          <w:rFonts w:ascii="Times New Roman" w:hAnsi="Times New Roman" w:cs="Times New Roman"/>
          <w:lang w:val="es-MX"/>
        </w:rPr>
        <w:t xml:space="preserve"> y Comercio al por mayor y menor.   </w:t>
      </w:r>
    </w:p>
    <w:p w:rsidR="0017454D" w:rsidRPr="00D41BA1" w:rsidRDefault="0017454D" w:rsidP="0017454D">
      <w:pPr>
        <w:pStyle w:val="Sinespaciado"/>
        <w:ind w:right="-188"/>
        <w:jc w:val="both"/>
        <w:rPr>
          <w:rFonts w:ascii="Times New Roman" w:hAnsi="Times New Roman" w:cs="Times New Roman"/>
          <w:color w:val="FF0000"/>
          <w:sz w:val="18"/>
        </w:rPr>
      </w:pPr>
    </w:p>
    <w:p w:rsidR="00AD5816" w:rsidRPr="00D41BA1" w:rsidRDefault="00AD5816" w:rsidP="00D00E78">
      <w:pPr>
        <w:pStyle w:val="Sinespaciado"/>
        <w:ind w:right="-188"/>
        <w:jc w:val="both"/>
        <w:rPr>
          <w:rFonts w:ascii="Times New Roman" w:hAnsi="Times New Roman" w:cs="Times New Roman"/>
          <w:color w:val="FF0000"/>
          <w:sz w:val="16"/>
        </w:rPr>
        <w:sectPr w:rsidR="00AD5816" w:rsidRPr="00D41BA1" w:rsidSect="00040C99">
          <w:headerReference w:type="default" r:id="rId29"/>
          <w:footerReference w:type="default" r:id="rId30"/>
          <w:type w:val="continuous"/>
          <w:pgSz w:w="12240" w:h="15840" w:code="1"/>
          <w:pgMar w:top="1418" w:right="1467" w:bottom="1418" w:left="1560" w:header="709" w:footer="709" w:gutter="0"/>
          <w:cols w:num="2" w:space="802"/>
          <w:docGrid w:linePitch="360"/>
        </w:sectPr>
      </w:pPr>
    </w:p>
    <w:p w:rsidR="001F34AD" w:rsidRDefault="001F34AD" w:rsidP="00AD5816">
      <w:pPr>
        <w:spacing w:after="0" w:line="240" w:lineRule="auto"/>
        <w:rPr>
          <w:rFonts w:ascii="Times New Roman" w:hAnsi="Times New Roman" w:cs="Times New Roman"/>
          <w:noProof/>
          <w:color w:val="FF0000"/>
          <w:sz w:val="16"/>
          <w:lang w:eastAsia="es-GT"/>
        </w:rPr>
      </w:pPr>
    </w:p>
    <w:p w:rsidR="000655E6" w:rsidRDefault="000655E6" w:rsidP="00AD5816">
      <w:pPr>
        <w:spacing w:after="0" w:line="240" w:lineRule="auto"/>
        <w:rPr>
          <w:rFonts w:ascii="Times New Roman" w:hAnsi="Times New Roman" w:cs="Times New Roman"/>
          <w:noProof/>
          <w:color w:val="FF0000"/>
          <w:sz w:val="16"/>
          <w:lang w:eastAsia="es-GT"/>
        </w:rPr>
      </w:pPr>
    </w:p>
    <w:p w:rsidR="000655E6" w:rsidRDefault="000655E6" w:rsidP="00AD5816">
      <w:pPr>
        <w:spacing w:after="0" w:line="240" w:lineRule="auto"/>
        <w:rPr>
          <w:rFonts w:ascii="Times New Roman" w:hAnsi="Times New Roman" w:cs="Times New Roman"/>
          <w:noProof/>
          <w:color w:val="FF0000"/>
          <w:sz w:val="16"/>
          <w:lang w:eastAsia="es-GT"/>
        </w:rPr>
      </w:pPr>
    </w:p>
    <w:p w:rsidR="000655E6" w:rsidRDefault="000655E6" w:rsidP="00AD5816">
      <w:pPr>
        <w:spacing w:after="0" w:line="240" w:lineRule="auto"/>
        <w:rPr>
          <w:rFonts w:ascii="Times New Roman" w:hAnsi="Times New Roman" w:cs="Times New Roman"/>
          <w:noProof/>
          <w:color w:val="FF0000"/>
          <w:sz w:val="16"/>
          <w:lang w:eastAsia="es-GT"/>
        </w:rPr>
      </w:pPr>
    </w:p>
    <w:p w:rsidR="000655E6" w:rsidRDefault="000655E6" w:rsidP="00AD5816">
      <w:pPr>
        <w:spacing w:after="0" w:line="240" w:lineRule="auto"/>
        <w:rPr>
          <w:rFonts w:ascii="Times New Roman" w:hAnsi="Times New Roman" w:cs="Times New Roman"/>
          <w:noProof/>
          <w:color w:val="FF0000"/>
          <w:sz w:val="16"/>
          <w:lang w:eastAsia="es-GT"/>
        </w:rPr>
      </w:pPr>
    </w:p>
    <w:p w:rsidR="000655E6" w:rsidRDefault="000655E6" w:rsidP="00AD5816">
      <w:pPr>
        <w:spacing w:after="0" w:line="240" w:lineRule="auto"/>
        <w:rPr>
          <w:rFonts w:ascii="Times New Roman" w:hAnsi="Times New Roman" w:cs="Times New Roman"/>
          <w:noProof/>
          <w:color w:val="FF0000"/>
          <w:sz w:val="16"/>
          <w:lang w:eastAsia="es-GT"/>
        </w:rPr>
      </w:pPr>
    </w:p>
    <w:p w:rsidR="000655E6" w:rsidRDefault="000655E6" w:rsidP="00AD5816">
      <w:pPr>
        <w:spacing w:after="0" w:line="240" w:lineRule="auto"/>
        <w:rPr>
          <w:rFonts w:ascii="Times New Roman" w:hAnsi="Times New Roman" w:cs="Times New Roman"/>
          <w:noProof/>
          <w:color w:val="FF0000"/>
          <w:sz w:val="16"/>
          <w:lang w:eastAsia="es-GT"/>
        </w:rPr>
      </w:pPr>
    </w:p>
    <w:p w:rsidR="000655E6" w:rsidRDefault="000655E6" w:rsidP="00AD5816">
      <w:pPr>
        <w:spacing w:after="0" w:line="240" w:lineRule="auto"/>
        <w:rPr>
          <w:rFonts w:ascii="Times New Roman" w:hAnsi="Times New Roman" w:cs="Times New Roman"/>
          <w:noProof/>
          <w:color w:val="FF0000"/>
          <w:sz w:val="16"/>
          <w:lang w:eastAsia="es-GT"/>
        </w:rPr>
      </w:pPr>
    </w:p>
    <w:p w:rsidR="000655E6" w:rsidRDefault="000655E6" w:rsidP="00AD5816">
      <w:pPr>
        <w:spacing w:after="0" w:line="240" w:lineRule="auto"/>
        <w:rPr>
          <w:rFonts w:ascii="Times New Roman" w:hAnsi="Times New Roman" w:cs="Times New Roman"/>
          <w:noProof/>
          <w:color w:val="FF0000"/>
          <w:sz w:val="16"/>
          <w:lang w:eastAsia="es-GT"/>
        </w:rPr>
      </w:pPr>
    </w:p>
    <w:p w:rsidR="000655E6" w:rsidRDefault="000655E6" w:rsidP="00AD5816">
      <w:pPr>
        <w:spacing w:after="0" w:line="240" w:lineRule="auto"/>
        <w:rPr>
          <w:rFonts w:ascii="Times New Roman" w:hAnsi="Times New Roman" w:cs="Times New Roman"/>
          <w:noProof/>
          <w:color w:val="FF0000"/>
          <w:sz w:val="16"/>
          <w:lang w:eastAsia="es-GT"/>
        </w:rPr>
      </w:pPr>
    </w:p>
    <w:p w:rsidR="000655E6" w:rsidRDefault="000655E6" w:rsidP="00AD5816">
      <w:pPr>
        <w:spacing w:after="0" w:line="240" w:lineRule="auto"/>
        <w:rPr>
          <w:rFonts w:ascii="Times New Roman" w:hAnsi="Times New Roman" w:cs="Times New Roman"/>
          <w:noProof/>
          <w:color w:val="FF0000"/>
          <w:sz w:val="16"/>
          <w:lang w:eastAsia="es-GT"/>
        </w:rPr>
      </w:pPr>
    </w:p>
    <w:p w:rsidR="000655E6" w:rsidRDefault="000655E6" w:rsidP="00AD5816">
      <w:pPr>
        <w:spacing w:after="0" w:line="240" w:lineRule="auto"/>
        <w:rPr>
          <w:rFonts w:ascii="Times New Roman" w:hAnsi="Times New Roman" w:cs="Times New Roman"/>
          <w:noProof/>
          <w:color w:val="FF0000"/>
          <w:sz w:val="16"/>
          <w:lang w:eastAsia="es-GT"/>
        </w:rPr>
      </w:pPr>
    </w:p>
    <w:p w:rsidR="000655E6" w:rsidRDefault="000655E6" w:rsidP="00AD5816">
      <w:pPr>
        <w:spacing w:after="0" w:line="240" w:lineRule="auto"/>
        <w:rPr>
          <w:rFonts w:ascii="Times New Roman" w:hAnsi="Times New Roman" w:cs="Times New Roman"/>
          <w:noProof/>
          <w:color w:val="FF0000"/>
          <w:sz w:val="16"/>
          <w:lang w:eastAsia="es-GT"/>
        </w:rPr>
      </w:pPr>
    </w:p>
    <w:p w:rsidR="000655E6" w:rsidRDefault="000655E6" w:rsidP="00AD5816">
      <w:pPr>
        <w:spacing w:after="0" w:line="240" w:lineRule="auto"/>
        <w:rPr>
          <w:rFonts w:ascii="Times New Roman" w:hAnsi="Times New Roman" w:cs="Times New Roman"/>
          <w:noProof/>
          <w:color w:val="FF0000"/>
          <w:sz w:val="16"/>
          <w:lang w:eastAsia="es-GT"/>
        </w:rPr>
      </w:pPr>
    </w:p>
    <w:p w:rsidR="000655E6" w:rsidRDefault="000655E6" w:rsidP="00AD5816">
      <w:pPr>
        <w:spacing w:after="0" w:line="240" w:lineRule="auto"/>
        <w:rPr>
          <w:rFonts w:ascii="Times New Roman" w:hAnsi="Times New Roman" w:cs="Times New Roman"/>
          <w:noProof/>
          <w:color w:val="FF0000"/>
          <w:sz w:val="16"/>
          <w:lang w:eastAsia="es-GT"/>
        </w:rPr>
      </w:pPr>
    </w:p>
    <w:p w:rsidR="000655E6" w:rsidRDefault="000655E6" w:rsidP="00AD5816">
      <w:pPr>
        <w:spacing w:after="0" w:line="240" w:lineRule="auto"/>
        <w:rPr>
          <w:rFonts w:ascii="Times New Roman" w:hAnsi="Times New Roman" w:cs="Times New Roman"/>
          <w:noProof/>
          <w:color w:val="FF0000"/>
          <w:sz w:val="16"/>
          <w:lang w:eastAsia="es-GT"/>
        </w:rPr>
      </w:pPr>
    </w:p>
    <w:p w:rsidR="000655E6" w:rsidRDefault="000655E6" w:rsidP="00AD5816">
      <w:pPr>
        <w:spacing w:after="0" w:line="240" w:lineRule="auto"/>
        <w:rPr>
          <w:rFonts w:ascii="Times New Roman" w:hAnsi="Times New Roman" w:cs="Times New Roman"/>
          <w:noProof/>
          <w:color w:val="FF0000"/>
          <w:sz w:val="16"/>
          <w:lang w:eastAsia="es-GT"/>
        </w:rPr>
      </w:pPr>
    </w:p>
    <w:p w:rsidR="000655E6" w:rsidRDefault="000655E6" w:rsidP="00AD5816">
      <w:pPr>
        <w:spacing w:after="0" w:line="240" w:lineRule="auto"/>
        <w:rPr>
          <w:rFonts w:ascii="Times New Roman" w:hAnsi="Times New Roman" w:cs="Times New Roman"/>
          <w:noProof/>
          <w:color w:val="FF0000"/>
          <w:sz w:val="16"/>
          <w:lang w:eastAsia="es-GT"/>
        </w:rPr>
      </w:pPr>
    </w:p>
    <w:p w:rsidR="000655E6" w:rsidRDefault="000655E6" w:rsidP="00AD5816">
      <w:pPr>
        <w:spacing w:after="0" w:line="240" w:lineRule="auto"/>
        <w:rPr>
          <w:rFonts w:ascii="Times New Roman" w:hAnsi="Times New Roman" w:cs="Times New Roman"/>
          <w:noProof/>
          <w:color w:val="FF0000"/>
          <w:sz w:val="16"/>
          <w:lang w:eastAsia="es-GT"/>
        </w:rPr>
      </w:pPr>
    </w:p>
    <w:p w:rsidR="000655E6" w:rsidRDefault="000655E6" w:rsidP="00AD5816">
      <w:pPr>
        <w:spacing w:after="0" w:line="240" w:lineRule="auto"/>
        <w:rPr>
          <w:rFonts w:ascii="Times New Roman" w:hAnsi="Times New Roman" w:cs="Times New Roman"/>
          <w:noProof/>
          <w:color w:val="FF0000"/>
          <w:sz w:val="16"/>
          <w:lang w:eastAsia="es-GT"/>
        </w:rPr>
      </w:pPr>
    </w:p>
    <w:p w:rsidR="000655E6" w:rsidRDefault="000655E6" w:rsidP="00AD5816">
      <w:pPr>
        <w:spacing w:after="0" w:line="240" w:lineRule="auto"/>
        <w:rPr>
          <w:rFonts w:ascii="Times New Roman" w:hAnsi="Times New Roman" w:cs="Times New Roman"/>
          <w:noProof/>
          <w:color w:val="FF0000"/>
          <w:sz w:val="16"/>
          <w:lang w:eastAsia="es-GT"/>
        </w:rPr>
      </w:pPr>
    </w:p>
    <w:p w:rsidR="000655E6" w:rsidRPr="00D41BA1" w:rsidRDefault="000655E6" w:rsidP="00AD5816">
      <w:pPr>
        <w:spacing w:after="0" w:line="240" w:lineRule="auto"/>
        <w:rPr>
          <w:rFonts w:ascii="Times New Roman" w:hAnsi="Times New Roman" w:cs="Times New Roman"/>
          <w:noProof/>
          <w:color w:val="FF0000"/>
          <w:sz w:val="16"/>
          <w:lang w:eastAsia="es-GT"/>
        </w:rPr>
      </w:pPr>
    </w:p>
    <w:p w:rsidR="001F5581" w:rsidRPr="00C40E36" w:rsidRDefault="001F5581" w:rsidP="001F558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1F5581" w:rsidRPr="00C40E36" w:rsidSect="00FA3B81">
          <w:headerReference w:type="default" r:id="rId31"/>
          <w:footerReference w:type="default" r:id="rId32"/>
          <w:type w:val="continuous"/>
          <w:pgSz w:w="12240" w:h="15840" w:code="1"/>
          <w:pgMar w:top="1418" w:right="1418" w:bottom="1418" w:left="1418" w:header="709" w:footer="709" w:gutter="0"/>
          <w:cols w:space="708"/>
          <w:docGrid w:linePitch="360"/>
        </w:sectPr>
      </w:pPr>
      <w:r w:rsidRPr="00C40E36">
        <w:rPr>
          <w:rFonts w:ascii="Times New Roman" w:hAnsi="Times New Roman" w:cs="Times New Roman"/>
          <w:b/>
          <w:lang w:val="es-MX"/>
        </w:rPr>
        <w:lastRenderedPageBreak/>
        <w:t>Anexo</w:t>
      </w:r>
    </w:p>
    <w:p w:rsidR="001F5581" w:rsidRPr="00D41BA1" w:rsidRDefault="001F5581" w:rsidP="001F5581">
      <w:pPr>
        <w:pStyle w:val="Sinespaciado"/>
        <w:rPr>
          <w:rFonts w:ascii="Times New Roman" w:hAnsi="Times New Roman" w:cs="Times New Roman"/>
          <w:b/>
          <w:color w:val="FF0000"/>
          <w:sz w:val="18"/>
          <w:lang w:val="es-MX"/>
        </w:rPr>
      </w:pPr>
    </w:p>
    <w:p w:rsidR="001F5581" w:rsidRPr="00D41BA1" w:rsidRDefault="001F5581" w:rsidP="00AD5816">
      <w:pPr>
        <w:spacing w:after="0" w:line="240" w:lineRule="auto"/>
        <w:rPr>
          <w:rFonts w:ascii="Times New Roman" w:hAnsi="Times New Roman" w:cs="Times New Roman"/>
          <w:noProof/>
          <w:color w:val="FF0000"/>
          <w:sz w:val="16"/>
          <w:lang w:val="es-MX" w:eastAsia="es-GT"/>
        </w:rPr>
      </w:pPr>
    </w:p>
    <w:p w:rsidR="001F5581" w:rsidRPr="00D41BA1" w:rsidRDefault="001F5581" w:rsidP="00AD5816">
      <w:pPr>
        <w:spacing w:after="0" w:line="240" w:lineRule="auto"/>
        <w:rPr>
          <w:rFonts w:ascii="Times New Roman" w:hAnsi="Times New Roman" w:cs="Times New Roman"/>
          <w:noProof/>
          <w:color w:val="FF0000"/>
          <w:sz w:val="16"/>
          <w:lang w:val="es-MX" w:eastAsia="es-GT"/>
        </w:rPr>
        <w:sectPr w:rsidR="001F5581" w:rsidRPr="00D41BA1" w:rsidSect="00986297">
          <w:headerReference w:type="default" r:id="rId33"/>
          <w:footerReference w:type="default" r:id="rId34"/>
          <w:type w:val="continuous"/>
          <w:pgSz w:w="12240" w:h="15840" w:code="1"/>
          <w:pgMar w:top="1418" w:right="1418" w:bottom="1418" w:left="1418" w:header="709" w:footer="709" w:gutter="0"/>
          <w:cols w:num="2" w:space="708"/>
          <w:docGrid w:linePitch="360"/>
        </w:sectPr>
      </w:pPr>
    </w:p>
    <w:p w:rsidR="001F5581" w:rsidRPr="00D41BA1" w:rsidRDefault="001F5581" w:rsidP="001F5581">
      <w:pPr>
        <w:spacing w:after="0" w:line="240" w:lineRule="auto"/>
        <w:jc w:val="center"/>
        <w:rPr>
          <w:rFonts w:ascii="Times New Roman" w:hAnsi="Times New Roman" w:cs="Times New Roman"/>
          <w:noProof/>
          <w:color w:val="FF0000"/>
          <w:sz w:val="16"/>
          <w:lang w:val="es-MX" w:eastAsia="es-GT"/>
        </w:rPr>
        <w:sectPr w:rsidR="001F5581" w:rsidRPr="00D41BA1" w:rsidSect="001F5581">
          <w:type w:val="continuous"/>
          <w:pgSz w:w="12240" w:h="15840" w:code="1"/>
          <w:pgMar w:top="1418" w:right="1418" w:bottom="1418" w:left="1418" w:header="709" w:footer="709" w:gutter="0"/>
          <w:cols w:space="708"/>
          <w:docGrid w:linePitch="360"/>
        </w:sectPr>
      </w:pPr>
    </w:p>
    <w:p w:rsidR="00AD5816" w:rsidRPr="00D41BA1" w:rsidRDefault="00AD5816" w:rsidP="00AD5816">
      <w:pPr>
        <w:spacing w:after="0" w:line="240" w:lineRule="auto"/>
        <w:rPr>
          <w:rFonts w:ascii="Times New Roman" w:hAnsi="Times New Roman" w:cs="Times New Roman"/>
          <w:noProof/>
          <w:color w:val="FF0000"/>
          <w:sz w:val="16"/>
          <w:lang w:val="es-MX" w:eastAsia="es-GT"/>
        </w:rPr>
      </w:pPr>
    </w:p>
    <w:p w:rsidR="00D00E78" w:rsidRPr="00D41BA1" w:rsidRDefault="00C40E36" w:rsidP="00AD5816">
      <w:pPr>
        <w:spacing w:after="0" w:line="240" w:lineRule="auto"/>
        <w:rPr>
          <w:rFonts w:ascii="Times New Roman" w:hAnsi="Times New Roman" w:cs="Times New Roman"/>
          <w:noProof/>
          <w:color w:val="FF0000"/>
          <w:sz w:val="16"/>
          <w:lang w:eastAsia="es-GT"/>
        </w:rPr>
        <w:sectPr w:rsidR="00D00E78" w:rsidRPr="00D41BA1" w:rsidSect="00D00E78">
          <w:type w:val="continuous"/>
          <w:pgSz w:w="12240" w:h="15840" w:code="1"/>
          <w:pgMar w:top="1418" w:right="1418" w:bottom="1418" w:left="1418" w:header="709" w:footer="709" w:gutter="0"/>
          <w:cols w:space="708"/>
          <w:docGrid w:linePitch="360"/>
        </w:sectPr>
      </w:pPr>
      <w:r w:rsidRPr="005E16EB">
        <w:rPr>
          <w:noProof/>
          <w:lang w:eastAsia="es-GT"/>
        </w:rPr>
        <w:drawing>
          <wp:inline distT="0" distB="0" distL="0" distR="0" wp14:anchorId="37FBB782" wp14:editId="4EBBC32E">
            <wp:extent cx="5942953" cy="5348377"/>
            <wp:effectExtent l="0" t="0" r="127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54794" cy="5359034"/>
                    </a:xfrm>
                    <a:prstGeom prst="rect">
                      <a:avLst/>
                    </a:prstGeom>
                    <a:noFill/>
                    <a:ln>
                      <a:noFill/>
                    </a:ln>
                  </pic:spPr>
                </pic:pic>
              </a:graphicData>
            </a:graphic>
          </wp:inline>
        </w:drawing>
      </w:r>
    </w:p>
    <w:p w:rsidR="00AD5816" w:rsidRPr="00D41BA1" w:rsidRDefault="00AD5816" w:rsidP="00AD5816">
      <w:pPr>
        <w:spacing w:after="0" w:line="240" w:lineRule="auto"/>
        <w:rPr>
          <w:rFonts w:ascii="Times New Roman" w:hAnsi="Times New Roman" w:cs="Times New Roman"/>
          <w:noProof/>
          <w:color w:val="FF0000"/>
          <w:sz w:val="16"/>
          <w:lang w:eastAsia="es-GT"/>
        </w:rPr>
      </w:pPr>
    </w:p>
    <w:p w:rsidR="00AD5816" w:rsidRPr="00D41BA1" w:rsidRDefault="00AD5816" w:rsidP="00AD5816">
      <w:pPr>
        <w:spacing w:after="0" w:line="240" w:lineRule="auto"/>
        <w:rPr>
          <w:rFonts w:ascii="Times New Roman" w:hAnsi="Times New Roman" w:cs="Times New Roman"/>
          <w:noProof/>
          <w:color w:val="FF0000"/>
          <w:sz w:val="16"/>
          <w:lang w:eastAsia="es-GT"/>
        </w:rPr>
      </w:pPr>
    </w:p>
    <w:p w:rsidR="007703A2" w:rsidRPr="00D41BA1" w:rsidRDefault="007703A2" w:rsidP="00986297">
      <w:pPr>
        <w:pStyle w:val="Sinespaciado"/>
        <w:jc w:val="both"/>
        <w:rPr>
          <w:rFonts w:ascii="Times New Roman" w:hAnsi="Times New Roman" w:cs="Times New Roman"/>
          <w:color w:val="FF0000"/>
        </w:rPr>
      </w:pPr>
    </w:p>
    <w:sectPr w:rsidR="007703A2" w:rsidRPr="00D41BA1" w:rsidSect="00986297">
      <w:type w:val="continuous"/>
      <w:pgSz w:w="12240" w:h="15840"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B3D" w:rsidRDefault="00206B3D" w:rsidP="007D4651">
      <w:pPr>
        <w:spacing w:after="0" w:line="240" w:lineRule="auto"/>
      </w:pPr>
      <w:r>
        <w:separator/>
      </w:r>
    </w:p>
  </w:endnote>
  <w:endnote w:type="continuationSeparator" w:id="0">
    <w:p w:rsidR="00206B3D" w:rsidRDefault="00206B3D"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23403932"/>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716DEA78" wp14:editId="20C8F196">
                  <wp:simplePos x="0" y="0"/>
                  <wp:positionH relativeFrom="column">
                    <wp:posOffset>1755792</wp:posOffset>
                  </wp:positionH>
                  <wp:positionV relativeFrom="paragraph">
                    <wp:posOffset>70485</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4376B7" id="3 Rectángulo" o:spid="_x0000_s1026" style="position:absolute;margin-left:138.25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666426" w:rsidRPr="00666426">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487236705"/>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83840" behindDoc="0" locked="0" layoutInCell="1" allowOverlap="1" wp14:anchorId="74DFB994" wp14:editId="45DF5734">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DF196B"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0655E6" w:rsidRPr="000655E6">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933102482"/>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055C211E" wp14:editId="3A6F37FE">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2CCD15"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C41FF2" w:rsidRPr="00C41FF2">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608011952"/>
      <w:docPartObj>
        <w:docPartGallery w:val="Page Numbers (Bottom of Page)"/>
        <w:docPartUnique/>
      </w:docPartObj>
    </w:sdtPr>
    <w:sdtEndPr/>
    <w:sdtContent>
      <w:p w:rsidR="00EB1910" w:rsidRDefault="00EB1910">
        <w:pPr>
          <w:pStyle w:val="Piedepgina"/>
          <w:jc w:val="right"/>
          <w:rPr>
            <w:lang w:val="es-ES"/>
          </w:rPr>
        </w:pPr>
      </w:p>
      <w:p w:rsidR="00EB1910" w:rsidRDefault="00EB1910"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08416" behindDoc="0" locked="0" layoutInCell="1" allowOverlap="1" wp14:anchorId="36455F1F" wp14:editId="1E5EFA63">
                  <wp:simplePos x="0" y="0"/>
                  <wp:positionH relativeFrom="column">
                    <wp:posOffset>1759602</wp:posOffset>
                  </wp:positionH>
                  <wp:positionV relativeFrom="paragraph">
                    <wp:posOffset>70485</wp:posOffset>
                  </wp:positionV>
                  <wp:extent cx="5155565" cy="45719"/>
                  <wp:effectExtent l="38100" t="38100" r="64135" b="88265"/>
                  <wp:wrapNone/>
                  <wp:docPr id="32" name="32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D10AC3" id="32 Rectángulo" o:spid="_x0000_s1026" style="position:absolute;margin-left:138.55pt;margin-top:5.55pt;width:405.95pt;height:3.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tG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STFSJAWcjRJ0Q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A9YC0Y+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B1910" w:rsidRDefault="00EB1910">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666426" w:rsidRPr="00666426">
          <w:rPr>
            <w:rFonts w:ascii="Times New Roman" w:hAnsi="Times New Roman" w:cs="Times New Roman"/>
            <w:b/>
            <w:noProof/>
            <w:color w:val="1F497D" w:themeColor="text2"/>
            <w:lang w:val="es-ES"/>
          </w:rPr>
          <w:t>3</w:t>
        </w:r>
        <w:r w:rsidRPr="007D4651">
          <w:rPr>
            <w:rFonts w:ascii="Times New Roman" w:hAnsi="Times New Roman" w:cs="Times New Roman"/>
            <w:b/>
            <w:color w:val="1F497D" w:themeColor="text2"/>
          </w:rPr>
          <w:fldChar w:fldCharType="end"/>
        </w:r>
        <w:r>
          <w:rPr>
            <w:lang w:val="es-ES"/>
          </w:rPr>
          <w:t xml:space="preserve"> </w:t>
        </w:r>
      </w:p>
    </w:sdtContent>
  </w:sdt>
  <w:p w:rsidR="00EB1910" w:rsidRDefault="00EB1910" w:rsidP="007D4651">
    <w:pPr>
      <w:pStyle w:val="Piedepgina"/>
      <w:tabs>
        <w:tab w:val="clear" w:pos="4419"/>
        <w:tab w:val="clear" w:pos="8838"/>
        <w:tab w:val="left" w:pos="5777"/>
      </w:tabs>
    </w:pPr>
  </w:p>
  <w:p w:rsidR="00EB1910" w:rsidRDefault="00EB191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782992078"/>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276313B7" wp14:editId="1EF80CE1">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F52E76"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DF18B6" w:rsidRPr="00DF18B6">
          <w:rPr>
            <w:rFonts w:ascii="Times New Roman" w:hAnsi="Times New Roman" w:cs="Times New Roman"/>
            <w:b/>
            <w:noProof/>
            <w:color w:val="1F497D" w:themeColor="text2"/>
            <w:lang w:val="es-ES"/>
          </w:rPr>
          <w:t>4</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231090985"/>
      <w:docPartObj>
        <w:docPartGallery w:val="Page Numbers (Bottom of Page)"/>
        <w:docPartUnique/>
      </w:docPartObj>
    </w:sdtPr>
    <w:sdtEndPr/>
    <w:sdtContent>
      <w:p w:rsidR="00216605" w:rsidRDefault="00216605">
        <w:pPr>
          <w:pStyle w:val="Piedepgina"/>
          <w:jc w:val="right"/>
          <w:rPr>
            <w:lang w:val="es-ES"/>
          </w:rPr>
        </w:pPr>
      </w:p>
      <w:p w:rsidR="00216605" w:rsidRDefault="00216605"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28896" behindDoc="0" locked="0" layoutInCell="1" allowOverlap="1" wp14:anchorId="752AF794" wp14:editId="0C68D21E">
                  <wp:simplePos x="0" y="0"/>
                  <wp:positionH relativeFrom="column">
                    <wp:posOffset>1751347</wp:posOffset>
                  </wp:positionH>
                  <wp:positionV relativeFrom="paragraph">
                    <wp:posOffset>72390</wp:posOffset>
                  </wp:positionV>
                  <wp:extent cx="5155565" cy="45719"/>
                  <wp:effectExtent l="38100" t="38100" r="64135" b="88265"/>
                  <wp:wrapNone/>
                  <wp:docPr id="55"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5086B" id="23 Rectángulo" o:spid="_x0000_s1026" style="position:absolute;margin-left:137.9pt;margin-top:5.7pt;width:405.95pt;height:3.6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216605" w:rsidRDefault="0021660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666426" w:rsidRPr="00666426">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216605" w:rsidRDefault="00216605" w:rsidP="007D4651">
    <w:pPr>
      <w:pStyle w:val="Piedepgina"/>
      <w:tabs>
        <w:tab w:val="clear" w:pos="4419"/>
        <w:tab w:val="clear" w:pos="8838"/>
        <w:tab w:val="left" w:pos="5777"/>
      </w:tabs>
    </w:pPr>
  </w:p>
  <w:p w:rsidR="00216605" w:rsidRDefault="0021660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62041822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018DBAE0" wp14:editId="3546DF3E">
                  <wp:simplePos x="0" y="0"/>
                  <wp:positionH relativeFrom="column">
                    <wp:posOffset>1751347</wp:posOffset>
                  </wp:positionH>
                  <wp:positionV relativeFrom="paragraph">
                    <wp:posOffset>72390</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863166" id="23 Rectángulo" o:spid="_x0000_s1026" style="position:absolute;margin-left:137.9pt;margin-top:5.7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0655E6" w:rsidRPr="000655E6">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673382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244DF04F" wp14:editId="5D08D047">
                  <wp:simplePos x="0" y="0"/>
                  <wp:positionH relativeFrom="column">
                    <wp:posOffset>1759602</wp:posOffset>
                  </wp:positionH>
                  <wp:positionV relativeFrom="paragraph">
                    <wp:posOffset>70485</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D53A2" id="26 Rectángulo" o:spid="_x0000_s1026" style="position:absolute;margin-left:138.55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C4DNAA+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CE75B5" w:rsidRPr="00CE75B5">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884098476"/>
      <w:docPartObj>
        <w:docPartGallery w:val="Page Numbers (Bottom of Page)"/>
        <w:docPartUnique/>
      </w:docPartObj>
    </w:sdtPr>
    <w:sdtEndPr/>
    <w:sdtContent>
      <w:p w:rsidR="00AD5816" w:rsidRDefault="00AD5816">
        <w:pPr>
          <w:pStyle w:val="Piedepgina"/>
          <w:jc w:val="right"/>
          <w:rPr>
            <w:lang w:val="es-ES"/>
          </w:rPr>
        </w:pPr>
      </w:p>
      <w:p w:rsidR="00AD5816" w:rsidRDefault="00AD5816" w:rsidP="00AF4290">
        <w:pPr>
          <w:pStyle w:val="Piedepgina"/>
          <w:tabs>
            <w:tab w:val="left" w:pos="2694"/>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24800" behindDoc="0" locked="0" layoutInCell="1" allowOverlap="1" wp14:anchorId="4C967610" wp14:editId="433C3434">
                  <wp:simplePos x="0" y="0"/>
                  <wp:positionH relativeFrom="column">
                    <wp:posOffset>1776669</wp:posOffset>
                  </wp:positionH>
                  <wp:positionV relativeFrom="paragraph">
                    <wp:posOffset>70516</wp:posOffset>
                  </wp:positionV>
                  <wp:extent cx="5155565" cy="45719"/>
                  <wp:effectExtent l="38100" t="38100" r="64135" b="88265"/>
                  <wp:wrapNone/>
                  <wp:docPr id="7" name="24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04EA3C" id="24 Rectángulo" o:spid="_x0000_s1026" style="position:absolute;margin-left:139.9pt;margin-top:5.55pt;width:405.95pt;height:3.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&#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CTfsNYPQMAAKY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D5816" w:rsidRDefault="00AD5816">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666426" w:rsidRPr="00666426">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D5816" w:rsidRDefault="00AD5816" w:rsidP="007D4651">
    <w:pPr>
      <w:pStyle w:val="Piedepgina"/>
      <w:tabs>
        <w:tab w:val="clear" w:pos="4419"/>
        <w:tab w:val="clear" w:pos="8838"/>
        <w:tab w:val="left" w:pos="5777"/>
      </w:tabs>
    </w:pPr>
  </w:p>
  <w:p w:rsidR="00AD5816" w:rsidRDefault="00AD5816"/>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711402051"/>
      <w:docPartObj>
        <w:docPartGallery w:val="Page Numbers (Bottom of Page)"/>
        <w:docPartUnique/>
      </w:docPartObj>
    </w:sdtPr>
    <w:sdtEndPr/>
    <w:sdtContent>
      <w:p w:rsidR="001F5581" w:rsidRDefault="001F5581">
        <w:pPr>
          <w:pStyle w:val="Piedepgina"/>
          <w:jc w:val="right"/>
          <w:rPr>
            <w:lang w:val="es-ES"/>
          </w:rPr>
        </w:pPr>
      </w:p>
      <w:p w:rsidR="001F5581" w:rsidRDefault="001F558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30944" behindDoc="0" locked="0" layoutInCell="1" allowOverlap="1" wp14:anchorId="4D158B3B" wp14:editId="4E8B2C73">
                  <wp:simplePos x="0" y="0"/>
                  <wp:positionH relativeFrom="column">
                    <wp:posOffset>1759602</wp:posOffset>
                  </wp:positionH>
                  <wp:positionV relativeFrom="paragraph">
                    <wp:posOffset>70485</wp:posOffset>
                  </wp:positionV>
                  <wp:extent cx="5155565" cy="45719"/>
                  <wp:effectExtent l="38100" t="38100" r="64135" b="88265"/>
                  <wp:wrapNone/>
                  <wp:docPr id="48"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4D50C4" id="26 Rectángulo" o:spid="_x0000_s1026" style="position:absolute;margin-left:138.55pt;margin-top:5.55pt;width:405.95pt;height:3.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HYBxbo+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1F5581" w:rsidRDefault="001F55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666426" w:rsidRPr="00666426">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1F5581" w:rsidRDefault="001F5581" w:rsidP="007D4651">
    <w:pPr>
      <w:pStyle w:val="Piedepgina"/>
      <w:tabs>
        <w:tab w:val="clear" w:pos="4419"/>
        <w:tab w:val="clear" w:pos="8838"/>
        <w:tab w:val="left" w:pos="5777"/>
      </w:tabs>
    </w:pPr>
  </w:p>
  <w:p w:rsidR="001F5581" w:rsidRDefault="001F55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B3D" w:rsidRDefault="00206B3D" w:rsidP="007D4651">
      <w:pPr>
        <w:spacing w:after="0" w:line="240" w:lineRule="auto"/>
      </w:pPr>
      <w:r>
        <w:separator/>
      </w:r>
    </w:p>
  </w:footnote>
  <w:footnote w:type="continuationSeparator" w:id="0">
    <w:p w:rsidR="00206B3D" w:rsidRDefault="00206B3D" w:rsidP="007D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16608" behindDoc="1" locked="0" layoutInCell="1" allowOverlap="1" wp14:anchorId="0E9F7A81" wp14:editId="172B6D39">
          <wp:simplePos x="0" y="0"/>
          <wp:positionH relativeFrom="column">
            <wp:posOffset>-86360</wp:posOffset>
          </wp:positionH>
          <wp:positionV relativeFrom="paragraph">
            <wp:posOffset>-165718</wp:posOffset>
          </wp:positionV>
          <wp:extent cx="1697990" cy="914400"/>
          <wp:effectExtent l="0" t="0" r="0" b="0"/>
          <wp:wrapNone/>
          <wp:docPr id="50" name="Imagen 5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D7427C"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Marzo</w:t>
    </w:r>
    <w:r w:rsidR="0073581B">
      <w:rPr>
        <w:rFonts w:ascii="Times New Roman" w:hAnsi="Times New Roman" w:cs="Times New Roman"/>
        <w:color w:val="1F497D" w:themeColor="text2"/>
        <w:lang w:val="es-MX"/>
      </w:rPr>
      <w:t xml:space="preserve"> 2018</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14560" behindDoc="0" locked="0" layoutInCell="1" allowOverlap="1" wp14:anchorId="7809ECAF" wp14:editId="2FC9F2A1">
              <wp:simplePos x="0" y="0"/>
              <wp:positionH relativeFrom="column">
                <wp:posOffset>1720884</wp:posOffset>
              </wp:positionH>
              <wp:positionV relativeFrom="paragraph">
                <wp:posOffset>7980</wp:posOffset>
              </wp:positionV>
              <wp:extent cx="5155894" cy="45719"/>
              <wp:effectExtent l="38100" t="38100" r="64135" b="88265"/>
              <wp:wrapNone/>
              <wp:docPr id="11" name="1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F70B63" id="11 Rectángulo" o:spid="_x0000_s1026" style="position:absolute;margin-left:135.5pt;margin-top:.65pt;width:406pt;height:3.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73581B" w:rsidRDefault="00AF68D3" w:rsidP="00E16925">
    <w:pPr>
      <w:pStyle w:val="Encabezado"/>
      <w:rPr>
        <w:rFonts w:ascii="Times New Roman" w:hAnsi="Times New Roman" w:cs="Times New Roman"/>
        <w:b/>
        <w:lang w:val="es-MX"/>
      </w:rPr>
    </w:pPr>
    <w:r>
      <w:rPr>
        <w:rFonts w:ascii="Times New Roman" w:hAnsi="Times New Roman" w:cs="Times New Roman"/>
        <w:lang w:val="es-MX"/>
      </w:rPr>
      <w:tab/>
    </w:r>
    <w:r w:rsidRPr="0073581B">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2816" behindDoc="1" locked="0" layoutInCell="1" allowOverlap="1" wp14:anchorId="4C3525B2" wp14:editId="2DF4096A">
          <wp:simplePos x="0" y="0"/>
          <wp:positionH relativeFrom="column">
            <wp:posOffset>-89849</wp:posOffset>
          </wp:positionH>
          <wp:positionV relativeFrom="paragraph">
            <wp:posOffset>-163027</wp:posOffset>
          </wp:positionV>
          <wp:extent cx="1697990" cy="914400"/>
          <wp:effectExtent l="0" t="0" r="0" b="0"/>
          <wp:wrapNone/>
          <wp:docPr id="69" name="Imagen 69"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F68D3" w:rsidRPr="007D4651" w:rsidRDefault="00CE75B5"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Marzo 2018</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81792" behindDoc="0" locked="0" layoutInCell="1" allowOverlap="1" wp14:anchorId="0619E2A1" wp14:editId="2A17FA07">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9B3EFB"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9984" behindDoc="1" locked="0" layoutInCell="1" allowOverlap="1" wp14:anchorId="57E8C1DC" wp14:editId="176201DF">
          <wp:simplePos x="0" y="0"/>
          <wp:positionH relativeFrom="column">
            <wp:posOffset>-434119</wp:posOffset>
          </wp:positionH>
          <wp:positionV relativeFrom="paragraph">
            <wp:posOffset>-5080</wp:posOffset>
          </wp:positionV>
          <wp:extent cx="1365775" cy="735496"/>
          <wp:effectExtent l="0" t="0" r="6350" b="7620"/>
          <wp:wrapNone/>
          <wp:docPr id="29" name="Imagen 29"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BC2768"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AF68D3">
      <w:rPr>
        <w:rFonts w:ascii="Times New Roman" w:hAnsi="Times New Roman" w:cs="Times New Roman"/>
        <w:color w:val="1F497D" w:themeColor="text2"/>
        <w:lang w:val="es-MX"/>
      </w:rPr>
      <w:t xml:space="preserve">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96128" behindDoc="0" locked="0" layoutInCell="1" allowOverlap="1" wp14:anchorId="25EE7F89" wp14:editId="499F7519">
              <wp:simplePos x="0" y="0"/>
              <wp:positionH relativeFrom="column">
                <wp:posOffset>1065751</wp:posOffset>
              </wp:positionH>
              <wp:positionV relativeFrom="paragraph">
                <wp:posOffset>26670</wp:posOffset>
              </wp:positionV>
              <wp:extent cx="5634990" cy="45085"/>
              <wp:effectExtent l="38100" t="38100" r="60960" b="88265"/>
              <wp:wrapNone/>
              <wp:docPr id="19" name="19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6DE2C8" id="19 Rectángulo redondeado" o:spid="_x0000_s1026" style="position:absolute;margin-left:83.9pt;margin-top:2.1pt;width:443.7pt;height:3.55pt;flip:y;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b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olmHcSon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10" w:rsidRPr="007D4651" w:rsidRDefault="00EB1910"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07392" behindDoc="1" locked="0" layoutInCell="1" allowOverlap="1" wp14:anchorId="57C3D8AC" wp14:editId="0F5C30AE">
          <wp:simplePos x="0" y="0"/>
          <wp:positionH relativeFrom="column">
            <wp:posOffset>-89849</wp:posOffset>
          </wp:positionH>
          <wp:positionV relativeFrom="paragraph">
            <wp:posOffset>-163027</wp:posOffset>
          </wp:positionV>
          <wp:extent cx="1697990" cy="914400"/>
          <wp:effectExtent l="0" t="0" r="0" b="0"/>
          <wp:wrapNone/>
          <wp:docPr id="52" name="Imagen 5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B1910" w:rsidRPr="007D4651" w:rsidRDefault="007E5841"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Marz</w:t>
    </w:r>
    <w:r w:rsidR="00ED3624">
      <w:rPr>
        <w:rFonts w:ascii="Times New Roman" w:hAnsi="Times New Roman" w:cs="Times New Roman"/>
        <w:color w:val="1F497D" w:themeColor="text2"/>
        <w:lang w:val="es-MX"/>
      </w:rPr>
      <w:t>o</w:t>
    </w:r>
    <w:r w:rsidR="0073581B">
      <w:rPr>
        <w:rFonts w:ascii="Times New Roman" w:hAnsi="Times New Roman" w:cs="Times New Roman"/>
        <w:color w:val="1F497D" w:themeColor="text2"/>
        <w:lang w:val="es-MX"/>
      </w:rPr>
      <w:t xml:space="preserve"> 2018</w:t>
    </w:r>
  </w:p>
  <w:p w:rsidR="00EB1910" w:rsidRDefault="00EB191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06368" behindDoc="0" locked="0" layoutInCell="1" allowOverlap="1" wp14:anchorId="5EC42FCB" wp14:editId="276A5B82">
              <wp:simplePos x="0" y="0"/>
              <wp:positionH relativeFrom="column">
                <wp:posOffset>1710568</wp:posOffset>
              </wp:positionH>
              <wp:positionV relativeFrom="paragraph">
                <wp:posOffset>29118</wp:posOffset>
              </wp:positionV>
              <wp:extent cx="5155894" cy="45719"/>
              <wp:effectExtent l="38100" t="38100" r="64135" b="88265"/>
              <wp:wrapNone/>
              <wp:docPr id="31" name="3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EE2BB6" id="31 Rectángulo" o:spid="_x0000_s1026" style="position:absolute;margin-left:134.7pt;margin-top:2.3pt;width:406pt;height:3.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dAedcD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EB1910" w:rsidRDefault="00EB1910"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EB1910" w:rsidRPr="00E16925" w:rsidRDefault="00EB1910" w:rsidP="00E16925">
    <w:pPr>
      <w:pStyle w:val="Encabezado"/>
      <w:rPr>
        <w:rFonts w:ascii="Times New Roman" w:hAnsi="Times New Roman" w:cs="Times New Roman"/>
        <w:lang w:val="es-MX"/>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18656" behindDoc="1" locked="0" layoutInCell="1" allowOverlap="1" wp14:anchorId="3CB85E70" wp14:editId="080BCA8E">
          <wp:simplePos x="0" y="0"/>
          <wp:positionH relativeFrom="column">
            <wp:posOffset>-58403</wp:posOffset>
          </wp:positionH>
          <wp:positionV relativeFrom="paragraph">
            <wp:posOffset>-162560</wp:posOffset>
          </wp:positionV>
          <wp:extent cx="1697990" cy="914400"/>
          <wp:effectExtent l="0" t="0" r="0" b="0"/>
          <wp:wrapNone/>
          <wp:docPr id="56" name="Imagen 1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273E2C"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w:t>
    </w:r>
    <w:r w:rsidR="00B96036">
      <w:rPr>
        <w:rFonts w:ascii="Times New Roman" w:hAnsi="Times New Roman" w:cs="Times New Roman"/>
        <w:color w:val="1F497D" w:themeColor="text2"/>
        <w:lang w:val="es-MX"/>
      </w:rPr>
      <w:t>bre</w:t>
    </w:r>
    <w:r w:rsidR="00AF68D3">
      <w:rPr>
        <w:rFonts w:ascii="Times New Roman" w:hAnsi="Times New Roman" w:cs="Times New Roman"/>
        <w:color w:val="1F497D" w:themeColor="text2"/>
        <w:lang w:val="es-MX"/>
      </w:rPr>
      <w:t xml:space="preserve"> 2017</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12512" behindDoc="0" locked="0" layoutInCell="1" allowOverlap="1" wp14:anchorId="47665139" wp14:editId="3B46D4EB">
              <wp:simplePos x="0" y="0"/>
              <wp:positionH relativeFrom="column">
                <wp:posOffset>1736708</wp:posOffset>
              </wp:positionH>
              <wp:positionV relativeFrom="paragraph">
                <wp:posOffset>32385</wp:posOffset>
              </wp:positionV>
              <wp:extent cx="5155894" cy="45719"/>
              <wp:effectExtent l="38100" t="38100" r="64135" b="88265"/>
              <wp:wrapNone/>
              <wp:docPr id="6" name="6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00308F" id="6 Rectángulo" o:spid="_x0000_s1026" style="position:absolute;margin-left:136.75pt;margin-top:2.55pt;width:406pt;height:3.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00AF4290">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05" w:rsidRPr="007D4651" w:rsidRDefault="00216605"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7872" behindDoc="1" locked="0" layoutInCell="1" allowOverlap="1" wp14:anchorId="2D12CC76" wp14:editId="453A9199">
          <wp:simplePos x="0" y="0"/>
          <wp:positionH relativeFrom="column">
            <wp:posOffset>-89849</wp:posOffset>
          </wp:positionH>
          <wp:positionV relativeFrom="paragraph">
            <wp:posOffset>-163027</wp:posOffset>
          </wp:positionV>
          <wp:extent cx="1697990" cy="914400"/>
          <wp:effectExtent l="0" t="0" r="0" b="0"/>
          <wp:wrapNone/>
          <wp:docPr id="57"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216605" w:rsidRPr="007D4651" w:rsidRDefault="007E5841"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Marz</w:t>
    </w:r>
    <w:r w:rsidR="00ED3624">
      <w:rPr>
        <w:rFonts w:ascii="Times New Roman" w:hAnsi="Times New Roman" w:cs="Times New Roman"/>
        <w:color w:val="1F497D" w:themeColor="text2"/>
        <w:lang w:val="es-MX"/>
      </w:rPr>
      <w:t>o</w:t>
    </w:r>
    <w:r w:rsidR="0073581B">
      <w:rPr>
        <w:rFonts w:ascii="Times New Roman" w:hAnsi="Times New Roman" w:cs="Times New Roman"/>
        <w:color w:val="1F497D" w:themeColor="text2"/>
        <w:lang w:val="es-MX"/>
      </w:rPr>
      <w:t xml:space="preserve"> 2018</w:t>
    </w:r>
  </w:p>
  <w:p w:rsidR="00216605" w:rsidRDefault="00216605"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26848" behindDoc="0" locked="0" layoutInCell="1" allowOverlap="1" wp14:anchorId="72F08667" wp14:editId="106105DF">
              <wp:simplePos x="0" y="0"/>
              <wp:positionH relativeFrom="column">
                <wp:posOffset>1710568</wp:posOffset>
              </wp:positionH>
              <wp:positionV relativeFrom="paragraph">
                <wp:posOffset>29118</wp:posOffset>
              </wp:positionV>
              <wp:extent cx="5155894" cy="45719"/>
              <wp:effectExtent l="38100" t="38100" r="64135" b="88265"/>
              <wp:wrapNone/>
              <wp:docPr id="54"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B6938B" id="22 Rectángulo" o:spid="_x0000_s1026" style="position:absolute;margin-left:134.7pt;margin-top:2.3pt;width:406pt;height:3.6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W/Rgk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216605" w:rsidRDefault="00216605"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216605" w:rsidRPr="00E16925" w:rsidRDefault="00216605" w:rsidP="00E16925">
    <w:pPr>
      <w:pStyle w:val="Encabezado"/>
      <w:rPr>
        <w:rFonts w:ascii="Times New Roman" w:hAnsi="Times New Roman" w:cs="Times New Roman"/>
        <w:lang w:val="es-MX"/>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4624" behindDoc="1" locked="0" layoutInCell="1" allowOverlap="1" wp14:anchorId="2C518B5D" wp14:editId="4F5C26AE">
          <wp:simplePos x="0" y="0"/>
          <wp:positionH relativeFrom="column">
            <wp:posOffset>-89849</wp:posOffset>
          </wp:positionH>
          <wp:positionV relativeFrom="paragraph">
            <wp:posOffset>-163027</wp:posOffset>
          </wp:positionV>
          <wp:extent cx="1697990" cy="914400"/>
          <wp:effectExtent l="0" t="0" r="0" b="0"/>
          <wp:wrapNone/>
          <wp:docPr id="43"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F68D3" w:rsidRPr="007D4651" w:rsidRDefault="00ED3624"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Febrero</w:t>
    </w:r>
    <w:r w:rsidR="0073581B">
      <w:rPr>
        <w:rFonts w:ascii="Times New Roman" w:hAnsi="Times New Roman" w:cs="Times New Roman"/>
        <w:color w:val="1F497D" w:themeColor="text2"/>
        <w:lang w:val="es-MX"/>
      </w:rPr>
      <w:t xml:space="preserve"> 2018</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1D44CE62" wp14:editId="73AE5207">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877FD9"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0704" behindDoc="1" locked="0" layoutInCell="1" allowOverlap="1" wp14:anchorId="7AEF2C61" wp14:editId="44868F4B">
          <wp:simplePos x="0" y="0"/>
          <wp:positionH relativeFrom="column">
            <wp:posOffset>-93997</wp:posOffset>
          </wp:positionH>
          <wp:positionV relativeFrom="paragraph">
            <wp:posOffset>-177800</wp:posOffset>
          </wp:positionV>
          <wp:extent cx="1697990" cy="914400"/>
          <wp:effectExtent l="0" t="0" r="0" b="0"/>
          <wp:wrapNone/>
          <wp:docPr id="66" name="Imagen 66"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F23065"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Septiembre</w:t>
    </w:r>
    <w:r w:rsidR="00AF68D3">
      <w:rPr>
        <w:rFonts w:ascii="Times New Roman" w:hAnsi="Times New Roman" w:cs="Times New Roman"/>
        <w:color w:val="1F497D" w:themeColor="text2"/>
        <w:lang w:val="es-MX"/>
      </w:rPr>
      <w:t xml:space="preserve"> 2017</w:t>
    </w:r>
  </w:p>
  <w:p w:rsidR="00AF68D3" w:rsidRPr="004A73AA" w:rsidRDefault="00AF4290"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710464" behindDoc="0" locked="0" layoutInCell="1" allowOverlap="1" wp14:anchorId="793410D3" wp14:editId="5D767406">
              <wp:simplePos x="0" y="0"/>
              <wp:positionH relativeFrom="column">
                <wp:posOffset>1711308</wp:posOffset>
              </wp:positionH>
              <wp:positionV relativeFrom="paragraph">
                <wp:posOffset>12065</wp:posOffset>
              </wp:positionV>
              <wp:extent cx="5155894" cy="45719"/>
              <wp:effectExtent l="38100" t="38100" r="64135" b="88265"/>
              <wp:wrapNone/>
              <wp:docPr id="1"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18F7D" id="1 Rectángulo" o:spid="_x0000_s1026" style="position:absolute;margin-left:134.75pt;margin-top:.95pt;width:406pt;height:3.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4A73AA" w:rsidRDefault="00AF68D3"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00AF4290">
      <w:rPr>
        <w:rFonts w:ascii="Times New Roman" w:hAnsi="Times New Roman" w:cs="Times New Roman"/>
        <w:color w:val="1F497D" w:themeColor="text2"/>
        <w:lang w:val="es-MX"/>
      </w:rPr>
      <w:t xml:space="preserve">      </w:t>
    </w:r>
    <w:r w:rsidR="00AF4290" w:rsidRPr="009F164F">
      <w:rPr>
        <w:rFonts w:ascii="Times New Roman" w:hAnsi="Times New Roman" w:cs="Times New Roman"/>
        <w:b/>
        <w:color w:val="4F81BD" w:themeColor="accent1"/>
        <w:lang w:val="es-MX"/>
      </w:rPr>
      <w:t>Dirección de Análisis y Política Fiscal</w:t>
    </w:r>
  </w:p>
  <w:p w:rsidR="00AF68D3" w:rsidRPr="007452E2" w:rsidRDefault="00AF68D3" w:rsidP="00E16925">
    <w:pPr>
      <w:pStyle w:val="Encabezado"/>
      <w:rPr>
        <w:rFonts w:ascii="Times New Roman" w:hAnsi="Times New Roman" w:cs="Times New Roman"/>
        <w:lang w:val="es-MX"/>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16" w:rsidRPr="007D4651" w:rsidRDefault="00AD5816"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3776" behindDoc="1" locked="0" layoutInCell="1" allowOverlap="1" wp14:anchorId="362B1BDF" wp14:editId="2ED8F8F4">
          <wp:simplePos x="0" y="0"/>
          <wp:positionH relativeFrom="column">
            <wp:posOffset>-89849</wp:posOffset>
          </wp:positionH>
          <wp:positionV relativeFrom="paragraph">
            <wp:posOffset>-163027</wp:posOffset>
          </wp:positionV>
          <wp:extent cx="1697990" cy="914400"/>
          <wp:effectExtent l="0" t="0" r="0" b="0"/>
          <wp:wrapNone/>
          <wp:docPr id="33" name="Imagen 33"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D5816" w:rsidRPr="007D4651" w:rsidRDefault="007E5841"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Marz</w:t>
    </w:r>
    <w:r w:rsidR="00ED3624">
      <w:rPr>
        <w:rFonts w:ascii="Times New Roman" w:hAnsi="Times New Roman" w:cs="Times New Roman"/>
        <w:color w:val="1F497D" w:themeColor="text2"/>
        <w:lang w:val="es-MX"/>
      </w:rPr>
      <w:t>o</w:t>
    </w:r>
    <w:r w:rsidR="0073581B">
      <w:rPr>
        <w:rFonts w:ascii="Times New Roman" w:hAnsi="Times New Roman" w:cs="Times New Roman"/>
        <w:color w:val="1F497D" w:themeColor="text2"/>
        <w:lang w:val="es-MX"/>
      </w:rPr>
      <w:t xml:space="preserve"> 2018</w:t>
    </w:r>
  </w:p>
  <w:p w:rsidR="00AD5816" w:rsidRDefault="00AD5816"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22752" behindDoc="0" locked="0" layoutInCell="1" allowOverlap="1" wp14:anchorId="54D3724B" wp14:editId="4ED4964A">
              <wp:simplePos x="0" y="0"/>
              <wp:positionH relativeFrom="column">
                <wp:posOffset>1710568</wp:posOffset>
              </wp:positionH>
              <wp:positionV relativeFrom="paragraph">
                <wp:posOffset>29118</wp:posOffset>
              </wp:positionV>
              <wp:extent cx="5155894" cy="45719"/>
              <wp:effectExtent l="38100" t="38100" r="64135" b="88265"/>
              <wp:wrapNone/>
              <wp:docPr id="20" name="20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515217" id="20 Rectángulo" o:spid="_x0000_s1026" style="position:absolute;margin-left:134.7pt;margin-top:2.3pt;width:406pt;height:3.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&#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b1NSo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D5816" w:rsidRDefault="00AD5816" w:rsidP="00E16925">
    <w:pPr>
      <w:pStyle w:val="Encabezado"/>
      <w:rPr>
        <w:rFonts w:ascii="Times New Roman" w:hAnsi="Times New Roman" w:cs="Times New Roman"/>
        <w:lang w:val="es-MX"/>
      </w:rPr>
    </w:pPr>
    <w:r>
      <w:rPr>
        <w:rFonts w:ascii="Times New Roman" w:hAnsi="Times New Roman" w:cs="Times New Roman"/>
        <w:lang w:val="es-MX"/>
      </w:rPr>
      <w:tab/>
      <w:t xml:space="preserve"> </w:t>
    </w:r>
    <w:r w:rsidRPr="009F164F">
      <w:rPr>
        <w:rFonts w:ascii="Times New Roman" w:hAnsi="Times New Roman" w:cs="Times New Roman"/>
        <w:b/>
        <w:color w:val="4F81BD" w:themeColor="accent1"/>
        <w:lang w:val="es-MX"/>
      </w:rPr>
      <w:t>Dirección de Análisis y Política Fiscal</w:t>
    </w:r>
  </w:p>
  <w:p w:rsidR="00AD5816" w:rsidRPr="00E16925" w:rsidRDefault="00AD5816" w:rsidP="00E16925">
    <w:pPr>
      <w:pStyle w:val="Encabezado"/>
      <w:rPr>
        <w:rFonts w:ascii="Times New Roman" w:hAnsi="Times New Roman" w:cs="Times New Roman"/>
        <w:lang w:val="es-MX"/>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81" w:rsidRPr="007D4651" w:rsidRDefault="001F5581"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32992" behindDoc="1" locked="0" layoutInCell="1" allowOverlap="1" wp14:anchorId="77AB9A69" wp14:editId="0D4FA117">
          <wp:simplePos x="0" y="0"/>
          <wp:positionH relativeFrom="column">
            <wp:posOffset>-93997</wp:posOffset>
          </wp:positionH>
          <wp:positionV relativeFrom="paragraph">
            <wp:posOffset>-177800</wp:posOffset>
          </wp:positionV>
          <wp:extent cx="1697990" cy="914400"/>
          <wp:effectExtent l="0" t="0" r="0" b="0"/>
          <wp:wrapNone/>
          <wp:docPr id="68"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1F5581" w:rsidRDefault="007E5841"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Marz</w:t>
    </w:r>
    <w:r w:rsidR="00ED3624">
      <w:rPr>
        <w:rFonts w:ascii="Times New Roman" w:hAnsi="Times New Roman" w:cs="Times New Roman"/>
        <w:color w:val="1F497D" w:themeColor="text2"/>
        <w:lang w:val="es-MX"/>
      </w:rPr>
      <w:t>o</w:t>
    </w:r>
    <w:r w:rsidR="0073581B">
      <w:rPr>
        <w:rFonts w:ascii="Times New Roman" w:hAnsi="Times New Roman" w:cs="Times New Roman"/>
        <w:color w:val="1F497D" w:themeColor="text2"/>
        <w:lang w:val="es-MX"/>
      </w:rPr>
      <w:t xml:space="preserve"> 2018</w:t>
    </w:r>
  </w:p>
  <w:p w:rsidR="001F5581" w:rsidRPr="004A73AA" w:rsidRDefault="001F5581"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731968" behindDoc="0" locked="0" layoutInCell="1" allowOverlap="1" wp14:anchorId="42E3950B" wp14:editId="2FD9AED9">
              <wp:simplePos x="0" y="0"/>
              <wp:positionH relativeFrom="column">
                <wp:posOffset>1711308</wp:posOffset>
              </wp:positionH>
              <wp:positionV relativeFrom="paragraph">
                <wp:posOffset>12065</wp:posOffset>
              </wp:positionV>
              <wp:extent cx="5155894" cy="45719"/>
              <wp:effectExtent l="38100" t="38100" r="64135" b="88265"/>
              <wp:wrapNone/>
              <wp:docPr id="46"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F19121" id="1 Rectángulo" o:spid="_x0000_s1026" style="position:absolute;margin-left:134.75pt;margin-top:.95pt;width:406pt;height:3.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1F5581" w:rsidRPr="004A73AA" w:rsidRDefault="001F5581"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Pr="009F164F">
      <w:rPr>
        <w:rFonts w:ascii="Times New Roman" w:hAnsi="Times New Roman" w:cs="Times New Roman"/>
        <w:b/>
        <w:color w:val="4F81BD" w:themeColor="accent1"/>
        <w:lang w:val="es-MX"/>
      </w:rPr>
      <w:t>Dirección de Análisis y Política Fiscal</w:t>
    </w:r>
  </w:p>
  <w:p w:rsidR="001F5581" w:rsidRPr="007452E2" w:rsidRDefault="001F5581"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2DA43097"/>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15:restartNumberingAfterBreak="0">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32216C57"/>
    <w:multiLevelType w:val="hybridMultilevel"/>
    <w:tmpl w:val="4C9095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335D3E9F"/>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 w15:restartNumberingAfterBreak="0">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8"/>
  </w:num>
  <w:num w:numId="6">
    <w:abstractNumId w:val="10"/>
  </w:num>
  <w:num w:numId="7">
    <w:abstractNumId w:val="9"/>
  </w:num>
  <w:num w:numId="8">
    <w:abstractNumId w:val="1"/>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1"/>
    <w:rsid w:val="000053A7"/>
    <w:rsid w:val="00006489"/>
    <w:rsid w:val="000064C3"/>
    <w:rsid w:val="00013A7F"/>
    <w:rsid w:val="00013C63"/>
    <w:rsid w:val="00020E23"/>
    <w:rsid w:val="00022E98"/>
    <w:rsid w:val="00025788"/>
    <w:rsid w:val="000378CF"/>
    <w:rsid w:val="00040C99"/>
    <w:rsid w:val="00042B27"/>
    <w:rsid w:val="00045D14"/>
    <w:rsid w:val="00051A92"/>
    <w:rsid w:val="00053517"/>
    <w:rsid w:val="000655E6"/>
    <w:rsid w:val="000723B2"/>
    <w:rsid w:val="00072EEB"/>
    <w:rsid w:val="00074BC6"/>
    <w:rsid w:val="00076AB4"/>
    <w:rsid w:val="00076AD2"/>
    <w:rsid w:val="0008348D"/>
    <w:rsid w:val="00087ADE"/>
    <w:rsid w:val="000A0A4F"/>
    <w:rsid w:val="000A6E8E"/>
    <w:rsid w:val="000C1547"/>
    <w:rsid w:val="000D016D"/>
    <w:rsid w:val="000D2FA4"/>
    <w:rsid w:val="000D489E"/>
    <w:rsid w:val="000F5F87"/>
    <w:rsid w:val="00102939"/>
    <w:rsid w:val="00103DA9"/>
    <w:rsid w:val="001045CE"/>
    <w:rsid w:val="00111B77"/>
    <w:rsid w:val="001178B6"/>
    <w:rsid w:val="001259BA"/>
    <w:rsid w:val="001339A4"/>
    <w:rsid w:val="00133DBA"/>
    <w:rsid w:val="00136D08"/>
    <w:rsid w:val="00142BF3"/>
    <w:rsid w:val="00143620"/>
    <w:rsid w:val="00145313"/>
    <w:rsid w:val="00152798"/>
    <w:rsid w:val="001549AB"/>
    <w:rsid w:val="00157402"/>
    <w:rsid w:val="00160EAC"/>
    <w:rsid w:val="00171909"/>
    <w:rsid w:val="001735EE"/>
    <w:rsid w:val="0017454D"/>
    <w:rsid w:val="00185253"/>
    <w:rsid w:val="001913A4"/>
    <w:rsid w:val="00196A44"/>
    <w:rsid w:val="001A3185"/>
    <w:rsid w:val="001A79F4"/>
    <w:rsid w:val="001C2FF5"/>
    <w:rsid w:val="001C3649"/>
    <w:rsid w:val="001D0065"/>
    <w:rsid w:val="001D46C3"/>
    <w:rsid w:val="001D4C8E"/>
    <w:rsid w:val="001D5A5B"/>
    <w:rsid w:val="001E0E10"/>
    <w:rsid w:val="001E0F86"/>
    <w:rsid w:val="001E4CD2"/>
    <w:rsid w:val="001F34AD"/>
    <w:rsid w:val="001F4EE1"/>
    <w:rsid w:val="001F4F78"/>
    <w:rsid w:val="001F5240"/>
    <w:rsid w:val="001F5581"/>
    <w:rsid w:val="001F7141"/>
    <w:rsid w:val="00200FB1"/>
    <w:rsid w:val="00202594"/>
    <w:rsid w:val="0020377F"/>
    <w:rsid w:val="00206B3D"/>
    <w:rsid w:val="002101C9"/>
    <w:rsid w:val="00213C92"/>
    <w:rsid w:val="00216605"/>
    <w:rsid w:val="0021693D"/>
    <w:rsid w:val="00216DA8"/>
    <w:rsid w:val="002302ED"/>
    <w:rsid w:val="002335EE"/>
    <w:rsid w:val="0023642A"/>
    <w:rsid w:val="00240D86"/>
    <w:rsid w:val="00242202"/>
    <w:rsid w:val="00244AAA"/>
    <w:rsid w:val="002512EC"/>
    <w:rsid w:val="00256F02"/>
    <w:rsid w:val="00262E76"/>
    <w:rsid w:val="00263007"/>
    <w:rsid w:val="00264C3A"/>
    <w:rsid w:val="002672D5"/>
    <w:rsid w:val="00270CAB"/>
    <w:rsid w:val="00273E2C"/>
    <w:rsid w:val="00276250"/>
    <w:rsid w:val="00276A28"/>
    <w:rsid w:val="00281439"/>
    <w:rsid w:val="00281FB7"/>
    <w:rsid w:val="0029321A"/>
    <w:rsid w:val="00296D57"/>
    <w:rsid w:val="002977ED"/>
    <w:rsid w:val="002B7644"/>
    <w:rsid w:val="002C482A"/>
    <w:rsid w:val="002C6478"/>
    <w:rsid w:val="002C68B8"/>
    <w:rsid w:val="002C7F2B"/>
    <w:rsid w:val="002D3469"/>
    <w:rsid w:val="002D54E6"/>
    <w:rsid w:val="002E3F4C"/>
    <w:rsid w:val="002F29DE"/>
    <w:rsid w:val="002F2A42"/>
    <w:rsid w:val="00302D40"/>
    <w:rsid w:val="0030695C"/>
    <w:rsid w:val="00321745"/>
    <w:rsid w:val="0032198D"/>
    <w:rsid w:val="00322ECC"/>
    <w:rsid w:val="003251FB"/>
    <w:rsid w:val="00334324"/>
    <w:rsid w:val="00343A5D"/>
    <w:rsid w:val="00345216"/>
    <w:rsid w:val="0034700C"/>
    <w:rsid w:val="0035279B"/>
    <w:rsid w:val="003531E5"/>
    <w:rsid w:val="003551C3"/>
    <w:rsid w:val="003649D9"/>
    <w:rsid w:val="00364DD6"/>
    <w:rsid w:val="00367E12"/>
    <w:rsid w:val="00374D44"/>
    <w:rsid w:val="00376802"/>
    <w:rsid w:val="00376FE9"/>
    <w:rsid w:val="0038008D"/>
    <w:rsid w:val="00381A4F"/>
    <w:rsid w:val="00385BA8"/>
    <w:rsid w:val="00393E59"/>
    <w:rsid w:val="0039499F"/>
    <w:rsid w:val="003968DB"/>
    <w:rsid w:val="003A3726"/>
    <w:rsid w:val="003B00D2"/>
    <w:rsid w:val="003B13B4"/>
    <w:rsid w:val="003B1A93"/>
    <w:rsid w:val="003C3922"/>
    <w:rsid w:val="003C7085"/>
    <w:rsid w:val="003D05CE"/>
    <w:rsid w:val="003D38A7"/>
    <w:rsid w:val="003D60E4"/>
    <w:rsid w:val="003D72D3"/>
    <w:rsid w:val="003E28F4"/>
    <w:rsid w:val="003E591D"/>
    <w:rsid w:val="003F0660"/>
    <w:rsid w:val="003F4609"/>
    <w:rsid w:val="0040361C"/>
    <w:rsid w:val="00413FBE"/>
    <w:rsid w:val="00416D41"/>
    <w:rsid w:val="0042387A"/>
    <w:rsid w:val="00426F4F"/>
    <w:rsid w:val="00443336"/>
    <w:rsid w:val="00443385"/>
    <w:rsid w:val="00443621"/>
    <w:rsid w:val="00447F4F"/>
    <w:rsid w:val="00450531"/>
    <w:rsid w:val="00452A5A"/>
    <w:rsid w:val="004575BA"/>
    <w:rsid w:val="004606FD"/>
    <w:rsid w:val="00464DB9"/>
    <w:rsid w:val="004650C5"/>
    <w:rsid w:val="00474EC2"/>
    <w:rsid w:val="004830FD"/>
    <w:rsid w:val="004835C8"/>
    <w:rsid w:val="00483632"/>
    <w:rsid w:val="0048385B"/>
    <w:rsid w:val="00494BC6"/>
    <w:rsid w:val="00494D1D"/>
    <w:rsid w:val="00495F43"/>
    <w:rsid w:val="004A3D32"/>
    <w:rsid w:val="004A6705"/>
    <w:rsid w:val="004A73AA"/>
    <w:rsid w:val="004B336D"/>
    <w:rsid w:val="004B4B9F"/>
    <w:rsid w:val="004B5B0F"/>
    <w:rsid w:val="004C208F"/>
    <w:rsid w:val="004C3B4E"/>
    <w:rsid w:val="004D1F76"/>
    <w:rsid w:val="004D7482"/>
    <w:rsid w:val="004E358C"/>
    <w:rsid w:val="004E4FDE"/>
    <w:rsid w:val="004E54B7"/>
    <w:rsid w:val="004F02B2"/>
    <w:rsid w:val="004F4F4D"/>
    <w:rsid w:val="004F72F9"/>
    <w:rsid w:val="005004C9"/>
    <w:rsid w:val="005016F6"/>
    <w:rsid w:val="005077A5"/>
    <w:rsid w:val="005104DC"/>
    <w:rsid w:val="005364DE"/>
    <w:rsid w:val="005428C6"/>
    <w:rsid w:val="00544E9A"/>
    <w:rsid w:val="00546650"/>
    <w:rsid w:val="005537D0"/>
    <w:rsid w:val="00573AB0"/>
    <w:rsid w:val="005755E9"/>
    <w:rsid w:val="00582F9F"/>
    <w:rsid w:val="00586745"/>
    <w:rsid w:val="005879A5"/>
    <w:rsid w:val="00591D14"/>
    <w:rsid w:val="005925BD"/>
    <w:rsid w:val="00592D6E"/>
    <w:rsid w:val="0059421A"/>
    <w:rsid w:val="005948F0"/>
    <w:rsid w:val="005979EB"/>
    <w:rsid w:val="005A03A9"/>
    <w:rsid w:val="005A1EFC"/>
    <w:rsid w:val="005A6ACE"/>
    <w:rsid w:val="005B0E84"/>
    <w:rsid w:val="005B1B53"/>
    <w:rsid w:val="005B4E4C"/>
    <w:rsid w:val="005B6D05"/>
    <w:rsid w:val="005D2336"/>
    <w:rsid w:val="005D51CA"/>
    <w:rsid w:val="005E7E89"/>
    <w:rsid w:val="005F4EEF"/>
    <w:rsid w:val="0060094A"/>
    <w:rsid w:val="00603743"/>
    <w:rsid w:val="00606D70"/>
    <w:rsid w:val="00610F84"/>
    <w:rsid w:val="00623EC9"/>
    <w:rsid w:val="00625AA5"/>
    <w:rsid w:val="00632EE6"/>
    <w:rsid w:val="00633616"/>
    <w:rsid w:val="00637AC9"/>
    <w:rsid w:val="00640B12"/>
    <w:rsid w:val="0064258A"/>
    <w:rsid w:val="00643685"/>
    <w:rsid w:val="00643FB6"/>
    <w:rsid w:val="00651522"/>
    <w:rsid w:val="006525C5"/>
    <w:rsid w:val="00654855"/>
    <w:rsid w:val="006553D6"/>
    <w:rsid w:val="00660888"/>
    <w:rsid w:val="006630B2"/>
    <w:rsid w:val="00663EB3"/>
    <w:rsid w:val="00665BB7"/>
    <w:rsid w:val="00666426"/>
    <w:rsid w:val="006668D4"/>
    <w:rsid w:val="0066791B"/>
    <w:rsid w:val="00670F33"/>
    <w:rsid w:val="0067132B"/>
    <w:rsid w:val="00674EAE"/>
    <w:rsid w:val="00676765"/>
    <w:rsid w:val="00685A33"/>
    <w:rsid w:val="00685C3A"/>
    <w:rsid w:val="006A1473"/>
    <w:rsid w:val="006B0D82"/>
    <w:rsid w:val="006D1857"/>
    <w:rsid w:val="006D7B6E"/>
    <w:rsid w:val="006D7BB6"/>
    <w:rsid w:val="006E1D11"/>
    <w:rsid w:val="006E27A5"/>
    <w:rsid w:val="006E4937"/>
    <w:rsid w:val="006E63F3"/>
    <w:rsid w:val="006E6A13"/>
    <w:rsid w:val="006F157C"/>
    <w:rsid w:val="006F202E"/>
    <w:rsid w:val="006F20A4"/>
    <w:rsid w:val="006F3FF3"/>
    <w:rsid w:val="006F5EA0"/>
    <w:rsid w:val="006F7575"/>
    <w:rsid w:val="00715C88"/>
    <w:rsid w:val="00715D8F"/>
    <w:rsid w:val="00725F93"/>
    <w:rsid w:val="0073367E"/>
    <w:rsid w:val="0073437F"/>
    <w:rsid w:val="0073581B"/>
    <w:rsid w:val="00741591"/>
    <w:rsid w:val="00741F6B"/>
    <w:rsid w:val="007452E2"/>
    <w:rsid w:val="00747C79"/>
    <w:rsid w:val="00754057"/>
    <w:rsid w:val="0075770C"/>
    <w:rsid w:val="0076028F"/>
    <w:rsid w:val="00762FE3"/>
    <w:rsid w:val="0076667B"/>
    <w:rsid w:val="00767573"/>
    <w:rsid w:val="007703A2"/>
    <w:rsid w:val="007814D6"/>
    <w:rsid w:val="007846C7"/>
    <w:rsid w:val="00784AF8"/>
    <w:rsid w:val="007859CD"/>
    <w:rsid w:val="007A6523"/>
    <w:rsid w:val="007A7272"/>
    <w:rsid w:val="007A7814"/>
    <w:rsid w:val="007B26CD"/>
    <w:rsid w:val="007B3D0C"/>
    <w:rsid w:val="007B720C"/>
    <w:rsid w:val="007C0C8C"/>
    <w:rsid w:val="007C4E46"/>
    <w:rsid w:val="007D0566"/>
    <w:rsid w:val="007D38A9"/>
    <w:rsid w:val="007D4651"/>
    <w:rsid w:val="007D7CFE"/>
    <w:rsid w:val="007E314A"/>
    <w:rsid w:val="007E5841"/>
    <w:rsid w:val="007E6F28"/>
    <w:rsid w:val="007F4528"/>
    <w:rsid w:val="007F6F57"/>
    <w:rsid w:val="008010A6"/>
    <w:rsid w:val="00804E1C"/>
    <w:rsid w:val="00810A4C"/>
    <w:rsid w:val="00813E3C"/>
    <w:rsid w:val="0081609E"/>
    <w:rsid w:val="00826AEC"/>
    <w:rsid w:val="00826D9D"/>
    <w:rsid w:val="00827563"/>
    <w:rsid w:val="008277A9"/>
    <w:rsid w:val="00842FFE"/>
    <w:rsid w:val="008501C7"/>
    <w:rsid w:val="00851B4B"/>
    <w:rsid w:val="00861640"/>
    <w:rsid w:val="008718E5"/>
    <w:rsid w:val="00873EBB"/>
    <w:rsid w:val="008844B1"/>
    <w:rsid w:val="00891B11"/>
    <w:rsid w:val="00892181"/>
    <w:rsid w:val="00892DE1"/>
    <w:rsid w:val="00895722"/>
    <w:rsid w:val="008A2427"/>
    <w:rsid w:val="008D5E9E"/>
    <w:rsid w:val="008E0F73"/>
    <w:rsid w:val="008E5C4F"/>
    <w:rsid w:val="008E7869"/>
    <w:rsid w:val="008E7927"/>
    <w:rsid w:val="008F312E"/>
    <w:rsid w:val="008F4BCE"/>
    <w:rsid w:val="008F5DBB"/>
    <w:rsid w:val="00910163"/>
    <w:rsid w:val="009121F7"/>
    <w:rsid w:val="00916532"/>
    <w:rsid w:val="00924E88"/>
    <w:rsid w:val="0093522C"/>
    <w:rsid w:val="00935D14"/>
    <w:rsid w:val="00942163"/>
    <w:rsid w:val="0094219B"/>
    <w:rsid w:val="00950874"/>
    <w:rsid w:val="00951347"/>
    <w:rsid w:val="00956270"/>
    <w:rsid w:val="00964466"/>
    <w:rsid w:val="00965F44"/>
    <w:rsid w:val="00972FCF"/>
    <w:rsid w:val="00981FB0"/>
    <w:rsid w:val="00986297"/>
    <w:rsid w:val="0099341E"/>
    <w:rsid w:val="00993857"/>
    <w:rsid w:val="00995540"/>
    <w:rsid w:val="00997A06"/>
    <w:rsid w:val="009A12F9"/>
    <w:rsid w:val="009A1EA3"/>
    <w:rsid w:val="009A3187"/>
    <w:rsid w:val="009A47FE"/>
    <w:rsid w:val="009A5380"/>
    <w:rsid w:val="009A7441"/>
    <w:rsid w:val="009B7148"/>
    <w:rsid w:val="009B7429"/>
    <w:rsid w:val="009C0583"/>
    <w:rsid w:val="009C0B93"/>
    <w:rsid w:val="009C361A"/>
    <w:rsid w:val="009C3938"/>
    <w:rsid w:val="009C4027"/>
    <w:rsid w:val="009D0D94"/>
    <w:rsid w:val="009D1232"/>
    <w:rsid w:val="009D25F9"/>
    <w:rsid w:val="009D2C22"/>
    <w:rsid w:val="009D72CF"/>
    <w:rsid w:val="009F164F"/>
    <w:rsid w:val="009F1C62"/>
    <w:rsid w:val="009F530C"/>
    <w:rsid w:val="009F628A"/>
    <w:rsid w:val="00A0113A"/>
    <w:rsid w:val="00A15244"/>
    <w:rsid w:val="00A159B6"/>
    <w:rsid w:val="00A2151F"/>
    <w:rsid w:val="00A25906"/>
    <w:rsid w:val="00A26C76"/>
    <w:rsid w:val="00A305E5"/>
    <w:rsid w:val="00A32AA1"/>
    <w:rsid w:val="00A46630"/>
    <w:rsid w:val="00A53877"/>
    <w:rsid w:val="00A54CC2"/>
    <w:rsid w:val="00A64AE4"/>
    <w:rsid w:val="00A706A2"/>
    <w:rsid w:val="00A7383F"/>
    <w:rsid w:val="00A74F16"/>
    <w:rsid w:val="00A75E19"/>
    <w:rsid w:val="00A775C6"/>
    <w:rsid w:val="00A875EE"/>
    <w:rsid w:val="00A900E8"/>
    <w:rsid w:val="00A92D6E"/>
    <w:rsid w:val="00A970F8"/>
    <w:rsid w:val="00AA11B9"/>
    <w:rsid w:val="00AA54A5"/>
    <w:rsid w:val="00AA6C6B"/>
    <w:rsid w:val="00AA7DB0"/>
    <w:rsid w:val="00AB2522"/>
    <w:rsid w:val="00AB52BE"/>
    <w:rsid w:val="00AC7961"/>
    <w:rsid w:val="00AD5816"/>
    <w:rsid w:val="00AE2039"/>
    <w:rsid w:val="00AE50A8"/>
    <w:rsid w:val="00AF073D"/>
    <w:rsid w:val="00AF4290"/>
    <w:rsid w:val="00AF68D3"/>
    <w:rsid w:val="00AF7ACE"/>
    <w:rsid w:val="00B04D97"/>
    <w:rsid w:val="00B05AC1"/>
    <w:rsid w:val="00B136D6"/>
    <w:rsid w:val="00B21010"/>
    <w:rsid w:val="00B26014"/>
    <w:rsid w:val="00B2709E"/>
    <w:rsid w:val="00B43892"/>
    <w:rsid w:val="00B5079C"/>
    <w:rsid w:val="00B579BB"/>
    <w:rsid w:val="00B57AAB"/>
    <w:rsid w:val="00B57CED"/>
    <w:rsid w:val="00B606D0"/>
    <w:rsid w:val="00B667BC"/>
    <w:rsid w:val="00B7136E"/>
    <w:rsid w:val="00B84995"/>
    <w:rsid w:val="00B86812"/>
    <w:rsid w:val="00B917E5"/>
    <w:rsid w:val="00B9286A"/>
    <w:rsid w:val="00B95BBF"/>
    <w:rsid w:val="00B96036"/>
    <w:rsid w:val="00BA3920"/>
    <w:rsid w:val="00BB1AAC"/>
    <w:rsid w:val="00BB4C28"/>
    <w:rsid w:val="00BC2768"/>
    <w:rsid w:val="00BC4F9E"/>
    <w:rsid w:val="00BC647C"/>
    <w:rsid w:val="00BC7539"/>
    <w:rsid w:val="00BC79C1"/>
    <w:rsid w:val="00BD1088"/>
    <w:rsid w:val="00BD3A7C"/>
    <w:rsid w:val="00BD4961"/>
    <w:rsid w:val="00BF1481"/>
    <w:rsid w:val="00BF2610"/>
    <w:rsid w:val="00C02FE1"/>
    <w:rsid w:val="00C069B8"/>
    <w:rsid w:val="00C074EF"/>
    <w:rsid w:val="00C12720"/>
    <w:rsid w:val="00C15432"/>
    <w:rsid w:val="00C15AC4"/>
    <w:rsid w:val="00C33674"/>
    <w:rsid w:val="00C3385B"/>
    <w:rsid w:val="00C40E36"/>
    <w:rsid w:val="00C41470"/>
    <w:rsid w:val="00C41FF2"/>
    <w:rsid w:val="00C54747"/>
    <w:rsid w:val="00C6254D"/>
    <w:rsid w:val="00C646C4"/>
    <w:rsid w:val="00C76463"/>
    <w:rsid w:val="00C85696"/>
    <w:rsid w:val="00C9002C"/>
    <w:rsid w:val="00C91204"/>
    <w:rsid w:val="00C922D7"/>
    <w:rsid w:val="00C935C2"/>
    <w:rsid w:val="00C93727"/>
    <w:rsid w:val="00C95BFB"/>
    <w:rsid w:val="00CA19F5"/>
    <w:rsid w:val="00CA57D4"/>
    <w:rsid w:val="00CA6173"/>
    <w:rsid w:val="00CA65FF"/>
    <w:rsid w:val="00CB0938"/>
    <w:rsid w:val="00CC2800"/>
    <w:rsid w:val="00CC3420"/>
    <w:rsid w:val="00CC3BC7"/>
    <w:rsid w:val="00CC547C"/>
    <w:rsid w:val="00CC60FF"/>
    <w:rsid w:val="00CD7760"/>
    <w:rsid w:val="00CE123C"/>
    <w:rsid w:val="00CE13DA"/>
    <w:rsid w:val="00CE75B5"/>
    <w:rsid w:val="00CF0F94"/>
    <w:rsid w:val="00CF2D98"/>
    <w:rsid w:val="00CF5AB1"/>
    <w:rsid w:val="00CF73B4"/>
    <w:rsid w:val="00D00E78"/>
    <w:rsid w:val="00D01738"/>
    <w:rsid w:val="00D1383A"/>
    <w:rsid w:val="00D24DA4"/>
    <w:rsid w:val="00D26F28"/>
    <w:rsid w:val="00D30D15"/>
    <w:rsid w:val="00D32839"/>
    <w:rsid w:val="00D33EE3"/>
    <w:rsid w:val="00D343EC"/>
    <w:rsid w:val="00D40769"/>
    <w:rsid w:val="00D41BA1"/>
    <w:rsid w:val="00D4202F"/>
    <w:rsid w:val="00D43052"/>
    <w:rsid w:val="00D466D2"/>
    <w:rsid w:val="00D50ABF"/>
    <w:rsid w:val="00D51EBD"/>
    <w:rsid w:val="00D532B4"/>
    <w:rsid w:val="00D616E2"/>
    <w:rsid w:val="00D63CFC"/>
    <w:rsid w:val="00D66D34"/>
    <w:rsid w:val="00D6727A"/>
    <w:rsid w:val="00D716E4"/>
    <w:rsid w:val="00D73D1A"/>
    <w:rsid w:val="00D7427C"/>
    <w:rsid w:val="00D75C74"/>
    <w:rsid w:val="00D858E5"/>
    <w:rsid w:val="00DA53C7"/>
    <w:rsid w:val="00DA5809"/>
    <w:rsid w:val="00DA7B48"/>
    <w:rsid w:val="00DA7C18"/>
    <w:rsid w:val="00DB2350"/>
    <w:rsid w:val="00DB4551"/>
    <w:rsid w:val="00DC44CF"/>
    <w:rsid w:val="00DC6DE1"/>
    <w:rsid w:val="00DD01C5"/>
    <w:rsid w:val="00DD23C0"/>
    <w:rsid w:val="00DD4AB3"/>
    <w:rsid w:val="00DD4D5D"/>
    <w:rsid w:val="00DE4D85"/>
    <w:rsid w:val="00DE6D9A"/>
    <w:rsid w:val="00DF18B6"/>
    <w:rsid w:val="00DF22C3"/>
    <w:rsid w:val="00DF317F"/>
    <w:rsid w:val="00DF3C7A"/>
    <w:rsid w:val="00DF70C1"/>
    <w:rsid w:val="00DF71A8"/>
    <w:rsid w:val="00E027B0"/>
    <w:rsid w:val="00E02A24"/>
    <w:rsid w:val="00E16925"/>
    <w:rsid w:val="00E27247"/>
    <w:rsid w:val="00E31CA5"/>
    <w:rsid w:val="00E3382E"/>
    <w:rsid w:val="00E3492D"/>
    <w:rsid w:val="00E3753A"/>
    <w:rsid w:val="00E42E28"/>
    <w:rsid w:val="00E43BF3"/>
    <w:rsid w:val="00E45C4B"/>
    <w:rsid w:val="00E47525"/>
    <w:rsid w:val="00E47720"/>
    <w:rsid w:val="00E47F91"/>
    <w:rsid w:val="00E5126C"/>
    <w:rsid w:val="00E545F1"/>
    <w:rsid w:val="00E570ED"/>
    <w:rsid w:val="00E627ED"/>
    <w:rsid w:val="00E63798"/>
    <w:rsid w:val="00E6619D"/>
    <w:rsid w:val="00E7442E"/>
    <w:rsid w:val="00E82188"/>
    <w:rsid w:val="00E825A1"/>
    <w:rsid w:val="00E85293"/>
    <w:rsid w:val="00E94F03"/>
    <w:rsid w:val="00EA37FC"/>
    <w:rsid w:val="00EA68DF"/>
    <w:rsid w:val="00EB0687"/>
    <w:rsid w:val="00EB0FC5"/>
    <w:rsid w:val="00EB1910"/>
    <w:rsid w:val="00EB317F"/>
    <w:rsid w:val="00EB335D"/>
    <w:rsid w:val="00EB62F2"/>
    <w:rsid w:val="00ED2C29"/>
    <w:rsid w:val="00ED3624"/>
    <w:rsid w:val="00ED7253"/>
    <w:rsid w:val="00EE02F0"/>
    <w:rsid w:val="00EE2F16"/>
    <w:rsid w:val="00EE72DB"/>
    <w:rsid w:val="00EF56F9"/>
    <w:rsid w:val="00F03418"/>
    <w:rsid w:val="00F0775B"/>
    <w:rsid w:val="00F10A29"/>
    <w:rsid w:val="00F10ACE"/>
    <w:rsid w:val="00F16658"/>
    <w:rsid w:val="00F16692"/>
    <w:rsid w:val="00F20D0D"/>
    <w:rsid w:val="00F229CE"/>
    <w:rsid w:val="00F23065"/>
    <w:rsid w:val="00F26087"/>
    <w:rsid w:val="00F27024"/>
    <w:rsid w:val="00F341FB"/>
    <w:rsid w:val="00F37AD2"/>
    <w:rsid w:val="00F4680E"/>
    <w:rsid w:val="00F46EBB"/>
    <w:rsid w:val="00F47088"/>
    <w:rsid w:val="00F641E1"/>
    <w:rsid w:val="00F644EA"/>
    <w:rsid w:val="00F70871"/>
    <w:rsid w:val="00F75C84"/>
    <w:rsid w:val="00F762E5"/>
    <w:rsid w:val="00F76491"/>
    <w:rsid w:val="00FA3B81"/>
    <w:rsid w:val="00FA5DE4"/>
    <w:rsid w:val="00FA5E7B"/>
    <w:rsid w:val="00FB2C2F"/>
    <w:rsid w:val="00FB5F5C"/>
    <w:rsid w:val="00FC3884"/>
    <w:rsid w:val="00FD61B9"/>
    <w:rsid w:val="00FE56B8"/>
    <w:rsid w:val="00FE65DB"/>
    <w:rsid w:val="00FE6FD3"/>
    <w:rsid w:val="00FF0C96"/>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14A39"/>
  <w15:docId w15:val="{1AA4A7E8-964A-4F29-B8D4-C4D20D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F4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1055">
      <w:bodyDiv w:val="1"/>
      <w:marLeft w:val="0"/>
      <w:marRight w:val="0"/>
      <w:marTop w:val="0"/>
      <w:marBottom w:val="0"/>
      <w:divBdr>
        <w:top w:val="none" w:sz="0" w:space="0" w:color="auto"/>
        <w:left w:val="none" w:sz="0" w:space="0" w:color="auto"/>
        <w:bottom w:val="none" w:sz="0" w:space="0" w:color="auto"/>
        <w:right w:val="none" w:sz="0" w:space="0" w:color="auto"/>
      </w:divBdr>
    </w:div>
    <w:div w:id="528221259">
      <w:bodyDiv w:val="1"/>
      <w:marLeft w:val="0"/>
      <w:marRight w:val="0"/>
      <w:marTop w:val="0"/>
      <w:marBottom w:val="0"/>
      <w:divBdr>
        <w:top w:val="none" w:sz="0" w:space="0" w:color="auto"/>
        <w:left w:val="none" w:sz="0" w:space="0" w:color="auto"/>
        <w:bottom w:val="none" w:sz="0" w:space="0" w:color="auto"/>
        <w:right w:val="none" w:sz="0" w:space="0" w:color="auto"/>
      </w:divBdr>
    </w:div>
    <w:div w:id="1241788255">
      <w:bodyDiv w:val="1"/>
      <w:marLeft w:val="0"/>
      <w:marRight w:val="0"/>
      <w:marTop w:val="0"/>
      <w:marBottom w:val="0"/>
      <w:divBdr>
        <w:top w:val="none" w:sz="0" w:space="0" w:color="auto"/>
        <w:left w:val="none" w:sz="0" w:space="0" w:color="auto"/>
        <w:bottom w:val="none" w:sz="0" w:space="0" w:color="auto"/>
        <w:right w:val="none" w:sz="0" w:space="0" w:color="auto"/>
      </w:divBdr>
    </w:div>
    <w:div w:id="1562714576">
      <w:bodyDiv w:val="1"/>
      <w:marLeft w:val="0"/>
      <w:marRight w:val="0"/>
      <w:marTop w:val="0"/>
      <w:marBottom w:val="0"/>
      <w:divBdr>
        <w:top w:val="none" w:sz="0" w:space="0" w:color="auto"/>
        <w:left w:val="none" w:sz="0" w:space="0" w:color="auto"/>
        <w:bottom w:val="none" w:sz="0" w:space="0" w:color="auto"/>
        <w:right w:val="none" w:sz="0" w:space="0" w:color="auto"/>
      </w:divBdr>
      <w:divsChild>
        <w:div w:id="330841121">
          <w:marLeft w:val="150"/>
          <w:marRight w:val="0"/>
          <w:marTop w:val="90"/>
          <w:marBottom w:val="0"/>
          <w:divBdr>
            <w:top w:val="none" w:sz="0" w:space="0" w:color="auto"/>
            <w:left w:val="none" w:sz="0" w:space="0" w:color="auto"/>
            <w:bottom w:val="none" w:sz="0" w:space="0" w:color="auto"/>
            <w:right w:val="none" w:sz="0" w:space="0" w:color="auto"/>
          </w:divBdr>
        </w:div>
        <w:div w:id="1742369145">
          <w:marLeft w:val="0"/>
          <w:marRight w:val="0"/>
          <w:marTop w:val="0"/>
          <w:marBottom w:val="0"/>
          <w:divBdr>
            <w:top w:val="none" w:sz="0" w:space="0" w:color="auto"/>
            <w:left w:val="none" w:sz="0" w:space="0" w:color="auto"/>
            <w:bottom w:val="none" w:sz="0" w:space="0" w:color="auto"/>
            <w:right w:val="none" w:sz="0" w:space="0" w:color="auto"/>
          </w:divBdr>
        </w:div>
      </w:divsChild>
    </w:div>
    <w:div w:id="19895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image" Target="media/image5.png"/><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39498225939067"/>
          <c:y val="5.5791123124534804E-2"/>
          <c:w val="0.83391271175769066"/>
          <c:h val="0.80126062600383918"/>
        </c:manualLayout>
      </c:layout>
      <c:barChart>
        <c:barDir val="col"/>
        <c:grouping val="clustered"/>
        <c:varyColors val="0"/>
        <c:ser>
          <c:idx val="0"/>
          <c:order val="0"/>
          <c:tx>
            <c:strRef>
              <c:f>Hoja1!$B$1</c:f>
              <c:strCache>
                <c:ptCount val="1"/>
                <c:pt idx="0">
                  <c:v>Meta </c:v>
                </c:pt>
              </c:strCache>
            </c:strRef>
          </c:tx>
          <c:spPr>
            <a:solidFill>
              <a:schemeClr val="accent1"/>
            </a:solidFill>
            <a:ln w="19050">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G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c:v>
                </c:pt>
                <c:pt idx="1">
                  <c:v>Feb</c:v>
                </c:pt>
                <c:pt idx="2">
                  <c:v>Mar</c:v>
                </c:pt>
              </c:strCache>
            </c:strRef>
          </c:cat>
          <c:val>
            <c:numRef>
              <c:f>Hoja1!$B$2:$B$4</c:f>
              <c:numCache>
                <c:formatCode>_(* #,##0.00_);_(* \(#,##0.00\);_(* "-"??_);_(@_)</c:formatCode>
                <c:ptCount val="3"/>
                <c:pt idx="0">
                  <c:v>5263.734033220001</c:v>
                </c:pt>
                <c:pt idx="1">
                  <c:v>8882.8074383000003</c:v>
                </c:pt>
                <c:pt idx="2">
                  <c:v>13777.508899909999</c:v>
                </c:pt>
              </c:numCache>
            </c:numRef>
          </c:val>
          <c:extLst>
            <c:ext xmlns:c16="http://schemas.microsoft.com/office/drawing/2014/chart" uri="{C3380CC4-5D6E-409C-BE32-E72D297353CC}">
              <c16:uniqueId val="{00000000-A3B6-4D99-9111-8FEC65C2E167}"/>
            </c:ext>
          </c:extLst>
        </c:ser>
        <c:ser>
          <c:idx val="1"/>
          <c:order val="1"/>
          <c:tx>
            <c:strRef>
              <c:f>Hoja1!$C$1</c:f>
              <c:strCache>
                <c:ptCount val="1"/>
                <c:pt idx="0">
                  <c:v>Obs</c:v>
                </c:pt>
              </c:strCache>
            </c:strRef>
          </c:tx>
          <c:spPr>
            <a:solidFill>
              <a:schemeClr val="accent6"/>
            </a:solidFill>
            <a:ln w="19050">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G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c:v>
                </c:pt>
                <c:pt idx="1">
                  <c:v>Feb</c:v>
                </c:pt>
                <c:pt idx="2">
                  <c:v>Mar</c:v>
                </c:pt>
              </c:strCache>
            </c:strRef>
          </c:cat>
          <c:val>
            <c:numRef>
              <c:f>Hoja1!$C$2:$C$4</c:f>
              <c:numCache>
                <c:formatCode>_(* #,##0.00_);_(* \(#,##0.00\);_(* "-"??_);_(@_)</c:formatCode>
                <c:ptCount val="3"/>
                <c:pt idx="0">
                  <c:v>5745.0720704000005</c:v>
                </c:pt>
                <c:pt idx="1">
                  <c:v>9531.9678450500014</c:v>
                </c:pt>
                <c:pt idx="2">
                  <c:v>14320.7</c:v>
                </c:pt>
              </c:numCache>
            </c:numRef>
          </c:val>
          <c:extLst>
            <c:ext xmlns:c16="http://schemas.microsoft.com/office/drawing/2014/chart" uri="{C3380CC4-5D6E-409C-BE32-E72D297353CC}">
              <c16:uniqueId val="{00000001-A3B6-4D99-9111-8FEC65C2E167}"/>
            </c:ext>
          </c:extLst>
        </c:ser>
        <c:dLbls>
          <c:showLegendKey val="0"/>
          <c:showVal val="0"/>
          <c:showCatName val="0"/>
          <c:showSerName val="0"/>
          <c:showPercent val="0"/>
          <c:showBubbleSize val="0"/>
        </c:dLbls>
        <c:gapWidth val="40"/>
        <c:overlap val="-13"/>
        <c:axId val="408286560"/>
        <c:axId val="408292136"/>
      </c:barChart>
      <c:catAx>
        <c:axId val="408286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408292136"/>
        <c:crosses val="autoZero"/>
        <c:auto val="1"/>
        <c:lblAlgn val="ctr"/>
        <c:lblOffset val="100"/>
        <c:noMultiLvlLbl val="0"/>
      </c:catAx>
      <c:valAx>
        <c:axId val="408292136"/>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408286560"/>
        <c:crosses val="autoZero"/>
        <c:crossBetween val="between"/>
      </c:valAx>
      <c:spPr>
        <a:noFill/>
        <a:ln>
          <a:noFill/>
        </a:ln>
        <a:effectLst/>
      </c:spPr>
    </c:plotArea>
    <c:legend>
      <c:legendPos val="b"/>
      <c:layout>
        <c:manualLayout>
          <c:xMode val="edge"/>
          <c:yMode val="edge"/>
          <c:x val="0.29094969666891357"/>
          <c:y val="0.92076468053433624"/>
          <c:w val="0.31426433878267568"/>
          <c:h val="7.8932111098053037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39498225939067"/>
          <c:y val="2.7295132470733209E-2"/>
          <c:w val="0.83391271175769066"/>
          <c:h val="0.89004904885965042"/>
        </c:manualLayout>
      </c:layout>
      <c:barChart>
        <c:barDir val="col"/>
        <c:grouping val="clustered"/>
        <c:varyColors val="0"/>
        <c:ser>
          <c:idx val="0"/>
          <c:order val="0"/>
          <c:tx>
            <c:strRef>
              <c:f>Hoja1!$B$1</c:f>
              <c:strCache>
                <c:ptCount val="1"/>
                <c:pt idx="0">
                  <c:v>Aduanas</c:v>
                </c:pt>
              </c:strCache>
            </c:strRef>
          </c:tx>
          <c:spPr>
            <a:solidFill>
              <a:schemeClr val="accent1"/>
            </a:solidFill>
            <a:ln w="19050">
              <a:noFill/>
            </a:ln>
            <a:effectLst/>
          </c:spPr>
          <c:invertIfNegative val="0"/>
          <c:dPt>
            <c:idx val="0"/>
            <c:invertIfNegative val="0"/>
            <c:bubble3D val="0"/>
            <c:spPr>
              <a:solidFill>
                <a:schemeClr val="accent5">
                  <a:lumMod val="20000"/>
                  <a:lumOff val="80000"/>
                </a:schemeClr>
              </a:solidFill>
              <a:ln w="19050">
                <a:noFill/>
              </a:ln>
              <a:effectLst/>
            </c:spPr>
            <c:extLst>
              <c:ext xmlns:c16="http://schemas.microsoft.com/office/drawing/2014/chart" uri="{C3380CC4-5D6E-409C-BE32-E72D297353CC}">
                <c16:uniqueId val="{00000001-2A56-4A1B-8227-880EF0FA310C}"/>
              </c:ext>
            </c:extLst>
          </c:dPt>
          <c:dPt>
            <c:idx val="1"/>
            <c:invertIfNegative val="0"/>
            <c:bubble3D val="0"/>
            <c:spPr>
              <a:solidFill>
                <a:schemeClr val="accent5">
                  <a:lumMod val="20000"/>
                  <a:lumOff val="80000"/>
                </a:schemeClr>
              </a:solidFill>
              <a:ln w="19050">
                <a:noFill/>
              </a:ln>
              <a:effectLst/>
            </c:spPr>
            <c:extLst>
              <c:ext xmlns:c16="http://schemas.microsoft.com/office/drawing/2014/chart" uri="{C3380CC4-5D6E-409C-BE32-E72D297353CC}">
                <c16:uniqueId val="{00000003-2A56-4A1B-8227-880EF0FA310C}"/>
              </c:ext>
            </c:extLst>
          </c:dPt>
          <c:dPt>
            <c:idx val="3"/>
            <c:invertIfNegative val="0"/>
            <c:bubble3D val="0"/>
            <c:spPr>
              <a:solidFill>
                <a:srgbClr val="00B050"/>
              </a:solidFill>
              <a:ln w="19050">
                <a:noFill/>
              </a:ln>
              <a:effectLst/>
            </c:spPr>
            <c:extLst>
              <c:ext xmlns:c16="http://schemas.microsoft.com/office/drawing/2014/chart" uri="{C3380CC4-5D6E-409C-BE32-E72D297353CC}">
                <c16:uniqueId val="{00000005-2A56-4A1B-8227-880EF0FA310C}"/>
              </c:ext>
            </c:extLst>
          </c:dPt>
          <c:dLbls>
            <c:dLbl>
              <c:idx val="0"/>
              <c:numFmt formatCode="#,##0.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dLblPos val="inBase"/>
              <c:showLegendKey val="0"/>
              <c:showVal val="1"/>
              <c:showCatName val="0"/>
              <c:showSerName val="0"/>
              <c:showPercent val="0"/>
              <c:showBubbleSize val="0"/>
              <c:extLst>
                <c:ext xmlns:c16="http://schemas.microsoft.com/office/drawing/2014/chart" uri="{C3380CC4-5D6E-409C-BE32-E72D297353CC}">
                  <c16:uniqueId val="{00000001-2A56-4A1B-8227-880EF0FA310C}"/>
                </c:ext>
              </c:extLst>
            </c:dLbl>
            <c:dLbl>
              <c:idx val="1"/>
              <c:numFmt formatCode="#,##0.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dLblPos val="inBase"/>
              <c:showLegendKey val="0"/>
              <c:showVal val="1"/>
              <c:showCatName val="0"/>
              <c:showSerName val="0"/>
              <c:showPercent val="0"/>
              <c:showBubbleSize val="0"/>
              <c:extLst>
                <c:ext xmlns:c16="http://schemas.microsoft.com/office/drawing/2014/chart" uri="{C3380CC4-5D6E-409C-BE32-E72D297353CC}">
                  <c16:uniqueId val="{00000003-2A56-4A1B-8227-880EF0FA310C}"/>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G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2016</c:v>
                </c:pt>
                <c:pt idx="1">
                  <c:v>2017</c:v>
                </c:pt>
                <c:pt idx="2">
                  <c:v>2018</c:v>
                </c:pt>
                <c:pt idx="3">
                  <c:v>Pres</c:v>
                </c:pt>
              </c:strCache>
            </c:strRef>
          </c:cat>
          <c:val>
            <c:numRef>
              <c:f>Hoja1!$B$2:$B$5</c:f>
              <c:numCache>
                <c:formatCode>General</c:formatCode>
                <c:ptCount val="4"/>
                <c:pt idx="0">
                  <c:v>3345.4</c:v>
                </c:pt>
                <c:pt idx="1">
                  <c:v>3657.7</c:v>
                </c:pt>
                <c:pt idx="2">
                  <c:v>3760.4</c:v>
                </c:pt>
                <c:pt idx="3">
                  <c:v>4018.8</c:v>
                </c:pt>
              </c:numCache>
            </c:numRef>
          </c:val>
          <c:extLst>
            <c:ext xmlns:c16="http://schemas.microsoft.com/office/drawing/2014/chart" uri="{C3380CC4-5D6E-409C-BE32-E72D297353CC}">
              <c16:uniqueId val="{00000006-2A56-4A1B-8227-880EF0FA310C}"/>
            </c:ext>
          </c:extLst>
        </c:ser>
        <c:dLbls>
          <c:showLegendKey val="0"/>
          <c:showVal val="0"/>
          <c:showCatName val="0"/>
          <c:showSerName val="0"/>
          <c:showPercent val="0"/>
          <c:showBubbleSize val="0"/>
        </c:dLbls>
        <c:gapWidth val="40"/>
        <c:overlap val="-13"/>
        <c:axId val="408286560"/>
        <c:axId val="408292136"/>
      </c:barChart>
      <c:catAx>
        <c:axId val="408286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408292136"/>
        <c:crosses val="autoZero"/>
        <c:auto val="1"/>
        <c:lblAlgn val="ctr"/>
        <c:lblOffset val="100"/>
        <c:noMultiLvlLbl val="0"/>
      </c:catAx>
      <c:valAx>
        <c:axId val="408292136"/>
        <c:scaling>
          <c:orientation val="minMax"/>
          <c:min val="3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4082865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918073432702831"/>
          <c:y val="3.8650737877723121E-2"/>
          <c:w val="0.66348839236423862"/>
          <c:h val="0.86443108437868321"/>
        </c:manualLayout>
      </c:layout>
      <c:barChart>
        <c:barDir val="bar"/>
        <c:grouping val="clustered"/>
        <c:varyColors val="0"/>
        <c:ser>
          <c:idx val="0"/>
          <c:order val="0"/>
          <c:tx>
            <c:strRef>
              <c:f>Hoja1!$B$1</c:f>
              <c:strCache>
                <c:ptCount val="1"/>
                <c:pt idx="0">
                  <c:v>2018-2017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5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Hoja1!$A$2:$A$18</c:f>
              <c:strCache>
                <c:ptCount val="17"/>
                <c:pt idx="0">
                  <c:v>IVA imp</c:v>
                </c:pt>
                <c:pt idx="1">
                  <c:v>Petróleo</c:v>
                </c:pt>
                <c:pt idx="2">
                  <c:v>ISO</c:v>
                </c:pt>
                <c:pt idx="3">
                  <c:v>DAI</c:v>
                </c:pt>
                <c:pt idx="4">
                  <c:v>Vehículos</c:v>
                </c:pt>
                <c:pt idx="5">
                  <c:v>IPRIMA</c:v>
                </c:pt>
                <c:pt idx="6">
                  <c:v>Salidas</c:v>
                </c:pt>
                <c:pt idx="7">
                  <c:v>Bebidas</c:v>
                </c:pt>
                <c:pt idx="8">
                  <c:v>Otros</c:v>
                </c:pt>
                <c:pt idx="9">
                  <c:v>Timbres</c:v>
                </c:pt>
                <c:pt idx="10">
                  <c:v>Propiedad</c:v>
                </c:pt>
                <c:pt idx="11">
                  <c:v>Tabacos</c:v>
                </c:pt>
                <c:pt idx="12">
                  <c:v>Cemento</c:v>
                </c:pt>
                <c:pt idx="13">
                  <c:v>IETAAP</c:v>
                </c:pt>
                <c:pt idx="14">
                  <c:v>Regalías</c:v>
                </c:pt>
                <c:pt idx="15">
                  <c:v>IVA dom</c:v>
                </c:pt>
                <c:pt idx="16">
                  <c:v>ISR</c:v>
                </c:pt>
              </c:strCache>
            </c:strRef>
          </c:cat>
          <c:val>
            <c:numRef>
              <c:f>Hoja1!$B$2:$B$18</c:f>
              <c:numCache>
                <c:formatCode>#,##0.0</c:formatCode>
                <c:ptCount val="17"/>
                <c:pt idx="0">
                  <c:v>94.779640390000168</c:v>
                </c:pt>
                <c:pt idx="1">
                  <c:v>-4.2707014800000707</c:v>
                </c:pt>
                <c:pt idx="2">
                  <c:v>70.454178630000115</c:v>
                </c:pt>
                <c:pt idx="3">
                  <c:v>7.9253650599999901</c:v>
                </c:pt>
                <c:pt idx="4">
                  <c:v>-3.1953439499999945</c:v>
                </c:pt>
                <c:pt idx="5">
                  <c:v>0.60619223000003331</c:v>
                </c:pt>
                <c:pt idx="6">
                  <c:v>-5.3680046799999985</c:v>
                </c:pt>
                <c:pt idx="7">
                  <c:v>2.535418170000014</c:v>
                </c:pt>
                <c:pt idx="8">
                  <c:v>0.16113235999999964</c:v>
                </c:pt>
                <c:pt idx="9">
                  <c:v>17.426343680000016</c:v>
                </c:pt>
                <c:pt idx="10">
                  <c:v>-4.1486020400000001</c:v>
                </c:pt>
                <c:pt idx="11">
                  <c:v>-4.1378305300000022</c:v>
                </c:pt>
                <c:pt idx="12">
                  <c:v>0.25780701999999778</c:v>
                </c:pt>
                <c:pt idx="13">
                  <c:v>-5.6561967299999996</c:v>
                </c:pt>
                <c:pt idx="14">
                  <c:v>13.020394469999999</c:v>
                </c:pt>
                <c:pt idx="15">
                  <c:v>283.9003451600006</c:v>
                </c:pt>
                <c:pt idx="16">
                  <c:v>79.109830250000414</c:v>
                </c:pt>
              </c:numCache>
            </c:numRef>
          </c:val>
          <c:extLst>
            <c:ext xmlns:c16="http://schemas.microsoft.com/office/drawing/2014/chart" uri="{C3380CC4-5D6E-409C-BE32-E72D297353CC}">
              <c16:uniqueId val="{00000000-260E-4D07-919E-1C4E1B7D53F5}"/>
            </c:ext>
          </c:extLst>
        </c:ser>
        <c:ser>
          <c:idx val="1"/>
          <c:order val="1"/>
          <c:tx>
            <c:strRef>
              <c:f>Hoja1!$C$1</c:f>
              <c:strCache>
                <c:ptCount val="1"/>
                <c:pt idx="0">
                  <c:v>2018-Pres</c:v>
                </c:pt>
              </c:strCache>
            </c:strRef>
          </c:tx>
          <c:spPr>
            <a:solidFill>
              <a:srgbClr val="FF0000">
                <a:alpha val="6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5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Hoja1!$A$2:$A$18</c:f>
              <c:strCache>
                <c:ptCount val="17"/>
                <c:pt idx="0">
                  <c:v>IVA imp</c:v>
                </c:pt>
                <c:pt idx="1">
                  <c:v>Petróleo</c:v>
                </c:pt>
                <c:pt idx="2">
                  <c:v>ISO</c:v>
                </c:pt>
                <c:pt idx="3">
                  <c:v>DAI</c:v>
                </c:pt>
                <c:pt idx="4">
                  <c:v>Vehículos</c:v>
                </c:pt>
                <c:pt idx="5">
                  <c:v>IPRIMA</c:v>
                </c:pt>
                <c:pt idx="6">
                  <c:v>Salidas</c:v>
                </c:pt>
                <c:pt idx="7">
                  <c:v>Bebidas</c:v>
                </c:pt>
                <c:pt idx="8">
                  <c:v>Otros</c:v>
                </c:pt>
                <c:pt idx="9">
                  <c:v>Timbres</c:v>
                </c:pt>
                <c:pt idx="10">
                  <c:v>Propiedad</c:v>
                </c:pt>
                <c:pt idx="11">
                  <c:v>Tabacos</c:v>
                </c:pt>
                <c:pt idx="12">
                  <c:v>Cemento</c:v>
                </c:pt>
                <c:pt idx="13">
                  <c:v>IETAAP</c:v>
                </c:pt>
                <c:pt idx="14">
                  <c:v>Regalías</c:v>
                </c:pt>
                <c:pt idx="15">
                  <c:v>IVA dom</c:v>
                </c:pt>
                <c:pt idx="16">
                  <c:v>ISR</c:v>
                </c:pt>
              </c:strCache>
            </c:strRef>
          </c:cat>
          <c:val>
            <c:numRef>
              <c:f>Hoja1!$C$2:$C$18</c:f>
              <c:numCache>
                <c:formatCode>#,##0.0</c:formatCode>
                <c:ptCount val="17"/>
                <c:pt idx="0">
                  <c:v>-178.88705517000017</c:v>
                </c:pt>
                <c:pt idx="1">
                  <c:v>-88.992161090000081</c:v>
                </c:pt>
                <c:pt idx="2">
                  <c:v>-86.076849989999801</c:v>
                </c:pt>
                <c:pt idx="3">
                  <c:v>-79.531526780000036</c:v>
                </c:pt>
                <c:pt idx="4">
                  <c:v>-26.917673900000011</c:v>
                </c:pt>
                <c:pt idx="5">
                  <c:v>-18.457679129999974</c:v>
                </c:pt>
                <c:pt idx="6">
                  <c:v>-9.4622651450588791</c:v>
                </c:pt>
                <c:pt idx="7">
                  <c:v>-8.8412719000000095</c:v>
                </c:pt>
                <c:pt idx="8">
                  <c:v>0.37035467999999971</c:v>
                </c:pt>
                <c:pt idx="9">
                  <c:v>0.69815312000002905</c:v>
                </c:pt>
                <c:pt idx="10">
                  <c:v>1.2269559299999999</c:v>
                </c:pt>
                <c:pt idx="11">
                  <c:v>2.0804008399999958</c:v>
                </c:pt>
                <c:pt idx="12">
                  <c:v>2.4410171600000012</c:v>
                </c:pt>
                <c:pt idx="13">
                  <c:v>2.5084967900000001</c:v>
                </c:pt>
                <c:pt idx="14">
                  <c:v>30.201599443516869</c:v>
                </c:pt>
                <c:pt idx="15">
                  <c:v>113.67895435000082</c:v>
                </c:pt>
                <c:pt idx="16">
                  <c:v>221.05954216999999</c:v>
                </c:pt>
              </c:numCache>
            </c:numRef>
          </c:val>
          <c:extLst>
            <c:ext xmlns:c16="http://schemas.microsoft.com/office/drawing/2014/chart" uri="{C3380CC4-5D6E-409C-BE32-E72D297353CC}">
              <c16:uniqueId val="{00000001-260E-4D07-919E-1C4E1B7D53F5}"/>
            </c:ext>
          </c:extLst>
        </c:ser>
        <c:dLbls>
          <c:showLegendKey val="0"/>
          <c:showVal val="0"/>
          <c:showCatName val="0"/>
          <c:showSerName val="0"/>
          <c:showPercent val="0"/>
          <c:showBubbleSize val="0"/>
        </c:dLbls>
        <c:gapWidth val="101"/>
        <c:axId val="411856976"/>
        <c:axId val="411857960"/>
      </c:barChart>
      <c:catAx>
        <c:axId val="41185697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411857960"/>
        <c:crosses val="autoZero"/>
        <c:auto val="1"/>
        <c:lblAlgn val="ctr"/>
        <c:lblOffset val="100"/>
        <c:noMultiLvlLbl val="0"/>
      </c:catAx>
      <c:valAx>
        <c:axId val="411857960"/>
        <c:scaling>
          <c:orientation val="minMax"/>
          <c:min val="-300"/>
        </c:scaling>
        <c:delete val="0"/>
        <c:axPos val="b"/>
        <c:majorGridlines>
          <c:spPr>
            <a:ln w="9525" cap="flat" cmpd="sng" algn="ctr">
              <a:solidFill>
                <a:schemeClr val="dk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411856976"/>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22964194051389333"/>
          <c:y val="0.95830866363067935"/>
          <c:w val="0.56039631577418136"/>
          <c:h val="4.1691336369320667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20DD-FFBC-42E3-9386-5D542FCD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1952</Words>
  <Characters>10737</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Saul Enrique De León Meneses</cp:lastModifiedBy>
  <cp:revision>9</cp:revision>
  <dcterms:created xsi:type="dcterms:W3CDTF">2018-04-27T16:26:00Z</dcterms:created>
  <dcterms:modified xsi:type="dcterms:W3CDTF">2018-04-27T16:53:00Z</dcterms:modified>
</cp:coreProperties>
</file>