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theme/themeOverride17.xml" ContentType="application/vnd.openxmlformats-officedocument.themeOverride+xml"/>
  <Override PartName="/word/drawings/drawing2.xml" ContentType="application/vnd.openxmlformats-officedocument.drawingml.chartshapes+xml"/>
  <Override PartName="/word/charts/chart25.xml" ContentType="application/vnd.openxmlformats-officedocument.drawingml.chart+xml"/>
  <Override PartName="/word/theme/themeOverride18.xml" ContentType="application/vnd.openxmlformats-officedocument.themeOverride+xml"/>
  <Override PartName="/word/charts/chart26.xml" ContentType="application/vnd.openxmlformats-officedocument.drawingml.chart+xml"/>
  <Override PartName="/word/theme/themeOverride19.xml" ContentType="application/vnd.openxmlformats-officedocument.themeOverride+xml"/>
  <Override PartName="/word/charts/chart27.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0CD1" w:rsidRDefault="00390CD1" w:rsidP="00390CD1">
      <w:pPr>
        <w:jc w:val="center"/>
        <w:rPr>
          <w:rFonts w:ascii="Garamond" w:hAnsi="Garamond"/>
          <w:sz w:val="36"/>
        </w:rPr>
      </w:pPr>
      <w:bookmarkStart w:id="0" w:name="_GoBack"/>
      <w:bookmarkEnd w:id="0"/>
    </w:p>
    <w:p w:rsidR="00390CD1" w:rsidRPr="00E8492B" w:rsidRDefault="00390CD1" w:rsidP="00390CD1">
      <w:pPr>
        <w:jc w:val="center"/>
        <w:rPr>
          <w:rFonts w:ascii="Garamond" w:hAnsi="Garamond"/>
          <w:b/>
          <w:sz w:val="48"/>
        </w:rPr>
      </w:pPr>
      <w:r w:rsidRPr="00E8492B">
        <w:rPr>
          <w:rFonts w:ascii="Garamond" w:hAnsi="Garamond"/>
          <w:b/>
          <w:sz w:val="48"/>
        </w:rPr>
        <w:t>MINISTERIO DE FINANZAS PÚBLICAS</w:t>
      </w:r>
    </w:p>
    <w:p w:rsidR="00390CD1" w:rsidRPr="00E8492B" w:rsidRDefault="00390CD1" w:rsidP="00390CD1">
      <w:pPr>
        <w:jc w:val="center"/>
        <w:rPr>
          <w:rFonts w:ascii="Garamond" w:hAnsi="Garamond"/>
          <w:sz w:val="44"/>
        </w:rPr>
      </w:pPr>
    </w:p>
    <w:p w:rsidR="00390CD1" w:rsidRPr="000D65AA" w:rsidRDefault="00390CD1" w:rsidP="00390CD1">
      <w:pPr>
        <w:jc w:val="center"/>
        <w:rPr>
          <w:rFonts w:ascii="Garamond" w:hAnsi="Garamond"/>
          <w:b/>
          <w:sz w:val="42"/>
          <w:szCs w:val="42"/>
        </w:rPr>
      </w:pPr>
      <w:r w:rsidRPr="000D65AA">
        <w:rPr>
          <w:rFonts w:ascii="Garamond" w:hAnsi="Garamond"/>
          <w:b/>
          <w:sz w:val="42"/>
          <w:szCs w:val="42"/>
        </w:rPr>
        <w:t>DIRECCIÓN DE TRANSPARENCIA FISCAL</w:t>
      </w:r>
    </w:p>
    <w:p w:rsidR="00390CD1" w:rsidRPr="00E8492B" w:rsidRDefault="00390CD1" w:rsidP="00390CD1">
      <w:pPr>
        <w:jc w:val="center"/>
        <w:rPr>
          <w:rFonts w:ascii="Garamond" w:hAnsi="Garamond"/>
          <w:b/>
          <w:sz w:val="28"/>
        </w:rPr>
      </w:pPr>
    </w:p>
    <w:p w:rsidR="008D061F" w:rsidRDefault="008D061F" w:rsidP="00390CD1">
      <w:pPr>
        <w:jc w:val="center"/>
        <w:rPr>
          <w:rFonts w:ascii="Garamond" w:hAnsi="Garamond"/>
          <w:b/>
        </w:rPr>
      </w:pPr>
    </w:p>
    <w:p w:rsidR="008D061F" w:rsidRPr="00C47DD4" w:rsidRDefault="008D061F" w:rsidP="008D061F">
      <w:pPr>
        <w:rPr>
          <w:rFonts w:ascii="Garamond" w:hAnsi="Garamond"/>
          <w:b/>
        </w:rPr>
      </w:pPr>
    </w:p>
    <w:p w:rsidR="00390CD1" w:rsidRPr="00C47DD4" w:rsidRDefault="008D061F" w:rsidP="00390CD1">
      <w:pPr>
        <w:jc w:val="center"/>
        <w:rPr>
          <w:b/>
        </w:rPr>
      </w:pPr>
      <w:r w:rsidRPr="00067A63">
        <w:rPr>
          <w:noProof/>
          <w:lang w:val="es-GT" w:eastAsia="es-GT"/>
        </w:rPr>
        <w:drawing>
          <wp:inline distT="0" distB="0" distL="0" distR="0" wp14:anchorId="2301AB5A" wp14:editId="121757A4">
            <wp:extent cx="4176215" cy="1603612"/>
            <wp:effectExtent l="0" t="0" r="0" b="0"/>
            <wp:docPr id="11" name="13 Imagen"/>
            <wp:cNvGraphicFramePr/>
            <a:graphic xmlns:a="http://schemas.openxmlformats.org/drawingml/2006/main">
              <a:graphicData uri="http://schemas.openxmlformats.org/drawingml/2006/picture">
                <pic:pic xmlns:pic="http://schemas.openxmlformats.org/drawingml/2006/picture">
                  <pic:nvPicPr>
                    <pic:cNvPr id="14" name="13 Imagen"/>
                    <pic:cNvPicPr/>
                  </pic:nvPicPr>
                  <pic:blipFill>
                    <a:blip r:embed="rId9" cstate="print">
                      <a:extLst>
                        <a:ext uri="{28A0092B-C50C-407E-A947-70E740481C1C}">
                          <a14:useLocalDpi xmlns:a14="http://schemas.microsoft.com/office/drawing/2010/main" val="0"/>
                        </a:ext>
                      </a:extLst>
                    </a:blip>
                    <a:srcRect l="26636" t="2305" r="27712" b="86747"/>
                    <a:stretch>
                      <a:fillRect/>
                    </a:stretch>
                  </pic:blipFill>
                  <pic:spPr>
                    <a:xfrm>
                      <a:off x="0" y="0"/>
                      <a:ext cx="4168700" cy="1600726"/>
                    </a:xfrm>
                    <a:prstGeom prst="rect">
                      <a:avLst/>
                    </a:prstGeom>
                  </pic:spPr>
                </pic:pic>
              </a:graphicData>
            </a:graphic>
          </wp:inline>
        </w:drawing>
      </w:r>
    </w:p>
    <w:p w:rsidR="00390CD1"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390CD1" w:rsidRDefault="00390CD1" w:rsidP="00390CD1">
      <w:pPr>
        <w:jc w:val="center"/>
        <w:rPr>
          <w:rFonts w:ascii="Garamond" w:hAnsi="Garamond"/>
          <w:sz w:val="52"/>
          <w:szCs w:val="64"/>
        </w:rPr>
      </w:pPr>
      <w:r w:rsidRPr="00390CD1">
        <w:rPr>
          <w:rFonts w:ascii="Garamond" w:hAnsi="Garamond"/>
          <w:sz w:val="52"/>
          <w:szCs w:val="64"/>
        </w:rPr>
        <w:t>INFORME DEL DESEMPEÑO DE LA POLÍTICA FISCAL Y ACTIVIDADES</w:t>
      </w:r>
    </w:p>
    <w:p w:rsidR="00390CD1" w:rsidRPr="00390CD1" w:rsidRDefault="00390CD1" w:rsidP="00390CD1">
      <w:pPr>
        <w:jc w:val="center"/>
        <w:rPr>
          <w:rFonts w:ascii="Garamond" w:hAnsi="Garamond"/>
          <w:sz w:val="52"/>
          <w:szCs w:val="64"/>
        </w:rPr>
      </w:pPr>
      <w:r w:rsidRPr="00390CD1">
        <w:rPr>
          <w:rFonts w:ascii="Garamond" w:hAnsi="Garamond"/>
          <w:sz w:val="52"/>
          <w:szCs w:val="64"/>
        </w:rPr>
        <w:t>DEL PRIMER SEMESTRE</w:t>
      </w:r>
    </w:p>
    <w:p w:rsidR="00390CD1" w:rsidRPr="00390CD1" w:rsidRDefault="00390CD1" w:rsidP="00390CD1">
      <w:pPr>
        <w:jc w:val="center"/>
        <w:rPr>
          <w:rFonts w:ascii="Garamond" w:hAnsi="Garamond"/>
          <w:sz w:val="52"/>
          <w:szCs w:val="64"/>
        </w:rPr>
      </w:pPr>
      <w:r w:rsidRPr="00390CD1">
        <w:rPr>
          <w:rFonts w:ascii="Garamond" w:hAnsi="Garamond"/>
          <w:sz w:val="52"/>
          <w:szCs w:val="64"/>
        </w:rPr>
        <w:t>20</w:t>
      </w:r>
      <w:r w:rsidR="008D061F">
        <w:rPr>
          <w:rFonts w:ascii="Garamond" w:hAnsi="Garamond"/>
          <w:sz w:val="52"/>
          <w:szCs w:val="64"/>
        </w:rPr>
        <w:t>20</w:t>
      </w: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b/>
        </w:rPr>
      </w:pPr>
    </w:p>
    <w:p w:rsidR="00390CD1" w:rsidRPr="00C47DD4" w:rsidRDefault="00390CD1" w:rsidP="00390CD1">
      <w:pPr>
        <w:jc w:val="center"/>
        <w:rPr>
          <w:rFonts w:ascii="Garamond" w:hAnsi="Garamond"/>
        </w:rPr>
      </w:pPr>
      <w:r w:rsidRPr="00C47DD4">
        <w:rPr>
          <w:rFonts w:ascii="Garamond" w:hAnsi="Garamond"/>
        </w:rPr>
        <w:t xml:space="preserve">GUATEMALA, </w:t>
      </w:r>
      <w:r w:rsidR="00EE6172">
        <w:rPr>
          <w:rFonts w:ascii="Garamond" w:hAnsi="Garamond"/>
        </w:rPr>
        <w:t>SEPTIEMBRE</w:t>
      </w:r>
      <w:r w:rsidRPr="00C47DD4">
        <w:rPr>
          <w:rFonts w:ascii="Garamond" w:hAnsi="Garamond"/>
        </w:rPr>
        <w:t xml:space="preserve"> DE 20</w:t>
      </w:r>
      <w:r w:rsidR="008D061F">
        <w:rPr>
          <w:rFonts w:ascii="Garamond" w:hAnsi="Garamond"/>
        </w:rPr>
        <w:t>20</w:t>
      </w:r>
      <w:r>
        <w:rPr>
          <w:rFonts w:ascii="Garamond" w:hAnsi="Garamond"/>
        </w:rPr>
        <w:t>.</w:t>
      </w:r>
    </w:p>
    <w:p w:rsidR="00390CD1" w:rsidRDefault="00390CD1" w:rsidP="00390CD1">
      <w:pPr>
        <w:jc w:val="both"/>
        <w:rPr>
          <w:b/>
        </w:rPr>
      </w:pPr>
    </w:p>
    <w:p w:rsidR="006358A6" w:rsidRDefault="006358A6" w:rsidP="009D4D2F">
      <w:pPr>
        <w:tabs>
          <w:tab w:val="left" w:pos="0"/>
          <w:tab w:val="left" w:pos="9214"/>
        </w:tabs>
        <w:autoSpaceDE w:val="0"/>
        <w:autoSpaceDN w:val="0"/>
        <w:adjustRightInd w:val="0"/>
        <w:rPr>
          <w:b/>
        </w:rPr>
      </w:pPr>
    </w:p>
    <w:p w:rsidR="00390CD1" w:rsidRPr="009D4D2F" w:rsidRDefault="00390CD1" w:rsidP="009D4D2F">
      <w:pPr>
        <w:tabs>
          <w:tab w:val="left" w:pos="0"/>
          <w:tab w:val="left" w:pos="9214"/>
        </w:tabs>
        <w:autoSpaceDE w:val="0"/>
        <w:autoSpaceDN w:val="0"/>
        <w:adjustRightInd w:val="0"/>
        <w:rPr>
          <w:b/>
        </w:rPr>
      </w:pPr>
    </w:p>
    <w:p w:rsidR="00025E2C" w:rsidRDefault="009B198F" w:rsidP="009B198F">
      <w:pPr>
        <w:tabs>
          <w:tab w:val="left" w:pos="0"/>
          <w:tab w:val="left" w:pos="9214"/>
        </w:tabs>
        <w:autoSpaceDE w:val="0"/>
        <w:autoSpaceDN w:val="0"/>
        <w:adjustRightInd w:val="0"/>
        <w:ind w:firstLine="567"/>
        <w:jc w:val="center"/>
        <w:rPr>
          <w:b/>
        </w:rPr>
      </w:pPr>
      <w:r w:rsidRPr="006837A4">
        <w:rPr>
          <w:b/>
        </w:rPr>
        <w:t>CONTENIDO</w:t>
      </w:r>
    </w:p>
    <w:p w:rsidR="00EB5485" w:rsidRPr="00EB5485" w:rsidRDefault="00EB5485" w:rsidP="009B198F">
      <w:pPr>
        <w:tabs>
          <w:tab w:val="left" w:pos="0"/>
          <w:tab w:val="left" w:pos="9214"/>
        </w:tabs>
        <w:autoSpaceDE w:val="0"/>
        <w:autoSpaceDN w:val="0"/>
        <w:adjustRightInd w:val="0"/>
        <w:ind w:firstLine="567"/>
        <w:jc w:val="center"/>
        <w:rPr>
          <w:b/>
          <w:sz w:val="20"/>
        </w:rPr>
      </w:pPr>
    </w:p>
    <w:p w:rsidR="00B87FA2" w:rsidRPr="00B87FA2" w:rsidRDefault="007C7DEE">
      <w:pPr>
        <w:pStyle w:val="TDC1"/>
        <w:rPr>
          <w:rFonts w:asciiTheme="minorHAnsi" w:eastAsiaTheme="minorEastAsia" w:hAnsiTheme="minorHAnsi" w:cstheme="minorBidi"/>
          <w:noProof/>
          <w:sz w:val="22"/>
          <w:szCs w:val="22"/>
          <w:lang w:val="es-GT" w:eastAsia="es-GT"/>
        </w:rPr>
      </w:pPr>
      <w:r w:rsidRPr="00C87438">
        <w:rPr>
          <w:b/>
          <w:highlight w:val="yellow"/>
        </w:rPr>
        <w:fldChar w:fldCharType="begin"/>
      </w:r>
      <w:r w:rsidR="009C2D46" w:rsidRPr="00C87438">
        <w:rPr>
          <w:b/>
          <w:highlight w:val="yellow"/>
        </w:rPr>
        <w:instrText xml:space="preserve"> TOC \o "1-3" \h \z \u </w:instrText>
      </w:r>
      <w:r w:rsidRPr="00C87438">
        <w:rPr>
          <w:b/>
          <w:highlight w:val="yellow"/>
        </w:rPr>
        <w:fldChar w:fldCharType="separate"/>
      </w:r>
      <w:hyperlink w:anchor="_Toc51925240" w:history="1">
        <w:r w:rsidR="00B87FA2" w:rsidRPr="00B87FA2">
          <w:rPr>
            <w:rStyle w:val="Hipervnculo"/>
            <w:noProof/>
          </w:rPr>
          <w:t>I.</w:t>
        </w:r>
        <w:r w:rsidR="00B87FA2" w:rsidRPr="00B87FA2">
          <w:rPr>
            <w:rFonts w:asciiTheme="minorHAnsi" w:eastAsiaTheme="minorEastAsia" w:hAnsiTheme="minorHAnsi" w:cstheme="minorBidi"/>
            <w:noProof/>
            <w:sz w:val="22"/>
            <w:szCs w:val="22"/>
            <w:lang w:val="es-GT" w:eastAsia="es-GT"/>
          </w:rPr>
          <w:tab/>
        </w:r>
        <w:r w:rsidR="00B87FA2" w:rsidRPr="00B87FA2">
          <w:rPr>
            <w:rStyle w:val="Hipervnculo"/>
            <w:noProof/>
          </w:rPr>
          <w:t>Entorno Macroeconómico</w:t>
        </w:r>
        <w:r w:rsidR="00B87FA2" w:rsidRPr="00B87FA2">
          <w:rPr>
            <w:noProof/>
            <w:webHidden/>
          </w:rPr>
          <w:tab/>
        </w:r>
        <w:r w:rsidR="00B87FA2" w:rsidRPr="00B87FA2">
          <w:rPr>
            <w:noProof/>
            <w:webHidden/>
          </w:rPr>
          <w:fldChar w:fldCharType="begin"/>
        </w:r>
        <w:r w:rsidR="00B87FA2" w:rsidRPr="00B87FA2">
          <w:rPr>
            <w:noProof/>
            <w:webHidden/>
          </w:rPr>
          <w:instrText xml:space="preserve"> PAGEREF _Toc51925240 \h </w:instrText>
        </w:r>
        <w:r w:rsidR="00B87FA2" w:rsidRPr="00B87FA2">
          <w:rPr>
            <w:noProof/>
            <w:webHidden/>
          </w:rPr>
        </w:r>
        <w:r w:rsidR="00B87FA2" w:rsidRPr="00B87FA2">
          <w:rPr>
            <w:noProof/>
            <w:webHidden/>
          </w:rPr>
          <w:fldChar w:fldCharType="separate"/>
        </w:r>
        <w:r w:rsidR="00534A0E">
          <w:rPr>
            <w:noProof/>
            <w:webHidden/>
          </w:rPr>
          <w:t>3</w:t>
        </w:r>
        <w:r w:rsidR="00B87FA2" w:rsidRPr="00B87FA2">
          <w:rPr>
            <w:noProof/>
            <w:webHidden/>
          </w:rPr>
          <w:fldChar w:fldCharType="end"/>
        </w:r>
      </w:hyperlink>
    </w:p>
    <w:p w:rsidR="00B87FA2" w:rsidRPr="00B87FA2" w:rsidRDefault="00B87FA2">
      <w:pPr>
        <w:pStyle w:val="TDC2"/>
        <w:rPr>
          <w:rFonts w:asciiTheme="minorHAnsi" w:eastAsiaTheme="minorEastAsia" w:hAnsiTheme="minorHAnsi" w:cstheme="minorBidi"/>
          <w:noProof/>
          <w:sz w:val="22"/>
          <w:szCs w:val="22"/>
          <w:lang w:val="es-GT" w:eastAsia="es-GT"/>
        </w:rPr>
      </w:pPr>
      <w:hyperlink w:anchor="_Toc51925241" w:history="1">
        <w:r w:rsidRPr="00B87FA2">
          <w:rPr>
            <w:rStyle w:val="Hipervnculo"/>
            <w:noProof/>
            <w:lang w:val="es-MX"/>
          </w:rPr>
          <w:t>A.</w:t>
        </w:r>
        <w:r w:rsidRPr="00B87FA2">
          <w:rPr>
            <w:rFonts w:asciiTheme="minorHAnsi" w:eastAsiaTheme="minorEastAsia" w:hAnsiTheme="minorHAnsi" w:cstheme="minorBidi"/>
            <w:noProof/>
            <w:sz w:val="22"/>
            <w:szCs w:val="22"/>
            <w:lang w:val="es-GT" w:eastAsia="es-GT"/>
          </w:rPr>
          <w:tab/>
        </w:r>
        <w:r w:rsidRPr="00B87FA2">
          <w:rPr>
            <w:rStyle w:val="Hipervnculo"/>
            <w:noProof/>
            <w:lang w:val="es-MX"/>
          </w:rPr>
          <w:t>Entorno Macroeconómico Internacional</w:t>
        </w:r>
        <w:r w:rsidRPr="00B87FA2">
          <w:rPr>
            <w:noProof/>
            <w:webHidden/>
          </w:rPr>
          <w:tab/>
        </w:r>
        <w:r w:rsidRPr="00B87FA2">
          <w:rPr>
            <w:noProof/>
            <w:webHidden/>
          </w:rPr>
          <w:fldChar w:fldCharType="begin"/>
        </w:r>
        <w:r w:rsidRPr="00B87FA2">
          <w:rPr>
            <w:noProof/>
            <w:webHidden/>
          </w:rPr>
          <w:instrText xml:space="preserve"> PAGEREF _Toc51925241 \h </w:instrText>
        </w:r>
        <w:r w:rsidRPr="00B87FA2">
          <w:rPr>
            <w:noProof/>
            <w:webHidden/>
          </w:rPr>
        </w:r>
        <w:r w:rsidRPr="00B87FA2">
          <w:rPr>
            <w:noProof/>
            <w:webHidden/>
          </w:rPr>
          <w:fldChar w:fldCharType="separate"/>
        </w:r>
        <w:r w:rsidR="00534A0E">
          <w:rPr>
            <w:noProof/>
            <w:webHidden/>
          </w:rPr>
          <w:t>3</w:t>
        </w:r>
        <w:r w:rsidRPr="00B87FA2">
          <w:rPr>
            <w:noProof/>
            <w:webHidden/>
          </w:rPr>
          <w:fldChar w:fldCharType="end"/>
        </w:r>
      </w:hyperlink>
    </w:p>
    <w:p w:rsidR="00B87FA2" w:rsidRPr="00B87FA2" w:rsidRDefault="00B87FA2">
      <w:pPr>
        <w:pStyle w:val="TDC2"/>
        <w:rPr>
          <w:rFonts w:asciiTheme="minorHAnsi" w:eastAsiaTheme="minorEastAsia" w:hAnsiTheme="minorHAnsi" w:cstheme="minorBidi"/>
          <w:noProof/>
          <w:sz w:val="22"/>
          <w:szCs w:val="22"/>
          <w:lang w:val="es-GT" w:eastAsia="es-GT"/>
        </w:rPr>
      </w:pPr>
      <w:hyperlink w:anchor="_Toc51925242" w:history="1">
        <w:r w:rsidRPr="00B87FA2">
          <w:rPr>
            <w:rStyle w:val="Hipervnculo"/>
            <w:noProof/>
            <w:lang w:val="es-MX"/>
          </w:rPr>
          <w:t>B.</w:t>
        </w:r>
        <w:r w:rsidRPr="00B87FA2">
          <w:rPr>
            <w:rFonts w:asciiTheme="minorHAnsi" w:eastAsiaTheme="minorEastAsia" w:hAnsiTheme="minorHAnsi" w:cstheme="minorBidi"/>
            <w:noProof/>
            <w:sz w:val="22"/>
            <w:szCs w:val="22"/>
            <w:lang w:val="es-GT" w:eastAsia="es-GT"/>
          </w:rPr>
          <w:tab/>
        </w:r>
        <w:r w:rsidRPr="00B87FA2">
          <w:rPr>
            <w:rStyle w:val="Hipervnculo"/>
            <w:noProof/>
            <w:lang w:val="es-MX"/>
          </w:rPr>
          <w:t>Entorno Macroeconómico Nacional</w:t>
        </w:r>
        <w:r w:rsidRPr="00B87FA2">
          <w:rPr>
            <w:noProof/>
            <w:webHidden/>
          </w:rPr>
          <w:tab/>
        </w:r>
        <w:r w:rsidRPr="00B87FA2">
          <w:rPr>
            <w:noProof/>
            <w:webHidden/>
          </w:rPr>
          <w:fldChar w:fldCharType="begin"/>
        </w:r>
        <w:r w:rsidRPr="00B87FA2">
          <w:rPr>
            <w:noProof/>
            <w:webHidden/>
          </w:rPr>
          <w:instrText xml:space="preserve"> PAGEREF _Toc51925242 \h </w:instrText>
        </w:r>
        <w:r w:rsidRPr="00B87FA2">
          <w:rPr>
            <w:noProof/>
            <w:webHidden/>
          </w:rPr>
        </w:r>
        <w:r w:rsidRPr="00B87FA2">
          <w:rPr>
            <w:noProof/>
            <w:webHidden/>
          </w:rPr>
          <w:fldChar w:fldCharType="separate"/>
        </w:r>
        <w:r w:rsidR="00534A0E">
          <w:rPr>
            <w:noProof/>
            <w:webHidden/>
          </w:rPr>
          <w:t>5</w:t>
        </w:r>
        <w:r w:rsidRPr="00B87FA2">
          <w:rPr>
            <w:noProof/>
            <w:webHidden/>
          </w:rPr>
          <w:fldChar w:fldCharType="end"/>
        </w:r>
      </w:hyperlink>
    </w:p>
    <w:p w:rsidR="00B87FA2" w:rsidRPr="00B87FA2" w:rsidRDefault="00B87FA2">
      <w:pPr>
        <w:pStyle w:val="TDC1"/>
        <w:rPr>
          <w:rFonts w:asciiTheme="minorHAnsi" w:eastAsiaTheme="minorEastAsia" w:hAnsiTheme="minorHAnsi" w:cstheme="minorBidi"/>
          <w:noProof/>
          <w:sz w:val="22"/>
          <w:szCs w:val="22"/>
          <w:lang w:val="es-GT" w:eastAsia="es-GT"/>
        </w:rPr>
      </w:pPr>
      <w:hyperlink w:anchor="_Toc51925243" w:history="1">
        <w:r w:rsidRPr="00B87FA2">
          <w:rPr>
            <w:rStyle w:val="Hipervnculo"/>
            <w:noProof/>
          </w:rPr>
          <w:t>II.</w:t>
        </w:r>
        <w:r w:rsidRPr="00B87FA2">
          <w:rPr>
            <w:rFonts w:asciiTheme="minorHAnsi" w:eastAsiaTheme="minorEastAsia" w:hAnsiTheme="minorHAnsi" w:cstheme="minorBidi"/>
            <w:noProof/>
            <w:sz w:val="22"/>
            <w:szCs w:val="22"/>
            <w:lang w:val="es-GT" w:eastAsia="es-GT"/>
          </w:rPr>
          <w:tab/>
        </w:r>
        <w:r w:rsidRPr="00B87FA2">
          <w:rPr>
            <w:rStyle w:val="Hipervnculo"/>
            <w:noProof/>
          </w:rPr>
          <w:t>Situación Financiera de la Administración Central</w:t>
        </w:r>
        <w:r w:rsidRPr="00B87FA2">
          <w:rPr>
            <w:noProof/>
            <w:webHidden/>
          </w:rPr>
          <w:tab/>
        </w:r>
        <w:r w:rsidRPr="00B87FA2">
          <w:rPr>
            <w:noProof/>
            <w:webHidden/>
          </w:rPr>
          <w:fldChar w:fldCharType="begin"/>
        </w:r>
        <w:r w:rsidRPr="00B87FA2">
          <w:rPr>
            <w:noProof/>
            <w:webHidden/>
          </w:rPr>
          <w:instrText xml:space="preserve"> PAGEREF _Toc51925243 \h </w:instrText>
        </w:r>
        <w:r w:rsidRPr="00B87FA2">
          <w:rPr>
            <w:noProof/>
            <w:webHidden/>
          </w:rPr>
        </w:r>
        <w:r w:rsidRPr="00B87FA2">
          <w:rPr>
            <w:noProof/>
            <w:webHidden/>
          </w:rPr>
          <w:fldChar w:fldCharType="separate"/>
        </w:r>
        <w:r w:rsidR="00534A0E">
          <w:rPr>
            <w:noProof/>
            <w:webHidden/>
          </w:rPr>
          <w:t>12</w:t>
        </w:r>
        <w:r w:rsidRPr="00B87FA2">
          <w:rPr>
            <w:noProof/>
            <w:webHidden/>
          </w:rPr>
          <w:fldChar w:fldCharType="end"/>
        </w:r>
      </w:hyperlink>
    </w:p>
    <w:p w:rsidR="00B87FA2" w:rsidRPr="00B87FA2" w:rsidRDefault="00B87FA2">
      <w:pPr>
        <w:pStyle w:val="TDC2"/>
        <w:rPr>
          <w:rFonts w:asciiTheme="minorHAnsi" w:eastAsiaTheme="minorEastAsia" w:hAnsiTheme="minorHAnsi" w:cstheme="minorBidi"/>
          <w:noProof/>
          <w:sz w:val="22"/>
          <w:szCs w:val="22"/>
          <w:lang w:val="es-GT" w:eastAsia="es-GT"/>
        </w:rPr>
      </w:pPr>
      <w:hyperlink w:anchor="_Toc51925244" w:history="1">
        <w:r w:rsidRPr="00B87FA2">
          <w:rPr>
            <w:rStyle w:val="Hipervnculo"/>
            <w:noProof/>
          </w:rPr>
          <w:t>A.</w:t>
        </w:r>
        <w:r w:rsidRPr="00B87FA2">
          <w:rPr>
            <w:rFonts w:asciiTheme="minorHAnsi" w:eastAsiaTheme="minorEastAsia" w:hAnsiTheme="minorHAnsi" w:cstheme="minorBidi"/>
            <w:noProof/>
            <w:sz w:val="22"/>
            <w:szCs w:val="22"/>
            <w:lang w:val="es-GT" w:eastAsia="es-GT"/>
          </w:rPr>
          <w:tab/>
        </w:r>
        <w:r w:rsidRPr="00B87FA2">
          <w:rPr>
            <w:rStyle w:val="Hipervnculo"/>
            <w:noProof/>
          </w:rPr>
          <w:t>Ingresos</w:t>
        </w:r>
        <w:r w:rsidRPr="00B87FA2">
          <w:rPr>
            <w:noProof/>
            <w:webHidden/>
          </w:rPr>
          <w:tab/>
        </w:r>
        <w:r w:rsidRPr="00B87FA2">
          <w:rPr>
            <w:noProof/>
            <w:webHidden/>
          </w:rPr>
          <w:fldChar w:fldCharType="begin"/>
        </w:r>
        <w:r w:rsidRPr="00B87FA2">
          <w:rPr>
            <w:noProof/>
            <w:webHidden/>
          </w:rPr>
          <w:instrText xml:space="preserve"> PAGEREF _Toc51925244 \h </w:instrText>
        </w:r>
        <w:r w:rsidRPr="00B87FA2">
          <w:rPr>
            <w:noProof/>
            <w:webHidden/>
          </w:rPr>
        </w:r>
        <w:r w:rsidRPr="00B87FA2">
          <w:rPr>
            <w:noProof/>
            <w:webHidden/>
          </w:rPr>
          <w:fldChar w:fldCharType="separate"/>
        </w:r>
        <w:r w:rsidR="00534A0E">
          <w:rPr>
            <w:noProof/>
            <w:webHidden/>
          </w:rPr>
          <w:t>12</w:t>
        </w:r>
        <w:r w:rsidRPr="00B87FA2">
          <w:rPr>
            <w:noProof/>
            <w:webHidden/>
          </w:rPr>
          <w:fldChar w:fldCharType="end"/>
        </w:r>
      </w:hyperlink>
    </w:p>
    <w:p w:rsidR="00B87FA2" w:rsidRPr="00B87FA2" w:rsidRDefault="00B87FA2">
      <w:pPr>
        <w:pStyle w:val="TDC2"/>
        <w:rPr>
          <w:rFonts w:asciiTheme="minorHAnsi" w:eastAsiaTheme="minorEastAsia" w:hAnsiTheme="minorHAnsi" w:cstheme="minorBidi"/>
          <w:noProof/>
          <w:sz w:val="22"/>
          <w:szCs w:val="22"/>
          <w:lang w:val="es-GT" w:eastAsia="es-GT"/>
        </w:rPr>
      </w:pPr>
      <w:hyperlink w:anchor="_Toc51925245" w:history="1">
        <w:r w:rsidRPr="00B87FA2">
          <w:rPr>
            <w:rStyle w:val="Hipervnculo"/>
            <w:noProof/>
          </w:rPr>
          <w:t>B.</w:t>
        </w:r>
        <w:r w:rsidRPr="00B87FA2">
          <w:rPr>
            <w:rFonts w:asciiTheme="minorHAnsi" w:eastAsiaTheme="minorEastAsia" w:hAnsiTheme="minorHAnsi" w:cstheme="minorBidi"/>
            <w:noProof/>
            <w:sz w:val="22"/>
            <w:szCs w:val="22"/>
            <w:lang w:val="es-GT" w:eastAsia="es-GT"/>
          </w:rPr>
          <w:tab/>
        </w:r>
        <w:r w:rsidRPr="00B87FA2">
          <w:rPr>
            <w:rStyle w:val="Hipervnculo"/>
            <w:noProof/>
          </w:rPr>
          <w:t>Gastos</w:t>
        </w:r>
        <w:r w:rsidRPr="00B87FA2">
          <w:rPr>
            <w:noProof/>
            <w:webHidden/>
          </w:rPr>
          <w:tab/>
        </w:r>
        <w:r w:rsidRPr="00B87FA2">
          <w:rPr>
            <w:noProof/>
            <w:webHidden/>
          </w:rPr>
          <w:fldChar w:fldCharType="begin"/>
        </w:r>
        <w:r w:rsidRPr="00B87FA2">
          <w:rPr>
            <w:noProof/>
            <w:webHidden/>
          </w:rPr>
          <w:instrText xml:space="preserve"> PAGEREF _Toc51925245 \h </w:instrText>
        </w:r>
        <w:r w:rsidRPr="00B87FA2">
          <w:rPr>
            <w:noProof/>
            <w:webHidden/>
          </w:rPr>
        </w:r>
        <w:r w:rsidRPr="00B87FA2">
          <w:rPr>
            <w:noProof/>
            <w:webHidden/>
          </w:rPr>
          <w:fldChar w:fldCharType="separate"/>
        </w:r>
        <w:r w:rsidR="00534A0E">
          <w:rPr>
            <w:noProof/>
            <w:webHidden/>
          </w:rPr>
          <w:t>15</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46" w:history="1">
        <w:r w:rsidRPr="00B87FA2">
          <w:rPr>
            <w:rStyle w:val="Hipervnculo"/>
            <w:bCs/>
            <w:noProof/>
            <w:lang w:val="es-MX"/>
          </w:rPr>
          <w:t>1.</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Destino del Gasto por Cuenta Económica</w:t>
        </w:r>
        <w:r w:rsidRPr="00B87FA2">
          <w:rPr>
            <w:noProof/>
            <w:webHidden/>
          </w:rPr>
          <w:tab/>
        </w:r>
        <w:r w:rsidRPr="00B87FA2">
          <w:rPr>
            <w:noProof/>
            <w:webHidden/>
          </w:rPr>
          <w:fldChar w:fldCharType="begin"/>
        </w:r>
        <w:r w:rsidRPr="00B87FA2">
          <w:rPr>
            <w:noProof/>
            <w:webHidden/>
          </w:rPr>
          <w:instrText xml:space="preserve"> PAGEREF _Toc51925246 \h </w:instrText>
        </w:r>
        <w:r w:rsidRPr="00B87FA2">
          <w:rPr>
            <w:noProof/>
            <w:webHidden/>
          </w:rPr>
        </w:r>
        <w:r w:rsidRPr="00B87FA2">
          <w:rPr>
            <w:noProof/>
            <w:webHidden/>
          </w:rPr>
          <w:fldChar w:fldCharType="separate"/>
        </w:r>
        <w:r w:rsidR="00534A0E">
          <w:rPr>
            <w:noProof/>
            <w:webHidden/>
          </w:rPr>
          <w:t>16</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47" w:history="1">
        <w:r w:rsidRPr="00B87FA2">
          <w:rPr>
            <w:rStyle w:val="Hipervnculo"/>
            <w:bCs/>
            <w:noProof/>
            <w:lang w:val="es-MX"/>
          </w:rPr>
          <w:t>2.</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Ejecución Presupuestaria Institucional</w:t>
        </w:r>
        <w:r w:rsidRPr="00B87FA2">
          <w:rPr>
            <w:noProof/>
            <w:webHidden/>
          </w:rPr>
          <w:tab/>
        </w:r>
        <w:r w:rsidRPr="00B87FA2">
          <w:rPr>
            <w:noProof/>
            <w:webHidden/>
          </w:rPr>
          <w:fldChar w:fldCharType="begin"/>
        </w:r>
        <w:r w:rsidRPr="00B87FA2">
          <w:rPr>
            <w:noProof/>
            <w:webHidden/>
          </w:rPr>
          <w:instrText xml:space="preserve"> PAGEREF _Toc51925247 \h </w:instrText>
        </w:r>
        <w:r w:rsidRPr="00B87FA2">
          <w:rPr>
            <w:noProof/>
            <w:webHidden/>
          </w:rPr>
        </w:r>
        <w:r w:rsidRPr="00B87FA2">
          <w:rPr>
            <w:noProof/>
            <w:webHidden/>
          </w:rPr>
          <w:fldChar w:fldCharType="separate"/>
        </w:r>
        <w:r w:rsidR="00534A0E">
          <w:rPr>
            <w:noProof/>
            <w:webHidden/>
          </w:rPr>
          <w:t>17</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48" w:history="1">
        <w:r w:rsidRPr="00B87FA2">
          <w:rPr>
            <w:rStyle w:val="Hipervnculo"/>
            <w:bCs/>
            <w:noProof/>
            <w:lang w:val="es-MX"/>
          </w:rPr>
          <w:t>3.</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Gasto Público por Fuente de Financiamiento</w:t>
        </w:r>
        <w:r w:rsidRPr="00B87FA2">
          <w:rPr>
            <w:noProof/>
            <w:webHidden/>
          </w:rPr>
          <w:tab/>
        </w:r>
        <w:r w:rsidRPr="00B87FA2">
          <w:rPr>
            <w:noProof/>
            <w:webHidden/>
          </w:rPr>
          <w:fldChar w:fldCharType="begin"/>
        </w:r>
        <w:r w:rsidRPr="00B87FA2">
          <w:rPr>
            <w:noProof/>
            <w:webHidden/>
          </w:rPr>
          <w:instrText xml:space="preserve"> PAGEREF _Toc51925248 \h </w:instrText>
        </w:r>
        <w:r w:rsidRPr="00B87FA2">
          <w:rPr>
            <w:noProof/>
            <w:webHidden/>
          </w:rPr>
        </w:r>
        <w:r w:rsidRPr="00B87FA2">
          <w:rPr>
            <w:noProof/>
            <w:webHidden/>
          </w:rPr>
          <w:fldChar w:fldCharType="separate"/>
        </w:r>
        <w:r w:rsidR="00534A0E">
          <w:rPr>
            <w:noProof/>
            <w:webHidden/>
          </w:rPr>
          <w:t>19</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49" w:history="1">
        <w:r w:rsidRPr="00B87FA2">
          <w:rPr>
            <w:rStyle w:val="Hipervnculo"/>
            <w:bCs/>
            <w:noProof/>
            <w:lang w:val="es-MX"/>
          </w:rPr>
          <w:t>4.</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Gasto Social y Acuerdos de Paz</w:t>
        </w:r>
        <w:r w:rsidRPr="00B87FA2">
          <w:rPr>
            <w:noProof/>
            <w:webHidden/>
          </w:rPr>
          <w:tab/>
        </w:r>
        <w:r w:rsidRPr="00B87FA2">
          <w:rPr>
            <w:noProof/>
            <w:webHidden/>
          </w:rPr>
          <w:fldChar w:fldCharType="begin"/>
        </w:r>
        <w:r w:rsidRPr="00B87FA2">
          <w:rPr>
            <w:noProof/>
            <w:webHidden/>
          </w:rPr>
          <w:instrText xml:space="preserve"> PAGEREF _Toc51925249 \h </w:instrText>
        </w:r>
        <w:r w:rsidRPr="00B87FA2">
          <w:rPr>
            <w:noProof/>
            <w:webHidden/>
          </w:rPr>
        </w:r>
        <w:r w:rsidRPr="00B87FA2">
          <w:rPr>
            <w:noProof/>
            <w:webHidden/>
          </w:rPr>
          <w:fldChar w:fldCharType="separate"/>
        </w:r>
        <w:r w:rsidR="00534A0E">
          <w:rPr>
            <w:noProof/>
            <w:webHidden/>
          </w:rPr>
          <w:t>22</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50" w:history="1">
        <w:r w:rsidRPr="00B87FA2">
          <w:rPr>
            <w:rStyle w:val="Hipervnculo"/>
            <w:bCs/>
            <w:noProof/>
            <w:lang w:val="es-MX"/>
          </w:rPr>
          <w:t>5.</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Gasto Ejecutado a través de Fideicomisos</w:t>
        </w:r>
        <w:r w:rsidRPr="00B87FA2">
          <w:rPr>
            <w:noProof/>
            <w:webHidden/>
          </w:rPr>
          <w:tab/>
        </w:r>
        <w:r w:rsidRPr="00B87FA2">
          <w:rPr>
            <w:noProof/>
            <w:webHidden/>
          </w:rPr>
          <w:fldChar w:fldCharType="begin"/>
        </w:r>
        <w:r w:rsidRPr="00B87FA2">
          <w:rPr>
            <w:noProof/>
            <w:webHidden/>
          </w:rPr>
          <w:instrText xml:space="preserve"> PAGEREF _Toc51925250 \h </w:instrText>
        </w:r>
        <w:r w:rsidRPr="00B87FA2">
          <w:rPr>
            <w:noProof/>
            <w:webHidden/>
          </w:rPr>
        </w:r>
        <w:r w:rsidRPr="00B87FA2">
          <w:rPr>
            <w:noProof/>
            <w:webHidden/>
          </w:rPr>
          <w:fldChar w:fldCharType="separate"/>
        </w:r>
        <w:r w:rsidR="00534A0E">
          <w:rPr>
            <w:noProof/>
            <w:webHidden/>
          </w:rPr>
          <w:t>23</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51" w:history="1">
        <w:r w:rsidRPr="00B87FA2">
          <w:rPr>
            <w:rStyle w:val="Hipervnculo"/>
            <w:bCs/>
            <w:noProof/>
            <w:lang w:val="es-MX"/>
          </w:rPr>
          <w:t>6.</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Gasto Ejecutado a través de Organizaciones No Gubernamentales</w:t>
        </w:r>
        <w:r w:rsidRPr="00B87FA2">
          <w:rPr>
            <w:noProof/>
            <w:webHidden/>
          </w:rPr>
          <w:tab/>
        </w:r>
        <w:r w:rsidRPr="00B87FA2">
          <w:rPr>
            <w:noProof/>
            <w:webHidden/>
          </w:rPr>
          <w:fldChar w:fldCharType="begin"/>
        </w:r>
        <w:r w:rsidRPr="00B87FA2">
          <w:rPr>
            <w:noProof/>
            <w:webHidden/>
          </w:rPr>
          <w:instrText xml:space="preserve"> PAGEREF _Toc51925251 \h </w:instrText>
        </w:r>
        <w:r w:rsidRPr="00B87FA2">
          <w:rPr>
            <w:noProof/>
            <w:webHidden/>
          </w:rPr>
        </w:r>
        <w:r w:rsidRPr="00B87FA2">
          <w:rPr>
            <w:noProof/>
            <w:webHidden/>
          </w:rPr>
          <w:fldChar w:fldCharType="separate"/>
        </w:r>
        <w:r w:rsidR="00534A0E">
          <w:rPr>
            <w:noProof/>
            <w:webHidden/>
          </w:rPr>
          <w:t>24</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52" w:history="1">
        <w:r w:rsidRPr="00B87FA2">
          <w:rPr>
            <w:rStyle w:val="Hipervnculo"/>
            <w:bCs/>
            <w:noProof/>
            <w:lang w:val="es-MX"/>
          </w:rPr>
          <w:t>7.</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Gasto Ejecutado por el Programa Covid-19</w:t>
        </w:r>
        <w:r w:rsidRPr="00B87FA2">
          <w:rPr>
            <w:noProof/>
            <w:webHidden/>
          </w:rPr>
          <w:tab/>
        </w:r>
        <w:r w:rsidRPr="00B87FA2">
          <w:rPr>
            <w:noProof/>
            <w:webHidden/>
          </w:rPr>
          <w:fldChar w:fldCharType="begin"/>
        </w:r>
        <w:r w:rsidRPr="00B87FA2">
          <w:rPr>
            <w:noProof/>
            <w:webHidden/>
          </w:rPr>
          <w:instrText xml:space="preserve"> PAGEREF _Toc51925252 \h </w:instrText>
        </w:r>
        <w:r w:rsidRPr="00B87FA2">
          <w:rPr>
            <w:noProof/>
            <w:webHidden/>
          </w:rPr>
        </w:r>
        <w:r w:rsidRPr="00B87FA2">
          <w:rPr>
            <w:noProof/>
            <w:webHidden/>
          </w:rPr>
          <w:fldChar w:fldCharType="separate"/>
        </w:r>
        <w:r w:rsidR="00534A0E">
          <w:rPr>
            <w:noProof/>
            <w:webHidden/>
          </w:rPr>
          <w:t>25</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53" w:history="1">
        <w:r w:rsidRPr="00B87FA2">
          <w:rPr>
            <w:rStyle w:val="Hipervnculo"/>
            <w:bCs/>
            <w:noProof/>
            <w:lang w:val="es-MX"/>
          </w:rPr>
          <w:t>8.</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Ejecución con Fuente 61 “Donaciones externas”</w:t>
        </w:r>
        <w:r w:rsidRPr="00B87FA2">
          <w:rPr>
            <w:noProof/>
            <w:webHidden/>
          </w:rPr>
          <w:tab/>
        </w:r>
        <w:r w:rsidRPr="00B87FA2">
          <w:rPr>
            <w:noProof/>
            <w:webHidden/>
          </w:rPr>
          <w:fldChar w:fldCharType="begin"/>
        </w:r>
        <w:r w:rsidRPr="00B87FA2">
          <w:rPr>
            <w:noProof/>
            <w:webHidden/>
          </w:rPr>
          <w:instrText xml:space="preserve"> PAGEREF _Toc51925253 \h </w:instrText>
        </w:r>
        <w:r w:rsidRPr="00B87FA2">
          <w:rPr>
            <w:noProof/>
            <w:webHidden/>
          </w:rPr>
        </w:r>
        <w:r w:rsidRPr="00B87FA2">
          <w:rPr>
            <w:noProof/>
            <w:webHidden/>
          </w:rPr>
          <w:fldChar w:fldCharType="separate"/>
        </w:r>
        <w:r w:rsidR="00534A0E">
          <w:rPr>
            <w:noProof/>
            <w:webHidden/>
          </w:rPr>
          <w:t>30</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54" w:history="1">
        <w:r w:rsidRPr="00B87FA2">
          <w:rPr>
            <w:rStyle w:val="Hipervnculo"/>
            <w:bCs/>
            <w:noProof/>
            <w:lang w:val="es-MX"/>
          </w:rPr>
          <w:t>9.</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Déficit Fiscal</w:t>
        </w:r>
        <w:r w:rsidRPr="00B87FA2">
          <w:rPr>
            <w:noProof/>
            <w:webHidden/>
          </w:rPr>
          <w:tab/>
        </w:r>
        <w:r w:rsidRPr="00B87FA2">
          <w:rPr>
            <w:noProof/>
            <w:webHidden/>
          </w:rPr>
          <w:fldChar w:fldCharType="begin"/>
        </w:r>
        <w:r w:rsidRPr="00B87FA2">
          <w:rPr>
            <w:noProof/>
            <w:webHidden/>
          </w:rPr>
          <w:instrText xml:space="preserve"> PAGEREF _Toc51925254 \h </w:instrText>
        </w:r>
        <w:r w:rsidRPr="00B87FA2">
          <w:rPr>
            <w:noProof/>
            <w:webHidden/>
          </w:rPr>
        </w:r>
        <w:r w:rsidRPr="00B87FA2">
          <w:rPr>
            <w:noProof/>
            <w:webHidden/>
          </w:rPr>
          <w:fldChar w:fldCharType="separate"/>
        </w:r>
        <w:r w:rsidR="00534A0E">
          <w:rPr>
            <w:noProof/>
            <w:webHidden/>
          </w:rPr>
          <w:t>30</w:t>
        </w:r>
        <w:r w:rsidRPr="00B87FA2">
          <w:rPr>
            <w:noProof/>
            <w:webHidden/>
          </w:rPr>
          <w:fldChar w:fldCharType="end"/>
        </w:r>
      </w:hyperlink>
    </w:p>
    <w:p w:rsidR="00B87FA2" w:rsidRPr="00B87FA2" w:rsidRDefault="00B87FA2">
      <w:pPr>
        <w:pStyle w:val="TDC3"/>
        <w:rPr>
          <w:rFonts w:asciiTheme="minorHAnsi" w:eastAsiaTheme="minorEastAsia" w:hAnsiTheme="minorHAnsi" w:cstheme="minorBidi"/>
          <w:noProof/>
          <w:sz w:val="22"/>
          <w:szCs w:val="22"/>
          <w:lang w:val="es-GT" w:eastAsia="es-GT"/>
        </w:rPr>
      </w:pPr>
      <w:hyperlink w:anchor="_Toc51925255" w:history="1">
        <w:r w:rsidRPr="00B87FA2">
          <w:rPr>
            <w:rStyle w:val="Hipervnculo"/>
            <w:bCs/>
            <w:noProof/>
            <w:lang w:val="es-MX"/>
          </w:rPr>
          <w:t>10.</w:t>
        </w:r>
        <w:r w:rsidRPr="00B87FA2">
          <w:rPr>
            <w:rFonts w:asciiTheme="minorHAnsi" w:eastAsiaTheme="minorEastAsia" w:hAnsiTheme="minorHAnsi" w:cstheme="minorBidi"/>
            <w:noProof/>
            <w:sz w:val="22"/>
            <w:szCs w:val="22"/>
            <w:lang w:val="es-GT" w:eastAsia="es-GT"/>
          </w:rPr>
          <w:tab/>
        </w:r>
        <w:r w:rsidRPr="00B87FA2">
          <w:rPr>
            <w:rStyle w:val="Hipervnculo"/>
            <w:bCs/>
            <w:noProof/>
            <w:lang w:val="es-MX"/>
          </w:rPr>
          <w:t>Servicios de la Deuda Pública</w:t>
        </w:r>
        <w:r w:rsidRPr="00B87FA2">
          <w:rPr>
            <w:noProof/>
            <w:webHidden/>
          </w:rPr>
          <w:tab/>
        </w:r>
        <w:r w:rsidRPr="00B87FA2">
          <w:rPr>
            <w:noProof/>
            <w:webHidden/>
          </w:rPr>
          <w:fldChar w:fldCharType="begin"/>
        </w:r>
        <w:r w:rsidRPr="00B87FA2">
          <w:rPr>
            <w:noProof/>
            <w:webHidden/>
          </w:rPr>
          <w:instrText xml:space="preserve"> PAGEREF _Toc51925255 \h </w:instrText>
        </w:r>
        <w:r w:rsidRPr="00B87FA2">
          <w:rPr>
            <w:noProof/>
            <w:webHidden/>
          </w:rPr>
        </w:r>
        <w:r w:rsidRPr="00B87FA2">
          <w:rPr>
            <w:noProof/>
            <w:webHidden/>
          </w:rPr>
          <w:fldChar w:fldCharType="separate"/>
        </w:r>
        <w:r w:rsidR="00534A0E">
          <w:rPr>
            <w:noProof/>
            <w:webHidden/>
          </w:rPr>
          <w:t>33</w:t>
        </w:r>
        <w:r w:rsidRPr="00B87FA2">
          <w:rPr>
            <w:noProof/>
            <w:webHidden/>
          </w:rPr>
          <w:fldChar w:fldCharType="end"/>
        </w:r>
      </w:hyperlink>
    </w:p>
    <w:p w:rsidR="00B87FA2" w:rsidRDefault="00B87FA2">
      <w:pPr>
        <w:pStyle w:val="TDC1"/>
        <w:rPr>
          <w:rFonts w:asciiTheme="minorHAnsi" w:eastAsiaTheme="minorEastAsia" w:hAnsiTheme="minorHAnsi" w:cstheme="minorBidi"/>
          <w:noProof/>
          <w:sz w:val="22"/>
          <w:szCs w:val="22"/>
          <w:lang w:val="es-GT" w:eastAsia="es-GT"/>
        </w:rPr>
      </w:pPr>
      <w:hyperlink w:anchor="_Toc51925256" w:history="1">
        <w:r w:rsidRPr="00775A5F">
          <w:rPr>
            <w:rStyle w:val="Hipervnculo"/>
            <w:noProof/>
          </w:rPr>
          <w:t>III.</w:t>
        </w:r>
        <w:r>
          <w:rPr>
            <w:rFonts w:asciiTheme="minorHAnsi" w:eastAsiaTheme="minorEastAsia" w:hAnsiTheme="minorHAnsi" w:cstheme="minorBidi"/>
            <w:noProof/>
            <w:sz w:val="22"/>
            <w:szCs w:val="22"/>
            <w:lang w:val="es-GT" w:eastAsia="es-GT"/>
          </w:rPr>
          <w:tab/>
        </w:r>
        <w:r w:rsidRPr="00775A5F">
          <w:rPr>
            <w:rStyle w:val="Hipervnculo"/>
            <w:noProof/>
          </w:rPr>
          <w:t>Perspectivas de Cierre del Ejercicio Fiscal 2020</w:t>
        </w:r>
        <w:r>
          <w:rPr>
            <w:noProof/>
            <w:webHidden/>
          </w:rPr>
          <w:tab/>
        </w:r>
        <w:r>
          <w:rPr>
            <w:noProof/>
            <w:webHidden/>
          </w:rPr>
          <w:fldChar w:fldCharType="begin"/>
        </w:r>
        <w:r>
          <w:rPr>
            <w:noProof/>
            <w:webHidden/>
          </w:rPr>
          <w:instrText xml:space="preserve"> PAGEREF _Toc51925256 \h </w:instrText>
        </w:r>
        <w:r>
          <w:rPr>
            <w:noProof/>
            <w:webHidden/>
          </w:rPr>
        </w:r>
        <w:r>
          <w:rPr>
            <w:noProof/>
            <w:webHidden/>
          </w:rPr>
          <w:fldChar w:fldCharType="separate"/>
        </w:r>
        <w:r w:rsidR="00534A0E">
          <w:rPr>
            <w:noProof/>
            <w:webHidden/>
          </w:rPr>
          <w:t>34</w:t>
        </w:r>
        <w:r>
          <w:rPr>
            <w:noProof/>
            <w:webHidden/>
          </w:rPr>
          <w:fldChar w:fldCharType="end"/>
        </w:r>
      </w:hyperlink>
    </w:p>
    <w:p w:rsidR="00B87FA2" w:rsidRDefault="00B87FA2">
      <w:pPr>
        <w:pStyle w:val="TDC2"/>
        <w:rPr>
          <w:rFonts w:asciiTheme="minorHAnsi" w:eastAsiaTheme="minorEastAsia" w:hAnsiTheme="minorHAnsi" w:cstheme="minorBidi"/>
          <w:noProof/>
          <w:sz w:val="22"/>
          <w:szCs w:val="22"/>
          <w:lang w:val="es-GT" w:eastAsia="es-GT"/>
        </w:rPr>
      </w:pPr>
      <w:hyperlink w:anchor="_Toc51925257" w:history="1">
        <w:r w:rsidRPr="00775A5F">
          <w:rPr>
            <w:rStyle w:val="Hipervnculo"/>
            <w:noProof/>
          </w:rPr>
          <w:t>A.</w:t>
        </w:r>
        <w:r>
          <w:rPr>
            <w:rFonts w:asciiTheme="minorHAnsi" w:eastAsiaTheme="minorEastAsia" w:hAnsiTheme="minorHAnsi" w:cstheme="minorBidi"/>
            <w:noProof/>
            <w:sz w:val="22"/>
            <w:szCs w:val="22"/>
            <w:lang w:val="es-GT" w:eastAsia="es-GT"/>
          </w:rPr>
          <w:tab/>
        </w:r>
        <w:r w:rsidRPr="00775A5F">
          <w:rPr>
            <w:rStyle w:val="Hipervnculo"/>
            <w:noProof/>
          </w:rPr>
          <w:t>Escenario Macroeconómico</w:t>
        </w:r>
        <w:r>
          <w:rPr>
            <w:noProof/>
            <w:webHidden/>
          </w:rPr>
          <w:tab/>
        </w:r>
        <w:r>
          <w:rPr>
            <w:noProof/>
            <w:webHidden/>
          </w:rPr>
          <w:fldChar w:fldCharType="begin"/>
        </w:r>
        <w:r>
          <w:rPr>
            <w:noProof/>
            <w:webHidden/>
          </w:rPr>
          <w:instrText xml:space="preserve"> PAGEREF _Toc51925257 \h </w:instrText>
        </w:r>
        <w:r>
          <w:rPr>
            <w:noProof/>
            <w:webHidden/>
          </w:rPr>
        </w:r>
        <w:r>
          <w:rPr>
            <w:noProof/>
            <w:webHidden/>
          </w:rPr>
          <w:fldChar w:fldCharType="separate"/>
        </w:r>
        <w:r w:rsidR="00534A0E">
          <w:rPr>
            <w:noProof/>
            <w:webHidden/>
          </w:rPr>
          <w:t>34</w:t>
        </w:r>
        <w:r>
          <w:rPr>
            <w:noProof/>
            <w:webHidden/>
          </w:rPr>
          <w:fldChar w:fldCharType="end"/>
        </w:r>
      </w:hyperlink>
    </w:p>
    <w:p w:rsidR="00B87FA2" w:rsidRDefault="00B87FA2">
      <w:pPr>
        <w:pStyle w:val="TDC1"/>
        <w:rPr>
          <w:rFonts w:asciiTheme="minorHAnsi" w:eastAsiaTheme="minorEastAsia" w:hAnsiTheme="minorHAnsi" w:cstheme="minorBidi"/>
          <w:noProof/>
          <w:sz w:val="22"/>
          <w:szCs w:val="22"/>
          <w:lang w:val="es-GT" w:eastAsia="es-GT"/>
        </w:rPr>
      </w:pPr>
      <w:hyperlink w:anchor="_Toc51925258" w:history="1">
        <w:r w:rsidRPr="00775A5F">
          <w:rPr>
            <w:rStyle w:val="Hipervnculo"/>
            <w:noProof/>
          </w:rPr>
          <w:t>IV.</w:t>
        </w:r>
        <w:r>
          <w:rPr>
            <w:rFonts w:asciiTheme="minorHAnsi" w:eastAsiaTheme="minorEastAsia" w:hAnsiTheme="minorHAnsi" w:cstheme="minorBidi"/>
            <w:noProof/>
            <w:sz w:val="22"/>
            <w:szCs w:val="22"/>
            <w:lang w:val="es-GT" w:eastAsia="es-GT"/>
          </w:rPr>
          <w:tab/>
        </w:r>
        <w:r w:rsidRPr="00775A5F">
          <w:rPr>
            <w:rStyle w:val="Hipervnculo"/>
            <w:noProof/>
          </w:rPr>
          <w:t>Aspectos Relevantes del Primer Semestre 2020 y su continuidad para Fin de Año</w:t>
        </w:r>
        <w:r>
          <w:rPr>
            <w:noProof/>
            <w:webHidden/>
          </w:rPr>
          <w:tab/>
        </w:r>
        <w:r>
          <w:rPr>
            <w:noProof/>
            <w:webHidden/>
          </w:rPr>
          <w:fldChar w:fldCharType="begin"/>
        </w:r>
        <w:r>
          <w:rPr>
            <w:noProof/>
            <w:webHidden/>
          </w:rPr>
          <w:instrText xml:space="preserve"> PAGEREF _Toc51925258 \h </w:instrText>
        </w:r>
        <w:r>
          <w:rPr>
            <w:noProof/>
            <w:webHidden/>
          </w:rPr>
        </w:r>
        <w:r>
          <w:rPr>
            <w:noProof/>
            <w:webHidden/>
          </w:rPr>
          <w:fldChar w:fldCharType="separate"/>
        </w:r>
        <w:r w:rsidR="00534A0E">
          <w:rPr>
            <w:noProof/>
            <w:webHidden/>
          </w:rPr>
          <w:t>55</w:t>
        </w:r>
        <w:r>
          <w:rPr>
            <w:noProof/>
            <w:webHidden/>
          </w:rPr>
          <w:fldChar w:fldCharType="end"/>
        </w:r>
      </w:hyperlink>
    </w:p>
    <w:p w:rsidR="00B87FA2" w:rsidRDefault="00B87FA2">
      <w:pPr>
        <w:pStyle w:val="TDC2"/>
        <w:rPr>
          <w:rFonts w:asciiTheme="minorHAnsi" w:eastAsiaTheme="minorEastAsia" w:hAnsiTheme="minorHAnsi" w:cstheme="minorBidi"/>
          <w:noProof/>
          <w:sz w:val="22"/>
          <w:szCs w:val="22"/>
          <w:lang w:val="es-GT" w:eastAsia="es-GT"/>
        </w:rPr>
      </w:pPr>
      <w:hyperlink w:anchor="_Toc51925259" w:history="1">
        <w:r w:rsidRPr="00775A5F">
          <w:rPr>
            <w:rStyle w:val="Hipervnculo"/>
            <w:noProof/>
          </w:rPr>
          <w:t>A.</w:t>
        </w:r>
        <w:r>
          <w:rPr>
            <w:rFonts w:asciiTheme="minorHAnsi" w:eastAsiaTheme="minorEastAsia" w:hAnsiTheme="minorHAnsi" w:cstheme="minorBidi"/>
            <w:noProof/>
            <w:sz w:val="22"/>
            <w:szCs w:val="22"/>
            <w:lang w:val="es-GT" w:eastAsia="es-GT"/>
          </w:rPr>
          <w:tab/>
        </w:r>
        <w:r w:rsidRPr="00775A5F">
          <w:rPr>
            <w:rStyle w:val="Hipervnculo"/>
            <w:noProof/>
          </w:rPr>
          <w:t>Logros sobre Transparencia Fiscal</w:t>
        </w:r>
        <w:r>
          <w:rPr>
            <w:noProof/>
            <w:webHidden/>
          </w:rPr>
          <w:tab/>
        </w:r>
        <w:r>
          <w:rPr>
            <w:noProof/>
            <w:webHidden/>
          </w:rPr>
          <w:fldChar w:fldCharType="begin"/>
        </w:r>
        <w:r>
          <w:rPr>
            <w:noProof/>
            <w:webHidden/>
          </w:rPr>
          <w:instrText xml:space="preserve"> PAGEREF _Toc51925259 \h </w:instrText>
        </w:r>
        <w:r>
          <w:rPr>
            <w:noProof/>
            <w:webHidden/>
          </w:rPr>
        </w:r>
        <w:r>
          <w:rPr>
            <w:noProof/>
            <w:webHidden/>
          </w:rPr>
          <w:fldChar w:fldCharType="separate"/>
        </w:r>
        <w:r w:rsidR="00534A0E">
          <w:rPr>
            <w:noProof/>
            <w:webHidden/>
          </w:rPr>
          <w:t>55</w:t>
        </w:r>
        <w:r>
          <w:rPr>
            <w:noProof/>
            <w:webHidden/>
          </w:rPr>
          <w:fldChar w:fldCharType="end"/>
        </w:r>
      </w:hyperlink>
    </w:p>
    <w:p w:rsidR="00B87FA2" w:rsidRDefault="00B87FA2">
      <w:pPr>
        <w:pStyle w:val="TDC2"/>
        <w:rPr>
          <w:rFonts w:asciiTheme="minorHAnsi" w:eastAsiaTheme="minorEastAsia" w:hAnsiTheme="minorHAnsi" w:cstheme="minorBidi"/>
          <w:noProof/>
          <w:sz w:val="22"/>
          <w:szCs w:val="22"/>
          <w:lang w:val="es-GT" w:eastAsia="es-GT"/>
        </w:rPr>
      </w:pPr>
      <w:hyperlink w:anchor="_Toc51925260" w:history="1">
        <w:r w:rsidRPr="00775A5F">
          <w:rPr>
            <w:rStyle w:val="Hipervnculo"/>
            <w:noProof/>
          </w:rPr>
          <w:t>B.</w:t>
        </w:r>
        <w:r>
          <w:rPr>
            <w:rFonts w:asciiTheme="minorHAnsi" w:eastAsiaTheme="minorEastAsia" w:hAnsiTheme="minorHAnsi" w:cstheme="minorBidi"/>
            <w:noProof/>
            <w:sz w:val="22"/>
            <w:szCs w:val="22"/>
            <w:lang w:val="es-GT" w:eastAsia="es-GT"/>
          </w:rPr>
          <w:tab/>
        </w:r>
        <w:r w:rsidRPr="00775A5F">
          <w:rPr>
            <w:rStyle w:val="Hipervnculo"/>
            <w:noProof/>
          </w:rPr>
          <w:t>Compromisos e hitos a cargo del Ministerio de Finanzas Públicas en el Cuarto Plan de Acción Nacional de Gobierno Abierto 2018-2020</w:t>
        </w:r>
        <w:r>
          <w:rPr>
            <w:noProof/>
            <w:webHidden/>
          </w:rPr>
          <w:tab/>
        </w:r>
        <w:r>
          <w:rPr>
            <w:noProof/>
            <w:webHidden/>
          </w:rPr>
          <w:fldChar w:fldCharType="begin"/>
        </w:r>
        <w:r>
          <w:rPr>
            <w:noProof/>
            <w:webHidden/>
          </w:rPr>
          <w:instrText xml:space="preserve"> PAGEREF _Toc51925260 \h </w:instrText>
        </w:r>
        <w:r>
          <w:rPr>
            <w:noProof/>
            <w:webHidden/>
          </w:rPr>
        </w:r>
        <w:r>
          <w:rPr>
            <w:noProof/>
            <w:webHidden/>
          </w:rPr>
          <w:fldChar w:fldCharType="separate"/>
        </w:r>
        <w:r w:rsidR="00534A0E">
          <w:rPr>
            <w:noProof/>
            <w:webHidden/>
          </w:rPr>
          <w:t>56</w:t>
        </w:r>
        <w:r>
          <w:rPr>
            <w:noProof/>
            <w:webHidden/>
          </w:rPr>
          <w:fldChar w:fldCharType="end"/>
        </w:r>
      </w:hyperlink>
    </w:p>
    <w:p w:rsidR="00B87FA2" w:rsidRDefault="00B87FA2">
      <w:pPr>
        <w:pStyle w:val="TDC2"/>
        <w:rPr>
          <w:rFonts w:asciiTheme="minorHAnsi" w:eastAsiaTheme="minorEastAsia" w:hAnsiTheme="minorHAnsi" w:cstheme="minorBidi"/>
          <w:noProof/>
          <w:sz w:val="22"/>
          <w:szCs w:val="22"/>
          <w:lang w:val="es-GT" w:eastAsia="es-GT"/>
        </w:rPr>
      </w:pPr>
      <w:hyperlink w:anchor="_Toc51925261" w:history="1">
        <w:r w:rsidRPr="00775A5F">
          <w:rPr>
            <w:rStyle w:val="Hipervnculo"/>
            <w:noProof/>
          </w:rPr>
          <w:t>C.</w:t>
        </w:r>
        <w:r>
          <w:rPr>
            <w:rFonts w:asciiTheme="minorHAnsi" w:eastAsiaTheme="minorEastAsia" w:hAnsiTheme="minorHAnsi" w:cstheme="minorBidi"/>
            <w:noProof/>
            <w:sz w:val="22"/>
            <w:szCs w:val="22"/>
            <w:lang w:val="es-GT" w:eastAsia="es-GT"/>
          </w:rPr>
          <w:tab/>
        </w:r>
        <w:r w:rsidRPr="00775A5F">
          <w:rPr>
            <w:rStyle w:val="Hipervnculo"/>
            <w:noProof/>
          </w:rPr>
          <w:t>Otras Acciones sobre Transparencia Fiscal</w:t>
        </w:r>
        <w:r>
          <w:rPr>
            <w:noProof/>
            <w:webHidden/>
          </w:rPr>
          <w:tab/>
        </w:r>
        <w:r>
          <w:rPr>
            <w:noProof/>
            <w:webHidden/>
          </w:rPr>
          <w:fldChar w:fldCharType="begin"/>
        </w:r>
        <w:r>
          <w:rPr>
            <w:noProof/>
            <w:webHidden/>
          </w:rPr>
          <w:instrText xml:space="preserve"> PAGEREF _Toc51925261 \h </w:instrText>
        </w:r>
        <w:r>
          <w:rPr>
            <w:noProof/>
            <w:webHidden/>
          </w:rPr>
        </w:r>
        <w:r>
          <w:rPr>
            <w:noProof/>
            <w:webHidden/>
          </w:rPr>
          <w:fldChar w:fldCharType="separate"/>
        </w:r>
        <w:r w:rsidR="00534A0E">
          <w:rPr>
            <w:noProof/>
            <w:webHidden/>
          </w:rPr>
          <w:t>58</w:t>
        </w:r>
        <w:r>
          <w:rPr>
            <w:noProof/>
            <w:webHidden/>
          </w:rPr>
          <w:fldChar w:fldCharType="end"/>
        </w:r>
      </w:hyperlink>
    </w:p>
    <w:p w:rsidR="009C2D46" w:rsidRPr="002414D8" w:rsidRDefault="007C7DEE" w:rsidP="002414D8">
      <w:pPr>
        <w:ind w:right="-142"/>
        <w:jc w:val="both"/>
      </w:pPr>
      <w:r w:rsidRPr="00C87438">
        <w:rPr>
          <w:b/>
          <w:bCs/>
          <w:highlight w:val="yellow"/>
        </w:rPr>
        <w:fldChar w:fldCharType="end"/>
      </w:r>
      <w:r w:rsidR="002414D8" w:rsidRPr="002414D8">
        <w:rPr>
          <w:bCs/>
        </w:rPr>
        <w:t>V</w:t>
      </w:r>
      <w:r w:rsidR="002414D8">
        <w:rPr>
          <w:bCs/>
        </w:rPr>
        <w:t>.    Anexos……………………………………………………………</w:t>
      </w:r>
      <w:r w:rsidR="002978A7">
        <w:rPr>
          <w:bCs/>
        </w:rPr>
        <w:t>..</w:t>
      </w:r>
      <w:r w:rsidR="002414D8">
        <w:rPr>
          <w:bCs/>
        </w:rPr>
        <w:t>……………</w:t>
      </w:r>
      <w:r w:rsidR="00657A97">
        <w:rPr>
          <w:bCs/>
        </w:rPr>
        <w:t>..</w:t>
      </w:r>
      <w:r w:rsidR="002414D8">
        <w:rPr>
          <w:bCs/>
        </w:rPr>
        <w:t>……</w:t>
      </w:r>
      <w:r w:rsidR="002414D8" w:rsidRPr="00C823CD">
        <w:rPr>
          <w:bCs/>
        </w:rPr>
        <w:t>…</w:t>
      </w:r>
      <w:r w:rsidR="004B4045">
        <w:rPr>
          <w:bCs/>
        </w:rPr>
        <w:t>6</w:t>
      </w:r>
      <w:r w:rsidR="00906722">
        <w:rPr>
          <w:bCs/>
        </w:rPr>
        <w:t>3</w:t>
      </w:r>
    </w:p>
    <w:p w:rsidR="00700218" w:rsidRPr="00C87438" w:rsidRDefault="00700218" w:rsidP="0090230E">
      <w:pPr>
        <w:pStyle w:val="Prrafodelista"/>
        <w:tabs>
          <w:tab w:val="left" w:pos="870"/>
        </w:tabs>
        <w:ind w:left="720"/>
        <w:contextualSpacing/>
        <w:jc w:val="right"/>
        <w:rPr>
          <w:highlight w:val="yellow"/>
        </w:rPr>
      </w:pPr>
    </w:p>
    <w:p w:rsidR="00612210" w:rsidRDefault="00612210">
      <w:pPr>
        <w:rPr>
          <w:highlight w:val="yellow"/>
          <w:lang w:val="es-MX"/>
        </w:rPr>
      </w:pPr>
      <w:r w:rsidRPr="00C87438">
        <w:rPr>
          <w:highlight w:val="yellow"/>
          <w:lang w:val="es-MX"/>
        </w:rPr>
        <w:br w:type="page"/>
      </w:r>
    </w:p>
    <w:p w:rsidR="00520B7E" w:rsidRDefault="00520B7E" w:rsidP="00520B7E">
      <w:pPr>
        <w:pStyle w:val="Ttulo1"/>
        <w:numPr>
          <w:ilvl w:val="0"/>
          <w:numId w:val="2"/>
        </w:numPr>
        <w:tabs>
          <w:tab w:val="num" w:pos="0"/>
        </w:tabs>
        <w:suppressAutoHyphens/>
        <w:ind w:left="709"/>
      </w:pPr>
      <w:bookmarkStart w:id="1" w:name="_Toc47610370"/>
      <w:bookmarkStart w:id="2" w:name="_Toc4742458"/>
      <w:bookmarkStart w:id="3" w:name="_Toc417992518"/>
      <w:bookmarkStart w:id="4" w:name="_Toc51925240"/>
      <w:r w:rsidRPr="00DD2DF7">
        <w:lastRenderedPageBreak/>
        <w:t>Entorno Macroeconómico</w:t>
      </w:r>
      <w:bookmarkEnd w:id="1"/>
      <w:bookmarkEnd w:id="4"/>
    </w:p>
    <w:p w:rsidR="00520B7E" w:rsidRPr="00713CAB" w:rsidRDefault="00520B7E" w:rsidP="00520B7E"/>
    <w:p w:rsidR="00520B7E" w:rsidRPr="0059599D" w:rsidRDefault="00520B7E" w:rsidP="00520B7E">
      <w:pPr>
        <w:pStyle w:val="Ttulo2"/>
        <w:rPr>
          <w:rFonts w:ascii="Times New Roman" w:hAnsi="Times New Roman"/>
          <w:color w:val="auto"/>
          <w:sz w:val="24"/>
          <w:lang w:val="es-MX"/>
        </w:rPr>
      </w:pPr>
      <w:bookmarkStart w:id="5" w:name="_Toc47610371"/>
      <w:bookmarkStart w:id="6" w:name="_Toc51925241"/>
      <w:r w:rsidRPr="0059599D">
        <w:rPr>
          <w:rFonts w:ascii="Times New Roman" w:hAnsi="Times New Roman"/>
          <w:color w:val="auto"/>
          <w:sz w:val="24"/>
          <w:lang w:val="es-MX"/>
        </w:rPr>
        <w:t>Entorno Macroeconómico Internacional</w:t>
      </w:r>
      <w:bookmarkEnd w:id="5"/>
      <w:bookmarkEnd w:id="6"/>
    </w:p>
    <w:p w:rsidR="00520B7E" w:rsidRPr="00124AD6" w:rsidRDefault="00520B7E" w:rsidP="00520B7E">
      <w:pPr>
        <w:pStyle w:val="Ttulo1"/>
        <w:numPr>
          <w:ilvl w:val="0"/>
          <w:numId w:val="0"/>
        </w:numPr>
        <w:suppressAutoHyphens/>
        <w:ind w:left="709"/>
        <w:rPr>
          <w:lang w:val="es-MX"/>
        </w:rPr>
      </w:pPr>
    </w:p>
    <w:p w:rsidR="00520B7E" w:rsidRDefault="00520B7E" w:rsidP="00520B7E">
      <w:pPr>
        <w:autoSpaceDE w:val="0"/>
        <w:autoSpaceDN w:val="0"/>
        <w:adjustRightInd w:val="0"/>
        <w:jc w:val="both"/>
      </w:pPr>
      <w:r>
        <w:t>El</w:t>
      </w:r>
      <w:r w:rsidRPr="00342AAF">
        <w:t xml:space="preserve"> </w:t>
      </w:r>
      <w:r>
        <w:t>desempeño económico a nivel mundial para 2020 proyecta una caída del orden de 4.9%; ya que la pandemia del Covid-19 ha tenido un impacto negativo fuerte y cuya recuperación será, según las proyecciones, más gradual de lo que se había pronosticado. Las proyecciones de base se fundamentan en presunciones críticas sobre las secuelas de la pandemia. En las economías con tasas de infección decrecientes, la ralentización de la trayectoria de recuperación contemplada en los pronósticos actualizados refleja un distanciamiento social persistente a medida que nos adentremos en el segundo semestre de 2020; mayores cicatrices (daño al potencial de oferta) debido al hecho de que la actividad sufriría más de lo previsto durante el confinamiento instituido en el primero y segundo semestres de 2020, y un golpe a la productividad a medida que las empresas que sobrevivan incrementen las necesarias prácticas de seguridad e higiene en los lugares de trabajo. En las economías con dificultades para controlar las tasas de infección, un confinamiento más prolongado infligiría más daños a la actividad económica. Además, el pronóstico presume que las condiciones financieras se mantendrán generalmente a los niveles actuales. Claramente, es posible que el desenlace sea diferente del contemplado en la proyección de base, y no solo debido a la manera en que está evolucionando la pandemia. La magnitud del reciente repunte del optimismo de los mercados financieros parece estar desconectada de la evolución de las perspectivas económicas fundamentales y eso plantea la posibilidad de que las condiciones financieras se endurezcan más de lo que supone la proyección de base.</w:t>
      </w:r>
    </w:p>
    <w:p w:rsidR="00520B7E" w:rsidRDefault="00520B7E" w:rsidP="00520B7E">
      <w:pPr>
        <w:autoSpaceDE w:val="0"/>
        <w:autoSpaceDN w:val="0"/>
        <w:adjustRightInd w:val="0"/>
        <w:jc w:val="both"/>
      </w:pPr>
    </w:p>
    <w:p w:rsidR="00520B7E" w:rsidRDefault="00520B7E" w:rsidP="00520B7E">
      <w:pPr>
        <w:autoSpaceDE w:val="0"/>
        <w:autoSpaceDN w:val="0"/>
        <w:adjustRightInd w:val="0"/>
        <w:jc w:val="both"/>
      </w:pPr>
      <w:r>
        <w:t>Para el 2021, el crecimiento mundial está proyectado en 5.4% basado en la recuperación y fortalecimiento del consumo; se espera lo mismo de la inversión, sin embargo, es posible que la misma se mantenga atenuada. Se pronostica que el PIB mundial del año 2021 en su totalidad excederá apenas el nivel de 2019. El impacto adverso de esta situación en los hogares de bajo ingreso es particularmente agudo, y pondría en peligro el avance significativo de la lucha contra de la pobreza extrema logrado a nivel mundial desde la década de 1990.</w:t>
      </w:r>
    </w:p>
    <w:p w:rsidR="00520B7E" w:rsidRDefault="00520B7E" w:rsidP="00520B7E">
      <w:pPr>
        <w:autoSpaceDE w:val="0"/>
        <w:autoSpaceDN w:val="0"/>
        <w:adjustRightInd w:val="0"/>
        <w:jc w:val="both"/>
      </w:pPr>
    </w:p>
    <w:p w:rsidR="00520B7E" w:rsidRDefault="00520B7E" w:rsidP="00520B7E">
      <w:pPr>
        <w:autoSpaceDE w:val="0"/>
        <w:autoSpaceDN w:val="0"/>
        <w:adjustRightInd w:val="0"/>
        <w:jc w:val="both"/>
      </w:pPr>
      <w:r w:rsidRPr="001E6D7B">
        <w:t xml:space="preserve">En las economías avanzadas, se proyecta un crecimiento </w:t>
      </w:r>
      <w:r>
        <w:t xml:space="preserve">de -8.0% en 2020 y 5.4% en 2021, </w:t>
      </w:r>
      <w:r w:rsidRPr="001E6D7B">
        <w:t xml:space="preserve">debido principalmente a </w:t>
      </w:r>
      <w:r>
        <w:t>una recuperación en e</w:t>
      </w:r>
      <w:r w:rsidRPr="001E6D7B">
        <w:t>l crecimiento en Estados Unidos</w:t>
      </w:r>
      <w:r>
        <w:t xml:space="preserve"> de América, proyectado en 4.5% </w:t>
      </w:r>
      <w:r w:rsidRPr="001E6D7B">
        <w:t xml:space="preserve">conforme </w:t>
      </w:r>
      <w:r>
        <w:t>a</w:t>
      </w:r>
      <w:r w:rsidRPr="001E6D7B">
        <w:t>l estímulo fiscal.</w:t>
      </w:r>
    </w:p>
    <w:p w:rsidR="00520B7E" w:rsidRDefault="00520B7E" w:rsidP="00520B7E">
      <w:pPr>
        <w:autoSpaceDE w:val="0"/>
        <w:autoSpaceDN w:val="0"/>
        <w:adjustRightInd w:val="0"/>
        <w:jc w:val="both"/>
      </w:pPr>
    </w:p>
    <w:p w:rsidR="00520B7E" w:rsidRPr="001E6D7B" w:rsidRDefault="00520B7E" w:rsidP="00520B7E">
      <w:pPr>
        <w:autoSpaceDE w:val="0"/>
        <w:autoSpaceDN w:val="0"/>
        <w:adjustRightInd w:val="0"/>
        <w:jc w:val="both"/>
      </w:pPr>
      <w:r>
        <w:t xml:space="preserve">En la Zona del Euro, </w:t>
      </w:r>
      <w:r w:rsidRPr="001E6D7B">
        <w:t>se proyecta un</w:t>
      </w:r>
      <w:r>
        <w:t>a contracción en el orden de -10.2%</w:t>
      </w:r>
      <w:r w:rsidRPr="001E6D7B">
        <w:t xml:space="preserve"> en 20</w:t>
      </w:r>
      <w:r>
        <w:t>20</w:t>
      </w:r>
      <w:r w:rsidRPr="001E6D7B">
        <w:t xml:space="preserve"> y </w:t>
      </w:r>
      <w:r>
        <w:t xml:space="preserve">un crecimiento de </w:t>
      </w:r>
      <w:r w:rsidRPr="001E6D7B">
        <w:t>6</w:t>
      </w:r>
      <w:r>
        <w:t>.0</w:t>
      </w:r>
      <w:r w:rsidRPr="001E6D7B">
        <w:t>% en</w:t>
      </w:r>
      <w:r>
        <w:t xml:space="preserve"> </w:t>
      </w:r>
      <w:r w:rsidRPr="001E6D7B">
        <w:t>202</w:t>
      </w:r>
      <w:r>
        <w:t>1</w:t>
      </w:r>
      <w:r w:rsidRPr="001E6D7B">
        <w:t>.</w:t>
      </w:r>
      <w:r>
        <w:t xml:space="preserve"> Se prevén desaceleraciones profundas y sincronizadas en Alemania (-7.8%), Francia (-12.5%), Italia y España (-12.8%). Se prevé que en 2021 la tasa de crecimiento de las economías avanzadas mejorará a 4.8%; en consecuencia, el PIB del grupo en 2021 se ubicará alrededor de 4.0% por debajo del nivel de 2019.</w:t>
      </w:r>
      <w:r w:rsidRPr="001E6D7B">
        <w:br w:type="page"/>
      </w:r>
    </w:p>
    <w:p w:rsidR="00520B7E" w:rsidRPr="00190F0E" w:rsidRDefault="00520B7E" w:rsidP="00520B7E">
      <w:pPr>
        <w:jc w:val="center"/>
        <w:rPr>
          <w:b/>
        </w:rPr>
      </w:pPr>
      <w:r w:rsidRPr="00190F0E">
        <w:rPr>
          <w:b/>
        </w:rPr>
        <w:lastRenderedPageBreak/>
        <w:t>Cuadro 1</w:t>
      </w:r>
    </w:p>
    <w:p w:rsidR="00520B7E" w:rsidRPr="00124AD6" w:rsidRDefault="00520B7E" w:rsidP="00520B7E">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Crecimiento Económico Mundial</w:t>
      </w:r>
    </w:p>
    <w:p w:rsidR="00520B7E" w:rsidRDefault="00520B7E" w:rsidP="00520B7E">
      <w:pPr>
        <w:autoSpaceDE w:val="0"/>
        <w:autoSpaceDN w:val="0"/>
        <w:adjustRightInd w:val="0"/>
        <w:jc w:val="center"/>
        <w:rPr>
          <w:rFonts w:eastAsia="Calibri"/>
          <w:b/>
          <w:bCs/>
          <w:color w:val="000000"/>
          <w:lang w:val="es-GT" w:eastAsia="es-GT"/>
        </w:rPr>
      </w:pPr>
      <w:r>
        <w:rPr>
          <w:rFonts w:eastAsia="Calibri"/>
          <w:b/>
          <w:bCs/>
          <w:color w:val="000000"/>
          <w:lang w:val="es-GT" w:eastAsia="es-GT"/>
        </w:rPr>
        <w:t xml:space="preserve">Período </w:t>
      </w:r>
      <w:r w:rsidRPr="00124AD6">
        <w:rPr>
          <w:rFonts w:eastAsia="Calibri"/>
          <w:b/>
          <w:bCs/>
          <w:color w:val="000000"/>
          <w:lang w:val="es-GT" w:eastAsia="es-GT"/>
        </w:rPr>
        <w:t>20</w:t>
      </w:r>
      <w:r>
        <w:rPr>
          <w:rFonts w:eastAsia="Calibri"/>
          <w:b/>
          <w:bCs/>
          <w:color w:val="000000"/>
          <w:lang w:val="es-GT" w:eastAsia="es-GT"/>
        </w:rPr>
        <w:t xml:space="preserve">18 </w:t>
      </w:r>
      <w:r w:rsidRPr="00124AD6">
        <w:rPr>
          <w:rFonts w:eastAsia="Calibri"/>
          <w:b/>
          <w:bCs/>
          <w:color w:val="000000"/>
          <w:lang w:val="es-GT" w:eastAsia="es-GT"/>
        </w:rPr>
        <w:t>-</w:t>
      </w:r>
      <w:r>
        <w:rPr>
          <w:rFonts w:eastAsia="Calibri"/>
          <w:b/>
          <w:bCs/>
          <w:color w:val="000000"/>
          <w:lang w:val="es-GT" w:eastAsia="es-GT"/>
        </w:rPr>
        <w:t xml:space="preserve"> 2021</w:t>
      </w:r>
    </w:p>
    <w:p w:rsidR="00520B7E" w:rsidRDefault="00520B7E" w:rsidP="00520B7E">
      <w:pPr>
        <w:autoSpaceDE w:val="0"/>
        <w:autoSpaceDN w:val="0"/>
        <w:adjustRightInd w:val="0"/>
        <w:jc w:val="center"/>
        <w:rPr>
          <w:rFonts w:eastAsia="Calibri"/>
          <w:b/>
          <w:color w:val="000000"/>
          <w:lang w:val="es-GT" w:eastAsia="es-GT"/>
        </w:rPr>
      </w:pPr>
      <w:r>
        <w:rPr>
          <w:rFonts w:eastAsia="Calibri"/>
          <w:b/>
          <w:bCs/>
          <w:color w:val="000000"/>
          <w:lang w:val="es-GT" w:eastAsia="es-GT"/>
        </w:rPr>
        <w:t>(Variación P</w:t>
      </w:r>
      <w:r w:rsidRPr="00190F0E">
        <w:rPr>
          <w:rFonts w:eastAsia="Calibri"/>
          <w:b/>
          <w:color w:val="000000"/>
          <w:lang w:val="es-GT" w:eastAsia="es-GT"/>
        </w:rPr>
        <w:t>orcent</w:t>
      </w:r>
      <w:r>
        <w:rPr>
          <w:rFonts w:eastAsia="Calibri"/>
          <w:b/>
          <w:color w:val="000000"/>
          <w:lang w:val="es-GT" w:eastAsia="es-GT"/>
        </w:rPr>
        <w:t>ual)</w:t>
      </w:r>
    </w:p>
    <w:tbl>
      <w:tblPr>
        <w:tblW w:w="9087" w:type="dxa"/>
        <w:tblInd w:w="55"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5544"/>
        <w:gridCol w:w="850"/>
        <w:gridCol w:w="992"/>
        <w:gridCol w:w="851"/>
        <w:gridCol w:w="850"/>
      </w:tblGrid>
      <w:tr w:rsidR="00592A11" w:rsidRPr="00713CAB" w:rsidTr="00987CA9">
        <w:trPr>
          <w:trHeight w:val="258"/>
        </w:trPr>
        <w:tc>
          <w:tcPr>
            <w:tcW w:w="5544" w:type="dxa"/>
            <w:tcBorders>
              <w:top w:val="single" w:sz="4" w:space="0" w:color="auto"/>
              <w:bottom w:val="single" w:sz="4" w:space="0" w:color="auto"/>
            </w:tcBorders>
            <w:shd w:val="clear" w:color="auto" w:fill="00B0F0"/>
            <w:noWrap/>
            <w:vAlign w:val="bottom"/>
            <w:hideMark/>
          </w:tcPr>
          <w:p w:rsidR="00520B7E" w:rsidRPr="00F2557C" w:rsidRDefault="00F2557C" w:rsidP="0025776C">
            <w:pPr>
              <w:jc w:val="center"/>
              <w:rPr>
                <w:b/>
                <w:color w:val="000000"/>
                <w:sz w:val="22"/>
                <w:szCs w:val="22"/>
                <w:lang w:val="es-GT" w:eastAsia="es-GT"/>
              </w:rPr>
            </w:pPr>
            <w:r w:rsidRPr="00F2557C">
              <w:rPr>
                <w:b/>
                <w:color w:val="000000"/>
                <w:sz w:val="22"/>
                <w:szCs w:val="22"/>
                <w:lang w:val="es-GT" w:eastAsia="es-GT"/>
              </w:rPr>
              <w:t>DESCRIPCIÓN</w:t>
            </w:r>
          </w:p>
        </w:tc>
        <w:tc>
          <w:tcPr>
            <w:tcW w:w="850" w:type="dxa"/>
            <w:tcBorders>
              <w:top w:val="single" w:sz="4" w:space="0" w:color="auto"/>
              <w:bottom w:val="single" w:sz="4" w:space="0" w:color="auto"/>
            </w:tcBorders>
            <w:shd w:val="clear" w:color="auto" w:fill="00B0F0"/>
            <w:noWrap/>
            <w:vAlign w:val="center"/>
            <w:hideMark/>
          </w:tcPr>
          <w:p w:rsidR="00520B7E" w:rsidRPr="00F2557C" w:rsidRDefault="00520B7E" w:rsidP="00F2557C">
            <w:pPr>
              <w:jc w:val="center"/>
              <w:rPr>
                <w:b/>
                <w:bCs/>
                <w:color w:val="000000"/>
                <w:sz w:val="22"/>
                <w:szCs w:val="22"/>
                <w:lang w:val="es-GT" w:eastAsia="es-GT"/>
              </w:rPr>
            </w:pPr>
            <w:r w:rsidRPr="00F2557C">
              <w:rPr>
                <w:b/>
                <w:bCs/>
                <w:color w:val="000000"/>
                <w:sz w:val="22"/>
                <w:szCs w:val="22"/>
              </w:rPr>
              <w:t>2018</w:t>
            </w:r>
          </w:p>
        </w:tc>
        <w:tc>
          <w:tcPr>
            <w:tcW w:w="992" w:type="dxa"/>
            <w:tcBorders>
              <w:top w:val="single" w:sz="4" w:space="0" w:color="auto"/>
              <w:bottom w:val="single" w:sz="4" w:space="0" w:color="auto"/>
            </w:tcBorders>
            <w:shd w:val="clear" w:color="auto" w:fill="00B0F0"/>
            <w:noWrap/>
            <w:vAlign w:val="center"/>
            <w:hideMark/>
          </w:tcPr>
          <w:p w:rsidR="00520B7E" w:rsidRPr="00F2557C" w:rsidRDefault="00520B7E" w:rsidP="00F2557C">
            <w:pPr>
              <w:jc w:val="center"/>
              <w:rPr>
                <w:b/>
                <w:bCs/>
                <w:color w:val="000000"/>
                <w:sz w:val="22"/>
                <w:szCs w:val="22"/>
                <w:lang w:val="es-GT" w:eastAsia="es-GT"/>
              </w:rPr>
            </w:pPr>
            <w:r w:rsidRPr="00F2557C">
              <w:rPr>
                <w:b/>
                <w:bCs/>
                <w:color w:val="000000"/>
                <w:sz w:val="22"/>
                <w:szCs w:val="22"/>
              </w:rPr>
              <w:t>2019</w:t>
            </w:r>
          </w:p>
        </w:tc>
        <w:tc>
          <w:tcPr>
            <w:tcW w:w="851" w:type="dxa"/>
            <w:tcBorders>
              <w:top w:val="single" w:sz="4" w:space="0" w:color="auto"/>
              <w:bottom w:val="single" w:sz="4" w:space="0" w:color="auto"/>
            </w:tcBorders>
            <w:shd w:val="clear" w:color="auto" w:fill="00B0F0"/>
            <w:noWrap/>
            <w:vAlign w:val="center"/>
            <w:hideMark/>
          </w:tcPr>
          <w:p w:rsidR="00520B7E" w:rsidRPr="00F2557C" w:rsidRDefault="00520B7E" w:rsidP="00F2557C">
            <w:pPr>
              <w:jc w:val="center"/>
              <w:rPr>
                <w:b/>
                <w:bCs/>
                <w:color w:val="000000"/>
                <w:sz w:val="22"/>
                <w:szCs w:val="22"/>
                <w:lang w:val="es-GT" w:eastAsia="es-GT"/>
              </w:rPr>
            </w:pPr>
            <w:r w:rsidRPr="00F2557C">
              <w:rPr>
                <w:b/>
                <w:bCs/>
                <w:color w:val="000000"/>
                <w:sz w:val="22"/>
                <w:szCs w:val="22"/>
              </w:rPr>
              <w:t>2020</w:t>
            </w:r>
          </w:p>
        </w:tc>
        <w:tc>
          <w:tcPr>
            <w:tcW w:w="850" w:type="dxa"/>
            <w:tcBorders>
              <w:top w:val="single" w:sz="4" w:space="0" w:color="auto"/>
              <w:bottom w:val="single" w:sz="4" w:space="0" w:color="auto"/>
            </w:tcBorders>
            <w:shd w:val="clear" w:color="auto" w:fill="00B0F0"/>
            <w:noWrap/>
            <w:vAlign w:val="center"/>
            <w:hideMark/>
          </w:tcPr>
          <w:p w:rsidR="00520B7E" w:rsidRPr="00F2557C" w:rsidRDefault="00520B7E" w:rsidP="00F2557C">
            <w:pPr>
              <w:jc w:val="center"/>
              <w:rPr>
                <w:b/>
                <w:bCs/>
                <w:color w:val="000000"/>
                <w:sz w:val="22"/>
                <w:szCs w:val="22"/>
                <w:lang w:val="es-GT" w:eastAsia="es-GT"/>
              </w:rPr>
            </w:pPr>
            <w:r w:rsidRPr="00F2557C">
              <w:rPr>
                <w:b/>
                <w:bCs/>
                <w:color w:val="000000"/>
                <w:sz w:val="22"/>
                <w:szCs w:val="22"/>
              </w:rPr>
              <w:t>2021</w:t>
            </w:r>
          </w:p>
        </w:tc>
      </w:tr>
      <w:tr w:rsidR="00592A11" w:rsidRPr="00713CAB" w:rsidTr="00592A11">
        <w:trPr>
          <w:trHeight w:val="193"/>
        </w:trPr>
        <w:tc>
          <w:tcPr>
            <w:tcW w:w="5544" w:type="dxa"/>
            <w:tcBorders>
              <w:top w:val="single" w:sz="4" w:space="0" w:color="auto"/>
            </w:tcBorders>
            <w:shd w:val="clear" w:color="000000" w:fill="auto"/>
            <w:noWrap/>
            <w:vAlign w:val="bottom"/>
            <w:hideMark/>
          </w:tcPr>
          <w:p w:rsidR="00520B7E" w:rsidRPr="00F2557C" w:rsidRDefault="00520B7E" w:rsidP="0025776C">
            <w:pPr>
              <w:rPr>
                <w:b/>
                <w:bCs/>
                <w:color w:val="000000"/>
                <w:sz w:val="20"/>
                <w:szCs w:val="20"/>
                <w:lang w:val="es-GT" w:eastAsia="es-GT"/>
              </w:rPr>
            </w:pPr>
            <w:r w:rsidRPr="00F2557C">
              <w:rPr>
                <w:b/>
                <w:bCs/>
                <w:color w:val="000000"/>
                <w:sz w:val="20"/>
                <w:szCs w:val="20"/>
              </w:rPr>
              <w:t>Producto Mundial</w:t>
            </w:r>
          </w:p>
        </w:tc>
        <w:tc>
          <w:tcPr>
            <w:tcW w:w="850" w:type="dxa"/>
            <w:tcBorders>
              <w:top w:val="single" w:sz="4" w:space="0" w:color="auto"/>
            </w:tcBorders>
            <w:shd w:val="clear" w:color="000000" w:fill="auto"/>
            <w:noWrap/>
            <w:vAlign w:val="bottom"/>
            <w:hideMark/>
          </w:tcPr>
          <w:p w:rsidR="00520B7E" w:rsidRPr="00F2557C" w:rsidRDefault="00520B7E" w:rsidP="00F2557C">
            <w:pPr>
              <w:jc w:val="center"/>
              <w:rPr>
                <w:b/>
                <w:bCs/>
                <w:color w:val="000000"/>
                <w:sz w:val="20"/>
                <w:szCs w:val="20"/>
              </w:rPr>
            </w:pPr>
            <w:r w:rsidRPr="00F2557C">
              <w:rPr>
                <w:b/>
                <w:bCs/>
                <w:color w:val="000000"/>
                <w:sz w:val="20"/>
                <w:szCs w:val="20"/>
              </w:rPr>
              <w:t>3.6</w:t>
            </w:r>
          </w:p>
        </w:tc>
        <w:tc>
          <w:tcPr>
            <w:tcW w:w="992" w:type="dxa"/>
            <w:tcBorders>
              <w:top w:val="single" w:sz="4" w:space="0" w:color="auto"/>
            </w:tcBorders>
            <w:shd w:val="clear" w:color="000000" w:fill="auto"/>
            <w:noWrap/>
            <w:vAlign w:val="bottom"/>
            <w:hideMark/>
          </w:tcPr>
          <w:p w:rsidR="00520B7E" w:rsidRPr="00F2557C" w:rsidRDefault="00520B7E" w:rsidP="00F2557C">
            <w:pPr>
              <w:jc w:val="center"/>
              <w:rPr>
                <w:b/>
                <w:bCs/>
                <w:color w:val="000000"/>
                <w:sz w:val="20"/>
                <w:szCs w:val="20"/>
              </w:rPr>
            </w:pPr>
            <w:r w:rsidRPr="00F2557C">
              <w:rPr>
                <w:b/>
                <w:bCs/>
                <w:color w:val="000000"/>
                <w:sz w:val="20"/>
                <w:szCs w:val="20"/>
              </w:rPr>
              <w:t>2.9</w:t>
            </w:r>
          </w:p>
        </w:tc>
        <w:tc>
          <w:tcPr>
            <w:tcW w:w="851" w:type="dxa"/>
            <w:tcBorders>
              <w:top w:val="single" w:sz="4" w:space="0" w:color="auto"/>
            </w:tcBorders>
            <w:shd w:val="clear" w:color="000000" w:fill="auto"/>
            <w:noWrap/>
            <w:vAlign w:val="bottom"/>
            <w:hideMark/>
          </w:tcPr>
          <w:p w:rsidR="00520B7E" w:rsidRPr="00F2557C" w:rsidRDefault="00520B7E" w:rsidP="00F2557C">
            <w:pPr>
              <w:jc w:val="center"/>
              <w:rPr>
                <w:b/>
                <w:bCs/>
                <w:color w:val="000000"/>
                <w:sz w:val="20"/>
                <w:szCs w:val="20"/>
              </w:rPr>
            </w:pPr>
            <w:r w:rsidRPr="00F2557C">
              <w:rPr>
                <w:b/>
                <w:bCs/>
                <w:color w:val="000000"/>
                <w:sz w:val="20"/>
                <w:szCs w:val="20"/>
              </w:rPr>
              <w:t>-4.9</w:t>
            </w:r>
          </w:p>
        </w:tc>
        <w:tc>
          <w:tcPr>
            <w:tcW w:w="850" w:type="dxa"/>
            <w:tcBorders>
              <w:top w:val="single" w:sz="4" w:space="0" w:color="auto"/>
            </w:tcBorders>
            <w:shd w:val="clear" w:color="000000" w:fill="auto"/>
            <w:noWrap/>
            <w:vAlign w:val="bottom"/>
            <w:hideMark/>
          </w:tcPr>
          <w:p w:rsidR="00520B7E" w:rsidRPr="00F2557C" w:rsidRDefault="00520B7E" w:rsidP="00F2557C">
            <w:pPr>
              <w:jc w:val="center"/>
              <w:rPr>
                <w:b/>
                <w:bCs/>
                <w:color w:val="000000"/>
                <w:sz w:val="20"/>
                <w:szCs w:val="20"/>
              </w:rPr>
            </w:pPr>
            <w:r w:rsidRPr="00F2557C">
              <w:rPr>
                <w:b/>
                <w:bCs/>
                <w:color w:val="000000"/>
                <w:sz w:val="20"/>
                <w:szCs w:val="20"/>
              </w:rPr>
              <w:t>5.4</w:t>
            </w:r>
          </w:p>
        </w:tc>
      </w:tr>
      <w:tr w:rsidR="00592A11" w:rsidRPr="00713CAB" w:rsidTr="00592A11">
        <w:trPr>
          <w:trHeight w:val="193"/>
        </w:trPr>
        <w:tc>
          <w:tcPr>
            <w:tcW w:w="5544" w:type="dxa"/>
            <w:shd w:val="clear" w:color="000000" w:fill="auto"/>
            <w:noWrap/>
            <w:vAlign w:val="bottom"/>
            <w:hideMark/>
          </w:tcPr>
          <w:p w:rsidR="00520B7E" w:rsidRPr="00F2557C" w:rsidRDefault="00520B7E" w:rsidP="0025776C">
            <w:pPr>
              <w:rPr>
                <w:b/>
                <w:bCs/>
                <w:color w:val="000000"/>
                <w:sz w:val="20"/>
                <w:szCs w:val="20"/>
                <w:lang w:val="es-GT" w:eastAsia="es-GT"/>
              </w:rPr>
            </w:pPr>
            <w:r w:rsidRPr="00F2557C">
              <w:rPr>
                <w:b/>
                <w:bCs/>
                <w:color w:val="000000"/>
                <w:sz w:val="20"/>
                <w:szCs w:val="20"/>
              </w:rPr>
              <w:t>Economías Avanzadas</w:t>
            </w:r>
          </w:p>
        </w:tc>
        <w:tc>
          <w:tcPr>
            <w:tcW w:w="850" w:type="dxa"/>
            <w:shd w:val="clear" w:color="000000" w:fill="auto"/>
            <w:noWrap/>
            <w:vAlign w:val="center"/>
            <w:hideMark/>
          </w:tcPr>
          <w:p w:rsidR="00520B7E" w:rsidRPr="00F2557C" w:rsidRDefault="00520B7E" w:rsidP="00F2557C">
            <w:pPr>
              <w:jc w:val="center"/>
              <w:rPr>
                <w:b/>
                <w:bCs/>
                <w:color w:val="000000"/>
                <w:sz w:val="20"/>
                <w:szCs w:val="20"/>
              </w:rPr>
            </w:pPr>
            <w:r w:rsidRPr="00F2557C">
              <w:rPr>
                <w:b/>
                <w:bCs/>
                <w:color w:val="000000"/>
                <w:sz w:val="20"/>
                <w:szCs w:val="20"/>
              </w:rPr>
              <w:t>2.2</w:t>
            </w:r>
          </w:p>
        </w:tc>
        <w:tc>
          <w:tcPr>
            <w:tcW w:w="992" w:type="dxa"/>
            <w:shd w:val="clear" w:color="000000" w:fill="auto"/>
            <w:noWrap/>
            <w:vAlign w:val="center"/>
            <w:hideMark/>
          </w:tcPr>
          <w:p w:rsidR="00520B7E" w:rsidRPr="00F2557C" w:rsidRDefault="00520B7E" w:rsidP="00F2557C">
            <w:pPr>
              <w:jc w:val="center"/>
              <w:rPr>
                <w:b/>
                <w:bCs/>
                <w:color w:val="000000"/>
                <w:sz w:val="20"/>
                <w:szCs w:val="20"/>
              </w:rPr>
            </w:pPr>
            <w:r w:rsidRPr="00F2557C">
              <w:rPr>
                <w:b/>
                <w:bCs/>
                <w:color w:val="000000"/>
                <w:sz w:val="20"/>
                <w:szCs w:val="20"/>
              </w:rPr>
              <w:t>1.7</w:t>
            </w:r>
          </w:p>
        </w:tc>
        <w:tc>
          <w:tcPr>
            <w:tcW w:w="851" w:type="dxa"/>
            <w:shd w:val="clear" w:color="000000" w:fill="auto"/>
            <w:noWrap/>
            <w:vAlign w:val="center"/>
            <w:hideMark/>
          </w:tcPr>
          <w:p w:rsidR="00520B7E" w:rsidRPr="00F2557C" w:rsidRDefault="00520B7E" w:rsidP="00F2557C">
            <w:pPr>
              <w:jc w:val="center"/>
              <w:rPr>
                <w:b/>
                <w:bCs/>
                <w:color w:val="000000"/>
                <w:sz w:val="20"/>
                <w:szCs w:val="20"/>
              </w:rPr>
            </w:pPr>
            <w:r w:rsidRPr="00F2557C">
              <w:rPr>
                <w:b/>
                <w:bCs/>
                <w:color w:val="000000"/>
                <w:sz w:val="20"/>
                <w:szCs w:val="20"/>
              </w:rPr>
              <w:t>-8</w:t>
            </w:r>
            <w:r w:rsidR="00994565">
              <w:rPr>
                <w:b/>
                <w:bCs/>
                <w:color w:val="000000"/>
                <w:sz w:val="20"/>
                <w:szCs w:val="20"/>
              </w:rPr>
              <w:t>.0</w:t>
            </w:r>
          </w:p>
        </w:tc>
        <w:tc>
          <w:tcPr>
            <w:tcW w:w="850" w:type="dxa"/>
            <w:shd w:val="clear" w:color="000000" w:fill="auto"/>
            <w:noWrap/>
            <w:vAlign w:val="center"/>
            <w:hideMark/>
          </w:tcPr>
          <w:p w:rsidR="00520B7E" w:rsidRPr="00F2557C" w:rsidRDefault="00520B7E" w:rsidP="00F2557C">
            <w:pPr>
              <w:jc w:val="center"/>
              <w:rPr>
                <w:b/>
                <w:bCs/>
                <w:color w:val="000000"/>
                <w:sz w:val="20"/>
                <w:szCs w:val="20"/>
              </w:rPr>
            </w:pPr>
            <w:r w:rsidRPr="00F2557C">
              <w:rPr>
                <w:b/>
                <w:bCs/>
                <w:color w:val="000000"/>
                <w:sz w:val="20"/>
                <w:szCs w:val="20"/>
              </w:rPr>
              <w:t>4.8</w:t>
            </w:r>
          </w:p>
        </w:tc>
      </w:tr>
      <w:tr w:rsidR="00592A11" w:rsidRPr="00713CAB" w:rsidTr="00592A11">
        <w:trPr>
          <w:trHeight w:val="193"/>
        </w:trPr>
        <w:tc>
          <w:tcPr>
            <w:tcW w:w="5544" w:type="dxa"/>
            <w:shd w:val="clear" w:color="000000" w:fill="auto"/>
            <w:noWrap/>
            <w:vAlign w:val="bottom"/>
            <w:hideMark/>
          </w:tcPr>
          <w:p w:rsidR="00520B7E" w:rsidRPr="00F2557C" w:rsidRDefault="00520B7E" w:rsidP="00F2557C">
            <w:pPr>
              <w:ind w:firstLineChars="100" w:firstLine="200"/>
              <w:rPr>
                <w:b/>
                <w:color w:val="000000"/>
                <w:sz w:val="20"/>
                <w:szCs w:val="20"/>
                <w:lang w:val="es-GT" w:eastAsia="es-GT"/>
              </w:rPr>
            </w:pPr>
            <w:r w:rsidRPr="00F2557C">
              <w:rPr>
                <w:color w:val="000000"/>
                <w:sz w:val="20"/>
                <w:szCs w:val="20"/>
              </w:rPr>
              <w:t>Estados Unidos</w:t>
            </w:r>
          </w:p>
        </w:tc>
        <w:tc>
          <w:tcPr>
            <w:tcW w:w="850" w:type="dxa"/>
            <w:shd w:val="clear" w:color="000000" w:fill="auto"/>
            <w:noWrap/>
            <w:vAlign w:val="bottom"/>
            <w:hideMark/>
          </w:tcPr>
          <w:p w:rsidR="00520B7E" w:rsidRPr="00F2557C" w:rsidRDefault="00520B7E" w:rsidP="00F2557C">
            <w:pPr>
              <w:jc w:val="center"/>
              <w:rPr>
                <w:b/>
                <w:color w:val="000000"/>
                <w:sz w:val="20"/>
                <w:szCs w:val="20"/>
              </w:rPr>
            </w:pPr>
            <w:r w:rsidRPr="00F2557C">
              <w:rPr>
                <w:color w:val="000000"/>
                <w:sz w:val="20"/>
                <w:szCs w:val="20"/>
              </w:rPr>
              <w:t>2.9</w:t>
            </w:r>
          </w:p>
        </w:tc>
        <w:tc>
          <w:tcPr>
            <w:tcW w:w="992" w:type="dxa"/>
            <w:shd w:val="clear" w:color="000000" w:fill="auto"/>
            <w:noWrap/>
            <w:vAlign w:val="bottom"/>
            <w:hideMark/>
          </w:tcPr>
          <w:p w:rsidR="00520B7E" w:rsidRPr="00F2557C" w:rsidRDefault="00520B7E" w:rsidP="00F2557C">
            <w:pPr>
              <w:jc w:val="center"/>
              <w:rPr>
                <w:b/>
                <w:color w:val="000000"/>
                <w:sz w:val="20"/>
                <w:szCs w:val="20"/>
              </w:rPr>
            </w:pPr>
            <w:r w:rsidRPr="00F2557C">
              <w:rPr>
                <w:color w:val="000000"/>
                <w:sz w:val="20"/>
                <w:szCs w:val="20"/>
              </w:rPr>
              <w:t>2.3</w:t>
            </w:r>
          </w:p>
        </w:tc>
        <w:tc>
          <w:tcPr>
            <w:tcW w:w="851" w:type="dxa"/>
            <w:shd w:val="clear" w:color="000000" w:fill="auto"/>
            <w:noWrap/>
            <w:vAlign w:val="bottom"/>
            <w:hideMark/>
          </w:tcPr>
          <w:p w:rsidR="00520B7E" w:rsidRPr="00F2557C" w:rsidRDefault="00520B7E" w:rsidP="00F2557C">
            <w:pPr>
              <w:jc w:val="center"/>
              <w:rPr>
                <w:b/>
                <w:color w:val="000000"/>
                <w:sz w:val="20"/>
                <w:szCs w:val="20"/>
              </w:rPr>
            </w:pPr>
            <w:r w:rsidRPr="00F2557C">
              <w:rPr>
                <w:color w:val="000000"/>
                <w:sz w:val="20"/>
                <w:szCs w:val="20"/>
              </w:rPr>
              <w:t>-8</w:t>
            </w:r>
            <w:r w:rsidR="00994565">
              <w:rPr>
                <w:color w:val="000000"/>
                <w:sz w:val="20"/>
                <w:szCs w:val="20"/>
              </w:rPr>
              <w:t>.0</w:t>
            </w:r>
          </w:p>
        </w:tc>
        <w:tc>
          <w:tcPr>
            <w:tcW w:w="850" w:type="dxa"/>
            <w:shd w:val="clear" w:color="000000" w:fill="auto"/>
            <w:noWrap/>
            <w:vAlign w:val="bottom"/>
            <w:hideMark/>
          </w:tcPr>
          <w:p w:rsidR="00520B7E" w:rsidRPr="00F2557C" w:rsidRDefault="00520B7E" w:rsidP="00F2557C">
            <w:pPr>
              <w:jc w:val="center"/>
              <w:rPr>
                <w:b/>
                <w:color w:val="000000"/>
                <w:sz w:val="20"/>
                <w:szCs w:val="20"/>
              </w:rPr>
            </w:pPr>
            <w:r w:rsidRPr="00F2557C">
              <w:rPr>
                <w:color w:val="000000"/>
                <w:sz w:val="20"/>
                <w:szCs w:val="20"/>
              </w:rPr>
              <w:t>4.5</w:t>
            </w:r>
          </w:p>
        </w:tc>
      </w:tr>
      <w:tr w:rsidR="00592A11" w:rsidRPr="00713CAB" w:rsidTr="00592A11">
        <w:trPr>
          <w:trHeight w:val="193"/>
        </w:trPr>
        <w:tc>
          <w:tcPr>
            <w:tcW w:w="5544" w:type="dxa"/>
            <w:shd w:val="clear" w:color="000000" w:fill="auto"/>
            <w:noWrap/>
            <w:vAlign w:val="bottom"/>
            <w:hideMark/>
          </w:tcPr>
          <w:p w:rsidR="00520B7E" w:rsidRPr="00F2557C" w:rsidRDefault="00520B7E" w:rsidP="00F2557C">
            <w:pPr>
              <w:ind w:firstLineChars="100" w:firstLine="200"/>
              <w:rPr>
                <w:b/>
                <w:color w:val="000000"/>
                <w:sz w:val="20"/>
                <w:szCs w:val="20"/>
                <w:lang w:val="es-GT" w:eastAsia="es-GT"/>
              </w:rPr>
            </w:pPr>
            <w:r w:rsidRPr="00F2557C">
              <w:rPr>
                <w:color w:val="000000"/>
                <w:sz w:val="20"/>
                <w:szCs w:val="20"/>
              </w:rPr>
              <w:t>Zona del Euro</w:t>
            </w:r>
          </w:p>
        </w:tc>
        <w:tc>
          <w:tcPr>
            <w:tcW w:w="850" w:type="dxa"/>
            <w:shd w:val="clear" w:color="000000" w:fill="auto"/>
            <w:noWrap/>
            <w:vAlign w:val="bottom"/>
            <w:hideMark/>
          </w:tcPr>
          <w:p w:rsidR="00520B7E" w:rsidRPr="00F2557C" w:rsidRDefault="00520B7E" w:rsidP="00F2557C">
            <w:pPr>
              <w:jc w:val="center"/>
              <w:rPr>
                <w:b/>
                <w:color w:val="000000"/>
                <w:sz w:val="20"/>
                <w:szCs w:val="20"/>
              </w:rPr>
            </w:pPr>
            <w:r w:rsidRPr="00F2557C">
              <w:rPr>
                <w:color w:val="000000"/>
                <w:sz w:val="20"/>
                <w:szCs w:val="20"/>
              </w:rPr>
              <w:t>1.9</w:t>
            </w:r>
          </w:p>
        </w:tc>
        <w:tc>
          <w:tcPr>
            <w:tcW w:w="992" w:type="dxa"/>
            <w:shd w:val="clear" w:color="000000" w:fill="auto"/>
            <w:noWrap/>
            <w:vAlign w:val="bottom"/>
            <w:hideMark/>
          </w:tcPr>
          <w:p w:rsidR="00520B7E" w:rsidRPr="00F2557C" w:rsidRDefault="00520B7E" w:rsidP="00F2557C">
            <w:pPr>
              <w:jc w:val="center"/>
              <w:rPr>
                <w:b/>
                <w:color w:val="000000"/>
                <w:sz w:val="20"/>
                <w:szCs w:val="20"/>
              </w:rPr>
            </w:pPr>
            <w:r w:rsidRPr="00F2557C">
              <w:rPr>
                <w:color w:val="000000"/>
                <w:sz w:val="20"/>
                <w:szCs w:val="20"/>
              </w:rPr>
              <w:t>1.3</w:t>
            </w:r>
          </w:p>
        </w:tc>
        <w:tc>
          <w:tcPr>
            <w:tcW w:w="851" w:type="dxa"/>
            <w:shd w:val="clear" w:color="000000" w:fill="auto"/>
            <w:noWrap/>
            <w:vAlign w:val="bottom"/>
            <w:hideMark/>
          </w:tcPr>
          <w:p w:rsidR="00520B7E" w:rsidRPr="00F2557C" w:rsidRDefault="00520B7E" w:rsidP="00F2557C">
            <w:pPr>
              <w:jc w:val="center"/>
              <w:rPr>
                <w:b/>
                <w:color w:val="000000"/>
                <w:sz w:val="20"/>
                <w:szCs w:val="20"/>
              </w:rPr>
            </w:pPr>
            <w:r w:rsidRPr="00F2557C">
              <w:rPr>
                <w:color w:val="000000"/>
                <w:sz w:val="20"/>
                <w:szCs w:val="20"/>
              </w:rPr>
              <w:t>-10.2</w:t>
            </w:r>
          </w:p>
        </w:tc>
        <w:tc>
          <w:tcPr>
            <w:tcW w:w="850" w:type="dxa"/>
            <w:shd w:val="clear" w:color="000000" w:fill="auto"/>
            <w:noWrap/>
            <w:vAlign w:val="bottom"/>
            <w:hideMark/>
          </w:tcPr>
          <w:p w:rsidR="00520B7E" w:rsidRPr="00F2557C" w:rsidRDefault="00520B7E" w:rsidP="00F2557C">
            <w:pPr>
              <w:jc w:val="center"/>
              <w:rPr>
                <w:b/>
                <w:color w:val="000000"/>
                <w:sz w:val="20"/>
                <w:szCs w:val="20"/>
              </w:rPr>
            </w:pPr>
            <w:r w:rsidRPr="00F2557C">
              <w:rPr>
                <w:color w:val="000000"/>
                <w:sz w:val="20"/>
                <w:szCs w:val="20"/>
              </w:rPr>
              <w:t>6</w:t>
            </w:r>
            <w:r w:rsidR="00994565">
              <w:rPr>
                <w:color w:val="000000"/>
                <w:sz w:val="20"/>
                <w:szCs w:val="20"/>
              </w:rPr>
              <w:t>.0</w:t>
            </w:r>
          </w:p>
        </w:tc>
      </w:tr>
      <w:tr w:rsidR="00592A11" w:rsidRPr="00713CAB" w:rsidTr="00592A11">
        <w:trPr>
          <w:trHeight w:val="193"/>
        </w:trPr>
        <w:tc>
          <w:tcPr>
            <w:tcW w:w="5544" w:type="dxa"/>
            <w:shd w:val="clear" w:color="000000" w:fill="auto"/>
            <w:noWrap/>
            <w:vAlign w:val="bottom"/>
            <w:hideMark/>
          </w:tcPr>
          <w:p w:rsidR="00520B7E" w:rsidRPr="00F2557C" w:rsidRDefault="00520B7E" w:rsidP="00F2557C">
            <w:pPr>
              <w:ind w:firstLineChars="200" w:firstLine="400"/>
              <w:rPr>
                <w:color w:val="000000"/>
                <w:sz w:val="20"/>
                <w:szCs w:val="20"/>
                <w:lang w:val="es-GT" w:eastAsia="es-GT"/>
              </w:rPr>
            </w:pPr>
            <w:r w:rsidRPr="00F2557C">
              <w:rPr>
                <w:color w:val="000000"/>
                <w:sz w:val="20"/>
                <w:szCs w:val="20"/>
              </w:rPr>
              <w:t>Alemania</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1.5</w:t>
            </w:r>
          </w:p>
        </w:tc>
        <w:tc>
          <w:tcPr>
            <w:tcW w:w="992"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0.6</w:t>
            </w:r>
          </w:p>
        </w:tc>
        <w:tc>
          <w:tcPr>
            <w:tcW w:w="851"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-7.8</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5.4</w:t>
            </w:r>
          </w:p>
        </w:tc>
      </w:tr>
      <w:tr w:rsidR="00592A11" w:rsidRPr="00713CAB" w:rsidTr="00592A11">
        <w:trPr>
          <w:trHeight w:val="193"/>
        </w:trPr>
        <w:tc>
          <w:tcPr>
            <w:tcW w:w="5544" w:type="dxa"/>
            <w:shd w:val="clear" w:color="000000" w:fill="auto"/>
            <w:noWrap/>
            <w:vAlign w:val="bottom"/>
            <w:hideMark/>
          </w:tcPr>
          <w:p w:rsidR="00520B7E" w:rsidRPr="00F2557C" w:rsidRDefault="00520B7E" w:rsidP="00F2557C">
            <w:pPr>
              <w:ind w:firstLineChars="200" w:firstLine="400"/>
              <w:rPr>
                <w:color w:val="000000"/>
                <w:sz w:val="20"/>
                <w:szCs w:val="20"/>
                <w:lang w:val="es-GT" w:eastAsia="es-GT"/>
              </w:rPr>
            </w:pPr>
            <w:r w:rsidRPr="00F2557C">
              <w:rPr>
                <w:color w:val="000000"/>
                <w:sz w:val="20"/>
                <w:szCs w:val="20"/>
              </w:rPr>
              <w:t>Francia</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1.8</w:t>
            </w:r>
          </w:p>
        </w:tc>
        <w:tc>
          <w:tcPr>
            <w:tcW w:w="992" w:type="dxa"/>
            <w:shd w:val="clear" w:color="000000" w:fill="auto"/>
            <w:noWrap/>
            <w:vAlign w:val="bottom"/>
            <w:hideMark/>
          </w:tcPr>
          <w:p w:rsidR="00520B7E" w:rsidRPr="00F2557C" w:rsidRDefault="00520B7E" w:rsidP="00F2557C">
            <w:pPr>
              <w:jc w:val="center"/>
              <w:rPr>
                <w:b/>
                <w:color w:val="000000"/>
                <w:sz w:val="20"/>
                <w:szCs w:val="20"/>
              </w:rPr>
            </w:pPr>
            <w:r w:rsidRPr="00F2557C">
              <w:rPr>
                <w:color w:val="000000"/>
                <w:sz w:val="20"/>
                <w:szCs w:val="20"/>
              </w:rPr>
              <w:t>1.5</w:t>
            </w:r>
          </w:p>
        </w:tc>
        <w:tc>
          <w:tcPr>
            <w:tcW w:w="851"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-12.5</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7.3</w:t>
            </w:r>
          </w:p>
        </w:tc>
      </w:tr>
      <w:tr w:rsidR="00592A11" w:rsidRPr="00713CAB" w:rsidTr="00592A11">
        <w:trPr>
          <w:trHeight w:val="193"/>
        </w:trPr>
        <w:tc>
          <w:tcPr>
            <w:tcW w:w="5544" w:type="dxa"/>
            <w:shd w:val="clear" w:color="000000" w:fill="auto"/>
            <w:noWrap/>
            <w:vAlign w:val="bottom"/>
            <w:hideMark/>
          </w:tcPr>
          <w:p w:rsidR="00520B7E" w:rsidRPr="00F2557C" w:rsidRDefault="00520B7E" w:rsidP="00F2557C">
            <w:pPr>
              <w:ind w:firstLineChars="200" w:firstLine="400"/>
              <w:rPr>
                <w:color w:val="000000"/>
                <w:sz w:val="20"/>
                <w:szCs w:val="20"/>
                <w:lang w:val="es-GT" w:eastAsia="es-GT"/>
              </w:rPr>
            </w:pPr>
            <w:r w:rsidRPr="00F2557C">
              <w:rPr>
                <w:color w:val="000000"/>
                <w:sz w:val="20"/>
                <w:szCs w:val="20"/>
              </w:rPr>
              <w:t xml:space="preserve">Italia </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0.8</w:t>
            </w:r>
          </w:p>
        </w:tc>
        <w:tc>
          <w:tcPr>
            <w:tcW w:w="992"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0.3</w:t>
            </w:r>
          </w:p>
        </w:tc>
        <w:tc>
          <w:tcPr>
            <w:tcW w:w="851"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-12.8</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6.3</w:t>
            </w:r>
          </w:p>
        </w:tc>
      </w:tr>
      <w:tr w:rsidR="00592A11" w:rsidRPr="00713CAB" w:rsidTr="00592A11">
        <w:trPr>
          <w:trHeight w:val="193"/>
        </w:trPr>
        <w:tc>
          <w:tcPr>
            <w:tcW w:w="5544" w:type="dxa"/>
            <w:shd w:val="clear" w:color="000000" w:fill="auto"/>
            <w:noWrap/>
            <w:vAlign w:val="bottom"/>
            <w:hideMark/>
          </w:tcPr>
          <w:p w:rsidR="00520B7E" w:rsidRPr="00F2557C" w:rsidRDefault="00520B7E" w:rsidP="00F2557C">
            <w:pPr>
              <w:ind w:firstLineChars="200" w:firstLine="400"/>
              <w:rPr>
                <w:color w:val="000000"/>
                <w:sz w:val="20"/>
                <w:szCs w:val="20"/>
                <w:lang w:val="es-GT" w:eastAsia="es-GT"/>
              </w:rPr>
            </w:pPr>
            <w:r w:rsidRPr="00F2557C">
              <w:rPr>
                <w:color w:val="000000"/>
                <w:sz w:val="20"/>
                <w:szCs w:val="20"/>
              </w:rPr>
              <w:t>España</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2.4</w:t>
            </w:r>
          </w:p>
        </w:tc>
        <w:tc>
          <w:tcPr>
            <w:tcW w:w="992"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2</w:t>
            </w:r>
            <w:r w:rsidR="00994565">
              <w:rPr>
                <w:color w:val="000000"/>
                <w:sz w:val="20"/>
                <w:szCs w:val="20"/>
              </w:rPr>
              <w:t>.0</w:t>
            </w:r>
          </w:p>
        </w:tc>
        <w:tc>
          <w:tcPr>
            <w:tcW w:w="851"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-12.8</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6.3</w:t>
            </w:r>
          </w:p>
        </w:tc>
      </w:tr>
      <w:tr w:rsidR="00592A11" w:rsidRPr="00713CAB" w:rsidTr="00592A11">
        <w:trPr>
          <w:trHeight w:val="193"/>
        </w:trPr>
        <w:tc>
          <w:tcPr>
            <w:tcW w:w="5544" w:type="dxa"/>
            <w:shd w:val="clear" w:color="000000" w:fill="auto"/>
            <w:noWrap/>
            <w:vAlign w:val="bottom"/>
            <w:hideMark/>
          </w:tcPr>
          <w:p w:rsidR="00520B7E" w:rsidRPr="00F2557C" w:rsidRDefault="00520B7E" w:rsidP="00F2557C">
            <w:pPr>
              <w:ind w:firstLineChars="200" w:firstLine="400"/>
              <w:rPr>
                <w:color w:val="000000"/>
                <w:sz w:val="20"/>
                <w:szCs w:val="20"/>
                <w:lang w:val="es-GT" w:eastAsia="es-GT"/>
              </w:rPr>
            </w:pPr>
            <w:r w:rsidRPr="00F2557C">
              <w:rPr>
                <w:color w:val="000000"/>
                <w:sz w:val="20"/>
                <w:szCs w:val="20"/>
              </w:rPr>
              <w:t>Japón</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0.3</w:t>
            </w:r>
          </w:p>
        </w:tc>
        <w:tc>
          <w:tcPr>
            <w:tcW w:w="992"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0.7</w:t>
            </w:r>
          </w:p>
        </w:tc>
        <w:tc>
          <w:tcPr>
            <w:tcW w:w="851"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-5.8</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2.4</w:t>
            </w:r>
          </w:p>
        </w:tc>
      </w:tr>
      <w:tr w:rsidR="00592A11" w:rsidRPr="00713CAB" w:rsidTr="00592A11">
        <w:trPr>
          <w:trHeight w:val="193"/>
        </w:trPr>
        <w:tc>
          <w:tcPr>
            <w:tcW w:w="5544" w:type="dxa"/>
            <w:shd w:val="clear" w:color="000000" w:fill="auto"/>
            <w:noWrap/>
            <w:vAlign w:val="bottom"/>
            <w:hideMark/>
          </w:tcPr>
          <w:p w:rsidR="00520B7E" w:rsidRPr="00F2557C" w:rsidRDefault="00520B7E" w:rsidP="0025776C">
            <w:pPr>
              <w:rPr>
                <w:b/>
                <w:bCs/>
                <w:color w:val="000000"/>
                <w:sz w:val="20"/>
                <w:szCs w:val="20"/>
                <w:lang w:val="es-GT" w:eastAsia="es-GT"/>
              </w:rPr>
            </w:pPr>
            <w:r w:rsidRPr="00F2557C">
              <w:rPr>
                <w:b/>
                <w:bCs/>
                <w:color w:val="000000"/>
                <w:sz w:val="20"/>
                <w:szCs w:val="20"/>
              </w:rPr>
              <w:t>Economías Emergentes y en Desarrollo</w:t>
            </w:r>
          </w:p>
        </w:tc>
        <w:tc>
          <w:tcPr>
            <w:tcW w:w="850" w:type="dxa"/>
            <w:shd w:val="clear" w:color="000000" w:fill="auto"/>
            <w:noWrap/>
            <w:vAlign w:val="bottom"/>
            <w:hideMark/>
          </w:tcPr>
          <w:p w:rsidR="00520B7E" w:rsidRPr="00F2557C" w:rsidRDefault="00520B7E" w:rsidP="00F2557C">
            <w:pPr>
              <w:jc w:val="center"/>
              <w:rPr>
                <w:b/>
                <w:bCs/>
                <w:color w:val="000000"/>
                <w:sz w:val="20"/>
                <w:szCs w:val="20"/>
              </w:rPr>
            </w:pPr>
            <w:r w:rsidRPr="00F2557C">
              <w:rPr>
                <w:b/>
                <w:bCs/>
                <w:color w:val="000000"/>
                <w:sz w:val="20"/>
                <w:szCs w:val="20"/>
              </w:rPr>
              <w:t>4.5</w:t>
            </w:r>
          </w:p>
        </w:tc>
        <w:tc>
          <w:tcPr>
            <w:tcW w:w="992" w:type="dxa"/>
            <w:shd w:val="clear" w:color="000000" w:fill="FFFFFF"/>
            <w:noWrap/>
            <w:vAlign w:val="bottom"/>
            <w:hideMark/>
          </w:tcPr>
          <w:p w:rsidR="00520B7E" w:rsidRPr="00F2557C" w:rsidRDefault="00520B7E" w:rsidP="00F2557C">
            <w:pPr>
              <w:jc w:val="center"/>
              <w:rPr>
                <w:b/>
                <w:bCs/>
                <w:color w:val="000000"/>
                <w:sz w:val="20"/>
                <w:szCs w:val="20"/>
              </w:rPr>
            </w:pPr>
            <w:r w:rsidRPr="00F2557C">
              <w:rPr>
                <w:b/>
                <w:bCs/>
                <w:color w:val="000000"/>
                <w:sz w:val="20"/>
                <w:szCs w:val="20"/>
              </w:rPr>
              <w:t>3.7</w:t>
            </w:r>
          </w:p>
        </w:tc>
        <w:tc>
          <w:tcPr>
            <w:tcW w:w="851" w:type="dxa"/>
            <w:shd w:val="clear" w:color="000000" w:fill="auto"/>
            <w:noWrap/>
            <w:vAlign w:val="bottom"/>
            <w:hideMark/>
          </w:tcPr>
          <w:p w:rsidR="00520B7E" w:rsidRPr="00F2557C" w:rsidRDefault="00520B7E" w:rsidP="00F2557C">
            <w:pPr>
              <w:jc w:val="center"/>
              <w:rPr>
                <w:b/>
                <w:bCs/>
                <w:color w:val="000000"/>
                <w:sz w:val="20"/>
                <w:szCs w:val="20"/>
              </w:rPr>
            </w:pPr>
            <w:r w:rsidRPr="00F2557C">
              <w:rPr>
                <w:b/>
                <w:bCs/>
                <w:color w:val="000000"/>
                <w:sz w:val="20"/>
                <w:szCs w:val="20"/>
              </w:rPr>
              <w:t>-3</w:t>
            </w:r>
            <w:r w:rsidR="00E019B1">
              <w:rPr>
                <w:b/>
                <w:bCs/>
                <w:color w:val="000000"/>
                <w:sz w:val="20"/>
                <w:szCs w:val="20"/>
              </w:rPr>
              <w:t>.0</w:t>
            </w:r>
          </w:p>
        </w:tc>
        <w:tc>
          <w:tcPr>
            <w:tcW w:w="850" w:type="dxa"/>
            <w:shd w:val="clear" w:color="000000" w:fill="FFFFFF"/>
            <w:noWrap/>
            <w:vAlign w:val="bottom"/>
            <w:hideMark/>
          </w:tcPr>
          <w:p w:rsidR="00520B7E" w:rsidRPr="00F2557C" w:rsidRDefault="00520B7E" w:rsidP="00F2557C">
            <w:pPr>
              <w:jc w:val="center"/>
              <w:rPr>
                <w:b/>
                <w:bCs/>
                <w:color w:val="000000"/>
                <w:sz w:val="20"/>
                <w:szCs w:val="20"/>
              </w:rPr>
            </w:pPr>
            <w:r w:rsidRPr="00F2557C">
              <w:rPr>
                <w:b/>
                <w:bCs/>
                <w:color w:val="000000"/>
                <w:sz w:val="20"/>
                <w:szCs w:val="20"/>
              </w:rPr>
              <w:t>5.9</w:t>
            </w:r>
          </w:p>
        </w:tc>
      </w:tr>
      <w:tr w:rsidR="00592A11" w:rsidRPr="00713CAB" w:rsidTr="00592A11">
        <w:trPr>
          <w:trHeight w:val="193"/>
        </w:trPr>
        <w:tc>
          <w:tcPr>
            <w:tcW w:w="5544" w:type="dxa"/>
            <w:shd w:val="clear" w:color="000000" w:fill="auto"/>
            <w:noWrap/>
            <w:vAlign w:val="bottom"/>
            <w:hideMark/>
          </w:tcPr>
          <w:p w:rsidR="00520B7E" w:rsidRPr="00F2557C" w:rsidRDefault="00520B7E" w:rsidP="00F2557C">
            <w:pPr>
              <w:ind w:firstLineChars="200" w:firstLine="402"/>
              <w:rPr>
                <w:color w:val="000000"/>
                <w:sz w:val="20"/>
                <w:szCs w:val="20"/>
                <w:lang w:val="es-GT" w:eastAsia="es-GT"/>
              </w:rPr>
            </w:pPr>
            <w:r w:rsidRPr="00F2557C">
              <w:rPr>
                <w:b/>
                <w:bCs/>
                <w:color w:val="000000"/>
                <w:sz w:val="20"/>
                <w:szCs w:val="20"/>
              </w:rPr>
              <w:t>Asia</w:t>
            </w:r>
          </w:p>
        </w:tc>
        <w:tc>
          <w:tcPr>
            <w:tcW w:w="850" w:type="dxa"/>
            <w:shd w:val="clear" w:color="000000" w:fill="auto"/>
            <w:noWrap/>
            <w:vAlign w:val="center"/>
            <w:hideMark/>
          </w:tcPr>
          <w:p w:rsidR="00520B7E" w:rsidRPr="00F2557C" w:rsidRDefault="00520B7E" w:rsidP="00F2557C">
            <w:pPr>
              <w:jc w:val="center"/>
              <w:rPr>
                <w:color w:val="000000"/>
                <w:sz w:val="20"/>
                <w:szCs w:val="20"/>
              </w:rPr>
            </w:pPr>
            <w:r w:rsidRPr="00F2557C">
              <w:rPr>
                <w:b/>
                <w:bCs/>
                <w:color w:val="000000"/>
                <w:sz w:val="20"/>
                <w:szCs w:val="20"/>
              </w:rPr>
              <w:t>6.3</w:t>
            </w:r>
          </w:p>
        </w:tc>
        <w:tc>
          <w:tcPr>
            <w:tcW w:w="992" w:type="dxa"/>
            <w:shd w:val="clear" w:color="000000" w:fill="FFFFFF"/>
            <w:noWrap/>
            <w:vAlign w:val="center"/>
            <w:hideMark/>
          </w:tcPr>
          <w:p w:rsidR="00520B7E" w:rsidRPr="00F2557C" w:rsidRDefault="00520B7E" w:rsidP="00F2557C">
            <w:pPr>
              <w:jc w:val="center"/>
              <w:rPr>
                <w:color w:val="000000"/>
                <w:sz w:val="20"/>
                <w:szCs w:val="20"/>
              </w:rPr>
            </w:pPr>
            <w:r w:rsidRPr="00F2557C">
              <w:rPr>
                <w:b/>
                <w:bCs/>
                <w:color w:val="000000"/>
                <w:sz w:val="20"/>
                <w:szCs w:val="20"/>
              </w:rPr>
              <w:t>5.5</w:t>
            </w:r>
          </w:p>
        </w:tc>
        <w:tc>
          <w:tcPr>
            <w:tcW w:w="851" w:type="dxa"/>
            <w:shd w:val="clear" w:color="000000" w:fill="auto"/>
            <w:noWrap/>
            <w:vAlign w:val="center"/>
            <w:hideMark/>
          </w:tcPr>
          <w:p w:rsidR="00520B7E" w:rsidRPr="00F2557C" w:rsidRDefault="00520B7E" w:rsidP="00F2557C">
            <w:pPr>
              <w:jc w:val="center"/>
              <w:rPr>
                <w:color w:val="000000"/>
                <w:sz w:val="20"/>
                <w:szCs w:val="20"/>
              </w:rPr>
            </w:pPr>
            <w:r w:rsidRPr="00F2557C">
              <w:rPr>
                <w:b/>
                <w:bCs/>
                <w:color w:val="000000"/>
                <w:sz w:val="20"/>
                <w:szCs w:val="20"/>
              </w:rPr>
              <w:t>-0.8</w:t>
            </w:r>
          </w:p>
        </w:tc>
        <w:tc>
          <w:tcPr>
            <w:tcW w:w="850" w:type="dxa"/>
            <w:shd w:val="clear" w:color="000000" w:fill="FFFFFF"/>
            <w:noWrap/>
            <w:vAlign w:val="center"/>
            <w:hideMark/>
          </w:tcPr>
          <w:p w:rsidR="00520B7E" w:rsidRPr="00F2557C" w:rsidRDefault="00520B7E" w:rsidP="00F2557C">
            <w:pPr>
              <w:jc w:val="center"/>
              <w:rPr>
                <w:color w:val="000000"/>
                <w:sz w:val="20"/>
                <w:szCs w:val="20"/>
              </w:rPr>
            </w:pPr>
            <w:r w:rsidRPr="00F2557C">
              <w:rPr>
                <w:b/>
                <w:bCs/>
                <w:color w:val="000000"/>
                <w:sz w:val="20"/>
                <w:szCs w:val="20"/>
              </w:rPr>
              <w:t>7.4</w:t>
            </w:r>
          </w:p>
        </w:tc>
      </w:tr>
      <w:tr w:rsidR="00592A11" w:rsidRPr="00713CAB" w:rsidTr="00592A11">
        <w:trPr>
          <w:trHeight w:val="193"/>
        </w:trPr>
        <w:tc>
          <w:tcPr>
            <w:tcW w:w="5544" w:type="dxa"/>
            <w:shd w:val="clear" w:color="000000" w:fill="auto"/>
            <w:noWrap/>
            <w:vAlign w:val="bottom"/>
            <w:hideMark/>
          </w:tcPr>
          <w:p w:rsidR="00520B7E" w:rsidRPr="00F2557C" w:rsidRDefault="00520B7E" w:rsidP="00F2557C">
            <w:pPr>
              <w:ind w:firstLineChars="200" w:firstLine="400"/>
              <w:rPr>
                <w:color w:val="000000"/>
                <w:sz w:val="20"/>
                <w:szCs w:val="20"/>
                <w:lang w:val="es-GT" w:eastAsia="es-GT"/>
              </w:rPr>
            </w:pPr>
            <w:r w:rsidRPr="00F2557C">
              <w:rPr>
                <w:color w:val="000000"/>
                <w:sz w:val="20"/>
                <w:szCs w:val="20"/>
              </w:rPr>
              <w:t>China</w:t>
            </w:r>
          </w:p>
        </w:tc>
        <w:tc>
          <w:tcPr>
            <w:tcW w:w="850"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6.7</w:t>
            </w:r>
          </w:p>
        </w:tc>
        <w:tc>
          <w:tcPr>
            <w:tcW w:w="992" w:type="dxa"/>
            <w:shd w:val="clear" w:color="000000" w:fill="FFFFFF"/>
            <w:noWrap/>
            <w:vAlign w:val="bottom"/>
            <w:hideMark/>
          </w:tcPr>
          <w:p w:rsidR="00520B7E" w:rsidRPr="00F2557C" w:rsidRDefault="00520B7E" w:rsidP="00F2557C">
            <w:pPr>
              <w:jc w:val="center"/>
              <w:rPr>
                <w:color w:val="000000"/>
                <w:sz w:val="20"/>
                <w:szCs w:val="20"/>
              </w:rPr>
            </w:pPr>
            <w:r w:rsidRPr="00F2557C">
              <w:rPr>
                <w:color w:val="000000"/>
                <w:sz w:val="20"/>
                <w:szCs w:val="20"/>
              </w:rPr>
              <w:t>6.1</w:t>
            </w:r>
          </w:p>
        </w:tc>
        <w:tc>
          <w:tcPr>
            <w:tcW w:w="851" w:type="dxa"/>
            <w:shd w:val="clear" w:color="000000" w:fill="auto"/>
            <w:noWrap/>
            <w:vAlign w:val="bottom"/>
            <w:hideMark/>
          </w:tcPr>
          <w:p w:rsidR="00520B7E" w:rsidRPr="00F2557C" w:rsidRDefault="00520B7E" w:rsidP="00F2557C">
            <w:pPr>
              <w:jc w:val="center"/>
              <w:rPr>
                <w:color w:val="000000"/>
                <w:sz w:val="20"/>
                <w:szCs w:val="20"/>
              </w:rPr>
            </w:pPr>
            <w:r w:rsidRPr="00F2557C">
              <w:rPr>
                <w:color w:val="000000"/>
                <w:sz w:val="20"/>
                <w:szCs w:val="20"/>
              </w:rPr>
              <w:t>1</w:t>
            </w:r>
            <w:r w:rsidR="00994565">
              <w:rPr>
                <w:color w:val="000000"/>
                <w:sz w:val="20"/>
                <w:szCs w:val="20"/>
              </w:rPr>
              <w:t>.0</w:t>
            </w:r>
          </w:p>
        </w:tc>
        <w:tc>
          <w:tcPr>
            <w:tcW w:w="850" w:type="dxa"/>
            <w:shd w:val="clear" w:color="000000" w:fill="FFFFFF"/>
            <w:noWrap/>
            <w:vAlign w:val="bottom"/>
            <w:hideMark/>
          </w:tcPr>
          <w:p w:rsidR="00520B7E" w:rsidRPr="00F2557C" w:rsidRDefault="00520B7E" w:rsidP="00F2557C">
            <w:pPr>
              <w:jc w:val="center"/>
              <w:rPr>
                <w:color w:val="000000"/>
                <w:sz w:val="20"/>
                <w:szCs w:val="20"/>
              </w:rPr>
            </w:pPr>
            <w:r w:rsidRPr="00F2557C">
              <w:rPr>
                <w:color w:val="000000"/>
                <w:sz w:val="20"/>
                <w:szCs w:val="20"/>
              </w:rPr>
              <w:t>8.2</w:t>
            </w:r>
          </w:p>
        </w:tc>
      </w:tr>
      <w:tr w:rsidR="00592A11" w:rsidRPr="00713CAB" w:rsidTr="00592A11">
        <w:trPr>
          <w:trHeight w:val="193"/>
        </w:trPr>
        <w:tc>
          <w:tcPr>
            <w:tcW w:w="5544" w:type="dxa"/>
            <w:shd w:val="clear" w:color="000000" w:fill="auto"/>
            <w:noWrap/>
            <w:vAlign w:val="bottom"/>
            <w:hideMark/>
          </w:tcPr>
          <w:p w:rsidR="00520B7E" w:rsidRPr="00F2557C" w:rsidRDefault="00520B7E" w:rsidP="0025776C">
            <w:pPr>
              <w:rPr>
                <w:b/>
                <w:bCs/>
                <w:color w:val="000000"/>
                <w:sz w:val="20"/>
                <w:szCs w:val="20"/>
                <w:lang w:val="es-GT" w:eastAsia="es-GT"/>
              </w:rPr>
            </w:pPr>
            <w:r w:rsidRPr="00F2557C">
              <w:rPr>
                <w:color w:val="000000"/>
                <w:sz w:val="20"/>
                <w:szCs w:val="20"/>
              </w:rPr>
              <w:t xml:space="preserve">         India</w:t>
            </w:r>
          </w:p>
        </w:tc>
        <w:tc>
          <w:tcPr>
            <w:tcW w:w="850" w:type="dxa"/>
            <w:shd w:val="clear" w:color="000000" w:fill="auto"/>
            <w:noWrap/>
            <w:vAlign w:val="bottom"/>
            <w:hideMark/>
          </w:tcPr>
          <w:p w:rsidR="00520B7E" w:rsidRPr="00F2557C" w:rsidRDefault="00520B7E" w:rsidP="00F2557C">
            <w:pPr>
              <w:jc w:val="center"/>
              <w:rPr>
                <w:b/>
                <w:bCs/>
                <w:color w:val="000000"/>
                <w:sz w:val="20"/>
                <w:szCs w:val="20"/>
              </w:rPr>
            </w:pPr>
            <w:r w:rsidRPr="00F2557C">
              <w:rPr>
                <w:color w:val="000000"/>
                <w:sz w:val="20"/>
                <w:szCs w:val="20"/>
              </w:rPr>
              <w:t>6.1</w:t>
            </w:r>
          </w:p>
        </w:tc>
        <w:tc>
          <w:tcPr>
            <w:tcW w:w="992" w:type="dxa"/>
            <w:shd w:val="clear" w:color="000000" w:fill="auto"/>
            <w:noWrap/>
            <w:vAlign w:val="bottom"/>
            <w:hideMark/>
          </w:tcPr>
          <w:p w:rsidR="00520B7E" w:rsidRPr="00F2557C" w:rsidRDefault="00520B7E" w:rsidP="00F2557C">
            <w:pPr>
              <w:jc w:val="center"/>
              <w:rPr>
                <w:b/>
                <w:bCs/>
                <w:color w:val="000000"/>
                <w:sz w:val="20"/>
                <w:szCs w:val="20"/>
              </w:rPr>
            </w:pPr>
            <w:r w:rsidRPr="00F2557C">
              <w:rPr>
                <w:color w:val="000000"/>
                <w:sz w:val="20"/>
                <w:szCs w:val="20"/>
              </w:rPr>
              <w:t>4.2</w:t>
            </w:r>
          </w:p>
        </w:tc>
        <w:tc>
          <w:tcPr>
            <w:tcW w:w="851" w:type="dxa"/>
            <w:shd w:val="clear" w:color="000000" w:fill="auto"/>
            <w:noWrap/>
            <w:vAlign w:val="bottom"/>
            <w:hideMark/>
          </w:tcPr>
          <w:p w:rsidR="00520B7E" w:rsidRPr="00F2557C" w:rsidRDefault="00520B7E" w:rsidP="00F2557C">
            <w:pPr>
              <w:jc w:val="center"/>
              <w:rPr>
                <w:b/>
                <w:bCs/>
                <w:color w:val="000000"/>
                <w:sz w:val="20"/>
                <w:szCs w:val="20"/>
              </w:rPr>
            </w:pPr>
            <w:r w:rsidRPr="00F2557C">
              <w:rPr>
                <w:color w:val="000000"/>
                <w:sz w:val="20"/>
                <w:szCs w:val="20"/>
              </w:rPr>
              <w:t>-4.5</w:t>
            </w:r>
          </w:p>
        </w:tc>
        <w:tc>
          <w:tcPr>
            <w:tcW w:w="850" w:type="dxa"/>
            <w:shd w:val="clear" w:color="000000" w:fill="auto"/>
            <w:noWrap/>
            <w:vAlign w:val="bottom"/>
            <w:hideMark/>
          </w:tcPr>
          <w:p w:rsidR="00520B7E" w:rsidRPr="00F2557C" w:rsidRDefault="00520B7E" w:rsidP="00F2557C">
            <w:pPr>
              <w:jc w:val="center"/>
              <w:rPr>
                <w:b/>
                <w:bCs/>
                <w:color w:val="000000"/>
                <w:sz w:val="20"/>
                <w:szCs w:val="20"/>
              </w:rPr>
            </w:pPr>
            <w:r w:rsidRPr="00F2557C">
              <w:rPr>
                <w:color w:val="000000"/>
                <w:sz w:val="20"/>
                <w:szCs w:val="20"/>
              </w:rPr>
              <w:t>6</w:t>
            </w:r>
            <w:r w:rsidR="00994565">
              <w:rPr>
                <w:color w:val="000000"/>
                <w:sz w:val="20"/>
                <w:szCs w:val="20"/>
              </w:rPr>
              <w:t>.0</w:t>
            </w:r>
          </w:p>
        </w:tc>
      </w:tr>
      <w:tr w:rsidR="00592A11" w:rsidRPr="00713CAB" w:rsidTr="00592A11">
        <w:trPr>
          <w:trHeight w:val="193"/>
        </w:trPr>
        <w:tc>
          <w:tcPr>
            <w:tcW w:w="5544" w:type="dxa"/>
            <w:shd w:val="clear" w:color="000000" w:fill="auto"/>
            <w:noWrap/>
            <w:vAlign w:val="bottom"/>
            <w:hideMark/>
          </w:tcPr>
          <w:p w:rsidR="00520B7E" w:rsidRPr="00F2557C" w:rsidRDefault="00994565" w:rsidP="00F2557C">
            <w:pPr>
              <w:ind w:firstLineChars="200" w:firstLine="402"/>
              <w:rPr>
                <w:color w:val="000000"/>
                <w:sz w:val="20"/>
                <w:szCs w:val="20"/>
                <w:lang w:val="es-GT" w:eastAsia="es-GT"/>
              </w:rPr>
            </w:pPr>
            <w:r>
              <w:rPr>
                <w:b/>
                <w:bCs/>
                <w:color w:val="000000"/>
                <w:sz w:val="20"/>
                <w:szCs w:val="20"/>
              </w:rPr>
              <w:t>América Latina y E</w:t>
            </w:r>
            <w:r w:rsidR="00520B7E" w:rsidRPr="00F2557C">
              <w:rPr>
                <w:b/>
                <w:bCs/>
                <w:color w:val="000000"/>
                <w:sz w:val="20"/>
                <w:szCs w:val="20"/>
              </w:rPr>
              <w:t>l Caribe</w:t>
            </w:r>
          </w:p>
        </w:tc>
        <w:tc>
          <w:tcPr>
            <w:tcW w:w="850" w:type="dxa"/>
            <w:shd w:val="clear" w:color="000000" w:fill="auto"/>
            <w:noWrap/>
            <w:vAlign w:val="center"/>
            <w:hideMark/>
          </w:tcPr>
          <w:p w:rsidR="00520B7E" w:rsidRPr="00F2557C" w:rsidRDefault="00520B7E" w:rsidP="00F2557C">
            <w:pPr>
              <w:jc w:val="center"/>
              <w:rPr>
                <w:color w:val="000000"/>
                <w:sz w:val="20"/>
                <w:szCs w:val="20"/>
              </w:rPr>
            </w:pPr>
            <w:r w:rsidRPr="00F2557C">
              <w:rPr>
                <w:b/>
                <w:bCs/>
                <w:color w:val="000000"/>
                <w:sz w:val="20"/>
                <w:szCs w:val="20"/>
              </w:rPr>
              <w:t>1.1</w:t>
            </w:r>
          </w:p>
        </w:tc>
        <w:tc>
          <w:tcPr>
            <w:tcW w:w="992" w:type="dxa"/>
            <w:shd w:val="clear" w:color="000000" w:fill="auto"/>
            <w:noWrap/>
            <w:vAlign w:val="center"/>
            <w:hideMark/>
          </w:tcPr>
          <w:p w:rsidR="00520B7E" w:rsidRPr="00F2557C" w:rsidRDefault="00520B7E" w:rsidP="00F2557C">
            <w:pPr>
              <w:jc w:val="center"/>
              <w:rPr>
                <w:color w:val="000000"/>
                <w:sz w:val="20"/>
                <w:szCs w:val="20"/>
              </w:rPr>
            </w:pPr>
            <w:r w:rsidRPr="00F2557C">
              <w:rPr>
                <w:b/>
                <w:bCs/>
                <w:color w:val="000000"/>
                <w:sz w:val="20"/>
                <w:szCs w:val="20"/>
              </w:rPr>
              <w:t>0.1</w:t>
            </w:r>
          </w:p>
        </w:tc>
        <w:tc>
          <w:tcPr>
            <w:tcW w:w="851" w:type="dxa"/>
            <w:shd w:val="clear" w:color="000000" w:fill="auto"/>
            <w:noWrap/>
            <w:vAlign w:val="center"/>
            <w:hideMark/>
          </w:tcPr>
          <w:p w:rsidR="00520B7E" w:rsidRPr="00F2557C" w:rsidRDefault="00520B7E" w:rsidP="00F2557C">
            <w:pPr>
              <w:jc w:val="center"/>
              <w:rPr>
                <w:color w:val="000000"/>
                <w:sz w:val="20"/>
                <w:szCs w:val="20"/>
              </w:rPr>
            </w:pPr>
            <w:r w:rsidRPr="00F2557C">
              <w:rPr>
                <w:b/>
                <w:bCs/>
                <w:color w:val="000000"/>
                <w:sz w:val="20"/>
                <w:szCs w:val="20"/>
              </w:rPr>
              <w:t>-9.4</w:t>
            </w:r>
          </w:p>
        </w:tc>
        <w:tc>
          <w:tcPr>
            <w:tcW w:w="850" w:type="dxa"/>
            <w:shd w:val="clear" w:color="000000" w:fill="auto"/>
            <w:noWrap/>
            <w:vAlign w:val="center"/>
            <w:hideMark/>
          </w:tcPr>
          <w:p w:rsidR="00520B7E" w:rsidRPr="00F2557C" w:rsidRDefault="00520B7E" w:rsidP="00F2557C">
            <w:pPr>
              <w:jc w:val="center"/>
              <w:rPr>
                <w:color w:val="000000"/>
                <w:sz w:val="20"/>
                <w:szCs w:val="20"/>
              </w:rPr>
            </w:pPr>
            <w:r w:rsidRPr="00F2557C">
              <w:rPr>
                <w:b/>
                <w:bCs/>
                <w:color w:val="000000"/>
                <w:sz w:val="20"/>
                <w:szCs w:val="20"/>
              </w:rPr>
              <w:t>3.7</w:t>
            </w:r>
          </w:p>
        </w:tc>
      </w:tr>
    </w:tbl>
    <w:p w:rsidR="00520B7E" w:rsidRPr="00DB277A" w:rsidRDefault="00520B7E" w:rsidP="00520B7E">
      <w:pPr>
        <w:jc w:val="both"/>
        <w:rPr>
          <w:bCs/>
          <w:color w:val="000000"/>
          <w:sz w:val="18"/>
          <w:szCs w:val="20"/>
          <w:lang w:val="es-GT" w:eastAsia="es-GT"/>
        </w:rPr>
      </w:pPr>
      <w:r w:rsidRPr="007E06E2">
        <w:rPr>
          <w:bCs/>
          <w:color w:val="000000"/>
          <w:sz w:val="18"/>
          <w:szCs w:val="20"/>
          <w:lang w:val="es-GT" w:eastAsia="es-GT"/>
        </w:rPr>
        <w:t xml:space="preserve">Fuente: FMI "Actualización de </w:t>
      </w:r>
      <w:r w:rsidR="00780997">
        <w:rPr>
          <w:bCs/>
          <w:color w:val="000000"/>
          <w:sz w:val="18"/>
          <w:szCs w:val="20"/>
          <w:lang w:val="es-GT" w:eastAsia="es-GT"/>
        </w:rPr>
        <w:t>P</w:t>
      </w:r>
      <w:r w:rsidRPr="007E06E2">
        <w:rPr>
          <w:bCs/>
          <w:color w:val="000000"/>
          <w:sz w:val="18"/>
          <w:szCs w:val="20"/>
          <w:lang w:val="es-GT" w:eastAsia="es-GT"/>
        </w:rPr>
        <w:t>erspectivas de la Economía Mundial, junio de 2020".</w:t>
      </w:r>
    </w:p>
    <w:p w:rsidR="00520B7E" w:rsidRPr="00F64495" w:rsidRDefault="00520B7E" w:rsidP="00520B7E">
      <w:pPr>
        <w:pStyle w:val="Default"/>
        <w:jc w:val="both"/>
        <w:rPr>
          <w:rFonts w:ascii="Times New Roman" w:hAnsi="Times New Roman" w:cs="Times New Roman"/>
          <w:color w:val="auto"/>
          <w:lang w:val="es-GT"/>
        </w:rPr>
      </w:pPr>
    </w:p>
    <w:p w:rsidR="00520B7E" w:rsidRDefault="00520B7E" w:rsidP="00520B7E">
      <w:pPr>
        <w:jc w:val="both"/>
      </w:pPr>
      <w:r>
        <w:t xml:space="preserve">A nivel general, el crecimiento del grupo de economías de mercados emergentes y en desarrollo está proyectado en </w:t>
      </w:r>
      <w:r w:rsidR="002518AE">
        <w:t>-</w:t>
      </w:r>
      <w:r>
        <w:t>3</w:t>
      </w:r>
      <w:r w:rsidR="002518AE">
        <w:t>.</w:t>
      </w:r>
      <w:r>
        <w:t>0% para 2020, mientras que para el 2021 su</w:t>
      </w:r>
      <w:r w:rsidR="002518AE">
        <w:t xml:space="preserve"> crecimiento se estima en 5.9%.</w:t>
      </w:r>
    </w:p>
    <w:p w:rsidR="00520B7E" w:rsidRDefault="00520B7E" w:rsidP="00520B7E">
      <w:pPr>
        <w:jc w:val="both"/>
      </w:pPr>
    </w:p>
    <w:p w:rsidR="00520B7E" w:rsidRDefault="00520B7E" w:rsidP="00520B7E">
      <w:pPr>
        <w:jc w:val="both"/>
      </w:pPr>
      <w:r>
        <w:t xml:space="preserve">Por vez primera, se proyecta un crecimiento negativo para todas las regiones en 2020. Sin embargo, se observan importantes diferencias entre las economías a escala individual, en función de la evolución de la pandemia y la eficacia de las estrategias de contención; las diversas estructuras económicas (por ejemplo, dependencia de los sectores gravemente afectados, como turismo y petróleo); el uso de flujos financieros externos, incluidas las remesas; y las tendencias del crecimiento previas a la crisis. En China, donde está en marcha la recuperación tras la fuerte contracción registrada en el primer trimestre, se proyecta un crecimiento de 1.0% en 2020, apoyado en parte por políticas de estímulo. Se proyecta que la economía de India se contraiga </w:t>
      </w:r>
      <w:r w:rsidR="0087255A">
        <w:t xml:space="preserve">en </w:t>
      </w:r>
      <w:r>
        <w:t>4.5% tras un período de confinamiento más largo y una recuperación más</w:t>
      </w:r>
      <w:r w:rsidR="0087255A">
        <w:t xml:space="preserve"> lenta de lo previsto en abril.</w:t>
      </w:r>
    </w:p>
    <w:p w:rsidR="00520B7E" w:rsidRDefault="00520B7E" w:rsidP="00520B7E">
      <w:pPr>
        <w:jc w:val="both"/>
      </w:pPr>
    </w:p>
    <w:p w:rsidR="00520B7E" w:rsidRDefault="00520B7E" w:rsidP="00520B7E">
      <w:pPr>
        <w:jc w:val="both"/>
      </w:pPr>
      <w:r>
        <w:t>En América Latina, donde la mayoría de los países aún están luchando para contener las infecciones, se proyecta que las dos economías más grandes, Brasil y México, sufran contracciones de 9.1% y 10.5%, respectivamente, en 2020.</w:t>
      </w:r>
    </w:p>
    <w:p w:rsidR="00520B7E" w:rsidRDefault="00520B7E" w:rsidP="00520B7E">
      <w:r>
        <w:br w:type="page"/>
      </w:r>
    </w:p>
    <w:p w:rsidR="00520B7E" w:rsidRPr="0059599D" w:rsidRDefault="00520B7E" w:rsidP="00520B7E">
      <w:pPr>
        <w:pStyle w:val="Ttulo2"/>
        <w:rPr>
          <w:rFonts w:ascii="Times New Roman" w:hAnsi="Times New Roman"/>
          <w:color w:val="auto"/>
          <w:sz w:val="24"/>
          <w:lang w:val="es-MX"/>
        </w:rPr>
      </w:pPr>
      <w:bookmarkStart w:id="7" w:name="_Toc47610372"/>
      <w:bookmarkStart w:id="8" w:name="_Toc51925242"/>
      <w:r w:rsidRPr="0059599D">
        <w:rPr>
          <w:rFonts w:ascii="Times New Roman" w:hAnsi="Times New Roman"/>
          <w:color w:val="auto"/>
          <w:sz w:val="24"/>
          <w:lang w:val="es-MX"/>
        </w:rPr>
        <w:lastRenderedPageBreak/>
        <w:t>Entorno Macroeconómico Nacional</w:t>
      </w:r>
      <w:bookmarkEnd w:id="7"/>
      <w:bookmarkEnd w:id="8"/>
    </w:p>
    <w:p w:rsidR="00520B7E" w:rsidRPr="00124AD6" w:rsidRDefault="00520B7E" w:rsidP="00520B7E">
      <w:pPr>
        <w:rPr>
          <w:lang w:val="es-MX"/>
        </w:rPr>
      </w:pPr>
    </w:p>
    <w:p w:rsidR="00520B7E" w:rsidRPr="00F64495" w:rsidRDefault="00520B7E" w:rsidP="00520B7E">
      <w:pPr>
        <w:jc w:val="both"/>
      </w:pPr>
      <w:r w:rsidRPr="00F64495">
        <w:t>La actividad económica</w:t>
      </w:r>
      <w:r w:rsidR="00435708">
        <w:t>,</w:t>
      </w:r>
      <w:r w:rsidRPr="00F64495">
        <w:t xml:space="preserve"> medida en función del Producto Interno Bruto en términos reales</w:t>
      </w:r>
      <w:r w:rsidR="00435708">
        <w:t>,</w:t>
      </w:r>
      <w:r w:rsidRPr="00F64495">
        <w:t xml:space="preserve"> mostró para el 2019 un crecimiento de 3.5%</w:t>
      </w:r>
      <w:r w:rsidR="00435708">
        <w:t>,</w:t>
      </w:r>
      <w:r w:rsidRPr="00F64495">
        <w:t xml:space="preserve"> superior en 0.4% al registrado en 2018 y dentro del rango establecido en las proyecciones de crecimiento. De acuerdo con ese comportamiento se esperaba un crecimiento medio cercano a 3.6%; en la estimación se esperaba un desempeño positivo en las actividades económicas. (Banco de Guatemala, enero 2020 “Desempeño Macroeconómico 2019; Perspectivas 2020”).</w:t>
      </w:r>
    </w:p>
    <w:p w:rsidR="00520B7E" w:rsidRPr="00F64495" w:rsidRDefault="00520B7E" w:rsidP="00520B7E">
      <w:pPr>
        <w:jc w:val="both"/>
      </w:pPr>
    </w:p>
    <w:p w:rsidR="00520B7E" w:rsidRPr="00F64495" w:rsidRDefault="00520B7E" w:rsidP="00520B7E">
      <w:pPr>
        <w:jc w:val="both"/>
      </w:pPr>
      <w:r w:rsidRPr="00F64495">
        <w:t>A raíz de la crisis epidemiológica, el Banco de Guatemala proyecta que el crecimiento del PIB anual en 2020 se ubique en un rango de entre -3.5% y -1.5%, resultado principalmente, del deterioro de la demanda interna, debido fundamentalmente a la caída prevista en el consumo privado y a la reducción en la demanda externa de bienes y servicios nacionales, asociado a expectativas menos favorables para la actividad económica de los principales socios comerciales del país. El Banco de Guatemala, plantea en su revisión a la baja un impacto en prácticamente la totalidad de las actividades económicas</w:t>
      </w:r>
      <w:r w:rsidR="00435708">
        <w:t>;</w:t>
      </w:r>
      <w:r w:rsidRPr="00F64495">
        <w:t xml:space="preserve"> sin embargo, prevé que </w:t>
      </w:r>
      <w:r w:rsidR="00435708">
        <w:t>é</w:t>
      </w:r>
      <w:r w:rsidRPr="00F64495">
        <w:t>stas registrarían un crecimiento significativo, por lo que el crecimiento en 2021 sería del orden del 4.0%.</w:t>
      </w:r>
    </w:p>
    <w:p w:rsidR="00520B7E" w:rsidRDefault="00520B7E" w:rsidP="00520B7E">
      <w:pPr>
        <w:rPr>
          <w:b/>
        </w:rPr>
      </w:pPr>
    </w:p>
    <w:p w:rsidR="00520B7E" w:rsidRPr="00124AD6" w:rsidRDefault="00520B7E" w:rsidP="00520B7E">
      <w:pPr>
        <w:jc w:val="center"/>
        <w:rPr>
          <w:b/>
        </w:rPr>
      </w:pPr>
      <w:r w:rsidRPr="00124AD6">
        <w:rPr>
          <w:b/>
        </w:rPr>
        <w:t>Gráfica 1</w:t>
      </w:r>
    </w:p>
    <w:p w:rsidR="00520B7E" w:rsidRPr="00124AD6" w:rsidRDefault="00520B7E" w:rsidP="00520B7E">
      <w:pPr>
        <w:jc w:val="center"/>
        <w:rPr>
          <w:b/>
        </w:rPr>
      </w:pPr>
      <w:r w:rsidRPr="00124AD6">
        <w:rPr>
          <w:b/>
        </w:rPr>
        <w:t>Guatemala: Producto Interno Bruto</w:t>
      </w:r>
      <w:r>
        <w:rPr>
          <w:b/>
        </w:rPr>
        <w:t xml:space="preserve"> e</w:t>
      </w:r>
      <w:r w:rsidRPr="00124AD6">
        <w:rPr>
          <w:b/>
        </w:rPr>
        <w:t xml:space="preserve">n </w:t>
      </w:r>
      <w:r>
        <w:rPr>
          <w:b/>
        </w:rPr>
        <w:t>T</w:t>
      </w:r>
      <w:r w:rsidRPr="00124AD6">
        <w:rPr>
          <w:b/>
        </w:rPr>
        <w:t xml:space="preserve">érminos </w:t>
      </w:r>
      <w:r>
        <w:rPr>
          <w:b/>
        </w:rPr>
        <w:t>R</w:t>
      </w:r>
      <w:r w:rsidRPr="00124AD6">
        <w:rPr>
          <w:b/>
        </w:rPr>
        <w:t>eales</w:t>
      </w:r>
    </w:p>
    <w:p w:rsidR="00520B7E" w:rsidRPr="00B533AF" w:rsidRDefault="00520B7E" w:rsidP="009C2977">
      <w:pPr>
        <w:jc w:val="center"/>
        <w:rPr>
          <w:lang w:val="es-MX"/>
        </w:rPr>
      </w:pPr>
      <w:r w:rsidRPr="00124AD6">
        <w:rPr>
          <w:b/>
        </w:rPr>
        <w:t xml:space="preserve">(Tasas de </w:t>
      </w:r>
      <w:r>
        <w:rPr>
          <w:b/>
        </w:rPr>
        <w:t>V</w:t>
      </w:r>
      <w:r w:rsidRPr="00124AD6">
        <w:rPr>
          <w:b/>
        </w:rPr>
        <w:t xml:space="preserve">ariación </w:t>
      </w:r>
      <w:r>
        <w:rPr>
          <w:b/>
        </w:rPr>
        <w:t>I</w:t>
      </w:r>
      <w:r w:rsidRPr="00124AD6">
        <w:rPr>
          <w:b/>
        </w:rPr>
        <w:t>nteranual 20</w:t>
      </w:r>
      <w:r>
        <w:rPr>
          <w:b/>
        </w:rPr>
        <w:t xml:space="preserve">14 </w:t>
      </w:r>
      <w:r w:rsidRPr="00124AD6">
        <w:rPr>
          <w:b/>
        </w:rPr>
        <w:t>- 20</w:t>
      </w:r>
      <w:r>
        <w:rPr>
          <w:b/>
        </w:rPr>
        <w:t>20</w:t>
      </w:r>
      <w:r w:rsidRPr="00124AD6">
        <w:rPr>
          <w:b/>
        </w:rPr>
        <w:t>)</w:t>
      </w:r>
    </w:p>
    <w:p w:rsidR="00520B7E" w:rsidRDefault="00520B7E" w:rsidP="00520B7E">
      <w:pPr>
        <w:jc w:val="center"/>
      </w:pPr>
      <w:r>
        <w:rPr>
          <w:noProof/>
          <w:lang w:val="es-GT" w:eastAsia="es-GT"/>
        </w:rPr>
        <w:drawing>
          <wp:inline distT="0" distB="0" distL="0" distR="0" wp14:anchorId="388E384A" wp14:editId="43123803">
            <wp:extent cx="5227320" cy="2806700"/>
            <wp:effectExtent l="0" t="0" r="11430" b="12700"/>
            <wp:docPr id="17" name="Gráfico 1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520B7E" w:rsidRDefault="00520B7E" w:rsidP="00435708">
      <w:pPr>
        <w:ind w:firstLine="708"/>
        <w:jc w:val="both"/>
        <w:rPr>
          <w:sz w:val="18"/>
          <w:lang w:val="es-MX"/>
        </w:rPr>
      </w:pPr>
      <w:r w:rsidRPr="00223D6A">
        <w:rPr>
          <w:sz w:val="18"/>
          <w:lang w:val="es-MX"/>
        </w:rPr>
        <w:t xml:space="preserve">py/proyectado </w:t>
      </w:r>
      <w:r>
        <w:rPr>
          <w:sz w:val="18"/>
          <w:lang w:val="es-MX"/>
        </w:rPr>
        <w:t xml:space="preserve">   </w:t>
      </w:r>
    </w:p>
    <w:p w:rsidR="00520B7E" w:rsidRPr="004312A9" w:rsidRDefault="00520B7E" w:rsidP="00435708">
      <w:pPr>
        <w:ind w:firstLine="708"/>
        <w:jc w:val="both"/>
        <w:rPr>
          <w:sz w:val="18"/>
          <w:lang w:val="es-MX"/>
        </w:rPr>
      </w:pPr>
      <w:r w:rsidRPr="004312A9">
        <w:rPr>
          <w:sz w:val="18"/>
          <w:lang w:val="es-MX"/>
        </w:rPr>
        <w:t>Fuente: Banco de Guatemala.</w:t>
      </w:r>
    </w:p>
    <w:p w:rsidR="00520B7E" w:rsidRPr="00223D6A" w:rsidRDefault="00520B7E" w:rsidP="00520B7E">
      <w:pPr>
        <w:jc w:val="both"/>
        <w:rPr>
          <w:sz w:val="18"/>
          <w:lang w:val="es-MX"/>
        </w:rPr>
      </w:pPr>
    </w:p>
    <w:p w:rsidR="00520B7E" w:rsidRDefault="00520B7E" w:rsidP="00520B7E">
      <w:r>
        <w:br w:type="page"/>
      </w:r>
    </w:p>
    <w:p w:rsidR="00520B7E" w:rsidRDefault="00520B7E" w:rsidP="00520B7E">
      <w:pPr>
        <w:jc w:val="both"/>
      </w:pPr>
      <w:r>
        <w:lastRenderedPageBreak/>
        <w:t xml:space="preserve">El Índice de Confianza de la Actividad Económica, </w:t>
      </w:r>
      <w:r w:rsidRPr="00124AD6">
        <w:t xml:space="preserve">refleja la percepción </w:t>
      </w:r>
      <w:r>
        <w:t xml:space="preserve">que tiene el panel de analistas económicos entrevistados </w:t>
      </w:r>
      <w:r w:rsidRPr="00124AD6">
        <w:t xml:space="preserve">sobre la situación económica actual </w:t>
      </w:r>
      <w:r>
        <w:t>y el ambiente para los negocios.</w:t>
      </w:r>
    </w:p>
    <w:p w:rsidR="00520B7E" w:rsidRDefault="00520B7E" w:rsidP="00520B7E">
      <w:pPr>
        <w:jc w:val="both"/>
      </w:pPr>
    </w:p>
    <w:p w:rsidR="00520B7E" w:rsidRDefault="00520B7E" w:rsidP="00520B7E">
      <w:pPr>
        <w:jc w:val="both"/>
      </w:pPr>
      <w:r>
        <w:t>A junio de 2020, el nivel del Índice de Confianza de la Actividad Económica se situó en 38.8 puntos, superior en 1.3% con respecto al registrado en junio de 2019 (37.5 puntos), pero considerablemente menor al registrado en febrero 2020 (71.1 puntos) previo a la crisis provocada por la pandemia</w:t>
      </w:r>
      <w:r w:rsidR="00435708">
        <w:t xml:space="preserve"> del covid-19</w:t>
      </w:r>
      <w:r>
        <w:t>.</w:t>
      </w:r>
    </w:p>
    <w:p w:rsidR="00520B7E" w:rsidRDefault="00520B7E" w:rsidP="00520B7E">
      <w:pPr>
        <w:jc w:val="both"/>
      </w:pPr>
    </w:p>
    <w:p w:rsidR="00520B7E" w:rsidRDefault="00520B7E" w:rsidP="00520B7E">
      <w:pPr>
        <w:jc w:val="center"/>
        <w:rPr>
          <w:b/>
        </w:rPr>
      </w:pPr>
    </w:p>
    <w:p w:rsidR="00520B7E" w:rsidRPr="00124AD6" w:rsidRDefault="00520B7E" w:rsidP="00520B7E">
      <w:pPr>
        <w:jc w:val="center"/>
        <w:rPr>
          <w:b/>
        </w:rPr>
      </w:pPr>
      <w:r w:rsidRPr="00124AD6">
        <w:rPr>
          <w:b/>
        </w:rPr>
        <w:t>Gráfica 2</w:t>
      </w:r>
    </w:p>
    <w:p w:rsidR="00520B7E" w:rsidRPr="00124AD6" w:rsidRDefault="00520B7E" w:rsidP="00520B7E">
      <w:pPr>
        <w:autoSpaceDE w:val="0"/>
        <w:autoSpaceDN w:val="0"/>
        <w:adjustRightInd w:val="0"/>
        <w:jc w:val="center"/>
        <w:rPr>
          <w:rFonts w:eastAsia="Calibri"/>
          <w:color w:val="000000"/>
          <w:lang w:val="es-GT" w:eastAsia="es-GT"/>
        </w:rPr>
      </w:pPr>
      <w:r w:rsidRPr="00124AD6">
        <w:rPr>
          <w:rFonts w:eastAsia="Calibri"/>
          <w:b/>
          <w:bCs/>
          <w:color w:val="000000"/>
          <w:lang w:val="es-GT" w:eastAsia="es-GT"/>
        </w:rPr>
        <w:t>Índice de Confianza de la Actividad Económica</w:t>
      </w:r>
    </w:p>
    <w:p w:rsidR="00520B7E" w:rsidRPr="00124AD6" w:rsidRDefault="004C0C9B" w:rsidP="00520B7E">
      <w:pPr>
        <w:jc w:val="center"/>
        <w:rPr>
          <w:rFonts w:eastAsia="Calibri"/>
          <w:b/>
          <w:bCs/>
          <w:color w:val="000000"/>
          <w:lang w:val="es-GT" w:eastAsia="es-GT"/>
        </w:rPr>
      </w:pPr>
      <w:r>
        <w:rPr>
          <w:rFonts w:eastAsia="Calibri"/>
          <w:b/>
          <w:bCs/>
          <w:color w:val="000000"/>
          <w:lang w:val="es-GT" w:eastAsia="es-GT"/>
        </w:rPr>
        <w:t>Período e</w:t>
      </w:r>
      <w:r w:rsidR="00520B7E" w:rsidRPr="00124AD6">
        <w:rPr>
          <w:rFonts w:eastAsia="Calibri"/>
          <w:b/>
          <w:bCs/>
          <w:color w:val="000000"/>
          <w:lang w:val="es-GT" w:eastAsia="es-GT"/>
        </w:rPr>
        <w:t>nero 201</w:t>
      </w:r>
      <w:r w:rsidR="00520B7E">
        <w:rPr>
          <w:rFonts w:eastAsia="Calibri"/>
          <w:b/>
          <w:bCs/>
          <w:color w:val="000000"/>
          <w:lang w:val="es-GT" w:eastAsia="es-GT"/>
        </w:rPr>
        <w:t>6</w:t>
      </w:r>
      <w:r w:rsidR="00520B7E" w:rsidRPr="00124AD6">
        <w:rPr>
          <w:rFonts w:eastAsia="Calibri"/>
          <w:b/>
          <w:bCs/>
          <w:color w:val="000000"/>
          <w:lang w:val="es-GT" w:eastAsia="es-GT"/>
        </w:rPr>
        <w:t xml:space="preserve"> </w:t>
      </w:r>
      <w:r w:rsidR="00520B7E">
        <w:rPr>
          <w:rFonts w:eastAsia="Calibri"/>
          <w:b/>
          <w:bCs/>
          <w:color w:val="000000"/>
          <w:lang w:val="es-GT" w:eastAsia="es-GT"/>
        </w:rPr>
        <w:t>-</w:t>
      </w:r>
      <w:r w:rsidR="00520B7E" w:rsidRPr="00124AD6">
        <w:rPr>
          <w:rFonts w:eastAsia="Calibri"/>
          <w:b/>
          <w:bCs/>
          <w:color w:val="000000"/>
          <w:lang w:val="es-GT" w:eastAsia="es-GT"/>
        </w:rPr>
        <w:t xml:space="preserve"> </w:t>
      </w:r>
      <w:r w:rsidR="00435708">
        <w:rPr>
          <w:rFonts w:eastAsia="Calibri"/>
          <w:b/>
          <w:bCs/>
          <w:color w:val="000000"/>
          <w:lang w:val="es-GT" w:eastAsia="es-GT"/>
        </w:rPr>
        <w:t>j</w:t>
      </w:r>
      <w:r w:rsidR="00520B7E">
        <w:rPr>
          <w:rFonts w:eastAsia="Calibri"/>
          <w:b/>
          <w:bCs/>
          <w:color w:val="000000"/>
          <w:lang w:val="es-GT" w:eastAsia="es-GT"/>
        </w:rPr>
        <w:t xml:space="preserve">unio </w:t>
      </w:r>
      <w:r w:rsidR="00520B7E" w:rsidRPr="00124AD6">
        <w:rPr>
          <w:rFonts w:eastAsia="Calibri"/>
          <w:b/>
          <w:bCs/>
          <w:color w:val="000000"/>
          <w:lang w:val="es-GT" w:eastAsia="es-GT"/>
        </w:rPr>
        <w:t>20</w:t>
      </w:r>
      <w:r w:rsidR="00520B7E">
        <w:rPr>
          <w:rFonts w:eastAsia="Calibri"/>
          <w:b/>
          <w:bCs/>
          <w:color w:val="000000"/>
          <w:lang w:val="es-GT" w:eastAsia="es-GT"/>
        </w:rPr>
        <w:t>20*</w:t>
      </w:r>
    </w:p>
    <w:p w:rsidR="00520B7E" w:rsidRPr="00124AD6" w:rsidRDefault="00130067" w:rsidP="00520B7E">
      <w:pPr>
        <w:jc w:val="center"/>
        <w:rPr>
          <w:lang w:val="es-MX"/>
        </w:rPr>
      </w:pPr>
      <w:r>
        <w:rPr>
          <w:rFonts w:eastAsia="Calibri"/>
          <w:b/>
          <w:bCs/>
          <w:color w:val="000000"/>
          <w:lang w:val="es-GT" w:eastAsia="es-GT"/>
        </w:rPr>
        <w:t xml:space="preserve">(En </w:t>
      </w:r>
      <w:r w:rsidR="00520B7E" w:rsidRPr="00124AD6">
        <w:rPr>
          <w:rFonts w:eastAsia="Calibri"/>
          <w:b/>
          <w:bCs/>
          <w:color w:val="000000"/>
          <w:lang w:val="es-GT" w:eastAsia="es-GT"/>
        </w:rPr>
        <w:t>Puntos</w:t>
      </w:r>
      <w:r>
        <w:rPr>
          <w:rFonts w:eastAsia="Calibri"/>
          <w:b/>
          <w:bCs/>
          <w:color w:val="000000"/>
          <w:lang w:val="es-GT" w:eastAsia="es-GT"/>
        </w:rPr>
        <w:t>)</w:t>
      </w:r>
    </w:p>
    <w:p w:rsidR="00520B7E" w:rsidRDefault="00520B7E" w:rsidP="00520B7E">
      <w:pPr>
        <w:jc w:val="both"/>
        <w:rPr>
          <w:lang w:val="es-MX"/>
        </w:rPr>
      </w:pPr>
      <w:r w:rsidRPr="00720C08">
        <w:rPr>
          <w:b/>
          <w:noProof/>
          <w:sz w:val="20"/>
          <w:lang w:val="es-GT" w:eastAsia="es-GT"/>
        </w:rPr>
        <w:drawing>
          <wp:inline distT="0" distB="0" distL="0" distR="0" wp14:anchorId="13F66A3D" wp14:editId="6F5652E4">
            <wp:extent cx="5760720" cy="3248025"/>
            <wp:effectExtent l="0" t="0" r="11430" b="9525"/>
            <wp:docPr id="18" name="Gráfico 1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20B7E" w:rsidRPr="004312A9" w:rsidRDefault="00520B7E" w:rsidP="00520B7E">
      <w:pPr>
        <w:jc w:val="both"/>
        <w:rPr>
          <w:sz w:val="18"/>
          <w:lang w:val="es-MX"/>
        </w:rPr>
      </w:pPr>
      <w:r>
        <w:rPr>
          <w:sz w:val="16"/>
          <w:lang w:val="es-MX"/>
        </w:rPr>
        <w:t xml:space="preserve">* </w:t>
      </w:r>
      <w:r w:rsidRPr="004312A9">
        <w:rPr>
          <w:sz w:val="18"/>
          <w:lang w:val="es-MX"/>
        </w:rPr>
        <w:t>Al 30 de junio de 2</w:t>
      </w:r>
      <w:r>
        <w:rPr>
          <w:sz w:val="18"/>
          <w:lang w:val="es-MX"/>
        </w:rPr>
        <w:t>020</w:t>
      </w:r>
    </w:p>
    <w:p w:rsidR="00520B7E" w:rsidRPr="004312A9" w:rsidRDefault="00520B7E" w:rsidP="00520B7E">
      <w:pPr>
        <w:jc w:val="both"/>
        <w:rPr>
          <w:sz w:val="18"/>
          <w:lang w:val="es-MX"/>
        </w:rPr>
      </w:pPr>
      <w:r>
        <w:rPr>
          <w:sz w:val="18"/>
          <w:lang w:val="es-MX"/>
        </w:rPr>
        <w:t xml:space="preserve">   </w:t>
      </w:r>
      <w:r w:rsidRPr="004312A9">
        <w:rPr>
          <w:sz w:val="18"/>
          <w:lang w:val="es-MX"/>
        </w:rPr>
        <w:t>Fuente: Banco de Guatemala.</w:t>
      </w:r>
    </w:p>
    <w:p w:rsidR="00520B7E" w:rsidRPr="00124AD6" w:rsidRDefault="00520B7E" w:rsidP="00520B7E">
      <w:pPr>
        <w:jc w:val="both"/>
        <w:rPr>
          <w:lang w:val="es-MX"/>
        </w:rPr>
      </w:pPr>
    </w:p>
    <w:p w:rsidR="00520B7E" w:rsidRDefault="00520B7E" w:rsidP="00520B7E">
      <w:r>
        <w:br w:type="page"/>
      </w:r>
    </w:p>
    <w:p w:rsidR="00520B7E" w:rsidRDefault="00520B7E" w:rsidP="00520B7E">
      <w:pPr>
        <w:jc w:val="both"/>
      </w:pPr>
      <w:r>
        <w:lastRenderedPageBreak/>
        <w:t>De acuerdo con el Banco de Guatemala, a</w:t>
      </w:r>
      <w:r w:rsidRPr="009D0467">
        <w:t xml:space="preserve"> </w:t>
      </w:r>
      <w:r>
        <w:t xml:space="preserve">junio </w:t>
      </w:r>
      <w:r w:rsidRPr="009D0467">
        <w:t>de 20</w:t>
      </w:r>
      <w:r>
        <w:t>20</w:t>
      </w:r>
      <w:r w:rsidRPr="009D0467">
        <w:t xml:space="preserve">, el ritmo inflacionario se situó en </w:t>
      </w:r>
      <w:r>
        <w:t>1.8</w:t>
      </w:r>
      <w:r w:rsidRPr="009D0467">
        <w:t xml:space="preserve">%, valor que se encuentra </w:t>
      </w:r>
      <w:r>
        <w:t>dentro</w:t>
      </w:r>
      <w:r w:rsidRPr="009D0467">
        <w:t xml:space="preserve"> de la meta de inflación establecida por la Junta Monetaria (4.0 +/- 1 punto porcentual). Entre enero y ju</w:t>
      </w:r>
      <w:r>
        <w:t>n</w:t>
      </w:r>
      <w:r w:rsidRPr="009D0467">
        <w:t xml:space="preserve">io del presente año, la evolución de precios mostró </w:t>
      </w:r>
      <w:r>
        <w:t>una variación interanual, inferior en 2.7 puntos porcentuales a lo registrado en junio de 2019 (4.5%).</w:t>
      </w:r>
    </w:p>
    <w:p w:rsidR="00520B7E" w:rsidRDefault="00520B7E" w:rsidP="00520B7E">
      <w:pPr>
        <w:jc w:val="both"/>
      </w:pPr>
    </w:p>
    <w:p w:rsidR="00520B7E" w:rsidRPr="008578BF" w:rsidRDefault="00520B7E" w:rsidP="00520B7E">
      <w:pPr>
        <w:jc w:val="both"/>
      </w:pPr>
      <w:r>
        <w:t xml:space="preserve">La inflación subyacente a junio de 2020 se ubica en 2.3%, cifra inferior en 0.7 puntos a la registrada durante el mismo período de 2019. El nivel de inflación que se registró en junio se debe principalmente a un incremento </w:t>
      </w:r>
      <w:r w:rsidRPr="0033652B">
        <w:t>en el nivel general de precios, pero especialmente en las divisiones de alimentos 2.9% y transporte 1.</w:t>
      </w:r>
      <w:r>
        <w:t>9</w:t>
      </w:r>
      <w:r w:rsidRPr="0033652B">
        <w:t>%, aunque también se registraron disminuciones leves en las divisiones de bienes y servicios diversos -0.05%, y comunicaciones -0.01%.</w:t>
      </w:r>
      <w:r>
        <w:t xml:space="preserve">  (FUNDESA, </w:t>
      </w:r>
      <w:r w:rsidRPr="0033652B">
        <w:t>Reporte de los principales indicadores de la economía durante mayo y junio 2020</w:t>
      </w:r>
      <w:r>
        <w:t>).</w:t>
      </w:r>
    </w:p>
    <w:p w:rsidR="00520B7E" w:rsidRPr="0033652B" w:rsidRDefault="00520B7E" w:rsidP="00520B7E">
      <w:pPr>
        <w:jc w:val="center"/>
      </w:pPr>
    </w:p>
    <w:p w:rsidR="00520B7E" w:rsidRPr="0033652B" w:rsidRDefault="00520B7E" w:rsidP="00520B7E">
      <w:pPr>
        <w:autoSpaceDE w:val="0"/>
        <w:autoSpaceDN w:val="0"/>
        <w:adjustRightInd w:val="0"/>
        <w:rPr>
          <w:rFonts w:ascii="Atlas Grotesk Regular" w:eastAsia="Calibri" w:hAnsi="Atlas Grotesk Regular" w:cs="Atlas Grotesk Regular"/>
          <w:color w:val="000000"/>
          <w:lang w:val="es-MX" w:eastAsia="es-MX"/>
        </w:rPr>
      </w:pPr>
    </w:p>
    <w:p w:rsidR="00520B7E" w:rsidRPr="00124AD6" w:rsidRDefault="00520B7E" w:rsidP="00520B7E">
      <w:pPr>
        <w:jc w:val="center"/>
        <w:rPr>
          <w:b/>
        </w:rPr>
      </w:pPr>
      <w:r w:rsidRPr="00124AD6">
        <w:rPr>
          <w:b/>
        </w:rPr>
        <w:t xml:space="preserve">Gráfica </w:t>
      </w:r>
      <w:r>
        <w:rPr>
          <w:b/>
        </w:rPr>
        <w:t>3</w:t>
      </w:r>
    </w:p>
    <w:p w:rsidR="00520B7E" w:rsidRDefault="00520B7E" w:rsidP="00520B7E">
      <w:pPr>
        <w:jc w:val="center"/>
        <w:rPr>
          <w:b/>
        </w:rPr>
      </w:pPr>
      <w:r w:rsidRPr="00124AD6">
        <w:rPr>
          <w:b/>
        </w:rPr>
        <w:t>Guatemala: Ritmo Inflacionario</w:t>
      </w:r>
      <w:r>
        <w:rPr>
          <w:b/>
        </w:rPr>
        <w:t xml:space="preserve"> Total e Inflación Subyacente</w:t>
      </w:r>
    </w:p>
    <w:p w:rsidR="00520B7E" w:rsidRDefault="00520B7E" w:rsidP="00520B7E">
      <w:pPr>
        <w:jc w:val="center"/>
        <w:rPr>
          <w:b/>
        </w:rPr>
      </w:pPr>
      <w:r>
        <w:rPr>
          <w:b/>
        </w:rPr>
        <w:t>Período 201</w:t>
      </w:r>
      <w:r w:rsidR="00720C08">
        <w:rPr>
          <w:b/>
        </w:rPr>
        <w:t>3</w:t>
      </w:r>
      <w:r>
        <w:rPr>
          <w:b/>
        </w:rPr>
        <w:t xml:space="preserve"> - 2020*</w:t>
      </w:r>
    </w:p>
    <w:p w:rsidR="00520B7E" w:rsidRDefault="00520B7E" w:rsidP="00520B7E">
      <w:pPr>
        <w:jc w:val="center"/>
        <w:rPr>
          <w:b/>
        </w:rPr>
      </w:pPr>
      <w:r>
        <w:rPr>
          <w:noProof/>
          <w:lang w:val="es-GT" w:eastAsia="es-GT"/>
        </w:rPr>
        <w:drawing>
          <wp:inline distT="0" distB="0" distL="0" distR="0" wp14:anchorId="2B5A5200" wp14:editId="43088172">
            <wp:extent cx="5822899" cy="2560320"/>
            <wp:effectExtent l="0" t="0" r="26035" b="11430"/>
            <wp:docPr id="16" name="Gráfico 1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F7E0F" w:rsidRPr="00C36400" w:rsidRDefault="00EF7E0F" w:rsidP="00520B7E">
      <w:pPr>
        <w:rPr>
          <w:sz w:val="12"/>
          <w:lang w:val="es-MX"/>
        </w:rPr>
      </w:pPr>
    </w:p>
    <w:p w:rsidR="00520B7E" w:rsidRPr="00117227" w:rsidRDefault="00520B7E" w:rsidP="00520B7E">
      <w:pPr>
        <w:rPr>
          <w:sz w:val="18"/>
          <w:lang w:val="es-MX"/>
        </w:rPr>
      </w:pPr>
      <w:r>
        <w:rPr>
          <w:sz w:val="18"/>
          <w:lang w:val="es-MX"/>
        </w:rPr>
        <w:t xml:space="preserve">  </w:t>
      </w:r>
      <w:r w:rsidRPr="00117227">
        <w:rPr>
          <w:sz w:val="18"/>
          <w:lang w:val="es-MX"/>
        </w:rPr>
        <w:t>*</w:t>
      </w:r>
      <w:r>
        <w:rPr>
          <w:sz w:val="18"/>
          <w:lang w:val="es-MX"/>
        </w:rPr>
        <w:t xml:space="preserve"> </w:t>
      </w:r>
      <w:r w:rsidRPr="00117227">
        <w:rPr>
          <w:sz w:val="18"/>
          <w:lang w:val="es-MX"/>
        </w:rPr>
        <w:t>Al 30 de junio de 20</w:t>
      </w:r>
      <w:r>
        <w:rPr>
          <w:sz w:val="18"/>
          <w:lang w:val="es-MX"/>
        </w:rPr>
        <w:t>20</w:t>
      </w:r>
    </w:p>
    <w:p w:rsidR="00520B7E" w:rsidRPr="00117227" w:rsidRDefault="00520B7E" w:rsidP="00520B7E">
      <w:pPr>
        <w:rPr>
          <w:sz w:val="18"/>
          <w:lang w:val="es-MX"/>
        </w:rPr>
      </w:pPr>
      <w:r>
        <w:rPr>
          <w:sz w:val="18"/>
          <w:lang w:val="es-MX"/>
        </w:rPr>
        <w:t xml:space="preserve">     </w:t>
      </w:r>
      <w:r w:rsidRPr="00117227">
        <w:rPr>
          <w:sz w:val="18"/>
          <w:lang w:val="es-MX"/>
        </w:rPr>
        <w:t>Fuente: Banco de Guatemala.</w:t>
      </w:r>
    </w:p>
    <w:p w:rsidR="00520B7E" w:rsidRPr="00117227" w:rsidRDefault="00520B7E" w:rsidP="00520B7E">
      <w:pPr>
        <w:rPr>
          <w:sz w:val="18"/>
          <w:lang w:val="es-MX"/>
        </w:rPr>
      </w:pPr>
      <w:r>
        <w:rPr>
          <w:sz w:val="18"/>
          <w:lang w:val="es-MX"/>
        </w:rPr>
        <w:t xml:space="preserve">     </w:t>
      </w:r>
      <w:r w:rsidRPr="00117227">
        <w:rPr>
          <w:sz w:val="18"/>
          <w:lang w:val="es-MX"/>
        </w:rPr>
        <w:t xml:space="preserve">Base de datos </w:t>
      </w:r>
      <w:r>
        <w:rPr>
          <w:sz w:val="18"/>
          <w:lang w:val="es-MX"/>
        </w:rPr>
        <w:t>de I</w:t>
      </w:r>
      <w:r w:rsidRPr="00117227">
        <w:rPr>
          <w:sz w:val="18"/>
          <w:lang w:val="es-MX"/>
        </w:rPr>
        <w:t xml:space="preserve">nflación </w:t>
      </w:r>
      <w:r>
        <w:rPr>
          <w:sz w:val="18"/>
          <w:lang w:val="es-MX"/>
        </w:rPr>
        <w:t>S</w:t>
      </w:r>
      <w:r w:rsidRPr="00117227">
        <w:rPr>
          <w:sz w:val="18"/>
          <w:lang w:val="es-MX"/>
        </w:rPr>
        <w:t xml:space="preserve">ubyacente y </w:t>
      </w:r>
      <w:r>
        <w:rPr>
          <w:sz w:val="18"/>
          <w:lang w:val="es-MX"/>
        </w:rPr>
        <w:t>R</w:t>
      </w:r>
      <w:r w:rsidRPr="00117227">
        <w:rPr>
          <w:sz w:val="18"/>
          <w:lang w:val="es-MX"/>
        </w:rPr>
        <w:t xml:space="preserve">itmo </w:t>
      </w:r>
      <w:r>
        <w:rPr>
          <w:sz w:val="18"/>
          <w:lang w:val="es-MX"/>
        </w:rPr>
        <w:t>I</w:t>
      </w:r>
      <w:r w:rsidRPr="00117227">
        <w:rPr>
          <w:sz w:val="18"/>
          <w:lang w:val="es-MX"/>
        </w:rPr>
        <w:t xml:space="preserve">nflacionario </w:t>
      </w:r>
      <w:r>
        <w:rPr>
          <w:sz w:val="18"/>
          <w:lang w:val="es-MX"/>
        </w:rPr>
        <w:t>T</w:t>
      </w:r>
      <w:r w:rsidRPr="00117227">
        <w:rPr>
          <w:sz w:val="18"/>
          <w:lang w:val="es-MX"/>
        </w:rPr>
        <w:t>otal 20</w:t>
      </w:r>
      <w:r>
        <w:rPr>
          <w:sz w:val="18"/>
          <w:lang w:val="es-MX"/>
        </w:rPr>
        <w:t>20</w:t>
      </w:r>
      <w:r w:rsidRPr="00117227">
        <w:rPr>
          <w:sz w:val="18"/>
          <w:lang w:val="es-MX"/>
        </w:rPr>
        <w:t>.</w:t>
      </w:r>
    </w:p>
    <w:p w:rsidR="00520B7E" w:rsidRDefault="00520B7E" w:rsidP="00520B7E">
      <w:pPr>
        <w:jc w:val="both"/>
      </w:pPr>
    </w:p>
    <w:p w:rsidR="00520B7E" w:rsidRDefault="00520B7E" w:rsidP="00520B7E">
      <w:pPr>
        <w:rPr>
          <w:lang w:val="es-MX"/>
        </w:rPr>
      </w:pPr>
    </w:p>
    <w:p w:rsidR="00520B7E" w:rsidRDefault="001D360A" w:rsidP="00520B7E">
      <w:pPr>
        <w:jc w:val="both"/>
        <w:rPr>
          <w:b/>
        </w:rPr>
      </w:pPr>
      <w:r>
        <w:rPr>
          <w:lang w:val="es-MX"/>
        </w:rPr>
        <w:t>Con</w:t>
      </w:r>
      <w:r w:rsidR="00520B7E">
        <w:rPr>
          <w:lang w:val="es-MX"/>
        </w:rPr>
        <w:t xml:space="preserve"> relación </w:t>
      </w:r>
      <w:r>
        <w:rPr>
          <w:lang w:val="es-MX"/>
        </w:rPr>
        <w:t>a</w:t>
      </w:r>
      <w:r w:rsidR="00520B7E">
        <w:rPr>
          <w:lang w:val="es-MX"/>
        </w:rPr>
        <w:t xml:space="preserve"> </w:t>
      </w:r>
      <w:r w:rsidR="00520B7E" w:rsidRPr="00124AD6">
        <w:rPr>
          <w:lang w:val="es-MX"/>
        </w:rPr>
        <w:t>las remesas familiares</w:t>
      </w:r>
      <w:r w:rsidR="00520B7E">
        <w:rPr>
          <w:lang w:val="es-MX"/>
        </w:rPr>
        <w:t xml:space="preserve">, la </w:t>
      </w:r>
      <w:r w:rsidR="00520B7E" w:rsidRPr="009562D6">
        <w:rPr>
          <w:rFonts w:eastAsia="OptimaLTStd"/>
          <w:color w:val="000000"/>
          <w:lang w:val="es-MX"/>
        </w:rPr>
        <w:t xml:space="preserve">evolución del mercado laboral en los Estados </w:t>
      </w:r>
      <w:r>
        <w:rPr>
          <w:rFonts w:eastAsia="OptimaLTStd"/>
          <w:color w:val="000000"/>
          <w:lang w:val="es-MX"/>
        </w:rPr>
        <w:t xml:space="preserve">Unidos de América </w:t>
      </w:r>
      <w:r w:rsidR="00520B7E">
        <w:rPr>
          <w:rFonts w:eastAsia="OptimaLTStd"/>
          <w:color w:val="000000"/>
          <w:lang w:val="es-MX"/>
        </w:rPr>
        <w:t>y el</w:t>
      </w:r>
      <w:r w:rsidR="00520B7E" w:rsidRPr="009562D6">
        <w:rPr>
          <w:rFonts w:eastAsia="OptimaLTStd"/>
          <w:color w:val="000000"/>
          <w:lang w:val="es-MX"/>
        </w:rPr>
        <w:t xml:space="preserve"> desempleo ligado a las medidas de contención social aplicadas, ocasionaron durante los primeros meses de 2020</w:t>
      </w:r>
      <w:r>
        <w:rPr>
          <w:rFonts w:eastAsia="OptimaLTStd"/>
          <w:color w:val="000000"/>
          <w:lang w:val="es-MX"/>
        </w:rPr>
        <w:t>,</w:t>
      </w:r>
      <w:r w:rsidR="00520B7E" w:rsidRPr="009562D6">
        <w:rPr>
          <w:rFonts w:eastAsia="OptimaLTStd"/>
          <w:color w:val="000000"/>
          <w:lang w:val="es-MX"/>
        </w:rPr>
        <w:t xml:space="preserve"> una disminución en el flujo de remesas</w:t>
      </w:r>
      <w:r>
        <w:rPr>
          <w:rFonts w:eastAsia="OptimaLTStd"/>
          <w:color w:val="000000"/>
          <w:lang w:val="es-MX"/>
        </w:rPr>
        <w:t>;</w:t>
      </w:r>
      <w:r w:rsidR="00520B7E" w:rsidRPr="009562D6">
        <w:rPr>
          <w:rFonts w:eastAsia="OptimaLTStd"/>
          <w:color w:val="000000"/>
          <w:lang w:val="es-MX"/>
        </w:rPr>
        <w:t xml:space="preserve"> los puntos más bajos se </w:t>
      </w:r>
      <w:r w:rsidR="00936D8C">
        <w:rPr>
          <w:rFonts w:eastAsia="OptimaLTStd"/>
          <w:color w:val="000000"/>
          <w:lang w:val="es-MX"/>
        </w:rPr>
        <w:t xml:space="preserve"> </w:t>
      </w:r>
      <w:r w:rsidR="00520B7E" w:rsidRPr="009562D6">
        <w:rPr>
          <w:rFonts w:eastAsia="OptimaLTStd"/>
          <w:color w:val="000000"/>
          <w:lang w:val="es-MX"/>
        </w:rPr>
        <w:t xml:space="preserve">observaron en </w:t>
      </w:r>
      <w:r w:rsidR="00936D8C">
        <w:rPr>
          <w:rFonts w:eastAsia="OptimaLTStd"/>
          <w:color w:val="000000"/>
          <w:lang w:val="es-MX"/>
        </w:rPr>
        <w:t xml:space="preserve"> </w:t>
      </w:r>
      <w:r w:rsidR="00520B7E" w:rsidRPr="009562D6">
        <w:rPr>
          <w:rFonts w:eastAsia="OptimaLTStd"/>
          <w:color w:val="000000"/>
          <w:lang w:val="es-MX"/>
        </w:rPr>
        <w:t xml:space="preserve">abril y mayo con </w:t>
      </w:r>
      <w:r w:rsidR="00936D8C">
        <w:rPr>
          <w:rFonts w:eastAsia="OptimaLTStd"/>
          <w:color w:val="000000"/>
          <w:lang w:val="es-MX"/>
        </w:rPr>
        <w:t xml:space="preserve"> </w:t>
      </w:r>
      <w:r w:rsidR="00520B7E" w:rsidRPr="009562D6">
        <w:rPr>
          <w:rFonts w:eastAsia="OptimaLTStd"/>
          <w:color w:val="000000"/>
          <w:lang w:val="es-MX"/>
        </w:rPr>
        <w:t xml:space="preserve">variaciones </w:t>
      </w:r>
      <w:r w:rsidR="00936D8C">
        <w:rPr>
          <w:rFonts w:eastAsia="OptimaLTStd"/>
          <w:color w:val="000000"/>
          <w:lang w:val="es-MX"/>
        </w:rPr>
        <w:t xml:space="preserve"> </w:t>
      </w:r>
      <w:r w:rsidR="00520B7E" w:rsidRPr="009562D6">
        <w:rPr>
          <w:rFonts w:eastAsia="OptimaLTStd"/>
          <w:color w:val="000000"/>
          <w:lang w:val="es-MX"/>
        </w:rPr>
        <w:t xml:space="preserve">interanuales en </w:t>
      </w:r>
      <w:r w:rsidR="00936D8C">
        <w:rPr>
          <w:rFonts w:eastAsia="OptimaLTStd"/>
          <w:color w:val="000000"/>
          <w:lang w:val="es-MX"/>
        </w:rPr>
        <w:t xml:space="preserve"> </w:t>
      </w:r>
      <w:r w:rsidR="00520B7E" w:rsidRPr="009562D6">
        <w:rPr>
          <w:rFonts w:eastAsia="OptimaLTStd"/>
          <w:color w:val="000000"/>
          <w:lang w:val="es-MX"/>
        </w:rPr>
        <w:t xml:space="preserve">el orden </w:t>
      </w:r>
      <w:r w:rsidR="00936D8C">
        <w:rPr>
          <w:rFonts w:eastAsia="OptimaLTStd"/>
          <w:color w:val="000000"/>
          <w:lang w:val="es-MX"/>
        </w:rPr>
        <w:t xml:space="preserve"> </w:t>
      </w:r>
      <w:r w:rsidR="00520B7E" w:rsidRPr="009562D6">
        <w:rPr>
          <w:rFonts w:eastAsia="OptimaLTStd"/>
          <w:color w:val="000000"/>
          <w:lang w:val="es-MX"/>
        </w:rPr>
        <w:t xml:space="preserve">de -20.2% </w:t>
      </w:r>
      <w:r w:rsidR="00936D8C">
        <w:rPr>
          <w:rFonts w:eastAsia="OptimaLTStd"/>
          <w:color w:val="000000"/>
          <w:lang w:val="es-MX"/>
        </w:rPr>
        <w:t xml:space="preserve"> </w:t>
      </w:r>
      <w:r w:rsidR="00520B7E" w:rsidRPr="009562D6">
        <w:rPr>
          <w:rFonts w:eastAsia="OptimaLTStd"/>
          <w:color w:val="000000"/>
          <w:lang w:val="es-MX"/>
        </w:rPr>
        <w:t>y -14.1</w:t>
      </w:r>
      <w:r>
        <w:rPr>
          <w:rFonts w:eastAsia="OptimaLTStd"/>
          <w:color w:val="000000"/>
          <w:lang w:val="es-MX"/>
        </w:rPr>
        <w:t>%</w:t>
      </w:r>
      <w:r w:rsidR="00520B7E" w:rsidRPr="009562D6">
        <w:rPr>
          <w:rFonts w:eastAsia="OptimaLTStd"/>
          <w:color w:val="000000"/>
          <w:lang w:val="es-MX"/>
        </w:rPr>
        <w:t>. Para junio se observó una considerable recuperación</w:t>
      </w:r>
      <w:r>
        <w:rPr>
          <w:rFonts w:eastAsia="OptimaLTStd"/>
          <w:color w:val="000000"/>
          <w:lang w:val="es-MX"/>
        </w:rPr>
        <w:t>;</w:t>
      </w:r>
      <w:r w:rsidR="00520B7E" w:rsidRPr="009562D6">
        <w:rPr>
          <w:rFonts w:eastAsia="OptimaLTStd"/>
          <w:color w:val="000000"/>
          <w:lang w:val="es-MX"/>
        </w:rPr>
        <w:t xml:space="preserve"> sin embargo, en el acumulado </w:t>
      </w:r>
      <w:r w:rsidR="00520B7E">
        <w:rPr>
          <w:rFonts w:eastAsia="OptimaLTStd"/>
          <w:color w:val="000000"/>
          <w:lang w:val="es-MX"/>
        </w:rPr>
        <w:t xml:space="preserve">a junio 2020 </w:t>
      </w:r>
      <w:r w:rsidR="00520B7E" w:rsidRPr="009562D6">
        <w:rPr>
          <w:rFonts w:eastAsia="OptimaLTStd"/>
          <w:color w:val="000000"/>
          <w:lang w:val="es-MX"/>
        </w:rPr>
        <w:t xml:space="preserve">se estima </w:t>
      </w:r>
      <w:r w:rsidR="00520B7E">
        <w:rPr>
          <w:rFonts w:eastAsia="OptimaLTStd"/>
          <w:color w:val="000000"/>
          <w:lang w:val="es-MX"/>
        </w:rPr>
        <w:t>un decrecimiento en el orden de 0.9% respecto del mismo per</w:t>
      </w:r>
      <w:r>
        <w:rPr>
          <w:rFonts w:eastAsia="OptimaLTStd"/>
          <w:color w:val="000000"/>
          <w:lang w:val="es-MX"/>
        </w:rPr>
        <w:t>í</w:t>
      </w:r>
      <w:r w:rsidR="00520B7E">
        <w:rPr>
          <w:rFonts w:eastAsia="OptimaLTStd"/>
          <w:color w:val="000000"/>
          <w:lang w:val="es-MX"/>
        </w:rPr>
        <w:t>odo en el 2019.</w:t>
      </w:r>
      <w:r w:rsidR="00520B7E">
        <w:rPr>
          <w:b/>
        </w:rPr>
        <w:br w:type="page"/>
      </w:r>
    </w:p>
    <w:p w:rsidR="00520B7E" w:rsidRPr="00124AD6" w:rsidRDefault="00520B7E" w:rsidP="00520B7E">
      <w:pPr>
        <w:jc w:val="center"/>
        <w:rPr>
          <w:b/>
        </w:rPr>
      </w:pPr>
      <w:r w:rsidRPr="00124AD6">
        <w:rPr>
          <w:b/>
        </w:rPr>
        <w:lastRenderedPageBreak/>
        <w:t xml:space="preserve">Gráfica </w:t>
      </w:r>
      <w:r>
        <w:rPr>
          <w:b/>
        </w:rPr>
        <w:t>4</w:t>
      </w:r>
    </w:p>
    <w:p w:rsidR="00520B7E" w:rsidRDefault="00520B7E" w:rsidP="00520B7E">
      <w:pPr>
        <w:jc w:val="center"/>
        <w:rPr>
          <w:b/>
        </w:rPr>
      </w:pPr>
      <w:r w:rsidRPr="00124AD6">
        <w:rPr>
          <w:b/>
        </w:rPr>
        <w:t>Guatemala: Remesas Familiares</w:t>
      </w:r>
    </w:p>
    <w:p w:rsidR="00520B7E" w:rsidRPr="00124AD6" w:rsidRDefault="00520B7E" w:rsidP="00520B7E">
      <w:pPr>
        <w:jc w:val="center"/>
        <w:rPr>
          <w:b/>
        </w:rPr>
      </w:pPr>
      <w:r>
        <w:rPr>
          <w:b/>
        </w:rPr>
        <w:t>En Millones de US Dólares</w:t>
      </w:r>
    </w:p>
    <w:p w:rsidR="00520B7E" w:rsidRDefault="00520B7E" w:rsidP="00520B7E">
      <w:pPr>
        <w:jc w:val="center"/>
        <w:rPr>
          <w:b/>
        </w:rPr>
      </w:pPr>
      <w:r w:rsidRPr="00124AD6">
        <w:rPr>
          <w:b/>
        </w:rPr>
        <w:t xml:space="preserve">(Acumulado </w:t>
      </w:r>
      <w:r>
        <w:rPr>
          <w:b/>
        </w:rPr>
        <w:t>A</w:t>
      </w:r>
      <w:r w:rsidRPr="00124AD6">
        <w:rPr>
          <w:b/>
        </w:rPr>
        <w:t xml:space="preserve">nual 2010 </w:t>
      </w:r>
      <w:r w:rsidR="001D360A">
        <w:rPr>
          <w:b/>
        </w:rPr>
        <w:t>-</w:t>
      </w:r>
      <w:r w:rsidRPr="00124AD6">
        <w:rPr>
          <w:b/>
        </w:rPr>
        <w:t xml:space="preserve"> 20</w:t>
      </w:r>
      <w:r>
        <w:rPr>
          <w:b/>
        </w:rPr>
        <w:t>20*</w:t>
      </w:r>
      <w:r w:rsidRPr="00124AD6">
        <w:rPr>
          <w:b/>
        </w:rPr>
        <w:t>)</w:t>
      </w:r>
    </w:p>
    <w:p w:rsidR="00520B7E" w:rsidRDefault="00520B7E" w:rsidP="00520B7E">
      <w:pPr>
        <w:jc w:val="center"/>
        <w:rPr>
          <w:b/>
        </w:rPr>
      </w:pPr>
      <w:r>
        <w:rPr>
          <w:noProof/>
          <w:lang w:val="es-GT" w:eastAsia="es-GT"/>
        </w:rPr>
        <w:drawing>
          <wp:inline distT="0" distB="0" distL="0" distR="0" wp14:anchorId="385ADC24" wp14:editId="10BC0FDF">
            <wp:extent cx="5760720" cy="3405505"/>
            <wp:effectExtent l="0" t="0" r="11430" b="23495"/>
            <wp:docPr id="19" name="Gráfico 1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F7159A2-F0F1-4B6D-8B61-37A6EC214C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20B7E" w:rsidRPr="00117227" w:rsidRDefault="00520B7E" w:rsidP="00520B7E">
      <w:pPr>
        <w:jc w:val="both"/>
        <w:rPr>
          <w:noProof/>
          <w:sz w:val="18"/>
        </w:rPr>
      </w:pPr>
      <w:r w:rsidRPr="00117227">
        <w:rPr>
          <w:noProof/>
          <w:sz w:val="18"/>
        </w:rPr>
        <w:t>*</w:t>
      </w:r>
      <w:r>
        <w:rPr>
          <w:noProof/>
          <w:sz w:val="18"/>
        </w:rPr>
        <w:t xml:space="preserve"> </w:t>
      </w:r>
      <w:r w:rsidRPr="00117227">
        <w:rPr>
          <w:noProof/>
          <w:sz w:val="18"/>
        </w:rPr>
        <w:t xml:space="preserve">Acumulado al 30 de junio </w:t>
      </w:r>
      <w:r>
        <w:rPr>
          <w:noProof/>
          <w:sz w:val="18"/>
        </w:rPr>
        <w:t>de 2020</w:t>
      </w:r>
    </w:p>
    <w:p w:rsidR="00520B7E" w:rsidRPr="00117227" w:rsidRDefault="00520B7E" w:rsidP="00520B7E">
      <w:pPr>
        <w:jc w:val="both"/>
        <w:rPr>
          <w:noProof/>
          <w:sz w:val="18"/>
        </w:rPr>
      </w:pPr>
      <w:r>
        <w:rPr>
          <w:noProof/>
          <w:sz w:val="18"/>
        </w:rPr>
        <w:t xml:space="preserve">   </w:t>
      </w:r>
      <w:r w:rsidRPr="00117227">
        <w:rPr>
          <w:noProof/>
          <w:sz w:val="18"/>
        </w:rPr>
        <w:t>Fuente: Banco de Guatemala.</w:t>
      </w:r>
    </w:p>
    <w:p w:rsidR="00520B7E" w:rsidRDefault="00520B7E" w:rsidP="00520B7E">
      <w:pPr>
        <w:rPr>
          <w:lang w:val="es-MX"/>
        </w:rPr>
      </w:pPr>
    </w:p>
    <w:p w:rsidR="00520B7E" w:rsidRDefault="00520B7E" w:rsidP="00520B7E">
      <w:pPr>
        <w:jc w:val="both"/>
        <w:rPr>
          <w:lang w:val="es-MX"/>
        </w:rPr>
      </w:pPr>
      <w:r>
        <w:rPr>
          <w:lang w:val="es-MX"/>
        </w:rPr>
        <w:t xml:space="preserve">Las </w:t>
      </w:r>
      <w:r w:rsidRPr="00124AD6">
        <w:rPr>
          <w:lang w:val="es-MX"/>
        </w:rPr>
        <w:t>Reservas Monetarias Internacionales</w:t>
      </w:r>
      <w:r>
        <w:rPr>
          <w:lang w:val="es-MX"/>
        </w:rPr>
        <w:t xml:space="preserve"> </w:t>
      </w:r>
      <w:r w:rsidRPr="00124AD6">
        <w:rPr>
          <w:lang w:val="es-MX"/>
        </w:rPr>
        <w:t>Netas</w:t>
      </w:r>
      <w:r>
        <w:rPr>
          <w:lang w:val="es-MX"/>
        </w:rPr>
        <w:t xml:space="preserve"> </w:t>
      </w:r>
      <w:r w:rsidR="00A30A43">
        <w:rPr>
          <w:lang w:val="es-MX"/>
        </w:rPr>
        <w:t>(</w:t>
      </w:r>
      <w:r>
        <w:rPr>
          <w:lang w:val="es-MX"/>
        </w:rPr>
        <w:t>RIN</w:t>
      </w:r>
      <w:r w:rsidR="00A30A43">
        <w:rPr>
          <w:lang w:val="es-MX"/>
        </w:rPr>
        <w:t>)</w:t>
      </w:r>
      <w:r>
        <w:rPr>
          <w:lang w:val="es-MX"/>
        </w:rPr>
        <w:t xml:space="preserve">, </w:t>
      </w:r>
      <w:r w:rsidRPr="00124AD6">
        <w:rPr>
          <w:lang w:val="es-MX"/>
        </w:rPr>
        <w:t xml:space="preserve">continuaron reflejando </w:t>
      </w:r>
      <w:r>
        <w:rPr>
          <w:lang w:val="es-MX"/>
        </w:rPr>
        <w:t>l</w:t>
      </w:r>
      <w:r w:rsidRPr="00124AD6">
        <w:rPr>
          <w:lang w:val="es-MX"/>
        </w:rPr>
        <w:t xml:space="preserve">a sólida posición externa del país. </w:t>
      </w:r>
      <w:r>
        <w:rPr>
          <w:lang w:val="es-MX"/>
        </w:rPr>
        <w:t xml:space="preserve">Al 30 de junio de 2020 </w:t>
      </w:r>
      <w:r w:rsidRPr="00124AD6">
        <w:rPr>
          <w:lang w:val="es-MX"/>
        </w:rPr>
        <w:t>se situ</w:t>
      </w:r>
      <w:r>
        <w:rPr>
          <w:lang w:val="es-MX"/>
        </w:rPr>
        <w:t>aron</w:t>
      </w:r>
      <w:r w:rsidRPr="00124AD6">
        <w:rPr>
          <w:lang w:val="es-MX"/>
        </w:rPr>
        <w:t xml:space="preserve"> en US$</w:t>
      </w:r>
      <w:r>
        <w:rPr>
          <w:lang w:val="es-MX"/>
        </w:rPr>
        <w:t>16,991.8</w:t>
      </w:r>
      <w:r w:rsidRPr="00124AD6">
        <w:rPr>
          <w:lang w:val="es-MX"/>
        </w:rPr>
        <w:t xml:space="preserve"> millones, </w:t>
      </w:r>
      <w:r>
        <w:rPr>
          <w:lang w:val="es-MX"/>
        </w:rPr>
        <w:t xml:space="preserve">monto superior en </w:t>
      </w:r>
      <w:r w:rsidRPr="00124AD6">
        <w:rPr>
          <w:lang w:val="es-MX"/>
        </w:rPr>
        <w:t>US$</w:t>
      </w:r>
      <w:r>
        <w:rPr>
          <w:lang w:val="es-MX"/>
        </w:rPr>
        <w:t>2,712</w:t>
      </w:r>
      <w:r w:rsidR="00A30A43">
        <w:rPr>
          <w:lang w:val="es-MX"/>
        </w:rPr>
        <w:t>.0</w:t>
      </w:r>
      <w:r>
        <w:rPr>
          <w:lang w:val="es-MX"/>
        </w:rPr>
        <w:t xml:space="preserve"> millones, </w:t>
      </w:r>
      <w:r w:rsidRPr="00124AD6">
        <w:rPr>
          <w:lang w:val="es-MX"/>
        </w:rPr>
        <w:t>equivalente</w:t>
      </w:r>
      <w:r>
        <w:rPr>
          <w:lang w:val="es-MX"/>
        </w:rPr>
        <w:t>s</w:t>
      </w:r>
      <w:r w:rsidRPr="00124AD6">
        <w:rPr>
          <w:lang w:val="es-MX"/>
        </w:rPr>
        <w:t xml:space="preserve"> a</w:t>
      </w:r>
      <w:r w:rsidR="00A30A43">
        <w:rPr>
          <w:lang w:val="es-MX"/>
        </w:rPr>
        <w:t>l</w:t>
      </w:r>
      <w:r w:rsidRPr="00124AD6">
        <w:rPr>
          <w:lang w:val="es-MX"/>
        </w:rPr>
        <w:t xml:space="preserve"> </w:t>
      </w:r>
      <w:r>
        <w:rPr>
          <w:lang w:val="es-MX"/>
        </w:rPr>
        <w:t>9.0%</w:t>
      </w:r>
      <w:r w:rsidRPr="00124AD6">
        <w:rPr>
          <w:lang w:val="es-MX"/>
        </w:rPr>
        <w:t xml:space="preserve"> de incremento respecto a</w:t>
      </w:r>
      <w:r>
        <w:rPr>
          <w:lang w:val="es-MX"/>
        </w:rPr>
        <w:t xml:space="preserve"> diciembre</w:t>
      </w:r>
      <w:r w:rsidRPr="00124AD6">
        <w:rPr>
          <w:lang w:val="es-MX"/>
        </w:rPr>
        <w:t xml:space="preserve"> </w:t>
      </w:r>
      <w:r>
        <w:rPr>
          <w:lang w:val="es-MX"/>
        </w:rPr>
        <w:t xml:space="preserve">de </w:t>
      </w:r>
      <w:r w:rsidRPr="00124AD6">
        <w:rPr>
          <w:lang w:val="es-MX"/>
        </w:rPr>
        <w:t>201</w:t>
      </w:r>
      <w:r>
        <w:rPr>
          <w:lang w:val="es-MX"/>
        </w:rPr>
        <w:t>9</w:t>
      </w:r>
      <w:r w:rsidRPr="00124AD6">
        <w:rPr>
          <w:lang w:val="es-MX"/>
        </w:rPr>
        <w:t>.</w:t>
      </w:r>
    </w:p>
    <w:p w:rsidR="00520B7E" w:rsidRDefault="00520B7E" w:rsidP="00520B7E">
      <w:pPr>
        <w:jc w:val="both"/>
        <w:rPr>
          <w:lang w:val="es-MX"/>
        </w:rPr>
      </w:pPr>
    </w:p>
    <w:p w:rsidR="00520B7E" w:rsidRDefault="00520B7E" w:rsidP="00520B7E">
      <w:pPr>
        <w:jc w:val="both"/>
        <w:rPr>
          <w:lang w:val="es-MX"/>
        </w:rPr>
      </w:pPr>
      <w:r>
        <w:t>El resultado, se debe principalmente, a la colocación de bonos del tesoro en el mercado internacional (US$1,200.0 millones), de las compras netas por activación de la regla cambiaria (US$600.0 millones), de la acumulación de reservas (US$258.0 millones) y de la colocación en el mercado nacional de bonos expresados en dólares estadounidenses (US$198.0 millones); lo cual fue compensado parcialmente, por los pagos netos por deuda externa del sector público y por el pago de intereses de los depósitos a plazo en dólares de los Estados Unidos de América emitidos por el Gobierno de la República. El referido nivel de R</w:t>
      </w:r>
      <w:r w:rsidR="00A30A43">
        <w:t>eservas Monetarias Internacionales Netas (R</w:t>
      </w:r>
      <w:r>
        <w:t>IN</w:t>
      </w:r>
      <w:r w:rsidR="00A30A43">
        <w:t>)</w:t>
      </w:r>
      <w:r>
        <w:t xml:space="preserve"> equivale a 11 meses de importaciones de bienes, lo que refleja la sólida posición externa del país.</w:t>
      </w:r>
      <w:r>
        <w:rPr>
          <w:lang w:val="es-MX"/>
        </w:rPr>
        <w:t xml:space="preserve"> (Banco de Guatemala. </w:t>
      </w:r>
      <w:r w:rsidRPr="00BA5590">
        <w:rPr>
          <w:lang w:val="es-MX"/>
        </w:rPr>
        <w:t xml:space="preserve">Informe </w:t>
      </w:r>
      <w:r>
        <w:rPr>
          <w:lang w:val="es-MX"/>
        </w:rPr>
        <w:t>d</w:t>
      </w:r>
      <w:r w:rsidRPr="00BA5590">
        <w:rPr>
          <w:lang w:val="es-MX"/>
        </w:rPr>
        <w:t xml:space="preserve">el </w:t>
      </w:r>
      <w:r>
        <w:rPr>
          <w:lang w:val="es-MX"/>
        </w:rPr>
        <w:t>P</w:t>
      </w:r>
      <w:r w:rsidRPr="00BA5590">
        <w:rPr>
          <w:lang w:val="es-MX"/>
        </w:rPr>
        <w:t xml:space="preserve">residente </w:t>
      </w:r>
      <w:r>
        <w:rPr>
          <w:lang w:val="es-MX"/>
        </w:rPr>
        <w:t>d</w:t>
      </w:r>
      <w:r w:rsidRPr="00BA5590">
        <w:rPr>
          <w:lang w:val="es-MX"/>
        </w:rPr>
        <w:t xml:space="preserve">el Banco </w:t>
      </w:r>
      <w:r>
        <w:rPr>
          <w:lang w:val="es-MX"/>
        </w:rPr>
        <w:t>d</w:t>
      </w:r>
      <w:r w:rsidRPr="00BA5590">
        <w:rPr>
          <w:lang w:val="es-MX"/>
        </w:rPr>
        <w:t xml:space="preserve">e Guatemala </w:t>
      </w:r>
      <w:r>
        <w:rPr>
          <w:lang w:val="es-MX"/>
        </w:rPr>
        <w:t>a</w:t>
      </w:r>
      <w:r w:rsidRPr="00BA5590">
        <w:rPr>
          <w:lang w:val="es-MX"/>
        </w:rPr>
        <w:t xml:space="preserve">nte </w:t>
      </w:r>
      <w:r>
        <w:rPr>
          <w:lang w:val="es-MX"/>
        </w:rPr>
        <w:t>el</w:t>
      </w:r>
      <w:r w:rsidRPr="00BA5590">
        <w:rPr>
          <w:lang w:val="es-MX"/>
        </w:rPr>
        <w:t xml:space="preserve"> Congreso </w:t>
      </w:r>
      <w:r>
        <w:rPr>
          <w:lang w:val="es-MX"/>
        </w:rPr>
        <w:t>d</w:t>
      </w:r>
      <w:r w:rsidRPr="00BA5590">
        <w:rPr>
          <w:lang w:val="es-MX"/>
        </w:rPr>
        <w:t xml:space="preserve">e </w:t>
      </w:r>
      <w:r>
        <w:rPr>
          <w:lang w:val="es-MX"/>
        </w:rPr>
        <w:t>l</w:t>
      </w:r>
      <w:r w:rsidRPr="00BA5590">
        <w:rPr>
          <w:lang w:val="es-MX"/>
        </w:rPr>
        <w:t>a República</w:t>
      </w:r>
      <w:r>
        <w:rPr>
          <w:lang w:val="es-MX"/>
        </w:rPr>
        <w:t>, julio de 2020).</w:t>
      </w:r>
    </w:p>
    <w:p w:rsidR="00520B7E" w:rsidRDefault="00520B7E" w:rsidP="00520B7E">
      <w:pPr>
        <w:jc w:val="both"/>
        <w:rPr>
          <w:lang w:val="es-MX"/>
        </w:rPr>
      </w:pPr>
    </w:p>
    <w:p w:rsidR="00520B7E" w:rsidRPr="008A6ABA" w:rsidRDefault="00520B7E" w:rsidP="00520B7E">
      <w:pPr>
        <w:jc w:val="both"/>
        <w:rPr>
          <w:lang w:val="es-MX"/>
        </w:rPr>
      </w:pPr>
    </w:p>
    <w:p w:rsidR="00520B7E" w:rsidRDefault="00520B7E" w:rsidP="00520B7E">
      <w:pPr>
        <w:rPr>
          <w:b/>
          <w:lang w:val="es-MX"/>
        </w:rPr>
      </w:pPr>
      <w:r>
        <w:rPr>
          <w:b/>
          <w:lang w:val="es-MX"/>
        </w:rPr>
        <w:br w:type="page"/>
      </w:r>
    </w:p>
    <w:p w:rsidR="00520B7E" w:rsidRPr="00124AD6" w:rsidRDefault="00520B7E" w:rsidP="00520B7E">
      <w:pPr>
        <w:jc w:val="center"/>
        <w:rPr>
          <w:b/>
          <w:lang w:val="es-MX"/>
        </w:rPr>
      </w:pPr>
      <w:r w:rsidRPr="00124AD6">
        <w:rPr>
          <w:b/>
          <w:lang w:val="es-MX"/>
        </w:rPr>
        <w:lastRenderedPageBreak/>
        <w:t xml:space="preserve">Gráfica </w:t>
      </w:r>
      <w:r>
        <w:rPr>
          <w:b/>
          <w:lang w:val="es-MX"/>
        </w:rPr>
        <w:t>5</w:t>
      </w:r>
    </w:p>
    <w:p w:rsidR="00520B7E" w:rsidRPr="00124AD6" w:rsidRDefault="00520B7E" w:rsidP="00520B7E">
      <w:pPr>
        <w:jc w:val="center"/>
        <w:rPr>
          <w:b/>
          <w:lang w:val="es-MX"/>
        </w:rPr>
      </w:pPr>
      <w:r w:rsidRPr="00124AD6">
        <w:rPr>
          <w:b/>
          <w:lang w:val="es-MX"/>
        </w:rPr>
        <w:t>Reservas Monetarias Internacionales 2010</w:t>
      </w:r>
      <w:r>
        <w:rPr>
          <w:b/>
          <w:lang w:val="es-MX"/>
        </w:rPr>
        <w:t xml:space="preserve"> </w:t>
      </w:r>
      <w:r w:rsidRPr="00124AD6">
        <w:rPr>
          <w:b/>
          <w:lang w:val="es-MX"/>
        </w:rPr>
        <w:t>-</w:t>
      </w:r>
      <w:r>
        <w:rPr>
          <w:b/>
          <w:lang w:val="es-MX"/>
        </w:rPr>
        <w:t xml:space="preserve"> </w:t>
      </w:r>
      <w:r w:rsidRPr="00124AD6">
        <w:rPr>
          <w:b/>
          <w:lang w:val="es-MX"/>
        </w:rPr>
        <w:t>20</w:t>
      </w:r>
      <w:r>
        <w:rPr>
          <w:b/>
          <w:lang w:val="es-MX"/>
        </w:rPr>
        <w:t>20*</w:t>
      </w:r>
    </w:p>
    <w:p w:rsidR="00520B7E" w:rsidRDefault="00520B7E" w:rsidP="00520B7E">
      <w:pPr>
        <w:jc w:val="center"/>
        <w:rPr>
          <w:noProof/>
          <w:lang w:val="es-GT" w:eastAsia="es-GT"/>
        </w:rPr>
      </w:pPr>
      <w:r w:rsidRPr="00124AD6">
        <w:rPr>
          <w:b/>
          <w:lang w:val="es-MX"/>
        </w:rPr>
        <w:t>(En Millones de US Dólares)</w:t>
      </w:r>
    </w:p>
    <w:p w:rsidR="00520B7E" w:rsidRDefault="00520B7E" w:rsidP="00520B7E">
      <w:pPr>
        <w:jc w:val="center"/>
        <w:rPr>
          <w:noProof/>
          <w:lang w:val="es-GT" w:eastAsia="es-GT"/>
        </w:rPr>
      </w:pPr>
      <w:r>
        <w:rPr>
          <w:noProof/>
          <w:lang w:val="es-GT" w:eastAsia="es-GT"/>
        </w:rPr>
        <w:drawing>
          <wp:inline distT="0" distB="0" distL="0" distR="0" wp14:anchorId="19B999BB" wp14:editId="004B6BDC">
            <wp:extent cx="5760720" cy="3830320"/>
            <wp:effectExtent l="0" t="0" r="11430" b="17780"/>
            <wp:docPr id="20" name="Gráfico 20">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20B7E" w:rsidRPr="00131277" w:rsidRDefault="00520B7E" w:rsidP="00520B7E">
      <w:pPr>
        <w:rPr>
          <w:sz w:val="18"/>
          <w:lang w:val="es-MX"/>
        </w:rPr>
      </w:pPr>
      <w:r w:rsidRPr="00131277">
        <w:rPr>
          <w:sz w:val="18"/>
          <w:lang w:val="es-MX"/>
        </w:rPr>
        <w:t>*</w:t>
      </w:r>
      <w:r>
        <w:rPr>
          <w:sz w:val="18"/>
          <w:lang w:val="es-MX"/>
        </w:rPr>
        <w:t xml:space="preserve"> </w:t>
      </w:r>
      <w:r w:rsidRPr="00131277">
        <w:rPr>
          <w:sz w:val="18"/>
          <w:lang w:val="es-MX"/>
        </w:rPr>
        <w:t>Acumulado al 30 de junio de 2</w:t>
      </w:r>
      <w:r>
        <w:rPr>
          <w:sz w:val="18"/>
          <w:lang w:val="es-MX"/>
        </w:rPr>
        <w:t>020</w:t>
      </w:r>
    </w:p>
    <w:p w:rsidR="00520B7E" w:rsidRPr="00124AD6" w:rsidRDefault="00520B7E" w:rsidP="00520B7E">
      <w:pPr>
        <w:rPr>
          <w:lang w:val="es-MX"/>
        </w:rPr>
      </w:pPr>
      <w:r>
        <w:rPr>
          <w:sz w:val="18"/>
          <w:lang w:val="es-MX"/>
        </w:rPr>
        <w:t xml:space="preserve">   </w:t>
      </w:r>
      <w:r w:rsidRPr="00131277">
        <w:rPr>
          <w:sz w:val="18"/>
          <w:lang w:val="es-MX"/>
        </w:rPr>
        <w:t>Fuente: Banco de Guatemala</w:t>
      </w:r>
      <w:r>
        <w:rPr>
          <w:sz w:val="16"/>
          <w:lang w:val="es-MX"/>
        </w:rPr>
        <w:t>.</w:t>
      </w:r>
    </w:p>
    <w:p w:rsidR="00520B7E" w:rsidRDefault="00520B7E" w:rsidP="00520B7E">
      <w:pPr>
        <w:rPr>
          <w:lang w:val="es-MX"/>
        </w:rPr>
      </w:pPr>
    </w:p>
    <w:p w:rsidR="00520B7E" w:rsidRPr="00AA5C01" w:rsidRDefault="00520B7E" w:rsidP="00520B7E">
      <w:pPr>
        <w:jc w:val="both"/>
        <w:rPr>
          <w:sz w:val="14"/>
          <w:lang w:val="es-MX"/>
        </w:rPr>
      </w:pPr>
    </w:p>
    <w:p w:rsidR="00520B7E" w:rsidRDefault="00520B7E" w:rsidP="00520B7E">
      <w:pPr>
        <w:jc w:val="both"/>
      </w:pPr>
      <w:r>
        <w:rPr>
          <w:lang w:val="es-MX"/>
        </w:rPr>
        <w:t xml:space="preserve">Respecto de la Tasa Líder de Política Monetaria, </w:t>
      </w:r>
      <w:r>
        <w:t>durante el primer semestre de 2020, conforme el calendario previsto, la Junta Monetaria se reunió en febrero, marzo (incluyendo una reunión extraordinaria), abril, mayo y junio para decidir sobre el nivel de la tasa de interés líder de política monetaria. En dichas sesiones, la Junta Monetaria decidió reducir dicha tasa desde 2.75% hasta 1.75%, tomando como base el análisis integral de la coyuntura tanto externa como interna, expresado en un b</w:t>
      </w:r>
      <w:r w:rsidR="008C2F06">
        <w:t>alance de riesgos de inflación.</w:t>
      </w:r>
    </w:p>
    <w:p w:rsidR="00520B7E" w:rsidRDefault="00520B7E" w:rsidP="00520B7E">
      <w:pPr>
        <w:jc w:val="both"/>
      </w:pPr>
    </w:p>
    <w:p w:rsidR="00520B7E" w:rsidRDefault="00520B7E" w:rsidP="00520B7E">
      <w:pPr>
        <w:jc w:val="both"/>
      </w:pPr>
      <w:r>
        <w:t>En el ámbito externo, entre otros aspectos, destacó que las perspectivas de crecimiento económico a nivel mundial siguieron deteriorándose y que los riesgos continúan sesgados a la baja, debido a los efectos negativos derivados de la propagación del C</w:t>
      </w:r>
      <w:r w:rsidR="008C2F06">
        <w:t>ovid</w:t>
      </w:r>
      <w:r>
        <w:t xml:space="preserve">-19 a nivel internacional, por lo que el crecimiento económico tanto para 2020 como para 2021, sería menor a lo </w:t>
      </w:r>
      <w:r w:rsidR="008C2F06">
        <w:t xml:space="preserve">que se </w:t>
      </w:r>
      <w:r>
        <w:t>previ</w:t>
      </w:r>
      <w:r w:rsidR="008C2F06">
        <w:t>ó</w:t>
      </w:r>
      <w:r>
        <w:t xml:space="preserve"> en abril</w:t>
      </w:r>
      <w:r w:rsidR="008C2F06">
        <w:t xml:space="preserve"> de 2020</w:t>
      </w:r>
      <w:r>
        <w:t>. En cuanto al precio promedio internacional del petróleo, los pronósticos para 2020 y para 2021, en el escenario base, anticipan menores precios respecto del precio</w:t>
      </w:r>
      <w:r w:rsidR="004C0C9B">
        <w:t xml:space="preserve"> medio observado en 2019.</w:t>
      </w:r>
    </w:p>
    <w:p w:rsidR="00520B7E" w:rsidRDefault="00520B7E" w:rsidP="00520B7E">
      <w:pPr>
        <w:jc w:val="both"/>
      </w:pPr>
    </w:p>
    <w:p w:rsidR="00520B7E" w:rsidRDefault="00520B7E" w:rsidP="00520B7E">
      <w:r>
        <w:br w:type="page"/>
      </w:r>
    </w:p>
    <w:p w:rsidR="00520B7E" w:rsidRDefault="00520B7E" w:rsidP="00520B7E">
      <w:pPr>
        <w:jc w:val="both"/>
        <w:rPr>
          <w:lang w:val="es-MX"/>
        </w:rPr>
      </w:pPr>
      <w:r>
        <w:lastRenderedPageBreak/>
        <w:t>En el ámbito interno, señaló que el comportamiento de algunos de los principales indicadores de corto plazo de la actividad económica del país, continuaron reflejando el impacto derivado del C</w:t>
      </w:r>
      <w:r w:rsidR="004C0C9B">
        <w:t>ovid</w:t>
      </w:r>
      <w:r>
        <w:t xml:space="preserve">-19, tanto a nivel local </w:t>
      </w:r>
      <w:r w:rsidR="004C0C9B">
        <w:t>como</w:t>
      </w:r>
      <w:r>
        <w:t xml:space="preserve"> internacional. En efecto, el Índice Mensual de la Actividad Económica (IMAE) y las importaciones muestran una desaceleración relevante, que ha sido moderada, parcialmente, por un mejor comportamiento, respecto de lo previsto, de las exportaciones, de las remesas familiares y del crédito bancario al sector privado. En ese contexto, la Junta Monetaria revisó el crecimiento económico anual previsto para 2020 a un rango entre -3.5% y -1.5%, el cual se estaría recuperando en 2021 (entre 2.0% y 4.0%). En adición, la Junta Monetaria señaló que, en este nuevo escenario, los pronósticos de inflación para 2020 y 2021 reflejan una moderación y que las expectativas inflacionarias se mantienen ancladas a la meta.  </w:t>
      </w:r>
      <w:r>
        <w:rPr>
          <w:lang w:val="es-MX"/>
        </w:rPr>
        <w:t xml:space="preserve">(Banco de Guatemala. </w:t>
      </w:r>
      <w:r w:rsidRPr="00BA5590">
        <w:rPr>
          <w:lang w:val="es-MX"/>
        </w:rPr>
        <w:t xml:space="preserve">Informe </w:t>
      </w:r>
      <w:r>
        <w:rPr>
          <w:lang w:val="es-MX"/>
        </w:rPr>
        <w:t>d</w:t>
      </w:r>
      <w:r w:rsidRPr="00BA5590">
        <w:rPr>
          <w:lang w:val="es-MX"/>
        </w:rPr>
        <w:t xml:space="preserve">el </w:t>
      </w:r>
      <w:r>
        <w:rPr>
          <w:lang w:val="es-MX"/>
        </w:rPr>
        <w:t>P</w:t>
      </w:r>
      <w:r w:rsidRPr="00BA5590">
        <w:rPr>
          <w:lang w:val="es-MX"/>
        </w:rPr>
        <w:t xml:space="preserve">residente </w:t>
      </w:r>
      <w:r>
        <w:rPr>
          <w:lang w:val="es-MX"/>
        </w:rPr>
        <w:t>d</w:t>
      </w:r>
      <w:r w:rsidRPr="00BA5590">
        <w:rPr>
          <w:lang w:val="es-MX"/>
        </w:rPr>
        <w:t xml:space="preserve">el Banco </w:t>
      </w:r>
      <w:r>
        <w:rPr>
          <w:lang w:val="es-MX"/>
        </w:rPr>
        <w:t>d</w:t>
      </w:r>
      <w:r w:rsidRPr="00BA5590">
        <w:rPr>
          <w:lang w:val="es-MX"/>
        </w:rPr>
        <w:t xml:space="preserve">e Guatemala </w:t>
      </w:r>
      <w:r>
        <w:rPr>
          <w:lang w:val="es-MX"/>
        </w:rPr>
        <w:t>a</w:t>
      </w:r>
      <w:r w:rsidRPr="00BA5590">
        <w:rPr>
          <w:lang w:val="es-MX"/>
        </w:rPr>
        <w:t xml:space="preserve">nte </w:t>
      </w:r>
      <w:r>
        <w:rPr>
          <w:lang w:val="es-MX"/>
        </w:rPr>
        <w:t>el</w:t>
      </w:r>
      <w:r w:rsidRPr="00BA5590">
        <w:rPr>
          <w:lang w:val="es-MX"/>
        </w:rPr>
        <w:t xml:space="preserve"> Congreso </w:t>
      </w:r>
      <w:r>
        <w:rPr>
          <w:lang w:val="es-MX"/>
        </w:rPr>
        <w:t>d</w:t>
      </w:r>
      <w:r w:rsidRPr="00BA5590">
        <w:rPr>
          <w:lang w:val="es-MX"/>
        </w:rPr>
        <w:t xml:space="preserve">e </w:t>
      </w:r>
      <w:r>
        <w:rPr>
          <w:lang w:val="es-MX"/>
        </w:rPr>
        <w:t>l</w:t>
      </w:r>
      <w:r w:rsidRPr="00BA5590">
        <w:rPr>
          <w:lang w:val="es-MX"/>
        </w:rPr>
        <w:t>a República</w:t>
      </w:r>
      <w:r>
        <w:rPr>
          <w:lang w:val="es-MX"/>
        </w:rPr>
        <w:t>, julio de 2020).</w:t>
      </w:r>
    </w:p>
    <w:p w:rsidR="00520B7E" w:rsidRPr="002A0240" w:rsidRDefault="00520B7E" w:rsidP="00520B7E">
      <w:pPr>
        <w:jc w:val="both"/>
        <w:rPr>
          <w:lang w:val="es-MX"/>
        </w:rPr>
      </w:pPr>
    </w:p>
    <w:p w:rsidR="00520B7E" w:rsidRDefault="00520B7E" w:rsidP="00520B7E">
      <w:pPr>
        <w:jc w:val="both"/>
        <w:rPr>
          <w:b/>
          <w:lang w:val="es-MX"/>
        </w:rPr>
      </w:pPr>
    </w:p>
    <w:p w:rsidR="00520B7E" w:rsidRPr="00124AD6" w:rsidRDefault="00520B7E" w:rsidP="00520B7E">
      <w:pPr>
        <w:jc w:val="center"/>
        <w:rPr>
          <w:b/>
          <w:lang w:val="es-MX"/>
        </w:rPr>
      </w:pPr>
      <w:r w:rsidRPr="00124AD6">
        <w:rPr>
          <w:b/>
          <w:lang w:val="es-MX"/>
        </w:rPr>
        <w:t xml:space="preserve">Gráfica </w:t>
      </w:r>
      <w:r>
        <w:rPr>
          <w:b/>
          <w:lang w:val="es-MX"/>
        </w:rPr>
        <w:t>6</w:t>
      </w:r>
    </w:p>
    <w:p w:rsidR="00520B7E" w:rsidRPr="00124AD6" w:rsidRDefault="00520B7E" w:rsidP="00520B7E">
      <w:pPr>
        <w:jc w:val="center"/>
        <w:rPr>
          <w:b/>
          <w:lang w:val="es-MX"/>
        </w:rPr>
      </w:pPr>
      <w:r w:rsidRPr="00124AD6">
        <w:rPr>
          <w:b/>
          <w:lang w:val="es-MX"/>
        </w:rPr>
        <w:t xml:space="preserve">Tasa </w:t>
      </w:r>
      <w:r>
        <w:rPr>
          <w:b/>
          <w:lang w:val="es-MX"/>
        </w:rPr>
        <w:t xml:space="preserve">de Interés </w:t>
      </w:r>
      <w:r w:rsidRPr="00124AD6">
        <w:rPr>
          <w:b/>
          <w:lang w:val="es-MX"/>
        </w:rPr>
        <w:t>Líder</w:t>
      </w:r>
      <w:r>
        <w:rPr>
          <w:b/>
          <w:lang w:val="es-MX"/>
        </w:rPr>
        <w:t xml:space="preserve"> </w:t>
      </w:r>
      <w:r w:rsidRPr="00124AD6">
        <w:rPr>
          <w:b/>
          <w:lang w:val="es-MX"/>
        </w:rPr>
        <w:t xml:space="preserve">de </w:t>
      </w:r>
      <w:r>
        <w:rPr>
          <w:b/>
          <w:lang w:val="es-MX"/>
        </w:rPr>
        <w:t xml:space="preserve">la </w:t>
      </w:r>
      <w:r w:rsidRPr="00124AD6">
        <w:rPr>
          <w:b/>
          <w:lang w:val="es-MX"/>
        </w:rPr>
        <w:t>Política Monetaria</w:t>
      </w:r>
    </w:p>
    <w:p w:rsidR="00520B7E" w:rsidRPr="00124AD6" w:rsidRDefault="00520B7E" w:rsidP="00520B7E">
      <w:pPr>
        <w:jc w:val="center"/>
        <w:rPr>
          <w:b/>
          <w:lang w:val="es-MX"/>
        </w:rPr>
      </w:pPr>
      <w:r w:rsidRPr="00124AD6">
        <w:rPr>
          <w:b/>
          <w:lang w:val="es-MX"/>
        </w:rPr>
        <w:t>(Período enero 20</w:t>
      </w:r>
      <w:r>
        <w:rPr>
          <w:b/>
          <w:lang w:val="es-MX"/>
        </w:rPr>
        <w:t>10</w:t>
      </w:r>
      <w:r w:rsidRPr="00124AD6">
        <w:rPr>
          <w:b/>
          <w:lang w:val="es-MX"/>
        </w:rPr>
        <w:t xml:space="preserve"> - </w:t>
      </w:r>
      <w:r>
        <w:rPr>
          <w:b/>
          <w:lang w:val="es-MX"/>
        </w:rPr>
        <w:t>junio</w:t>
      </w:r>
      <w:r w:rsidRPr="00124AD6">
        <w:rPr>
          <w:b/>
          <w:lang w:val="es-MX"/>
        </w:rPr>
        <w:t xml:space="preserve"> 20</w:t>
      </w:r>
      <w:r>
        <w:rPr>
          <w:b/>
          <w:lang w:val="es-MX"/>
        </w:rPr>
        <w:t>20</w:t>
      </w:r>
      <w:r w:rsidRPr="00124AD6">
        <w:rPr>
          <w:b/>
          <w:lang w:val="es-MX"/>
        </w:rPr>
        <w:t>)</w:t>
      </w:r>
    </w:p>
    <w:p w:rsidR="00520B7E" w:rsidRDefault="00520B7E" w:rsidP="00520B7E">
      <w:pPr>
        <w:jc w:val="both"/>
        <w:rPr>
          <w:lang w:val="es-MX"/>
        </w:rPr>
      </w:pPr>
      <w:r>
        <w:rPr>
          <w:noProof/>
          <w:lang w:val="es-GT" w:eastAsia="es-GT"/>
        </w:rPr>
        <w:drawing>
          <wp:inline distT="0" distB="0" distL="0" distR="0" wp14:anchorId="687590FD" wp14:editId="0148315A">
            <wp:extent cx="5760720" cy="2557780"/>
            <wp:effectExtent l="0" t="0" r="11430" b="13970"/>
            <wp:docPr id="21" name="Gráfico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6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20B7E" w:rsidRPr="00442774" w:rsidRDefault="00520B7E" w:rsidP="00520B7E">
      <w:pPr>
        <w:rPr>
          <w:sz w:val="16"/>
          <w:lang w:val="es-MX"/>
        </w:rPr>
      </w:pPr>
      <w:r w:rsidRPr="00565001">
        <w:rPr>
          <w:sz w:val="18"/>
          <w:lang w:val="es-MX"/>
        </w:rPr>
        <w:t>Fuente: Banco de Guatemala</w:t>
      </w:r>
      <w:r>
        <w:rPr>
          <w:sz w:val="16"/>
          <w:lang w:val="es-MX"/>
        </w:rPr>
        <w:t>.</w:t>
      </w:r>
    </w:p>
    <w:p w:rsidR="00520B7E" w:rsidRDefault="00520B7E" w:rsidP="00520B7E">
      <w:pPr>
        <w:jc w:val="both"/>
        <w:rPr>
          <w:lang w:val="es-MX"/>
        </w:rPr>
      </w:pPr>
    </w:p>
    <w:p w:rsidR="00520B7E" w:rsidRDefault="00520B7E" w:rsidP="00520B7E">
      <w:pPr>
        <w:jc w:val="both"/>
        <w:rPr>
          <w:lang w:val="es-MX"/>
        </w:rPr>
      </w:pPr>
    </w:p>
    <w:p w:rsidR="00520B7E" w:rsidRDefault="00520B7E" w:rsidP="00520B7E">
      <w:pPr>
        <w:jc w:val="both"/>
        <w:rPr>
          <w:b/>
          <w:lang w:val="es-MX"/>
        </w:rPr>
      </w:pPr>
      <w:r w:rsidRPr="00F27DAA">
        <w:rPr>
          <w:lang w:val="es-MX"/>
        </w:rPr>
        <w:t xml:space="preserve">De acuerdo con el Banco de Guatemala, </w:t>
      </w:r>
      <w:r>
        <w:rPr>
          <w:lang w:val="es-MX"/>
        </w:rPr>
        <w:t>e</w:t>
      </w:r>
      <w:r w:rsidRPr="00F27DAA">
        <w:rPr>
          <w:lang w:val="es-MX"/>
        </w:rPr>
        <w:t xml:space="preserve">l tipo de cambio </w:t>
      </w:r>
      <w:r>
        <w:rPr>
          <w:lang w:val="es-MX"/>
        </w:rPr>
        <w:t xml:space="preserve">promedio </w:t>
      </w:r>
      <w:r w:rsidRPr="00F27DAA">
        <w:rPr>
          <w:lang w:val="es-MX"/>
        </w:rPr>
        <w:t>nominal registró, al 30 de junio</w:t>
      </w:r>
      <w:r>
        <w:rPr>
          <w:lang w:val="es-MX"/>
        </w:rPr>
        <w:t xml:space="preserve"> de 2020 un valor de Q.7.68 por US$1.00, </w:t>
      </w:r>
      <w:r w:rsidRPr="00F27DAA">
        <w:rPr>
          <w:lang w:val="es-MX"/>
        </w:rPr>
        <w:t>resultado asociado al comportamiento</w:t>
      </w:r>
      <w:r>
        <w:rPr>
          <w:lang w:val="es-MX"/>
        </w:rPr>
        <w:t xml:space="preserve"> de</w:t>
      </w:r>
      <w:r w:rsidRPr="00F27DAA">
        <w:rPr>
          <w:lang w:val="es-MX"/>
        </w:rPr>
        <w:t xml:space="preserve"> factores </w:t>
      </w:r>
      <w:r>
        <w:rPr>
          <w:lang w:val="es-MX"/>
        </w:rPr>
        <w:t>como</w:t>
      </w:r>
      <w:r w:rsidRPr="00F27DAA">
        <w:rPr>
          <w:lang w:val="es-MX"/>
        </w:rPr>
        <w:t xml:space="preserve"> el flujo de remesas familiares</w:t>
      </w:r>
      <w:r>
        <w:rPr>
          <w:lang w:val="es-MX"/>
        </w:rPr>
        <w:t>,</w:t>
      </w:r>
      <w:r w:rsidRPr="00F27DAA">
        <w:rPr>
          <w:lang w:val="es-MX"/>
        </w:rPr>
        <w:t xml:space="preserve"> que creció a un menor ritmo respecto del año previo</w:t>
      </w:r>
      <w:r>
        <w:rPr>
          <w:lang w:val="es-MX"/>
        </w:rPr>
        <w:t>.</w:t>
      </w:r>
    </w:p>
    <w:p w:rsidR="00520B7E" w:rsidRDefault="00520B7E" w:rsidP="00520B7E">
      <w:pPr>
        <w:rPr>
          <w:b/>
          <w:lang w:val="es-MX"/>
        </w:rPr>
      </w:pPr>
    </w:p>
    <w:p w:rsidR="00520B7E" w:rsidRDefault="00520B7E" w:rsidP="00520B7E">
      <w:r>
        <w:br w:type="page"/>
      </w:r>
    </w:p>
    <w:p w:rsidR="00520B7E" w:rsidRDefault="00520B7E" w:rsidP="00520B7E">
      <w:pPr>
        <w:jc w:val="both"/>
      </w:pPr>
      <w:r>
        <w:lastRenderedPageBreak/>
        <w:t>El Banco de Guatemala, conforme a la política cambiaria vigente utilizó la regla de participación en el Mercado Institucional de Divisas en el acumulado al 30 de junio de 2020</w:t>
      </w:r>
      <w:r w:rsidR="006C6C34">
        <w:t>; en ese sentido,</w:t>
      </w:r>
      <w:r>
        <w:t xml:space="preserve"> el Banco de Guatemala por el mecanismo de activación de la regla cambiaria compró US$1,021.7 millones y efectuó ventas por US$421.7 millones; por otra parte, por el mecanismo de acumulación de reservas monetarias internacionales se registraron compras por US$258.0 millones.</w:t>
      </w:r>
    </w:p>
    <w:p w:rsidR="00520B7E" w:rsidRDefault="00520B7E" w:rsidP="00520B7E">
      <w:pPr>
        <w:rPr>
          <w:b/>
          <w:lang w:val="es-MX"/>
        </w:rPr>
      </w:pPr>
    </w:p>
    <w:p w:rsidR="00520B7E" w:rsidRPr="00124AD6" w:rsidRDefault="00520B7E" w:rsidP="00520B7E">
      <w:pPr>
        <w:jc w:val="center"/>
        <w:rPr>
          <w:b/>
          <w:lang w:val="es-MX"/>
        </w:rPr>
      </w:pPr>
      <w:r w:rsidRPr="00124AD6">
        <w:rPr>
          <w:b/>
          <w:lang w:val="es-MX"/>
        </w:rPr>
        <w:t xml:space="preserve">Gráfica </w:t>
      </w:r>
      <w:r>
        <w:rPr>
          <w:b/>
          <w:lang w:val="es-MX"/>
        </w:rPr>
        <w:t>7</w:t>
      </w:r>
    </w:p>
    <w:p w:rsidR="00520B7E" w:rsidRPr="00124AD6" w:rsidRDefault="00520B7E" w:rsidP="00520B7E">
      <w:pPr>
        <w:jc w:val="center"/>
        <w:rPr>
          <w:b/>
          <w:lang w:val="es-MX"/>
        </w:rPr>
      </w:pPr>
      <w:r w:rsidRPr="00124AD6">
        <w:rPr>
          <w:b/>
          <w:lang w:val="es-MX"/>
        </w:rPr>
        <w:t>Tipo de Cambio</w:t>
      </w:r>
    </w:p>
    <w:p w:rsidR="00520B7E" w:rsidRDefault="00520B7E" w:rsidP="00520B7E">
      <w:pPr>
        <w:jc w:val="center"/>
        <w:rPr>
          <w:b/>
          <w:lang w:val="es-MX"/>
        </w:rPr>
      </w:pPr>
      <w:r w:rsidRPr="00124AD6">
        <w:rPr>
          <w:b/>
          <w:lang w:val="es-MX"/>
        </w:rPr>
        <w:t>(Quetzales por US</w:t>
      </w:r>
      <w:r>
        <w:rPr>
          <w:b/>
          <w:lang w:val="es-MX"/>
        </w:rPr>
        <w:t>$1.00</w:t>
      </w:r>
      <w:r w:rsidRPr="00124AD6">
        <w:rPr>
          <w:b/>
          <w:lang w:val="es-MX"/>
        </w:rPr>
        <w:t>)</w:t>
      </w:r>
    </w:p>
    <w:p w:rsidR="00520B7E" w:rsidRDefault="00520B7E" w:rsidP="00520B7E">
      <w:pPr>
        <w:jc w:val="center"/>
        <w:rPr>
          <w:b/>
          <w:lang w:val="es-MX"/>
        </w:rPr>
      </w:pPr>
      <w:r>
        <w:rPr>
          <w:noProof/>
          <w:lang w:val="es-GT" w:eastAsia="es-GT"/>
        </w:rPr>
        <w:drawing>
          <wp:inline distT="0" distB="0" distL="0" distR="0" wp14:anchorId="4999F9B9" wp14:editId="330E189C">
            <wp:extent cx="5760720" cy="2454910"/>
            <wp:effectExtent l="0" t="0" r="11430" b="21590"/>
            <wp:docPr id="24" name="Gráfico 2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20B7E" w:rsidRDefault="00520B7E" w:rsidP="00520B7E">
      <w:pPr>
        <w:rPr>
          <w:sz w:val="16"/>
          <w:lang w:val="es-MX"/>
        </w:rPr>
      </w:pPr>
      <w:r w:rsidRPr="00565001">
        <w:rPr>
          <w:sz w:val="18"/>
          <w:lang w:val="es-MX"/>
        </w:rPr>
        <w:t>Fuente: Banco de Guatemala</w:t>
      </w:r>
      <w:r>
        <w:rPr>
          <w:sz w:val="16"/>
          <w:lang w:val="es-MX"/>
        </w:rPr>
        <w:t>.</w:t>
      </w:r>
    </w:p>
    <w:p w:rsidR="00520B7E" w:rsidRDefault="00520B7E" w:rsidP="00520B7E">
      <w:pPr>
        <w:rPr>
          <w:sz w:val="16"/>
          <w:lang w:val="es-MX"/>
        </w:rPr>
      </w:pPr>
    </w:p>
    <w:p w:rsidR="00520B7E" w:rsidRDefault="00520B7E" w:rsidP="00520B7E"/>
    <w:p w:rsidR="00520B7E" w:rsidRDefault="00520B7E" w:rsidP="00520B7E">
      <w:pPr>
        <w:rPr>
          <w:sz w:val="16"/>
          <w:lang w:val="es-MX"/>
        </w:rPr>
      </w:pPr>
      <w:r>
        <w:rPr>
          <w:sz w:val="16"/>
          <w:lang w:val="es-MX"/>
        </w:rPr>
        <w:br w:type="page"/>
      </w:r>
    </w:p>
    <w:p w:rsidR="00520B7E" w:rsidRDefault="00520B7E" w:rsidP="00520B7E">
      <w:pPr>
        <w:rPr>
          <w:sz w:val="16"/>
          <w:lang w:val="es-MX"/>
        </w:rPr>
      </w:pPr>
    </w:p>
    <w:p w:rsidR="00520B7E" w:rsidRPr="00680C5C" w:rsidRDefault="00520B7E" w:rsidP="00520B7E">
      <w:pPr>
        <w:pStyle w:val="Ttulo1"/>
        <w:numPr>
          <w:ilvl w:val="0"/>
          <w:numId w:val="2"/>
        </w:numPr>
        <w:tabs>
          <w:tab w:val="num" w:pos="0"/>
        </w:tabs>
        <w:suppressAutoHyphens/>
        <w:ind w:left="709"/>
      </w:pPr>
      <w:bookmarkStart w:id="9" w:name="_Toc47610373"/>
      <w:bookmarkStart w:id="10" w:name="_Toc51925243"/>
      <w:r w:rsidRPr="00680C5C">
        <w:t>Situación Financiera de la Administración Central</w:t>
      </w:r>
      <w:bookmarkEnd w:id="9"/>
      <w:bookmarkEnd w:id="10"/>
    </w:p>
    <w:p w:rsidR="00520B7E" w:rsidRPr="00835314" w:rsidRDefault="00520B7E" w:rsidP="00F073BE">
      <w:pPr>
        <w:pStyle w:val="Ttulo2"/>
        <w:numPr>
          <w:ilvl w:val="0"/>
          <w:numId w:val="11"/>
        </w:numPr>
        <w:ind w:left="709" w:hanging="709"/>
        <w:rPr>
          <w:rFonts w:ascii="Times New Roman" w:hAnsi="Times New Roman"/>
          <w:color w:val="auto"/>
          <w:sz w:val="24"/>
        </w:rPr>
      </w:pPr>
      <w:bookmarkStart w:id="11" w:name="_Toc47610374"/>
      <w:bookmarkStart w:id="12" w:name="_Toc51925244"/>
      <w:r w:rsidRPr="00835314">
        <w:rPr>
          <w:rFonts w:ascii="Times New Roman" w:hAnsi="Times New Roman"/>
          <w:color w:val="auto"/>
          <w:sz w:val="24"/>
        </w:rPr>
        <w:t>Ingresos</w:t>
      </w:r>
      <w:bookmarkEnd w:id="11"/>
      <w:bookmarkEnd w:id="12"/>
    </w:p>
    <w:p w:rsidR="00520B7E" w:rsidRDefault="00520B7E" w:rsidP="00520B7E">
      <w:pPr>
        <w:pStyle w:val="Default"/>
        <w:jc w:val="both"/>
        <w:rPr>
          <w:rFonts w:ascii="Times New Roman" w:hAnsi="Times New Roman" w:cs="Times New Roman"/>
        </w:rPr>
      </w:pPr>
    </w:p>
    <w:p w:rsidR="00520B7E" w:rsidRPr="009562D6" w:rsidRDefault="00520B7E" w:rsidP="00520B7E">
      <w:pPr>
        <w:jc w:val="both"/>
        <w:rPr>
          <w:rFonts w:eastAsia="OptimaLTStd"/>
          <w:color w:val="000000"/>
          <w:lang w:val="es-MX"/>
        </w:rPr>
      </w:pPr>
      <w:r w:rsidRPr="009562D6">
        <w:rPr>
          <w:rFonts w:eastAsia="OptimaLTStd"/>
          <w:color w:val="000000"/>
          <w:lang w:val="es-MX"/>
        </w:rPr>
        <w:t xml:space="preserve">La recaudación de ingresos tributarios acumulada al 31 de diciembre de 2019 se ubicó en Q.62,593.6 millones, lo que representó un incremento de 6.4% respecto de lo observado para el Ejercicio Fiscal 2018. El crecimiento estuvo apoyado por la recaudación de los impuestos internos, el Impuesto al Valor Agregado Doméstico 10.2%; a la Distribución de Bebidas 10.0%; Tabacos y sus </w:t>
      </w:r>
      <w:r w:rsidR="00E110D1">
        <w:rPr>
          <w:rFonts w:eastAsia="OptimaLTStd"/>
          <w:color w:val="000000"/>
          <w:lang w:val="es-MX"/>
        </w:rPr>
        <w:t>P</w:t>
      </w:r>
      <w:r w:rsidRPr="009562D6">
        <w:rPr>
          <w:rFonts w:eastAsia="OptimaLTStd"/>
          <w:color w:val="000000"/>
          <w:lang w:val="es-MX"/>
        </w:rPr>
        <w:t xml:space="preserve">roductos 7.5%; Distribución de Cemento 6.6%; e Impuesto de Solidaridad 2.6%.  </w:t>
      </w:r>
      <w:r w:rsidR="00E110D1">
        <w:rPr>
          <w:rFonts w:eastAsia="OptimaLTStd"/>
          <w:color w:val="000000"/>
          <w:lang w:val="es-MX"/>
        </w:rPr>
        <w:t>En l</w:t>
      </w:r>
      <w:r w:rsidRPr="009562D6">
        <w:rPr>
          <w:rFonts w:eastAsia="OptimaLTStd"/>
          <w:color w:val="000000"/>
          <w:lang w:val="es-MX"/>
        </w:rPr>
        <w:t>os impuestos al comercio exterior, el Impuesto al Valor Agregado a las Importaciones mostró un crecimiento de 5.8%; mientras que los Derechos Arancelarios de Importación crecieron en el orden de 5.3%.</w:t>
      </w:r>
    </w:p>
    <w:p w:rsidR="00520B7E" w:rsidRPr="009562D6" w:rsidRDefault="00520B7E" w:rsidP="00520B7E">
      <w:pPr>
        <w:jc w:val="both"/>
        <w:rPr>
          <w:rFonts w:eastAsia="OptimaLTStd"/>
          <w:color w:val="000000"/>
          <w:lang w:val="es-MX"/>
        </w:rPr>
      </w:pPr>
    </w:p>
    <w:p w:rsidR="00520B7E" w:rsidRDefault="00520B7E" w:rsidP="00520B7E">
      <w:pPr>
        <w:jc w:val="both"/>
      </w:pPr>
      <w:r w:rsidRPr="009562D6">
        <w:rPr>
          <w:rFonts w:eastAsia="OptimaLTStd"/>
          <w:color w:val="000000"/>
          <w:lang w:val="es-MX"/>
        </w:rPr>
        <w:t>En ese contexto, el convenio de metas de recaudación para el Ejercicio Fiscal 2020, prevé una recaudación en el orden de Q</w:t>
      </w:r>
      <w:r w:rsidR="00E110D1">
        <w:rPr>
          <w:rFonts w:eastAsia="OptimaLTStd"/>
          <w:color w:val="000000"/>
          <w:lang w:val="es-MX"/>
        </w:rPr>
        <w:t>.</w:t>
      </w:r>
      <w:r w:rsidRPr="009562D6">
        <w:rPr>
          <w:rFonts w:eastAsia="OptimaLTStd"/>
          <w:color w:val="000000"/>
          <w:lang w:val="es-MX"/>
        </w:rPr>
        <w:t xml:space="preserve">64,027.7 millones; sin embargo, en la coyuntura actual, los ingresos tributarios se </w:t>
      </w:r>
      <w:r>
        <w:rPr>
          <w:rFonts w:eastAsia="OptimaLTStd"/>
          <w:color w:val="000000"/>
          <w:lang w:val="es-MX"/>
        </w:rPr>
        <w:t>han visto</w:t>
      </w:r>
      <w:r w:rsidRPr="009562D6">
        <w:rPr>
          <w:rFonts w:eastAsia="OptimaLTStd"/>
          <w:color w:val="000000"/>
          <w:lang w:val="es-MX"/>
        </w:rPr>
        <w:t xml:space="preserve"> afectados por la fuerte contracción de la actividad económica, disminución en los precios de las materias primas, particularmente los combustibles, y la reducción en el flujo de importaciones</w:t>
      </w:r>
      <w:r>
        <w:rPr>
          <w:rFonts w:eastAsia="OptimaLTStd"/>
          <w:color w:val="000000"/>
          <w:lang w:val="es-MX"/>
        </w:rPr>
        <w:t xml:space="preserve">, factores que imposibilitan el cumplimiento de las metas acordadas. </w:t>
      </w:r>
      <w:r>
        <w:t xml:space="preserve">Al 30 de junio </w:t>
      </w:r>
      <w:r w:rsidR="00E110D1">
        <w:t xml:space="preserve">de </w:t>
      </w:r>
      <w:r>
        <w:t xml:space="preserve">2020 los ingresos tributarios netos </w:t>
      </w:r>
      <w:r w:rsidRPr="00923BF4">
        <w:t xml:space="preserve">acumulados </w:t>
      </w:r>
      <w:r>
        <w:t>muestran ya esos efectos al presentar una disminución en términos absolutos de Q.1,593.3 millones</w:t>
      </w:r>
      <w:r w:rsidRPr="00923BF4">
        <w:t xml:space="preserve"> </w:t>
      </w:r>
      <w:r>
        <w:t>(equivalente al -5.3</w:t>
      </w:r>
      <w:r w:rsidRPr="00923BF4">
        <w:t>%</w:t>
      </w:r>
      <w:r>
        <w:t>) respecto del mismo periodo en 2019</w:t>
      </w:r>
      <w:r w:rsidR="00E110D1">
        <w:t>.</w:t>
      </w:r>
    </w:p>
    <w:p w:rsidR="00520B7E" w:rsidRDefault="00520B7E" w:rsidP="00520B7E">
      <w:pPr>
        <w:pStyle w:val="Default"/>
        <w:jc w:val="both"/>
        <w:rPr>
          <w:rFonts w:ascii="Times New Roman" w:hAnsi="Times New Roman" w:cs="Times New Roman"/>
        </w:rPr>
      </w:pPr>
    </w:p>
    <w:p w:rsidR="00520B7E" w:rsidRPr="00FC0E2B" w:rsidRDefault="00520B7E" w:rsidP="00520B7E">
      <w:pPr>
        <w:jc w:val="center"/>
        <w:rPr>
          <w:b/>
          <w:szCs w:val="22"/>
          <w:lang w:val="es-MX"/>
        </w:rPr>
      </w:pPr>
      <w:r w:rsidRPr="00FC0E2B">
        <w:rPr>
          <w:b/>
          <w:szCs w:val="22"/>
          <w:lang w:val="es-MX"/>
        </w:rPr>
        <w:t>Gráfica 8</w:t>
      </w:r>
    </w:p>
    <w:p w:rsidR="00520B7E" w:rsidRPr="00FC0E2B" w:rsidRDefault="00520B7E" w:rsidP="00520B7E">
      <w:pPr>
        <w:jc w:val="center"/>
        <w:rPr>
          <w:b/>
          <w:szCs w:val="22"/>
          <w:lang w:val="es-MX"/>
        </w:rPr>
      </w:pPr>
      <w:r w:rsidRPr="00FC0E2B">
        <w:rPr>
          <w:b/>
          <w:szCs w:val="22"/>
          <w:lang w:val="es-MX"/>
        </w:rPr>
        <w:t xml:space="preserve"> Ingresos Tribut</w:t>
      </w:r>
      <w:r w:rsidR="00FC0E2B">
        <w:rPr>
          <w:b/>
          <w:szCs w:val="22"/>
          <w:lang w:val="es-MX"/>
        </w:rPr>
        <w:t>arios Netos Acumulados</w:t>
      </w:r>
    </w:p>
    <w:p w:rsidR="00520B7E" w:rsidRPr="00FC0E2B" w:rsidRDefault="00520B7E" w:rsidP="00520B7E">
      <w:pPr>
        <w:jc w:val="center"/>
        <w:rPr>
          <w:b/>
          <w:szCs w:val="22"/>
          <w:lang w:val="es-MX"/>
        </w:rPr>
      </w:pPr>
      <w:r w:rsidRPr="00FC0E2B">
        <w:rPr>
          <w:b/>
          <w:szCs w:val="22"/>
          <w:lang w:val="es-MX"/>
        </w:rPr>
        <w:t>Al 30 de junio de cada año</w:t>
      </w:r>
    </w:p>
    <w:p w:rsidR="00520B7E" w:rsidRPr="0088577C" w:rsidRDefault="00520B7E" w:rsidP="00520B7E">
      <w:pPr>
        <w:jc w:val="center"/>
        <w:rPr>
          <w:b/>
          <w:sz w:val="22"/>
          <w:szCs w:val="22"/>
          <w:lang w:val="es-MX"/>
        </w:rPr>
      </w:pPr>
      <w:r w:rsidRPr="00FC0E2B">
        <w:rPr>
          <w:b/>
          <w:szCs w:val="22"/>
          <w:lang w:val="es-MX"/>
        </w:rPr>
        <w:t>Período 2010 - 2020*</w:t>
      </w:r>
    </w:p>
    <w:p w:rsidR="00520B7E" w:rsidRDefault="00520B7E" w:rsidP="00520B7E">
      <w:pPr>
        <w:jc w:val="center"/>
        <w:rPr>
          <w:noProof/>
          <w:lang w:val="es-GT" w:eastAsia="es-GT"/>
        </w:rPr>
      </w:pPr>
      <w:r>
        <w:rPr>
          <w:noProof/>
          <w:lang w:val="es-GT" w:eastAsia="es-GT"/>
        </w:rPr>
        <w:drawing>
          <wp:inline distT="0" distB="0" distL="0" distR="0" wp14:anchorId="3ED2D4EA" wp14:editId="393EF059">
            <wp:extent cx="5844208" cy="3204376"/>
            <wp:effectExtent l="0" t="0" r="23495" b="15240"/>
            <wp:docPr id="25" name="Gráfico 2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00000000-0008-0000-08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20B7E" w:rsidRDefault="00520B7E" w:rsidP="00520B7E">
      <w:pPr>
        <w:jc w:val="both"/>
        <w:rPr>
          <w:sz w:val="18"/>
        </w:rPr>
      </w:pPr>
      <w:r>
        <w:rPr>
          <w:sz w:val="18"/>
        </w:rPr>
        <w:t>* C</w:t>
      </w:r>
      <w:r w:rsidRPr="007417CD">
        <w:rPr>
          <w:sz w:val="18"/>
        </w:rPr>
        <w:t>ifras preliminares</w:t>
      </w:r>
      <w:r>
        <w:rPr>
          <w:sz w:val="18"/>
        </w:rPr>
        <w:t xml:space="preserve"> al 30 de junio </w:t>
      </w:r>
      <w:r w:rsidR="00E110D1">
        <w:rPr>
          <w:sz w:val="18"/>
        </w:rPr>
        <w:t xml:space="preserve">de </w:t>
      </w:r>
      <w:r>
        <w:rPr>
          <w:sz w:val="18"/>
        </w:rPr>
        <w:t>2020.</w:t>
      </w:r>
    </w:p>
    <w:p w:rsidR="00520B7E" w:rsidRDefault="00E110D1" w:rsidP="00520B7E">
      <w:pPr>
        <w:jc w:val="both"/>
        <w:rPr>
          <w:sz w:val="18"/>
        </w:rPr>
      </w:pPr>
      <w:r>
        <w:rPr>
          <w:sz w:val="18"/>
        </w:rPr>
        <w:t xml:space="preserve"> </w:t>
      </w:r>
      <w:r w:rsidR="00520B7E">
        <w:rPr>
          <w:sz w:val="18"/>
        </w:rPr>
        <w:t xml:space="preserve">   </w:t>
      </w:r>
      <w:r w:rsidR="00520B7E" w:rsidRPr="00693E53">
        <w:rPr>
          <w:sz w:val="18"/>
        </w:rPr>
        <w:t>Fuente: Ministerio de Finanzas Públicas con base al SICOIN.</w:t>
      </w:r>
    </w:p>
    <w:p w:rsidR="00520B7E" w:rsidRPr="0035677E" w:rsidRDefault="00520B7E" w:rsidP="00520B7E">
      <w:pPr>
        <w:pStyle w:val="Default"/>
        <w:jc w:val="both"/>
        <w:rPr>
          <w:rFonts w:ascii="Times New Roman" w:hAnsi="Times New Roman" w:cs="Times New Roman"/>
        </w:rPr>
      </w:pPr>
    </w:p>
    <w:p w:rsidR="00520B7E" w:rsidRDefault="00520B7E" w:rsidP="00520B7E">
      <w:pPr>
        <w:pStyle w:val="Default"/>
        <w:jc w:val="both"/>
        <w:rPr>
          <w:rFonts w:ascii="Times New Roman" w:hAnsi="Times New Roman" w:cs="Times New Roman"/>
        </w:rPr>
      </w:pPr>
      <w:r w:rsidRPr="00923BF4">
        <w:rPr>
          <w:rFonts w:ascii="Times New Roman" w:hAnsi="Times New Roman" w:cs="Times New Roman"/>
        </w:rPr>
        <w:t>El comportamiento</w:t>
      </w:r>
      <w:r>
        <w:rPr>
          <w:rFonts w:ascii="Times New Roman" w:hAnsi="Times New Roman" w:cs="Times New Roman"/>
        </w:rPr>
        <w:t xml:space="preserve"> descrito para la recaudación </w:t>
      </w:r>
      <w:r w:rsidRPr="00923BF4">
        <w:rPr>
          <w:rFonts w:ascii="Times New Roman" w:hAnsi="Times New Roman" w:cs="Times New Roman"/>
        </w:rPr>
        <w:t xml:space="preserve">está explicado </w:t>
      </w:r>
      <w:r>
        <w:rPr>
          <w:rFonts w:ascii="Times New Roman" w:hAnsi="Times New Roman" w:cs="Times New Roman"/>
        </w:rPr>
        <w:t>en mayor medida por</w:t>
      </w:r>
      <w:r w:rsidRPr="00923BF4">
        <w:rPr>
          <w:rFonts w:ascii="Times New Roman" w:hAnsi="Times New Roman" w:cs="Times New Roman"/>
        </w:rPr>
        <w:t xml:space="preserve"> </w:t>
      </w:r>
      <w:r>
        <w:rPr>
          <w:rFonts w:ascii="Times New Roman" w:hAnsi="Times New Roman" w:cs="Times New Roman"/>
        </w:rPr>
        <w:t>la disminución</w:t>
      </w:r>
      <w:r w:rsidRPr="00923BF4">
        <w:rPr>
          <w:rFonts w:ascii="Times New Roman" w:hAnsi="Times New Roman" w:cs="Times New Roman"/>
        </w:rPr>
        <w:t xml:space="preserve"> de l</w:t>
      </w:r>
      <w:r>
        <w:rPr>
          <w:rFonts w:ascii="Times New Roman" w:hAnsi="Times New Roman" w:cs="Times New Roman"/>
        </w:rPr>
        <w:t xml:space="preserve">os </w:t>
      </w:r>
      <w:r w:rsidRPr="00923BF4">
        <w:rPr>
          <w:rFonts w:ascii="Times New Roman" w:hAnsi="Times New Roman" w:cs="Times New Roman"/>
        </w:rPr>
        <w:t xml:space="preserve">impuestos </w:t>
      </w:r>
      <w:r>
        <w:rPr>
          <w:rFonts w:ascii="Times New Roman" w:hAnsi="Times New Roman" w:cs="Times New Roman"/>
        </w:rPr>
        <w:t xml:space="preserve">al comercio exterior que en conjunto muestran una variación de -11.8% </w:t>
      </w:r>
      <w:r w:rsidR="0088799F">
        <w:rPr>
          <w:rFonts w:ascii="Times New Roman" w:hAnsi="Times New Roman" w:cs="Times New Roman"/>
        </w:rPr>
        <w:t>con relación a</w:t>
      </w:r>
      <w:r>
        <w:rPr>
          <w:rFonts w:ascii="Times New Roman" w:hAnsi="Times New Roman" w:cs="Times New Roman"/>
        </w:rPr>
        <w:t xml:space="preserve"> lo observado en 2019; </w:t>
      </w:r>
      <w:r w:rsidR="0088799F">
        <w:rPr>
          <w:rFonts w:ascii="Times New Roman" w:hAnsi="Times New Roman" w:cs="Times New Roman"/>
        </w:rPr>
        <w:t>considerándose</w:t>
      </w:r>
      <w:r>
        <w:rPr>
          <w:rFonts w:ascii="Times New Roman" w:hAnsi="Times New Roman" w:cs="Times New Roman"/>
        </w:rPr>
        <w:t xml:space="preserve"> la caída, tanto en el Impuesto al Valor Agregado IVA a las Importaciones, con una reducción de Q.850.6 millones (equivalentes al -11.7%) </w:t>
      </w:r>
      <w:r w:rsidR="0088799F">
        <w:rPr>
          <w:rFonts w:ascii="Times New Roman" w:hAnsi="Times New Roman" w:cs="Times New Roman"/>
        </w:rPr>
        <w:t>como en</w:t>
      </w:r>
      <w:r>
        <w:rPr>
          <w:rFonts w:ascii="Times New Roman" w:hAnsi="Times New Roman" w:cs="Times New Roman"/>
        </w:rPr>
        <w:t xml:space="preserve"> los Derechos Arancelarios de Importación que muestran una disminución de Q</w:t>
      </w:r>
      <w:r w:rsidR="0088799F">
        <w:rPr>
          <w:rFonts w:ascii="Times New Roman" w:hAnsi="Times New Roman" w:cs="Times New Roman"/>
        </w:rPr>
        <w:t>.</w:t>
      </w:r>
      <w:r>
        <w:rPr>
          <w:rFonts w:ascii="Times New Roman" w:hAnsi="Times New Roman" w:cs="Times New Roman"/>
        </w:rPr>
        <w:t xml:space="preserve">153.4 millones (equivalentes a -12.5%); </w:t>
      </w:r>
      <w:r w:rsidR="0088799F">
        <w:rPr>
          <w:rFonts w:ascii="Times New Roman" w:hAnsi="Times New Roman" w:cs="Times New Roman"/>
        </w:rPr>
        <w:t>s</w:t>
      </w:r>
      <w:r>
        <w:rPr>
          <w:rFonts w:ascii="Times New Roman" w:hAnsi="Times New Roman" w:cs="Times New Roman"/>
        </w:rPr>
        <w:t>ituación que se explica por</w:t>
      </w:r>
      <w:r w:rsidRPr="0073043A">
        <w:rPr>
          <w:rFonts w:ascii="Times New Roman" w:hAnsi="Times New Roman" w:cs="Times New Roman"/>
        </w:rPr>
        <w:t xml:space="preserve"> la disminución en la</w:t>
      </w:r>
      <w:r>
        <w:rPr>
          <w:rFonts w:ascii="Times New Roman" w:hAnsi="Times New Roman" w:cs="Times New Roman"/>
        </w:rPr>
        <w:t>s</w:t>
      </w:r>
      <w:r w:rsidRPr="0073043A">
        <w:rPr>
          <w:rFonts w:ascii="Times New Roman" w:hAnsi="Times New Roman" w:cs="Times New Roman"/>
        </w:rPr>
        <w:t xml:space="preserve"> importaci</w:t>
      </w:r>
      <w:r w:rsidR="0088799F">
        <w:rPr>
          <w:rFonts w:ascii="Times New Roman" w:hAnsi="Times New Roman" w:cs="Times New Roman"/>
        </w:rPr>
        <w:t>ones</w:t>
      </w:r>
      <w:r w:rsidRPr="0073043A">
        <w:rPr>
          <w:rFonts w:ascii="Times New Roman" w:hAnsi="Times New Roman" w:cs="Times New Roman"/>
        </w:rPr>
        <w:t xml:space="preserve"> de bienes para consumo final, así como para consumo intermedio</w:t>
      </w:r>
      <w:r>
        <w:rPr>
          <w:rFonts w:ascii="Times New Roman" w:hAnsi="Times New Roman" w:cs="Times New Roman"/>
        </w:rPr>
        <w:t xml:space="preserve"> y</w:t>
      </w:r>
      <w:r w:rsidRPr="0073043A">
        <w:rPr>
          <w:rFonts w:ascii="Times New Roman" w:hAnsi="Times New Roman" w:cs="Times New Roman"/>
        </w:rPr>
        <w:t xml:space="preserve"> de capital por parte de diversas actividades económicas afectadas por las medidas de contención del C</w:t>
      </w:r>
      <w:r w:rsidR="0088799F">
        <w:rPr>
          <w:rFonts w:ascii="Times New Roman" w:hAnsi="Times New Roman" w:cs="Times New Roman"/>
        </w:rPr>
        <w:t>ovid</w:t>
      </w:r>
      <w:r w:rsidRPr="0073043A">
        <w:rPr>
          <w:rFonts w:ascii="Times New Roman" w:hAnsi="Times New Roman" w:cs="Times New Roman"/>
        </w:rPr>
        <w:t>-1</w:t>
      </w:r>
      <w:r>
        <w:rPr>
          <w:rFonts w:ascii="Times New Roman" w:hAnsi="Times New Roman" w:cs="Times New Roman"/>
        </w:rPr>
        <w:t>9.</w:t>
      </w:r>
    </w:p>
    <w:p w:rsidR="005D400E" w:rsidRDefault="005D400E" w:rsidP="00520B7E">
      <w:pPr>
        <w:pStyle w:val="Default"/>
        <w:jc w:val="both"/>
        <w:rPr>
          <w:rFonts w:ascii="Times New Roman" w:hAnsi="Times New Roman" w:cs="Times New Roman"/>
        </w:rPr>
      </w:pPr>
    </w:p>
    <w:p w:rsidR="00520B7E" w:rsidRPr="00AF05C7" w:rsidRDefault="00520B7E" w:rsidP="00520B7E">
      <w:pPr>
        <w:pStyle w:val="Prrafodelista"/>
        <w:ind w:left="360"/>
        <w:jc w:val="center"/>
        <w:rPr>
          <w:b/>
          <w:lang w:val="es-MX"/>
        </w:rPr>
      </w:pPr>
      <w:r w:rsidRPr="00AF05C7">
        <w:rPr>
          <w:b/>
          <w:lang w:val="es-MX"/>
        </w:rPr>
        <w:t>Cuadro 2</w:t>
      </w:r>
    </w:p>
    <w:p w:rsidR="00520B7E" w:rsidRPr="00AF05C7" w:rsidRDefault="00520B7E" w:rsidP="00520B7E">
      <w:pPr>
        <w:pStyle w:val="Prrafodelista"/>
        <w:ind w:left="360"/>
        <w:jc w:val="center"/>
        <w:rPr>
          <w:b/>
          <w:lang w:val="es-MX"/>
        </w:rPr>
      </w:pPr>
      <w:r w:rsidRPr="00AF05C7">
        <w:rPr>
          <w:b/>
          <w:lang w:val="es-MX"/>
        </w:rPr>
        <w:t>Ingresos Tributarios Netos de la Administración Central</w:t>
      </w:r>
    </w:p>
    <w:p w:rsidR="00520B7E" w:rsidRPr="00AF05C7" w:rsidRDefault="00520B7E" w:rsidP="00520B7E">
      <w:pPr>
        <w:pStyle w:val="Prrafodelista"/>
        <w:ind w:left="360"/>
        <w:jc w:val="center"/>
        <w:rPr>
          <w:b/>
          <w:lang w:val="es-MX"/>
        </w:rPr>
      </w:pPr>
      <w:r w:rsidRPr="00AF05C7">
        <w:rPr>
          <w:b/>
          <w:lang w:val="es-MX"/>
        </w:rPr>
        <w:t>Al 30 de junio de 2019 y 2020*</w:t>
      </w:r>
    </w:p>
    <w:p w:rsidR="00520B7E" w:rsidRPr="00AF05C7" w:rsidRDefault="00520B7E" w:rsidP="00520B7E">
      <w:pPr>
        <w:pStyle w:val="Prrafodelista"/>
        <w:ind w:left="360"/>
        <w:jc w:val="center"/>
        <w:rPr>
          <w:b/>
          <w:lang w:val="es-MX"/>
        </w:rPr>
      </w:pPr>
      <w:r w:rsidRPr="00AF05C7">
        <w:rPr>
          <w:b/>
          <w:lang w:val="es-MX"/>
        </w:rPr>
        <w:t>(Millones de Quetzales y Porcentajes)</w:t>
      </w:r>
    </w:p>
    <w:tbl>
      <w:tblPr>
        <w:tblW w:w="9072" w:type="dxa"/>
        <w:tblInd w:w="70" w:type="dxa"/>
        <w:tblBorders>
          <w:top w:val="single" w:sz="4" w:space="0" w:color="auto"/>
          <w:left w:val="single" w:sz="4" w:space="0" w:color="auto"/>
          <w:bottom w:val="single" w:sz="4" w:space="0" w:color="auto"/>
          <w:right w:val="single" w:sz="4" w:space="0" w:color="auto"/>
        </w:tblBorders>
        <w:tblCellMar>
          <w:left w:w="70" w:type="dxa"/>
          <w:right w:w="70" w:type="dxa"/>
        </w:tblCellMar>
        <w:tblLook w:val="04A0" w:firstRow="1" w:lastRow="0" w:firstColumn="1" w:lastColumn="0" w:noHBand="0" w:noVBand="1"/>
      </w:tblPr>
      <w:tblGrid>
        <w:gridCol w:w="4111"/>
        <w:gridCol w:w="1276"/>
        <w:gridCol w:w="1276"/>
        <w:gridCol w:w="1275"/>
        <w:gridCol w:w="1134"/>
      </w:tblGrid>
      <w:tr w:rsidR="0088799F" w:rsidRPr="00BF26EA" w:rsidTr="00AD535C">
        <w:trPr>
          <w:trHeight w:val="255"/>
        </w:trPr>
        <w:tc>
          <w:tcPr>
            <w:tcW w:w="4111" w:type="dxa"/>
            <w:vMerge w:val="restart"/>
            <w:tcBorders>
              <w:top w:val="single" w:sz="4" w:space="0" w:color="auto"/>
              <w:bottom w:val="single" w:sz="4" w:space="0" w:color="auto"/>
            </w:tcBorders>
            <w:shd w:val="clear" w:color="000000" w:fill="538DD5"/>
            <w:vAlign w:val="center"/>
            <w:hideMark/>
          </w:tcPr>
          <w:p w:rsidR="00520B7E" w:rsidRPr="00BF26EA" w:rsidRDefault="00520B7E" w:rsidP="0025776C">
            <w:pPr>
              <w:jc w:val="center"/>
              <w:rPr>
                <w:b/>
                <w:bCs/>
                <w:color w:val="FFFFFF"/>
                <w:sz w:val="20"/>
                <w:szCs w:val="22"/>
                <w:lang w:val="es-GT" w:eastAsia="es-GT"/>
              </w:rPr>
            </w:pPr>
            <w:r w:rsidRPr="00BF26EA">
              <w:rPr>
                <w:b/>
                <w:bCs/>
                <w:color w:val="FFFFFF"/>
                <w:sz w:val="20"/>
                <w:szCs w:val="22"/>
                <w:lang w:val="es-GT" w:eastAsia="es-GT"/>
              </w:rPr>
              <w:t>Concepto</w:t>
            </w:r>
          </w:p>
        </w:tc>
        <w:tc>
          <w:tcPr>
            <w:tcW w:w="1276" w:type="dxa"/>
            <w:vMerge w:val="restart"/>
            <w:tcBorders>
              <w:top w:val="single" w:sz="4" w:space="0" w:color="auto"/>
              <w:bottom w:val="single" w:sz="4" w:space="0" w:color="auto"/>
            </w:tcBorders>
            <w:shd w:val="clear" w:color="000000" w:fill="538DD5"/>
            <w:vAlign w:val="center"/>
            <w:hideMark/>
          </w:tcPr>
          <w:p w:rsidR="00520B7E" w:rsidRPr="00BF26EA" w:rsidRDefault="00520B7E" w:rsidP="0025776C">
            <w:pPr>
              <w:jc w:val="center"/>
              <w:rPr>
                <w:b/>
                <w:bCs/>
                <w:color w:val="FFFFFF"/>
                <w:sz w:val="20"/>
                <w:szCs w:val="22"/>
                <w:lang w:val="es-GT" w:eastAsia="es-GT"/>
              </w:rPr>
            </w:pPr>
            <w:r w:rsidRPr="00BF26EA">
              <w:rPr>
                <w:b/>
                <w:bCs/>
                <w:color w:val="FFFFFF"/>
                <w:sz w:val="20"/>
                <w:szCs w:val="22"/>
                <w:lang w:val="es-GT" w:eastAsia="es-GT"/>
              </w:rPr>
              <w:t>2019</w:t>
            </w:r>
          </w:p>
        </w:tc>
        <w:tc>
          <w:tcPr>
            <w:tcW w:w="1276" w:type="dxa"/>
            <w:vMerge w:val="restart"/>
            <w:tcBorders>
              <w:top w:val="single" w:sz="4" w:space="0" w:color="auto"/>
              <w:bottom w:val="single" w:sz="4" w:space="0" w:color="auto"/>
            </w:tcBorders>
            <w:shd w:val="clear" w:color="000000" w:fill="538DD5"/>
            <w:vAlign w:val="center"/>
            <w:hideMark/>
          </w:tcPr>
          <w:p w:rsidR="00520B7E" w:rsidRPr="00BF26EA" w:rsidRDefault="00520B7E" w:rsidP="0025776C">
            <w:pPr>
              <w:jc w:val="center"/>
              <w:rPr>
                <w:b/>
                <w:bCs/>
                <w:color w:val="FFFFFF"/>
                <w:sz w:val="20"/>
                <w:szCs w:val="22"/>
                <w:lang w:val="es-GT" w:eastAsia="es-GT"/>
              </w:rPr>
            </w:pPr>
            <w:r w:rsidRPr="00BF26EA">
              <w:rPr>
                <w:b/>
                <w:bCs/>
                <w:color w:val="FFFFFF"/>
                <w:sz w:val="20"/>
                <w:szCs w:val="22"/>
                <w:lang w:val="es-GT" w:eastAsia="es-GT"/>
              </w:rPr>
              <w:t>2020</w:t>
            </w:r>
          </w:p>
        </w:tc>
        <w:tc>
          <w:tcPr>
            <w:tcW w:w="2409" w:type="dxa"/>
            <w:gridSpan w:val="2"/>
            <w:tcBorders>
              <w:top w:val="single" w:sz="4" w:space="0" w:color="auto"/>
              <w:bottom w:val="single" w:sz="4" w:space="0" w:color="auto"/>
            </w:tcBorders>
            <w:shd w:val="clear" w:color="000000" w:fill="538DD5"/>
            <w:noWrap/>
            <w:vAlign w:val="center"/>
            <w:hideMark/>
          </w:tcPr>
          <w:p w:rsidR="00520B7E" w:rsidRPr="00646CC1" w:rsidRDefault="00520B7E" w:rsidP="0025776C">
            <w:pPr>
              <w:jc w:val="center"/>
              <w:rPr>
                <w:b/>
                <w:color w:val="FFFFFF"/>
                <w:sz w:val="20"/>
                <w:szCs w:val="22"/>
                <w:lang w:val="es-GT" w:eastAsia="es-GT"/>
              </w:rPr>
            </w:pPr>
            <w:r w:rsidRPr="00646CC1">
              <w:rPr>
                <w:b/>
                <w:color w:val="FFFFFF"/>
                <w:sz w:val="20"/>
                <w:szCs w:val="22"/>
                <w:lang w:val="es-GT" w:eastAsia="es-GT"/>
              </w:rPr>
              <w:t>Diferencias</w:t>
            </w:r>
          </w:p>
        </w:tc>
      </w:tr>
      <w:tr w:rsidR="00520B7E" w:rsidRPr="00BF26EA" w:rsidTr="00AD535C">
        <w:trPr>
          <w:trHeight w:val="206"/>
        </w:trPr>
        <w:tc>
          <w:tcPr>
            <w:tcW w:w="4111" w:type="dxa"/>
            <w:vMerge/>
            <w:tcBorders>
              <w:top w:val="single" w:sz="4" w:space="0" w:color="auto"/>
            </w:tcBorders>
            <w:vAlign w:val="center"/>
            <w:hideMark/>
          </w:tcPr>
          <w:p w:rsidR="00520B7E" w:rsidRPr="00BF26EA" w:rsidRDefault="00520B7E" w:rsidP="0025776C">
            <w:pPr>
              <w:rPr>
                <w:b/>
                <w:bCs/>
                <w:color w:val="FFFFFF"/>
                <w:sz w:val="20"/>
                <w:szCs w:val="22"/>
                <w:lang w:val="es-GT" w:eastAsia="es-GT"/>
              </w:rPr>
            </w:pPr>
          </w:p>
        </w:tc>
        <w:tc>
          <w:tcPr>
            <w:tcW w:w="1276" w:type="dxa"/>
            <w:vMerge/>
            <w:tcBorders>
              <w:top w:val="single" w:sz="4" w:space="0" w:color="auto"/>
            </w:tcBorders>
            <w:vAlign w:val="center"/>
            <w:hideMark/>
          </w:tcPr>
          <w:p w:rsidR="00520B7E" w:rsidRPr="00BF26EA" w:rsidRDefault="00520B7E" w:rsidP="0025776C">
            <w:pPr>
              <w:rPr>
                <w:b/>
                <w:bCs/>
                <w:color w:val="FFFFFF"/>
                <w:sz w:val="20"/>
                <w:szCs w:val="22"/>
                <w:lang w:val="es-GT" w:eastAsia="es-GT"/>
              </w:rPr>
            </w:pPr>
          </w:p>
        </w:tc>
        <w:tc>
          <w:tcPr>
            <w:tcW w:w="1276" w:type="dxa"/>
            <w:vMerge/>
            <w:tcBorders>
              <w:top w:val="single" w:sz="4" w:space="0" w:color="auto"/>
            </w:tcBorders>
            <w:vAlign w:val="center"/>
            <w:hideMark/>
          </w:tcPr>
          <w:p w:rsidR="00520B7E" w:rsidRPr="00BF26EA" w:rsidRDefault="00520B7E" w:rsidP="0025776C">
            <w:pPr>
              <w:rPr>
                <w:b/>
                <w:bCs/>
                <w:color w:val="FFFFFF"/>
                <w:sz w:val="20"/>
                <w:szCs w:val="22"/>
                <w:lang w:val="es-GT" w:eastAsia="es-GT"/>
              </w:rPr>
            </w:pPr>
          </w:p>
        </w:tc>
        <w:tc>
          <w:tcPr>
            <w:tcW w:w="1275" w:type="dxa"/>
            <w:tcBorders>
              <w:top w:val="single" w:sz="4" w:space="0" w:color="auto"/>
            </w:tcBorders>
            <w:shd w:val="clear" w:color="000000" w:fill="538DD5"/>
            <w:noWrap/>
            <w:vAlign w:val="center"/>
            <w:hideMark/>
          </w:tcPr>
          <w:p w:rsidR="00520B7E" w:rsidRPr="00646CC1" w:rsidRDefault="00520B7E" w:rsidP="0025776C">
            <w:pPr>
              <w:jc w:val="center"/>
              <w:rPr>
                <w:b/>
                <w:color w:val="FFFFFF"/>
                <w:sz w:val="20"/>
                <w:szCs w:val="22"/>
                <w:lang w:val="es-GT" w:eastAsia="es-GT"/>
              </w:rPr>
            </w:pPr>
            <w:r w:rsidRPr="00646CC1">
              <w:rPr>
                <w:b/>
                <w:color w:val="FFFFFF"/>
                <w:sz w:val="20"/>
                <w:szCs w:val="22"/>
                <w:lang w:val="es-GT" w:eastAsia="es-GT"/>
              </w:rPr>
              <w:t>Absolutas</w:t>
            </w:r>
          </w:p>
        </w:tc>
        <w:tc>
          <w:tcPr>
            <w:tcW w:w="1134" w:type="dxa"/>
            <w:tcBorders>
              <w:top w:val="single" w:sz="4" w:space="0" w:color="auto"/>
            </w:tcBorders>
            <w:shd w:val="clear" w:color="000000" w:fill="538DD5"/>
            <w:noWrap/>
            <w:vAlign w:val="center"/>
            <w:hideMark/>
          </w:tcPr>
          <w:p w:rsidR="00520B7E" w:rsidRPr="00646CC1" w:rsidRDefault="00520B7E" w:rsidP="0025776C">
            <w:pPr>
              <w:jc w:val="center"/>
              <w:rPr>
                <w:b/>
                <w:color w:val="FFFFFF"/>
                <w:sz w:val="20"/>
                <w:szCs w:val="22"/>
                <w:lang w:val="es-GT" w:eastAsia="es-GT"/>
              </w:rPr>
            </w:pPr>
            <w:r w:rsidRPr="00646CC1">
              <w:rPr>
                <w:b/>
                <w:color w:val="FFFFFF"/>
                <w:sz w:val="20"/>
                <w:szCs w:val="22"/>
                <w:lang w:val="es-GT" w:eastAsia="es-GT"/>
              </w:rPr>
              <w:t>Relativas</w:t>
            </w:r>
          </w:p>
        </w:tc>
      </w:tr>
      <w:tr w:rsidR="0088799F" w:rsidRPr="00BF26EA" w:rsidTr="00AD535C">
        <w:trPr>
          <w:trHeight w:val="255"/>
        </w:trPr>
        <w:tc>
          <w:tcPr>
            <w:tcW w:w="4111" w:type="dxa"/>
            <w:shd w:val="clear" w:color="000000" w:fill="FFFFFF"/>
            <w:noWrap/>
            <w:vAlign w:val="bottom"/>
            <w:hideMark/>
          </w:tcPr>
          <w:p w:rsidR="00520B7E" w:rsidRPr="00BF26EA" w:rsidRDefault="00520B7E" w:rsidP="0025776C">
            <w:pPr>
              <w:jc w:val="center"/>
              <w:rPr>
                <w:b/>
                <w:bCs/>
                <w:sz w:val="20"/>
                <w:szCs w:val="22"/>
                <w:lang w:val="es-GT" w:eastAsia="es-GT"/>
              </w:rPr>
            </w:pPr>
            <w:r w:rsidRPr="00BF26EA">
              <w:rPr>
                <w:b/>
                <w:bCs/>
                <w:sz w:val="20"/>
                <w:szCs w:val="22"/>
                <w:lang w:val="es-GT" w:eastAsia="es-GT"/>
              </w:rPr>
              <w:t>Total de Ingresos Tributarios</w:t>
            </w:r>
          </w:p>
        </w:tc>
        <w:tc>
          <w:tcPr>
            <w:tcW w:w="1276" w:type="dxa"/>
            <w:shd w:val="clear" w:color="000000" w:fill="FFFFFF"/>
            <w:noWrap/>
            <w:vAlign w:val="bottom"/>
            <w:hideMark/>
          </w:tcPr>
          <w:p w:rsidR="00520B7E" w:rsidRPr="00BF26EA" w:rsidRDefault="00520B7E" w:rsidP="0088799F">
            <w:pPr>
              <w:jc w:val="right"/>
              <w:rPr>
                <w:b/>
                <w:bCs/>
                <w:sz w:val="20"/>
                <w:szCs w:val="22"/>
                <w:lang w:val="es-GT" w:eastAsia="es-GT"/>
              </w:rPr>
            </w:pPr>
            <w:r w:rsidRPr="00BF26EA">
              <w:rPr>
                <w:b/>
                <w:bCs/>
                <w:sz w:val="20"/>
                <w:szCs w:val="22"/>
                <w:lang w:val="es-GT" w:eastAsia="es-GT"/>
              </w:rPr>
              <w:t>30,061.2</w:t>
            </w:r>
          </w:p>
        </w:tc>
        <w:tc>
          <w:tcPr>
            <w:tcW w:w="1276" w:type="dxa"/>
            <w:shd w:val="clear" w:color="000000" w:fill="FFFFFF"/>
            <w:noWrap/>
            <w:vAlign w:val="bottom"/>
            <w:hideMark/>
          </w:tcPr>
          <w:p w:rsidR="00520B7E" w:rsidRPr="00BF26EA" w:rsidRDefault="00520B7E" w:rsidP="0088799F">
            <w:pPr>
              <w:jc w:val="right"/>
              <w:rPr>
                <w:b/>
                <w:bCs/>
                <w:sz w:val="20"/>
                <w:szCs w:val="22"/>
                <w:lang w:val="es-GT" w:eastAsia="es-GT"/>
              </w:rPr>
            </w:pPr>
            <w:r w:rsidRPr="00BF26EA">
              <w:rPr>
                <w:b/>
                <w:bCs/>
                <w:sz w:val="20"/>
                <w:szCs w:val="22"/>
                <w:lang w:val="es-GT" w:eastAsia="es-GT"/>
              </w:rPr>
              <w:t>28,467.8</w:t>
            </w:r>
          </w:p>
        </w:tc>
        <w:tc>
          <w:tcPr>
            <w:tcW w:w="1275" w:type="dxa"/>
            <w:shd w:val="clear" w:color="000000" w:fill="FFFFFF"/>
            <w:noWrap/>
            <w:vAlign w:val="bottom"/>
            <w:hideMark/>
          </w:tcPr>
          <w:p w:rsidR="00520B7E" w:rsidRPr="00BF26EA" w:rsidRDefault="00520B7E" w:rsidP="0025776C">
            <w:pPr>
              <w:jc w:val="right"/>
              <w:rPr>
                <w:b/>
                <w:bCs/>
                <w:sz w:val="20"/>
                <w:szCs w:val="22"/>
                <w:lang w:val="es-GT" w:eastAsia="es-GT"/>
              </w:rPr>
            </w:pPr>
            <w:r w:rsidRPr="00BF26EA">
              <w:rPr>
                <w:b/>
                <w:bCs/>
                <w:sz w:val="20"/>
                <w:szCs w:val="22"/>
                <w:lang w:val="es-GT" w:eastAsia="es-GT"/>
              </w:rPr>
              <w:t>-1,593.3</w:t>
            </w:r>
          </w:p>
        </w:tc>
        <w:tc>
          <w:tcPr>
            <w:tcW w:w="1134" w:type="dxa"/>
            <w:shd w:val="clear" w:color="000000" w:fill="FFFFFF"/>
            <w:noWrap/>
            <w:vAlign w:val="bottom"/>
            <w:hideMark/>
          </w:tcPr>
          <w:p w:rsidR="00520B7E" w:rsidRPr="00BF26EA" w:rsidRDefault="00520B7E" w:rsidP="0025776C">
            <w:pPr>
              <w:jc w:val="right"/>
              <w:rPr>
                <w:b/>
                <w:bCs/>
                <w:sz w:val="20"/>
                <w:szCs w:val="22"/>
                <w:lang w:val="es-GT" w:eastAsia="es-GT"/>
              </w:rPr>
            </w:pPr>
            <w:r w:rsidRPr="00BF26EA">
              <w:rPr>
                <w:b/>
                <w:bCs/>
                <w:sz w:val="20"/>
                <w:szCs w:val="22"/>
                <w:lang w:val="es-GT" w:eastAsia="es-GT"/>
              </w:rPr>
              <w:t>-5.3%</w:t>
            </w:r>
          </w:p>
        </w:tc>
      </w:tr>
      <w:tr w:rsidR="0088799F" w:rsidRPr="00BF26EA" w:rsidTr="00AD535C">
        <w:trPr>
          <w:trHeight w:val="258"/>
        </w:trPr>
        <w:tc>
          <w:tcPr>
            <w:tcW w:w="4111" w:type="dxa"/>
            <w:shd w:val="clear" w:color="000000" w:fill="FFFFFF"/>
            <w:noWrap/>
            <w:vAlign w:val="center"/>
            <w:hideMark/>
          </w:tcPr>
          <w:p w:rsidR="00520B7E" w:rsidRPr="00BF26EA" w:rsidRDefault="00520B7E" w:rsidP="00AD535C">
            <w:pPr>
              <w:rPr>
                <w:b/>
                <w:bCs/>
                <w:sz w:val="20"/>
                <w:szCs w:val="22"/>
                <w:lang w:val="es-GT" w:eastAsia="es-GT"/>
              </w:rPr>
            </w:pPr>
            <w:r w:rsidRPr="00BF26EA">
              <w:rPr>
                <w:b/>
                <w:bCs/>
                <w:sz w:val="20"/>
                <w:szCs w:val="22"/>
                <w:lang w:val="es-GT" w:eastAsia="es-GT"/>
              </w:rPr>
              <w:t>Impuestos Asociados al Comercio Exterior</w:t>
            </w:r>
          </w:p>
        </w:tc>
        <w:tc>
          <w:tcPr>
            <w:tcW w:w="1276" w:type="dxa"/>
            <w:shd w:val="clear" w:color="000000" w:fill="FFFFFF"/>
            <w:noWrap/>
            <w:vAlign w:val="center"/>
            <w:hideMark/>
          </w:tcPr>
          <w:p w:rsidR="00520B7E" w:rsidRPr="00BF26EA" w:rsidRDefault="00520B7E" w:rsidP="0088799F">
            <w:pPr>
              <w:jc w:val="right"/>
              <w:rPr>
                <w:b/>
                <w:bCs/>
                <w:sz w:val="20"/>
                <w:szCs w:val="22"/>
                <w:lang w:val="es-GT" w:eastAsia="es-GT"/>
              </w:rPr>
            </w:pPr>
            <w:r w:rsidRPr="00BF26EA">
              <w:rPr>
                <w:b/>
                <w:bCs/>
                <w:sz w:val="20"/>
                <w:szCs w:val="22"/>
                <w:lang w:val="es-GT" w:eastAsia="es-GT"/>
              </w:rPr>
              <w:t>8,500.8</w:t>
            </w:r>
          </w:p>
        </w:tc>
        <w:tc>
          <w:tcPr>
            <w:tcW w:w="1276" w:type="dxa"/>
            <w:shd w:val="clear" w:color="000000" w:fill="FFFFFF"/>
            <w:noWrap/>
            <w:vAlign w:val="center"/>
            <w:hideMark/>
          </w:tcPr>
          <w:p w:rsidR="00520B7E" w:rsidRPr="00BF26EA" w:rsidRDefault="00520B7E" w:rsidP="0088799F">
            <w:pPr>
              <w:jc w:val="right"/>
              <w:rPr>
                <w:b/>
                <w:bCs/>
                <w:sz w:val="20"/>
                <w:szCs w:val="22"/>
                <w:lang w:val="es-GT" w:eastAsia="es-GT"/>
              </w:rPr>
            </w:pPr>
            <w:r w:rsidRPr="00BF26EA">
              <w:rPr>
                <w:b/>
                <w:bCs/>
                <w:sz w:val="20"/>
                <w:szCs w:val="22"/>
                <w:lang w:val="es-GT" w:eastAsia="es-GT"/>
              </w:rPr>
              <w:t>7,496.8</w:t>
            </w:r>
          </w:p>
        </w:tc>
        <w:tc>
          <w:tcPr>
            <w:tcW w:w="1275" w:type="dxa"/>
            <w:shd w:val="clear" w:color="000000" w:fill="FFFFFF"/>
            <w:noWrap/>
            <w:vAlign w:val="center"/>
            <w:hideMark/>
          </w:tcPr>
          <w:p w:rsidR="00520B7E" w:rsidRPr="00BF26EA" w:rsidRDefault="00520B7E" w:rsidP="0025776C">
            <w:pPr>
              <w:jc w:val="right"/>
              <w:rPr>
                <w:b/>
                <w:bCs/>
                <w:sz w:val="20"/>
                <w:szCs w:val="22"/>
                <w:lang w:val="es-GT" w:eastAsia="es-GT"/>
              </w:rPr>
            </w:pPr>
            <w:r w:rsidRPr="00BF26EA">
              <w:rPr>
                <w:b/>
                <w:bCs/>
                <w:sz w:val="20"/>
                <w:szCs w:val="22"/>
                <w:lang w:val="es-GT" w:eastAsia="es-GT"/>
              </w:rPr>
              <w:t>-1,004.0</w:t>
            </w:r>
          </w:p>
        </w:tc>
        <w:tc>
          <w:tcPr>
            <w:tcW w:w="1134" w:type="dxa"/>
            <w:shd w:val="clear" w:color="000000" w:fill="FFFFFF"/>
            <w:noWrap/>
            <w:vAlign w:val="center"/>
            <w:hideMark/>
          </w:tcPr>
          <w:p w:rsidR="00520B7E" w:rsidRPr="00BF26EA" w:rsidRDefault="00520B7E" w:rsidP="0025776C">
            <w:pPr>
              <w:jc w:val="right"/>
              <w:rPr>
                <w:b/>
                <w:bCs/>
                <w:sz w:val="20"/>
                <w:szCs w:val="22"/>
                <w:lang w:val="es-GT" w:eastAsia="es-GT"/>
              </w:rPr>
            </w:pPr>
            <w:r w:rsidRPr="00BF26EA">
              <w:rPr>
                <w:b/>
                <w:bCs/>
                <w:sz w:val="20"/>
                <w:szCs w:val="22"/>
                <w:lang w:val="es-GT" w:eastAsia="es-GT"/>
              </w:rPr>
              <w:t>-11.8%</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rPr>
                <w:sz w:val="20"/>
                <w:szCs w:val="22"/>
                <w:lang w:val="es-GT" w:eastAsia="es-GT"/>
              </w:rPr>
            </w:pPr>
            <w:r w:rsidRPr="00BF26EA">
              <w:rPr>
                <w:sz w:val="20"/>
                <w:szCs w:val="22"/>
                <w:lang w:val="es-GT" w:eastAsia="es-GT"/>
              </w:rPr>
              <w:t>Impuesto al Valor Agregado de Importaciones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7,271.7</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6,421.1</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-850.6</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-11.7%</w:t>
            </w:r>
          </w:p>
        </w:tc>
      </w:tr>
      <w:tr w:rsidR="0088799F" w:rsidRPr="00BF26EA" w:rsidTr="00AD535C">
        <w:trPr>
          <w:trHeight w:val="304"/>
        </w:trPr>
        <w:tc>
          <w:tcPr>
            <w:tcW w:w="4111" w:type="dxa"/>
            <w:shd w:val="clear" w:color="000000" w:fill="FFFFFF"/>
            <w:noWrap/>
            <w:vAlign w:val="bottom"/>
            <w:hideMark/>
          </w:tcPr>
          <w:p w:rsidR="00520B7E" w:rsidRPr="00BF26EA" w:rsidRDefault="00520B7E" w:rsidP="00AD535C">
            <w:pPr>
              <w:rPr>
                <w:sz w:val="20"/>
                <w:szCs w:val="22"/>
                <w:lang w:val="es-GT" w:eastAsia="es-GT"/>
              </w:rPr>
            </w:pPr>
            <w:r w:rsidRPr="00BF26EA">
              <w:rPr>
                <w:sz w:val="20"/>
                <w:szCs w:val="22"/>
                <w:lang w:val="es-GT" w:eastAsia="es-GT"/>
              </w:rPr>
              <w:t>Derechos Arancelarios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1,229.1</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1,075.7</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-153.4</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-12.5%</w:t>
            </w:r>
          </w:p>
        </w:tc>
      </w:tr>
      <w:tr w:rsidR="0088799F" w:rsidRPr="00BF26EA" w:rsidTr="00AD535C">
        <w:trPr>
          <w:trHeight w:val="258"/>
        </w:trPr>
        <w:tc>
          <w:tcPr>
            <w:tcW w:w="4111" w:type="dxa"/>
            <w:shd w:val="clear" w:color="000000" w:fill="FFFFFF"/>
            <w:noWrap/>
            <w:vAlign w:val="center"/>
            <w:hideMark/>
          </w:tcPr>
          <w:p w:rsidR="00520B7E" w:rsidRPr="00BF26EA" w:rsidRDefault="00520B7E" w:rsidP="00AD535C">
            <w:pPr>
              <w:rPr>
                <w:b/>
                <w:bCs/>
                <w:sz w:val="20"/>
                <w:szCs w:val="22"/>
                <w:lang w:val="es-GT" w:eastAsia="es-GT"/>
              </w:rPr>
            </w:pPr>
            <w:r w:rsidRPr="00BF26EA">
              <w:rPr>
                <w:b/>
                <w:bCs/>
                <w:sz w:val="20"/>
                <w:szCs w:val="22"/>
                <w:lang w:val="es-GT" w:eastAsia="es-GT"/>
              </w:rPr>
              <w:t>Impuestos Internos</w:t>
            </w:r>
          </w:p>
        </w:tc>
        <w:tc>
          <w:tcPr>
            <w:tcW w:w="1276" w:type="dxa"/>
            <w:shd w:val="clear" w:color="000000" w:fill="FFFFFF"/>
            <w:noWrap/>
            <w:vAlign w:val="center"/>
            <w:hideMark/>
          </w:tcPr>
          <w:p w:rsidR="00520B7E" w:rsidRPr="00BF26EA" w:rsidRDefault="00520B7E" w:rsidP="0088799F">
            <w:pPr>
              <w:jc w:val="right"/>
              <w:rPr>
                <w:b/>
                <w:bCs/>
                <w:sz w:val="20"/>
                <w:szCs w:val="22"/>
                <w:lang w:val="es-GT" w:eastAsia="es-GT"/>
              </w:rPr>
            </w:pPr>
            <w:r w:rsidRPr="00BF26EA">
              <w:rPr>
                <w:b/>
                <w:bCs/>
                <w:sz w:val="20"/>
                <w:szCs w:val="22"/>
                <w:lang w:val="es-GT" w:eastAsia="es-GT"/>
              </w:rPr>
              <w:t>21,560.4</w:t>
            </w:r>
          </w:p>
        </w:tc>
        <w:tc>
          <w:tcPr>
            <w:tcW w:w="1276" w:type="dxa"/>
            <w:shd w:val="clear" w:color="000000" w:fill="FFFFFF"/>
            <w:noWrap/>
            <w:vAlign w:val="center"/>
            <w:hideMark/>
          </w:tcPr>
          <w:p w:rsidR="00520B7E" w:rsidRPr="00BF26EA" w:rsidRDefault="00520B7E" w:rsidP="0088799F">
            <w:pPr>
              <w:jc w:val="right"/>
              <w:rPr>
                <w:b/>
                <w:bCs/>
                <w:sz w:val="20"/>
                <w:szCs w:val="22"/>
                <w:lang w:val="es-GT" w:eastAsia="es-GT"/>
              </w:rPr>
            </w:pPr>
            <w:r w:rsidRPr="00BF26EA">
              <w:rPr>
                <w:b/>
                <w:bCs/>
                <w:sz w:val="20"/>
                <w:szCs w:val="22"/>
                <w:lang w:val="es-GT" w:eastAsia="es-GT"/>
              </w:rPr>
              <w:t>20,971.1</w:t>
            </w:r>
          </w:p>
        </w:tc>
        <w:tc>
          <w:tcPr>
            <w:tcW w:w="1275" w:type="dxa"/>
            <w:shd w:val="clear" w:color="000000" w:fill="FFFFFF"/>
            <w:noWrap/>
            <w:vAlign w:val="center"/>
            <w:hideMark/>
          </w:tcPr>
          <w:p w:rsidR="00520B7E" w:rsidRPr="00BF26EA" w:rsidRDefault="00520B7E" w:rsidP="0025776C">
            <w:pPr>
              <w:jc w:val="right"/>
              <w:rPr>
                <w:b/>
                <w:bCs/>
                <w:sz w:val="20"/>
                <w:szCs w:val="22"/>
                <w:lang w:val="es-GT" w:eastAsia="es-GT"/>
              </w:rPr>
            </w:pPr>
            <w:r w:rsidRPr="00BF26EA">
              <w:rPr>
                <w:b/>
                <w:bCs/>
                <w:sz w:val="20"/>
                <w:szCs w:val="22"/>
                <w:lang w:val="es-GT" w:eastAsia="es-GT"/>
              </w:rPr>
              <w:t>-589.3</w:t>
            </w:r>
          </w:p>
        </w:tc>
        <w:tc>
          <w:tcPr>
            <w:tcW w:w="1134" w:type="dxa"/>
            <w:shd w:val="clear" w:color="000000" w:fill="FFFFFF"/>
            <w:noWrap/>
            <w:vAlign w:val="center"/>
            <w:hideMark/>
          </w:tcPr>
          <w:p w:rsidR="00520B7E" w:rsidRPr="00BF26EA" w:rsidRDefault="00520B7E" w:rsidP="0025776C">
            <w:pPr>
              <w:jc w:val="right"/>
              <w:rPr>
                <w:b/>
                <w:bCs/>
                <w:sz w:val="20"/>
                <w:szCs w:val="22"/>
                <w:lang w:val="es-GT" w:eastAsia="es-GT"/>
              </w:rPr>
            </w:pPr>
            <w:r w:rsidRPr="00BF26EA">
              <w:rPr>
                <w:b/>
                <w:bCs/>
                <w:sz w:val="20"/>
                <w:szCs w:val="22"/>
                <w:lang w:val="es-GT" w:eastAsia="es-GT"/>
              </w:rPr>
              <w:t>-2.7%</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Impuesto sobre la Renta</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8,340.6</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8,329.3</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-11.3</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-0.1%</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 xml:space="preserve">Impuesto sobre la </w:t>
            </w:r>
            <w:r w:rsidR="0088799F">
              <w:rPr>
                <w:sz w:val="20"/>
                <w:szCs w:val="22"/>
                <w:lang w:val="es-GT" w:eastAsia="es-GT"/>
              </w:rPr>
              <w:t>P</w:t>
            </w:r>
            <w:r w:rsidRPr="00BF26EA">
              <w:rPr>
                <w:sz w:val="20"/>
                <w:szCs w:val="22"/>
                <w:lang w:val="es-GT" w:eastAsia="es-GT"/>
              </w:rPr>
              <w:t>ropiedad y otros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16.1</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6.0</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-10.0</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-62.5%</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Impuesto a las Empresas Mercantiles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0.0</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0.5</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0.5</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w:t>
            </w:r>
          </w:p>
        </w:tc>
      </w:tr>
      <w:tr w:rsidR="0088799F" w:rsidRPr="00BF26EA" w:rsidTr="00AD535C">
        <w:trPr>
          <w:trHeight w:val="258"/>
        </w:trPr>
        <w:tc>
          <w:tcPr>
            <w:tcW w:w="4111" w:type="dxa"/>
            <w:shd w:val="clear" w:color="000000" w:fill="FFFFFF"/>
            <w:noWrap/>
            <w:vAlign w:val="center"/>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Impuesto Extraordinario y Temporal</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3.3</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0.4</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-2.9</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-87.3%</w:t>
            </w:r>
          </w:p>
        </w:tc>
      </w:tr>
      <w:tr w:rsidR="0088799F" w:rsidRPr="00BF26EA" w:rsidTr="00AD535C">
        <w:trPr>
          <w:trHeight w:val="258"/>
        </w:trPr>
        <w:tc>
          <w:tcPr>
            <w:tcW w:w="4111" w:type="dxa"/>
            <w:shd w:val="clear" w:color="000000" w:fill="FFFFFF"/>
            <w:noWrap/>
            <w:vAlign w:val="center"/>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Impuesto de Solidaridad</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2,345.7</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2,435.2</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89.5</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3.8%</w:t>
            </w:r>
          </w:p>
        </w:tc>
      </w:tr>
      <w:tr w:rsidR="0088799F" w:rsidRPr="00BF26EA" w:rsidTr="00AD535C">
        <w:trPr>
          <w:trHeight w:val="219"/>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Impuesto al Valor Agregado Doméstico</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6,990.8</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6,954.7</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-36.0</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-0.5%</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Petróleo</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1,859.6</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1,597.8</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-261.9</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-14.1%</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Timbres Fiscales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220.5</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171.0</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-49.5</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-22.4%</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Vehículos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383.6</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299.6</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-84.0</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-21.9%</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IPRIMA</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460.2</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351.2</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-109.0</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-23.7%</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Regalías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92.2</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102.3</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10.1</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10.9%</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Salida del País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168.5</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99.2</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-69.3</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-41.1%</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 xml:space="preserve">Alcoholes y </w:t>
            </w:r>
            <w:r w:rsidR="0088799F">
              <w:rPr>
                <w:sz w:val="20"/>
                <w:szCs w:val="22"/>
                <w:lang w:val="es-GT" w:eastAsia="es-GT"/>
              </w:rPr>
              <w:t>B</w:t>
            </w:r>
            <w:r w:rsidRPr="00BF26EA">
              <w:rPr>
                <w:sz w:val="20"/>
                <w:szCs w:val="22"/>
                <w:lang w:val="es-GT" w:eastAsia="es-GT"/>
              </w:rPr>
              <w:t>ebidas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425.3</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420.8</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-4.5</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-1.1%</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Tabaco</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186.5</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132.9</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-53.6</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-28.7%</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Distribución de Cemento</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63.9</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66.4</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2.6</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4.0%</w:t>
            </w:r>
          </w:p>
        </w:tc>
      </w:tr>
      <w:tr w:rsidR="0088799F" w:rsidRPr="00BF26EA" w:rsidTr="00AD535C">
        <w:trPr>
          <w:trHeight w:val="258"/>
        </w:trPr>
        <w:tc>
          <w:tcPr>
            <w:tcW w:w="4111" w:type="dxa"/>
            <w:shd w:val="clear" w:color="000000" w:fill="FFFFFF"/>
            <w:noWrap/>
            <w:vAlign w:val="bottom"/>
            <w:hideMark/>
          </w:tcPr>
          <w:p w:rsidR="00520B7E" w:rsidRPr="00BF26EA" w:rsidRDefault="00520B7E" w:rsidP="00AD535C">
            <w:pPr>
              <w:tabs>
                <w:tab w:val="left" w:pos="295"/>
              </w:tabs>
              <w:ind w:left="295"/>
              <w:rPr>
                <w:sz w:val="20"/>
                <w:szCs w:val="22"/>
                <w:lang w:val="es-GT" w:eastAsia="es-GT"/>
              </w:rPr>
            </w:pPr>
            <w:r w:rsidRPr="00BF26EA">
              <w:rPr>
                <w:sz w:val="20"/>
                <w:szCs w:val="22"/>
                <w:lang w:val="es-GT" w:eastAsia="es-GT"/>
              </w:rPr>
              <w:t>Otros</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3.4</w:t>
            </w:r>
          </w:p>
        </w:tc>
        <w:tc>
          <w:tcPr>
            <w:tcW w:w="1276" w:type="dxa"/>
            <w:shd w:val="clear" w:color="000000" w:fill="FFFFFF"/>
            <w:noWrap/>
            <w:vAlign w:val="bottom"/>
            <w:hideMark/>
          </w:tcPr>
          <w:p w:rsidR="00520B7E" w:rsidRPr="00BF26EA" w:rsidRDefault="00520B7E" w:rsidP="0088799F">
            <w:pPr>
              <w:jc w:val="right"/>
              <w:rPr>
                <w:sz w:val="20"/>
                <w:szCs w:val="22"/>
                <w:lang w:val="es-GT" w:eastAsia="es-GT"/>
              </w:rPr>
            </w:pPr>
            <w:r w:rsidRPr="00BF26EA">
              <w:rPr>
                <w:sz w:val="20"/>
                <w:szCs w:val="22"/>
                <w:lang w:val="es-GT" w:eastAsia="es-GT"/>
              </w:rPr>
              <w:t>3.7</w:t>
            </w:r>
          </w:p>
        </w:tc>
        <w:tc>
          <w:tcPr>
            <w:tcW w:w="1275"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0.3</w:t>
            </w:r>
          </w:p>
        </w:tc>
        <w:tc>
          <w:tcPr>
            <w:tcW w:w="1134" w:type="dxa"/>
            <w:shd w:val="clear" w:color="000000" w:fill="FFFFFF"/>
            <w:noWrap/>
            <w:vAlign w:val="bottom"/>
            <w:hideMark/>
          </w:tcPr>
          <w:p w:rsidR="00520B7E" w:rsidRPr="00BF26EA" w:rsidRDefault="00520B7E" w:rsidP="0025776C">
            <w:pPr>
              <w:jc w:val="right"/>
              <w:rPr>
                <w:sz w:val="20"/>
                <w:szCs w:val="22"/>
                <w:lang w:val="es-GT" w:eastAsia="es-GT"/>
              </w:rPr>
            </w:pPr>
            <w:r w:rsidRPr="00BF26EA">
              <w:rPr>
                <w:sz w:val="20"/>
                <w:szCs w:val="22"/>
                <w:lang w:val="es-GT" w:eastAsia="es-GT"/>
              </w:rPr>
              <w:t>7.9%</w:t>
            </w:r>
          </w:p>
        </w:tc>
      </w:tr>
    </w:tbl>
    <w:p w:rsidR="00520B7E" w:rsidRPr="008E34D2" w:rsidRDefault="00520B7E" w:rsidP="00520B7E">
      <w:pPr>
        <w:autoSpaceDE w:val="0"/>
        <w:autoSpaceDN w:val="0"/>
        <w:adjustRightInd w:val="0"/>
        <w:jc w:val="both"/>
        <w:rPr>
          <w:sz w:val="18"/>
          <w:szCs w:val="18"/>
          <w:lang w:val="es-GT"/>
        </w:rPr>
      </w:pPr>
      <w:r w:rsidRPr="00132C56">
        <w:rPr>
          <w:sz w:val="16"/>
          <w:szCs w:val="18"/>
          <w:lang w:val="es-GT"/>
        </w:rPr>
        <w:t>*</w:t>
      </w:r>
      <w:r>
        <w:rPr>
          <w:sz w:val="16"/>
          <w:szCs w:val="18"/>
          <w:lang w:val="es-GT"/>
        </w:rPr>
        <w:t xml:space="preserve"> C</w:t>
      </w:r>
      <w:r w:rsidRPr="008E34D2">
        <w:rPr>
          <w:sz w:val="18"/>
          <w:szCs w:val="18"/>
          <w:lang w:val="es-GT"/>
        </w:rPr>
        <w:t>ifras preliminares</w:t>
      </w:r>
    </w:p>
    <w:p w:rsidR="00520B7E" w:rsidRPr="00C81B67" w:rsidRDefault="00520B7E" w:rsidP="00520B7E">
      <w:pPr>
        <w:autoSpaceDE w:val="0"/>
        <w:autoSpaceDN w:val="0"/>
        <w:adjustRightInd w:val="0"/>
        <w:jc w:val="both"/>
        <w:rPr>
          <w:sz w:val="16"/>
          <w:szCs w:val="18"/>
          <w:lang w:val="es-GT"/>
        </w:rPr>
      </w:pPr>
      <w:r>
        <w:rPr>
          <w:sz w:val="18"/>
          <w:szCs w:val="18"/>
          <w:lang w:val="es-GT"/>
        </w:rPr>
        <w:t xml:space="preserve">   </w:t>
      </w:r>
      <w:r w:rsidRPr="008E34D2">
        <w:rPr>
          <w:sz w:val="18"/>
          <w:szCs w:val="18"/>
          <w:lang w:val="es-GT"/>
        </w:rPr>
        <w:t>Fuente: Ministerio de Finanzas Públicas con base al SICOIN</w:t>
      </w:r>
      <w:r>
        <w:rPr>
          <w:sz w:val="16"/>
          <w:szCs w:val="18"/>
          <w:lang w:val="es-GT"/>
        </w:rPr>
        <w:t>.</w:t>
      </w:r>
    </w:p>
    <w:p w:rsidR="00520B7E" w:rsidRPr="00BF26EA" w:rsidRDefault="00520B7E" w:rsidP="00520B7E">
      <w:pPr>
        <w:pStyle w:val="Default"/>
        <w:jc w:val="both"/>
        <w:rPr>
          <w:rFonts w:ascii="Times New Roman" w:hAnsi="Times New Roman" w:cs="Times New Roman"/>
          <w:lang w:val="es-GT"/>
        </w:rPr>
      </w:pPr>
    </w:p>
    <w:p w:rsidR="00520B7E" w:rsidRDefault="00520B7E" w:rsidP="00520B7E">
      <w:pPr>
        <w:pStyle w:val="Default"/>
        <w:jc w:val="both"/>
        <w:rPr>
          <w:rFonts w:ascii="Times New Roman" w:hAnsi="Times New Roman" w:cs="Times New Roman"/>
        </w:rPr>
      </w:pPr>
      <w:r>
        <w:rPr>
          <w:rFonts w:ascii="Times New Roman" w:hAnsi="Times New Roman" w:cs="Times New Roman"/>
        </w:rPr>
        <w:t xml:space="preserve">Por el lado de los impuestos internos la caída registrada en el acumulado fue de Q.589.3 millones respecto del mismo período de 2019 (equivalentes a -2.7%), de los cuales, las mayores variaciones en términos absolutos se observan en el Impuesto a la Distribución de Petróleo y Derivados con </w:t>
      </w:r>
      <w:r w:rsidR="004D46C4">
        <w:rPr>
          <w:rFonts w:ascii="Times New Roman" w:hAnsi="Times New Roman" w:cs="Times New Roman"/>
        </w:rPr>
        <w:t>-</w:t>
      </w:r>
      <w:r>
        <w:rPr>
          <w:rFonts w:ascii="Times New Roman" w:hAnsi="Times New Roman" w:cs="Times New Roman"/>
        </w:rPr>
        <w:t>Q</w:t>
      </w:r>
      <w:r w:rsidR="004D46C4">
        <w:rPr>
          <w:rFonts w:ascii="Times New Roman" w:hAnsi="Times New Roman" w:cs="Times New Roman"/>
        </w:rPr>
        <w:t>.</w:t>
      </w:r>
      <w:r>
        <w:rPr>
          <w:rFonts w:ascii="Times New Roman" w:hAnsi="Times New Roman" w:cs="Times New Roman"/>
        </w:rPr>
        <w:t>261.9 millones (-14.1%); el Impuesto a la Primera Matr</w:t>
      </w:r>
      <w:r w:rsidR="004D46C4">
        <w:rPr>
          <w:rFonts w:ascii="Times New Roman" w:hAnsi="Times New Roman" w:cs="Times New Roman"/>
        </w:rPr>
        <w:t>í</w:t>
      </w:r>
      <w:r>
        <w:rPr>
          <w:rFonts w:ascii="Times New Roman" w:hAnsi="Times New Roman" w:cs="Times New Roman"/>
        </w:rPr>
        <w:t xml:space="preserve">cula de Vehículos Automotores </w:t>
      </w:r>
      <w:r w:rsidR="004D46C4">
        <w:rPr>
          <w:rFonts w:ascii="Times New Roman" w:hAnsi="Times New Roman" w:cs="Times New Roman"/>
        </w:rPr>
        <w:t>(</w:t>
      </w:r>
      <w:r>
        <w:rPr>
          <w:rFonts w:ascii="Times New Roman" w:hAnsi="Times New Roman" w:cs="Times New Roman"/>
        </w:rPr>
        <w:t>IPRIMA</w:t>
      </w:r>
      <w:r w:rsidR="004D46C4">
        <w:rPr>
          <w:rFonts w:ascii="Times New Roman" w:hAnsi="Times New Roman" w:cs="Times New Roman"/>
        </w:rPr>
        <w:t>)</w:t>
      </w:r>
      <w:r>
        <w:rPr>
          <w:rFonts w:ascii="Times New Roman" w:hAnsi="Times New Roman" w:cs="Times New Roman"/>
        </w:rPr>
        <w:t xml:space="preserve"> por -Q.109.0 millones (-23.7%); el Impuesto a la Circulación de Vehículos </w:t>
      </w:r>
      <w:r w:rsidR="004D46C4">
        <w:rPr>
          <w:rFonts w:ascii="Times New Roman" w:hAnsi="Times New Roman" w:cs="Times New Roman"/>
        </w:rPr>
        <w:t>-</w:t>
      </w:r>
      <w:r>
        <w:rPr>
          <w:rFonts w:ascii="Times New Roman" w:hAnsi="Times New Roman" w:cs="Times New Roman"/>
        </w:rPr>
        <w:t>Q</w:t>
      </w:r>
      <w:r w:rsidR="004D46C4">
        <w:rPr>
          <w:rFonts w:ascii="Times New Roman" w:hAnsi="Times New Roman" w:cs="Times New Roman"/>
        </w:rPr>
        <w:t>.</w:t>
      </w:r>
      <w:r>
        <w:rPr>
          <w:rFonts w:ascii="Times New Roman" w:hAnsi="Times New Roman" w:cs="Times New Roman"/>
        </w:rPr>
        <w:t xml:space="preserve">84.0 millones (-21.9%) y el Impuesto sobre Papel </w:t>
      </w:r>
      <w:r w:rsidR="00673E1E">
        <w:rPr>
          <w:rFonts w:ascii="Times New Roman" w:hAnsi="Times New Roman" w:cs="Times New Roman"/>
        </w:rPr>
        <w:t>E</w:t>
      </w:r>
      <w:r>
        <w:rPr>
          <w:rFonts w:ascii="Times New Roman" w:hAnsi="Times New Roman" w:cs="Times New Roman"/>
        </w:rPr>
        <w:t xml:space="preserve">special para </w:t>
      </w:r>
      <w:r w:rsidR="00673E1E">
        <w:rPr>
          <w:rFonts w:ascii="Times New Roman" w:hAnsi="Times New Roman" w:cs="Times New Roman"/>
        </w:rPr>
        <w:t>P</w:t>
      </w:r>
      <w:r>
        <w:rPr>
          <w:rFonts w:ascii="Times New Roman" w:hAnsi="Times New Roman" w:cs="Times New Roman"/>
        </w:rPr>
        <w:t>rotocolo y Timbres Fiscales</w:t>
      </w:r>
      <w:r w:rsidR="00673E1E">
        <w:rPr>
          <w:rFonts w:ascii="Times New Roman" w:hAnsi="Times New Roman" w:cs="Times New Roman"/>
        </w:rPr>
        <w:t xml:space="preserve"> con </w:t>
      </w:r>
      <w:r w:rsidR="004D46C4">
        <w:rPr>
          <w:rFonts w:ascii="Times New Roman" w:hAnsi="Times New Roman" w:cs="Times New Roman"/>
        </w:rPr>
        <w:t>–</w:t>
      </w:r>
      <w:r w:rsidR="00673E1E">
        <w:rPr>
          <w:rFonts w:ascii="Times New Roman" w:hAnsi="Times New Roman" w:cs="Times New Roman"/>
        </w:rPr>
        <w:t>Q</w:t>
      </w:r>
      <w:r w:rsidR="004D46C4">
        <w:rPr>
          <w:rFonts w:ascii="Times New Roman" w:hAnsi="Times New Roman" w:cs="Times New Roman"/>
        </w:rPr>
        <w:t>.</w:t>
      </w:r>
      <w:r w:rsidR="00673E1E">
        <w:rPr>
          <w:rFonts w:ascii="Times New Roman" w:hAnsi="Times New Roman" w:cs="Times New Roman"/>
        </w:rPr>
        <w:t>49.5 millones (-22.4%).</w:t>
      </w:r>
    </w:p>
    <w:p w:rsidR="00520B7E" w:rsidRDefault="00520B7E" w:rsidP="00520B7E">
      <w:pPr>
        <w:pStyle w:val="Default"/>
        <w:jc w:val="both"/>
        <w:rPr>
          <w:rFonts w:ascii="Times New Roman" w:hAnsi="Times New Roman" w:cs="Times New Roman"/>
        </w:rPr>
      </w:pPr>
    </w:p>
    <w:p w:rsidR="00945E5F" w:rsidRDefault="00945E5F" w:rsidP="00520B7E">
      <w:pPr>
        <w:pStyle w:val="Default"/>
        <w:jc w:val="both"/>
        <w:rPr>
          <w:rFonts w:ascii="Times New Roman" w:hAnsi="Times New Roman" w:cs="Times New Roman"/>
        </w:rPr>
      </w:pPr>
    </w:p>
    <w:p w:rsidR="00520B7E" w:rsidRDefault="00520B7E" w:rsidP="00520B7E">
      <w:pPr>
        <w:pStyle w:val="Default"/>
        <w:jc w:val="both"/>
        <w:rPr>
          <w:rFonts w:ascii="Times New Roman" w:hAnsi="Times New Roman" w:cs="Times New Roman"/>
        </w:rPr>
      </w:pPr>
      <w:r>
        <w:rPr>
          <w:rFonts w:ascii="Times New Roman" w:hAnsi="Times New Roman" w:cs="Times New Roman"/>
        </w:rPr>
        <w:t xml:space="preserve">En lo que respecta al Impuesto Sobre la Renta, éste experimentó una disminución de Q.11.3 millones (equivalentes a -0.1%) </w:t>
      </w:r>
      <w:r w:rsidR="00673E1E">
        <w:rPr>
          <w:rFonts w:ascii="Times New Roman" w:hAnsi="Times New Roman" w:cs="Times New Roman"/>
        </w:rPr>
        <w:t>sobre</w:t>
      </w:r>
      <w:r>
        <w:rPr>
          <w:rFonts w:ascii="Times New Roman" w:hAnsi="Times New Roman" w:cs="Times New Roman"/>
        </w:rPr>
        <w:t xml:space="preserve"> lo observado en 2019.</w:t>
      </w:r>
    </w:p>
    <w:p w:rsidR="00520B7E" w:rsidRDefault="00520B7E" w:rsidP="00520B7E">
      <w:pPr>
        <w:pStyle w:val="Default"/>
        <w:jc w:val="both"/>
        <w:rPr>
          <w:rFonts w:ascii="Times New Roman" w:hAnsi="Times New Roman" w:cs="Times New Roman"/>
        </w:rPr>
      </w:pPr>
    </w:p>
    <w:p w:rsidR="00520B7E" w:rsidRDefault="00520B7E" w:rsidP="00520B7E">
      <w:pPr>
        <w:pStyle w:val="Default"/>
        <w:jc w:val="both"/>
        <w:rPr>
          <w:rFonts w:ascii="Times New Roman" w:hAnsi="Times New Roman" w:cs="Times New Roman"/>
        </w:rPr>
      </w:pPr>
      <w:r>
        <w:rPr>
          <w:rFonts w:ascii="Times New Roman" w:hAnsi="Times New Roman" w:cs="Times New Roman"/>
        </w:rPr>
        <w:t xml:space="preserve">Los resultados guardan relación con las medidas adoptadas en materia tributaria </w:t>
      </w:r>
      <w:r w:rsidRPr="009730E4">
        <w:rPr>
          <w:rFonts w:ascii="Times New Roman" w:hAnsi="Times New Roman" w:cs="Times New Roman"/>
        </w:rPr>
        <w:t xml:space="preserve">para mitigar los efectos de la pandemia </w:t>
      </w:r>
      <w:r w:rsidR="00673E1E">
        <w:rPr>
          <w:rFonts w:ascii="Times New Roman" w:hAnsi="Times New Roman" w:cs="Times New Roman"/>
        </w:rPr>
        <w:t>del Covid</w:t>
      </w:r>
      <w:r w:rsidRPr="009730E4">
        <w:rPr>
          <w:rFonts w:ascii="Times New Roman" w:hAnsi="Times New Roman" w:cs="Times New Roman"/>
        </w:rPr>
        <w:t xml:space="preserve">-19, </w:t>
      </w:r>
      <w:r>
        <w:rPr>
          <w:rFonts w:ascii="Times New Roman" w:hAnsi="Times New Roman" w:cs="Times New Roman"/>
        </w:rPr>
        <w:t xml:space="preserve">entre ellas; </w:t>
      </w:r>
      <w:r w:rsidRPr="009730E4">
        <w:rPr>
          <w:rFonts w:ascii="Times New Roman" w:hAnsi="Times New Roman" w:cs="Times New Roman"/>
        </w:rPr>
        <w:t xml:space="preserve">con el objetivo de promover el cumplimiento de las obligaciones tributarias de los contribuyentes que podrían estar siendo afectados durante la emergencia sanitaria actual, </w:t>
      </w:r>
      <w:r>
        <w:rPr>
          <w:rFonts w:ascii="Times New Roman" w:hAnsi="Times New Roman" w:cs="Times New Roman"/>
        </w:rPr>
        <w:t xml:space="preserve">se autorizó </w:t>
      </w:r>
      <w:r w:rsidRPr="009730E4">
        <w:rPr>
          <w:rFonts w:ascii="Times New Roman" w:hAnsi="Times New Roman" w:cs="Times New Roman"/>
        </w:rPr>
        <w:t xml:space="preserve">el diferimiento del pago de algunos impuestos. </w:t>
      </w:r>
      <w:r>
        <w:rPr>
          <w:rFonts w:ascii="Times New Roman" w:hAnsi="Times New Roman" w:cs="Times New Roman"/>
        </w:rPr>
        <w:t>La</w:t>
      </w:r>
      <w:r w:rsidRPr="009730E4">
        <w:rPr>
          <w:rFonts w:ascii="Times New Roman" w:hAnsi="Times New Roman" w:cs="Times New Roman"/>
        </w:rPr>
        <w:t xml:space="preserve"> Superintendencia de Administración Tributaria (SAT), en Resolución N</w:t>
      </w:r>
      <w:r w:rsidR="00673E1E">
        <w:rPr>
          <w:rFonts w:ascii="Times New Roman" w:hAnsi="Times New Roman" w:cs="Times New Roman"/>
        </w:rPr>
        <w:t>o.</w:t>
      </w:r>
      <w:r w:rsidRPr="009730E4">
        <w:rPr>
          <w:rFonts w:ascii="Times New Roman" w:hAnsi="Times New Roman" w:cs="Times New Roman"/>
        </w:rPr>
        <w:t xml:space="preserve"> SAT-DSI-280-2020, declaró inhábiles para los efectos del cómputo de plazos establecidos en la legislación tributaria, los días del 24 al 31 de marzo </w:t>
      </w:r>
      <w:r w:rsidR="00673E1E">
        <w:rPr>
          <w:rFonts w:ascii="Times New Roman" w:hAnsi="Times New Roman" w:cs="Times New Roman"/>
        </w:rPr>
        <w:t>y del 1 al 14 de abril de 2020.</w:t>
      </w:r>
    </w:p>
    <w:p w:rsidR="00520B7E" w:rsidRDefault="00520B7E" w:rsidP="00520B7E">
      <w:pPr>
        <w:pStyle w:val="Default"/>
        <w:jc w:val="both"/>
        <w:rPr>
          <w:rFonts w:ascii="Times New Roman" w:hAnsi="Times New Roman" w:cs="Times New Roman"/>
        </w:rPr>
      </w:pPr>
    </w:p>
    <w:p w:rsidR="00520B7E" w:rsidRDefault="00520B7E" w:rsidP="00520B7E">
      <w:pPr>
        <w:pStyle w:val="Default"/>
        <w:jc w:val="both"/>
        <w:rPr>
          <w:rFonts w:ascii="Times New Roman" w:hAnsi="Times New Roman" w:cs="Times New Roman"/>
        </w:rPr>
      </w:pPr>
      <w:r w:rsidRPr="009730E4">
        <w:rPr>
          <w:rFonts w:ascii="Times New Roman" w:hAnsi="Times New Roman" w:cs="Times New Roman"/>
        </w:rPr>
        <w:t xml:space="preserve">De la misma manera, el Congreso de la República, mediante </w:t>
      </w:r>
      <w:r w:rsidR="00673E1E">
        <w:rPr>
          <w:rFonts w:ascii="Times New Roman" w:hAnsi="Times New Roman" w:cs="Times New Roman"/>
        </w:rPr>
        <w:t xml:space="preserve">el </w:t>
      </w:r>
      <w:r w:rsidRPr="009730E4">
        <w:rPr>
          <w:rFonts w:ascii="Times New Roman" w:hAnsi="Times New Roman" w:cs="Times New Roman"/>
        </w:rPr>
        <w:t>Decreto N</w:t>
      </w:r>
      <w:r w:rsidR="00673E1E">
        <w:rPr>
          <w:rFonts w:ascii="Times New Roman" w:hAnsi="Times New Roman" w:cs="Times New Roman"/>
        </w:rPr>
        <w:t>o.</w:t>
      </w:r>
      <w:r w:rsidRPr="009730E4">
        <w:rPr>
          <w:rFonts w:ascii="Times New Roman" w:hAnsi="Times New Roman" w:cs="Times New Roman"/>
        </w:rPr>
        <w:t xml:space="preserve"> 12-2020 aprobó diferir el pago del segundo trimestre del ISO hasta el 30 de septiembre </w:t>
      </w:r>
      <w:r w:rsidR="00673E1E">
        <w:rPr>
          <w:rFonts w:ascii="Times New Roman" w:hAnsi="Times New Roman" w:cs="Times New Roman"/>
        </w:rPr>
        <w:t xml:space="preserve">de 2020 </w:t>
      </w:r>
      <w:r w:rsidRPr="009730E4">
        <w:rPr>
          <w:rFonts w:ascii="Times New Roman" w:hAnsi="Times New Roman" w:cs="Times New Roman"/>
        </w:rPr>
        <w:t>y conforme</w:t>
      </w:r>
      <w:r w:rsidR="00673E1E">
        <w:rPr>
          <w:rFonts w:ascii="Times New Roman" w:hAnsi="Times New Roman" w:cs="Times New Roman"/>
        </w:rPr>
        <w:t xml:space="preserve"> el</w:t>
      </w:r>
      <w:r w:rsidRPr="009730E4">
        <w:rPr>
          <w:rFonts w:ascii="Times New Roman" w:hAnsi="Times New Roman" w:cs="Times New Roman"/>
        </w:rPr>
        <w:t xml:space="preserve"> Decreto N</w:t>
      </w:r>
      <w:r w:rsidR="00673E1E">
        <w:rPr>
          <w:rFonts w:ascii="Times New Roman" w:hAnsi="Times New Roman" w:cs="Times New Roman"/>
        </w:rPr>
        <w:t>o.</w:t>
      </w:r>
      <w:r w:rsidRPr="009730E4">
        <w:rPr>
          <w:rFonts w:ascii="Times New Roman" w:hAnsi="Times New Roman" w:cs="Times New Roman"/>
        </w:rPr>
        <w:t xml:space="preserve"> 24-2020 prorrogó el pago del Impuesto sobre Circulación de Vehículos </w:t>
      </w:r>
      <w:r w:rsidR="00673E1E">
        <w:rPr>
          <w:rFonts w:ascii="Times New Roman" w:hAnsi="Times New Roman" w:cs="Times New Roman"/>
        </w:rPr>
        <w:t>entre agosto y</w:t>
      </w:r>
      <w:r w:rsidRPr="009730E4">
        <w:rPr>
          <w:rFonts w:ascii="Times New Roman" w:hAnsi="Times New Roman" w:cs="Times New Roman"/>
        </w:rPr>
        <w:t xml:space="preserve"> octubre</w:t>
      </w:r>
      <w:r w:rsidR="00673E1E">
        <w:rPr>
          <w:rFonts w:ascii="Times New Roman" w:hAnsi="Times New Roman" w:cs="Times New Roman"/>
        </w:rPr>
        <w:t xml:space="preserve"> de 2020</w:t>
      </w:r>
      <w:r w:rsidRPr="009730E4">
        <w:rPr>
          <w:rFonts w:ascii="Times New Roman" w:hAnsi="Times New Roman" w:cs="Times New Roman"/>
        </w:rPr>
        <w:t>.</w:t>
      </w:r>
    </w:p>
    <w:p w:rsidR="00520B7E" w:rsidRDefault="00520B7E" w:rsidP="00520B7E">
      <w:pPr>
        <w:pStyle w:val="Default"/>
        <w:jc w:val="both"/>
        <w:rPr>
          <w:rFonts w:ascii="Times New Roman" w:hAnsi="Times New Roman" w:cs="Times New Roman"/>
        </w:rPr>
      </w:pPr>
    </w:p>
    <w:p w:rsidR="00520B7E" w:rsidRDefault="00520B7E" w:rsidP="00520B7E">
      <w:pPr>
        <w:pStyle w:val="Default"/>
        <w:jc w:val="both"/>
        <w:rPr>
          <w:rFonts w:ascii="Times New Roman" w:hAnsi="Times New Roman" w:cs="Times New Roman"/>
        </w:rPr>
      </w:pPr>
      <w:r>
        <w:rPr>
          <w:rFonts w:ascii="Times New Roman" w:hAnsi="Times New Roman" w:cs="Times New Roman"/>
        </w:rPr>
        <w:t>Adicionalmente, l</w:t>
      </w:r>
      <w:r w:rsidRPr="0035677E">
        <w:rPr>
          <w:rFonts w:ascii="Times New Roman" w:hAnsi="Times New Roman" w:cs="Times New Roman"/>
        </w:rPr>
        <w:t xml:space="preserve">a recaudación tributaria se ve afectada </w:t>
      </w:r>
      <w:r>
        <w:rPr>
          <w:rFonts w:ascii="Times New Roman" w:hAnsi="Times New Roman" w:cs="Times New Roman"/>
        </w:rPr>
        <w:t xml:space="preserve">por </w:t>
      </w:r>
      <w:r w:rsidRPr="0035677E">
        <w:rPr>
          <w:rFonts w:ascii="Times New Roman" w:hAnsi="Times New Roman" w:cs="Times New Roman"/>
        </w:rPr>
        <w:t xml:space="preserve">factores </w:t>
      </w:r>
      <w:r>
        <w:rPr>
          <w:rFonts w:ascii="Times New Roman" w:hAnsi="Times New Roman" w:cs="Times New Roman"/>
        </w:rPr>
        <w:t xml:space="preserve">adicionales ya señalados como la disminución en los precios internacionales del petróleo y la reducción </w:t>
      </w:r>
      <w:r w:rsidRPr="0035677E">
        <w:rPr>
          <w:rFonts w:ascii="Times New Roman" w:hAnsi="Times New Roman" w:cs="Times New Roman"/>
        </w:rPr>
        <w:t xml:space="preserve">en </w:t>
      </w:r>
      <w:r>
        <w:rPr>
          <w:rFonts w:ascii="Times New Roman" w:hAnsi="Times New Roman" w:cs="Times New Roman"/>
        </w:rPr>
        <w:t>el flujo de</w:t>
      </w:r>
      <w:r w:rsidRPr="0035677E">
        <w:rPr>
          <w:rFonts w:ascii="Times New Roman" w:hAnsi="Times New Roman" w:cs="Times New Roman"/>
        </w:rPr>
        <w:t xml:space="preserve"> remesas familiares</w:t>
      </w:r>
      <w:r>
        <w:rPr>
          <w:rFonts w:ascii="Times New Roman" w:hAnsi="Times New Roman" w:cs="Times New Roman"/>
        </w:rPr>
        <w:t>.</w:t>
      </w:r>
    </w:p>
    <w:p w:rsidR="00520B7E" w:rsidRDefault="00520B7E" w:rsidP="00520B7E">
      <w:pPr>
        <w:pStyle w:val="Default"/>
        <w:jc w:val="both"/>
        <w:rPr>
          <w:rFonts w:ascii="Times New Roman" w:hAnsi="Times New Roman" w:cs="Times New Roman"/>
        </w:rPr>
      </w:pPr>
    </w:p>
    <w:p w:rsidR="00520B7E" w:rsidRPr="00721ED1" w:rsidRDefault="00520B7E" w:rsidP="00520B7E">
      <w:pPr>
        <w:jc w:val="both"/>
        <w:rPr>
          <w:lang w:val="es-GT"/>
        </w:rPr>
      </w:pPr>
      <w:r w:rsidRPr="00721ED1">
        <w:rPr>
          <w:lang w:val="es-GT"/>
        </w:rPr>
        <w:t>Con relación a la estructura impositiva por el origen del recaudo, los impuestos asociados al comercio exterior al 30 de junio de 2020 representaban el 26.</w:t>
      </w:r>
      <w:r w:rsidR="005D400E">
        <w:rPr>
          <w:lang w:val="es-GT"/>
        </w:rPr>
        <w:t>3</w:t>
      </w:r>
      <w:r w:rsidRPr="00721ED1">
        <w:rPr>
          <w:lang w:val="es-GT"/>
        </w:rPr>
        <w:t>%, (28</w:t>
      </w:r>
      <w:r w:rsidR="0040215E">
        <w:rPr>
          <w:lang w:val="es-GT"/>
        </w:rPr>
        <w:t>.0</w:t>
      </w:r>
      <w:r w:rsidRPr="00721ED1">
        <w:rPr>
          <w:lang w:val="es-GT"/>
        </w:rPr>
        <w:t>% en 201</w:t>
      </w:r>
      <w:r w:rsidR="0040215E">
        <w:rPr>
          <w:lang w:val="es-GT"/>
        </w:rPr>
        <w:t>9</w:t>
      </w:r>
      <w:r w:rsidRPr="00721ED1">
        <w:rPr>
          <w:lang w:val="es-GT"/>
        </w:rPr>
        <w:t>)</w:t>
      </w:r>
      <w:r w:rsidR="0040215E">
        <w:rPr>
          <w:lang w:val="es-GT"/>
        </w:rPr>
        <w:t>; este</w:t>
      </w:r>
      <w:r w:rsidRPr="00721ED1">
        <w:rPr>
          <w:lang w:val="es-GT"/>
        </w:rPr>
        <w:t xml:space="preserve"> resultado está en consonancia con la disminución observada en las importaciones.</w:t>
      </w:r>
    </w:p>
    <w:p w:rsidR="00520B7E" w:rsidRDefault="00520B7E" w:rsidP="00520B7E">
      <w:pPr>
        <w:rPr>
          <w:b/>
          <w:sz w:val="20"/>
        </w:rPr>
      </w:pPr>
    </w:p>
    <w:p w:rsidR="00945E5F" w:rsidRDefault="00945E5F" w:rsidP="00520B7E">
      <w:pPr>
        <w:rPr>
          <w:b/>
          <w:sz w:val="20"/>
        </w:rPr>
      </w:pPr>
    </w:p>
    <w:p w:rsidR="00520B7E" w:rsidRPr="00D25798" w:rsidRDefault="00520B7E" w:rsidP="00520B7E">
      <w:pPr>
        <w:jc w:val="center"/>
        <w:rPr>
          <w:b/>
        </w:rPr>
      </w:pPr>
      <w:r w:rsidRPr="00D25798">
        <w:rPr>
          <w:b/>
        </w:rPr>
        <w:t>Gráfica 9</w:t>
      </w:r>
    </w:p>
    <w:p w:rsidR="00520B7E" w:rsidRPr="00AF05C7" w:rsidRDefault="00520B7E" w:rsidP="00520B7E">
      <w:pPr>
        <w:pStyle w:val="Prrafodelista"/>
        <w:ind w:left="360"/>
        <w:jc w:val="center"/>
        <w:rPr>
          <w:b/>
          <w:lang w:val="es-MX"/>
        </w:rPr>
      </w:pPr>
      <w:r w:rsidRPr="00AF05C7">
        <w:rPr>
          <w:b/>
          <w:lang w:val="es-MX"/>
        </w:rPr>
        <w:t>Estructura Tributaria por Origen del Recaudo</w:t>
      </w:r>
    </w:p>
    <w:p w:rsidR="00520B7E" w:rsidRPr="00AF05C7" w:rsidRDefault="00520B7E" w:rsidP="00520B7E">
      <w:pPr>
        <w:pStyle w:val="Prrafodelista"/>
        <w:ind w:left="360"/>
        <w:jc w:val="center"/>
        <w:rPr>
          <w:b/>
          <w:lang w:val="es-MX"/>
        </w:rPr>
      </w:pPr>
      <w:r w:rsidRPr="00AF05C7">
        <w:rPr>
          <w:b/>
          <w:lang w:val="es-MX"/>
        </w:rPr>
        <w:t>Comparativo 2019 - 2020*</w:t>
      </w:r>
    </w:p>
    <w:p w:rsidR="00520B7E" w:rsidRPr="0088577C" w:rsidRDefault="00520B7E" w:rsidP="00520B7E">
      <w:pPr>
        <w:pStyle w:val="Prrafodelista"/>
        <w:ind w:left="360"/>
        <w:jc w:val="center"/>
        <w:rPr>
          <w:b/>
          <w:sz w:val="22"/>
          <w:lang w:val="es-MX"/>
        </w:rPr>
      </w:pPr>
      <w:r w:rsidRPr="00AF05C7">
        <w:rPr>
          <w:b/>
          <w:lang w:val="es-MX"/>
        </w:rPr>
        <w:t>Al 30 de junio de cada año</w:t>
      </w:r>
    </w:p>
    <w:p w:rsidR="00520B7E" w:rsidRDefault="00520B7E" w:rsidP="00520B7E">
      <w:pPr>
        <w:tabs>
          <w:tab w:val="left" w:pos="426"/>
        </w:tabs>
        <w:jc w:val="center"/>
        <w:rPr>
          <w:noProof/>
          <w:lang w:val="es-GT" w:eastAsia="es-GT"/>
        </w:rPr>
      </w:pPr>
    </w:p>
    <w:p w:rsidR="00520B7E" w:rsidRDefault="00520B7E" w:rsidP="00520B7E">
      <w:pPr>
        <w:tabs>
          <w:tab w:val="left" w:pos="426"/>
        </w:tabs>
        <w:jc w:val="center"/>
        <w:rPr>
          <w:b/>
          <w:sz w:val="20"/>
        </w:rPr>
      </w:pPr>
    </w:p>
    <w:p w:rsidR="00520B7E" w:rsidRDefault="00520B7E" w:rsidP="00520B7E">
      <w:pPr>
        <w:tabs>
          <w:tab w:val="left" w:pos="426"/>
        </w:tabs>
        <w:jc w:val="center"/>
        <w:rPr>
          <w:b/>
          <w:sz w:val="20"/>
        </w:rPr>
      </w:pPr>
      <w:r>
        <w:rPr>
          <w:noProof/>
          <w:lang w:val="es-GT" w:eastAsia="es-GT"/>
        </w:rPr>
        <w:drawing>
          <wp:inline distT="0" distB="0" distL="0" distR="0" wp14:anchorId="3E9749EB" wp14:editId="4CFB9011">
            <wp:extent cx="2756847" cy="2074460"/>
            <wp:effectExtent l="0" t="0" r="43815" b="2540"/>
            <wp:docPr id="26" name="Gráfico 2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A9B74E92-5116-45C0-9666-4A5D16DD82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Pr>
          <w:b/>
          <w:sz w:val="20"/>
        </w:rPr>
        <w:t xml:space="preserve">  </w:t>
      </w:r>
      <w:r>
        <w:rPr>
          <w:noProof/>
          <w:lang w:val="es-GT" w:eastAsia="es-GT"/>
        </w:rPr>
        <w:drawing>
          <wp:inline distT="0" distB="0" distL="0" distR="0" wp14:anchorId="69D2B1E4" wp14:editId="52FF703D">
            <wp:extent cx="2700000" cy="1980000"/>
            <wp:effectExtent l="19050" t="0" r="43815" b="1270"/>
            <wp:docPr id="27" name="Gráfico 27">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7DC29DC2-27A0-4E38-8B9D-F1E4F8529F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20B7E" w:rsidRPr="00132C56" w:rsidRDefault="00520B7E" w:rsidP="00520B7E">
      <w:pPr>
        <w:jc w:val="both"/>
        <w:rPr>
          <w:sz w:val="18"/>
          <w:szCs w:val="18"/>
          <w:lang w:val="es-GT"/>
        </w:rPr>
      </w:pPr>
      <w:r w:rsidRPr="00132C56">
        <w:rPr>
          <w:sz w:val="18"/>
          <w:szCs w:val="18"/>
          <w:lang w:val="es-GT"/>
        </w:rPr>
        <w:t>*</w:t>
      </w:r>
      <w:r>
        <w:rPr>
          <w:sz w:val="18"/>
          <w:szCs w:val="18"/>
          <w:lang w:val="es-GT"/>
        </w:rPr>
        <w:t xml:space="preserve"> </w:t>
      </w:r>
      <w:r w:rsidRPr="00132C56">
        <w:rPr>
          <w:sz w:val="18"/>
          <w:szCs w:val="18"/>
          <w:lang w:val="es-GT"/>
        </w:rPr>
        <w:t>Cifras preliminares</w:t>
      </w:r>
    </w:p>
    <w:p w:rsidR="00520B7E" w:rsidRPr="00132C56" w:rsidRDefault="00520B7E" w:rsidP="00520B7E">
      <w:pPr>
        <w:jc w:val="both"/>
        <w:rPr>
          <w:sz w:val="18"/>
          <w:szCs w:val="18"/>
          <w:lang w:val="es-GT"/>
        </w:rPr>
      </w:pPr>
      <w:r>
        <w:rPr>
          <w:sz w:val="18"/>
          <w:szCs w:val="18"/>
          <w:lang w:val="es-GT"/>
        </w:rPr>
        <w:t xml:space="preserve">   </w:t>
      </w:r>
      <w:r w:rsidRPr="00132C56">
        <w:rPr>
          <w:sz w:val="18"/>
          <w:szCs w:val="18"/>
          <w:lang w:val="es-GT"/>
        </w:rPr>
        <w:t>Fuente: Ministerio de Finanzas Públicas con base al SICOIN.</w:t>
      </w:r>
    </w:p>
    <w:p w:rsidR="00520B7E" w:rsidRPr="00D7055A" w:rsidRDefault="00520B7E" w:rsidP="00520B7E">
      <w:pPr>
        <w:jc w:val="both"/>
        <w:rPr>
          <w:sz w:val="2"/>
          <w:lang w:val="es-GT"/>
        </w:rPr>
      </w:pPr>
    </w:p>
    <w:p w:rsidR="00520B7E" w:rsidRDefault="00520B7E" w:rsidP="00520B7E">
      <w:pPr>
        <w:jc w:val="both"/>
        <w:rPr>
          <w:lang w:val="es-GT"/>
        </w:rPr>
      </w:pPr>
    </w:p>
    <w:p w:rsidR="00945E5F" w:rsidRDefault="00945E5F" w:rsidP="00520B7E">
      <w:pPr>
        <w:jc w:val="both"/>
        <w:rPr>
          <w:lang w:val="es-GT"/>
        </w:rPr>
      </w:pPr>
    </w:p>
    <w:p w:rsidR="00520B7E" w:rsidRPr="00E972E8" w:rsidRDefault="00520B7E" w:rsidP="00520B7E">
      <w:pPr>
        <w:jc w:val="both"/>
        <w:rPr>
          <w:lang w:val="es-GT"/>
        </w:rPr>
      </w:pPr>
      <w:r>
        <w:rPr>
          <w:lang w:val="es-GT"/>
        </w:rPr>
        <w:t>En cuanto a la estructura porcentual de la recaudación por tipo de impuesto, los impuestos indirectos disminuyeron en 2.2% respecto de 2019, derivado de</w:t>
      </w:r>
      <w:r w:rsidRPr="00E972E8">
        <w:rPr>
          <w:lang w:val="es-GT"/>
        </w:rPr>
        <w:t xml:space="preserve"> los efectos de la pandemia </w:t>
      </w:r>
      <w:r w:rsidR="005D400E">
        <w:rPr>
          <w:lang w:val="es-GT"/>
        </w:rPr>
        <w:t>del Covid</w:t>
      </w:r>
      <w:r w:rsidRPr="00E972E8">
        <w:rPr>
          <w:lang w:val="es-GT"/>
        </w:rPr>
        <w:t>-19</w:t>
      </w:r>
      <w:r>
        <w:rPr>
          <w:lang w:val="es-GT"/>
        </w:rPr>
        <w:t>. No obstante lo anterior, sin cambios en la estructura tributaria a nivel normativo, la regresividad del sistema contin</w:t>
      </w:r>
      <w:r w:rsidR="005D400E">
        <w:rPr>
          <w:lang w:val="es-GT"/>
        </w:rPr>
        <w:t>ú</w:t>
      </w:r>
      <w:r>
        <w:rPr>
          <w:lang w:val="es-GT"/>
        </w:rPr>
        <w:t>a invariante.</w:t>
      </w:r>
    </w:p>
    <w:p w:rsidR="00520B7E" w:rsidRPr="00E972E8" w:rsidRDefault="00520B7E" w:rsidP="00520B7E">
      <w:pPr>
        <w:jc w:val="both"/>
        <w:rPr>
          <w:lang w:val="es-GT"/>
        </w:rPr>
      </w:pPr>
    </w:p>
    <w:p w:rsidR="00520B7E" w:rsidRPr="00AF05C7" w:rsidRDefault="00520B7E" w:rsidP="00520B7E">
      <w:pPr>
        <w:jc w:val="center"/>
        <w:rPr>
          <w:b/>
          <w:lang w:val="es-MX"/>
        </w:rPr>
      </w:pPr>
      <w:r w:rsidRPr="00AF05C7">
        <w:rPr>
          <w:b/>
          <w:lang w:val="es-MX"/>
        </w:rPr>
        <w:t>Gráfica 10</w:t>
      </w:r>
    </w:p>
    <w:p w:rsidR="00520B7E" w:rsidRPr="00AF05C7" w:rsidRDefault="00520B7E" w:rsidP="00520B7E">
      <w:pPr>
        <w:jc w:val="center"/>
        <w:rPr>
          <w:b/>
          <w:lang w:val="es-MX"/>
        </w:rPr>
      </w:pPr>
      <w:r w:rsidRPr="00AF05C7">
        <w:rPr>
          <w:b/>
          <w:lang w:val="es-MX"/>
        </w:rPr>
        <w:t>Estructura Tributaria por Tipo de Impuesto</w:t>
      </w:r>
    </w:p>
    <w:p w:rsidR="00520B7E" w:rsidRPr="00AF05C7" w:rsidRDefault="00520B7E" w:rsidP="00520B7E">
      <w:pPr>
        <w:jc w:val="center"/>
        <w:rPr>
          <w:b/>
          <w:lang w:val="es-MX"/>
        </w:rPr>
      </w:pPr>
      <w:r w:rsidRPr="00AF05C7">
        <w:rPr>
          <w:b/>
          <w:lang w:val="es-MX"/>
        </w:rPr>
        <w:t>Comparativo 2019 - 2020*</w:t>
      </w:r>
    </w:p>
    <w:p w:rsidR="00520B7E" w:rsidRDefault="00520B7E" w:rsidP="00520B7E">
      <w:pPr>
        <w:jc w:val="center"/>
        <w:rPr>
          <w:b/>
          <w:noProof/>
          <w:lang w:val="es-GT" w:eastAsia="es-GT"/>
        </w:rPr>
      </w:pPr>
      <w:r w:rsidRPr="00AF05C7">
        <w:rPr>
          <w:b/>
          <w:lang w:val="es-MX"/>
        </w:rPr>
        <w:t>Al 30 de junio de cada año</w:t>
      </w:r>
    </w:p>
    <w:p w:rsidR="00520B7E" w:rsidRDefault="00520B7E" w:rsidP="00520B7E">
      <w:pPr>
        <w:jc w:val="center"/>
        <w:rPr>
          <w:noProof/>
          <w:lang w:val="es-GT" w:eastAsia="es-GT"/>
        </w:rPr>
      </w:pPr>
      <w:r>
        <w:rPr>
          <w:b/>
          <w:sz w:val="20"/>
          <w:lang w:val="es-MX"/>
        </w:rPr>
        <w:t xml:space="preserve">          </w:t>
      </w:r>
    </w:p>
    <w:p w:rsidR="00520B7E" w:rsidRDefault="00520B7E" w:rsidP="005D400E">
      <w:pPr>
        <w:rPr>
          <w:b/>
          <w:sz w:val="20"/>
          <w:lang w:val="es-MX"/>
        </w:rPr>
      </w:pPr>
      <w:r>
        <w:rPr>
          <w:noProof/>
          <w:lang w:val="es-GT" w:eastAsia="es-GT"/>
        </w:rPr>
        <w:drawing>
          <wp:inline distT="0" distB="0" distL="0" distR="0" wp14:anchorId="2C81AA08" wp14:editId="0564AE88">
            <wp:extent cx="2700000" cy="1980000"/>
            <wp:effectExtent l="0" t="0" r="5715" b="1270"/>
            <wp:docPr id="28" name="Gráfico 2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EB9E1D53-AF5C-434D-B70A-C368683750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Pr>
          <w:noProof/>
          <w:lang w:val="es-GT" w:eastAsia="es-GT"/>
        </w:rPr>
        <w:drawing>
          <wp:inline distT="0" distB="0" distL="0" distR="0" wp14:anchorId="02883EAC" wp14:editId="3FD906DB">
            <wp:extent cx="2700000" cy="1980000"/>
            <wp:effectExtent l="0" t="0" r="43815" b="1270"/>
            <wp:docPr id="42" name="Gráfico 4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1041A2C-1B0D-4ECA-97D9-51B8F37841F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20B7E" w:rsidRPr="005B732C" w:rsidRDefault="00520B7E" w:rsidP="00520B7E">
      <w:pPr>
        <w:jc w:val="both"/>
        <w:rPr>
          <w:sz w:val="18"/>
          <w:szCs w:val="18"/>
          <w:lang w:val="es-GT"/>
        </w:rPr>
      </w:pPr>
      <w:r w:rsidRPr="005B732C">
        <w:rPr>
          <w:sz w:val="18"/>
          <w:szCs w:val="18"/>
          <w:lang w:val="es-GT"/>
        </w:rPr>
        <w:t>*</w:t>
      </w:r>
      <w:r>
        <w:rPr>
          <w:sz w:val="18"/>
          <w:szCs w:val="18"/>
          <w:lang w:val="es-GT"/>
        </w:rPr>
        <w:t xml:space="preserve"> </w:t>
      </w:r>
      <w:r w:rsidRPr="005B732C">
        <w:rPr>
          <w:sz w:val="18"/>
          <w:szCs w:val="18"/>
          <w:lang w:val="es-GT"/>
        </w:rPr>
        <w:t>Cifras preliminares</w:t>
      </w:r>
    </w:p>
    <w:p w:rsidR="00520B7E" w:rsidRDefault="00520B7E" w:rsidP="00520B7E">
      <w:pPr>
        <w:jc w:val="both"/>
        <w:rPr>
          <w:lang w:val="es-GT"/>
        </w:rPr>
      </w:pPr>
      <w:r>
        <w:rPr>
          <w:sz w:val="18"/>
          <w:szCs w:val="18"/>
          <w:lang w:val="es-GT"/>
        </w:rPr>
        <w:t xml:space="preserve">   </w:t>
      </w:r>
      <w:r w:rsidRPr="006C1510">
        <w:rPr>
          <w:sz w:val="18"/>
          <w:szCs w:val="18"/>
          <w:lang w:val="es-GT"/>
        </w:rPr>
        <w:t>Fuente: Ministerio de Finanzas Públicas con base</w:t>
      </w:r>
      <w:r>
        <w:rPr>
          <w:sz w:val="18"/>
          <w:szCs w:val="18"/>
          <w:lang w:val="es-GT"/>
        </w:rPr>
        <w:t xml:space="preserve"> al</w:t>
      </w:r>
      <w:r w:rsidRPr="006C1510">
        <w:rPr>
          <w:sz w:val="18"/>
          <w:szCs w:val="18"/>
          <w:lang w:val="es-GT"/>
        </w:rPr>
        <w:t xml:space="preserve"> SICOIN</w:t>
      </w:r>
      <w:r>
        <w:rPr>
          <w:sz w:val="18"/>
          <w:szCs w:val="18"/>
          <w:lang w:val="es-GT"/>
        </w:rPr>
        <w:t>.</w:t>
      </w:r>
    </w:p>
    <w:p w:rsidR="00520B7E" w:rsidRPr="00A76096" w:rsidRDefault="00520B7E" w:rsidP="00520B7E">
      <w:pPr>
        <w:jc w:val="both"/>
        <w:rPr>
          <w:sz w:val="4"/>
          <w:lang w:val="es-GT"/>
        </w:rPr>
      </w:pPr>
    </w:p>
    <w:p w:rsidR="00520B7E" w:rsidRDefault="00520B7E" w:rsidP="00520B7E">
      <w:pPr>
        <w:jc w:val="both"/>
        <w:rPr>
          <w:lang w:val="es-GT"/>
        </w:rPr>
      </w:pPr>
    </w:p>
    <w:p w:rsidR="00E425C1" w:rsidRPr="00520B7E" w:rsidRDefault="00E425C1" w:rsidP="00E425C1">
      <w:pPr>
        <w:rPr>
          <w:lang w:val="es-GT"/>
        </w:rPr>
      </w:pPr>
    </w:p>
    <w:p w:rsidR="00E425C1" w:rsidRPr="00835314" w:rsidRDefault="00E425C1" w:rsidP="00F073BE">
      <w:pPr>
        <w:pStyle w:val="Ttulo2"/>
        <w:numPr>
          <w:ilvl w:val="0"/>
          <w:numId w:val="11"/>
        </w:numPr>
        <w:ind w:left="709" w:hanging="709"/>
        <w:rPr>
          <w:rFonts w:ascii="Times New Roman" w:hAnsi="Times New Roman"/>
          <w:color w:val="auto"/>
          <w:sz w:val="24"/>
        </w:rPr>
      </w:pPr>
      <w:bookmarkStart w:id="13" w:name="_Toc51925245"/>
      <w:bookmarkEnd w:id="2"/>
      <w:bookmarkEnd w:id="3"/>
      <w:r>
        <w:rPr>
          <w:rFonts w:ascii="Times New Roman" w:hAnsi="Times New Roman"/>
          <w:color w:val="auto"/>
          <w:sz w:val="24"/>
        </w:rPr>
        <w:t>Gastos</w:t>
      </w:r>
      <w:bookmarkEnd w:id="13"/>
    </w:p>
    <w:p w:rsidR="00E425C1" w:rsidRDefault="00E425C1" w:rsidP="00E425C1">
      <w:pPr>
        <w:rPr>
          <w:b/>
          <w:bCs/>
          <w:highlight w:val="yellow"/>
          <w:lang w:val="es-MX"/>
        </w:rPr>
      </w:pPr>
    </w:p>
    <w:p w:rsidR="00AD535C" w:rsidRDefault="00AD535C" w:rsidP="00AD535C">
      <w:pPr>
        <w:jc w:val="both"/>
        <w:rPr>
          <w:lang w:val="es-MX"/>
        </w:rPr>
      </w:pPr>
      <w:r w:rsidRPr="00FB641E">
        <w:rPr>
          <w:lang w:val="es-MX"/>
        </w:rPr>
        <w:t>Al 30 de junio de 20</w:t>
      </w:r>
      <w:r>
        <w:rPr>
          <w:lang w:val="es-MX"/>
        </w:rPr>
        <w:t>20</w:t>
      </w:r>
      <w:r w:rsidRPr="00FB641E">
        <w:rPr>
          <w:lang w:val="es-MX"/>
        </w:rPr>
        <w:t xml:space="preserve"> </w:t>
      </w:r>
      <w:r>
        <w:rPr>
          <w:lang w:val="es-MX"/>
        </w:rPr>
        <w:t>la ejecución presupuestaria fue de</w:t>
      </w:r>
      <w:r w:rsidRPr="00FB641E">
        <w:rPr>
          <w:lang w:val="es-MX"/>
        </w:rPr>
        <w:t xml:space="preserve"> Q</w:t>
      </w:r>
      <w:r w:rsidR="00E97514">
        <w:rPr>
          <w:lang w:val="es-MX"/>
        </w:rPr>
        <w:t>.</w:t>
      </w:r>
      <w:r>
        <w:rPr>
          <w:lang w:val="es-MX"/>
        </w:rPr>
        <w:t>41</w:t>
      </w:r>
      <w:r w:rsidRPr="00FB641E">
        <w:rPr>
          <w:lang w:val="es-MX"/>
        </w:rPr>
        <w:t>,</w:t>
      </w:r>
      <w:r>
        <w:rPr>
          <w:lang w:val="es-MX"/>
        </w:rPr>
        <w:t>296.2</w:t>
      </w:r>
      <w:r w:rsidRPr="00FB641E">
        <w:rPr>
          <w:lang w:val="es-MX"/>
        </w:rPr>
        <w:t xml:space="preserve"> millones, </w:t>
      </w:r>
      <w:r>
        <w:rPr>
          <w:lang w:val="es-MX"/>
        </w:rPr>
        <w:t>equivalentes al 38.3</w:t>
      </w:r>
      <w:r w:rsidRPr="00FB641E">
        <w:rPr>
          <w:lang w:val="es-MX"/>
        </w:rPr>
        <w:t>% del presupuesto vigente</w:t>
      </w:r>
      <w:r>
        <w:rPr>
          <w:lang w:val="es-MX"/>
        </w:rPr>
        <w:t>;</w:t>
      </w:r>
      <w:r w:rsidRPr="00FB641E">
        <w:rPr>
          <w:lang w:val="es-MX"/>
        </w:rPr>
        <w:t xml:space="preserve"> </w:t>
      </w:r>
      <w:r>
        <w:rPr>
          <w:lang w:val="es-MX"/>
        </w:rPr>
        <w:t>esta ejecución fue mayor en Q</w:t>
      </w:r>
      <w:r w:rsidR="004130F6">
        <w:rPr>
          <w:lang w:val="es-MX"/>
        </w:rPr>
        <w:t>.</w:t>
      </w:r>
      <w:r>
        <w:rPr>
          <w:lang w:val="es-MX"/>
        </w:rPr>
        <w:t xml:space="preserve">3,406.2 millones respecto </w:t>
      </w:r>
      <w:r w:rsidR="004130F6">
        <w:rPr>
          <w:lang w:val="es-MX"/>
        </w:rPr>
        <w:t>del</w:t>
      </w:r>
      <w:r>
        <w:rPr>
          <w:lang w:val="es-MX"/>
        </w:rPr>
        <w:t xml:space="preserve"> observado a junio de 2019</w:t>
      </w:r>
      <w:r w:rsidRPr="00FB641E">
        <w:rPr>
          <w:lang w:val="es-MX"/>
        </w:rPr>
        <w:t xml:space="preserve">. </w:t>
      </w:r>
      <w:r>
        <w:rPr>
          <w:lang w:val="es-MX"/>
        </w:rPr>
        <w:t xml:space="preserve">La estructura del gasto preliminar a junio de 2020 refleja que el 66.4% corresponde a </w:t>
      </w:r>
      <w:r w:rsidR="004130F6">
        <w:rPr>
          <w:lang w:val="es-MX"/>
        </w:rPr>
        <w:t>g</w:t>
      </w:r>
      <w:r>
        <w:rPr>
          <w:lang w:val="es-MX"/>
        </w:rPr>
        <w:t>asto</w:t>
      </w:r>
      <w:r w:rsidR="004130F6">
        <w:rPr>
          <w:lang w:val="es-MX"/>
        </w:rPr>
        <w:t>s</w:t>
      </w:r>
      <w:r>
        <w:rPr>
          <w:lang w:val="es-MX"/>
        </w:rPr>
        <w:t xml:space="preserve"> de </w:t>
      </w:r>
      <w:r w:rsidR="004130F6">
        <w:rPr>
          <w:lang w:val="es-MX"/>
        </w:rPr>
        <w:t>f</w:t>
      </w:r>
      <w:r>
        <w:rPr>
          <w:lang w:val="es-MX"/>
        </w:rPr>
        <w:t>uncionamiento, el 18.2% al gasto en inversión y la diferencia restante corresponde al pago del servicio de la deuda pública que fue del 15.4%</w:t>
      </w:r>
      <w:r w:rsidRPr="00FB641E">
        <w:rPr>
          <w:lang w:val="es-MX"/>
        </w:rPr>
        <w:t>.</w:t>
      </w:r>
    </w:p>
    <w:p w:rsidR="00AD535C" w:rsidRDefault="00AD535C" w:rsidP="00AD535C">
      <w:pPr>
        <w:jc w:val="both"/>
        <w:rPr>
          <w:lang w:val="es-MX"/>
        </w:rPr>
      </w:pPr>
    </w:p>
    <w:p w:rsidR="00AD535C" w:rsidRPr="00FB641E" w:rsidRDefault="00AD535C" w:rsidP="00AD535C">
      <w:pPr>
        <w:jc w:val="both"/>
        <w:rPr>
          <w:lang w:val="es-MX"/>
        </w:rPr>
      </w:pPr>
      <w:r>
        <w:rPr>
          <w:lang w:val="es-MX"/>
        </w:rPr>
        <w:t>Al observar el presupuesto vigente al 30 de junio de 2020</w:t>
      </w:r>
      <w:r w:rsidR="004130F6">
        <w:rPr>
          <w:lang w:val="es-MX"/>
        </w:rPr>
        <w:t>, éste</w:t>
      </w:r>
      <w:r>
        <w:rPr>
          <w:lang w:val="es-MX"/>
        </w:rPr>
        <w:t xml:space="preserve"> se ubica en Q</w:t>
      </w:r>
      <w:r w:rsidR="004130F6">
        <w:rPr>
          <w:lang w:val="es-MX"/>
        </w:rPr>
        <w:t>.</w:t>
      </w:r>
      <w:r>
        <w:rPr>
          <w:lang w:val="es-MX"/>
        </w:rPr>
        <w:t>107,760.7 millones, el cual tiene un aumento de Q</w:t>
      </w:r>
      <w:r w:rsidR="004130F6">
        <w:rPr>
          <w:lang w:val="es-MX"/>
        </w:rPr>
        <w:t>.</w:t>
      </w:r>
      <w:r>
        <w:rPr>
          <w:lang w:val="es-MX"/>
        </w:rPr>
        <w:t>19,516.2 millones al compararlo con el presupuesto vigente de 2019</w:t>
      </w:r>
      <w:r w:rsidR="004130F6">
        <w:rPr>
          <w:lang w:val="es-MX"/>
        </w:rPr>
        <w:t>;</w:t>
      </w:r>
      <w:r>
        <w:rPr>
          <w:lang w:val="es-MX"/>
        </w:rPr>
        <w:t xml:space="preserve"> e</w:t>
      </w:r>
      <w:r w:rsidR="004130F6">
        <w:rPr>
          <w:lang w:val="es-MX"/>
        </w:rPr>
        <w:t>ste</w:t>
      </w:r>
      <w:r>
        <w:rPr>
          <w:lang w:val="es-MX"/>
        </w:rPr>
        <w:t xml:space="preserve"> aumento es equivalente al 22.1%, lo cual genera que el porcentaje de ejecución tenga poco crecimiento; sin embargo, al comparar las cifras nominales se observa un crecimiento considerable en cada uno de los componentes del tipo de gasto</w:t>
      </w:r>
      <w:r w:rsidR="004130F6">
        <w:rPr>
          <w:lang w:val="es-MX"/>
        </w:rPr>
        <w:t>:</w:t>
      </w:r>
      <w:r>
        <w:rPr>
          <w:lang w:val="es-MX"/>
        </w:rPr>
        <w:t xml:space="preserve"> el gasto en funcionamiento aumentó Q</w:t>
      </w:r>
      <w:r w:rsidR="004130F6">
        <w:rPr>
          <w:lang w:val="es-MX"/>
        </w:rPr>
        <w:t>.</w:t>
      </w:r>
      <w:r>
        <w:rPr>
          <w:lang w:val="es-MX"/>
        </w:rPr>
        <w:t>2,362.5 millones, el gasto en inversión Q</w:t>
      </w:r>
      <w:r w:rsidR="004130F6">
        <w:rPr>
          <w:lang w:val="es-MX"/>
        </w:rPr>
        <w:t>.</w:t>
      </w:r>
      <w:r>
        <w:rPr>
          <w:lang w:val="es-MX"/>
        </w:rPr>
        <w:t>734.0 millones y el servicio de la deuda pública tuvo un aumento de Q</w:t>
      </w:r>
      <w:r w:rsidR="004130F6">
        <w:rPr>
          <w:lang w:val="es-MX"/>
        </w:rPr>
        <w:t>.</w:t>
      </w:r>
      <w:r>
        <w:rPr>
          <w:lang w:val="es-MX"/>
        </w:rPr>
        <w:t>309.7 millones.</w:t>
      </w:r>
    </w:p>
    <w:p w:rsidR="00AD535C" w:rsidRDefault="00AD535C" w:rsidP="00E425C1">
      <w:pPr>
        <w:rPr>
          <w:b/>
          <w:bCs/>
          <w:highlight w:val="yellow"/>
          <w:lang w:val="es-MX"/>
        </w:rPr>
      </w:pPr>
    </w:p>
    <w:p w:rsidR="00AD535C" w:rsidRDefault="00AD535C" w:rsidP="00AD535C">
      <w:pPr>
        <w:rPr>
          <w:b/>
          <w:sz w:val="22"/>
          <w:szCs w:val="22"/>
          <w:lang w:val="es-MX"/>
        </w:rPr>
      </w:pPr>
    </w:p>
    <w:p w:rsidR="00945E5F" w:rsidRDefault="00945E5F" w:rsidP="00AD535C">
      <w:pPr>
        <w:rPr>
          <w:b/>
          <w:sz w:val="22"/>
          <w:szCs w:val="22"/>
          <w:lang w:val="es-MX"/>
        </w:rPr>
      </w:pPr>
    </w:p>
    <w:p w:rsidR="00945E5F" w:rsidRDefault="00945E5F" w:rsidP="00AD535C">
      <w:pPr>
        <w:rPr>
          <w:b/>
          <w:sz w:val="22"/>
          <w:szCs w:val="22"/>
          <w:lang w:val="es-MX"/>
        </w:rPr>
      </w:pPr>
    </w:p>
    <w:p w:rsidR="00945E5F" w:rsidRDefault="00945E5F" w:rsidP="00AD535C">
      <w:pPr>
        <w:rPr>
          <w:b/>
          <w:sz w:val="22"/>
          <w:szCs w:val="22"/>
          <w:lang w:val="es-MX"/>
        </w:rPr>
      </w:pPr>
    </w:p>
    <w:p w:rsidR="00945E5F" w:rsidRDefault="00945E5F" w:rsidP="00AD535C">
      <w:pPr>
        <w:rPr>
          <w:b/>
          <w:sz w:val="22"/>
          <w:szCs w:val="22"/>
          <w:lang w:val="es-MX"/>
        </w:rPr>
      </w:pPr>
    </w:p>
    <w:p w:rsidR="00B2076C" w:rsidRDefault="00B2076C" w:rsidP="00AD535C">
      <w:pPr>
        <w:rPr>
          <w:b/>
          <w:sz w:val="22"/>
          <w:szCs w:val="22"/>
          <w:lang w:val="es-MX"/>
        </w:rPr>
      </w:pPr>
    </w:p>
    <w:p w:rsidR="00AD535C" w:rsidRPr="00AF05C7" w:rsidRDefault="00AD535C" w:rsidP="00AD535C">
      <w:pPr>
        <w:jc w:val="center"/>
        <w:rPr>
          <w:b/>
          <w:szCs w:val="22"/>
          <w:lang w:val="es-MX"/>
        </w:rPr>
      </w:pPr>
      <w:r w:rsidRPr="00AF05C7">
        <w:rPr>
          <w:b/>
          <w:szCs w:val="22"/>
          <w:lang w:val="es-MX"/>
        </w:rPr>
        <w:t>Cuadro 3</w:t>
      </w:r>
    </w:p>
    <w:p w:rsidR="00AD535C" w:rsidRPr="00AF05C7" w:rsidRDefault="00AD535C" w:rsidP="00AD535C">
      <w:pPr>
        <w:jc w:val="center"/>
        <w:rPr>
          <w:b/>
          <w:szCs w:val="22"/>
          <w:lang w:val="es-MX"/>
        </w:rPr>
      </w:pPr>
      <w:r w:rsidRPr="00AF05C7">
        <w:rPr>
          <w:b/>
          <w:szCs w:val="22"/>
          <w:lang w:val="es-MX"/>
        </w:rPr>
        <w:t>Ejecución Presupuestaria por Tipo de Gasto</w:t>
      </w:r>
    </w:p>
    <w:p w:rsidR="00AD535C" w:rsidRPr="00AF05C7" w:rsidRDefault="00AD535C" w:rsidP="00AD535C">
      <w:pPr>
        <w:jc w:val="center"/>
        <w:rPr>
          <w:b/>
          <w:szCs w:val="22"/>
          <w:lang w:val="es-MX"/>
        </w:rPr>
      </w:pPr>
      <w:r w:rsidRPr="00AF05C7">
        <w:rPr>
          <w:b/>
          <w:szCs w:val="22"/>
          <w:lang w:val="es-MX"/>
        </w:rPr>
        <w:t>Al 30 de junio de 2019 y 2020</w:t>
      </w:r>
      <w:r w:rsidR="000510F7">
        <w:rPr>
          <w:b/>
          <w:szCs w:val="22"/>
          <w:lang w:val="es-MX"/>
        </w:rPr>
        <w:t>*</w:t>
      </w:r>
    </w:p>
    <w:p w:rsidR="00AD535C" w:rsidRPr="00AF05C7" w:rsidRDefault="00AD535C" w:rsidP="00AD535C">
      <w:pPr>
        <w:jc w:val="center"/>
        <w:rPr>
          <w:sz w:val="20"/>
          <w:lang w:val="es-MX"/>
        </w:rPr>
      </w:pPr>
      <w:r w:rsidRPr="00AF05C7">
        <w:rPr>
          <w:b/>
          <w:szCs w:val="22"/>
          <w:lang w:val="es-MX"/>
        </w:rPr>
        <w:t>(Cifras en Millones de Quetzales y Porcentajes)</w:t>
      </w:r>
    </w:p>
    <w:tbl>
      <w:tblPr>
        <w:tblW w:w="0" w:type="auto"/>
        <w:jc w:val="center"/>
        <w:tblLayout w:type="fixed"/>
        <w:tblCellMar>
          <w:left w:w="70" w:type="dxa"/>
          <w:right w:w="70" w:type="dxa"/>
        </w:tblCellMar>
        <w:tblLook w:val="04A0" w:firstRow="1" w:lastRow="0" w:firstColumn="1" w:lastColumn="0" w:noHBand="0" w:noVBand="1"/>
      </w:tblPr>
      <w:tblGrid>
        <w:gridCol w:w="2209"/>
        <w:gridCol w:w="1276"/>
        <w:gridCol w:w="1276"/>
        <w:gridCol w:w="1417"/>
        <w:gridCol w:w="1276"/>
        <w:gridCol w:w="1500"/>
      </w:tblGrid>
      <w:tr w:rsidR="00AD535C" w:rsidRPr="00AF05C7" w:rsidTr="005107CC">
        <w:trPr>
          <w:trHeight w:val="460"/>
          <w:jc w:val="center"/>
        </w:trPr>
        <w:tc>
          <w:tcPr>
            <w:tcW w:w="2209" w:type="dxa"/>
            <w:vMerge w:val="restart"/>
            <w:tcBorders>
              <w:top w:val="single" w:sz="8" w:space="0" w:color="auto"/>
              <w:left w:val="single" w:sz="8" w:space="0" w:color="auto"/>
              <w:bottom w:val="single" w:sz="4" w:space="0" w:color="000000"/>
              <w:right w:val="nil"/>
            </w:tcBorders>
            <w:shd w:val="clear" w:color="000000" w:fill="8DB4E2"/>
            <w:vAlign w:val="center"/>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Tipo de Gasto</w:t>
            </w:r>
          </w:p>
        </w:tc>
        <w:tc>
          <w:tcPr>
            <w:tcW w:w="1276"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2019</w:t>
            </w:r>
          </w:p>
        </w:tc>
        <w:tc>
          <w:tcPr>
            <w:tcW w:w="1276"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2020</w:t>
            </w:r>
          </w:p>
        </w:tc>
        <w:tc>
          <w:tcPr>
            <w:tcW w:w="2693" w:type="dxa"/>
            <w:gridSpan w:val="2"/>
            <w:tcBorders>
              <w:top w:val="single" w:sz="8" w:space="0" w:color="auto"/>
              <w:left w:val="nil"/>
              <w:bottom w:val="nil"/>
              <w:right w:val="single" w:sz="8" w:space="0" w:color="000000"/>
            </w:tcBorders>
            <w:shd w:val="clear" w:color="000000" w:fill="8DB4E2"/>
            <w:noWrap/>
            <w:vAlign w:val="center"/>
            <w:hideMark/>
          </w:tcPr>
          <w:p w:rsidR="00AD535C" w:rsidRPr="00AF05C7" w:rsidRDefault="00AD535C" w:rsidP="005107CC">
            <w:pPr>
              <w:jc w:val="center"/>
              <w:rPr>
                <w:b/>
                <w:bCs/>
                <w:color w:val="000000"/>
                <w:sz w:val="22"/>
                <w:szCs w:val="20"/>
                <w:lang w:val="es-MX" w:eastAsia="es-MX"/>
              </w:rPr>
            </w:pPr>
            <w:r w:rsidRPr="00AF05C7">
              <w:rPr>
                <w:b/>
                <w:bCs/>
                <w:color w:val="000000"/>
                <w:sz w:val="22"/>
                <w:szCs w:val="20"/>
                <w:lang w:val="es-MX" w:eastAsia="es-MX"/>
              </w:rPr>
              <w:t>Diferencias</w:t>
            </w:r>
          </w:p>
        </w:tc>
        <w:tc>
          <w:tcPr>
            <w:tcW w:w="1500" w:type="dxa"/>
            <w:vMerge w:val="restart"/>
            <w:tcBorders>
              <w:top w:val="single" w:sz="8" w:space="0" w:color="auto"/>
              <w:left w:val="single" w:sz="8" w:space="0" w:color="auto"/>
              <w:bottom w:val="single" w:sz="4" w:space="0" w:color="000000"/>
              <w:right w:val="single" w:sz="8" w:space="0" w:color="auto"/>
            </w:tcBorders>
            <w:shd w:val="clear" w:color="000000" w:fill="8DB4E2"/>
            <w:vAlign w:val="center"/>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Estructura Porcentual</w:t>
            </w:r>
          </w:p>
        </w:tc>
      </w:tr>
      <w:tr w:rsidR="00AD535C" w:rsidRPr="00646701" w:rsidTr="005107CC">
        <w:trPr>
          <w:trHeight w:val="460"/>
          <w:jc w:val="center"/>
        </w:trPr>
        <w:tc>
          <w:tcPr>
            <w:tcW w:w="2209" w:type="dxa"/>
            <w:vMerge/>
            <w:tcBorders>
              <w:top w:val="single" w:sz="8" w:space="0" w:color="auto"/>
              <w:left w:val="single" w:sz="8" w:space="0" w:color="auto"/>
              <w:bottom w:val="single" w:sz="4" w:space="0" w:color="000000"/>
              <w:right w:val="nil"/>
            </w:tcBorders>
            <w:vAlign w:val="center"/>
            <w:hideMark/>
          </w:tcPr>
          <w:p w:rsidR="00AD535C" w:rsidRPr="00646701" w:rsidRDefault="00AD535C" w:rsidP="0025776C">
            <w:pPr>
              <w:rPr>
                <w:b/>
                <w:bCs/>
                <w:color w:val="000000"/>
                <w:sz w:val="20"/>
                <w:szCs w:val="20"/>
                <w:lang w:val="es-MX" w:eastAsia="es-MX"/>
              </w:rPr>
            </w:pPr>
          </w:p>
        </w:tc>
        <w:tc>
          <w:tcPr>
            <w:tcW w:w="1276" w:type="dxa"/>
            <w:vMerge/>
            <w:tcBorders>
              <w:top w:val="single" w:sz="8" w:space="0" w:color="auto"/>
              <w:left w:val="single" w:sz="4" w:space="0" w:color="auto"/>
              <w:bottom w:val="single" w:sz="4" w:space="0" w:color="000000"/>
              <w:right w:val="single" w:sz="4" w:space="0" w:color="auto"/>
            </w:tcBorders>
            <w:vAlign w:val="center"/>
            <w:hideMark/>
          </w:tcPr>
          <w:p w:rsidR="00AD535C" w:rsidRPr="00646701" w:rsidRDefault="00AD535C" w:rsidP="0025776C">
            <w:pPr>
              <w:rPr>
                <w:b/>
                <w:bCs/>
                <w:color w:val="000000"/>
                <w:sz w:val="20"/>
                <w:szCs w:val="20"/>
                <w:lang w:val="es-MX" w:eastAsia="es-MX"/>
              </w:rPr>
            </w:pPr>
          </w:p>
        </w:tc>
        <w:tc>
          <w:tcPr>
            <w:tcW w:w="1276" w:type="dxa"/>
            <w:vMerge/>
            <w:tcBorders>
              <w:top w:val="single" w:sz="8" w:space="0" w:color="auto"/>
              <w:left w:val="single" w:sz="4" w:space="0" w:color="auto"/>
              <w:bottom w:val="single" w:sz="4" w:space="0" w:color="000000"/>
              <w:right w:val="single" w:sz="4" w:space="0" w:color="auto"/>
            </w:tcBorders>
            <w:vAlign w:val="center"/>
            <w:hideMark/>
          </w:tcPr>
          <w:p w:rsidR="00AD535C" w:rsidRPr="00646701" w:rsidRDefault="00AD535C" w:rsidP="0025776C">
            <w:pPr>
              <w:rPr>
                <w:b/>
                <w:bCs/>
                <w:color w:val="000000"/>
                <w:sz w:val="20"/>
                <w:szCs w:val="20"/>
                <w:lang w:val="es-MX" w:eastAsia="es-MX"/>
              </w:rPr>
            </w:pPr>
          </w:p>
        </w:tc>
        <w:tc>
          <w:tcPr>
            <w:tcW w:w="1417" w:type="dxa"/>
            <w:tcBorders>
              <w:top w:val="single" w:sz="4" w:space="0" w:color="auto"/>
              <w:left w:val="nil"/>
              <w:bottom w:val="single" w:sz="4" w:space="0" w:color="auto"/>
              <w:right w:val="single" w:sz="4" w:space="0" w:color="auto"/>
            </w:tcBorders>
            <w:shd w:val="clear" w:color="000000" w:fill="8DB4E2"/>
            <w:noWrap/>
            <w:vAlign w:val="center"/>
            <w:hideMark/>
          </w:tcPr>
          <w:p w:rsidR="00AD535C" w:rsidRPr="00AF05C7" w:rsidRDefault="00AD535C" w:rsidP="005107CC">
            <w:pPr>
              <w:jc w:val="center"/>
              <w:rPr>
                <w:b/>
                <w:bCs/>
                <w:color w:val="000000"/>
                <w:sz w:val="22"/>
                <w:szCs w:val="20"/>
                <w:lang w:val="es-MX" w:eastAsia="es-MX"/>
              </w:rPr>
            </w:pPr>
            <w:r w:rsidRPr="00AF05C7">
              <w:rPr>
                <w:b/>
                <w:bCs/>
                <w:color w:val="000000"/>
                <w:sz w:val="22"/>
                <w:szCs w:val="20"/>
                <w:lang w:val="es-MX" w:eastAsia="es-MX"/>
              </w:rPr>
              <w:t>Absolutas</w:t>
            </w:r>
          </w:p>
        </w:tc>
        <w:tc>
          <w:tcPr>
            <w:tcW w:w="1276" w:type="dxa"/>
            <w:tcBorders>
              <w:top w:val="single" w:sz="4" w:space="0" w:color="auto"/>
              <w:left w:val="nil"/>
              <w:bottom w:val="single" w:sz="4" w:space="0" w:color="auto"/>
              <w:right w:val="single" w:sz="8" w:space="0" w:color="auto"/>
            </w:tcBorders>
            <w:shd w:val="clear" w:color="000000" w:fill="8DB4E2"/>
            <w:noWrap/>
            <w:vAlign w:val="center"/>
            <w:hideMark/>
          </w:tcPr>
          <w:p w:rsidR="00AD535C" w:rsidRPr="00AF05C7" w:rsidRDefault="00AD535C" w:rsidP="005107CC">
            <w:pPr>
              <w:jc w:val="center"/>
              <w:rPr>
                <w:b/>
                <w:bCs/>
                <w:color w:val="000000"/>
                <w:sz w:val="22"/>
                <w:szCs w:val="20"/>
                <w:lang w:val="es-MX" w:eastAsia="es-MX"/>
              </w:rPr>
            </w:pPr>
            <w:r w:rsidRPr="00AF05C7">
              <w:rPr>
                <w:b/>
                <w:bCs/>
                <w:color w:val="000000"/>
                <w:sz w:val="22"/>
                <w:szCs w:val="20"/>
                <w:lang w:val="es-MX" w:eastAsia="es-MX"/>
              </w:rPr>
              <w:t>Relativas</w:t>
            </w:r>
          </w:p>
        </w:tc>
        <w:tc>
          <w:tcPr>
            <w:tcW w:w="1500" w:type="dxa"/>
            <w:vMerge/>
            <w:tcBorders>
              <w:top w:val="single" w:sz="8" w:space="0" w:color="auto"/>
              <w:left w:val="single" w:sz="8" w:space="0" w:color="auto"/>
              <w:bottom w:val="single" w:sz="4" w:space="0" w:color="000000"/>
              <w:right w:val="single" w:sz="8" w:space="0" w:color="auto"/>
            </w:tcBorders>
            <w:vAlign w:val="center"/>
            <w:hideMark/>
          </w:tcPr>
          <w:p w:rsidR="00AD535C" w:rsidRPr="00646701" w:rsidRDefault="00AD535C" w:rsidP="0025776C">
            <w:pPr>
              <w:rPr>
                <w:b/>
                <w:bCs/>
                <w:color w:val="000000"/>
                <w:sz w:val="20"/>
                <w:szCs w:val="20"/>
                <w:lang w:val="es-MX" w:eastAsia="es-MX"/>
              </w:rPr>
            </w:pPr>
          </w:p>
        </w:tc>
      </w:tr>
      <w:tr w:rsidR="00945E5F" w:rsidRPr="00646701" w:rsidTr="00E97514">
        <w:trPr>
          <w:trHeight w:val="437"/>
          <w:jc w:val="center"/>
        </w:trPr>
        <w:tc>
          <w:tcPr>
            <w:tcW w:w="2209" w:type="dxa"/>
            <w:tcBorders>
              <w:top w:val="nil"/>
              <w:left w:val="single" w:sz="8" w:space="0" w:color="auto"/>
              <w:bottom w:val="nil"/>
              <w:right w:val="nil"/>
            </w:tcBorders>
            <w:shd w:val="clear" w:color="000000" w:fill="FFFFFF"/>
            <w:noWrap/>
            <w:vAlign w:val="center"/>
            <w:hideMark/>
          </w:tcPr>
          <w:p w:rsidR="00AD535C" w:rsidRPr="00646701" w:rsidRDefault="00AD535C" w:rsidP="0025776C">
            <w:pPr>
              <w:jc w:val="center"/>
              <w:rPr>
                <w:b/>
                <w:bCs/>
                <w:color w:val="000000"/>
                <w:sz w:val="20"/>
                <w:szCs w:val="20"/>
                <w:lang w:val="es-MX" w:eastAsia="es-MX"/>
              </w:rPr>
            </w:pPr>
            <w:r w:rsidRPr="00646701">
              <w:rPr>
                <w:b/>
                <w:bCs/>
                <w:color w:val="000000"/>
                <w:sz w:val="20"/>
                <w:szCs w:val="20"/>
                <w:lang w:val="es-MX" w:eastAsia="es-MX"/>
              </w:rPr>
              <w:t>Total</w:t>
            </w:r>
          </w:p>
        </w:tc>
        <w:tc>
          <w:tcPr>
            <w:tcW w:w="1276" w:type="dxa"/>
            <w:tcBorders>
              <w:top w:val="nil"/>
              <w:left w:val="single" w:sz="4" w:space="0" w:color="auto"/>
              <w:bottom w:val="nil"/>
              <w:right w:val="single" w:sz="4" w:space="0" w:color="auto"/>
            </w:tcBorders>
            <w:shd w:val="clear" w:color="000000" w:fill="FFFFFF"/>
            <w:noWrap/>
            <w:vAlign w:val="center"/>
            <w:hideMark/>
          </w:tcPr>
          <w:p w:rsidR="00AD535C" w:rsidRPr="00646701" w:rsidRDefault="00AD535C" w:rsidP="003F24AC">
            <w:pPr>
              <w:jc w:val="right"/>
              <w:rPr>
                <w:b/>
                <w:bCs/>
                <w:color w:val="000000"/>
                <w:sz w:val="20"/>
                <w:szCs w:val="20"/>
                <w:lang w:val="es-MX" w:eastAsia="es-MX"/>
              </w:rPr>
            </w:pPr>
            <w:r w:rsidRPr="00646701">
              <w:rPr>
                <w:b/>
                <w:bCs/>
                <w:color w:val="000000"/>
                <w:sz w:val="20"/>
                <w:szCs w:val="20"/>
                <w:lang w:val="es-MX" w:eastAsia="es-MX"/>
              </w:rPr>
              <w:t xml:space="preserve">37,890.0 </w:t>
            </w:r>
          </w:p>
        </w:tc>
        <w:tc>
          <w:tcPr>
            <w:tcW w:w="1276" w:type="dxa"/>
            <w:tcBorders>
              <w:top w:val="nil"/>
              <w:left w:val="nil"/>
              <w:bottom w:val="nil"/>
              <w:right w:val="single" w:sz="4" w:space="0" w:color="auto"/>
            </w:tcBorders>
            <w:shd w:val="clear" w:color="000000" w:fill="FFFFFF"/>
            <w:noWrap/>
            <w:vAlign w:val="center"/>
            <w:hideMark/>
          </w:tcPr>
          <w:p w:rsidR="00AD535C" w:rsidRPr="00646701" w:rsidRDefault="00AD535C" w:rsidP="003F24AC">
            <w:pPr>
              <w:jc w:val="right"/>
              <w:rPr>
                <w:b/>
                <w:bCs/>
                <w:color w:val="000000"/>
                <w:sz w:val="20"/>
                <w:szCs w:val="20"/>
                <w:lang w:val="es-MX" w:eastAsia="es-MX"/>
              </w:rPr>
            </w:pPr>
            <w:r w:rsidRPr="00646701">
              <w:rPr>
                <w:b/>
                <w:bCs/>
                <w:color w:val="000000"/>
                <w:sz w:val="20"/>
                <w:szCs w:val="20"/>
                <w:lang w:val="es-MX" w:eastAsia="es-MX"/>
              </w:rPr>
              <w:t xml:space="preserve">41,296.2 </w:t>
            </w:r>
          </w:p>
        </w:tc>
        <w:tc>
          <w:tcPr>
            <w:tcW w:w="1417" w:type="dxa"/>
            <w:tcBorders>
              <w:top w:val="nil"/>
              <w:left w:val="nil"/>
              <w:bottom w:val="nil"/>
              <w:right w:val="single" w:sz="4" w:space="0" w:color="auto"/>
            </w:tcBorders>
            <w:shd w:val="clear" w:color="000000" w:fill="FFFFFF"/>
            <w:noWrap/>
            <w:vAlign w:val="center"/>
            <w:hideMark/>
          </w:tcPr>
          <w:p w:rsidR="00AD535C" w:rsidRPr="00646701" w:rsidRDefault="00AD535C" w:rsidP="003F24AC">
            <w:pPr>
              <w:jc w:val="right"/>
              <w:rPr>
                <w:b/>
                <w:bCs/>
                <w:color w:val="000000"/>
                <w:sz w:val="20"/>
                <w:szCs w:val="20"/>
                <w:lang w:val="es-MX" w:eastAsia="es-MX"/>
              </w:rPr>
            </w:pPr>
            <w:r w:rsidRPr="00646701">
              <w:rPr>
                <w:b/>
                <w:bCs/>
                <w:color w:val="000000"/>
                <w:sz w:val="20"/>
                <w:szCs w:val="20"/>
                <w:lang w:val="es-MX" w:eastAsia="es-MX"/>
              </w:rPr>
              <w:t xml:space="preserve">3,406.2 </w:t>
            </w:r>
          </w:p>
        </w:tc>
        <w:tc>
          <w:tcPr>
            <w:tcW w:w="1276" w:type="dxa"/>
            <w:tcBorders>
              <w:top w:val="nil"/>
              <w:left w:val="single" w:sz="4" w:space="0" w:color="auto"/>
              <w:bottom w:val="nil"/>
              <w:right w:val="single" w:sz="8" w:space="0" w:color="auto"/>
            </w:tcBorders>
            <w:shd w:val="clear" w:color="000000" w:fill="FFFFFF"/>
            <w:noWrap/>
            <w:vAlign w:val="center"/>
            <w:hideMark/>
          </w:tcPr>
          <w:p w:rsidR="00AD535C" w:rsidRPr="00646701" w:rsidRDefault="00AD535C" w:rsidP="003F24AC">
            <w:pPr>
              <w:jc w:val="right"/>
              <w:rPr>
                <w:b/>
                <w:bCs/>
                <w:color w:val="000000"/>
                <w:sz w:val="20"/>
                <w:szCs w:val="20"/>
                <w:lang w:val="es-MX" w:eastAsia="es-MX"/>
              </w:rPr>
            </w:pPr>
            <w:r w:rsidRPr="00646701">
              <w:rPr>
                <w:b/>
                <w:bCs/>
                <w:color w:val="000000"/>
                <w:sz w:val="20"/>
                <w:szCs w:val="20"/>
                <w:lang w:val="es-MX" w:eastAsia="es-MX"/>
              </w:rPr>
              <w:t>9.0%</w:t>
            </w:r>
          </w:p>
        </w:tc>
        <w:tc>
          <w:tcPr>
            <w:tcW w:w="1500" w:type="dxa"/>
            <w:tcBorders>
              <w:top w:val="nil"/>
              <w:left w:val="nil"/>
              <w:bottom w:val="nil"/>
              <w:right w:val="single" w:sz="8" w:space="0" w:color="auto"/>
            </w:tcBorders>
            <w:shd w:val="clear" w:color="000000" w:fill="FFFFFF"/>
            <w:noWrap/>
            <w:vAlign w:val="bottom"/>
            <w:hideMark/>
          </w:tcPr>
          <w:p w:rsidR="00AD535C" w:rsidRPr="00646701" w:rsidRDefault="00AD535C" w:rsidP="0025776C">
            <w:pPr>
              <w:rPr>
                <w:color w:val="000000"/>
                <w:sz w:val="20"/>
                <w:szCs w:val="20"/>
                <w:lang w:val="es-MX" w:eastAsia="es-MX"/>
              </w:rPr>
            </w:pPr>
            <w:r w:rsidRPr="00646701">
              <w:rPr>
                <w:color w:val="000000"/>
                <w:sz w:val="20"/>
                <w:szCs w:val="20"/>
                <w:lang w:val="es-MX" w:eastAsia="es-MX"/>
              </w:rPr>
              <w:t> </w:t>
            </w:r>
          </w:p>
        </w:tc>
      </w:tr>
      <w:tr w:rsidR="00945E5F" w:rsidRPr="00646701" w:rsidTr="00945E5F">
        <w:trPr>
          <w:trHeight w:val="460"/>
          <w:jc w:val="center"/>
        </w:trPr>
        <w:tc>
          <w:tcPr>
            <w:tcW w:w="2209" w:type="dxa"/>
            <w:tcBorders>
              <w:top w:val="nil"/>
              <w:left w:val="single" w:sz="8" w:space="0" w:color="auto"/>
              <w:bottom w:val="nil"/>
              <w:right w:val="nil"/>
            </w:tcBorders>
            <w:shd w:val="clear" w:color="000000" w:fill="FFFFFF"/>
            <w:noWrap/>
            <w:vAlign w:val="center"/>
            <w:hideMark/>
          </w:tcPr>
          <w:p w:rsidR="00AD535C" w:rsidRPr="00646701" w:rsidRDefault="00AD535C" w:rsidP="0025776C">
            <w:pPr>
              <w:rPr>
                <w:color w:val="000000"/>
                <w:sz w:val="20"/>
                <w:szCs w:val="20"/>
                <w:lang w:val="es-MX" w:eastAsia="es-MX"/>
              </w:rPr>
            </w:pPr>
            <w:r w:rsidRPr="00646701">
              <w:rPr>
                <w:color w:val="000000"/>
                <w:sz w:val="20"/>
                <w:szCs w:val="20"/>
                <w:lang w:val="es-MX" w:eastAsia="es-MX"/>
              </w:rPr>
              <w:t>Funcionamiento</w:t>
            </w:r>
          </w:p>
        </w:tc>
        <w:tc>
          <w:tcPr>
            <w:tcW w:w="1276" w:type="dxa"/>
            <w:tcBorders>
              <w:top w:val="nil"/>
              <w:left w:val="single" w:sz="4" w:space="0" w:color="auto"/>
              <w:bottom w:val="nil"/>
              <w:right w:val="single" w:sz="4" w:space="0" w:color="auto"/>
            </w:tcBorders>
            <w:shd w:val="clear" w:color="000000" w:fill="FFFFFF"/>
            <w:noWrap/>
            <w:vAlign w:val="bottom"/>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25,044.4</w:t>
            </w:r>
          </w:p>
        </w:tc>
        <w:tc>
          <w:tcPr>
            <w:tcW w:w="1276" w:type="dxa"/>
            <w:tcBorders>
              <w:top w:val="nil"/>
              <w:left w:val="nil"/>
              <w:bottom w:val="nil"/>
              <w:right w:val="single" w:sz="4" w:space="0" w:color="auto"/>
            </w:tcBorders>
            <w:shd w:val="clear" w:color="000000" w:fill="FFFFFF"/>
            <w:noWrap/>
            <w:vAlign w:val="bottom"/>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27,406.8</w:t>
            </w:r>
          </w:p>
        </w:tc>
        <w:tc>
          <w:tcPr>
            <w:tcW w:w="1417" w:type="dxa"/>
            <w:tcBorders>
              <w:top w:val="nil"/>
              <w:left w:val="nil"/>
              <w:bottom w:val="nil"/>
              <w:right w:val="single" w:sz="4" w:space="0" w:color="auto"/>
            </w:tcBorders>
            <w:shd w:val="clear" w:color="000000" w:fill="FFFFFF"/>
            <w:noWrap/>
            <w:vAlign w:val="center"/>
            <w:hideMark/>
          </w:tcPr>
          <w:p w:rsidR="00E97514" w:rsidRDefault="00E97514" w:rsidP="003F24AC">
            <w:pPr>
              <w:jc w:val="right"/>
              <w:rPr>
                <w:color w:val="000000"/>
                <w:sz w:val="20"/>
                <w:szCs w:val="20"/>
                <w:lang w:val="es-MX" w:eastAsia="es-MX"/>
              </w:rPr>
            </w:pPr>
          </w:p>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 xml:space="preserve">2,362.5 </w:t>
            </w:r>
          </w:p>
        </w:tc>
        <w:tc>
          <w:tcPr>
            <w:tcW w:w="1276" w:type="dxa"/>
            <w:tcBorders>
              <w:top w:val="nil"/>
              <w:left w:val="single" w:sz="4" w:space="0" w:color="auto"/>
              <w:bottom w:val="nil"/>
              <w:right w:val="single" w:sz="8" w:space="0" w:color="auto"/>
            </w:tcBorders>
            <w:shd w:val="clear" w:color="000000" w:fill="FFFFFF"/>
            <w:noWrap/>
            <w:vAlign w:val="center"/>
            <w:hideMark/>
          </w:tcPr>
          <w:p w:rsidR="00E97514" w:rsidRDefault="00E97514" w:rsidP="003F24AC">
            <w:pPr>
              <w:jc w:val="right"/>
              <w:rPr>
                <w:color w:val="000000"/>
                <w:sz w:val="20"/>
                <w:szCs w:val="20"/>
                <w:lang w:val="es-MX" w:eastAsia="es-MX"/>
              </w:rPr>
            </w:pPr>
          </w:p>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9.4%</w:t>
            </w:r>
          </w:p>
        </w:tc>
        <w:tc>
          <w:tcPr>
            <w:tcW w:w="1500" w:type="dxa"/>
            <w:tcBorders>
              <w:top w:val="nil"/>
              <w:left w:val="nil"/>
              <w:bottom w:val="nil"/>
              <w:right w:val="single" w:sz="8" w:space="0" w:color="auto"/>
            </w:tcBorders>
            <w:shd w:val="clear" w:color="000000" w:fill="FFFFFF"/>
            <w:noWrap/>
            <w:vAlign w:val="bottom"/>
            <w:hideMark/>
          </w:tcPr>
          <w:p w:rsidR="00AD535C" w:rsidRPr="00646701" w:rsidRDefault="00AD535C" w:rsidP="0025776C">
            <w:pPr>
              <w:jc w:val="center"/>
              <w:rPr>
                <w:color w:val="000000"/>
                <w:sz w:val="20"/>
                <w:szCs w:val="20"/>
                <w:lang w:val="es-MX" w:eastAsia="es-MX"/>
              </w:rPr>
            </w:pPr>
            <w:r w:rsidRPr="00646701">
              <w:rPr>
                <w:color w:val="000000"/>
                <w:sz w:val="20"/>
                <w:szCs w:val="20"/>
                <w:lang w:val="es-MX" w:eastAsia="es-MX"/>
              </w:rPr>
              <w:t>66.4%</w:t>
            </w:r>
          </w:p>
        </w:tc>
      </w:tr>
      <w:tr w:rsidR="00945E5F" w:rsidRPr="00646701" w:rsidTr="00E97514">
        <w:trPr>
          <w:trHeight w:val="460"/>
          <w:jc w:val="center"/>
        </w:trPr>
        <w:tc>
          <w:tcPr>
            <w:tcW w:w="2209" w:type="dxa"/>
            <w:tcBorders>
              <w:top w:val="nil"/>
              <w:left w:val="single" w:sz="8" w:space="0" w:color="auto"/>
              <w:bottom w:val="nil"/>
              <w:right w:val="nil"/>
            </w:tcBorders>
            <w:shd w:val="clear" w:color="000000" w:fill="FFFFFF"/>
            <w:noWrap/>
            <w:vAlign w:val="center"/>
            <w:hideMark/>
          </w:tcPr>
          <w:p w:rsidR="00AD535C" w:rsidRPr="00646701" w:rsidRDefault="00AD535C" w:rsidP="0025776C">
            <w:pPr>
              <w:rPr>
                <w:color w:val="000000"/>
                <w:sz w:val="20"/>
                <w:szCs w:val="20"/>
                <w:lang w:val="es-MX" w:eastAsia="es-MX"/>
              </w:rPr>
            </w:pPr>
            <w:r w:rsidRPr="00646701">
              <w:rPr>
                <w:color w:val="000000"/>
                <w:sz w:val="20"/>
                <w:szCs w:val="20"/>
                <w:lang w:val="es-MX" w:eastAsia="es-MX"/>
              </w:rPr>
              <w:t>Inversión</w:t>
            </w:r>
          </w:p>
        </w:tc>
        <w:tc>
          <w:tcPr>
            <w:tcW w:w="1276" w:type="dxa"/>
            <w:tcBorders>
              <w:top w:val="nil"/>
              <w:left w:val="single" w:sz="4" w:space="0" w:color="auto"/>
              <w:bottom w:val="nil"/>
              <w:right w:val="single" w:sz="4" w:space="0" w:color="auto"/>
            </w:tcBorders>
            <w:shd w:val="clear" w:color="000000" w:fill="FFFFFF"/>
            <w:noWrap/>
            <w:vAlign w:val="bottom"/>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6,785.5</w:t>
            </w:r>
          </w:p>
        </w:tc>
        <w:tc>
          <w:tcPr>
            <w:tcW w:w="1276" w:type="dxa"/>
            <w:tcBorders>
              <w:top w:val="nil"/>
              <w:left w:val="nil"/>
              <w:bottom w:val="nil"/>
              <w:right w:val="single" w:sz="4" w:space="0" w:color="auto"/>
            </w:tcBorders>
            <w:shd w:val="clear" w:color="000000" w:fill="FFFFFF"/>
            <w:noWrap/>
            <w:vAlign w:val="bottom"/>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7,519.5</w:t>
            </w:r>
          </w:p>
        </w:tc>
        <w:tc>
          <w:tcPr>
            <w:tcW w:w="1417" w:type="dxa"/>
            <w:tcBorders>
              <w:top w:val="nil"/>
              <w:left w:val="nil"/>
              <w:bottom w:val="nil"/>
              <w:right w:val="single" w:sz="4" w:space="0" w:color="auto"/>
            </w:tcBorders>
            <w:shd w:val="clear" w:color="000000" w:fill="FFFFFF"/>
            <w:noWrap/>
            <w:vAlign w:val="center"/>
            <w:hideMark/>
          </w:tcPr>
          <w:p w:rsidR="00E97514" w:rsidRDefault="00E97514" w:rsidP="003F24AC">
            <w:pPr>
              <w:jc w:val="right"/>
              <w:rPr>
                <w:color w:val="000000"/>
                <w:sz w:val="20"/>
                <w:szCs w:val="20"/>
                <w:lang w:val="es-MX" w:eastAsia="es-MX"/>
              </w:rPr>
            </w:pPr>
          </w:p>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 xml:space="preserve">734.0 </w:t>
            </w:r>
          </w:p>
        </w:tc>
        <w:tc>
          <w:tcPr>
            <w:tcW w:w="1276" w:type="dxa"/>
            <w:tcBorders>
              <w:top w:val="nil"/>
              <w:left w:val="single" w:sz="4" w:space="0" w:color="auto"/>
              <w:bottom w:val="nil"/>
              <w:right w:val="single" w:sz="8" w:space="0" w:color="auto"/>
            </w:tcBorders>
            <w:shd w:val="clear" w:color="000000" w:fill="FFFFFF"/>
            <w:noWrap/>
            <w:vAlign w:val="center"/>
            <w:hideMark/>
          </w:tcPr>
          <w:p w:rsidR="00E97514" w:rsidRDefault="00E97514" w:rsidP="003F24AC">
            <w:pPr>
              <w:jc w:val="right"/>
              <w:rPr>
                <w:color w:val="000000"/>
                <w:sz w:val="20"/>
                <w:szCs w:val="20"/>
                <w:lang w:val="es-MX" w:eastAsia="es-MX"/>
              </w:rPr>
            </w:pPr>
          </w:p>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10.8%</w:t>
            </w:r>
          </w:p>
        </w:tc>
        <w:tc>
          <w:tcPr>
            <w:tcW w:w="1500" w:type="dxa"/>
            <w:tcBorders>
              <w:top w:val="nil"/>
              <w:left w:val="nil"/>
              <w:right w:val="single" w:sz="8" w:space="0" w:color="auto"/>
            </w:tcBorders>
            <w:shd w:val="clear" w:color="000000" w:fill="FFFFFF"/>
            <w:noWrap/>
            <w:vAlign w:val="bottom"/>
            <w:hideMark/>
          </w:tcPr>
          <w:p w:rsidR="00AD535C" w:rsidRPr="00646701" w:rsidRDefault="00AD535C" w:rsidP="0025776C">
            <w:pPr>
              <w:jc w:val="center"/>
              <w:rPr>
                <w:color w:val="000000"/>
                <w:sz w:val="20"/>
                <w:szCs w:val="20"/>
                <w:lang w:val="es-MX" w:eastAsia="es-MX"/>
              </w:rPr>
            </w:pPr>
            <w:r w:rsidRPr="00646701">
              <w:rPr>
                <w:color w:val="000000"/>
                <w:sz w:val="20"/>
                <w:szCs w:val="20"/>
                <w:lang w:val="es-MX" w:eastAsia="es-MX"/>
              </w:rPr>
              <w:t>18.2%</w:t>
            </w:r>
          </w:p>
        </w:tc>
      </w:tr>
      <w:tr w:rsidR="00945E5F" w:rsidRPr="00646701" w:rsidTr="00E97514">
        <w:trPr>
          <w:trHeight w:val="460"/>
          <w:jc w:val="center"/>
        </w:trPr>
        <w:tc>
          <w:tcPr>
            <w:tcW w:w="2209" w:type="dxa"/>
            <w:tcBorders>
              <w:top w:val="nil"/>
              <w:left w:val="single" w:sz="8" w:space="0" w:color="auto"/>
              <w:bottom w:val="single" w:sz="4" w:space="0" w:color="auto"/>
              <w:right w:val="nil"/>
            </w:tcBorders>
            <w:shd w:val="clear" w:color="000000" w:fill="FFFFFF"/>
            <w:noWrap/>
            <w:vAlign w:val="center"/>
            <w:hideMark/>
          </w:tcPr>
          <w:p w:rsidR="00AD535C" w:rsidRPr="00646701" w:rsidRDefault="00AD535C" w:rsidP="0025776C">
            <w:pPr>
              <w:rPr>
                <w:color w:val="000000"/>
                <w:sz w:val="20"/>
                <w:szCs w:val="20"/>
                <w:lang w:val="es-MX" w:eastAsia="es-MX"/>
              </w:rPr>
            </w:pPr>
            <w:r w:rsidRPr="00646701">
              <w:rPr>
                <w:color w:val="000000"/>
                <w:sz w:val="20"/>
                <w:szCs w:val="20"/>
                <w:lang w:val="es-MX" w:eastAsia="es-MX"/>
              </w:rPr>
              <w:t>Deuda Pública</w:t>
            </w:r>
          </w:p>
        </w:tc>
        <w:tc>
          <w:tcPr>
            <w:tcW w:w="1276" w:type="dxa"/>
            <w:tcBorders>
              <w:top w:val="nil"/>
              <w:left w:val="single" w:sz="4" w:space="0" w:color="auto"/>
              <w:bottom w:val="nil"/>
              <w:right w:val="single" w:sz="4" w:space="0" w:color="auto"/>
            </w:tcBorders>
            <w:shd w:val="clear" w:color="000000" w:fill="FFFFFF"/>
            <w:noWrap/>
            <w:vAlign w:val="bottom"/>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6,060.2</w:t>
            </w:r>
          </w:p>
        </w:tc>
        <w:tc>
          <w:tcPr>
            <w:tcW w:w="1276" w:type="dxa"/>
            <w:tcBorders>
              <w:top w:val="nil"/>
              <w:left w:val="nil"/>
              <w:bottom w:val="nil"/>
              <w:right w:val="single" w:sz="4" w:space="0" w:color="auto"/>
            </w:tcBorders>
            <w:shd w:val="clear" w:color="000000" w:fill="FFFFFF"/>
            <w:noWrap/>
            <w:vAlign w:val="bottom"/>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6,369.9</w:t>
            </w:r>
          </w:p>
        </w:tc>
        <w:tc>
          <w:tcPr>
            <w:tcW w:w="1417" w:type="dxa"/>
            <w:tcBorders>
              <w:top w:val="nil"/>
              <w:left w:val="nil"/>
              <w:bottom w:val="nil"/>
              <w:right w:val="single" w:sz="4" w:space="0" w:color="auto"/>
            </w:tcBorders>
            <w:shd w:val="clear" w:color="000000" w:fill="FFFFFF"/>
            <w:noWrap/>
            <w:vAlign w:val="center"/>
            <w:hideMark/>
          </w:tcPr>
          <w:p w:rsidR="00E97514" w:rsidRDefault="00E97514" w:rsidP="003F24AC">
            <w:pPr>
              <w:jc w:val="right"/>
              <w:rPr>
                <w:color w:val="000000"/>
                <w:sz w:val="20"/>
                <w:szCs w:val="20"/>
                <w:lang w:val="es-MX" w:eastAsia="es-MX"/>
              </w:rPr>
            </w:pPr>
          </w:p>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 xml:space="preserve">309.7 </w:t>
            </w:r>
          </w:p>
        </w:tc>
        <w:tc>
          <w:tcPr>
            <w:tcW w:w="1276" w:type="dxa"/>
            <w:tcBorders>
              <w:top w:val="nil"/>
              <w:left w:val="single" w:sz="4" w:space="0" w:color="auto"/>
              <w:bottom w:val="nil"/>
              <w:right w:val="single" w:sz="8" w:space="0" w:color="auto"/>
            </w:tcBorders>
            <w:shd w:val="clear" w:color="000000" w:fill="FFFFFF"/>
            <w:noWrap/>
            <w:vAlign w:val="center"/>
            <w:hideMark/>
          </w:tcPr>
          <w:p w:rsidR="00E97514" w:rsidRDefault="00E97514" w:rsidP="003F24AC">
            <w:pPr>
              <w:jc w:val="right"/>
              <w:rPr>
                <w:color w:val="000000"/>
                <w:sz w:val="20"/>
                <w:szCs w:val="20"/>
                <w:lang w:val="es-MX" w:eastAsia="es-MX"/>
              </w:rPr>
            </w:pPr>
          </w:p>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5.1%</w:t>
            </w:r>
          </w:p>
        </w:tc>
        <w:tc>
          <w:tcPr>
            <w:tcW w:w="1500" w:type="dxa"/>
            <w:tcBorders>
              <w:top w:val="nil"/>
              <w:left w:val="nil"/>
              <w:bottom w:val="single" w:sz="4" w:space="0" w:color="auto"/>
              <w:right w:val="single" w:sz="8" w:space="0" w:color="auto"/>
            </w:tcBorders>
            <w:shd w:val="clear" w:color="000000" w:fill="FFFFFF"/>
            <w:noWrap/>
            <w:vAlign w:val="bottom"/>
            <w:hideMark/>
          </w:tcPr>
          <w:p w:rsidR="00AD535C" w:rsidRPr="00646701" w:rsidRDefault="00AD535C" w:rsidP="0025776C">
            <w:pPr>
              <w:jc w:val="center"/>
              <w:rPr>
                <w:color w:val="000000"/>
                <w:sz w:val="20"/>
                <w:szCs w:val="20"/>
                <w:lang w:val="es-MX" w:eastAsia="es-MX"/>
              </w:rPr>
            </w:pPr>
            <w:r w:rsidRPr="00646701">
              <w:rPr>
                <w:color w:val="000000"/>
                <w:sz w:val="20"/>
                <w:szCs w:val="20"/>
                <w:lang w:val="es-MX" w:eastAsia="es-MX"/>
              </w:rPr>
              <w:t>15.4%</w:t>
            </w:r>
          </w:p>
        </w:tc>
      </w:tr>
      <w:tr w:rsidR="00945E5F" w:rsidRPr="00646701" w:rsidTr="00E97514">
        <w:trPr>
          <w:trHeight w:val="460"/>
          <w:jc w:val="center"/>
        </w:trPr>
        <w:tc>
          <w:tcPr>
            <w:tcW w:w="2209" w:type="dxa"/>
            <w:tcBorders>
              <w:top w:val="nil"/>
              <w:left w:val="single" w:sz="8" w:space="0" w:color="auto"/>
              <w:bottom w:val="nil"/>
              <w:right w:val="nil"/>
            </w:tcBorders>
            <w:shd w:val="clear" w:color="000000" w:fill="FFFFFF"/>
            <w:noWrap/>
            <w:vAlign w:val="center"/>
            <w:hideMark/>
          </w:tcPr>
          <w:p w:rsidR="004130F6" w:rsidRDefault="004130F6" w:rsidP="0025776C">
            <w:pPr>
              <w:rPr>
                <w:color w:val="000000"/>
                <w:sz w:val="20"/>
                <w:szCs w:val="20"/>
                <w:lang w:val="es-MX" w:eastAsia="es-MX"/>
              </w:rPr>
            </w:pPr>
          </w:p>
          <w:p w:rsidR="00AD535C" w:rsidRPr="00646701" w:rsidRDefault="00AD535C" w:rsidP="0025776C">
            <w:pPr>
              <w:rPr>
                <w:color w:val="000000"/>
                <w:sz w:val="20"/>
                <w:szCs w:val="20"/>
                <w:lang w:val="es-MX" w:eastAsia="es-MX"/>
              </w:rPr>
            </w:pPr>
            <w:r w:rsidRPr="00646701">
              <w:rPr>
                <w:color w:val="000000"/>
                <w:sz w:val="20"/>
                <w:szCs w:val="20"/>
                <w:lang w:val="es-MX" w:eastAsia="es-MX"/>
              </w:rPr>
              <w:t>Presupuesto Vigente</w:t>
            </w:r>
          </w:p>
        </w:tc>
        <w:tc>
          <w:tcPr>
            <w:tcW w:w="1276" w:type="dxa"/>
            <w:tcBorders>
              <w:top w:val="single" w:sz="4" w:space="0" w:color="auto"/>
              <w:left w:val="single" w:sz="4" w:space="0" w:color="auto"/>
              <w:bottom w:val="nil"/>
              <w:right w:val="single" w:sz="4" w:space="0" w:color="auto"/>
            </w:tcBorders>
            <w:shd w:val="clear" w:color="000000" w:fill="FFFFFF"/>
            <w:noWrap/>
            <w:vAlign w:val="bottom"/>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88,244.5</w:t>
            </w:r>
          </w:p>
        </w:tc>
        <w:tc>
          <w:tcPr>
            <w:tcW w:w="1276" w:type="dxa"/>
            <w:tcBorders>
              <w:top w:val="single" w:sz="4" w:space="0" w:color="auto"/>
              <w:left w:val="nil"/>
              <w:bottom w:val="nil"/>
              <w:right w:val="single" w:sz="4" w:space="0" w:color="auto"/>
            </w:tcBorders>
            <w:shd w:val="clear" w:color="000000" w:fill="FFFFFF"/>
            <w:noWrap/>
            <w:vAlign w:val="bottom"/>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107,760.7</w:t>
            </w:r>
          </w:p>
        </w:tc>
        <w:tc>
          <w:tcPr>
            <w:tcW w:w="1417" w:type="dxa"/>
            <w:tcBorders>
              <w:top w:val="single" w:sz="4" w:space="0" w:color="auto"/>
              <w:left w:val="nil"/>
              <w:bottom w:val="nil"/>
              <w:right w:val="single" w:sz="4" w:space="0" w:color="auto"/>
            </w:tcBorders>
            <w:shd w:val="clear" w:color="000000" w:fill="FFFFFF"/>
            <w:noWrap/>
            <w:vAlign w:val="center"/>
            <w:hideMark/>
          </w:tcPr>
          <w:p w:rsidR="004130F6" w:rsidRDefault="004130F6" w:rsidP="003F24AC">
            <w:pPr>
              <w:jc w:val="right"/>
              <w:rPr>
                <w:color w:val="000000"/>
                <w:sz w:val="20"/>
                <w:szCs w:val="20"/>
                <w:lang w:val="es-MX" w:eastAsia="es-MX"/>
              </w:rPr>
            </w:pPr>
          </w:p>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 xml:space="preserve">19,516.2 </w:t>
            </w:r>
          </w:p>
        </w:tc>
        <w:tc>
          <w:tcPr>
            <w:tcW w:w="1276" w:type="dxa"/>
            <w:tcBorders>
              <w:top w:val="single" w:sz="4" w:space="0" w:color="auto"/>
              <w:left w:val="single" w:sz="4" w:space="0" w:color="auto"/>
              <w:bottom w:val="nil"/>
              <w:right w:val="single" w:sz="8" w:space="0" w:color="auto"/>
            </w:tcBorders>
            <w:shd w:val="clear" w:color="000000" w:fill="FFFFFF"/>
            <w:noWrap/>
            <w:vAlign w:val="center"/>
            <w:hideMark/>
          </w:tcPr>
          <w:p w:rsidR="004130F6" w:rsidRDefault="004130F6" w:rsidP="003F24AC">
            <w:pPr>
              <w:jc w:val="right"/>
              <w:rPr>
                <w:color w:val="000000"/>
                <w:sz w:val="20"/>
                <w:szCs w:val="20"/>
                <w:lang w:val="es-MX" w:eastAsia="es-MX"/>
              </w:rPr>
            </w:pPr>
          </w:p>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22.1%</w:t>
            </w:r>
          </w:p>
        </w:tc>
        <w:tc>
          <w:tcPr>
            <w:tcW w:w="1500" w:type="dxa"/>
            <w:tcBorders>
              <w:top w:val="single" w:sz="4" w:space="0" w:color="auto"/>
              <w:left w:val="nil"/>
              <w:bottom w:val="nil"/>
              <w:right w:val="single" w:sz="8" w:space="0" w:color="auto"/>
            </w:tcBorders>
            <w:shd w:val="clear" w:color="000000" w:fill="FFFFFF"/>
            <w:noWrap/>
            <w:vAlign w:val="bottom"/>
            <w:hideMark/>
          </w:tcPr>
          <w:p w:rsidR="00AD535C" w:rsidRPr="00646701" w:rsidRDefault="00AD535C" w:rsidP="0025776C">
            <w:pPr>
              <w:rPr>
                <w:color w:val="000000"/>
                <w:sz w:val="20"/>
                <w:szCs w:val="20"/>
                <w:lang w:val="es-MX" w:eastAsia="es-MX"/>
              </w:rPr>
            </w:pPr>
            <w:r w:rsidRPr="00646701">
              <w:rPr>
                <w:color w:val="000000"/>
                <w:sz w:val="20"/>
                <w:szCs w:val="20"/>
                <w:lang w:val="es-MX" w:eastAsia="es-MX"/>
              </w:rPr>
              <w:t> </w:t>
            </w:r>
          </w:p>
        </w:tc>
      </w:tr>
      <w:tr w:rsidR="00945E5F" w:rsidRPr="00646701" w:rsidTr="00945E5F">
        <w:trPr>
          <w:trHeight w:val="460"/>
          <w:jc w:val="center"/>
        </w:trPr>
        <w:tc>
          <w:tcPr>
            <w:tcW w:w="2209" w:type="dxa"/>
            <w:tcBorders>
              <w:top w:val="nil"/>
              <w:left w:val="single" w:sz="8" w:space="0" w:color="auto"/>
              <w:bottom w:val="single" w:sz="8" w:space="0" w:color="auto"/>
              <w:right w:val="nil"/>
            </w:tcBorders>
            <w:shd w:val="clear" w:color="000000" w:fill="FFFFFF"/>
            <w:noWrap/>
            <w:vAlign w:val="center"/>
            <w:hideMark/>
          </w:tcPr>
          <w:p w:rsidR="00AD535C" w:rsidRPr="00646701" w:rsidRDefault="00AD535C" w:rsidP="0025776C">
            <w:pPr>
              <w:rPr>
                <w:color w:val="000000"/>
                <w:sz w:val="20"/>
                <w:szCs w:val="20"/>
                <w:lang w:val="es-MX" w:eastAsia="es-MX"/>
              </w:rPr>
            </w:pPr>
            <w:r w:rsidRPr="00646701">
              <w:rPr>
                <w:color w:val="000000"/>
                <w:sz w:val="20"/>
                <w:szCs w:val="20"/>
                <w:lang w:val="es-MX" w:eastAsia="es-MX"/>
              </w:rPr>
              <w:t xml:space="preserve">Porcentaje de Ejecución </w:t>
            </w:r>
          </w:p>
        </w:tc>
        <w:tc>
          <w:tcPr>
            <w:tcW w:w="1276" w:type="dxa"/>
            <w:tcBorders>
              <w:top w:val="nil"/>
              <w:left w:val="single" w:sz="4" w:space="0" w:color="auto"/>
              <w:bottom w:val="single" w:sz="8" w:space="0" w:color="auto"/>
              <w:right w:val="single" w:sz="4" w:space="0" w:color="auto"/>
            </w:tcBorders>
            <w:shd w:val="clear" w:color="000000" w:fill="FFFFFF"/>
            <w:noWrap/>
            <w:vAlign w:val="center"/>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42.9%</w:t>
            </w:r>
          </w:p>
        </w:tc>
        <w:tc>
          <w:tcPr>
            <w:tcW w:w="1276" w:type="dxa"/>
            <w:tcBorders>
              <w:top w:val="nil"/>
              <w:left w:val="nil"/>
              <w:bottom w:val="single" w:sz="8" w:space="0" w:color="auto"/>
              <w:right w:val="single" w:sz="4" w:space="0" w:color="auto"/>
            </w:tcBorders>
            <w:shd w:val="clear" w:color="000000" w:fill="FFFFFF"/>
            <w:noWrap/>
            <w:vAlign w:val="center"/>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38.3%</w:t>
            </w:r>
          </w:p>
        </w:tc>
        <w:tc>
          <w:tcPr>
            <w:tcW w:w="1417" w:type="dxa"/>
            <w:tcBorders>
              <w:top w:val="nil"/>
              <w:left w:val="nil"/>
              <w:bottom w:val="single" w:sz="8" w:space="0" w:color="auto"/>
              <w:right w:val="single" w:sz="4" w:space="0" w:color="auto"/>
            </w:tcBorders>
            <w:shd w:val="clear" w:color="000000" w:fill="FFFFFF"/>
            <w:noWrap/>
            <w:vAlign w:val="center"/>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-4.6%</w:t>
            </w:r>
          </w:p>
        </w:tc>
        <w:tc>
          <w:tcPr>
            <w:tcW w:w="1276" w:type="dxa"/>
            <w:tcBorders>
              <w:top w:val="nil"/>
              <w:left w:val="single" w:sz="4" w:space="0" w:color="auto"/>
              <w:bottom w:val="single" w:sz="8" w:space="0" w:color="auto"/>
              <w:right w:val="single" w:sz="8" w:space="0" w:color="auto"/>
            </w:tcBorders>
            <w:shd w:val="clear" w:color="000000" w:fill="FFFFFF"/>
            <w:noWrap/>
            <w:vAlign w:val="center"/>
            <w:hideMark/>
          </w:tcPr>
          <w:p w:rsidR="00AD535C" w:rsidRPr="00646701" w:rsidRDefault="00AD535C" w:rsidP="003F24AC">
            <w:pPr>
              <w:jc w:val="right"/>
              <w:rPr>
                <w:color w:val="000000"/>
                <w:sz w:val="20"/>
                <w:szCs w:val="20"/>
                <w:lang w:val="es-MX" w:eastAsia="es-MX"/>
              </w:rPr>
            </w:pPr>
            <w:r w:rsidRPr="00646701">
              <w:rPr>
                <w:color w:val="000000"/>
                <w:sz w:val="20"/>
                <w:szCs w:val="20"/>
                <w:lang w:val="es-MX" w:eastAsia="es-MX"/>
              </w:rPr>
              <w:t>-10.7%</w:t>
            </w:r>
          </w:p>
        </w:tc>
        <w:tc>
          <w:tcPr>
            <w:tcW w:w="1500" w:type="dxa"/>
            <w:tcBorders>
              <w:top w:val="nil"/>
              <w:left w:val="nil"/>
              <w:bottom w:val="single" w:sz="8" w:space="0" w:color="auto"/>
              <w:right w:val="single" w:sz="8" w:space="0" w:color="auto"/>
            </w:tcBorders>
            <w:shd w:val="clear" w:color="000000" w:fill="FFFFFF"/>
            <w:noWrap/>
            <w:vAlign w:val="bottom"/>
            <w:hideMark/>
          </w:tcPr>
          <w:p w:rsidR="00AD535C" w:rsidRPr="00646701" w:rsidRDefault="00AD535C" w:rsidP="0025776C">
            <w:pPr>
              <w:rPr>
                <w:color w:val="000000"/>
                <w:sz w:val="20"/>
                <w:szCs w:val="20"/>
                <w:lang w:val="es-MX" w:eastAsia="es-MX"/>
              </w:rPr>
            </w:pPr>
            <w:r w:rsidRPr="00646701">
              <w:rPr>
                <w:color w:val="000000"/>
                <w:sz w:val="20"/>
                <w:szCs w:val="20"/>
                <w:lang w:val="es-MX" w:eastAsia="es-MX"/>
              </w:rPr>
              <w:t> </w:t>
            </w:r>
          </w:p>
        </w:tc>
      </w:tr>
    </w:tbl>
    <w:p w:rsidR="00AD535C" w:rsidRDefault="00AD535C" w:rsidP="00AD535C">
      <w:pPr>
        <w:rPr>
          <w:sz w:val="18"/>
          <w:lang w:val="es-MX"/>
        </w:rPr>
      </w:pPr>
      <w:r w:rsidRPr="004B1436">
        <w:rPr>
          <w:sz w:val="18"/>
          <w:lang w:val="es-MX"/>
        </w:rPr>
        <w:t xml:space="preserve"> * Cifras preliminares.</w:t>
      </w:r>
    </w:p>
    <w:p w:rsidR="00AD535C" w:rsidRPr="004B1436" w:rsidRDefault="00AD535C" w:rsidP="00AD535C">
      <w:pPr>
        <w:rPr>
          <w:sz w:val="18"/>
          <w:lang w:val="es-MX"/>
        </w:rPr>
      </w:pPr>
      <w:r>
        <w:rPr>
          <w:sz w:val="18"/>
          <w:lang w:val="es-MX"/>
        </w:rPr>
        <w:t xml:space="preserve">    </w:t>
      </w:r>
      <w:r w:rsidRPr="004B1436">
        <w:rPr>
          <w:sz w:val="18"/>
          <w:lang w:val="es-MX"/>
        </w:rPr>
        <w:t>Fuente: Ministerio de Finanzas Públicas con base al SICOIN.</w:t>
      </w:r>
    </w:p>
    <w:p w:rsidR="00AD535C" w:rsidRPr="004B1436" w:rsidRDefault="00AD535C" w:rsidP="00AD535C">
      <w:pPr>
        <w:rPr>
          <w:sz w:val="18"/>
          <w:lang w:val="es-MX"/>
        </w:rPr>
      </w:pPr>
    </w:p>
    <w:p w:rsidR="00AD535C" w:rsidRPr="00FB641E" w:rsidRDefault="00AD535C" w:rsidP="00F073BE">
      <w:pPr>
        <w:keepNext/>
        <w:keepLines/>
        <w:numPr>
          <w:ilvl w:val="2"/>
          <w:numId w:val="3"/>
        </w:numPr>
        <w:spacing w:before="200"/>
        <w:outlineLvl w:val="2"/>
        <w:rPr>
          <w:b/>
          <w:bCs/>
          <w:lang w:val="es-MX"/>
        </w:rPr>
      </w:pPr>
      <w:bookmarkStart w:id="14" w:name="_Toc51925246"/>
      <w:r w:rsidRPr="00FB641E">
        <w:rPr>
          <w:b/>
          <w:bCs/>
          <w:lang w:val="es-MX"/>
        </w:rPr>
        <w:t xml:space="preserve">Destino del </w:t>
      </w:r>
      <w:r>
        <w:rPr>
          <w:b/>
          <w:bCs/>
          <w:lang w:val="es-MX"/>
        </w:rPr>
        <w:t>G</w:t>
      </w:r>
      <w:r w:rsidRPr="00FB641E">
        <w:rPr>
          <w:b/>
          <w:bCs/>
          <w:lang w:val="es-MX"/>
        </w:rPr>
        <w:t xml:space="preserve">asto por </w:t>
      </w:r>
      <w:r>
        <w:rPr>
          <w:b/>
          <w:bCs/>
          <w:lang w:val="es-MX"/>
        </w:rPr>
        <w:t>C</w:t>
      </w:r>
      <w:r w:rsidRPr="00FB641E">
        <w:rPr>
          <w:b/>
          <w:bCs/>
          <w:lang w:val="es-MX"/>
        </w:rPr>
        <w:t xml:space="preserve">uenta </w:t>
      </w:r>
      <w:r>
        <w:rPr>
          <w:b/>
          <w:bCs/>
          <w:lang w:val="es-MX"/>
        </w:rPr>
        <w:t>E</w:t>
      </w:r>
      <w:r w:rsidRPr="00FB641E">
        <w:rPr>
          <w:b/>
          <w:bCs/>
          <w:lang w:val="es-MX"/>
        </w:rPr>
        <w:t>conómica</w:t>
      </w:r>
      <w:bookmarkEnd w:id="14"/>
    </w:p>
    <w:p w:rsidR="00AD535C" w:rsidRPr="00FB641E" w:rsidRDefault="00AD535C" w:rsidP="00AD535C">
      <w:pPr>
        <w:jc w:val="both"/>
        <w:rPr>
          <w:sz w:val="32"/>
          <w:lang w:val="es-MX"/>
        </w:rPr>
      </w:pPr>
    </w:p>
    <w:p w:rsidR="00AD535C" w:rsidRPr="00FB641E" w:rsidRDefault="00AD535C" w:rsidP="00AD535C">
      <w:pPr>
        <w:jc w:val="both"/>
        <w:rPr>
          <w:lang w:val="es-MX"/>
        </w:rPr>
      </w:pPr>
      <w:r w:rsidRPr="00FB641E">
        <w:rPr>
          <w:lang w:val="es-MX"/>
        </w:rPr>
        <w:t>Los gastos totales al 30 de junio de 20</w:t>
      </w:r>
      <w:r>
        <w:rPr>
          <w:lang w:val="es-MX"/>
        </w:rPr>
        <w:t>20</w:t>
      </w:r>
      <w:r w:rsidRPr="00FB641E">
        <w:rPr>
          <w:lang w:val="es-MX"/>
        </w:rPr>
        <w:t xml:space="preserve"> (sin incluir amortizaciones de la deuda pública)</w:t>
      </w:r>
      <w:r w:rsidR="00316581">
        <w:rPr>
          <w:lang w:val="es-MX"/>
        </w:rPr>
        <w:t>,</w:t>
      </w:r>
      <w:r>
        <w:rPr>
          <w:lang w:val="es-MX"/>
        </w:rPr>
        <w:t xml:space="preserve"> alcanzaron un monto de </w:t>
      </w:r>
      <w:r w:rsidRPr="00FB641E">
        <w:rPr>
          <w:lang w:val="es-MX"/>
        </w:rPr>
        <w:t>Q</w:t>
      </w:r>
      <w:r w:rsidR="00316581">
        <w:rPr>
          <w:lang w:val="es-MX"/>
        </w:rPr>
        <w:t>.</w:t>
      </w:r>
      <w:r>
        <w:rPr>
          <w:lang w:val="es-MX"/>
        </w:rPr>
        <w:t>39</w:t>
      </w:r>
      <w:r w:rsidRPr="00FB641E">
        <w:rPr>
          <w:lang w:val="es-MX"/>
        </w:rPr>
        <w:t>,</w:t>
      </w:r>
      <w:r>
        <w:rPr>
          <w:lang w:val="es-MX"/>
        </w:rPr>
        <w:t>745.7</w:t>
      </w:r>
      <w:r w:rsidRPr="00FB641E">
        <w:rPr>
          <w:lang w:val="es-MX"/>
        </w:rPr>
        <w:t xml:space="preserve"> millones, </w:t>
      </w:r>
      <w:r>
        <w:rPr>
          <w:lang w:val="es-MX"/>
        </w:rPr>
        <w:t>monto mayor en Q</w:t>
      </w:r>
      <w:r w:rsidR="00316581">
        <w:rPr>
          <w:lang w:val="es-MX"/>
        </w:rPr>
        <w:t>.</w:t>
      </w:r>
      <w:r>
        <w:rPr>
          <w:lang w:val="es-MX"/>
        </w:rPr>
        <w:t>3,304.5 millones a lo observado en el mismo período de 2019, el cual fue de Q</w:t>
      </w:r>
      <w:r w:rsidR="00316581">
        <w:rPr>
          <w:lang w:val="es-MX"/>
        </w:rPr>
        <w:t>.</w:t>
      </w:r>
      <w:r>
        <w:rPr>
          <w:lang w:val="es-MX"/>
        </w:rPr>
        <w:t>36,441.2</w:t>
      </w:r>
      <w:r w:rsidRPr="00FB641E">
        <w:rPr>
          <w:lang w:val="es-MX"/>
        </w:rPr>
        <w:t xml:space="preserve"> millones. </w:t>
      </w:r>
      <w:r>
        <w:rPr>
          <w:lang w:val="es-MX"/>
        </w:rPr>
        <w:t>El aumento ocurrió principalmente en los Gastos Corrientes por valor de Q</w:t>
      </w:r>
      <w:r w:rsidR="00316581">
        <w:rPr>
          <w:lang w:val="es-MX"/>
        </w:rPr>
        <w:t>.</w:t>
      </w:r>
      <w:r>
        <w:rPr>
          <w:lang w:val="es-MX"/>
        </w:rPr>
        <w:t>2,750.5 millones; en los rubros de remuneraciones, intereses de deuda pública, así como, en las transferencias corrientes al sector público y al sector privado.</w:t>
      </w:r>
    </w:p>
    <w:p w:rsidR="00AD535C" w:rsidRPr="00FB641E" w:rsidRDefault="00AD535C" w:rsidP="00AD535C">
      <w:pPr>
        <w:jc w:val="both"/>
        <w:rPr>
          <w:sz w:val="32"/>
          <w:lang w:val="es-MX"/>
        </w:rPr>
      </w:pPr>
    </w:p>
    <w:p w:rsidR="00AD535C" w:rsidRDefault="00AD535C" w:rsidP="00AD535C">
      <w:pPr>
        <w:jc w:val="both"/>
        <w:rPr>
          <w:lang w:val="es-MX"/>
        </w:rPr>
      </w:pPr>
      <w:r w:rsidRPr="00FB641E">
        <w:rPr>
          <w:lang w:val="es-MX"/>
        </w:rPr>
        <w:t xml:space="preserve">En cuanto a los Gastos de Capital, estos </w:t>
      </w:r>
      <w:r>
        <w:rPr>
          <w:lang w:val="es-MX"/>
        </w:rPr>
        <w:t>aumentaron en Q</w:t>
      </w:r>
      <w:r w:rsidR="00316581">
        <w:rPr>
          <w:lang w:val="es-MX"/>
        </w:rPr>
        <w:t>.</w:t>
      </w:r>
      <w:r>
        <w:rPr>
          <w:lang w:val="es-MX"/>
        </w:rPr>
        <w:t>734.0 millones en 2020 (equivalentes a 10.8%)</w:t>
      </w:r>
      <w:r w:rsidR="00316581">
        <w:rPr>
          <w:lang w:val="es-MX"/>
        </w:rPr>
        <w:t>,</w:t>
      </w:r>
      <w:r>
        <w:rPr>
          <w:lang w:val="es-MX"/>
        </w:rPr>
        <w:t xml:space="preserve"> respecto </w:t>
      </w:r>
      <w:r w:rsidR="00316581">
        <w:rPr>
          <w:lang w:val="es-MX"/>
        </w:rPr>
        <w:t>del</w:t>
      </w:r>
      <w:r>
        <w:rPr>
          <w:lang w:val="es-MX"/>
        </w:rPr>
        <w:t xml:space="preserve"> mismo período de 2019, mostrando el principal incremento en el gasto de inversión financiera con Q</w:t>
      </w:r>
      <w:r w:rsidR="00316581">
        <w:rPr>
          <w:lang w:val="es-MX"/>
        </w:rPr>
        <w:t>.</w:t>
      </w:r>
      <w:r>
        <w:rPr>
          <w:lang w:val="es-MX"/>
        </w:rPr>
        <w:t>1,447.1 millones respecto a lo observado en 2019. Las transferencias de capital fueron menores en el gasto público al 30 de junio de 2020 en lo referente a las realizadas al resto de sector público en Q</w:t>
      </w:r>
      <w:r w:rsidR="00316581">
        <w:rPr>
          <w:lang w:val="es-MX"/>
        </w:rPr>
        <w:t>.</w:t>
      </w:r>
      <w:r>
        <w:rPr>
          <w:lang w:val="es-MX"/>
        </w:rPr>
        <w:t>62.0 millones, mientras que las transferencias de capital realizadas al sector privado y externo aumentaron Q</w:t>
      </w:r>
      <w:r w:rsidR="00316581">
        <w:rPr>
          <w:lang w:val="es-MX"/>
        </w:rPr>
        <w:t>.</w:t>
      </w:r>
      <w:r>
        <w:rPr>
          <w:lang w:val="es-MX"/>
        </w:rPr>
        <w:t xml:space="preserve">54.6 millones, dando como resultado en el total de transferencias de capital </w:t>
      </w:r>
      <w:r w:rsidR="00316581">
        <w:rPr>
          <w:lang w:val="es-MX"/>
        </w:rPr>
        <w:t>refleje</w:t>
      </w:r>
      <w:r>
        <w:rPr>
          <w:lang w:val="es-MX"/>
        </w:rPr>
        <w:t xml:space="preserve"> una disminución por valor de Q</w:t>
      </w:r>
      <w:r w:rsidR="00316581">
        <w:rPr>
          <w:lang w:val="es-MX"/>
        </w:rPr>
        <w:t>.</w:t>
      </w:r>
      <w:r>
        <w:rPr>
          <w:lang w:val="es-MX"/>
        </w:rPr>
        <w:t>7.4 millones, comparado con la ejecución del gasto público al 30 de junio del año anterior</w:t>
      </w:r>
      <w:r w:rsidRPr="00FB641E">
        <w:rPr>
          <w:lang w:val="es-MX"/>
        </w:rPr>
        <w:t>.</w:t>
      </w:r>
      <w:r>
        <w:rPr>
          <w:lang w:val="es-MX"/>
        </w:rPr>
        <w:t xml:space="preserve"> Vale indicar que en este rubro se registran las transferencias a las Municipalidades y a los Consejos Departamentales de Desarrollo, entre otras transferencias que por mandato constitucional el Estado debe realizar.</w:t>
      </w:r>
    </w:p>
    <w:p w:rsidR="00AD535C" w:rsidRDefault="00AD535C" w:rsidP="00AD535C">
      <w:pPr>
        <w:jc w:val="both"/>
        <w:rPr>
          <w:lang w:val="es-MX"/>
        </w:rPr>
      </w:pPr>
    </w:p>
    <w:p w:rsidR="00AD535C" w:rsidRPr="00FB641E" w:rsidRDefault="00AD535C" w:rsidP="00AD535C">
      <w:pPr>
        <w:jc w:val="both"/>
        <w:rPr>
          <w:lang w:val="es-MX"/>
        </w:rPr>
      </w:pPr>
      <w:r>
        <w:rPr>
          <w:lang w:val="es-MX"/>
        </w:rPr>
        <w:t>El gasto presupuestario está compuesto por los gastos totales más las amortizaciones de préstamos que en conjunto suman Q</w:t>
      </w:r>
      <w:r w:rsidR="00316581">
        <w:rPr>
          <w:lang w:val="es-MX"/>
        </w:rPr>
        <w:t>.</w:t>
      </w:r>
      <w:r>
        <w:rPr>
          <w:lang w:val="es-MX"/>
        </w:rPr>
        <w:t xml:space="preserve">41,296.2 millones a junio de 2020 y a junio de 2019 </w:t>
      </w:r>
      <w:r>
        <w:rPr>
          <w:lang w:val="es-MX"/>
        </w:rPr>
        <w:lastRenderedPageBreak/>
        <w:t>sumaron Q</w:t>
      </w:r>
      <w:r w:rsidR="00316581">
        <w:rPr>
          <w:lang w:val="es-MX"/>
        </w:rPr>
        <w:t>.</w:t>
      </w:r>
      <w:r>
        <w:rPr>
          <w:lang w:val="es-MX"/>
        </w:rPr>
        <w:t>37,890.0 millones, mayor en Q</w:t>
      </w:r>
      <w:r w:rsidR="00316581">
        <w:rPr>
          <w:lang w:val="es-MX"/>
        </w:rPr>
        <w:t>.</w:t>
      </w:r>
      <w:r>
        <w:rPr>
          <w:lang w:val="es-MX"/>
        </w:rPr>
        <w:t>3,406.2 millones en 2020 y representa un aumento del 9.0%, lo cual es comparable con la ejecución presupuestaria por tipo de gasto.</w:t>
      </w:r>
    </w:p>
    <w:p w:rsidR="00AD535C" w:rsidRDefault="00AD535C" w:rsidP="00AD535C">
      <w:pPr>
        <w:jc w:val="both"/>
        <w:rPr>
          <w:sz w:val="14"/>
          <w:lang w:val="es-MX"/>
        </w:rPr>
      </w:pPr>
    </w:p>
    <w:p w:rsidR="00AD535C" w:rsidRPr="00AF05C7" w:rsidRDefault="00AD535C" w:rsidP="00AD535C">
      <w:pPr>
        <w:jc w:val="center"/>
        <w:rPr>
          <w:b/>
          <w:szCs w:val="22"/>
          <w:lang w:val="es-MX"/>
        </w:rPr>
      </w:pPr>
      <w:r w:rsidRPr="00AF05C7">
        <w:rPr>
          <w:b/>
          <w:szCs w:val="22"/>
          <w:lang w:val="es-MX"/>
        </w:rPr>
        <w:t>Cuadro 4</w:t>
      </w:r>
    </w:p>
    <w:p w:rsidR="00AD535C" w:rsidRPr="00AF05C7" w:rsidRDefault="00AD535C" w:rsidP="00AD535C">
      <w:pPr>
        <w:jc w:val="center"/>
        <w:rPr>
          <w:b/>
          <w:szCs w:val="22"/>
          <w:lang w:val="es-MX"/>
        </w:rPr>
      </w:pPr>
      <w:r w:rsidRPr="00AF05C7">
        <w:rPr>
          <w:b/>
          <w:szCs w:val="22"/>
          <w:lang w:val="es-MX"/>
        </w:rPr>
        <w:t>Detalle del Gasto Público por Cuenta Económica</w:t>
      </w:r>
    </w:p>
    <w:p w:rsidR="00AD535C" w:rsidRPr="00AF05C7" w:rsidRDefault="00AD535C" w:rsidP="00AD535C">
      <w:pPr>
        <w:jc w:val="center"/>
        <w:rPr>
          <w:b/>
          <w:szCs w:val="22"/>
          <w:lang w:val="es-MX"/>
        </w:rPr>
      </w:pPr>
      <w:r w:rsidRPr="00AF05C7">
        <w:rPr>
          <w:b/>
          <w:szCs w:val="22"/>
          <w:lang w:val="es-MX"/>
        </w:rPr>
        <w:t>Al 30 de junio de 2019 y 2020</w:t>
      </w:r>
      <w:r w:rsidR="000510F7">
        <w:rPr>
          <w:b/>
          <w:szCs w:val="22"/>
          <w:lang w:val="es-MX"/>
        </w:rPr>
        <w:t>*</w:t>
      </w:r>
    </w:p>
    <w:p w:rsidR="00AD535C" w:rsidRPr="00AF05C7" w:rsidRDefault="00AD535C" w:rsidP="00601968">
      <w:pPr>
        <w:jc w:val="center"/>
        <w:rPr>
          <w:sz w:val="18"/>
          <w:lang w:val="es-MX"/>
        </w:rPr>
      </w:pPr>
      <w:r w:rsidRPr="00AF05C7">
        <w:rPr>
          <w:b/>
          <w:szCs w:val="22"/>
          <w:lang w:val="es-MX"/>
        </w:rPr>
        <w:t>(Cifras en Millones de Quetzales)</w:t>
      </w:r>
    </w:p>
    <w:tbl>
      <w:tblPr>
        <w:tblW w:w="9212" w:type="dxa"/>
        <w:jc w:val="center"/>
        <w:tblCellMar>
          <w:left w:w="70" w:type="dxa"/>
          <w:right w:w="70" w:type="dxa"/>
        </w:tblCellMar>
        <w:tblLook w:val="04A0" w:firstRow="1" w:lastRow="0" w:firstColumn="1" w:lastColumn="0" w:noHBand="0" w:noVBand="1"/>
      </w:tblPr>
      <w:tblGrid>
        <w:gridCol w:w="3898"/>
        <w:gridCol w:w="1417"/>
        <w:gridCol w:w="1421"/>
        <w:gridCol w:w="1272"/>
        <w:gridCol w:w="1204"/>
      </w:tblGrid>
      <w:tr w:rsidR="00316581" w:rsidRPr="00357FA5" w:rsidTr="00316581">
        <w:trPr>
          <w:trHeight w:val="283"/>
          <w:jc w:val="center"/>
        </w:trPr>
        <w:tc>
          <w:tcPr>
            <w:tcW w:w="3898" w:type="dxa"/>
            <w:vMerge w:val="restart"/>
            <w:tcBorders>
              <w:top w:val="single" w:sz="8" w:space="0" w:color="auto"/>
              <w:left w:val="single" w:sz="8" w:space="0" w:color="auto"/>
              <w:bottom w:val="single" w:sz="4" w:space="0" w:color="000000"/>
              <w:right w:val="nil"/>
            </w:tcBorders>
            <w:shd w:val="clear" w:color="000000" w:fill="8DB4E2"/>
            <w:vAlign w:val="center"/>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Concepto</w:t>
            </w:r>
          </w:p>
        </w:tc>
        <w:tc>
          <w:tcPr>
            <w:tcW w:w="1417"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2019</w:t>
            </w:r>
          </w:p>
        </w:tc>
        <w:tc>
          <w:tcPr>
            <w:tcW w:w="1421"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2020</w:t>
            </w:r>
          </w:p>
        </w:tc>
        <w:tc>
          <w:tcPr>
            <w:tcW w:w="2476" w:type="dxa"/>
            <w:gridSpan w:val="2"/>
            <w:tcBorders>
              <w:top w:val="single" w:sz="8" w:space="0" w:color="auto"/>
              <w:left w:val="single" w:sz="4" w:space="0" w:color="auto"/>
              <w:bottom w:val="single" w:sz="4" w:space="0" w:color="auto"/>
              <w:right w:val="single" w:sz="8" w:space="0" w:color="000000"/>
            </w:tcBorders>
            <w:shd w:val="clear" w:color="000000" w:fill="8DB4E2"/>
            <w:noWrap/>
            <w:vAlign w:val="bottom"/>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Diferencias</w:t>
            </w:r>
          </w:p>
        </w:tc>
      </w:tr>
      <w:tr w:rsidR="00316581" w:rsidRPr="00357FA5" w:rsidTr="00316581">
        <w:trPr>
          <w:trHeight w:val="283"/>
          <w:jc w:val="center"/>
        </w:trPr>
        <w:tc>
          <w:tcPr>
            <w:tcW w:w="3898" w:type="dxa"/>
            <w:vMerge/>
            <w:tcBorders>
              <w:top w:val="single" w:sz="8" w:space="0" w:color="auto"/>
              <w:left w:val="single" w:sz="8" w:space="0" w:color="auto"/>
              <w:bottom w:val="single" w:sz="4" w:space="0" w:color="000000"/>
              <w:right w:val="nil"/>
            </w:tcBorders>
            <w:vAlign w:val="center"/>
            <w:hideMark/>
          </w:tcPr>
          <w:p w:rsidR="00AD535C" w:rsidRPr="00AF05C7" w:rsidRDefault="00AD535C" w:rsidP="0025776C">
            <w:pPr>
              <w:rPr>
                <w:b/>
                <w:bCs/>
                <w:color w:val="000000"/>
                <w:sz w:val="22"/>
                <w:szCs w:val="20"/>
                <w:lang w:val="es-MX" w:eastAsia="es-MX"/>
              </w:rPr>
            </w:pPr>
          </w:p>
        </w:tc>
        <w:tc>
          <w:tcPr>
            <w:tcW w:w="1417" w:type="dxa"/>
            <w:vMerge/>
            <w:tcBorders>
              <w:top w:val="single" w:sz="8" w:space="0" w:color="auto"/>
              <w:left w:val="single" w:sz="4" w:space="0" w:color="auto"/>
              <w:bottom w:val="single" w:sz="4" w:space="0" w:color="000000"/>
              <w:right w:val="single" w:sz="4" w:space="0" w:color="auto"/>
            </w:tcBorders>
            <w:vAlign w:val="center"/>
            <w:hideMark/>
          </w:tcPr>
          <w:p w:rsidR="00AD535C" w:rsidRPr="00AF05C7" w:rsidRDefault="00AD535C" w:rsidP="0025776C">
            <w:pPr>
              <w:rPr>
                <w:b/>
                <w:bCs/>
                <w:color w:val="000000"/>
                <w:sz w:val="22"/>
                <w:szCs w:val="20"/>
                <w:lang w:val="es-MX" w:eastAsia="es-MX"/>
              </w:rPr>
            </w:pPr>
          </w:p>
        </w:tc>
        <w:tc>
          <w:tcPr>
            <w:tcW w:w="1421" w:type="dxa"/>
            <w:vMerge/>
            <w:tcBorders>
              <w:top w:val="single" w:sz="8" w:space="0" w:color="auto"/>
              <w:left w:val="single" w:sz="4" w:space="0" w:color="auto"/>
              <w:bottom w:val="single" w:sz="4" w:space="0" w:color="000000"/>
              <w:right w:val="single" w:sz="4" w:space="0" w:color="auto"/>
            </w:tcBorders>
            <w:vAlign w:val="center"/>
            <w:hideMark/>
          </w:tcPr>
          <w:p w:rsidR="00AD535C" w:rsidRPr="00AF05C7" w:rsidRDefault="00AD535C" w:rsidP="0025776C">
            <w:pPr>
              <w:rPr>
                <w:b/>
                <w:bCs/>
                <w:color w:val="000000"/>
                <w:sz w:val="22"/>
                <w:szCs w:val="20"/>
                <w:lang w:val="es-MX" w:eastAsia="es-MX"/>
              </w:rPr>
            </w:pPr>
          </w:p>
        </w:tc>
        <w:tc>
          <w:tcPr>
            <w:tcW w:w="1272" w:type="dxa"/>
            <w:tcBorders>
              <w:top w:val="nil"/>
              <w:left w:val="nil"/>
              <w:bottom w:val="single" w:sz="4" w:space="0" w:color="auto"/>
              <w:right w:val="single" w:sz="4" w:space="0" w:color="auto"/>
            </w:tcBorders>
            <w:shd w:val="clear" w:color="000000" w:fill="8DB4E2"/>
            <w:noWrap/>
            <w:vAlign w:val="bottom"/>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Absolutas</w:t>
            </w:r>
          </w:p>
        </w:tc>
        <w:tc>
          <w:tcPr>
            <w:tcW w:w="1204" w:type="dxa"/>
            <w:tcBorders>
              <w:top w:val="single" w:sz="4" w:space="0" w:color="auto"/>
              <w:left w:val="nil"/>
              <w:bottom w:val="single" w:sz="4" w:space="0" w:color="auto"/>
              <w:right w:val="single" w:sz="8" w:space="0" w:color="auto"/>
            </w:tcBorders>
            <w:shd w:val="clear" w:color="000000" w:fill="8DB4E2"/>
            <w:noWrap/>
            <w:vAlign w:val="bottom"/>
            <w:hideMark/>
          </w:tcPr>
          <w:p w:rsidR="00AD535C" w:rsidRPr="00AF05C7" w:rsidRDefault="00AD535C" w:rsidP="0025776C">
            <w:pPr>
              <w:jc w:val="center"/>
              <w:rPr>
                <w:b/>
                <w:bCs/>
                <w:color w:val="000000"/>
                <w:sz w:val="22"/>
                <w:szCs w:val="20"/>
                <w:lang w:val="es-MX" w:eastAsia="es-MX"/>
              </w:rPr>
            </w:pPr>
            <w:r w:rsidRPr="00AF05C7">
              <w:rPr>
                <w:b/>
                <w:bCs/>
                <w:color w:val="000000"/>
                <w:sz w:val="22"/>
                <w:szCs w:val="20"/>
                <w:lang w:val="es-MX" w:eastAsia="es-MX"/>
              </w:rPr>
              <w:t>Relativas</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25776C">
            <w:pPr>
              <w:rPr>
                <w:b/>
                <w:bCs/>
                <w:color w:val="000000"/>
                <w:sz w:val="20"/>
                <w:szCs w:val="20"/>
                <w:lang w:val="es-MX" w:eastAsia="es-MX"/>
              </w:rPr>
            </w:pPr>
            <w:r w:rsidRPr="00316581">
              <w:rPr>
                <w:b/>
                <w:bCs/>
                <w:color w:val="000000"/>
                <w:sz w:val="20"/>
                <w:szCs w:val="20"/>
                <w:lang w:val="es-MX" w:eastAsia="es-MX"/>
              </w:rPr>
              <w:t>Gastos Totales</w:t>
            </w:r>
          </w:p>
        </w:tc>
        <w:tc>
          <w:tcPr>
            <w:tcW w:w="1417" w:type="dxa"/>
            <w:tcBorders>
              <w:top w:val="single" w:sz="4" w:space="0" w:color="auto"/>
              <w:left w:val="single" w:sz="4" w:space="0" w:color="auto"/>
              <w:bottom w:val="nil"/>
              <w:right w:val="nil"/>
            </w:tcBorders>
            <w:shd w:val="clear" w:color="000000" w:fill="FFFFFF"/>
            <w:noWrap/>
            <w:vAlign w:val="bottom"/>
            <w:hideMark/>
          </w:tcPr>
          <w:p w:rsidR="00AD535C" w:rsidRPr="00316581" w:rsidRDefault="00AD535C" w:rsidP="0025776C">
            <w:pPr>
              <w:jc w:val="right"/>
              <w:rPr>
                <w:b/>
                <w:bCs/>
                <w:sz w:val="20"/>
                <w:szCs w:val="20"/>
                <w:lang w:val="es-MX" w:eastAsia="es-MX"/>
              </w:rPr>
            </w:pPr>
            <w:r w:rsidRPr="00316581">
              <w:rPr>
                <w:b/>
                <w:bCs/>
                <w:sz w:val="20"/>
                <w:szCs w:val="20"/>
                <w:lang w:val="es-MX" w:eastAsia="es-MX"/>
              </w:rPr>
              <w:t>36,441.2</w:t>
            </w:r>
          </w:p>
        </w:tc>
        <w:tc>
          <w:tcPr>
            <w:tcW w:w="1421" w:type="dxa"/>
            <w:tcBorders>
              <w:top w:val="single" w:sz="4" w:space="0" w:color="auto"/>
              <w:left w:val="single" w:sz="4" w:space="0" w:color="auto"/>
              <w:bottom w:val="nil"/>
              <w:right w:val="nil"/>
            </w:tcBorders>
            <w:shd w:val="clear" w:color="000000" w:fill="FFFFFF"/>
            <w:noWrap/>
            <w:vAlign w:val="bottom"/>
            <w:hideMark/>
          </w:tcPr>
          <w:p w:rsidR="00AD535C" w:rsidRPr="00316581" w:rsidRDefault="00AD535C" w:rsidP="0025776C">
            <w:pPr>
              <w:jc w:val="right"/>
              <w:rPr>
                <w:b/>
                <w:bCs/>
                <w:sz w:val="20"/>
                <w:szCs w:val="20"/>
                <w:lang w:val="es-MX" w:eastAsia="es-MX"/>
              </w:rPr>
            </w:pPr>
            <w:r w:rsidRPr="00316581">
              <w:rPr>
                <w:b/>
                <w:bCs/>
                <w:sz w:val="20"/>
                <w:szCs w:val="20"/>
                <w:lang w:val="es-MX" w:eastAsia="es-MX"/>
              </w:rPr>
              <w:t>39,745.7</w:t>
            </w:r>
          </w:p>
        </w:tc>
        <w:tc>
          <w:tcPr>
            <w:tcW w:w="1272"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b/>
                <w:bCs/>
                <w:color w:val="000000"/>
                <w:sz w:val="20"/>
                <w:szCs w:val="20"/>
                <w:lang w:val="es-MX" w:eastAsia="es-MX"/>
              </w:rPr>
            </w:pPr>
            <w:r w:rsidRPr="00316581">
              <w:rPr>
                <w:b/>
                <w:bCs/>
                <w:color w:val="000000"/>
                <w:sz w:val="20"/>
                <w:szCs w:val="20"/>
                <w:lang w:val="es-MX" w:eastAsia="es-MX"/>
              </w:rPr>
              <w:t>3,304.5</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b/>
                <w:bCs/>
                <w:color w:val="000000"/>
                <w:sz w:val="20"/>
                <w:szCs w:val="20"/>
                <w:lang w:val="es-MX" w:eastAsia="es-MX"/>
              </w:rPr>
            </w:pPr>
            <w:r w:rsidRPr="00316581">
              <w:rPr>
                <w:b/>
                <w:bCs/>
                <w:color w:val="000000"/>
                <w:sz w:val="20"/>
                <w:szCs w:val="20"/>
                <w:lang w:val="es-MX" w:eastAsia="es-MX"/>
              </w:rPr>
              <w:t>9.1%</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100" w:firstLine="201"/>
              <w:rPr>
                <w:b/>
                <w:bCs/>
                <w:color w:val="000000"/>
                <w:sz w:val="20"/>
                <w:szCs w:val="20"/>
                <w:lang w:val="es-MX" w:eastAsia="es-MX"/>
              </w:rPr>
            </w:pPr>
            <w:r w:rsidRPr="00316581">
              <w:rPr>
                <w:b/>
                <w:bCs/>
                <w:color w:val="000000"/>
                <w:sz w:val="20"/>
                <w:szCs w:val="20"/>
                <w:lang w:val="es-MX" w:eastAsia="es-MX"/>
              </w:rPr>
              <w:t>Gastos Corrientes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b/>
                <w:bCs/>
                <w:sz w:val="20"/>
                <w:szCs w:val="20"/>
                <w:lang w:val="es-MX" w:eastAsia="es-MX"/>
              </w:rPr>
            </w:pPr>
            <w:r w:rsidRPr="00316581">
              <w:rPr>
                <w:b/>
                <w:bCs/>
                <w:sz w:val="20"/>
                <w:szCs w:val="20"/>
                <w:lang w:val="es-MX" w:eastAsia="es-MX"/>
              </w:rPr>
              <w:t>29,655.7</w:t>
            </w:r>
          </w:p>
        </w:tc>
        <w:tc>
          <w:tcPr>
            <w:tcW w:w="1421"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b/>
                <w:bCs/>
                <w:sz w:val="20"/>
                <w:szCs w:val="20"/>
                <w:lang w:val="es-MX" w:eastAsia="es-MX"/>
              </w:rPr>
            </w:pPr>
            <w:r w:rsidRPr="00316581">
              <w:rPr>
                <w:b/>
                <w:bCs/>
                <w:sz w:val="20"/>
                <w:szCs w:val="20"/>
                <w:lang w:val="es-MX" w:eastAsia="es-MX"/>
              </w:rPr>
              <w:t>32,226.2</w:t>
            </w:r>
          </w:p>
        </w:tc>
        <w:tc>
          <w:tcPr>
            <w:tcW w:w="1272"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b/>
                <w:bCs/>
                <w:color w:val="000000"/>
                <w:sz w:val="20"/>
                <w:szCs w:val="20"/>
                <w:lang w:val="es-MX" w:eastAsia="es-MX"/>
              </w:rPr>
            </w:pPr>
            <w:r w:rsidRPr="00316581">
              <w:rPr>
                <w:b/>
                <w:bCs/>
                <w:color w:val="000000"/>
                <w:sz w:val="20"/>
                <w:szCs w:val="20"/>
                <w:lang w:val="es-MX" w:eastAsia="es-MX"/>
              </w:rPr>
              <w:t>2,570.5</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b/>
                <w:bCs/>
                <w:color w:val="000000"/>
                <w:sz w:val="20"/>
                <w:szCs w:val="20"/>
                <w:lang w:val="es-MX" w:eastAsia="es-MX"/>
              </w:rPr>
            </w:pPr>
            <w:r w:rsidRPr="00316581">
              <w:rPr>
                <w:b/>
                <w:bCs/>
                <w:color w:val="000000"/>
                <w:sz w:val="20"/>
                <w:szCs w:val="20"/>
                <w:lang w:val="es-MX" w:eastAsia="es-MX"/>
              </w:rPr>
              <w:t>8.7%</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Remuneraciones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11,356.3</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12,479.5</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1,123.2</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9.9%</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Bienes y Servicios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3,351.2</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3,222.9</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-128.4</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-3.8%</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601968">
            <w:pPr>
              <w:ind w:firstLineChars="200" w:firstLine="400"/>
              <w:rPr>
                <w:color w:val="000000"/>
                <w:sz w:val="20"/>
                <w:szCs w:val="20"/>
                <w:lang w:val="es-MX" w:eastAsia="es-MX"/>
              </w:rPr>
            </w:pPr>
            <w:r w:rsidRPr="00316581">
              <w:rPr>
                <w:color w:val="000000"/>
                <w:sz w:val="20"/>
                <w:szCs w:val="20"/>
                <w:lang w:val="es-MX" w:eastAsia="es-MX"/>
              </w:rPr>
              <w:t xml:space="preserve">Impuestos </w:t>
            </w:r>
            <w:r w:rsidR="00601968">
              <w:rPr>
                <w:color w:val="000000"/>
                <w:sz w:val="20"/>
                <w:szCs w:val="20"/>
                <w:lang w:val="es-MX" w:eastAsia="es-MX"/>
              </w:rPr>
              <w:t>P</w:t>
            </w:r>
            <w:r w:rsidRPr="00316581">
              <w:rPr>
                <w:color w:val="000000"/>
                <w:sz w:val="20"/>
                <w:szCs w:val="20"/>
                <w:lang w:val="es-MX" w:eastAsia="es-MX"/>
              </w:rPr>
              <w:t>agados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2.6</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2.1</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-0.5</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-20.2%</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Descuentos y Bonificaciones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76.7</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28.9</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-47.8</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-62.3%</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Prestaciones a la Seguridad Social</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2,395.5</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2,424.9</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29.3</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1.2%</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Intereses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4,611.4</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4,819.4</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208.0</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4.5%</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601968">
            <w:pPr>
              <w:ind w:firstLineChars="300" w:firstLine="600"/>
              <w:rPr>
                <w:color w:val="000000"/>
                <w:sz w:val="20"/>
                <w:szCs w:val="20"/>
                <w:lang w:val="es-MX" w:eastAsia="es-MX"/>
              </w:rPr>
            </w:pPr>
            <w:r w:rsidRPr="00316581">
              <w:rPr>
                <w:color w:val="000000"/>
                <w:sz w:val="20"/>
                <w:szCs w:val="20"/>
                <w:lang w:val="es-MX" w:eastAsia="es-MX"/>
              </w:rPr>
              <w:t xml:space="preserve">Deuda </w:t>
            </w:r>
            <w:r w:rsidR="00601968">
              <w:rPr>
                <w:color w:val="000000"/>
                <w:sz w:val="20"/>
                <w:szCs w:val="20"/>
                <w:lang w:val="es-MX" w:eastAsia="es-MX"/>
              </w:rPr>
              <w:t>I</w:t>
            </w:r>
            <w:r w:rsidRPr="00316581">
              <w:rPr>
                <w:color w:val="000000"/>
                <w:sz w:val="20"/>
                <w:szCs w:val="20"/>
                <w:lang w:val="es-MX" w:eastAsia="es-MX"/>
              </w:rPr>
              <w:t xml:space="preserve">nterna </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3,143.5</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3,175.8</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32.3</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1.0%</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601968">
            <w:pPr>
              <w:ind w:firstLineChars="300" w:firstLine="600"/>
              <w:rPr>
                <w:color w:val="000000"/>
                <w:sz w:val="20"/>
                <w:szCs w:val="20"/>
                <w:lang w:val="es-MX" w:eastAsia="es-MX"/>
              </w:rPr>
            </w:pPr>
            <w:r w:rsidRPr="00316581">
              <w:rPr>
                <w:color w:val="000000"/>
                <w:sz w:val="20"/>
                <w:szCs w:val="20"/>
                <w:lang w:val="es-MX" w:eastAsia="es-MX"/>
              </w:rPr>
              <w:t xml:space="preserve">Deuda </w:t>
            </w:r>
            <w:r w:rsidR="00601968">
              <w:rPr>
                <w:color w:val="000000"/>
                <w:sz w:val="20"/>
                <w:szCs w:val="20"/>
                <w:lang w:val="es-MX" w:eastAsia="es-MX"/>
              </w:rPr>
              <w:t>E</w:t>
            </w:r>
            <w:r w:rsidRPr="00316581">
              <w:rPr>
                <w:color w:val="000000"/>
                <w:sz w:val="20"/>
                <w:szCs w:val="20"/>
                <w:lang w:val="es-MX" w:eastAsia="es-MX"/>
              </w:rPr>
              <w:t>xterna</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1,467.9</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1,643.6</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175.7</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12.0%</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400" w:firstLine="800"/>
              <w:rPr>
                <w:color w:val="000000"/>
                <w:sz w:val="20"/>
                <w:szCs w:val="20"/>
                <w:lang w:val="es-MX" w:eastAsia="es-MX"/>
              </w:rPr>
            </w:pPr>
            <w:r w:rsidRPr="00316581">
              <w:rPr>
                <w:color w:val="000000"/>
                <w:sz w:val="20"/>
                <w:szCs w:val="20"/>
                <w:lang w:val="es-MX" w:eastAsia="es-MX"/>
              </w:rPr>
              <w:t>Préstamos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863.8</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776.9</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-86.8</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-10.1%</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400" w:firstLine="800"/>
              <w:rPr>
                <w:color w:val="000000"/>
                <w:sz w:val="20"/>
                <w:szCs w:val="20"/>
                <w:lang w:val="es-MX" w:eastAsia="es-MX"/>
              </w:rPr>
            </w:pPr>
            <w:r w:rsidRPr="00316581">
              <w:rPr>
                <w:color w:val="000000"/>
                <w:sz w:val="20"/>
                <w:szCs w:val="20"/>
                <w:lang w:val="es-MX" w:eastAsia="es-MX"/>
              </w:rPr>
              <w:t>Bonos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604.1</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866.6</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262.5</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43.5%</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Arrendamiento de Tierra y Terrenos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0.1</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0.1</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0.0</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-26.3%</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Derechos Sobre Bienes Intangibles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8.8</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6.7</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-2.1</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-23.6%</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Transferencias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7,853.1</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9,241.9</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1,388.8</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17.7%</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300" w:firstLine="600"/>
              <w:rPr>
                <w:color w:val="000000"/>
                <w:sz w:val="20"/>
                <w:szCs w:val="20"/>
                <w:lang w:val="es-MX" w:eastAsia="es-MX"/>
              </w:rPr>
            </w:pPr>
            <w:r w:rsidRPr="00316581">
              <w:rPr>
                <w:color w:val="000000"/>
                <w:sz w:val="20"/>
                <w:szCs w:val="20"/>
                <w:lang w:val="es-MX" w:eastAsia="es-MX"/>
              </w:rPr>
              <w:t>Resto del Sector Público</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5,219.1</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4,604.6</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-614.5</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-11.8%</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601968">
            <w:pPr>
              <w:ind w:firstLineChars="300" w:firstLine="600"/>
              <w:rPr>
                <w:color w:val="000000"/>
                <w:sz w:val="20"/>
                <w:szCs w:val="20"/>
                <w:lang w:val="es-MX" w:eastAsia="es-MX"/>
              </w:rPr>
            </w:pPr>
            <w:r w:rsidRPr="00316581">
              <w:rPr>
                <w:color w:val="000000"/>
                <w:sz w:val="20"/>
                <w:szCs w:val="20"/>
                <w:lang w:val="es-MX" w:eastAsia="es-MX"/>
              </w:rPr>
              <w:t xml:space="preserve">Sector </w:t>
            </w:r>
            <w:r w:rsidR="00601968">
              <w:rPr>
                <w:color w:val="000000"/>
                <w:sz w:val="20"/>
                <w:szCs w:val="20"/>
                <w:lang w:val="es-MX" w:eastAsia="es-MX"/>
              </w:rPr>
              <w:t>P</w:t>
            </w:r>
            <w:r w:rsidRPr="00316581">
              <w:rPr>
                <w:color w:val="000000"/>
                <w:sz w:val="20"/>
                <w:szCs w:val="20"/>
                <w:lang w:val="es-MX" w:eastAsia="es-MX"/>
              </w:rPr>
              <w:t>rivado</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2,598.5</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4,625.5</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2,026.9</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78.0%</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601968">
            <w:pPr>
              <w:ind w:firstLineChars="300" w:firstLine="600"/>
              <w:rPr>
                <w:color w:val="000000"/>
                <w:sz w:val="20"/>
                <w:szCs w:val="20"/>
                <w:lang w:val="es-MX" w:eastAsia="es-MX"/>
              </w:rPr>
            </w:pPr>
            <w:r w:rsidRPr="00316581">
              <w:rPr>
                <w:color w:val="000000"/>
                <w:sz w:val="20"/>
                <w:szCs w:val="20"/>
                <w:lang w:val="es-MX" w:eastAsia="es-MX"/>
              </w:rPr>
              <w:t xml:space="preserve">Sector </w:t>
            </w:r>
            <w:r w:rsidR="00601968">
              <w:rPr>
                <w:color w:val="000000"/>
                <w:sz w:val="20"/>
                <w:szCs w:val="20"/>
                <w:lang w:val="es-MX" w:eastAsia="es-MX"/>
              </w:rPr>
              <w:t>E</w:t>
            </w:r>
            <w:r w:rsidRPr="00316581">
              <w:rPr>
                <w:color w:val="000000"/>
                <w:sz w:val="20"/>
                <w:szCs w:val="20"/>
                <w:lang w:val="es-MX" w:eastAsia="es-MX"/>
              </w:rPr>
              <w:t>xterno</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35.4</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11.8</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-23.6</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-66.6%</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100" w:firstLine="201"/>
              <w:rPr>
                <w:b/>
                <w:bCs/>
                <w:color w:val="000000"/>
                <w:sz w:val="20"/>
                <w:szCs w:val="20"/>
                <w:lang w:val="es-MX" w:eastAsia="es-MX"/>
              </w:rPr>
            </w:pPr>
            <w:r w:rsidRPr="00316581">
              <w:rPr>
                <w:b/>
                <w:bCs/>
                <w:color w:val="000000"/>
                <w:sz w:val="20"/>
                <w:szCs w:val="20"/>
                <w:lang w:val="es-MX" w:eastAsia="es-MX"/>
              </w:rPr>
              <w:t>Gastos de Capital</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b/>
                <w:bCs/>
                <w:sz w:val="20"/>
                <w:szCs w:val="20"/>
                <w:lang w:val="es-MX" w:eastAsia="es-MX"/>
              </w:rPr>
            </w:pPr>
            <w:r w:rsidRPr="00316581">
              <w:rPr>
                <w:b/>
                <w:bCs/>
                <w:sz w:val="20"/>
                <w:szCs w:val="20"/>
                <w:lang w:val="es-MX" w:eastAsia="es-MX"/>
              </w:rPr>
              <w:t>6,785.5</w:t>
            </w:r>
          </w:p>
        </w:tc>
        <w:tc>
          <w:tcPr>
            <w:tcW w:w="1421"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b/>
                <w:bCs/>
                <w:sz w:val="20"/>
                <w:szCs w:val="20"/>
                <w:lang w:val="es-MX" w:eastAsia="es-MX"/>
              </w:rPr>
            </w:pPr>
            <w:r w:rsidRPr="00316581">
              <w:rPr>
                <w:b/>
                <w:bCs/>
                <w:sz w:val="20"/>
                <w:szCs w:val="20"/>
                <w:lang w:val="es-MX" w:eastAsia="es-MX"/>
              </w:rPr>
              <w:t>7,519.5</w:t>
            </w:r>
          </w:p>
        </w:tc>
        <w:tc>
          <w:tcPr>
            <w:tcW w:w="1272"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b/>
                <w:bCs/>
                <w:color w:val="000000"/>
                <w:sz w:val="20"/>
                <w:szCs w:val="20"/>
                <w:lang w:val="es-MX" w:eastAsia="es-MX"/>
              </w:rPr>
            </w:pPr>
            <w:r w:rsidRPr="00316581">
              <w:rPr>
                <w:b/>
                <w:bCs/>
                <w:color w:val="000000"/>
                <w:sz w:val="20"/>
                <w:szCs w:val="20"/>
                <w:lang w:val="es-MX" w:eastAsia="es-MX"/>
              </w:rPr>
              <w:t>734.0</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b/>
                <w:bCs/>
                <w:color w:val="000000"/>
                <w:sz w:val="20"/>
                <w:szCs w:val="20"/>
                <w:lang w:val="es-MX" w:eastAsia="es-MX"/>
              </w:rPr>
            </w:pPr>
            <w:r w:rsidRPr="00316581">
              <w:rPr>
                <w:b/>
                <w:bCs/>
                <w:color w:val="000000"/>
                <w:sz w:val="20"/>
                <w:szCs w:val="20"/>
                <w:lang w:val="es-MX" w:eastAsia="es-MX"/>
              </w:rPr>
              <w:t>10.8%</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Inversión Real Directa</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2,053.3</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1,347.6</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-705.7</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-34.4%</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Inversión Financiera</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2.9</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1,450.0</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1,447.1</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49789.8%</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200" w:firstLine="400"/>
              <w:rPr>
                <w:color w:val="000000"/>
                <w:sz w:val="20"/>
                <w:szCs w:val="20"/>
                <w:lang w:val="es-MX" w:eastAsia="es-MX"/>
              </w:rPr>
            </w:pPr>
            <w:r w:rsidRPr="00316581">
              <w:rPr>
                <w:color w:val="000000"/>
                <w:sz w:val="20"/>
                <w:szCs w:val="20"/>
                <w:lang w:val="es-MX" w:eastAsia="es-MX"/>
              </w:rPr>
              <w:t>Transferencias</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4,729.2</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4,721.9</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-7.4</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-0.2%</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300" w:firstLine="600"/>
              <w:rPr>
                <w:color w:val="000000"/>
                <w:sz w:val="20"/>
                <w:szCs w:val="20"/>
                <w:lang w:val="es-MX" w:eastAsia="es-MX"/>
              </w:rPr>
            </w:pPr>
            <w:r w:rsidRPr="00316581">
              <w:rPr>
                <w:color w:val="000000"/>
                <w:sz w:val="20"/>
                <w:szCs w:val="20"/>
                <w:lang w:val="es-MX" w:eastAsia="es-MX"/>
              </w:rPr>
              <w:t xml:space="preserve">Resto del Sector Público </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4,476.2</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4,414.3</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-62.0</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-1.4%</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601968">
            <w:pPr>
              <w:ind w:firstLineChars="300" w:firstLine="600"/>
              <w:rPr>
                <w:color w:val="000000"/>
                <w:sz w:val="20"/>
                <w:szCs w:val="20"/>
                <w:lang w:val="es-MX" w:eastAsia="es-MX"/>
              </w:rPr>
            </w:pPr>
            <w:r w:rsidRPr="00316581">
              <w:rPr>
                <w:color w:val="000000"/>
                <w:sz w:val="20"/>
                <w:szCs w:val="20"/>
                <w:lang w:val="es-MX" w:eastAsia="es-MX"/>
              </w:rPr>
              <w:t xml:space="preserve">Sector </w:t>
            </w:r>
            <w:r w:rsidR="00601968">
              <w:rPr>
                <w:color w:val="000000"/>
                <w:sz w:val="20"/>
                <w:szCs w:val="20"/>
                <w:lang w:val="es-MX" w:eastAsia="es-MX"/>
              </w:rPr>
              <w:t>P</w:t>
            </w:r>
            <w:r w:rsidRPr="00316581">
              <w:rPr>
                <w:color w:val="000000"/>
                <w:sz w:val="20"/>
                <w:szCs w:val="20"/>
                <w:lang w:val="es-MX" w:eastAsia="es-MX"/>
              </w:rPr>
              <w:t xml:space="preserve">rivado y </w:t>
            </w:r>
            <w:r w:rsidR="00601968">
              <w:rPr>
                <w:color w:val="000000"/>
                <w:sz w:val="20"/>
                <w:szCs w:val="20"/>
                <w:lang w:val="es-MX" w:eastAsia="es-MX"/>
              </w:rPr>
              <w:t>E</w:t>
            </w:r>
            <w:r w:rsidRPr="00316581">
              <w:rPr>
                <w:color w:val="000000"/>
                <w:sz w:val="20"/>
                <w:szCs w:val="20"/>
                <w:lang w:val="es-MX" w:eastAsia="es-MX"/>
              </w:rPr>
              <w:t xml:space="preserve">xterno </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253.0</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307.6</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54.6</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21.6%</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AF6E36">
            <w:pPr>
              <w:rPr>
                <w:b/>
                <w:bCs/>
                <w:color w:val="000000"/>
                <w:sz w:val="20"/>
                <w:szCs w:val="20"/>
                <w:u w:val="single"/>
                <w:lang w:val="es-MX" w:eastAsia="es-MX"/>
              </w:rPr>
            </w:pPr>
            <w:r w:rsidRPr="00316581">
              <w:rPr>
                <w:b/>
                <w:bCs/>
                <w:color w:val="000000"/>
                <w:sz w:val="20"/>
                <w:szCs w:val="20"/>
                <w:u w:val="single"/>
                <w:lang w:val="es-MX" w:eastAsia="es-MX"/>
              </w:rPr>
              <w:t xml:space="preserve">Más pagos de </w:t>
            </w:r>
            <w:r w:rsidR="00AF6E36">
              <w:rPr>
                <w:b/>
                <w:bCs/>
                <w:color w:val="000000"/>
                <w:sz w:val="20"/>
                <w:szCs w:val="20"/>
                <w:u w:val="single"/>
                <w:lang w:val="es-MX" w:eastAsia="es-MX"/>
              </w:rPr>
              <w:t>D</w:t>
            </w:r>
            <w:r w:rsidRPr="00316581">
              <w:rPr>
                <w:b/>
                <w:bCs/>
                <w:color w:val="000000"/>
                <w:sz w:val="20"/>
                <w:szCs w:val="20"/>
                <w:u w:val="single"/>
                <w:lang w:val="es-MX" w:eastAsia="es-MX"/>
              </w:rPr>
              <w:t xml:space="preserve">euda </w:t>
            </w:r>
            <w:r w:rsidR="00AF6E36">
              <w:rPr>
                <w:b/>
                <w:bCs/>
                <w:color w:val="000000"/>
                <w:sz w:val="20"/>
                <w:szCs w:val="20"/>
                <w:u w:val="single"/>
                <w:lang w:val="es-MX" w:eastAsia="es-MX"/>
              </w:rPr>
              <w:t>E</w:t>
            </w:r>
            <w:r w:rsidRPr="00316581">
              <w:rPr>
                <w:b/>
                <w:bCs/>
                <w:color w:val="000000"/>
                <w:sz w:val="20"/>
                <w:szCs w:val="20"/>
                <w:u w:val="single"/>
                <w:lang w:val="es-MX" w:eastAsia="es-MX"/>
              </w:rPr>
              <w:t>xterna:</w:t>
            </w:r>
          </w:p>
        </w:tc>
        <w:tc>
          <w:tcPr>
            <w:tcW w:w="1417" w:type="dxa"/>
            <w:tcBorders>
              <w:top w:val="nil"/>
              <w:left w:val="single" w:sz="4" w:space="0" w:color="auto"/>
              <w:bottom w:val="nil"/>
              <w:right w:val="nil"/>
            </w:tcBorders>
            <w:shd w:val="clear" w:color="000000" w:fill="FFFFFF"/>
            <w:noWrap/>
            <w:vAlign w:val="bottom"/>
            <w:hideMark/>
          </w:tcPr>
          <w:p w:rsidR="00AD535C" w:rsidRPr="00316581" w:rsidRDefault="00AD535C" w:rsidP="0025776C">
            <w:pPr>
              <w:rPr>
                <w:color w:val="000000"/>
                <w:sz w:val="20"/>
                <w:szCs w:val="20"/>
                <w:lang w:val="es-MX" w:eastAsia="es-MX"/>
              </w:rPr>
            </w:pPr>
            <w:r w:rsidRPr="00316581">
              <w:rPr>
                <w:color w:val="000000"/>
                <w:sz w:val="20"/>
                <w:szCs w:val="20"/>
                <w:lang w:val="es-MX" w:eastAsia="es-MX"/>
              </w:rPr>
              <w:t> </w:t>
            </w:r>
          </w:p>
        </w:tc>
        <w:tc>
          <w:tcPr>
            <w:tcW w:w="1421" w:type="dxa"/>
            <w:tcBorders>
              <w:top w:val="nil"/>
              <w:left w:val="single" w:sz="4" w:space="0" w:color="auto"/>
              <w:bottom w:val="nil"/>
              <w:right w:val="single" w:sz="4" w:space="0" w:color="auto"/>
            </w:tcBorders>
            <w:shd w:val="clear" w:color="000000" w:fill="FFFFFF"/>
            <w:noWrap/>
            <w:vAlign w:val="bottom"/>
            <w:hideMark/>
          </w:tcPr>
          <w:p w:rsidR="00AD535C" w:rsidRPr="00316581" w:rsidRDefault="00AD535C" w:rsidP="0025776C">
            <w:pPr>
              <w:rPr>
                <w:color w:val="000000"/>
                <w:sz w:val="20"/>
                <w:szCs w:val="20"/>
                <w:lang w:val="es-MX" w:eastAsia="es-MX"/>
              </w:rPr>
            </w:pPr>
            <w:r w:rsidRPr="00316581">
              <w:rPr>
                <w:color w:val="000000"/>
                <w:sz w:val="20"/>
                <w:szCs w:val="20"/>
                <w:lang w:val="es-MX" w:eastAsia="es-MX"/>
              </w:rPr>
              <w:t> </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rPr>
                <w:color w:val="000000"/>
                <w:sz w:val="20"/>
                <w:szCs w:val="20"/>
                <w:lang w:val="es-MX" w:eastAsia="es-MX"/>
              </w:rPr>
            </w:pPr>
            <w:r w:rsidRPr="00316581">
              <w:rPr>
                <w:color w:val="000000"/>
                <w:sz w:val="20"/>
                <w:szCs w:val="20"/>
                <w:lang w:val="es-MX" w:eastAsia="es-MX"/>
              </w:rPr>
              <w:t> </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rPr>
                <w:color w:val="000000"/>
                <w:sz w:val="20"/>
                <w:szCs w:val="20"/>
                <w:lang w:val="es-MX" w:eastAsia="es-MX"/>
              </w:rPr>
            </w:pPr>
            <w:r w:rsidRPr="00316581">
              <w:rPr>
                <w:color w:val="000000"/>
                <w:sz w:val="20"/>
                <w:szCs w:val="20"/>
                <w:lang w:val="es-MX" w:eastAsia="es-MX"/>
              </w:rPr>
              <w:t> </w:t>
            </w:r>
          </w:p>
        </w:tc>
      </w:tr>
      <w:tr w:rsidR="00316581" w:rsidRPr="00357FA5" w:rsidTr="00316581">
        <w:trPr>
          <w:trHeight w:val="283"/>
          <w:jc w:val="center"/>
        </w:trPr>
        <w:tc>
          <w:tcPr>
            <w:tcW w:w="3898" w:type="dxa"/>
            <w:tcBorders>
              <w:top w:val="nil"/>
              <w:left w:val="single" w:sz="8" w:space="0" w:color="auto"/>
              <w:bottom w:val="nil"/>
              <w:right w:val="nil"/>
            </w:tcBorders>
            <w:shd w:val="clear" w:color="000000" w:fill="FFFFFF"/>
            <w:noWrap/>
            <w:vAlign w:val="bottom"/>
            <w:hideMark/>
          </w:tcPr>
          <w:p w:rsidR="00AD535C" w:rsidRPr="00316581" w:rsidRDefault="00AD535C" w:rsidP="00316581">
            <w:pPr>
              <w:ind w:firstLineChars="100" w:firstLine="200"/>
              <w:rPr>
                <w:color w:val="000000"/>
                <w:sz w:val="20"/>
                <w:szCs w:val="20"/>
                <w:lang w:val="es-MX" w:eastAsia="es-MX"/>
              </w:rPr>
            </w:pPr>
            <w:r w:rsidRPr="00316581">
              <w:rPr>
                <w:color w:val="000000"/>
                <w:sz w:val="20"/>
                <w:szCs w:val="20"/>
                <w:lang w:val="es-MX" w:eastAsia="es-MX"/>
              </w:rPr>
              <w:t>Amortizaciones</w:t>
            </w:r>
          </w:p>
        </w:tc>
        <w:tc>
          <w:tcPr>
            <w:tcW w:w="1417" w:type="dxa"/>
            <w:tcBorders>
              <w:top w:val="nil"/>
              <w:left w:val="single" w:sz="4" w:space="0" w:color="auto"/>
              <w:bottom w:val="nil"/>
              <w:right w:val="single" w:sz="4" w:space="0" w:color="auto"/>
            </w:tcBorders>
            <w:shd w:val="clear" w:color="auto" w:fill="auto"/>
            <w:noWrap/>
            <w:vAlign w:val="center"/>
            <w:hideMark/>
          </w:tcPr>
          <w:p w:rsidR="00AD535C" w:rsidRPr="00316581" w:rsidRDefault="00AD535C" w:rsidP="0025776C">
            <w:pPr>
              <w:jc w:val="right"/>
              <w:rPr>
                <w:sz w:val="20"/>
                <w:szCs w:val="20"/>
                <w:lang w:val="es-MX" w:eastAsia="es-MX"/>
              </w:rPr>
            </w:pPr>
            <w:r w:rsidRPr="00316581">
              <w:rPr>
                <w:sz w:val="20"/>
                <w:szCs w:val="20"/>
                <w:lang w:val="es-MX" w:eastAsia="es-MX"/>
              </w:rPr>
              <w:t>1,448.8</w:t>
            </w:r>
          </w:p>
        </w:tc>
        <w:tc>
          <w:tcPr>
            <w:tcW w:w="1421" w:type="dxa"/>
            <w:tcBorders>
              <w:top w:val="nil"/>
              <w:left w:val="nil"/>
              <w:bottom w:val="nil"/>
              <w:right w:val="single" w:sz="4" w:space="0" w:color="auto"/>
            </w:tcBorders>
            <w:shd w:val="clear" w:color="auto" w:fill="auto"/>
            <w:noWrap/>
            <w:vAlign w:val="bottom"/>
            <w:hideMark/>
          </w:tcPr>
          <w:p w:rsidR="00AD535C" w:rsidRPr="00316581" w:rsidRDefault="00AD535C" w:rsidP="0025776C">
            <w:pPr>
              <w:jc w:val="right"/>
              <w:rPr>
                <w:sz w:val="20"/>
                <w:szCs w:val="20"/>
                <w:lang w:val="es-MX" w:eastAsia="es-MX"/>
              </w:rPr>
            </w:pPr>
            <w:r w:rsidRPr="00316581">
              <w:rPr>
                <w:sz w:val="20"/>
                <w:szCs w:val="20"/>
                <w:lang w:val="es-MX" w:eastAsia="es-MX"/>
              </w:rPr>
              <w:t>1,550.5</w:t>
            </w:r>
          </w:p>
        </w:tc>
        <w:tc>
          <w:tcPr>
            <w:tcW w:w="1272" w:type="dxa"/>
            <w:tcBorders>
              <w:top w:val="nil"/>
              <w:left w:val="nil"/>
              <w:bottom w:val="nil"/>
              <w:right w:val="single" w:sz="4"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101.7</w:t>
            </w:r>
          </w:p>
        </w:tc>
        <w:tc>
          <w:tcPr>
            <w:tcW w:w="1204" w:type="dxa"/>
            <w:tcBorders>
              <w:top w:val="nil"/>
              <w:left w:val="single" w:sz="4" w:space="0" w:color="auto"/>
              <w:bottom w:val="nil"/>
              <w:right w:val="single" w:sz="8" w:space="0" w:color="auto"/>
            </w:tcBorders>
            <w:shd w:val="clear" w:color="000000" w:fill="FFFFFF"/>
            <w:noWrap/>
            <w:vAlign w:val="bottom"/>
            <w:hideMark/>
          </w:tcPr>
          <w:p w:rsidR="00AD535C" w:rsidRPr="00316581" w:rsidRDefault="00AD535C" w:rsidP="0025776C">
            <w:pPr>
              <w:jc w:val="right"/>
              <w:rPr>
                <w:color w:val="000000"/>
                <w:sz w:val="20"/>
                <w:szCs w:val="20"/>
                <w:lang w:val="es-MX" w:eastAsia="es-MX"/>
              </w:rPr>
            </w:pPr>
            <w:r w:rsidRPr="00316581">
              <w:rPr>
                <w:color w:val="000000"/>
                <w:sz w:val="20"/>
                <w:szCs w:val="20"/>
                <w:lang w:val="es-MX" w:eastAsia="es-MX"/>
              </w:rPr>
              <w:t>7.0%</w:t>
            </w:r>
          </w:p>
        </w:tc>
      </w:tr>
      <w:tr w:rsidR="00316581" w:rsidRPr="00357FA5" w:rsidTr="00316581">
        <w:trPr>
          <w:trHeight w:val="297"/>
          <w:jc w:val="center"/>
        </w:trPr>
        <w:tc>
          <w:tcPr>
            <w:tcW w:w="3898" w:type="dxa"/>
            <w:tcBorders>
              <w:top w:val="nil"/>
              <w:left w:val="single" w:sz="8" w:space="0" w:color="auto"/>
              <w:bottom w:val="single" w:sz="8" w:space="0" w:color="auto"/>
              <w:right w:val="nil"/>
            </w:tcBorders>
            <w:shd w:val="clear" w:color="000000" w:fill="FFFFFF"/>
            <w:noWrap/>
            <w:vAlign w:val="bottom"/>
            <w:hideMark/>
          </w:tcPr>
          <w:p w:rsidR="00AD535C" w:rsidRPr="00316581" w:rsidRDefault="00AD535C" w:rsidP="00AF6E36">
            <w:pPr>
              <w:rPr>
                <w:b/>
                <w:bCs/>
                <w:color w:val="000000"/>
                <w:sz w:val="20"/>
                <w:szCs w:val="20"/>
                <w:lang w:val="es-MX" w:eastAsia="es-MX"/>
              </w:rPr>
            </w:pPr>
            <w:r w:rsidRPr="00316581">
              <w:rPr>
                <w:b/>
                <w:bCs/>
                <w:color w:val="000000"/>
                <w:sz w:val="20"/>
                <w:szCs w:val="20"/>
                <w:lang w:val="es-MX" w:eastAsia="es-MX"/>
              </w:rPr>
              <w:t xml:space="preserve">Total del </w:t>
            </w:r>
            <w:r w:rsidR="00AF6E36">
              <w:rPr>
                <w:b/>
                <w:bCs/>
                <w:color w:val="000000"/>
                <w:sz w:val="20"/>
                <w:szCs w:val="20"/>
                <w:lang w:val="es-MX" w:eastAsia="es-MX"/>
              </w:rPr>
              <w:t>G</w:t>
            </w:r>
            <w:r w:rsidRPr="00316581">
              <w:rPr>
                <w:b/>
                <w:bCs/>
                <w:color w:val="000000"/>
                <w:sz w:val="20"/>
                <w:szCs w:val="20"/>
                <w:lang w:val="es-MX" w:eastAsia="es-MX"/>
              </w:rPr>
              <w:t xml:space="preserve">asto </w:t>
            </w:r>
            <w:r w:rsidR="00AF6E36">
              <w:rPr>
                <w:b/>
                <w:bCs/>
                <w:color w:val="000000"/>
                <w:sz w:val="20"/>
                <w:szCs w:val="20"/>
                <w:lang w:val="es-MX" w:eastAsia="es-MX"/>
              </w:rPr>
              <w:t>P</w:t>
            </w:r>
            <w:r w:rsidRPr="00316581">
              <w:rPr>
                <w:b/>
                <w:bCs/>
                <w:color w:val="000000"/>
                <w:sz w:val="20"/>
                <w:szCs w:val="20"/>
                <w:lang w:val="es-MX" w:eastAsia="es-MX"/>
              </w:rPr>
              <w:t>resupuestario</w:t>
            </w:r>
          </w:p>
        </w:tc>
        <w:tc>
          <w:tcPr>
            <w:tcW w:w="1417" w:type="dxa"/>
            <w:tcBorders>
              <w:top w:val="nil"/>
              <w:left w:val="single" w:sz="4" w:space="0" w:color="auto"/>
              <w:bottom w:val="single" w:sz="8" w:space="0" w:color="auto"/>
              <w:right w:val="single" w:sz="4" w:space="0" w:color="auto"/>
            </w:tcBorders>
            <w:shd w:val="clear" w:color="000000" w:fill="FFFFFF"/>
            <w:noWrap/>
            <w:vAlign w:val="bottom"/>
            <w:hideMark/>
          </w:tcPr>
          <w:p w:rsidR="00AD535C" w:rsidRPr="00316581" w:rsidRDefault="00AD535C" w:rsidP="00601968">
            <w:pPr>
              <w:jc w:val="right"/>
              <w:rPr>
                <w:b/>
                <w:bCs/>
                <w:color w:val="000000"/>
                <w:sz w:val="20"/>
                <w:szCs w:val="20"/>
                <w:lang w:val="es-MX" w:eastAsia="es-MX"/>
              </w:rPr>
            </w:pPr>
            <w:r w:rsidRPr="00316581">
              <w:rPr>
                <w:b/>
                <w:bCs/>
                <w:color w:val="000000"/>
                <w:sz w:val="20"/>
                <w:szCs w:val="20"/>
                <w:lang w:val="es-MX" w:eastAsia="es-MX"/>
              </w:rPr>
              <w:t xml:space="preserve">  37,890.0 </w:t>
            </w:r>
          </w:p>
        </w:tc>
        <w:tc>
          <w:tcPr>
            <w:tcW w:w="1421" w:type="dxa"/>
            <w:tcBorders>
              <w:top w:val="nil"/>
              <w:left w:val="nil"/>
              <w:bottom w:val="single" w:sz="8" w:space="0" w:color="auto"/>
              <w:right w:val="single" w:sz="4" w:space="0" w:color="auto"/>
            </w:tcBorders>
            <w:shd w:val="clear" w:color="000000" w:fill="FFFFFF"/>
            <w:noWrap/>
            <w:vAlign w:val="bottom"/>
            <w:hideMark/>
          </w:tcPr>
          <w:p w:rsidR="00AD535C" w:rsidRPr="00316581" w:rsidRDefault="00AD535C" w:rsidP="00601968">
            <w:pPr>
              <w:jc w:val="right"/>
              <w:rPr>
                <w:b/>
                <w:bCs/>
                <w:color w:val="000000"/>
                <w:sz w:val="20"/>
                <w:szCs w:val="20"/>
                <w:lang w:val="es-MX" w:eastAsia="es-MX"/>
              </w:rPr>
            </w:pPr>
            <w:r w:rsidRPr="00316581">
              <w:rPr>
                <w:b/>
                <w:bCs/>
                <w:color w:val="000000"/>
                <w:sz w:val="20"/>
                <w:szCs w:val="20"/>
                <w:lang w:val="es-MX" w:eastAsia="es-MX"/>
              </w:rPr>
              <w:t xml:space="preserve">  41,296.2 </w:t>
            </w:r>
          </w:p>
        </w:tc>
        <w:tc>
          <w:tcPr>
            <w:tcW w:w="1272" w:type="dxa"/>
            <w:tcBorders>
              <w:top w:val="nil"/>
              <w:left w:val="nil"/>
              <w:bottom w:val="single" w:sz="8" w:space="0" w:color="auto"/>
              <w:right w:val="single" w:sz="4" w:space="0" w:color="auto"/>
            </w:tcBorders>
            <w:shd w:val="clear" w:color="000000" w:fill="FFFFFF"/>
            <w:noWrap/>
            <w:vAlign w:val="bottom"/>
            <w:hideMark/>
          </w:tcPr>
          <w:p w:rsidR="00AD535C" w:rsidRPr="00316581" w:rsidRDefault="00AD535C" w:rsidP="0025776C">
            <w:pPr>
              <w:jc w:val="right"/>
              <w:rPr>
                <w:b/>
                <w:bCs/>
                <w:color w:val="000000"/>
                <w:sz w:val="20"/>
                <w:szCs w:val="20"/>
                <w:lang w:val="es-MX" w:eastAsia="es-MX"/>
              </w:rPr>
            </w:pPr>
            <w:r w:rsidRPr="00316581">
              <w:rPr>
                <w:b/>
                <w:bCs/>
                <w:color w:val="000000"/>
                <w:sz w:val="20"/>
                <w:szCs w:val="20"/>
                <w:lang w:val="es-MX" w:eastAsia="es-MX"/>
              </w:rPr>
              <w:t>3,406.2</w:t>
            </w:r>
          </w:p>
        </w:tc>
        <w:tc>
          <w:tcPr>
            <w:tcW w:w="1204" w:type="dxa"/>
            <w:tcBorders>
              <w:top w:val="nil"/>
              <w:left w:val="single" w:sz="4" w:space="0" w:color="auto"/>
              <w:bottom w:val="single" w:sz="8" w:space="0" w:color="auto"/>
              <w:right w:val="single" w:sz="8" w:space="0" w:color="auto"/>
            </w:tcBorders>
            <w:shd w:val="clear" w:color="000000" w:fill="FFFFFF"/>
            <w:noWrap/>
            <w:vAlign w:val="bottom"/>
            <w:hideMark/>
          </w:tcPr>
          <w:p w:rsidR="00AD535C" w:rsidRPr="00316581" w:rsidRDefault="00AD535C" w:rsidP="0025776C">
            <w:pPr>
              <w:jc w:val="right"/>
              <w:rPr>
                <w:b/>
                <w:bCs/>
                <w:color w:val="000000"/>
                <w:sz w:val="20"/>
                <w:szCs w:val="20"/>
                <w:lang w:val="es-MX" w:eastAsia="es-MX"/>
              </w:rPr>
            </w:pPr>
            <w:r w:rsidRPr="00316581">
              <w:rPr>
                <w:b/>
                <w:bCs/>
                <w:color w:val="000000"/>
                <w:sz w:val="20"/>
                <w:szCs w:val="20"/>
                <w:lang w:val="es-MX" w:eastAsia="es-MX"/>
              </w:rPr>
              <w:t>9.0%</w:t>
            </w:r>
          </w:p>
        </w:tc>
      </w:tr>
    </w:tbl>
    <w:p w:rsidR="00AD535C" w:rsidRDefault="00AD535C" w:rsidP="00AD535C">
      <w:pPr>
        <w:rPr>
          <w:sz w:val="18"/>
          <w:lang w:val="es-MX"/>
        </w:rPr>
      </w:pPr>
      <w:r w:rsidRPr="004B1436">
        <w:rPr>
          <w:sz w:val="18"/>
          <w:lang w:val="es-MX"/>
        </w:rPr>
        <w:t>* Cifras preliminares</w:t>
      </w:r>
    </w:p>
    <w:p w:rsidR="00AD535C" w:rsidRPr="004B1436" w:rsidRDefault="00AD535C" w:rsidP="00AD535C">
      <w:pPr>
        <w:rPr>
          <w:sz w:val="18"/>
          <w:lang w:val="es-MX"/>
        </w:rPr>
      </w:pPr>
      <w:r>
        <w:rPr>
          <w:sz w:val="18"/>
          <w:lang w:val="es-MX"/>
        </w:rPr>
        <w:t xml:space="preserve">   </w:t>
      </w:r>
      <w:r w:rsidRPr="004B1436">
        <w:rPr>
          <w:sz w:val="18"/>
          <w:lang w:val="es-MX"/>
        </w:rPr>
        <w:t>Fuente: Ministerio de Finanzas Públicas con base al SICOIN.</w:t>
      </w:r>
    </w:p>
    <w:p w:rsidR="00AD535C" w:rsidRDefault="00AD535C" w:rsidP="00AD535C">
      <w:pPr>
        <w:rPr>
          <w:sz w:val="18"/>
          <w:lang w:val="es-MX"/>
        </w:rPr>
      </w:pPr>
    </w:p>
    <w:p w:rsidR="00D25BE2" w:rsidRPr="004B1436" w:rsidRDefault="00D25BE2" w:rsidP="00AD535C">
      <w:pPr>
        <w:rPr>
          <w:sz w:val="18"/>
          <w:lang w:val="es-MX"/>
        </w:rPr>
      </w:pPr>
    </w:p>
    <w:p w:rsidR="00AD535C" w:rsidRPr="00FB641E" w:rsidRDefault="00AD535C" w:rsidP="00F073BE">
      <w:pPr>
        <w:keepNext/>
        <w:keepLines/>
        <w:numPr>
          <w:ilvl w:val="2"/>
          <w:numId w:val="3"/>
        </w:numPr>
        <w:spacing w:before="200"/>
        <w:outlineLvl w:val="2"/>
        <w:rPr>
          <w:b/>
          <w:bCs/>
          <w:lang w:val="es-MX"/>
        </w:rPr>
      </w:pPr>
      <w:bookmarkStart w:id="15" w:name="_Toc51925247"/>
      <w:r w:rsidRPr="00FB641E">
        <w:rPr>
          <w:b/>
          <w:bCs/>
          <w:lang w:val="es-MX"/>
        </w:rPr>
        <w:t xml:space="preserve">Ejecución </w:t>
      </w:r>
      <w:r>
        <w:rPr>
          <w:b/>
          <w:bCs/>
          <w:lang w:val="es-MX"/>
        </w:rPr>
        <w:t>P</w:t>
      </w:r>
      <w:r w:rsidRPr="00FB641E">
        <w:rPr>
          <w:b/>
          <w:bCs/>
          <w:lang w:val="es-MX"/>
        </w:rPr>
        <w:t xml:space="preserve">resupuestaria </w:t>
      </w:r>
      <w:r>
        <w:rPr>
          <w:b/>
          <w:bCs/>
          <w:lang w:val="es-MX"/>
        </w:rPr>
        <w:t>I</w:t>
      </w:r>
      <w:r w:rsidRPr="00FB641E">
        <w:rPr>
          <w:b/>
          <w:bCs/>
          <w:lang w:val="es-MX"/>
        </w:rPr>
        <w:t>nstitucional</w:t>
      </w:r>
      <w:bookmarkEnd w:id="15"/>
    </w:p>
    <w:p w:rsidR="00AD535C" w:rsidRPr="00FB641E" w:rsidRDefault="00AD535C" w:rsidP="00AD535C">
      <w:pPr>
        <w:jc w:val="both"/>
        <w:rPr>
          <w:sz w:val="18"/>
          <w:lang w:val="es-MX"/>
        </w:rPr>
      </w:pPr>
    </w:p>
    <w:p w:rsidR="00AD535C" w:rsidRDefault="00AD535C" w:rsidP="00AD535C">
      <w:pPr>
        <w:jc w:val="both"/>
        <w:rPr>
          <w:lang w:val="es-MX"/>
        </w:rPr>
      </w:pPr>
      <w:r>
        <w:rPr>
          <w:lang w:val="es-MX"/>
        </w:rPr>
        <w:t>Al 30 de junio de 2020, según la estructura del gasto, el 67.8% del total se concentra en 3 entidades: Obligaciones del Estado a Cargo del Tesoro, Ministerio de Educación y Servicio de la Deuda Pública</w:t>
      </w:r>
      <w:r w:rsidR="000E5EFC">
        <w:rPr>
          <w:lang w:val="es-MX"/>
        </w:rPr>
        <w:t>;</w:t>
      </w:r>
      <w:r>
        <w:rPr>
          <w:lang w:val="es-MX"/>
        </w:rPr>
        <w:t xml:space="preserve"> en tanto que para 2019 fue de 70.0%</w:t>
      </w:r>
      <w:r w:rsidR="000E5EFC">
        <w:rPr>
          <w:lang w:val="es-MX"/>
        </w:rPr>
        <w:t>.  E</w:t>
      </w:r>
      <w:r>
        <w:rPr>
          <w:lang w:val="es-MX"/>
        </w:rPr>
        <w:t xml:space="preserve">l 23.8% del total de la ejecución de 2020 se concentró en los </w:t>
      </w:r>
      <w:r w:rsidR="000E5EFC">
        <w:rPr>
          <w:lang w:val="es-MX"/>
        </w:rPr>
        <w:t>M</w:t>
      </w:r>
      <w:r>
        <w:rPr>
          <w:lang w:val="es-MX"/>
        </w:rPr>
        <w:t xml:space="preserve">inisterios de Salud, </w:t>
      </w:r>
      <w:r w:rsidR="000E5EFC">
        <w:rPr>
          <w:lang w:val="es-MX"/>
        </w:rPr>
        <w:t xml:space="preserve">de </w:t>
      </w:r>
      <w:r>
        <w:rPr>
          <w:lang w:val="es-MX"/>
        </w:rPr>
        <w:t xml:space="preserve">Gobernación, </w:t>
      </w:r>
      <w:r w:rsidR="000E5EFC">
        <w:rPr>
          <w:lang w:val="es-MX"/>
        </w:rPr>
        <w:t xml:space="preserve">de </w:t>
      </w:r>
      <w:r>
        <w:rPr>
          <w:lang w:val="es-MX"/>
        </w:rPr>
        <w:t xml:space="preserve">Comunicaciones y de Desarrollo Social como resultado de su importante papel en los momentos de crisis </w:t>
      </w:r>
      <w:r>
        <w:rPr>
          <w:lang w:val="es-MX"/>
        </w:rPr>
        <w:lastRenderedPageBreak/>
        <w:t>provocados por la pandemia</w:t>
      </w:r>
      <w:r w:rsidR="000E5EFC">
        <w:rPr>
          <w:lang w:val="es-MX"/>
        </w:rPr>
        <w:t xml:space="preserve"> del Covid-19</w:t>
      </w:r>
      <w:r>
        <w:rPr>
          <w:lang w:val="es-MX"/>
        </w:rPr>
        <w:t>, ya que en 2019 tuvo una participación en la ejecución del 1.1% y para 2020 del 5.0%. Las 12 entidades restantes tuvieron una participación del 8.9% para 2019 y del 8.4% para 2020</w:t>
      </w:r>
      <w:r w:rsidR="000E5EFC">
        <w:rPr>
          <w:lang w:val="es-MX"/>
        </w:rPr>
        <w:t>;</w:t>
      </w:r>
      <w:r>
        <w:rPr>
          <w:lang w:val="es-MX"/>
        </w:rPr>
        <w:t xml:space="preserve"> en ambos casos liderados por el Ministerio de la Defensa </w:t>
      </w:r>
      <w:r w:rsidR="000E5EFC">
        <w:rPr>
          <w:lang w:val="es-MX"/>
        </w:rPr>
        <w:t xml:space="preserve">Nacional </w:t>
      </w:r>
      <w:r>
        <w:rPr>
          <w:lang w:val="es-MX"/>
        </w:rPr>
        <w:t>con una participación por arriba del 2.0%.</w:t>
      </w:r>
    </w:p>
    <w:p w:rsidR="00AD535C" w:rsidRDefault="00AD535C" w:rsidP="00AD535C">
      <w:pPr>
        <w:jc w:val="both"/>
        <w:rPr>
          <w:lang w:val="es-MX"/>
        </w:rPr>
      </w:pPr>
    </w:p>
    <w:p w:rsidR="00AD535C" w:rsidRPr="00FB641E" w:rsidRDefault="00AD535C" w:rsidP="00AD535C">
      <w:pPr>
        <w:jc w:val="both"/>
        <w:rPr>
          <w:lang w:val="es-MX"/>
        </w:rPr>
      </w:pPr>
      <w:r>
        <w:rPr>
          <w:lang w:val="es-MX"/>
        </w:rPr>
        <w:t>Por su parte la entidad Obligaciones del Estado a Cargo del Tesoro tuvo una ejecución de alrededor del 33.0% en ambos años</w:t>
      </w:r>
      <w:r w:rsidR="00CC1865">
        <w:rPr>
          <w:lang w:val="es-MX"/>
        </w:rPr>
        <w:t>;</w:t>
      </w:r>
      <w:r>
        <w:rPr>
          <w:lang w:val="es-MX"/>
        </w:rPr>
        <w:t xml:space="preserve"> en esta entidad se ejecutan los</w:t>
      </w:r>
      <w:r w:rsidRPr="00FB641E">
        <w:rPr>
          <w:lang w:val="es-MX"/>
        </w:rPr>
        <w:t xml:space="preserve"> compromisos de </w:t>
      </w:r>
      <w:r>
        <w:rPr>
          <w:lang w:val="es-MX"/>
        </w:rPr>
        <w:t xml:space="preserve">los </w:t>
      </w:r>
      <w:r w:rsidRPr="00FB641E">
        <w:rPr>
          <w:lang w:val="es-MX"/>
        </w:rPr>
        <w:t>aportes constitucionales</w:t>
      </w:r>
      <w:r>
        <w:rPr>
          <w:lang w:val="es-MX"/>
        </w:rPr>
        <w:t>, en los que resaltan las transferencias a favor de</w:t>
      </w:r>
      <w:r w:rsidRPr="00FB641E">
        <w:rPr>
          <w:lang w:val="es-MX"/>
        </w:rPr>
        <w:t xml:space="preserve"> las 340 </w:t>
      </w:r>
      <w:r>
        <w:rPr>
          <w:lang w:val="es-MX"/>
        </w:rPr>
        <w:t>M</w:t>
      </w:r>
      <w:r w:rsidRPr="00FB641E">
        <w:rPr>
          <w:lang w:val="es-MX"/>
        </w:rPr>
        <w:t xml:space="preserve">unicipalidades del país, </w:t>
      </w:r>
      <w:r>
        <w:rPr>
          <w:lang w:val="es-MX"/>
        </w:rPr>
        <w:t xml:space="preserve">los </w:t>
      </w:r>
      <w:r w:rsidRPr="00FB641E">
        <w:rPr>
          <w:lang w:val="es-MX"/>
        </w:rPr>
        <w:t xml:space="preserve">Consejos Departamentales de Desarrollo, </w:t>
      </w:r>
      <w:r>
        <w:rPr>
          <w:lang w:val="es-MX"/>
        </w:rPr>
        <w:t xml:space="preserve">transferencias </w:t>
      </w:r>
      <w:r w:rsidR="00CC1865">
        <w:rPr>
          <w:lang w:val="es-MX"/>
        </w:rPr>
        <w:t xml:space="preserve">a </w:t>
      </w:r>
      <w:r>
        <w:rPr>
          <w:lang w:val="es-MX"/>
        </w:rPr>
        <w:t xml:space="preserve">la </w:t>
      </w:r>
      <w:r w:rsidRPr="00FB641E">
        <w:rPr>
          <w:lang w:val="es-MX"/>
        </w:rPr>
        <w:t>Universidad de San Carlos de Guatemala, Organismo Judicial, Ministerio Público, Congreso de la República, Contraloría General de Cuentas, Corte de Constitucionalidad, entre otros.</w:t>
      </w:r>
    </w:p>
    <w:p w:rsidR="00AD535C" w:rsidRDefault="00AD535C" w:rsidP="00AD535C">
      <w:pPr>
        <w:jc w:val="both"/>
        <w:rPr>
          <w:sz w:val="18"/>
          <w:lang w:val="es-MX"/>
        </w:rPr>
      </w:pPr>
    </w:p>
    <w:p w:rsidR="0025776C" w:rsidRDefault="0025776C" w:rsidP="00AD535C">
      <w:pPr>
        <w:jc w:val="both"/>
        <w:rPr>
          <w:sz w:val="18"/>
          <w:lang w:val="es-MX"/>
        </w:rPr>
      </w:pPr>
    </w:p>
    <w:p w:rsidR="00D25BE2" w:rsidRPr="00FB641E" w:rsidRDefault="00D25BE2" w:rsidP="00AD535C">
      <w:pPr>
        <w:jc w:val="both"/>
        <w:rPr>
          <w:sz w:val="18"/>
          <w:lang w:val="es-MX"/>
        </w:rPr>
      </w:pPr>
    </w:p>
    <w:p w:rsidR="00AD535C" w:rsidRPr="00451BC5" w:rsidRDefault="00AD535C" w:rsidP="00AD535C">
      <w:pPr>
        <w:jc w:val="center"/>
        <w:rPr>
          <w:b/>
          <w:szCs w:val="22"/>
          <w:lang w:val="es-MX"/>
        </w:rPr>
      </w:pPr>
      <w:r w:rsidRPr="00451BC5">
        <w:rPr>
          <w:b/>
          <w:szCs w:val="22"/>
          <w:lang w:val="es-MX"/>
        </w:rPr>
        <w:t>Gráfica 11</w:t>
      </w:r>
    </w:p>
    <w:p w:rsidR="00AD535C" w:rsidRPr="00451BC5" w:rsidRDefault="00AD535C" w:rsidP="00AD535C">
      <w:pPr>
        <w:jc w:val="center"/>
        <w:rPr>
          <w:b/>
          <w:szCs w:val="22"/>
          <w:lang w:val="es-MX"/>
        </w:rPr>
      </w:pPr>
      <w:r w:rsidRPr="00451BC5">
        <w:rPr>
          <w:b/>
          <w:szCs w:val="22"/>
          <w:lang w:val="es-MX"/>
        </w:rPr>
        <w:t>Ejecución Presupuestaria por Grupo de Entidades</w:t>
      </w:r>
    </w:p>
    <w:p w:rsidR="00AD535C" w:rsidRPr="00451BC5" w:rsidRDefault="00AD535C" w:rsidP="00AD535C">
      <w:pPr>
        <w:jc w:val="center"/>
        <w:rPr>
          <w:b/>
          <w:szCs w:val="22"/>
          <w:lang w:val="es-MX"/>
        </w:rPr>
      </w:pPr>
      <w:r w:rsidRPr="00451BC5">
        <w:rPr>
          <w:b/>
          <w:szCs w:val="22"/>
          <w:lang w:val="es-MX"/>
        </w:rPr>
        <w:t>Comparativo al 30 de junio de 2019 y 2020*</w:t>
      </w:r>
    </w:p>
    <w:p w:rsidR="00AD535C" w:rsidRPr="00451BC5" w:rsidRDefault="00AD535C" w:rsidP="00AD535C">
      <w:pPr>
        <w:jc w:val="center"/>
        <w:rPr>
          <w:b/>
          <w:szCs w:val="22"/>
          <w:lang w:val="es-MX"/>
        </w:rPr>
      </w:pPr>
      <w:r w:rsidRPr="00451BC5">
        <w:rPr>
          <w:b/>
          <w:szCs w:val="22"/>
          <w:lang w:val="es-MX"/>
        </w:rPr>
        <w:t>(Porcentajes de Ejecución)</w:t>
      </w:r>
    </w:p>
    <w:p w:rsidR="00AD535C" w:rsidRDefault="00AD535C" w:rsidP="00AD535C">
      <w:pPr>
        <w:jc w:val="center"/>
        <w:rPr>
          <w:i/>
          <w:sz w:val="22"/>
          <w:lang w:val="es-MX"/>
        </w:rPr>
      </w:pPr>
      <w:r>
        <w:rPr>
          <w:noProof/>
          <w:lang w:val="es-GT" w:eastAsia="es-GT"/>
        </w:rPr>
        <w:drawing>
          <wp:inline distT="0" distB="0" distL="0" distR="0" wp14:anchorId="03E8C626" wp14:editId="140647F8">
            <wp:extent cx="2497540" cy="1685499"/>
            <wp:effectExtent l="0" t="0" r="0" b="0"/>
            <wp:docPr id="1" name="Gráfico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B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noProof/>
          <w:lang w:val="es-GT" w:eastAsia="es-GT"/>
        </w:rPr>
        <w:t xml:space="preserve">    </w:t>
      </w:r>
      <w:r>
        <w:rPr>
          <w:noProof/>
          <w:lang w:val="es-GT" w:eastAsia="es-GT"/>
        </w:rPr>
        <w:drawing>
          <wp:inline distT="0" distB="0" distL="0" distR="0" wp14:anchorId="5003B65B" wp14:editId="3977A2EA">
            <wp:extent cx="2947917" cy="1869743"/>
            <wp:effectExtent l="0" t="0" r="0" b="0"/>
            <wp:docPr id="2" name="Gráfico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B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D535C" w:rsidRDefault="00AD535C" w:rsidP="00AD535C">
      <w:pPr>
        <w:rPr>
          <w:i/>
          <w:sz w:val="22"/>
          <w:lang w:val="es-MX"/>
        </w:rPr>
      </w:pPr>
    </w:p>
    <w:p w:rsidR="00AD535C" w:rsidRDefault="00AD535C" w:rsidP="00AD535C">
      <w:pPr>
        <w:ind w:left="142"/>
        <w:rPr>
          <w:sz w:val="18"/>
          <w:lang w:val="es-MX"/>
        </w:rPr>
      </w:pPr>
      <w:r w:rsidRPr="004B1436">
        <w:rPr>
          <w:sz w:val="18"/>
          <w:lang w:val="es-MX"/>
        </w:rPr>
        <w:t>* Cifras preliminares</w:t>
      </w:r>
    </w:p>
    <w:p w:rsidR="00AD535C" w:rsidRPr="004B1436" w:rsidRDefault="00AD535C" w:rsidP="00AD535C">
      <w:pPr>
        <w:rPr>
          <w:sz w:val="20"/>
          <w:lang w:val="es-MX"/>
        </w:rPr>
      </w:pPr>
      <w:r w:rsidRPr="004B1436">
        <w:rPr>
          <w:i/>
          <w:sz w:val="28"/>
          <w:lang w:val="es-MX"/>
        </w:rPr>
        <w:t xml:space="preserve"> </w:t>
      </w:r>
      <w:r>
        <w:rPr>
          <w:i/>
          <w:sz w:val="28"/>
          <w:lang w:val="es-MX"/>
        </w:rPr>
        <w:t xml:space="preserve">  </w:t>
      </w:r>
      <w:r w:rsidRPr="004B1436">
        <w:rPr>
          <w:i/>
          <w:sz w:val="28"/>
          <w:lang w:val="es-MX"/>
        </w:rPr>
        <w:t xml:space="preserve"> </w:t>
      </w:r>
      <w:r w:rsidRPr="004B1436">
        <w:rPr>
          <w:sz w:val="18"/>
          <w:lang w:val="es-MX"/>
        </w:rPr>
        <w:t>Fuente: Ministerio de Finanzas Públicas con base al SICOIN.</w:t>
      </w:r>
    </w:p>
    <w:p w:rsidR="0025776C" w:rsidRDefault="0025776C" w:rsidP="00AD535C">
      <w:pPr>
        <w:jc w:val="center"/>
        <w:rPr>
          <w:b/>
          <w:sz w:val="22"/>
          <w:szCs w:val="22"/>
          <w:lang w:val="es-MX"/>
        </w:rPr>
      </w:pPr>
    </w:p>
    <w:p w:rsidR="0025776C" w:rsidRDefault="0025776C" w:rsidP="00AD535C">
      <w:pPr>
        <w:jc w:val="center"/>
        <w:rPr>
          <w:b/>
          <w:sz w:val="22"/>
          <w:szCs w:val="22"/>
          <w:lang w:val="es-MX"/>
        </w:rPr>
      </w:pPr>
    </w:p>
    <w:p w:rsidR="0025776C" w:rsidRDefault="0025776C" w:rsidP="0025776C">
      <w:pPr>
        <w:jc w:val="both"/>
        <w:rPr>
          <w:lang w:val="es-MX"/>
        </w:rPr>
      </w:pPr>
      <w:r>
        <w:rPr>
          <w:lang w:val="es-MX"/>
        </w:rPr>
        <w:t>Al comparar la ejecución presupuestaria por entidad d</w:t>
      </w:r>
      <w:r w:rsidRPr="003E1D05">
        <w:rPr>
          <w:lang w:val="es-MX"/>
        </w:rPr>
        <w:t>urante el primer semestre de 20</w:t>
      </w:r>
      <w:r>
        <w:rPr>
          <w:lang w:val="es-MX"/>
        </w:rPr>
        <w:t>20 con la de 2019</w:t>
      </w:r>
      <w:r w:rsidRPr="003E1D05">
        <w:rPr>
          <w:lang w:val="es-MX"/>
        </w:rPr>
        <w:t>, la</w:t>
      </w:r>
      <w:r w:rsidRPr="003E1D05">
        <w:rPr>
          <w:b/>
          <w:lang w:val="es-MX"/>
        </w:rPr>
        <w:t xml:space="preserve"> </w:t>
      </w:r>
      <w:r w:rsidRPr="003E1D05">
        <w:rPr>
          <w:lang w:val="es-MX"/>
        </w:rPr>
        <w:t xml:space="preserve">ejecución </w:t>
      </w:r>
      <w:r>
        <w:rPr>
          <w:lang w:val="es-MX"/>
        </w:rPr>
        <w:t xml:space="preserve">experimentó un </w:t>
      </w:r>
      <w:r w:rsidRPr="003E1D05">
        <w:rPr>
          <w:lang w:val="es-MX"/>
        </w:rPr>
        <w:t>aument</w:t>
      </w:r>
      <w:r>
        <w:rPr>
          <w:lang w:val="es-MX"/>
        </w:rPr>
        <w:t xml:space="preserve">o neto de </w:t>
      </w:r>
      <w:r w:rsidRPr="003E1D05">
        <w:rPr>
          <w:lang w:val="es-MX"/>
        </w:rPr>
        <w:t>Q</w:t>
      </w:r>
      <w:r>
        <w:rPr>
          <w:lang w:val="es-MX"/>
        </w:rPr>
        <w:t xml:space="preserve">.3,406.2 </w:t>
      </w:r>
      <w:r w:rsidRPr="003E1D05">
        <w:rPr>
          <w:lang w:val="es-MX"/>
        </w:rPr>
        <w:t xml:space="preserve">millones, </w:t>
      </w:r>
      <w:r>
        <w:rPr>
          <w:lang w:val="es-MX"/>
        </w:rPr>
        <w:t xml:space="preserve">de </w:t>
      </w:r>
      <w:r w:rsidRPr="003E1D05">
        <w:rPr>
          <w:lang w:val="es-MX"/>
        </w:rPr>
        <w:t>los cuales</w:t>
      </w:r>
      <w:r>
        <w:rPr>
          <w:lang w:val="es-MX"/>
        </w:rPr>
        <w:t xml:space="preserve">, los montos más voluminosos se observan en: las Obligaciones del Estado a cargo del Tesoro con Q.832.5 millones; el Ministerio de Desarrollo Social con Q.1,671.4 millones; el Ministerio de Economía con Q.438.0 millones; los Servicios de la Deuda </w:t>
      </w:r>
      <w:r w:rsidR="00D25BE2">
        <w:rPr>
          <w:lang w:val="es-MX"/>
        </w:rPr>
        <w:t xml:space="preserve">Pública </w:t>
      </w:r>
      <w:r>
        <w:rPr>
          <w:lang w:val="es-MX"/>
        </w:rPr>
        <w:t>con Q.</w:t>
      </w:r>
      <w:r w:rsidR="00D25BE2">
        <w:rPr>
          <w:lang w:val="es-MX"/>
        </w:rPr>
        <w:t>309.7</w:t>
      </w:r>
      <w:r>
        <w:rPr>
          <w:lang w:val="es-MX"/>
        </w:rPr>
        <w:t xml:space="preserve"> millones y finalmente el Ministerio de </w:t>
      </w:r>
      <w:r w:rsidR="00D25BE2">
        <w:rPr>
          <w:lang w:val="es-MX"/>
        </w:rPr>
        <w:t>Educación</w:t>
      </w:r>
      <w:r>
        <w:rPr>
          <w:lang w:val="es-MX"/>
        </w:rPr>
        <w:t xml:space="preserve"> con Q.</w:t>
      </w:r>
      <w:r w:rsidR="00D25BE2">
        <w:rPr>
          <w:lang w:val="es-MX"/>
        </w:rPr>
        <w:t>317.7</w:t>
      </w:r>
      <w:r>
        <w:rPr>
          <w:lang w:val="es-MX"/>
        </w:rPr>
        <w:t xml:space="preserve"> millones, entre otros con montos menores.</w:t>
      </w:r>
    </w:p>
    <w:p w:rsidR="00D25BE2" w:rsidRDefault="00D25BE2" w:rsidP="0025776C">
      <w:pPr>
        <w:jc w:val="both"/>
        <w:rPr>
          <w:lang w:val="es-MX"/>
        </w:rPr>
      </w:pPr>
    </w:p>
    <w:p w:rsidR="00D25BE2" w:rsidRDefault="00D25BE2" w:rsidP="0025776C">
      <w:pPr>
        <w:jc w:val="both"/>
        <w:rPr>
          <w:lang w:val="es-MX"/>
        </w:rPr>
      </w:pPr>
    </w:p>
    <w:p w:rsidR="00D25BE2" w:rsidRDefault="00D25BE2" w:rsidP="0025776C">
      <w:pPr>
        <w:jc w:val="both"/>
        <w:rPr>
          <w:lang w:val="es-MX"/>
        </w:rPr>
      </w:pPr>
    </w:p>
    <w:p w:rsidR="00D25BE2" w:rsidRDefault="00D25BE2" w:rsidP="0025776C">
      <w:pPr>
        <w:jc w:val="both"/>
        <w:rPr>
          <w:lang w:val="es-MX"/>
        </w:rPr>
      </w:pPr>
    </w:p>
    <w:p w:rsidR="00D25BE2" w:rsidRDefault="00D25BE2" w:rsidP="0025776C">
      <w:pPr>
        <w:jc w:val="both"/>
        <w:rPr>
          <w:lang w:val="es-MX"/>
        </w:rPr>
      </w:pPr>
    </w:p>
    <w:p w:rsidR="00D25BE2" w:rsidRDefault="00D25BE2" w:rsidP="0025776C">
      <w:pPr>
        <w:jc w:val="both"/>
        <w:rPr>
          <w:lang w:val="es-MX"/>
        </w:rPr>
      </w:pPr>
    </w:p>
    <w:p w:rsidR="00D25BE2" w:rsidRDefault="00D25BE2" w:rsidP="0025776C">
      <w:pPr>
        <w:jc w:val="both"/>
        <w:rPr>
          <w:lang w:val="es-MX"/>
        </w:rPr>
      </w:pPr>
    </w:p>
    <w:p w:rsidR="00D25BE2" w:rsidRDefault="00D25BE2" w:rsidP="0025776C">
      <w:pPr>
        <w:jc w:val="both"/>
        <w:rPr>
          <w:lang w:val="es-MX"/>
        </w:rPr>
      </w:pPr>
    </w:p>
    <w:p w:rsidR="00D25BE2" w:rsidRDefault="00D25BE2" w:rsidP="0025776C">
      <w:pPr>
        <w:jc w:val="both"/>
        <w:rPr>
          <w:lang w:val="es-MX"/>
        </w:rPr>
      </w:pPr>
    </w:p>
    <w:p w:rsidR="00D25BE2" w:rsidRDefault="00D25BE2" w:rsidP="0025776C">
      <w:pPr>
        <w:jc w:val="both"/>
        <w:rPr>
          <w:lang w:val="es-MX"/>
        </w:rPr>
      </w:pPr>
    </w:p>
    <w:p w:rsidR="00AD535C" w:rsidRPr="00451BC5" w:rsidRDefault="00AD535C" w:rsidP="00AD535C">
      <w:pPr>
        <w:jc w:val="center"/>
        <w:rPr>
          <w:b/>
          <w:szCs w:val="22"/>
          <w:lang w:val="es-MX"/>
        </w:rPr>
      </w:pPr>
      <w:r w:rsidRPr="00451BC5">
        <w:rPr>
          <w:b/>
          <w:szCs w:val="22"/>
          <w:lang w:val="es-MX"/>
        </w:rPr>
        <w:t>Cuadro 5</w:t>
      </w:r>
    </w:p>
    <w:p w:rsidR="00AD535C" w:rsidRPr="00451BC5" w:rsidRDefault="00AD535C" w:rsidP="00AD535C">
      <w:pPr>
        <w:jc w:val="center"/>
        <w:rPr>
          <w:b/>
          <w:szCs w:val="22"/>
          <w:lang w:val="es-MX"/>
        </w:rPr>
      </w:pPr>
      <w:r w:rsidRPr="00451BC5">
        <w:rPr>
          <w:b/>
          <w:szCs w:val="22"/>
          <w:lang w:val="es-MX"/>
        </w:rPr>
        <w:t>Ejecución Presupuestaria por Entidad</w:t>
      </w:r>
    </w:p>
    <w:p w:rsidR="00AD535C" w:rsidRPr="00451BC5" w:rsidRDefault="00AD535C" w:rsidP="00AD535C">
      <w:pPr>
        <w:jc w:val="center"/>
        <w:rPr>
          <w:b/>
          <w:szCs w:val="22"/>
          <w:lang w:val="es-MX"/>
        </w:rPr>
      </w:pPr>
      <w:r w:rsidRPr="00451BC5">
        <w:rPr>
          <w:b/>
          <w:szCs w:val="22"/>
          <w:lang w:val="es-MX"/>
        </w:rPr>
        <w:t>Al 30 de junio de 201</w:t>
      </w:r>
      <w:r w:rsidR="00E42DBC" w:rsidRPr="00451BC5">
        <w:rPr>
          <w:b/>
          <w:szCs w:val="22"/>
          <w:lang w:val="es-MX"/>
        </w:rPr>
        <w:t>9</w:t>
      </w:r>
      <w:r w:rsidRPr="00451BC5">
        <w:rPr>
          <w:b/>
          <w:szCs w:val="22"/>
          <w:lang w:val="es-MX"/>
        </w:rPr>
        <w:t xml:space="preserve"> </w:t>
      </w:r>
      <w:r w:rsidR="000510F7">
        <w:rPr>
          <w:b/>
          <w:szCs w:val="22"/>
          <w:lang w:val="es-MX"/>
        </w:rPr>
        <w:t>-</w:t>
      </w:r>
      <w:r w:rsidRPr="00451BC5">
        <w:rPr>
          <w:b/>
          <w:szCs w:val="22"/>
          <w:lang w:val="es-MX"/>
        </w:rPr>
        <w:t xml:space="preserve"> 2020</w:t>
      </w:r>
      <w:r w:rsidR="000510F7">
        <w:rPr>
          <w:b/>
          <w:szCs w:val="22"/>
          <w:lang w:val="es-MX"/>
        </w:rPr>
        <w:t>*</w:t>
      </w:r>
    </w:p>
    <w:p w:rsidR="00AD535C" w:rsidRPr="00451BC5" w:rsidRDefault="00AD535C" w:rsidP="00E42DBC">
      <w:pPr>
        <w:jc w:val="center"/>
        <w:rPr>
          <w:sz w:val="20"/>
          <w:lang w:val="es-MX"/>
        </w:rPr>
      </w:pPr>
      <w:r w:rsidRPr="00451BC5">
        <w:rPr>
          <w:b/>
          <w:szCs w:val="22"/>
          <w:lang w:val="es-MX"/>
        </w:rPr>
        <w:t>(Cifras en Millones de Quetzales)</w:t>
      </w:r>
    </w:p>
    <w:tbl>
      <w:tblPr>
        <w:tblW w:w="9284" w:type="dxa"/>
        <w:tblLayout w:type="fixed"/>
        <w:tblCellMar>
          <w:left w:w="70" w:type="dxa"/>
          <w:right w:w="70" w:type="dxa"/>
        </w:tblCellMar>
        <w:tblLook w:val="04A0" w:firstRow="1" w:lastRow="0" w:firstColumn="1" w:lastColumn="0" w:noHBand="0" w:noVBand="1"/>
      </w:tblPr>
      <w:tblGrid>
        <w:gridCol w:w="1860"/>
        <w:gridCol w:w="1000"/>
        <w:gridCol w:w="1000"/>
        <w:gridCol w:w="1030"/>
        <w:gridCol w:w="992"/>
        <w:gridCol w:w="851"/>
        <w:gridCol w:w="850"/>
        <w:gridCol w:w="851"/>
        <w:gridCol w:w="850"/>
      </w:tblGrid>
      <w:tr w:rsidR="00AD535C" w:rsidRPr="000D01D0" w:rsidTr="00451BC5">
        <w:trPr>
          <w:trHeight w:val="645"/>
        </w:trPr>
        <w:tc>
          <w:tcPr>
            <w:tcW w:w="1860" w:type="dxa"/>
            <w:vMerge w:val="restart"/>
            <w:tcBorders>
              <w:top w:val="single" w:sz="8" w:space="0" w:color="auto"/>
              <w:left w:val="single" w:sz="8" w:space="0" w:color="auto"/>
              <w:bottom w:val="single" w:sz="4" w:space="0" w:color="000000"/>
              <w:right w:val="nil"/>
            </w:tcBorders>
            <w:shd w:val="clear" w:color="000000" w:fill="8DB4E2"/>
            <w:vAlign w:val="center"/>
            <w:hideMark/>
          </w:tcPr>
          <w:p w:rsidR="00AD535C" w:rsidRPr="00451BC5" w:rsidRDefault="00AD535C" w:rsidP="0025776C">
            <w:pPr>
              <w:jc w:val="center"/>
              <w:rPr>
                <w:b/>
                <w:bCs/>
                <w:color w:val="000000"/>
                <w:sz w:val="20"/>
                <w:szCs w:val="18"/>
                <w:lang w:val="es-MX" w:eastAsia="es-MX"/>
              </w:rPr>
            </w:pPr>
            <w:r w:rsidRPr="00451BC5">
              <w:rPr>
                <w:b/>
                <w:bCs/>
                <w:color w:val="000000"/>
                <w:sz w:val="20"/>
                <w:szCs w:val="18"/>
                <w:lang w:val="es-MX" w:eastAsia="es-MX"/>
              </w:rPr>
              <w:t>Devengado por Entidad</w:t>
            </w:r>
          </w:p>
        </w:tc>
        <w:tc>
          <w:tcPr>
            <w:tcW w:w="1000"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451BC5" w:rsidRDefault="00AD535C" w:rsidP="0025776C">
            <w:pPr>
              <w:jc w:val="center"/>
              <w:rPr>
                <w:b/>
                <w:bCs/>
                <w:color w:val="000000"/>
                <w:sz w:val="20"/>
                <w:szCs w:val="18"/>
                <w:lang w:val="es-MX" w:eastAsia="es-MX"/>
              </w:rPr>
            </w:pPr>
            <w:r w:rsidRPr="00451BC5">
              <w:rPr>
                <w:b/>
                <w:bCs/>
                <w:color w:val="000000"/>
                <w:sz w:val="20"/>
                <w:szCs w:val="18"/>
                <w:lang w:val="es-MX" w:eastAsia="es-MX"/>
              </w:rPr>
              <w:t>2019</w:t>
            </w:r>
          </w:p>
        </w:tc>
        <w:tc>
          <w:tcPr>
            <w:tcW w:w="1000"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451BC5" w:rsidRDefault="00AD535C" w:rsidP="0025776C">
            <w:pPr>
              <w:jc w:val="center"/>
              <w:rPr>
                <w:b/>
                <w:bCs/>
                <w:color w:val="000000"/>
                <w:sz w:val="20"/>
                <w:szCs w:val="18"/>
                <w:lang w:val="es-MX" w:eastAsia="es-MX"/>
              </w:rPr>
            </w:pPr>
            <w:r w:rsidRPr="00451BC5">
              <w:rPr>
                <w:b/>
                <w:bCs/>
                <w:color w:val="000000"/>
                <w:sz w:val="20"/>
                <w:szCs w:val="18"/>
                <w:lang w:val="es-MX" w:eastAsia="es-MX"/>
              </w:rPr>
              <w:t>2020</w:t>
            </w:r>
          </w:p>
        </w:tc>
        <w:tc>
          <w:tcPr>
            <w:tcW w:w="2022" w:type="dxa"/>
            <w:gridSpan w:val="2"/>
            <w:tcBorders>
              <w:top w:val="single" w:sz="8" w:space="0" w:color="auto"/>
              <w:left w:val="single" w:sz="4" w:space="0" w:color="auto"/>
              <w:bottom w:val="single" w:sz="4" w:space="0" w:color="auto"/>
              <w:right w:val="single" w:sz="8" w:space="0" w:color="000000"/>
            </w:tcBorders>
            <w:shd w:val="clear" w:color="000000" w:fill="8DB4E2"/>
            <w:noWrap/>
            <w:vAlign w:val="center"/>
            <w:hideMark/>
          </w:tcPr>
          <w:p w:rsidR="00AD535C" w:rsidRPr="00451BC5" w:rsidRDefault="00AD535C" w:rsidP="0025776C">
            <w:pPr>
              <w:jc w:val="center"/>
              <w:rPr>
                <w:b/>
                <w:bCs/>
                <w:color w:val="000000"/>
                <w:sz w:val="20"/>
                <w:szCs w:val="18"/>
                <w:lang w:val="es-MX" w:eastAsia="es-MX"/>
              </w:rPr>
            </w:pPr>
            <w:r w:rsidRPr="00451BC5">
              <w:rPr>
                <w:b/>
                <w:bCs/>
                <w:color w:val="000000"/>
                <w:sz w:val="20"/>
                <w:szCs w:val="18"/>
                <w:lang w:val="es-MX" w:eastAsia="es-MX"/>
              </w:rPr>
              <w:t>Diferencias</w:t>
            </w:r>
          </w:p>
        </w:tc>
        <w:tc>
          <w:tcPr>
            <w:tcW w:w="1701" w:type="dxa"/>
            <w:gridSpan w:val="2"/>
            <w:tcBorders>
              <w:top w:val="single" w:sz="8" w:space="0" w:color="auto"/>
              <w:left w:val="nil"/>
              <w:bottom w:val="single" w:sz="4" w:space="0" w:color="auto"/>
              <w:right w:val="single" w:sz="8" w:space="0" w:color="000000"/>
            </w:tcBorders>
            <w:shd w:val="clear" w:color="000000" w:fill="8DB4E2"/>
            <w:vAlign w:val="center"/>
            <w:hideMark/>
          </w:tcPr>
          <w:p w:rsidR="00AD535C" w:rsidRPr="00451BC5" w:rsidRDefault="00AD535C" w:rsidP="0025776C">
            <w:pPr>
              <w:jc w:val="center"/>
              <w:rPr>
                <w:b/>
                <w:bCs/>
                <w:color w:val="000000"/>
                <w:sz w:val="20"/>
                <w:szCs w:val="18"/>
                <w:lang w:val="es-MX" w:eastAsia="es-MX"/>
              </w:rPr>
            </w:pPr>
            <w:r w:rsidRPr="00451BC5">
              <w:rPr>
                <w:b/>
                <w:bCs/>
                <w:color w:val="000000"/>
                <w:sz w:val="20"/>
                <w:szCs w:val="18"/>
                <w:lang w:val="es-MX" w:eastAsia="es-MX"/>
              </w:rPr>
              <w:t>Estructura Porcentual</w:t>
            </w:r>
          </w:p>
        </w:tc>
        <w:tc>
          <w:tcPr>
            <w:tcW w:w="1701" w:type="dxa"/>
            <w:gridSpan w:val="2"/>
            <w:tcBorders>
              <w:top w:val="single" w:sz="8" w:space="0" w:color="auto"/>
              <w:left w:val="nil"/>
              <w:bottom w:val="single" w:sz="4" w:space="0" w:color="auto"/>
              <w:right w:val="single" w:sz="8" w:space="0" w:color="000000"/>
            </w:tcBorders>
            <w:shd w:val="clear" w:color="000000" w:fill="8DB4E2"/>
            <w:vAlign w:val="center"/>
            <w:hideMark/>
          </w:tcPr>
          <w:p w:rsidR="00AD535C" w:rsidRPr="00451BC5" w:rsidRDefault="00AD535C" w:rsidP="004400C6">
            <w:pPr>
              <w:jc w:val="center"/>
              <w:rPr>
                <w:b/>
                <w:bCs/>
                <w:color w:val="000000"/>
                <w:sz w:val="20"/>
                <w:szCs w:val="18"/>
                <w:lang w:val="es-MX" w:eastAsia="es-MX"/>
              </w:rPr>
            </w:pPr>
            <w:r w:rsidRPr="00451BC5">
              <w:rPr>
                <w:b/>
                <w:bCs/>
                <w:color w:val="000000"/>
                <w:sz w:val="20"/>
                <w:szCs w:val="18"/>
                <w:lang w:val="es-MX" w:eastAsia="es-MX"/>
              </w:rPr>
              <w:t xml:space="preserve">Estructura por </w:t>
            </w:r>
            <w:r w:rsidR="004400C6" w:rsidRPr="00451BC5">
              <w:rPr>
                <w:b/>
                <w:bCs/>
                <w:color w:val="000000"/>
                <w:sz w:val="20"/>
                <w:szCs w:val="18"/>
                <w:lang w:val="es-MX" w:eastAsia="es-MX"/>
              </w:rPr>
              <w:t>A</w:t>
            </w:r>
            <w:r w:rsidRPr="00451BC5">
              <w:rPr>
                <w:b/>
                <w:bCs/>
                <w:color w:val="000000"/>
                <w:sz w:val="20"/>
                <w:szCs w:val="18"/>
                <w:lang w:val="es-MX" w:eastAsia="es-MX"/>
              </w:rPr>
              <w:t>grup</w:t>
            </w:r>
            <w:r w:rsidR="004400C6" w:rsidRPr="00451BC5">
              <w:rPr>
                <w:b/>
                <w:bCs/>
                <w:color w:val="000000"/>
                <w:sz w:val="20"/>
                <w:szCs w:val="18"/>
                <w:lang w:val="es-MX" w:eastAsia="es-MX"/>
              </w:rPr>
              <w:t>ación</w:t>
            </w:r>
          </w:p>
        </w:tc>
      </w:tr>
      <w:tr w:rsidR="00AD535C" w:rsidRPr="000D01D0" w:rsidTr="00451BC5">
        <w:trPr>
          <w:trHeight w:val="300"/>
        </w:trPr>
        <w:tc>
          <w:tcPr>
            <w:tcW w:w="1860" w:type="dxa"/>
            <w:vMerge/>
            <w:tcBorders>
              <w:top w:val="single" w:sz="8" w:space="0" w:color="auto"/>
              <w:left w:val="single" w:sz="8" w:space="0" w:color="auto"/>
              <w:bottom w:val="single" w:sz="4" w:space="0" w:color="000000"/>
              <w:right w:val="nil"/>
            </w:tcBorders>
            <w:vAlign w:val="center"/>
            <w:hideMark/>
          </w:tcPr>
          <w:p w:rsidR="00AD535C" w:rsidRPr="00451BC5" w:rsidRDefault="00AD535C" w:rsidP="0025776C">
            <w:pPr>
              <w:rPr>
                <w:b/>
                <w:bCs/>
                <w:color w:val="000000"/>
                <w:sz w:val="20"/>
                <w:szCs w:val="18"/>
                <w:lang w:val="es-MX" w:eastAsia="es-MX"/>
              </w:rPr>
            </w:pPr>
          </w:p>
        </w:tc>
        <w:tc>
          <w:tcPr>
            <w:tcW w:w="1000" w:type="dxa"/>
            <w:vMerge/>
            <w:tcBorders>
              <w:top w:val="single" w:sz="8" w:space="0" w:color="auto"/>
              <w:left w:val="single" w:sz="4" w:space="0" w:color="auto"/>
              <w:bottom w:val="single" w:sz="4" w:space="0" w:color="000000"/>
              <w:right w:val="single" w:sz="4" w:space="0" w:color="auto"/>
            </w:tcBorders>
            <w:vAlign w:val="center"/>
            <w:hideMark/>
          </w:tcPr>
          <w:p w:rsidR="00AD535C" w:rsidRPr="00451BC5" w:rsidRDefault="00AD535C" w:rsidP="0025776C">
            <w:pPr>
              <w:rPr>
                <w:b/>
                <w:bCs/>
                <w:color w:val="000000"/>
                <w:sz w:val="20"/>
                <w:szCs w:val="18"/>
                <w:lang w:val="es-MX" w:eastAsia="es-MX"/>
              </w:rPr>
            </w:pPr>
          </w:p>
        </w:tc>
        <w:tc>
          <w:tcPr>
            <w:tcW w:w="1000" w:type="dxa"/>
            <w:vMerge/>
            <w:tcBorders>
              <w:top w:val="single" w:sz="8" w:space="0" w:color="auto"/>
              <w:left w:val="single" w:sz="4" w:space="0" w:color="auto"/>
              <w:bottom w:val="single" w:sz="4" w:space="0" w:color="000000"/>
              <w:right w:val="single" w:sz="4" w:space="0" w:color="auto"/>
            </w:tcBorders>
            <w:vAlign w:val="center"/>
            <w:hideMark/>
          </w:tcPr>
          <w:p w:rsidR="00AD535C" w:rsidRPr="00451BC5" w:rsidRDefault="00AD535C" w:rsidP="0025776C">
            <w:pPr>
              <w:rPr>
                <w:b/>
                <w:bCs/>
                <w:color w:val="000000"/>
                <w:sz w:val="20"/>
                <w:szCs w:val="18"/>
                <w:lang w:val="es-MX" w:eastAsia="es-MX"/>
              </w:rPr>
            </w:pPr>
          </w:p>
        </w:tc>
        <w:tc>
          <w:tcPr>
            <w:tcW w:w="1030" w:type="dxa"/>
            <w:tcBorders>
              <w:top w:val="nil"/>
              <w:left w:val="nil"/>
              <w:bottom w:val="single" w:sz="4" w:space="0" w:color="auto"/>
              <w:right w:val="single" w:sz="4" w:space="0" w:color="auto"/>
            </w:tcBorders>
            <w:shd w:val="clear" w:color="000000" w:fill="8DB4E2"/>
            <w:noWrap/>
            <w:vAlign w:val="bottom"/>
            <w:hideMark/>
          </w:tcPr>
          <w:p w:rsidR="00AD535C" w:rsidRPr="00451BC5" w:rsidRDefault="00AD535C" w:rsidP="00451BC5">
            <w:pPr>
              <w:jc w:val="center"/>
              <w:rPr>
                <w:b/>
                <w:bCs/>
                <w:color w:val="000000"/>
                <w:sz w:val="20"/>
                <w:szCs w:val="18"/>
                <w:lang w:val="es-MX" w:eastAsia="es-MX"/>
              </w:rPr>
            </w:pPr>
            <w:r w:rsidRPr="00451BC5">
              <w:rPr>
                <w:b/>
                <w:bCs/>
                <w:color w:val="000000"/>
                <w:sz w:val="20"/>
                <w:szCs w:val="18"/>
                <w:lang w:val="es-MX" w:eastAsia="es-MX"/>
              </w:rPr>
              <w:t>Absoluta</w:t>
            </w:r>
          </w:p>
        </w:tc>
        <w:tc>
          <w:tcPr>
            <w:tcW w:w="992" w:type="dxa"/>
            <w:tcBorders>
              <w:top w:val="single" w:sz="4" w:space="0" w:color="auto"/>
              <w:left w:val="nil"/>
              <w:bottom w:val="single" w:sz="4" w:space="0" w:color="auto"/>
              <w:right w:val="single" w:sz="8" w:space="0" w:color="auto"/>
            </w:tcBorders>
            <w:shd w:val="clear" w:color="000000" w:fill="8DB4E2"/>
            <w:noWrap/>
            <w:vAlign w:val="bottom"/>
            <w:hideMark/>
          </w:tcPr>
          <w:p w:rsidR="00AD535C" w:rsidRPr="00451BC5" w:rsidRDefault="00AD535C" w:rsidP="00451BC5">
            <w:pPr>
              <w:jc w:val="center"/>
              <w:rPr>
                <w:b/>
                <w:bCs/>
                <w:color w:val="000000"/>
                <w:sz w:val="20"/>
                <w:szCs w:val="18"/>
                <w:lang w:val="es-MX" w:eastAsia="es-MX"/>
              </w:rPr>
            </w:pPr>
            <w:r w:rsidRPr="00451BC5">
              <w:rPr>
                <w:b/>
                <w:bCs/>
                <w:color w:val="000000"/>
                <w:sz w:val="20"/>
                <w:szCs w:val="18"/>
                <w:lang w:val="es-MX" w:eastAsia="es-MX"/>
              </w:rPr>
              <w:t>Relativa</w:t>
            </w:r>
          </w:p>
        </w:tc>
        <w:tc>
          <w:tcPr>
            <w:tcW w:w="851" w:type="dxa"/>
            <w:tcBorders>
              <w:top w:val="nil"/>
              <w:left w:val="nil"/>
              <w:bottom w:val="single" w:sz="4" w:space="0" w:color="auto"/>
              <w:right w:val="single" w:sz="4" w:space="0" w:color="auto"/>
            </w:tcBorders>
            <w:shd w:val="clear" w:color="000000" w:fill="8DB4E2"/>
            <w:noWrap/>
            <w:vAlign w:val="bottom"/>
            <w:hideMark/>
          </w:tcPr>
          <w:p w:rsidR="00AD535C" w:rsidRPr="00451BC5" w:rsidRDefault="00AD535C" w:rsidP="0025776C">
            <w:pPr>
              <w:jc w:val="center"/>
              <w:rPr>
                <w:b/>
                <w:bCs/>
                <w:color w:val="000000"/>
                <w:sz w:val="20"/>
                <w:szCs w:val="18"/>
                <w:lang w:val="es-MX" w:eastAsia="es-MX"/>
              </w:rPr>
            </w:pPr>
            <w:r w:rsidRPr="00451BC5">
              <w:rPr>
                <w:b/>
                <w:bCs/>
                <w:color w:val="000000"/>
                <w:sz w:val="20"/>
                <w:szCs w:val="18"/>
                <w:lang w:val="es-MX" w:eastAsia="es-MX"/>
              </w:rPr>
              <w:t>2019</w:t>
            </w:r>
          </w:p>
        </w:tc>
        <w:tc>
          <w:tcPr>
            <w:tcW w:w="850" w:type="dxa"/>
            <w:tcBorders>
              <w:top w:val="nil"/>
              <w:left w:val="nil"/>
              <w:bottom w:val="single" w:sz="4" w:space="0" w:color="auto"/>
              <w:right w:val="single" w:sz="8" w:space="0" w:color="auto"/>
            </w:tcBorders>
            <w:shd w:val="clear" w:color="000000" w:fill="8DB4E2"/>
            <w:noWrap/>
            <w:vAlign w:val="bottom"/>
            <w:hideMark/>
          </w:tcPr>
          <w:p w:rsidR="00AD535C" w:rsidRPr="00451BC5" w:rsidRDefault="00AD535C" w:rsidP="0025776C">
            <w:pPr>
              <w:jc w:val="center"/>
              <w:rPr>
                <w:b/>
                <w:bCs/>
                <w:color w:val="000000"/>
                <w:sz w:val="20"/>
                <w:szCs w:val="18"/>
                <w:lang w:val="es-MX" w:eastAsia="es-MX"/>
              </w:rPr>
            </w:pPr>
            <w:r w:rsidRPr="00451BC5">
              <w:rPr>
                <w:b/>
                <w:bCs/>
                <w:color w:val="000000"/>
                <w:sz w:val="20"/>
                <w:szCs w:val="18"/>
                <w:lang w:val="es-MX" w:eastAsia="es-MX"/>
              </w:rPr>
              <w:t>2020</w:t>
            </w:r>
          </w:p>
        </w:tc>
        <w:tc>
          <w:tcPr>
            <w:tcW w:w="851" w:type="dxa"/>
            <w:tcBorders>
              <w:top w:val="nil"/>
              <w:left w:val="nil"/>
              <w:bottom w:val="single" w:sz="4" w:space="0" w:color="auto"/>
              <w:right w:val="single" w:sz="4" w:space="0" w:color="auto"/>
            </w:tcBorders>
            <w:shd w:val="clear" w:color="000000" w:fill="8DB4E2"/>
            <w:noWrap/>
            <w:vAlign w:val="bottom"/>
            <w:hideMark/>
          </w:tcPr>
          <w:p w:rsidR="00AD535C" w:rsidRPr="00451BC5" w:rsidRDefault="00AD535C" w:rsidP="0025776C">
            <w:pPr>
              <w:jc w:val="center"/>
              <w:rPr>
                <w:b/>
                <w:bCs/>
                <w:color w:val="000000"/>
                <w:sz w:val="20"/>
                <w:szCs w:val="18"/>
                <w:lang w:val="es-MX" w:eastAsia="es-MX"/>
              </w:rPr>
            </w:pPr>
            <w:r w:rsidRPr="00451BC5">
              <w:rPr>
                <w:b/>
                <w:bCs/>
                <w:color w:val="000000"/>
                <w:sz w:val="20"/>
                <w:szCs w:val="18"/>
                <w:lang w:val="es-MX" w:eastAsia="es-MX"/>
              </w:rPr>
              <w:t>2019</w:t>
            </w:r>
          </w:p>
        </w:tc>
        <w:tc>
          <w:tcPr>
            <w:tcW w:w="850" w:type="dxa"/>
            <w:tcBorders>
              <w:top w:val="nil"/>
              <w:left w:val="nil"/>
              <w:bottom w:val="single" w:sz="4" w:space="0" w:color="auto"/>
              <w:right w:val="single" w:sz="8" w:space="0" w:color="auto"/>
            </w:tcBorders>
            <w:shd w:val="clear" w:color="000000" w:fill="8DB4E2"/>
            <w:noWrap/>
            <w:vAlign w:val="bottom"/>
            <w:hideMark/>
          </w:tcPr>
          <w:p w:rsidR="00AD535C" w:rsidRPr="00451BC5" w:rsidRDefault="00AD535C" w:rsidP="0025776C">
            <w:pPr>
              <w:jc w:val="center"/>
              <w:rPr>
                <w:b/>
                <w:bCs/>
                <w:color w:val="000000"/>
                <w:sz w:val="20"/>
                <w:szCs w:val="18"/>
                <w:lang w:val="es-MX" w:eastAsia="es-MX"/>
              </w:rPr>
            </w:pPr>
            <w:r w:rsidRPr="00451BC5">
              <w:rPr>
                <w:b/>
                <w:bCs/>
                <w:color w:val="000000"/>
                <w:sz w:val="20"/>
                <w:szCs w:val="18"/>
                <w:lang w:val="es-MX" w:eastAsia="es-MX"/>
              </w:rPr>
              <w:t>2020</w:t>
            </w: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jc w:val="center"/>
              <w:rPr>
                <w:b/>
                <w:bCs/>
                <w:color w:val="000000"/>
                <w:sz w:val="18"/>
                <w:szCs w:val="18"/>
                <w:lang w:val="es-MX" w:eastAsia="es-MX"/>
              </w:rPr>
            </w:pPr>
            <w:r w:rsidRPr="000D01D0">
              <w:rPr>
                <w:b/>
                <w:bCs/>
                <w:color w:val="000000"/>
                <w:sz w:val="18"/>
                <w:szCs w:val="18"/>
                <w:lang w:val="es-MX" w:eastAsia="es-MX"/>
              </w:rPr>
              <w:t>Total</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4400C6">
            <w:pPr>
              <w:jc w:val="right"/>
              <w:rPr>
                <w:b/>
                <w:bCs/>
                <w:color w:val="000000"/>
                <w:sz w:val="18"/>
                <w:szCs w:val="18"/>
                <w:lang w:val="es-MX" w:eastAsia="es-MX"/>
              </w:rPr>
            </w:pPr>
            <w:r w:rsidRPr="000D01D0">
              <w:rPr>
                <w:b/>
                <w:bCs/>
                <w:color w:val="000000"/>
                <w:sz w:val="18"/>
                <w:szCs w:val="18"/>
                <w:lang w:val="es-MX" w:eastAsia="es-MX"/>
              </w:rPr>
              <w:t>37,890.0</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4400C6">
            <w:pPr>
              <w:jc w:val="right"/>
              <w:rPr>
                <w:b/>
                <w:bCs/>
                <w:color w:val="000000"/>
                <w:sz w:val="18"/>
                <w:szCs w:val="18"/>
                <w:lang w:val="es-MX" w:eastAsia="es-MX"/>
              </w:rPr>
            </w:pPr>
            <w:r w:rsidRPr="000D01D0">
              <w:rPr>
                <w:b/>
                <w:bCs/>
                <w:color w:val="000000"/>
                <w:sz w:val="18"/>
                <w:szCs w:val="18"/>
                <w:lang w:val="es-MX" w:eastAsia="es-MX"/>
              </w:rPr>
              <w:t>41,296.2</w:t>
            </w:r>
          </w:p>
        </w:tc>
        <w:tc>
          <w:tcPr>
            <w:tcW w:w="1030" w:type="dxa"/>
            <w:tcBorders>
              <w:top w:val="single" w:sz="4" w:space="0" w:color="auto"/>
              <w:left w:val="nil"/>
              <w:bottom w:val="nil"/>
              <w:right w:val="single" w:sz="4" w:space="0" w:color="auto"/>
            </w:tcBorders>
            <w:shd w:val="clear" w:color="000000" w:fill="FFFFFF"/>
            <w:noWrap/>
            <w:vAlign w:val="bottom"/>
            <w:hideMark/>
          </w:tcPr>
          <w:p w:rsidR="00AD535C" w:rsidRPr="000D01D0" w:rsidRDefault="00AD535C" w:rsidP="004400C6">
            <w:pPr>
              <w:jc w:val="right"/>
              <w:rPr>
                <w:b/>
                <w:bCs/>
                <w:color w:val="000000"/>
                <w:sz w:val="18"/>
                <w:szCs w:val="18"/>
                <w:lang w:val="es-MX" w:eastAsia="es-MX"/>
              </w:rPr>
            </w:pPr>
            <w:r w:rsidRPr="000D01D0">
              <w:rPr>
                <w:b/>
                <w:bCs/>
                <w:color w:val="000000"/>
                <w:sz w:val="18"/>
                <w:szCs w:val="18"/>
                <w:lang w:val="es-MX" w:eastAsia="es-MX"/>
              </w:rPr>
              <w:t>3,406.2</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b/>
                <w:bCs/>
                <w:color w:val="000000"/>
                <w:sz w:val="18"/>
                <w:szCs w:val="18"/>
                <w:lang w:val="es-MX" w:eastAsia="es-MX"/>
              </w:rPr>
            </w:pPr>
            <w:r w:rsidRPr="000D01D0">
              <w:rPr>
                <w:b/>
                <w:bCs/>
                <w:color w:val="000000"/>
                <w:sz w:val="18"/>
                <w:szCs w:val="18"/>
                <w:lang w:val="es-MX" w:eastAsia="es-MX"/>
              </w:rPr>
              <w:t>16.6%</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b/>
                <w:bCs/>
                <w:color w:val="000000"/>
                <w:sz w:val="18"/>
                <w:szCs w:val="18"/>
                <w:lang w:val="es-MX" w:eastAsia="es-MX"/>
              </w:rPr>
            </w:pPr>
            <w:r w:rsidRPr="000D01D0">
              <w:rPr>
                <w:b/>
                <w:bCs/>
                <w:color w:val="000000"/>
                <w:sz w:val="18"/>
                <w:szCs w:val="18"/>
                <w:lang w:val="es-MX" w:eastAsia="es-MX"/>
              </w:rPr>
              <w:t>100.0%</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b/>
                <w:bCs/>
                <w:color w:val="000000"/>
                <w:sz w:val="18"/>
                <w:szCs w:val="18"/>
                <w:lang w:val="es-MX" w:eastAsia="es-MX"/>
              </w:rPr>
            </w:pPr>
            <w:r w:rsidRPr="000D01D0">
              <w:rPr>
                <w:b/>
                <w:bCs/>
                <w:color w:val="000000"/>
                <w:sz w:val="18"/>
                <w:szCs w:val="18"/>
                <w:lang w:val="es-MX" w:eastAsia="es-MX"/>
              </w:rPr>
              <w:t>100.0%</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b/>
                <w:bCs/>
                <w:color w:val="000000"/>
                <w:sz w:val="18"/>
                <w:szCs w:val="18"/>
                <w:lang w:val="es-MX" w:eastAsia="es-MX"/>
              </w:rPr>
            </w:pPr>
            <w:r w:rsidRPr="000D01D0">
              <w:rPr>
                <w:b/>
                <w:bCs/>
                <w:color w:val="000000"/>
                <w:sz w:val="18"/>
                <w:szCs w:val="18"/>
                <w:lang w:val="es-MX" w:eastAsia="es-MX"/>
              </w:rPr>
              <w:t>100.0%</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b/>
                <w:bCs/>
                <w:color w:val="000000"/>
                <w:sz w:val="18"/>
                <w:szCs w:val="18"/>
                <w:lang w:val="es-MX" w:eastAsia="es-MX"/>
              </w:rPr>
            </w:pPr>
            <w:r w:rsidRPr="000D01D0">
              <w:rPr>
                <w:b/>
                <w:bCs/>
                <w:color w:val="000000"/>
                <w:sz w:val="18"/>
                <w:szCs w:val="18"/>
                <w:lang w:val="es-MX" w:eastAsia="es-MX"/>
              </w:rPr>
              <w:t>100.0%</w:t>
            </w: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Obligaciones</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12,768.5</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13,601.0</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832.5</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6.5%</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33.7%</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32.9%</w:t>
            </w:r>
          </w:p>
        </w:tc>
        <w:tc>
          <w:tcPr>
            <w:tcW w:w="851" w:type="dxa"/>
            <w:vMerge w:val="restart"/>
            <w:tcBorders>
              <w:top w:val="nil"/>
              <w:left w:val="single" w:sz="8" w:space="0" w:color="auto"/>
              <w:bottom w:val="nil"/>
              <w:right w:val="single" w:sz="4" w:space="0" w:color="auto"/>
            </w:tcBorders>
            <w:shd w:val="clear" w:color="auto" w:fill="auto"/>
            <w:vAlign w:val="center"/>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70.0%</w:t>
            </w:r>
          </w:p>
        </w:tc>
        <w:tc>
          <w:tcPr>
            <w:tcW w:w="850" w:type="dxa"/>
            <w:vMerge w:val="restart"/>
            <w:tcBorders>
              <w:top w:val="nil"/>
              <w:left w:val="nil"/>
              <w:bottom w:val="nil"/>
              <w:right w:val="single" w:sz="8" w:space="0" w:color="auto"/>
            </w:tcBorders>
            <w:shd w:val="clear" w:color="auto" w:fill="auto"/>
            <w:vAlign w:val="center"/>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67.8%</w:t>
            </w: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Educación</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7,709.1</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8,026.8</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317.7</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4.1%</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20.3%</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19.4%</w:t>
            </w:r>
          </w:p>
        </w:tc>
        <w:tc>
          <w:tcPr>
            <w:tcW w:w="851" w:type="dxa"/>
            <w:vMerge/>
            <w:tcBorders>
              <w:top w:val="nil"/>
              <w:left w:val="single" w:sz="8" w:space="0" w:color="auto"/>
              <w:bottom w:val="nil"/>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nil"/>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single" w:sz="4" w:space="0" w:color="auto"/>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Servicios de la Deuda</w:t>
            </w:r>
          </w:p>
        </w:tc>
        <w:tc>
          <w:tcPr>
            <w:tcW w:w="1000" w:type="dxa"/>
            <w:tcBorders>
              <w:top w:val="nil"/>
              <w:left w:val="single" w:sz="4" w:space="0" w:color="auto"/>
              <w:bottom w:val="single" w:sz="4" w:space="0" w:color="auto"/>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6,060.2</w:t>
            </w:r>
          </w:p>
        </w:tc>
        <w:tc>
          <w:tcPr>
            <w:tcW w:w="1000" w:type="dxa"/>
            <w:tcBorders>
              <w:top w:val="nil"/>
              <w:left w:val="nil"/>
              <w:bottom w:val="single" w:sz="4" w:space="0" w:color="auto"/>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6,369.9</w:t>
            </w:r>
          </w:p>
        </w:tc>
        <w:tc>
          <w:tcPr>
            <w:tcW w:w="1030" w:type="dxa"/>
            <w:tcBorders>
              <w:top w:val="nil"/>
              <w:left w:val="nil"/>
              <w:bottom w:val="single" w:sz="4" w:space="0" w:color="auto"/>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309.7</w:t>
            </w:r>
          </w:p>
        </w:tc>
        <w:tc>
          <w:tcPr>
            <w:tcW w:w="992" w:type="dxa"/>
            <w:tcBorders>
              <w:top w:val="nil"/>
              <w:left w:val="nil"/>
              <w:bottom w:val="single" w:sz="4" w:space="0" w:color="auto"/>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5.1%</w:t>
            </w:r>
          </w:p>
        </w:tc>
        <w:tc>
          <w:tcPr>
            <w:tcW w:w="851" w:type="dxa"/>
            <w:tcBorders>
              <w:top w:val="nil"/>
              <w:left w:val="nil"/>
              <w:bottom w:val="single" w:sz="4" w:space="0" w:color="auto"/>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16.0%</w:t>
            </w:r>
          </w:p>
        </w:tc>
        <w:tc>
          <w:tcPr>
            <w:tcW w:w="850" w:type="dxa"/>
            <w:tcBorders>
              <w:top w:val="nil"/>
              <w:left w:val="nil"/>
              <w:bottom w:val="single" w:sz="4" w:space="0" w:color="auto"/>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15.4%</w:t>
            </w:r>
          </w:p>
        </w:tc>
        <w:tc>
          <w:tcPr>
            <w:tcW w:w="851" w:type="dxa"/>
            <w:vMerge/>
            <w:tcBorders>
              <w:top w:val="nil"/>
              <w:left w:val="single" w:sz="8" w:space="0" w:color="auto"/>
              <w:bottom w:val="nil"/>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nil"/>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Salud Pública</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3,157.7</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3,397.7</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240.0</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7.6%</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8.3%</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8.2%</w:t>
            </w:r>
          </w:p>
        </w:tc>
        <w:tc>
          <w:tcPr>
            <w:tcW w:w="851" w:type="dxa"/>
            <w:vMerge w:val="restart"/>
            <w:tcBorders>
              <w:top w:val="single" w:sz="4" w:space="0" w:color="auto"/>
              <w:left w:val="single" w:sz="8" w:space="0" w:color="auto"/>
              <w:bottom w:val="single" w:sz="4" w:space="0" w:color="000000"/>
              <w:right w:val="single" w:sz="4" w:space="0" w:color="auto"/>
            </w:tcBorders>
            <w:shd w:val="clear" w:color="auto" w:fill="auto"/>
            <w:vAlign w:val="center"/>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21.1%</w:t>
            </w:r>
          </w:p>
        </w:tc>
        <w:tc>
          <w:tcPr>
            <w:tcW w:w="850" w:type="dxa"/>
            <w:vMerge w:val="restart"/>
            <w:tcBorders>
              <w:top w:val="single" w:sz="4" w:space="0" w:color="auto"/>
              <w:left w:val="nil"/>
              <w:bottom w:val="single" w:sz="4" w:space="0" w:color="000000"/>
              <w:right w:val="single" w:sz="8" w:space="0" w:color="auto"/>
            </w:tcBorders>
            <w:shd w:val="clear" w:color="auto" w:fill="auto"/>
            <w:vAlign w:val="center"/>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23.8%</w:t>
            </w: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Gobernación</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2,002.7</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2,250.1</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247.4</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12.4%</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5.3%</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5.4%</w:t>
            </w:r>
          </w:p>
        </w:tc>
        <w:tc>
          <w:tcPr>
            <w:tcW w:w="851" w:type="dxa"/>
            <w:vMerge/>
            <w:tcBorders>
              <w:top w:val="single" w:sz="4" w:space="0" w:color="auto"/>
              <w:left w:val="single" w:sz="8" w:space="0" w:color="auto"/>
              <w:bottom w:val="single" w:sz="4"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single" w:sz="4" w:space="0" w:color="auto"/>
              <w:left w:val="nil"/>
              <w:bottom w:val="single" w:sz="4"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Comunicaciones</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2,411.0</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2,122.1</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-288.9</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-12.0%</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6.4%</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5.1%</w:t>
            </w:r>
          </w:p>
        </w:tc>
        <w:tc>
          <w:tcPr>
            <w:tcW w:w="851" w:type="dxa"/>
            <w:vMerge/>
            <w:tcBorders>
              <w:top w:val="single" w:sz="4" w:space="0" w:color="auto"/>
              <w:left w:val="single" w:sz="8" w:space="0" w:color="auto"/>
              <w:bottom w:val="single" w:sz="4"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single" w:sz="4" w:space="0" w:color="auto"/>
              <w:left w:val="nil"/>
              <w:bottom w:val="single" w:sz="4"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single" w:sz="4" w:space="0" w:color="auto"/>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Desarrollo Social</w:t>
            </w:r>
          </w:p>
        </w:tc>
        <w:tc>
          <w:tcPr>
            <w:tcW w:w="1000" w:type="dxa"/>
            <w:tcBorders>
              <w:top w:val="nil"/>
              <w:left w:val="single" w:sz="4" w:space="0" w:color="auto"/>
              <w:bottom w:val="single" w:sz="4" w:space="0" w:color="auto"/>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405.2</w:t>
            </w:r>
          </w:p>
        </w:tc>
        <w:tc>
          <w:tcPr>
            <w:tcW w:w="1000" w:type="dxa"/>
            <w:tcBorders>
              <w:top w:val="nil"/>
              <w:left w:val="nil"/>
              <w:bottom w:val="single" w:sz="4" w:space="0" w:color="auto"/>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2,076.6</w:t>
            </w:r>
          </w:p>
        </w:tc>
        <w:tc>
          <w:tcPr>
            <w:tcW w:w="1030" w:type="dxa"/>
            <w:tcBorders>
              <w:top w:val="nil"/>
              <w:left w:val="nil"/>
              <w:bottom w:val="single" w:sz="4" w:space="0" w:color="auto"/>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1,671.4</w:t>
            </w:r>
          </w:p>
        </w:tc>
        <w:tc>
          <w:tcPr>
            <w:tcW w:w="992" w:type="dxa"/>
            <w:tcBorders>
              <w:top w:val="nil"/>
              <w:left w:val="nil"/>
              <w:bottom w:val="single" w:sz="4" w:space="0" w:color="auto"/>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412.5%</w:t>
            </w:r>
          </w:p>
        </w:tc>
        <w:tc>
          <w:tcPr>
            <w:tcW w:w="851" w:type="dxa"/>
            <w:tcBorders>
              <w:top w:val="nil"/>
              <w:left w:val="nil"/>
              <w:bottom w:val="single" w:sz="4" w:space="0" w:color="auto"/>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1.1%</w:t>
            </w:r>
          </w:p>
        </w:tc>
        <w:tc>
          <w:tcPr>
            <w:tcW w:w="850" w:type="dxa"/>
            <w:tcBorders>
              <w:top w:val="nil"/>
              <w:left w:val="nil"/>
              <w:bottom w:val="single" w:sz="4" w:space="0" w:color="auto"/>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5.0%</w:t>
            </w:r>
          </w:p>
        </w:tc>
        <w:tc>
          <w:tcPr>
            <w:tcW w:w="851" w:type="dxa"/>
            <w:vMerge/>
            <w:tcBorders>
              <w:top w:val="single" w:sz="4" w:space="0" w:color="auto"/>
              <w:left w:val="single" w:sz="8" w:space="0" w:color="auto"/>
              <w:bottom w:val="single" w:sz="4"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single" w:sz="4" w:space="0" w:color="auto"/>
              <w:left w:val="nil"/>
              <w:bottom w:val="single" w:sz="4"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Defensa</w:t>
            </w:r>
            <w:r w:rsidR="008A25C2">
              <w:rPr>
                <w:color w:val="000000"/>
                <w:sz w:val="18"/>
                <w:szCs w:val="18"/>
                <w:lang w:val="es-MX" w:eastAsia="es-MX"/>
              </w:rPr>
              <w:t xml:space="preserve"> Nacional</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952.5</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969.2</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16.7</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1.8%</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2.5%</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2.3%</w:t>
            </w:r>
          </w:p>
        </w:tc>
        <w:tc>
          <w:tcPr>
            <w:tcW w:w="851" w:type="dxa"/>
            <w:vMerge w:val="restart"/>
            <w:tcBorders>
              <w:top w:val="nil"/>
              <w:left w:val="single" w:sz="8" w:space="0" w:color="auto"/>
              <w:bottom w:val="single" w:sz="8" w:space="0" w:color="000000"/>
              <w:right w:val="single" w:sz="4" w:space="0" w:color="auto"/>
            </w:tcBorders>
            <w:shd w:val="clear" w:color="auto" w:fill="auto"/>
            <w:vAlign w:val="center"/>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8.9%</w:t>
            </w:r>
          </w:p>
        </w:tc>
        <w:tc>
          <w:tcPr>
            <w:tcW w:w="850" w:type="dxa"/>
            <w:vMerge w:val="restart"/>
            <w:tcBorders>
              <w:top w:val="nil"/>
              <w:left w:val="nil"/>
              <w:bottom w:val="single" w:sz="8" w:space="0" w:color="000000"/>
              <w:right w:val="single" w:sz="8" w:space="0" w:color="auto"/>
            </w:tcBorders>
            <w:shd w:val="clear" w:color="auto" w:fill="auto"/>
            <w:vAlign w:val="center"/>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8.4%</w:t>
            </w: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Economía</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180.8</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618.8</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438.0</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242.2%</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0.5%</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1.5%</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Secretarías</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547.7</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488.0</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-59.7</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-10.9%</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1.4%</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1.2%</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Agricultura</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578.6</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345.4</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-233.2</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-40.3%</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1.5%</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0.8%</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Trabajo</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307.6</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313.3</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5.7</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1.9%</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0.8%</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0.8%</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Relaciones Exteriores</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209.0</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212.0</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3.0</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1.4%</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0.6%</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0.5%</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Cultura y Deportes</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204.8</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142.9</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-61.9</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-30.2%</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0.5%</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0.3%</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Finanzas</w:t>
            </w:r>
            <w:r w:rsidR="007F7F8A">
              <w:rPr>
                <w:color w:val="000000"/>
                <w:sz w:val="18"/>
                <w:szCs w:val="18"/>
                <w:lang w:val="es-MX" w:eastAsia="es-MX"/>
              </w:rPr>
              <w:t xml:space="preserve"> Públicas</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137.9</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133.8</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-4.1</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-3.0%</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0.4%</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0.3%</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Presidencia</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110.5</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93.4</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-17.1</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-15.5%</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0.3%</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0.2%</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PGN</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56.7</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59.9</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3.2</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5.7%</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0.1%</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0.1%</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00"/>
        </w:trPr>
        <w:tc>
          <w:tcPr>
            <w:tcW w:w="1860" w:type="dxa"/>
            <w:tcBorders>
              <w:top w:val="nil"/>
              <w:left w:val="single" w:sz="8" w:space="0" w:color="auto"/>
              <w:bottom w:val="nil"/>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Ambiente</w:t>
            </w:r>
          </w:p>
        </w:tc>
        <w:tc>
          <w:tcPr>
            <w:tcW w:w="1000" w:type="dxa"/>
            <w:tcBorders>
              <w:top w:val="nil"/>
              <w:left w:val="single" w:sz="4" w:space="0" w:color="auto"/>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58.3</w:t>
            </w:r>
          </w:p>
        </w:tc>
        <w:tc>
          <w:tcPr>
            <w:tcW w:w="100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46.0</w:t>
            </w:r>
          </w:p>
        </w:tc>
        <w:tc>
          <w:tcPr>
            <w:tcW w:w="1030"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-12.3</w:t>
            </w:r>
          </w:p>
        </w:tc>
        <w:tc>
          <w:tcPr>
            <w:tcW w:w="992" w:type="dxa"/>
            <w:tcBorders>
              <w:top w:val="nil"/>
              <w:left w:val="single" w:sz="4" w:space="0" w:color="auto"/>
              <w:bottom w:val="nil"/>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-21.0%</w:t>
            </w:r>
          </w:p>
        </w:tc>
        <w:tc>
          <w:tcPr>
            <w:tcW w:w="851" w:type="dxa"/>
            <w:tcBorders>
              <w:top w:val="nil"/>
              <w:left w:val="nil"/>
              <w:bottom w:val="nil"/>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0.2%</w:t>
            </w:r>
          </w:p>
        </w:tc>
        <w:tc>
          <w:tcPr>
            <w:tcW w:w="850" w:type="dxa"/>
            <w:tcBorders>
              <w:top w:val="nil"/>
              <w:left w:val="nil"/>
              <w:bottom w:val="nil"/>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0.1%</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r w:rsidR="00AD535C" w:rsidRPr="000D01D0" w:rsidTr="00451BC5">
        <w:trPr>
          <w:trHeight w:val="315"/>
        </w:trPr>
        <w:tc>
          <w:tcPr>
            <w:tcW w:w="1860" w:type="dxa"/>
            <w:tcBorders>
              <w:top w:val="nil"/>
              <w:left w:val="single" w:sz="8" w:space="0" w:color="auto"/>
              <w:bottom w:val="single" w:sz="8" w:space="0" w:color="auto"/>
              <w:right w:val="nil"/>
            </w:tcBorders>
            <w:shd w:val="clear" w:color="000000" w:fill="FFFFFF"/>
            <w:noWrap/>
            <w:vAlign w:val="bottom"/>
            <w:hideMark/>
          </w:tcPr>
          <w:p w:rsidR="00AD535C" w:rsidRPr="000D01D0" w:rsidRDefault="00AD535C" w:rsidP="0025776C">
            <w:pPr>
              <w:rPr>
                <w:color w:val="000000"/>
                <w:sz w:val="18"/>
                <w:szCs w:val="18"/>
                <w:lang w:val="es-MX" w:eastAsia="es-MX"/>
              </w:rPr>
            </w:pPr>
            <w:r w:rsidRPr="000D01D0">
              <w:rPr>
                <w:color w:val="000000"/>
                <w:sz w:val="18"/>
                <w:szCs w:val="18"/>
                <w:lang w:val="es-MX" w:eastAsia="es-MX"/>
              </w:rPr>
              <w:t>Energía y Minas</w:t>
            </w:r>
          </w:p>
        </w:tc>
        <w:tc>
          <w:tcPr>
            <w:tcW w:w="1000" w:type="dxa"/>
            <w:tcBorders>
              <w:top w:val="nil"/>
              <w:left w:val="single" w:sz="4" w:space="0" w:color="auto"/>
              <w:bottom w:val="single" w:sz="8" w:space="0" w:color="auto"/>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31.2</w:t>
            </w:r>
          </w:p>
        </w:tc>
        <w:tc>
          <w:tcPr>
            <w:tcW w:w="1000" w:type="dxa"/>
            <w:tcBorders>
              <w:top w:val="nil"/>
              <w:left w:val="nil"/>
              <w:bottom w:val="single" w:sz="8" w:space="0" w:color="auto"/>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29.3</w:t>
            </w:r>
          </w:p>
        </w:tc>
        <w:tc>
          <w:tcPr>
            <w:tcW w:w="1030" w:type="dxa"/>
            <w:tcBorders>
              <w:top w:val="nil"/>
              <w:left w:val="nil"/>
              <w:bottom w:val="single" w:sz="8" w:space="0" w:color="auto"/>
              <w:right w:val="single" w:sz="4"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-1.9</w:t>
            </w:r>
          </w:p>
        </w:tc>
        <w:tc>
          <w:tcPr>
            <w:tcW w:w="992" w:type="dxa"/>
            <w:tcBorders>
              <w:top w:val="nil"/>
              <w:left w:val="single" w:sz="4" w:space="0" w:color="auto"/>
              <w:bottom w:val="single" w:sz="8" w:space="0" w:color="auto"/>
              <w:right w:val="single" w:sz="8" w:space="0" w:color="auto"/>
            </w:tcBorders>
            <w:shd w:val="clear" w:color="000000" w:fill="FFFFFF"/>
            <w:noWrap/>
            <w:vAlign w:val="bottom"/>
            <w:hideMark/>
          </w:tcPr>
          <w:p w:rsidR="00AD535C" w:rsidRPr="000D01D0" w:rsidRDefault="00AD535C" w:rsidP="0025776C">
            <w:pPr>
              <w:jc w:val="right"/>
              <w:rPr>
                <w:color w:val="000000"/>
                <w:sz w:val="18"/>
                <w:szCs w:val="18"/>
                <w:lang w:val="es-MX" w:eastAsia="es-MX"/>
              </w:rPr>
            </w:pPr>
            <w:r w:rsidRPr="000D01D0">
              <w:rPr>
                <w:color w:val="000000"/>
                <w:sz w:val="18"/>
                <w:szCs w:val="18"/>
                <w:lang w:val="es-MX" w:eastAsia="es-MX"/>
              </w:rPr>
              <w:t>-6.1%</w:t>
            </w:r>
          </w:p>
        </w:tc>
        <w:tc>
          <w:tcPr>
            <w:tcW w:w="851" w:type="dxa"/>
            <w:tcBorders>
              <w:top w:val="nil"/>
              <w:left w:val="single" w:sz="8" w:space="0" w:color="auto"/>
              <w:bottom w:val="single" w:sz="8" w:space="0" w:color="auto"/>
              <w:right w:val="single" w:sz="4"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0.1%</w:t>
            </w:r>
          </w:p>
        </w:tc>
        <w:tc>
          <w:tcPr>
            <w:tcW w:w="850" w:type="dxa"/>
            <w:tcBorders>
              <w:top w:val="nil"/>
              <w:left w:val="nil"/>
              <w:bottom w:val="single" w:sz="8" w:space="0" w:color="auto"/>
              <w:right w:val="single" w:sz="8" w:space="0" w:color="auto"/>
            </w:tcBorders>
            <w:shd w:val="clear" w:color="000000" w:fill="FFFFFF"/>
            <w:noWrap/>
            <w:vAlign w:val="bottom"/>
            <w:hideMark/>
          </w:tcPr>
          <w:p w:rsidR="00AD535C" w:rsidRPr="000D01D0" w:rsidRDefault="00AD535C" w:rsidP="0025776C">
            <w:pPr>
              <w:jc w:val="center"/>
              <w:rPr>
                <w:color w:val="000000"/>
                <w:sz w:val="18"/>
                <w:szCs w:val="18"/>
                <w:lang w:val="es-MX" w:eastAsia="es-MX"/>
              </w:rPr>
            </w:pPr>
            <w:r w:rsidRPr="000D01D0">
              <w:rPr>
                <w:color w:val="000000"/>
                <w:sz w:val="18"/>
                <w:szCs w:val="18"/>
                <w:lang w:val="es-MX" w:eastAsia="es-MX"/>
              </w:rPr>
              <w:t>0.1%</w:t>
            </w:r>
          </w:p>
        </w:tc>
        <w:tc>
          <w:tcPr>
            <w:tcW w:w="851" w:type="dxa"/>
            <w:vMerge/>
            <w:tcBorders>
              <w:top w:val="nil"/>
              <w:left w:val="single" w:sz="8" w:space="0" w:color="auto"/>
              <w:bottom w:val="single" w:sz="8" w:space="0" w:color="000000"/>
              <w:right w:val="single" w:sz="4" w:space="0" w:color="auto"/>
            </w:tcBorders>
            <w:vAlign w:val="center"/>
            <w:hideMark/>
          </w:tcPr>
          <w:p w:rsidR="00AD535C" w:rsidRPr="000D01D0" w:rsidRDefault="00AD535C" w:rsidP="0025776C">
            <w:pPr>
              <w:rPr>
                <w:color w:val="000000"/>
                <w:sz w:val="18"/>
                <w:szCs w:val="18"/>
                <w:lang w:val="es-MX" w:eastAsia="es-MX"/>
              </w:rPr>
            </w:pPr>
          </w:p>
        </w:tc>
        <w:tc>
          <w:tcPr>
            <w:tcW w:w="850" w:type="dxa"/>
            <w:vMerge/>
            <w:tcBorders>
              <w:top w:val="nil"/>
              <w:left w:val="nil"/>
              <w:bottom w:val="single" w:sz="8" w:space="0" w:color="000000"/>
              <w:right w:val="single" w:sz="8" w:space="0" w:color="auto"/>
            </w:tcBorders>
            <w:vAlign w:val="center"/>
            <w:hideMark/>
          </w:tcPr>
          <w:p w:rsidR="00AD535C" w:rsidRPr="000D01D0" w:rsidRDefault="00AD535C" w:rsidP="0025776C">
            <w:pPr>
              <w:rPr>
                <w:color w:val="000000"/>
                <w:sz w:val="18"/>
                <w:szCs w:val="18"/>
                <w:lang w:val="es-MX" w:eastAsia="es-MX"/>
              </w:rPr>
            </w:pPr>
          </w:p>
        </w:tc>
      </w:tr>
    </w:tbl>
    <w:p w:rsidR="00AD535C" w:rsidRDefault="00AD535C" w:rsidP="00AD535C">
      <w:pPr>
        <w:rPr>
          <w:sz w:val="18"/>
          <w:lang w:val="es-MX"/>
        </w:rPr>
      </w:pPr>
      <w:r w:rsidRPr="00B55626">
        <w:rPr>
          <w:sz w:val="18"/>
          <w:lang w:val="es-MX"/>
        </w:rPr>
        <w:t>* Cifras preliminares</w:t>
      </w:r>
    </w:p>
    <w:p w:rsidR="00AD535C" w:rsidRPr="00B55626" w:rsidRDefault="00AD535C" w:rsidP="00AD535C">
      <w:pPr>
        <w:tabs>
          <w:tab w:val="left" w:pos="5954"/>
        </w:tabs>
        <w:rPr>
          <w:sz w:val="18"/>
          <w:lang w:val="es-MX"/>
        </w:rPr>
      </w:pPr>
      <w:r>
        <w:rPr>
          <w:sz w:val="18"/>
          <w:lang w:val="es-MX"/>
        </w:rPr>
        <w:t xml:space="preserve">   </w:t>
      </w:r>
      <w:r w:rsidRPr="00B55626">
        <w:rPr>
          <w:sz w:val="18"/>
          <w:lang w:val="es-MX"/>
        </w:rPr>
        <w:t>Fuente: Ministerio de Finanzas Públicas con base al SICOIN.</w:t>
      </w:r>
    </w:p>
    <w:p w:rsidR="00AD535C" w:rsidRPr="00B55626" w:rsidRDefault="00AD535C" w:rsidP="00AD535C">
      <w:pPr>
        <w:rPr>
          <w:sz w:val="18"/>
          <w:lang w:val="es-MX"/>
        </w:rPr>
      </w:pPr>
    </w:p>
    <w:p w:rsidR="00AD535C" w:rsidRPr="00FB641E" w:rsidRDefault="00AD535C" w:rsidP="00AD535C">
      <w:pPr>
        <w:jc w:val="both"/>
        <w:rPr>
          <w:lang w:val="es-MX"/>
        </w:rPr>
      </w:pPr>
    </w:p>
    <w:p w:rsidR="00AD535C" w:rsidRPr="0090134D" w:rsidRDefault="00AD535C" w:rsidP="00F073BE">
      <w:pPr>
        <w:keepNext/>
        <w:keepLines/>
        <w:numPr>
          <w:ilvl w:val="2"/>
          <w:numId w:val="3"/>
        </w:numPr>
        <w:spacing w:before="200"/>
        <w:outlineLvl w:val="2"/>
        <w:rPr>
          <w:b/>
          <w:bCs/>
          <w:lang w:val="es-MX"/>
        </w:rPr>
      </w:pPr>
      <w:bookmarkStart w:id="16" w:name="_Toc51925248"/>
      <w:r w:rsidRPr="0072034B">
        <w:rPr>
          <w:b/>
          <w:bCs/>
          <w:lang w:val="es-MX"/>
        </w:rPr>
        <w:t>Gasto Público por Fuente de Financiamiento</w:t>
      </w:r>
      <w:bookmarkEnd w:id="16"/>
    </w:p>
    <w:p w:rsidR="00AD535C" w:rsidRPr="0072034B" w:rsidRDefault="00AD535C" w:rsidP="00AD535C">
      <w:pPr>
        <w:keepNext/>
        <w:keepLines/>
        <w:ind w:left="720"/>
        <w:jc w:val="both"/>
        <w:outlineLvl w:val="2"/>
        <w:rPr>
          <w:sz w:val="32"/>
          <w:lang w:val="es-MX"/>
        </w:rPr>
      </w:pPr>
    </w:p>
    <w:p w:rsidR="00AD535C" w:rsidRDefault="00AD535C" w:rsidP="00AD535C">
      <w:pPr>
        <w:jc w:val="both"/>
        <w:rPr>
          <w:lang w:val="es-MX"/>
        </w:rPr>
      </w:pPr>
      <w:r w:rsidRPr="00FB641E">
        <w:rPr>
          <w:lang w:val="es-MX"/>
        </w:rPr>
        <w:t>La</w:t>
      </w:r>
      <w:r>
        <w:rPr>
          <w:lang w:val="es-MX"/>
        </w:rPr>
        <w:t xml:space="preserve"> ejecución presupuestaria por fuente de financiamiento incluye cinco apartados, algunos de los cuales están compuestos por diferentes fuentes, dentro de estos </w:t>
      </w:r>
      <w:r w:rsidR="00A025B8">
        <w:rPr>
          <w:lang w:val="es-MX"/>
        </w:rPr>
        <w:t>figuran</w:t>
      </w:r>
      <w:r>
        <w:rPr>
          <w:lang w:val="es-MX"/>
        </w:rPr>
        <w:t xml:space="preserve"> los Ingresos Corrientes, Ingresos Tributarios IVA-Paz</w:t>
      </w:r>
      <w:r w:rsidR="00A025B8">
        <w:rPr>
          <w:lang w:val="es-MX"/>
        </w:rPr>
        <w:t xml:space="preserve"> y</w:t>
      </w:r>
      <w:r>
        <w:rPr>
          <w:lang w:val="es-MX"/>
        </w:rPr>
        <w:t xml:space="preserve"> Aportes Constitucionales</w:t>
      </w:r>
      <w:r w:rsidR="00A025B8">
        <w:rPr>
          <w:lang w:val="es-MX"/>
        </w:rPr>
        <w:t>;</w:t>
      </w:r>
      <w:r>
        <w:rPr>
          <w:lang w:val="es-MX"/>
        </w:rPr>
        <w:t xml:space="preserve"> seguidamente se encuentran agrupadas las fuentes relacionadas con recursos provenientes de la deuda pública y las donaciones</w:t>
      </w:r>
      <w:r w:rsidR="00A025B8">
        <w:rPr>
          <w:lang w:val="es-MX"/>
        </w:rPr>
        <w:t>;</w:t>
      </w:r>
      <w:r>
        <w:rPr>
          <w:lang w:val="es-MX"/>
        </w:rPr>
        <w:t xml:space="preserve"> y finalmente las restantes con menos recursos disponibles para la ejecución presupuestaria titulado como “Otras Fuentes”.</w:t>
      </w:r>
    </w:p>
    <w:p w:rsidR="00AD535C" w:rsidRDefault="00AD535C" w:rsidP="00AD535C">
      <w:pPr>
        <w:jc w:val="both"/>
        <w:rPr>
          <w:lang w:val="es-MX"/>
        </w:rPr>
      </w:pPr>
    </w:p>
    <w:p w:rsidR="00AD535C" w:rsidRDefault="00AD535C" w:rsidP="00AD535C">
      <w:pPr>
        <w:jc w:val="both"/>
        <w:rPr>
          <w:lang w:val="es-MX"/>
        </w:rPr>
      </w:pPr>
      <w:r>
        <w:rPr>
          <w:lang w:val="es-MX"/>
        </w:rPr>
        <w:lastRenderedPageBreak/>
        <w:t xml:space="preserve">Los </w:t>
      </w:r>
      <w:r w:rsidR="00A025B8">
        <w:rPr>
          <w:lang w:val="es-MX"/>
        </w:rPr>
        <w:t>I</w:t>
      </w:r>
      <w:r>
        <w:rPr>
          <w:lang w:val="es-MX"/>
        </w:rPr>
        <w:t xml:space="preserve">ngresos </w:t>
      </w:r>
      <w:r w:rsidR="00A025B8">
        <w:rPr>
          <w:lang w:val="es-MX"/>
        </w:rPr>
        <w:t>C</w:t>
      </w:r>
      <w:r>
        <w:rPr>
          <w:lang w:val="es-MX"/>
        </w:rPr>
        <w:t>orrientes financiaron la ejecución presupuestaria en 52.8% en 2019 y en 49.8% en 2020</w:t>
      </w:r>
      <w:r w:rsidR="00A025B8">
        <w:rPr>
          <w:lang w:val="es-MX"/>
        </w:rPr>
        <w:t>;</w:t>
      </w:r>
      <w:r>
        <w:rPr>
          <w:lang w:val="es-MX"/>
        </w:rPr>
        <w:t xml:space="preserve"> el IVA-Paz tuvo una participación en la ejecución del 13.5% en 2019 y de 11.8% en 2020</w:t>
      </w:r>
      <w:r w:rsidR="00A025B8">
        <w:rPr>
          <w:lang w:val="es-MX"/>
        </w:rPr>
        <w:t>;</w:t>
      </w:r>
      <w:r>
        <w:rPr>
          <w:lang w:val="es-MX"/>
        </w:rPr>
        <w:t xml:space="preserve"> se ejecutó el gasto público </w:t>
      </w:r>
      <w:r w:rsidR="00A025B8">
        <w:rPr>
          <w:lang w:val="es-MX"/>
        </w:rPr>
        <w:t>con</w:t>
      </w:r>
      <w:r>
        <w:rPr>
          <w:lang w:val="es-MX"/>
        </w:rPr>
        <w:t xml:space="preserve"> Aportes Constitucionales </w:t>
      </w:r>
      <w:r w:rsidR="00A025B8">
        <w:rPr>
          <w:lang w:val="es-MX"/>
        </w:rPr>
        <w:t>en</w:t>
      </w:r>
      <w:r>
        <w:rPr>
          <w:lang w:val="es-MX"/>
        </w:rPr>
        <w:t xml:space="preserve"> 8.9% en 2019 y 7.9% en 2020</w:t>
      </w:r>
      <w:r w:rsidR="00A025B8">
        <w:rPr>
          <w:lang w:val="es-MX"/>
        </w:rPr>
        <w:t>;</w:t>
      </w:r>
      <w:r>
        <w:rPr>
          <w:lang w:val="es-MX"/>
        </w:rPr>
        <w:t xml:space="preserve"> la deuda pública tuvo una participación en la ejecución total al 30 de junio de 2019 de 21.5% y de 26.9% en 2020</w:t>
      </w:r>
      <w:r w:rsidR="00A025B8">
        <w:rPr>
          <w:lang w:val="es-MX"/>
        </w:rPr>
        <w:t>;</w:t>
      </w:r>
      <w:r>
        <w:rPr>
          <w:lang w:val="es-MX"/>
        </w:rPr>
        <w:t xml:space="preserve"> el resto de las fuentes de financiamiento participaron por arriba del 3.0% en ambos años.</w:t>
      </w:r>
    </w:p>
    <w:p w:rsidR="00AD535C" w:rsidRDefault="00AD535C" w:rsidP="00AD535C">
      <w:pPr>
        <w:jc w:val="both"/>
        <w:rPr>
          <w:lang w:val="es-MX"/>
        </w:rPr>
      </w:pPr>
    </w:p>
    <w:p w:rsidR="00AD535C" w:rsidRDefault="00AD535C" w:rsidP="00AD535C">
      <w:pPr>
        <w:jc w:val="both"/>
        <w:rPr>
          <w:lang w:val="es-MX"/>
        </w:rPr>
      </w:pPr>
      <w:r>
        <w:rPr>
          <w:lang w:val="es-MX"/>
        </w:rPr>
        <w:t>El gasto público ejecutado con fuentes provenientes del endeudamiento público aumentó en Q</w:t>
      </w:r>
      <w:r w:rsidR="00A025B8">
        <w:rPr>
          <w:lang w:val="es-MX"/>
        </w:rPr>
        <w:t>.</w:t>
      </w:r>
      <w:r>
        <w:rPr>
          <w:lang w:val="es-MX"/>
        </w:rPr>
        <w:t>2,954.1 millones, al pasar de Q</w:t>
      </w:r>
      <w:r w:rsidR="00A025B8">
        <w:rPr>
          <w:lang w:val="es-MX"/>
        </w:rPr>
        <w:t>.</w:t>
      </w:r>
      <w:r>
        <w:rPr>
          <w:lang w:val="es-MX"/>
        </w:rPr>
        <w:t xml:space="preserve">8,140.7 millones </w:t>
      </w:r>
      <w:r w:rsidR="00A025B8">
        <w:rPr>
          <w:lang w:val="es-MX"/>
        </w:rPr>
        <w:t>en</w:t>
      </w:r>
      <w:r>
        <w:rPr>
          <w:lang w:val="es-MX"/>
        </w:rPr>
        <w:t xml:space="preserve"> junio de 2019 a Q</w:t>
      </w:r>
      <w:r w:rsidR="00A025B8">
        <w:rPr>
          <w:lang w:val="es-MX"/>
        </w:rPr>
        <w:t>.</w:t>
      </w:r>
      <w:r>
        <w:rPr>
          <w:lang w:val="es-MX"/>
        </w:rPr>
        <w:t>11,094.8 millones en el mismo período de 2020. El mayor uso de recursos provenientes de</w:t>
      </w:r>
      <w:r w:rsidR="00A025B8">
        <w:rPr>
          <w:lang w:val="es-MX"/>
        </w:rPr>
        <w:t>l endeudamiento</w:t>
      </w:r>
      <w:r>
        <w:rPr>
          <w:lang w:val="es-MX"/>
        </w:rPr>
        <w:t xml:space="preserve"> se utilizó para el pago de Deuda Pública con un monto de Q</w:t>
      </w:r>
      <w:r w:rsidR="00A025B8">
        <w:rPr>
          <w:lang w:val="es-MX"/>
        </w:rPr>
        <w:t>.</w:t>
      </w:r>
      <w:r>
        <w:rPr>
          <w:lang w:val="es-MX"/>
        </w:rPr>
        <w:t>5,476.0 millones en 2019 y de Q</w:t>
      </w:r>
      <w:r w:rsidR="005339A7">
        <w:rPr>
          <w:lang w:val="es-MX"/>
        </w:rPr>
        <w:t>.</w:t>
      </w:r>
      <w:r>
        <w:rPr>
          <w:lang w:val="es-MX"/>
        </w:rPr>
        <w:t>4,805.0 millones en 2020.  Las Obligaciones del Estado</w:t>
      </w:r>
      <w:r w:rsidR="005339A7">
        <w:rPr>
          <w:lang w:val="es-MX"/>
        </w:rPr>
        <w:t xml:space="preserve"> a cargo del Tesoro</w:t>
      </w:r>
      <w:r>
        <w:rPr>
          <w:lang w:val="es-MX"/>
        </w:rPr>
        <w:t xml:space="preserve"> ejecutó Q</w:t>
      </w:r>
      <w:r w:rsidR="005339A7">
        <w:rPr>
          <w:lang w:val="es-MX"/>
        </w:rPr>
        <w:t>.</w:t>
      </w:r>
      <w:r>
        <w:rPr>
          <w:lang w:val="es-MX"/>
        </w:rPr>
        <w:t>1,701.0 millones más en 2020 que lo observado en junio de 2019, con un monto de Q</w:t>
      </w:r>
      <w:r w:rsidR="005339A7">
        <w:rPr>
          <w:lang w:val="es-MX"/>
        </w:rPr>
        <w:t>.</w:t>
      </w:r>
      <w:r>
        <w:rPr>
          <w:lang w:val="es-MX"/>
        </w:rPr>
        <w:t>2,333.3 millones. El Ministerio de Comunicaciones ejecutó Q</w:t>
      </w:r>
      <w:r w:rsidR="005339A7">
        <w:rPr>
          <w:lang w:val="es-MX"/>
        </w:rPr>
        <w:t>.</w:t>
      </w:r>
      <w:r>
        <w:rPr>
          <w:lang w:val="es-MX"/>
        </w:rPr>
        <w:t>1,549.9 millones en 2019 y Q</w:t>
      </w:r>
      <w:r w:rsidR="005339A7">
        <w:rPr>
          <w:lang w:val="es-MX"/>
        </w:rPr>
        <w:t>.</w:t>
      </w:r>
      <w:r>
        <w:rPr>
          <w:lang w:val="es-MX"/>
        </w:rPr>
        <w:t>1,169.5 millones en 2020.  Vale resaltar que el Ministerio de Desarrollo Social, con motivo de los efectos causado</w:t>
      </w:r>
      <w:r w:rsidR="005339A7">
        <w:rPr>
          <w:lang w:val="es-MX"/>
        </w:rPr>
        <w:t>s</w:t>
      </w:r>
      <w:r>
        <w:rPr>
          <w:lang w:val="es-MX"/>
        </w:rPr>
        <w:t xml:space="preserve"> por la pandemia</w:t>
      </w:r>
      <w:r w:rsidR="005339A7">
        <w:rPr>
          <w:lang w:val="es-MX"/>
        </w:rPr>
        <w:t xml:space="preserve"> del Covid-19</w:t>
      </w:r>
      <w:r>
        <w:rPr>
          <w:lang w:val="es-MX"/>
        </w:rPr>
        <w:t>, pasó de una ejecución de Q</w:t>
      </w:r>
      <w:r w:rsidR="005339A7">
        <w:rPr>
          <w:lang w:val="es-MX"/>
        </w:rPr>
        <w:t>.</w:t>
      </w:r>
      <w:r>
        <w:rPr>
          <w:lang w:val="es-MX"/>
        </w:rPr>
        <w:t>23.3 millones en junio de 2019 a Q</w:t>
      </w:r>
      <w:r w:rsidR="005339A7">
        <w:rPr>
          <w:lang w:val="es-MX"/>
        </w:rPr>
        <w:t>.</w:t>
      </w:r>
      <w:r>
        <w:rPr>
          <w:lang w:val="es-MX"/>
        </w:rPr>
        <w:t>1,750.9 millones</w:t>
      </w:r>
      <w:r w:rsidR="005339A7">
        <w:rPr>
          <w:lang w:val="es-MX"/>
        </w:rPr>
        <w:t>;</w:t>
      </w:r>
      <w:r>
        <w:rPr>
          <w:lang w:val="es-MX"/>
        </w:rPr>
        <w:t xml:space="preserve"> es decir, tuvo un aumento de Q</w:t>
      </w:r>
      <w:r w:rsidR="005339A7">
        <w:rPr>
          <w:lang w:val="es-MX"/>
        </w:rPr>
        <w:t>.</w:t>
      </w:r>
      <w:r>
        <w:rPr>
          <w:lang w:val="es-MX"/>
        </w:rPr>
        <w:t>1,727.6 millones.</w:t>
      </w:r>
    </w:p>
    <w:p w:rsidR="00AD535C" w:rsidRDefault="00AD535C" w:rsidP="00AD535C">
      <w:pPr>
        <w:jc w:val="both"/>
        <w:rPr>
          <w:lang w:val="es-MX"/>
        </w:rPr>
      </w:pPr>
    </w:p>
    <w:p w:rsidR="00AD535C" w:rsidRPr="00451BC5" w:rsidRDefault="00AD535C" w:rsidP="00AD535C">
      <w:pPr>
        <w:jc w:val="center"/>
        <w:rPr>
          <w:b/>
          <w:szCs w:val="22"/>
          <w:lang w:val="es-MX"/>
        </w:rPr>
      </w:pPr>
      <w:r w:rsidRPr="00451BC5">
        <w:rPr>
          <w:b/>
          <w:szCs w:val="22"/>
          <w:lang w:val="es-MX"/>
        </w:rPr>
        <w:t>Cuadro 6</w:t>
      </w:r>
    </w:p>
    <w:p w:rsidR="00AD535C" w:rsidRPr="00451BC5" w:rsidRDefault="00AD535C" w:rsidP="00AD535C">
      <w:pPr>
        <w:jc w:val="center"/>
        <w:rPr>
          <w:b/>
          <w:szCs w:val="22"/>
          <w:lang w:val="es-MX"/>
        </w:rPr>
      </w:pPr>
      <w:r w:rsidRPr="00451BC5">
        <w:rPr>
          <w:b/>
          <w:szCs w:val="22"/>
          <w:lang w:val="es-MX"/>
        </w:rPr>
        <w:t>Ejecución Presupuestaria por Fuente de Financiamiento</w:t>
      </w:r>
    </w:p>
    <w:p w:rsidR="00AD535C" w:rsidRPr="00451BC5" w:rsidRDefault="00AD535C" w:rsidP="00AD535C">
      <w:pPr>
        <w:jc w:val="center"/>
        <w:rPr>
          <w:b/>
          <w:szCs w:val="22"/>
          <w:lang w:val="es-MX"/>
        </w:rPr>
      </w:pPr>
      <w:r w:rsidRPr="00451BC5">
        <w:rPr>
          <w:b/>
          <w:szCs w:val="22"/>
          <w:lang w:val="es-MX"/>
        </w:rPr>
        <w:t>Al 30 de junio de 201</w:t>
      </w:r>
      <w:r w:rsidR="005339A7" w:rsidRPr="00451BC5">
        <w:rPr>
          <w:b/>
          <w:szCs w:val="22"/>
          <w:lang w:val="es-MX"/>
        </w:rPr>
        <w:t>9</w:t>
      </w:r>
      <w:r w:rsidRPr="00451BC5">
        <w:rPr>
          <w:b/>
          <w:szCs w:val="22"/>
          <w:lang w:val="es-MX"/>
        </w:rPr>
        <w:t xml:space="preserve"> - 2020*</w:t>
      </w:r>
    </w:p>
    <w:p w:rsidR="00AD535C" w:rsidRPr="00451BC5" w:rsidRDefault="00AD535C" w:rsidP="00AD535C">
      <w:pPr>
        <w:jc w:val="center"/>
        <w:rPr>
          <w:b/>
          <w:szCs w:val="22"/>
          <w:lang w:val="es-MX"/>
        </w:rPr>
      </w:pPr>
      <w:r w:rsidRPr="00451BC5">
        <w:rPr>
          <w:b/>
          <w:szCs w:val="22"/>
          <w:lang w:val="es-MX"/>
        </w:rPr>
        <w:t>(</w:t>
      </w:r>
      <w:r w:rsidR="005107CC">
        <w:rPr>
          <w:b/>
          <w:szCs w:val="22"/>
          <w:lang w:val="es-MX"/>
        </w:rPr>
        <w:t xml:space="preserve">En </w:t>
      </w:r>
      <w:r w:rsidRPr="00451BC5">
        <w:rPr>
          <w:b/>
          <w:szCs w:val="22"/>
          <w:lang w:val="es-MX"/>
        </w:rPr>
        <w:t>Millones de Quetzales)</w:t>
      </w:r>
    </w:p>
    <w:p w:rsidR="00AD535C" w:rsidRDefault="00AD535C" w:rsidP="00AD535C">
      <w:pPr>
        <w:jc w:val="both"/>
        <w:rPr>
          <w:lang w:val="es-MX"/>
        </w:rPr>
      </w:pPr>
      <w:r w:rsidRPr="00E716EE">
        <w:rPr>
          <w:noProof/>
          <w:lang w:val="es-GT" w:eastAsia="es-GT"/>
        </w:rPr>
        <w:drawing>
          <wp:inline distT="0" distB="0" distL="0" distR="0" wp14:anchorId="3DB1CD64" wp14:editId="69213BC2">
            <wp:extent cx="5950149" cy="3650776"/>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51560" cy="3651642"/>
                    </a:xfrm>
                    <a:prstGeom prst="rect">
                      <a:avLst/>
                    </a:prstGeom>
                    <a:noFill/>
                    <a:ln>
                      <a:noFill/>
                    </a:ln>
                  </pic:spPr>
                </pic:pic>
              </a:graphicData>
            </a:graphic>
          </wp:inline>
        </w:drawing>
      </w:r>
    </w:p>
    <w:p w:rsidR="005339A7" w:rsidRDefault="005339A7" w:rsidP="005339A7">
      <w:pPr>
        <w:rPr>
          <w:sz w:val="18"/>
          <w:lang w:val="es-MX"/>
        </w:rPr>
      </w:pPr>
      <w:r w:rsidRPr="00B55626">
        <w:rPr>
          <w:sz w:val="18"/>
          <w:lang w:val="es-MX"/>
        </w:rPr>
        <w:t>* Cifras preliminares</w:t>
      </w:r>
    </w:p>
    <w:p w:rsidR="005339A7" w:rsidRPr="00B55626" w:rsidRDefault="005339A7" w:rsidP="005339A7">
      <w:pPr>
        <w:tabs>
          <w:tab w:val="left" w:pos="5954"/>
        </w:tabs>
        <w:rPr>
          <w:sz w:val="18"/>
          <w:lang w:val="es-MX"/>
        </w:rPr>
      </w:pPr>
      <w:r>
        <w:rPr>
          <w:sz w:val="18"/>
          <w:lang w:val="es-MX"/>
        </w:rPr>
        <w:t xml:space="preserve">   </w:t>
      </w:r>
      <w:r w:rsidRPr="00B55626">
        <w:rPr>
          <w:sz w:val="18"/>
          <w:lang w:val="es-MX"/>
        </w:rPr>
        <w:t>Fuente: Ministerio de Finanzas Públicas con base al SICOIN.</w:t>
      </w:r>
    </w:p>
    <w:p w:rsidR="005339A7" w:rsidRPr="00B55626" w:rsidRDefault="005339A7" w:rsidP="005339A7">
      <w:pPr>
        <w:rPr>
          <w:sz w:val="18"/>
          <w:lang w:val="es-MX"/>
        </w:rPr>
      </w:pPr>
    </w:p>
    <w:p w:rsidR="00B2076C" w:rsidRDefault="00B2076C" w:rsidP="00AD535C">
      <w:pPr>
        <w:jc w:val="both"/>
        <w:rPr>
          <w:lang w:val="es-MX"/>
        </w:rPr>
      </w:pPr>
    </w:p>
    <w:p w:rsidR="00B2076C" w:rsidRDefault="00B2076C" w:rsidP="00AD535C">
      <w:pPr>
        <w:jc w:val="both"/>
        <w:rPr>
          <w:lang w:val="es-MX"/>
        </w:rPr>
      </w:pPr>
    </w:p>
    <w:p w:rsidR="00AD535C" w:rsidRDefault="00AD535C" w:rsidP="00AD535C">
      <w:pPr>
        <w:jc w:val="both"/>
        <w:rPr>
          <w:lang w:val="es-MX"/>
        </w:rPr>
      </w:pPr>
    </w:p>
    <w:p w:rsidR="00AD535C" w:rsidRPr="00451BC5" w:rsidRDefault="00AD535C" w:rsidP="00AD535C">
      <w:pPr>
        <w:jc w:val="center"/>
        <w:rPr>
          <w:lang w:val="es-MX"/>
        </w:rPr>
      </w:pPr>
      <w:r w:rsidRPr="00451BC5">
        <w:rPr>
          <w:b/>
          <w:lang w:val="es-MX"/>
        </w:rPr>
        <w:t>Cuadro 7</w:t>
      </w:r>
    </w:p>
    <w:p w:rsidR="00AD535C" w:rsidRPr="00451BC5" w:rsidRDefault="00AD535C" w:rsidP="00AD535C">
      <w:pPr>
        <w:jc w:val="center"/>
        <w:rPr>
          <w:b/>
          <w:bCs/>
          <w:lang w:val="es-MX"/>
        </w:rPr>
      </w:pPr>
      <w:r w:rsidRPr="00451BC5">
        <w:rPr>
          <w:b/>
          <w:bCs/>
          <w:lang w:val="es-MX"/>
        </w:rPr>
        <w:t xml:space="preserve">Diferencias de </w:t>
      </w:r>
      <w:r w:rsidR="00BC5FC0">
        <w:rPr>
          <w:b/>
          <w:bCs/>
          <w:lang w:val="es-MX"/>
        </w:rPr>
        <w:t>E</w:t>
      </w:r>
      <w:r w:rsidRPr="00451BC5">
        <w:rPr>
          <w:b/>
          <w:bCs/>
          <w:lang w:val="es-MX"/>
        </w:rPr>
        <w:t xml:space="preserve">jecución </w:t>
      </w:r>
      <w:r w:rsidR="00BC5FC0">
        <w:rPr>
          <w:b/>
          <w:bCs/>
          <w:lang w:val="es-MX"/>
        </w:rPr>
        <w:t>P</w:t>
      </w:r>
      <w:r w:rsidRPr="00451BC5">
        <w:rPr>
          <w:b/>
          <w:bCs/>
          <w:lang w:val="es-MX"/>
        </w:rPr>
        <w:t>resupuestaria por Fuente de Financiamiento</w:t>
      </w:r>
    </w:p>
    <w:p w:rsidR="00AD535C" w:rsidRPr="00451BC5" w:rsidRDefault="00AD535C" w:rsidP="00AD535C">
      <w:pPr>
        <w:jc w:val="center"/>
        <w:rPr>
          <w:b/>
          <w:bCs/>
          <w:lang w:val="es-MX"/>
        </w:rPr>
      </w:pPr>
      <w:r w:rsidRPr="00451BC5">
        <w:rPr>
          <w:b/>
          <w:bCs/>
          <w:lang w:val="es-MX"/>
        </w:rPr>
        <w:t xml:space="preserve">Junio </w:t>
      </w:r>
      <w:r w:rsidR="00451BC5">
        <w:rPr>
          <w:b/>
          <w:bCs/>
          <w:lang w:val="es-MX"/>
        </w:rPr>
        <w:t xml:space="preserve">de </w:t>
      </w:r>
      <w:r w:rsidRPr="00451BC5">
        <w:rPr>
          <w:b/>
          <w:bCs/>
          <w:lang w:val="es-MX"/>
        </w:rPr>
        <w:t>2020</w:t>
      </w:r>
      <w:r w:rsidR="00927D15">
        <w:rPr>
          <w:b/>
          <w:bCs/>
          <w:lang w:val="es-MX"/>
        </w:rPr>
        <w:t>*</w:t>
      </w:r>
      <w:r w:rsidRPr="00451BC5">
        <w:rPr>
          <w:b/>
          <w:bCs/>
          <w:lang w:val="es-MX"/>
        </w:rPr>
        <w:t xml:space="preserve"> menos junio </w:t>
      </w:r>
      <w:r w:rsidR="00451BC5">
        <w:rPr>
          <w:b/>
          <w:bCs/>
          <w:lang w:val="es-MX"/>
        </w:rPr>
        <w:t xml:space="preserve">de </w:t>
      </w:r>
      <w:r w:rsidRPr="00451BC5">
        <w:rPr>
          <w:b/>
          <w:bCs/>
          <w:lang w:val="es-MX"/>
        </w:rPr>
        <w:t>2019</w:t>
      </w:r>
    </w:p>
    <w:p w:rsidR="00AD535C" w:rsidRPr="00451BC5" w:rsidRDefault="00451BC5" w:rsidP="00B2076C">
      <w:pPr>
        <w:jc w:val="center"/>
        <w:rPr>
          <w:lang w:val="es-MX"/>
        </w:rPr>
      </w:pPr>
      <w:r>
        <w:rPr>
          <w:b/>
          <w:bCs/>
          <w:lang w:val="es-MX"/>
        </w:rPr>
        <w:t>(</w:t>
      </w:r>
      <w:r w:rsidR="00BC5FC0">
        <w:rPr>
          <w:b/>
          <w:bCs/>
          <w:lang w:val="es-MX"/>
        </w:rPr>
        <w:t xml:space="preserve">En </w:t>
      </w:r>
      <w:r w:rsidR="00AD535C" w:rsidRPr="00451BC5">
        <w:rPr>
          <w:b/>
          <w:bCs/>
          <w:lang w:val="es-MX"/>
        </w:rPr>
        <w:t>Millones de Quetzales</w:t>
      </w:r>
      <w:r>
        <w:rPr>
          <w:b/>
          <w:bCs/>
          <w:lang w:val="es-MX"/>
        </w:rPr>
        <w:t>)</w:t>
      </w:r>
    </w:p>
    <w:tbl>
      <w:tblPr>
        <w:tblW w:w="9092" w:type="dxa"/>
        <w:jc w:val="center"/>
        <w:tblCellMar>
          <w:left w:w="70" w:type="dxa"/>
          <w:right w:w="70" w:type="dxa"/>
        </w:tblCellMar>
        <w:tblLook w:val="04A0" w:firstRow="1" w:lastRow="0" w:firstColumn="1" w:lastColumn="0" w:noHBand="0" w:noVBand="1"/>
      </w:tblPr>
      <w:tblGrid>
        <w:gridCol w:w="1711"/>
        <w:gridCol w:w="1130"/>
        <w:gridCol w:w="1142"/>
        <w:gridCol w:w="1276"/>
        <w:gridCol w:w="1276"/>
        <w:gridCol w:w="1353"/>
        <w:gridCol w:w="1204"/>
      </w:tblGrid>
      <w:tr w:rsidR="00AD535C" w:rsidRPr="00E716EE" w:rsidTr="00FD4260">
        <w:trPr>
          <w:trHeight w:val="300"/>
          <w:jc w:val="center"/>
        </w:trPr>
        <w:tc>
          <w:tcPr>
            <w:tcW w:w="1711" w:type="dxa"/>
            <w:vMerge w:val="restart"/>
            <w:tcBorders>
              <w:top w:val="single" w:sz="8" w:space="0" w:color="auto"/>
              <w:left w:val="single" w:sz="8" w:space="0" w:color="auto"/>
              <w:bottom w:val="single" w:sz="4" w:space="0" w:color="000000"/>
              <w:right w:val="nil"/>
            </w:tcBorders>
            <w:shd w:val="clear" w:color="000000" w:fill="B8CCE4"/>
            <w:vAlign w:val="center"/>
            <w:hideMark/>
          </w:tcPr>
          <w:p w:rsidR="00AD535C" w:rsidRPr="00EA616C" w:rsidRDefault="00AD535C" w:rsidP="0025776C">
            <w:pPr>
              <w:jc w:val="center"/>
              <w:rPr>
                <w:b/>
                <w:bCs/>
                <w:color w:val="000000"/>
                <w:sz w:val="22"/>
                <w:szCs w:val="20"/>
                <w:lang w:val="es-MX" w:eastAsia="es-MX"/>
              </w:rPr>
            </w:pPr>
            <w:r w:rsidRPr="00EA616C">
              <w:rPr>
                <w:b/>
                <w:bCs/>
                <w:color w:val="000000"/>
                <w:sz w:val="22"/>
                <w:szCs w:val="20"/>
                <w:lang w:val="es-MX" w:eastAsia="es-MX"/>
              </w:rPr>
              <w:t>Entidad</w:t>
            </w:r>
          </w:p>
        </w:tc>
        <w:tc>
          <w:tcPr>
            <w:tcW w:w="7381" w:type="dxa"/>
            <w:gridSpan w:val="6"/>
            <w:tcBorders>
              <w:top w:val="single" w:sz="8" w:space="0" w:color="auto"/>
              <w:left w:val="single" w:sz="4" w:space="0" w:color="auto"/>
              <w:bottom w:val="single" w:sz="4" w:space="0" w:color="auto"/>
              <w:right w:val="single" w:sz="8" w:space="0" w:color="000000"/>
            </w:tcBorders>
            <w:shd w:val="clear" w:color="000000" w:fill="B8CCE4"/>
            <w:noWrap/>
            <w:vAlign w:val="bottom"/>
            <w:hideMark/>
          </w:tcPr>
          <w:p w:rsidR="00AD535C" w:rsidRPr="00EA616C" w:rsidRDefault="00AD535C" w:rsidP="0025776C">
            <w:pPr>
              <w:jc w:val="center"/>
              <w:rPr>
                <w:b/>
                <w:bCs/>
                <w:color w:val="000000"/>
                <w:sz w:val="22"/>
                <w:szCs w:val="20"/>
                <w:lang w:val="es-MX" w:eastAsia="es-MX"/>
              </w:rPr>
            </w:pPr>
            <w:r w:rsidRPr="00EA616C">
              <w:rPr>
                <w:b/>
                <w:bCs/>
                <w:color w:val="000000"/>
                <w:sz w:val="22"/>
                <w:szCs w:val="20"/>
                <w:lang w:val="es-MX" w:eastAsia="es-MX"/>
              </w:rPr>
              <w:t>Diferencias 2020 -</w:t>
            </w:r>
            <w:r w:rsidR="00EA616C" w:rsidRPr="00EA616C">
              <w:rPr>
                <w:b/>
                <w:bCs/>
                <w:color w:val="000000"/>
                <w:sz w:val="22"/>
                <w:szCs w:val="20"/>
                <w:lang w:val="es-MX" w:eastAsia="es-MX"/>
              </w:rPr>
              <w:t xml:space="preserve"> </w:t>
            </w:r>
            <w:r w:rsidRPr="00EA616C">
              <w:rPr>
                <w:b/>
                <w:bCs/>
                <w:color w:val="000000"/>
                <w:sz w:val="22"/>
                <w:szCs w:val="20"/>
                <w:lang w:val="es-MX" w:eastAsia="es-MX"/>
              </w:rPr>
              <w:t>2019</w:t>
            </w:r>
          </w:p>
        </w:tc>
      </w:tr>
      <w:tr w:rsidR="00FD4260" w:rsidRPr="00E716EE" w:rsidTr="00FD4260">
        <w:trPr>
          <w:trHeight w:val="1020"/>
          <w:jc w:val="center"/>
        </w:trPr>
        <w:tc>
          <w:tcPr>
            <w:tcW w:w="1711" w:type="dxa"/>
            <w:vMerge/>
            <w:tcBorders>
              <w:top w:val="single" w:sz="8" w:space="0" w:color="auto"/>
              <w:left w:val="single" w:sz="8" w:space="0" w:color="auto"/>
              <w:bottom w:val="single" w:sz="4" w:space="0" w:color="000000"/>
              <w:right w:val="nil"/>
            </w:tcBorders>
            <w:vAlign w:val="center"/>
            <w:hideMark/>
          </w:tcPr>
          <w:p w:rsidR="00AD535C" w:rsidRPr="00EA616C" w:rsidRDefault="00AD535C" w:rsidP="0025776C">
            <w:pPr>
              <w:rPr>
                <w:b/>
                <w:bCs/>
                <w:color w:val="000000"/>
                <w:sz w:val="22"/>
                <w:szCs w:val="20"/>
                <w:lang w:val="es-MX" w:eastAsia="es-MX"/>
              </w:rPr>
            </w:pPr>
          </w:p>
        </w:tc>
        <w:tc>
          <w:tcPr>
            <w:tcW w:w="1130" w:type="dxa"/>
            <w:tcBorders>
              <w:top w:val="nil"/>
              <w:left w:val="single" w:sz="4" w:space="0" w:color="auto"/>
              <w:bottom w:val="single" w:sz="4" w:space="0" w:color="auto"/>
              <w:right w:val="single" w:sz="4" w:space="0" w:color="auto"/>
            </w:tcBorders>
            <w:shd w:val="clear" w:color="000000" w:fill="B8CCE4"/>
            <w:vAlign w:val="center"/>
            <w:hideMark/>
          </w:tcPr>
          <w:p w:rsidR="00AD535C" w:rsidRPr="00EA616C" w:rsidRDefault="00AD535C" w:rsidP="0025776C">
            <w:pPr>
              <w:jc w:val="center"/>
              <w:rPr>
                <w:b/>
                <w:bCs/>
                <w:color w:val="000000"/>
                <w:sz w:val="22"/>
                <w:szCs w:val="20"/>
                <w:lang w:val="es-MX" w:eastAsia="es-MX"/>
              </w:rPr>
            </w:pPr>
            <w:r w:rsidRPr="00EA616C">
              <w:rPr>
                <w:b/>
                <w:bCs/>
                <w:color w:val="000000"/>
                <w:sz w:val="22"/>
                <w:szCs w:val="20"/>
                <w:lang w:val="es-MX" w:eastAsia="es-MX"/>
              </w:rPr>
              <w:t>Total Ejecución</w:t>
            </w:r>
          </w:p>
        </w:tc>
        <w:tc>
          <w:tcPr>
            <w:tcW w:w="1142" w:type="dxa"/>
            <w:tcBorders>
              <w:top w:val="nil"/>
              <w:left w:val="nil"/>
              <w:bottom w:val="single" w:sz="4" w:space="0" w:color="auto"/>
              <w:right w:val="nil"/>
            </w:tcBorders>
            <w:shd w:val="clear" w:color="000000" w:fill="B8CCE4"/>
            <w:vAlign w:val="center"/>
            <w:hideMark/>
          </w:tcPr>
          <w:p w:rsidR="00AD535C" w:rsidRPr="00EA616C" w:rsidRDefault="00AD535C" w:rsidP="0025776C">
            <w:pPr>
              <w:jc w:val="center"/>
              <w:rPr>
                <w:b/>
                <w:bCs/>
                <w:color w:val="000000"/>
                <w:sz w:val="22"/>
                <w:szCs w:val="20"/>
                <w:lang w:val="es-MX" w:eastAsia="es-MX"/>
              </w:rPr>
            </w:pPr>
            <w:r w:rsidRPr="00EA616C">
              <w:rPr>
                <w:b/>
                <w:bCs/>
                <w:color w:val="000000"/>
                <w:sz w:val="22"/>
                <w:szCs w:val="20"/>
                <w:lang w:val="es-MX" w:eastAsia="es-MX"/>
              </w:rPr>
              <w:t>Ingresos Corrientes</w:t>
            </w:r>
          </w:p>
        </w:tc>
        <w:tc>
          <w:tcPr>
            <w:tcW w:w="1276" w:type="dxa"/>
            <w:tcBorders>
              <w:top w:val="nil"/>
              <w:left w:val="nil"/>
              <w:bottom w:val="single" w:sz="4" w:space="0" w:color="auto"/>
              <w:right w:val="nil"/>
            </w:tcBorders>
            <w:shd w:val="clear" w:color="000000" w:fill="B8CCE4"/>
            <w:vAlign w:val="center"/>
            <w:hideMark/>
          </w:tcPr>
          <w:p w:rsidR="00AD535C" w:rsidRPr="00EA616C" w:rsidRDefault="00AD535C" w:rsidP="00FD4260">
            <w:pPr>
              <w:jc w:val="center"/>
              <w:rPr>
                <w:b/>
                <w:bCs/>
                <w:color w:val="000000"/>
                <w:sz w:val="22"/>
                <w:szCs w:val="20"/>
                <w:lang w:val="es-MX" w:eastAsia="es-MX"/>
              </w:rPr>
            </w:pPr>
            <w:r w:rsidRPr="00EA616C">
              <w:rPr>
                <w:b/>
                <w:bCs/>
                <w:color w:val="000000"/>
                <w:sz w:val="22"/>
                <w:szCs w:val="20"/>
                <w:lang w:val="es-MX" w:eastAsia="es-MX"/>
              </w:rPr>
              <w:t xml:space="preserve">Ingresos </w:t>
            </w:r>
            <w:r w:rsidR="00FD4260">
              <w:rPr>
                <w:b/>
                <w:bCs/>
                <w:color w:val="000000"/>
                <w:sz w:val="22"/>
                <w:szCs w:val="20"/>
                <w:lang w:val="es-MX" w:eastAsia="es-MX"/>
              </w:rPr>
              <w:t>T</w:t>
            </w:r>
            <w:r w:rsidRPr="00EA616C">
              <w:rPr>
                <w:b/>
                <w:bCs/>
                <w:color w:val="000000"/>
                <w:sz w:val="22"/>
                <w:szCs w:val="20"/>
                <w:lang w:val="es-MX" w:eastAsia="es-MX"/>
              </w:rPr>
              <w:t>ributarios Iva-Paz</w:t>
            </w:r>
          </w:p>
        </w:tc>
        <w:tc>
          <w:tcPr>
            <w:tcW w:w="1276" w:type="dxa"/>
            <w:tcBorders>
              <w:top w:val="nil"/>
              <w:left w:val="nil"/>
              <w:bottom w:val="single" w:sz="4" w:space="0" w:color="auto"/>
              <w:right w:val="nil"/>
            </w:tcBorders>
            <w:shd w:val="clear" w:color="000000" w:fill="B8CCE4"/>
            <w:vAlign w:val="center"/>
            <w:hideMark/>
          </w:tcPr>
          <w:p w:rsidR="00AD535C" w:rsidRPr="00EA616C" w:rsidRDefault="00AD535C" w:rsidP="0025776C">
            <w:pPr>
              <w:jc w:val="center"/>
              <w:rPr>
                <w:b/>
                <w:bCs/>
                <w:color w:val="000000"/>
                <w:sz w:val="22"/>
                <w:szCs w:val="20"/>
                <w:lang w:val="es-MX" w:eastAsia="es-MX"/>
              </w:rPr>
            </w:pPr>
            <w:r w:rsidRPr="00EA616C">
              <w:rPr>
                <w:b/>
                <w:bCs/>
                <w:color w:val="000000"/>
                <w:sz w:val="22"/>
                <w:szCs w:val="20"/>
                <w:lang w:val="es-MX" w:eastAsia="es-MX"/>
              </w:rPr>
              <w:t>Aportes Constitu-cionales</w:t>
            </w:r>
          </w:p>
        </w:tc>
        <w:tc>
          <w:tcPr>
            <w:tcW w:w="1353" w:type="dxa"/>
            <w:tcBorders>
              <w:top w:val="nil"/>
              <w:left w:val="nil"/>
              <w:bottom w:val="single" w:sz="4" w:space="0" w:color="auto"/>
              <w:right w:val="nil"/>
            </w:tcBorders>
            <w:shd w:val="clear" w:color="000000" w:fill="B8CCE4"/>
            <w:vAlign w:val="center"/>
            <w:hideMark/>
          </w:tcPr>
          <w:p w:rsidR="00AD535C" w:rsidRPr="00EA616C" w:rsidRDefault="00AD535C" w:rsidP="0025776C">
            <w:pPr>
              <w:jc w:val="center"/>
              <w:rPr>
                <w:b/>
                <w:bCs/>
                <w:color w:val="000000"/>
                <w:sz w:val="22"/>
                <w:szCs w:val="20"/>
                <w:lang w:val="es-MX" w:eastAsia="es-MX"/>
              </w:rPr>
            </w:pPr>
            <w:r w:rsidRPr="00EA616C">
              <w:rPr>
                <w:b/>
                <w:bCs/>
                <w:color w:val="000000"/>
                <w:sz w:val="22"/>
                <w:szCs w:val="20"/>
                <w:lang w:val="es-MX" w:eastAsia="es-MX"/>
              </w:rPr>
              <w:t>Préstamos, Donaciones y Colocación de Bonos</w:t>
            </w:r>
          </w:p>
        </w:tc>
        <w:tc>
          <w:tcPr>
            <w:tcW w:w="1204" w:type="dxa"/>
            <w:tcBorders>
              <w:top w:val="nil"/>
              <w:left w:val="nil"/>
              <w:bottom w:val="single" w:sz="4" w:space="0" w:color="auto"/>
              <w:right w:val="single" w:sz="8" w:space="0" w:color="auto"/>
            </w:tcBorders>
            <w:shd w:val="clear" w:color="000000" w:fill="B8CCE4"/>
            <w:vAlign w:val="center"/>
            <w:hideMark/>
          </w:tcPr>
          <w:p w:rsidR="00AD535C" w:rsidRPr="00EA616C" w:rsidRDefault="00AD535C" w:rsidP="00EA616C">
            <w:pPr>
              <w:jc w:val="center"/>
              <w:rPr>
                <w:b/>
                <w:bCs/>
                <w:color w:val="000000"/>
                <w:sz w:val="22"/>
                <w:szCs w:val="20"/>
                <w:lang w:val="es-MX" w:eastAsia="es-MX"/>
              </w:rPr>
            </w:pPr>
            <w:r w:rsidRPr="00EA616C">
              <w:rPr>
                <w:b/>
                <w:bCs/>
                <w:color w:val="000000"/>
                <w:sz w:val="22"/>
                <w:szCs w:val="20"/>
                <w:lang w:val="es-MX" w:eastAsia="es-MX"/>
              </w:rPr>
              <w:t>Otras</w:t>
            </w:r>
            <w:r w:rsidR="00EA616C" w:rsidRPr="00EA616C">
              <w:rPr>
                <w:b/>
                <w:bCs/>
                <w:color w:val="000000"/>
                <w:sz w:val="22"/>
                <w:szCs w:val="20"/>
                <w:lang w:val="es-MX" w:eastAsia="es-MX"/>
              </w:rPr>
              <w:t xml:space="preserve"> </w:t>
            </w:r>
            <w:r w:rsidRPr="00EA616C">
              <w:rPr>
                <w:b/>
                <w:bCs/>
                <w:color w:val="000000"/>
                <w:sz w:val="22"/>
                <w:szCs w:val="20"/>
                <w:lang w:val="es-MX" w:eastAsia="es-MX"/>
              </w:rPr>
              <w:t>Fuentes</w:t>
            </w:r>
          </w:p>
        </w:tc>
      </w:tr>
      <w:tr w:rsidR="00FD4260" w:rsidRPr="00E716EE" w:rsidTr="00FD4260">
        <w:trPr>
          <w:trHeight w:val="300"/>
          <w:jc w:val="center"/>
        </w:trPr>
        <w:tc>
          <w:tcPr>
            <w:tcW w:w="1711" w:type="dxa"/>
            <w:tcBorders>
              <w:top w:val="nil"/>
              <w:left w:val="single" w:sz="8" w:space="0" w:color="auto"/>
              <w:bottom w:val="nil"/>
              <w:right w:val="nil"/>
            </w:tcBorders>
            <w:shd w:val="clear" w:color="auto" w:fill="auto"/>
            <w:noWrap/>
            <w:vAlign w:val="bottom"/>
            <w:hideMark/>
          </w:tcPr>
          <w:p w:rsidR="00AD535C" w:rsidRPr="00EA616C" w:rsidRDefault="00AD535C" w:rsidP="0025776C">
            <w:pPr>
              <w:jc w:val="center"/>
              <w:rPr>
                <w:b/>
                <w:bCs/>
                <w:color w:val="000000"/>
                <w:sz w:val="20"/>
                <w:szCs w:val="20"/>
                <w:lang w:val="es-MX" w:eastAsia="es-MX"/>
              </w:rPr>
            </w:pPr>
            <w:r w:rsidRPr="00EA616C">
              <w:rPr>
                <w:b/>
                <w:bCs/>
                <w:color w:val="000000"/>
                <w:sz w:val="20"/>
                <w:szCs w:val="20"/>
                <w:lang w:val="es-MX" w:eastAsia="es-MX"/>
              </w:rPr>
              <w:t>Totales</w:t>
            </w:r>
          </w:p>
        </w:tc>
        <w:tc>
          <w:tcPr>
            <w:tcW w:w="1130" w:type="dxa"/>
            <w:tcBorders>
              <w:top w:val="nil"/>
              <w:left w:val="single" w:sz="4" w:space="0" w:color="auto"/>
              <w:bottom w:val="nil"/>
              <w:right w:val="single" w:sz="4" w:space="0" w:color="auto"/>
            </w:tcBorders>
            <w:shd w:val="clear" w:color="auto" w:fill="auto"/>
            <w:noWrap/>
            <w:vAlign w:val="bottom"/>
            <w:hideMark/>
          </w:tcPr>
          <w:p w:rsidR="00AD535C" w:rsidRPr="00EA616C" w:rsidRDefault="00AD535C" w:rsidP="0025776C">
            <w:pPr>
              <w:jc w:val="right"/>
              <w:rPr>
                <w:b/>
                <w:bCs/>
                <w:color w:val="000000"/>
                <w:sz w:val="20"/>
                <w:szCs w:val="20"/>
                <w:lang w:val="es-MX" w:eastAsia="es-MX"/>
              </w:rPr>
            </w:pPr>
            <w:r w:rsidRPr="00EA616C">
              <w:rPr>
                <w:b/>
                <w:bCs/>
                <w:color w:val="000000"/>
                <w:sz w:val="20"/>
                <w:szCs w:val="20"/>
                <w:lang w:val="es-MX" w:eastAsia="es-MX"/>
              </w:rPr>
              <w:t>3,406.2</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b/>
                <w:bCs/>
                <w:color w:val="000000"/>
                <w:sz w:val="20"/>
                <w:szCs w:val="20"/>
                <w:lang w:val="es-MX" w:eastAsia="es-MX"/>
              </w:rPr>
            </w:pPr>
            <w:r w:rsidRPr="00EA616C">
              <w:rPr>
                <w:b/>
                <w:bCs/>
                <w:color w:val="000000"/>
                <w:sz w:val="20"/>
                <w:szCs w:val="20"/>
                <w:lang w:val="es-MX" w:eastAsia="es-MX"/>
              </w:rPr>
              <w:t>590.0</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b/>
                <w:bCs/>
                <w:color w:val="000000"/>
                <w:sz w:val="20"/>
                <w:szCs w:val="20"/>
                <w:lang w:val="es-MX" w:eastAsia="es-MX"/>
              </w:rPr>
            </w:pPr>
            <w:r w:rsidRPr="00EA616C">
              <w:rPr>
                <w:b/>
                <w:bCs/>
                <w:color w:val="000000"/>
                <w:sz w:val="20"/>
                <w:szCs w:val="20"/>
                <w:lang w:val="es-MX" w:eastAsia="es-MX"/>
              </w:rPr>
              <w:t>-228.5</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b/>
                <w:bCs/>
                <w:color w:val="000000"/>
                <w:sz w:val="20"/>
                <w:szCs w:val="20"/>
                <w:lang w:val="es-MX" w:eastAsia="es-MX"/>
              </w:rPr>
            </w:pPr>
            <w:r w:rsidRPr="00EA616C">
              <w:rPr>
                <w:b/>
                <w:bCs/>
                <w:color w:val="000000"/>
                <w:sz w:val="20"/>
                <w:szCs w:val="20"/>
                <w:lang w:val="es-MX" w:eastAsia="es-MX"/>
              </w:rPr>
              <w:t>-109.8</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b/>
                <w:bCs/>
                <w:color w:val="000000"/>
                <w:sz w:val="20"/>
                <w:szCs w:val="20"/>
                <w:lang w:val="es-MX" w:eastAsia="es-MX"/>
              </w:rPr>
            </w:pPr>
            <w:r w:rsidRPr="00EA616C">
              <w:rPr>
                <w:b/>
                <w:bCs/>
                <w:color w:val="000000"/>
                <w:sz w:val="20"/>
                <w:szCs w:val="20"/>
                <w:lang w:val="es-MX" w:eastAsia="es-MX"/>
              </w:rPr>
              <w:t>2,954.1</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b/>
                <w:bCs/>
                <w:color w:val="000000"/>
                <w:sz w:val="20"/>
                <w:szCs w:val="20"/>
                <w:lang w:val="es-MX" w:eastAsia="es-MX"/>
              </w:rPr>
            </w:pPr>
            <w:r w:rsidRPr="00EA616C">
              <w:rPr>
                <w:b/>
                <w:bCs/>
                <w:color w:val="000000"/>
                <w:sz w:val="20"/>
                <w:szCs w:val="20"/>
                <w:lang w:val="es-MX" w:eastAsia="es-MX"/>
              </w:rPr>
              <w:t>200.4</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EEECE1"/>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Presidencia</w:t>
            </w:r>
          </w:p>
        </w:tc>
        <w:tc>
          <w:tcPr>
            <w:tcW w:w="1130" w:type="dxa"/>
            <w:tcBorders>
              <w:top w:val="nil"/>
              <w:left w:val="single" w:sz="4" w:space="0" w:color="auto"/>
              <w:bottom w:val="nil"/>
              <w:right w:val="single" w:sz="4"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-17.1</w:t>
            </w:r>
          </w:p>
        </w:tc>
        <w:tc>
          <w:tcPr>
            <w:tcW w:w="1142"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-17.1</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04" w:type="dxa"/>
            <w:tcBorders>
              <w:top w:val="nil"/>
              <w:left w:val="nil"/>
              <w:bottom w:val="nil"/>
              <w:right w:val="single" w:sz="8"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FFFFFF"/>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Rel. Exteriores</w:t>
            </w:r>
          </w:p>
        </w:tc>
        <w:tc>
          <w:tcPr>
            <w:tcW w:w="1130" w:type="dxa"/>
            <w:tcBorders>
              <w:top w:val="nil"/>
              <w:left w:val="single" w:sz="4" w:space="0" w:color="auto"/>
              <w:bottom w:val="nil"/>
              <w:right w:val="single" w:sz="4" w:space="0" w:color="auto"/>
            </w:tcBorders>
            <w:shd w:val="clear" w:color="auto" w:fill="auto"/>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3.0</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17.4</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-14.4</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EEECE1"/>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Gobernación</w:t>
            </w:r>
          </w:p>
        </w:tc>
        <w:tc>
          <w:tcPr>
            <w:tcW w:w="1130" w:type="dxa"/>
            <w:tcBorders>
              <w:top w:val="nil"/>
              <w:left w:val="single" w:sz="4" w:space="0" w:color="auto"/>
              <w:bottom w:val="nil"/>
              <w:right w:val="single" w:sz="4"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247.4</w:t>
            </w:r>
          </w:p>
        </w:tc>
        <w:tc>
          <w:tcPr>
            <w:tcW w:w="1142"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219.3</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119.2</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-85.5</w:t>
            </w:r>
          </w:p>
        </w:tc>
        <w:tc>
          <w:tcPr>
            <w:tcW w:w="1204" w:type="dxa"/>
            <w:tcBorders>
              <w:top w:val="nil"/>
              <w:left w:val="nil"/>
              <w:bottom w:val="nil"/>
              <w:right w:val="single" w:sz="8"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-5.5</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FFFFFF"/>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Defensa</w:t>
            </w:r>
          </w:p>
        </w:tc>
        <w:tc>
          <w:tcPr>
            <w:tcW w:w="1130" w:type="dxa"/>
            <w:tcBorders>
              <w:top w:val="nil"/>
              <w:left w:val="single" w:sz="4" w:space="0" w:color="auto"/>
              <w:bottom w:val="nil"/>
              <w:right w:val="single" w:sz="4" w:space="0" w:color="auto"/>
            </w:tcBorders>
            <w:shd w:val="clear" w:color="auto" w:fill="auto"/>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16.7</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32.0</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2.4</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-17.7</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EEECE1"/>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Finanzas</w:t>
            </w:r>
          </w:p>
        </w:tc>
        <w:tc>
          <w:tcPr>
            <w:tcW w:w="1130" w:type="dxa"/>
            <w:tcBorders>
              <w:top w:val="nil"/>
              <w:left w:val="single" w:sz="4" w:space="0" w:color="auto"/>
              <w:bottom w:val="nil"/>
              <w:right w:val="single" w:sz="4"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-4.1</w:t>
            </w:r>
          </w:p>
        </w:tc>
        <w:tc>
          <w:tcPr>
            <w:tcW w:w="1142"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-2.9</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-0.5</w:t>
            </w:r>
          </w:p>
        </w:tc>
        <w:tc>
          <w:tcPr>
            <w:tcW w:w="1204" w:type="dxa"/>
            <w:tcBorders>
              <w:top w:val="nil"/>
              <w:left w:val="nil"/>
              <w:bottom w:val="nil"/>
              <w:right w:val="single" w:sz="8"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-0.7</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FFFFFF"/>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Educación</w:t>
            </w:r>
          </w:p>
        </w:tc>
        <w:tc>
          <w:tcPr>
            <w:tcW w:w="1130" w:type="dxa"/>
            <w:tcBorders>
              <w:top w:val="nil"/>
              <w:left w:val="single" w:sz="4" w:space="0" w:color="auto"/>
              <w:bottom w:val="nil"/>
              <w:right w:val="single" w:sz="4" w:space="0" w:color="auto"/>
            </w:tcBorders>
            <w:shd w:val="clear" w:color="auto" w:fill="auto"/>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317.7</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378.7</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-78.3</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-16.0</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50.6</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-17.2</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EEECE1"/>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Salud</w:t>
            </w:r>
          </w:p>
        </w:tc>
        <w:tc>
          <w:tcPr>
            <w:tcW w:w="1130" w:type="dxa"/>
            <w:tcBorders>
              <w:top w:val="nil"/>
              <w:left w:val="single" w:sz="4" w:space="0" w:color="auto"/>
              <w:bottom w:val="nil"/>
              <w:right w:val="single" w:sz="4"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240.0</w:t>
            </w:r>
          </w:p>
        </w:tc>
        <w:tc>
          <w:tcPr>
            <w:tcW w:w="1142"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134.2</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124.6</w:t>
            </w:r>
          </w:p>
        </w:tc>
        <w:tc>
          <w:tcPr>
            <w:tcW w:w="1204" w:type="dxa"/>
            <w:tcBorders>
              <w:top w:val="nil"/>
              <w:left w:val="nil"/>
              <w:bottom w:val="nil"/>
              <w:right w:val="single" w:sz="8"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-18.8</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FFFFFF"/>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Trabajo</w:t>
            </w:r>
          </w:p>
        </w:tc>
        <w:tc>
          <w:tcPr>
            <w:tcW w:w="1130" w:type="dxa"/>
            <w:tcBorders>
              <w:top w:val="nil"/>
              <w:left w:val="single" w:sz="4" w:space="0" w:color="auto"/>
              <w:bottom w:val="nil"/>
              <w:right w:val="single" w:sz="4" w:space="0" w:color="auto"/>
            </w:tcBorders>
            <w:shd w:val="clear" w:color="auto" w:fill="auto"/>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5.7</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-1.8</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-0.4</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10.6</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-2.6</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EEECE1"/>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Economía</w:t>
            </w:r>
          </w:p>
        </w:tc>
        <w:tc>
          <w:tcPr>
            <w:tcW w:w="1130" w:type="dxa"/>
            <w:tcBorders>
              <w:top w:val="nil"/>
              <w:left w:val="single" w:sz="4" w:space="0" w:color="auto"/>
              <w:bottom w:val="nil"/>
              <w:right w:val="single" w:sz="4"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438.0</w:t>
            </w:r>
          </w:p>
        </w:tc>
        <w:tc>
          <w:tcPr>
            <w:tcW w:w="1142"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-54.6</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500.4</w:t>
            </w:r>
          </w:p>
        </w:tc>
        <w:tc>
          <w:tcPr>
            <w:tcW w:w="1204" w:type="dxa"/>
            <w:tcBorders>
              <w:top w:val="nil"/>
              <w:left w:val="nil"/>
              <w:bottom w:val="nil"/>
              <w:right w:val="single" w:sz="8"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-7.8</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FFFFFF"/>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MAGA</w:t>
            </w:r>
          </w:p>
        </w:tc>
        <w:tc>
          <w:tcPr>
            <w:tcW w:w="1130" w:type="dxa"/>
            <w:tcBorders>
              <w:top w:val="nil"/>
              <w:left w:val="single" w:sz="4" w:space="0" w:color="auto"/>
              <w:bottom w:val="nil"/>
              <w:right w:val="single" w:sz="4" w:space="0" w:color="auto"/>
            </w:tcBorders>
            <w:shd w:val="clear" w:color="auto" w:fill="auto"/>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-233.2</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-101.2</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-121.9</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-7.0</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-3.1</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EEECE1"/>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CIV</w:t>
            </w:r>
          </w:p>
        </w:tc>
        <w:tc>
          <w:tcPr>
            <w:tcW w:w="1130" w:type="dxa"/>
            <w:tcBorders>
              <w:top w:val="nil"/>
              <w:left w:val="single" w:sz="4" w:space="0" w:color="auto"/>
              <w:bottom w:val="nil"/>
              <w:right w:val="single" w:sz="4"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-288.9</w:t>
            </w:r>
          </w:p>
        </w:tc>
        <w:tc>
          <w:tcPr>
            <w:tcW w:w="1142"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-192.0</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60.4</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-380.4</w:t>
            </w:r>
          </w:p>
        </w:tc>
        <w:tc>
          <w:tcPr>
            <w:tcW w:w="1204" w:type="dxa"/>
            <w:tcBorders>
              <w:top w:val="nil"/>
              <w:left w:val="nil"/>
              <w:bottom w:val="nil"/>
              <w:right w:val="single" w:sz="8"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223.1</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FFFFFF"/>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Energía y Minas</w:t>
            </w:r>
          </w:p>
        </w:tc>
        <w:tc>
          <w:tcPr>
            <w:tcW w:w="1130" w:type="dxa"/>
            <w:tcBorders>
              <w:top w:val="nil"/>
              <w:left w:val="single" w:sz="4" w:space="0" w:color="auto"/>
              <w:bottom w:val="nil"/>
              <w:right w:val="single" w:sz="4" w:space="0" w:color="auto"/>
            </w:tcBorders>
            <w:shd w:val="clear" w:color="auto" w:fill="auto"/>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-1.9</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-2.2</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0.3</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EEECE1"/>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 xml:space="preserve">Cultura </w:t>
            </w:r>
          </w:p>
        </w:tc>
        <w:tc>
          <w:tcPr>
            <w:tcW w:w="1130" w:type="dxa"/>
            <w:tcBorders>
              <w:top w:val="nil"/>
              <w:left w:val="single" w:sz="4" w:space="0" w:color="auto"/>
              <w:bottom w:val="nil"/>
              <w:right w:val="single" w:sz="4"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-61.9</w:t>
            </w:r>
          </w:p>
        </w:tc>
        <w:tc>
          <w:tcPr>
            <w:tcW w:w="1142"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-21.5</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-31.2</w:t>
            </w:r>
          </w:p>
        </w:tc>
        <w:tc>
          <w:tcPr>
            <w:tcW w:w="1353"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-2.8</w:t>
            </w:r>
          </w:p>
        </w:tc>
        <w:tc>
          <w:tcPr>
            <w:tcW w:w="1204" w:type="dxa"/>
            <w:tcBorders>
              <w:top w:val="nil"/>
              <w:left w:val="nil"/>
              <w:bottom w:val="nil"/>
              <w:right w:val="single" w:sz="8"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-6.4</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FFFFFF"/>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Secretarías</w:t>
            </w:r>
          </w:p>
        </w:tc>
        <w:tc>
          <w:tcPr>
            <w:tcW w:w="1130" w:type="dxa"/>
            <w:tcBorders>
              <w:top w:val="nil"/>
              <w:left w:val="single" w:sz="4" w:space="0" w:color="auto"/>
              <w:bottom w:val="nil"/>
              <w:right w:val="single" w:sz="4" w:space="0" w:color="auto"/>
            </w:tcBorders>
            <w:shd w:val="clear" w:color="auto" w:fill="auto"/>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-59.7</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-30.1</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-12.2</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-14.4</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-3.0</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EEECE1"/>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Ambiente</w:t>
            </w:r>
          </w:p>
        </w:tc>
        <w:tc>
          <w:tcPr>
            <w:tcW w:w="1130" w:type="dxa"/>
            <w:tcBorders>
              <w:top w:val="nil"/>
              <w:left w:val="single" w:sz="4" w:space="0" w:color="auto"/>
              <w:bottom w:val="nil"/>
              <w:right w:val="single" w:sz="4"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-12.3</w:t>
            </w:r>
          </w:p>
        </w:tc>
        <w:tc>
          <w:tcPr>
            <w:tcW w:w="1142"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-0.2</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-1.4</w:t>
            </w:r>
          </w:p>
        </w:tc>
        <w:tc>
          <w:tcPr>
            <w:tcW w:w="1204" w:type="dxa"/>
            <w:tcBorders>
              <w:top w:val="nil"/>
              <w:left w:val="nil"/>
              <w:bottom w:val="nil"/>
              <w:right w:val="single" w:sz="8"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-10.7</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FFFFFF"/>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Obligaciones</w:t>
            </w:r>
          </w:p>
        </w:tc>
        <w:tc>
          <w:tcPr>
            <w:tcW w:w="1130" w:type="dxa"/>
            <w:tcBorders>
              <w:top w:val="nil"/>
              <w:left w:val="single" w:sz="4" w:space="0" w:color="auto"/>
              <w:bottom w:val="nil"/>
              <w:right w:val="single" w:sz="4" w:space="0" w:color="auto"/>
            </w:tcBorders>
            <w:shd w:val="clear" w:color="auto" w:fill="auto"/>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832.5</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-710.9</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-180.0</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-62.6</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1,701.0</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85.0</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000000"/>
            <w:noWrap/>
            <w:vAlign w:val="bottom"/>
            <w:hideMark/>
          </w:tcPr>
          <w:p w:rsidR="00AD535C" w:rsidRPr="00EA616C" w:rsidRDefault="00AD535C" w:rsidP="0025776C">
            <w:pPr>
              <w:rPr>
                <w:color w:val="FFFFFF"/>
                <w:sz w:val="20"/>
                <w:szCs w:val="20"/>
                <w:lang w:val="es-MX" w:eastAsia="es-MX"/>
              </w:rPr>
            </w:pPr>
            <w:r w:rsidRPr="00EA616C">
              <w:rPr>
                <w:color w:val="FFFFFF"/>
                <w:sz w:val="20"/>
                <w:szCs w:val="20"/>
                <w:lang w:val="es-MX" w:eastAsia="es-MX"/>
              </w:rPr>
              <w:t>Deuda</w:t>
            </w:r>
            <w:r w:rsidR="00A7534C">
              <w:rPr>
                <w:color w:val="FFFFFF"/>
                <w:sz w:val="20"/>
                <w:szCs w:val="20"/>
                <w:lang w:val="es-MX" w:eastAsia="es-MX"/>
              </w:rPr>
              <w:t xml:space="preserve"> Pública</w:t>
            </w:r>
          </w:p>
        </w:tc>
        <w:tc>
          <w:tcPr>
            <w:tcW w:w="1130" w:type="dxa"/>
            <w:tcBorders>
              <w:top w:val="nil"/>
              <w:left w:val="single" w:sz="4" w:space="0" w:color="FFFFFF"/>
              <w:bottom w:val="nil"/>
              <w:right w:val="single" w:sz="4" w:space="0" w:color="FFFFFF"/>
            </w:tcBorders>
            <w:shd w:val="clear" w:color="000000" w:fill="000000"/>
            <w:noWrap/>
            <w:vAlign w:val="bottom"/>
            <w:hideMark/>
          </w:tcPr>
          <w:p w:rsidR="00AD535C" w:rsidRPr="00EA616C" w:rsidRDefault="00AD535C" w:rsidP="0025776C">
            <w:pPr>
              <w:jc w:val="right"/>
              <w:rPr>
                <w:color w:val="FFFFFF"/>
                <w:sz w:val="20"/>
                <w:szCs w:val="20"/>
                <w:lang w:val="es-MX" w:eastAsia="es-MX"/>
              </w:rPr>
            </w:pPr>
            <w:r w:rsidRPr="00EA616C">
              <w:rPr>
                <w:color w:val="FFFFFF"/>
                <w:sz w:val="20"/>
                <w:szCs w:val="20"/>
                <w:lang w:val="es-MX" w:eastAsia="es-MX"/>
              </w:rPr>
              <w:t>309.7</w:t>
            </w:r>
          </w:p>
        </w:tc>
        <w:tc>
          <w:tcPr>
            <w:tcW w:w="1142" w:type="dxa"/>
            <w:tcBorders>
              <w:top w:val="nil"/>
              <w:left w:val="nil"/>
              <w:bottom w:val="nil"/>
              <w:right w:val="nil"/>
            </w:tcBorders>
            <w:shd w:val="clear" w:color="000000" w:fill="000000"/>
            <w:noWrap/>
            <w:vAlign w:val="bottom"/>
            <w:hideMark/>
          </w:tcPr>
          <w:p w:rsidR="00AD535C" w:rsidRPr="00EA616C" w:rsidRDefault="00AD535C" w:rsidP="0025776C">
            <w:pPr>
              <w:jc w:val="right"/>
              <w:rPr>
                <w:color w:val="FFFFFF"/>
                <w:sz w:val="20"/>
                <w:szCs w:val="20"/>
                <w:lang w:val="es-MX" w:eastAsia="es-MX"/>
              </w:rPr>
            </w:pPr>
            <w:r w:rsidRPr="00EA616C">
              <w:rPr>
                <w:color w:val="FFFFFF"/>
                <w:sz w:val="20"/>
                <w:szCs w:val="20"/>
                <w:lang w:val="es-MX" w:eastAsia="es-MX"/>
              </w:rPr>
              <w:t>980.7</w:t>
            </w:r>
          </w:p>
        </w:tc>
        <w:tc>
          <w:tcPr>
            <w:tcW w:w="1276" w:type="dxa"/>
            <w:tcBorders>
              <w:top w:val="nil"/>
              <w:left w:val="nil"/>
              <w:bottom w:val="nil"/>
              <w:right w:val="nil"/>
            </w:tcBorders>
            <w:shd w:val="clear" w:color="000000" w:fill="000000"/>
            <w:noWrap/>
            <w:vAlign w:val="bottom"/>
            <w:hideMark/>
          </w:tcPr>
          <w:p w:rsidR="00AD535C" w:rsidRPr="00EA616C" w:rsidRDefault="00AD535C" w:rsidP="0025776C">
            <w:pPr>
              <w:jc w:val="right"/>
              <w:rPr>
                <w:color w:val="FFFFFF"/>
                <w:sz w:val="20"/>
                <w:szCs w:val="20"/>
                <w:lang w:val="es-MX" w:eastAsia="es-MX"/>
              </w:rPr>
            </w:pPr>
            <w:r w:rsidRPr="00EA616C">
              <w:rPr>
                <w:color w:val="FFFFFF"/>
                <w:sz w:val="20"/>
                <w:szCs w:val="20"/>
                <w:lang w:val="es-MX" w:eastAsia="es-MX"/>
              </w:rPr>
              <w:t>0.0</w:t>
            </w:r>
          </w:p>
        </w:tc>
        <w:tc>
          <w:tcPr>
            <w:tcW w:w="1276" w:type="dxa"/>
            <w:tcBorders>
              <w:top w:val="nil"/>
              <w:left w:val="nil"/>
              <w:bottom w:val="nil"/>
              <w:right w:val="nil"/>
            </w:tcBorders>
            <w:shd w:val="clear" w:color="000000" w:fill="000000"/>
            <w:noWrap/>
            <w:vAlign w:val="bottom"/>
            <w:hideMark/>
          </w:tcPr>
          <w:p w:rsidR="00AD535C" w:rsidRPr="00EA616C" w:rsidRDefault="00AD535C" w:rsidP="0025776C">
            <w:pPr>
              <w:jc w:val="right"/>
              <w:rPr>
                <w:color w:val="FFFFFF"/>
                <w:sz w:val="20"/>
                <w:szCs w:val="20"/>
                <w:lang w:val="es-MX" w:eastAsia="es-MX"/>
              </w:rPr>
            </w:pPr>
            <w:r w:rsidRPr="00EA616C">
              <w:rPr>
                <w:color w:val="FFFFFF"/>
                <w:sz w:val="20"/>
                <w:szCs w:val="20"/>
                <w:lang w:val="es-MX" w:eastAsia="es-MX"/>
              </w:rPr>
              <w:t>0.0</w:t>
            </w:r>
          </w:p>
        </w:tc>
        <w:tc>
          <w:tcPr>
            <w:tcW w:w="1353" w:type="dxa"/>
            <w:tcBorders>
              <w:top w:val="nil"/>
              <w:left w:val="nil"/>
              <w:bottom w:val="nil"/>
              <w:right w:val="nil"/>
            </w:tcBorders>
            <w:shd w:val="clear" w:color="000000" w:fill="000000"/>
            <w:noWrap/>
            <w:vAlign w:val="bottom"/>
            <w:hideMark/>
          </w:tcPr>
          <w:p w:rsidR="00AD535C" w:rsidRPr="00EA616C" w:rsidRDefault="00AD535C" w:rsidP="0025776C">
            <w:pPr>
              <w:jc w:val="right"/>
              <w:rPr>
                <w:color w:val="FFFFFF"/>
                <w:sz w:val="20"/>
                <w:szCs w:val="20"/>
                <w:lang w:val="es-MX" w:eastAsia="es-MX"/>
              </w:rPr>
            </w:pPr>
            <w:r w:rsidRPr="00EA616C">
              <w:rPr>
                <w:color w:val="FFFFFF"/>
                <w:sz w:val="20"/>
                <w:szCs w:val="20"/>
                <w:lang w:val="es-MX" w:eastAsia="es-MX"/>
              </w:rPr>
              <w:t>-671.0</w:t>
            </w:r>
          </w:p>
        </w:tc>
        <w:tc>
          <w:tcPr>
            <w:tcW w:w="1204" w:type="dxa"/>
            <w:tcBorders>
              <w:top w:val="nil"/>
              <w:left w:val="nil"/>
              <w:bottom w:val="nil"/>
              <w:right w:val="single" w:sz="8" w:space="0" w:color="auto"/>
            </w:tcBorders>
            <w:shd w:val="clear" w:color="000000" w:fill="000000"/>
            <w:noWrap/>
            <w:vAlign w:val="bottom"/>
            <w:hideMark/>
          </w:tcPr>
          <w:p w:rsidR="00AD535C" w:rsidRPr="00EA616C" w:rsidRDefault="00AD535C" w:rsidP="0025776C">
            <w:pPr>
              <w:jc w:val="right"/>
              <w:rPr>
                <w:color w:val="FFFFFF"/>
                <w:sz w:val="20"/>
                <w:szCs w:val="20"/>
                <w:lang w:val="es-MX" w:eastAsia="es-MX"/>
              </w:rPr>
            </w:pPr>
            <w:r w:rsidRPr="00EA616C">
              <w:rPr>
                <w:color w:val="FFFFFF"/>
                <w:sz w:val="20"/>
                <w:szCs w:val="20"/>
                <w:lang w:val="es-MX" w:eastAsia="es-MX"/>
              </w:rPr>
              <w:t>0.0</w:t>
            </w:r>
          </w:p>
        </w:tc>
      </w:tr>
      <w:tr w:rsidR="00FD4260" w:rsidRPr="00E716EE" w:rsidTr="00FD4260">
        <w:trPr>
          <w:trHeight w:val="300"/>
          <w:jc w:val="center"/>
        </w:trPr>
        <w:tc>
          <w:tcPr>
            <w:tcW w:w="1711" w:type="dxa"/>
            <w:tcBorders>
              <w:top w:val="nil"/>
              <w:left w:val="single" w:sz="8" w:space="0" w:color="auto"/>
              <w:bottom w:val="nil"/>
              <w:right w:val="nil"/>
            </w:tcBorders>
            <w:shd w:val="clear" w:color="000000" w:fill="FFFFFF"/>
            <w:noWrap/>
            <w:vAlign w:val="bottom"/>
            <w:hideMark/>
          </w:tcPr>
          <w:p w:rsidR="00AD535C" w:rsidRPr="00EA616C" w:rsidRDefault="00A7534C" w:rsidP="00A7534C">
            <w:pPr>
              <w:rPr>
                <w:color w:val="000000"/>
                <w:sz w:val="20"/>
                <w:szCs w:val="20"/>
                <w:lang w:val="es-MX" w:eastAsia="es-MX"/>
              </w:rPr>
            </w:pPr>
            <w:r>
              <w:rPr>
                <w:color w:val="000000"/>
                <w:sz w:val="20"/>
                <w:szCs w:val="20"/>
                <w:lang w:val="es-MX" w:eastAsia="es-MX"/>
              </w:rPr>
              <w:t>Desarrollo Social</w:t>
            </w:r>
          </w:p>
        </w:tc>
        <w:tc>
          <w:tcPr>
            <w:tcW w:w="1130" w:type="dxa"/>
            <w:tcBorders>
              <w:top w:val="nil"/>
              <w:left w:val="single" w:sz="4" w:space="0" w:color="auto"/>
              <w:bottom w:val="nil"/>
              <w:right w:val="single" w:sz="4"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1,671.4</w:t>
            </w:r>
          </w:p>
        </w:tc>
        <w:tc>
          <w:tcPr>
            <w:tcW w:w="1142"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-41.0</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-15.3</w:t>
            </w:r>
          </w:p>
        </w:tc>
        <w:tc>
          <w:tcPr>
            <w:tcW w:w="1276"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nil"/>
              <w:right w:val="nil"/>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1,727.6</w:t>
            </w:r>
          </w:p>
        </w:tc>
        <w:tc>
          <w:tcPr>
            <w:tcW w:w="1204" w:type="dxa"/>
            <w:tcBorders>
              <w:top w:val="nil"/>
              <w:left w:val="nil"/>
              <w:bottom w:val="nil"/>
              <w:right w:val="single" w:sz="8" w:space="0" w:color="auto"/>
            </w:tcBorders>
            <w:shd w:val="clear" w:color="000000" w:fill="FFFFFF"/>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r>
      <w:tr w:rsidR="00FD4260" w:rsidRPr="00E716EE" w:rsidTr="00A7534C">
        <w:trPr>
          <w:trHeight w:val="204"/>
          <w:jc w:val="center"/>
        </w:trPr>
        <w:tc>
          <w:tcPr>
            <w:tcW w:w="1711" w:type="dxa"/>
            <w:tcBorders>
              <w:top w:val="nil"/>
              <w:left w:val="single" w:sz="8" w:space="0" w:color="auto"/>
              <w:bottom w:val="single" w:sz="8" w:space="0" w:color="auto"/>
              <w:right w:val="nil"/>
            </w:tcBorders>
            <w:shd w:val="clear" w:color="000000" w:fill="EEECE1"/>
            <w:noWrap/>
            <w:vAlign w:val="bottom"/>
            <w:hideMark/>
          </w:tcPr>
          <w:p w:rsidR="00AD535C" w:rsidRPr="00EA616C" w:rsidRDefault="00AD535C" w:rsidP="0025776C">
            <w:pPr>
              <w:rPr>
                <w:color w:val="000000"/>
                <w:sz w:val="20"/>
                <w:szCs w:val="20"/>
                <w:lang w:val="es-MX" w:eastAsia="es-MX"/>
              </w:rPr>
            </w:pPr>
            <w:r w:rsidRPr="00EA616C">
              <w:rPr>
                <w:color w:val="000000"/>
                <w:sz w:val="20"/>
                <w:szCs w:val="20"/>
                <w:lang w:val="es-MX" w:eastAsia="es-MX"/>
              </w:rPr>
              <w:t>PGN</w:t>
            </w:r>
          </w:p>
        </w:tc>
        <w:tc>
          <w:tcPr>
            <w:tcW w:w="1130" w:type="dxa"/>
            <w:tcBorders>
              <w:top w:val="nil"/>
              <w:left w:val="single" w:sz="4" w:space="0" w:color="auto"/>
              <w:bottom w:val="single" w:sz="8" w:space="0" w:color="auto"/>
              <w:right w:val="single" w:sz="4"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3.2</w:t>
            </w:r>
          </w:p>
        </w:tc>
        <w:tc>
          <w:tcPr>
            <w:tcW w:w="1142" w:type="dxa"/>
            <w:tcBorders>
              <w:top w:val="nil"/>
              <w:left w:val="nil"/>
              <w:bottom w:val="single" w:sz="8" w:space="0" w:color="auto"/>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3.2</w:t>
            </w:r>
          </w:p>
        </w:tc>
        <w:tc>
          <w:tcPr>
            <w:tcW w:w="1276" w:type="dxa"/>
            <w:tcBorders>
              <w:top w:val="nil"/>
              <w:left w:val="nil"/>
              <w:bottom w:val="single" w:sz="8" w:space="0" w:color="auto"/>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76" w:type="dxa"/>
            <w:tcBorders>
              <w:top w:val="nil"/>
              <w:left w:val="nil"/>
              <w:bottom w:val="single" w:sz="8" w:space="0" w:color="auto"/>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353" w:type="dxa"/>
            <w:tcBorders>
              <w:top w:val="nil"/>
              <w:left w:val="nil"/>
              <w:bottom w:val="single" w:sz="8" w:space="0" w:color="auto"/>
              <w:right w:val="nil"/>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c>
          <w:tcPr>
            <w:tcW w:w="1204" w:type="dxa"/>
            <w:tcBorders>
              <w:top w:val="nil"/>
              <w:left w:val="nil"/>
              <w:bottom w:val="single" w:sz="8" w:space="0" w:color="auto"/>
              <w:right w:val="single" w:sz="8" w:space="0" w:color="auto"/>
            </w:tcBorders>
            <w:shd w:val="clear" w:color="000000" w:fill="EEECE1"/>
            <w:noWrap/>
            <w:vAlign w:val="bottom"/>
            <w:hideMark/>
          </w:tcPr>
          <w:p w:rsidR="00AD535C" w:rsidRPr="00EA616C" w:rsidRDefault="00AD535C" w:rsidP="0025776C">
            <w:pPr>
              <w:jc w:val="right"/>
              <w:rPr>
                <w:color w:val="000000"/>
                <w:sz w:val="20"/>
                <w:szCs w:val="20"/>
                <w:lang w:val="es-MX" w:eastAsia="es-MX"/>
              </w:rPr>
            </w:pPr>
            <w:r w:rsidRPr="00EA616C">
              <w:rPr>
                <w:color w:val="000000"/>
                <w:sz w:val="20"/>
                <w:szCs w:val="20"/>
                <w:lang w:val="es-MX" w:eastAsia="es-MX"/>
              </w:rPr>
              <w:t>0.0</w:t>
            </w:r>
          </w:p>
        </w:tc>
      </w:tr>
    </w:tbl>
    <w:p w:rsidR="00AD535C" w:rsidRDefault="00AD535C" w:rsidP="00AD535C">
      <w:pPr>
        <w:rPr>
          <w:sz w:val="18"/>
          <w:lang w:val="es-MX"/>
        </w:rPr>
      </w:pPr>
      <w:r w:rsidRPr="00B55626">
        <w:rPr>
          <w:sz w:val="18"/>
          <w:lang w:val="es-MX"/>
        </w:rPr>
        <w:t>* Cifras preliminares</w:t>
      </w:r>
    </w:p>
    <w:p w:rsidR="00AD535C" w:rsidRPr="00B55626" w:rsidRDefault="00AD535C" w:rsidP="00AD535C">
      <w:pPr>
        <w:rPr>
          <w:sz w:val="18"/>
          <w:lang w:val="es-MX"/>
        </w:rPr>
      </w:pPr>
      <w:r>
        <w:rPr>
          <w:sz w:val="18"/>
          <w:lang w:val="es-MX"/>
        </w:rPr>
        <w:t xml:space="preserve">   </w:t>
      </w:r>
      <w:r w:rsidRPr="00B55626">
        <w:rPr>
          <w:sz w:val="18"/>
          <w:lang w:val="es-MX"/>
        </w:rPr>
        <w:t>Fuente: Ministerio de Finanzas Públicas con base al SICOIN.</w:t>
      </w:r>
    </w:p>
    <w:p w:rsidR="00AD535C" w:rsidRPr="00B55626" w:rsidRDefault="00AD535C" w:rsidP="00AD535C">
      <w:pPr>
        <w:rPr>
          <w:sz w:val="18"/>
          <w:lang w:val="es-MX"/>
        </w:rPr>
      </w:pPr>
    </w:p>
    <w:p w:rsidR="00AD535C" w:rsidRDefault="00AD535C" w:rsidP="00AD535C">
      <w:pPr>
        <w:rPr>
          <w:b/>
          <w:sz w:val="22"/>
          <w:szCs w:val="22"/>
          <w:lang w:val="es-MX"/>
        </w:rPr>
      </w:pPr>
      <w:r>
        <w:rPr>
          <w:b/>
          <w:sz w:val="22"/>
          <w:szCs w:val="22"/>
          <w:lang w:val="es-MX"/>
        </w:rPr>
        <w:br w:type="page"/>
      </w:r>
    </w:p>
    <w:p w:rsidR="00AD535C" w:rsidRPr="00E4580C" w:rsidRDefault="00AD535C" w:rsidP="00F073BE">
      <w:pPr>
        <w:keepNext/>
        <w:keepLines/>
        <w:numPr>
          <w:ilvl w:val="2"/>
          <w:numId w:val="3"/>
        </w:numPr>
        <w:spacing w:before="200"/>
        <w:outlineLvl w:val="2"/>
        <w:rPr>
          <w:b/>
          <w:bCs/>
          <w:lang w:val="es-MX"/>
        </w:rPr>
      </w:pPr>
      <w:bookmarkStart w:id="17" w:name="_Toc51925249"/>
      <w:r w:rsidRPr="00E4580C">
        <w:rPr>
          <w:b/>
          <w:bCs/>
          <w:lang w:val="es-MX"/>
        </w:rPr>
        <w:lastRenderedPageBreak/>
        <w:t>Gasto Social y Acuerdos de Paz</w:t>
      </w:r>
      <w:bookmarkEnd w:id="17"/>
    </w:p>
    <w:p w:rsidR="00AD535C" w:rsidRPr="009E05CC" w:rsidRDefault="00AD535C" w:rsidP="00AD535C">
      <w:pPr>
        <w:jc w:val="both"/>
        <w:rPr>
          <w:lang w:val="es-MX"/>
        </w:rPr>
      </w:pPr>
    </w:p>
    <w:p w:rsidR="00AD535C" w:rsidRDefault="00AD535C" w:rsidP="00AD535C">
      <w:pPr>
        <w:jc w:val="both"/>
      </w:pPr>
      <w:r w:rsidRPr="009E05CC">
        <w:t xml:space="preserve">Uno de los objetivos prioritarios de la actual administración </w:t>
      </w:r>
      <w:r>
        <w:t xml:space="preserve">de gobierno </w:t>
      </w:r>
      <w:r w:rsidRPr="009E05CC">
        <w:t>es continuar apoyando el Gasto Social</w:t>
      </w:r>
      <w:r w:rsidRPr="006C78B0">
        <w:rPr>
          <w:vertAlign w:val="superscript"/>
        </w:rPr>
        <w:footnoteReference w:id="1"/>
      </w:r>
      <w:r w:rsidRPr="009E05CC">
        <w:t xml:space="preserve"> </w:t>
      </w:r>
      <w:r>
        <w:t>en</w:t>
      </w:r>
      <w:r w:rsidRPr="009E05CC">
        <w:t xml:space="preserve"> cumplimiento </w:t>
      </w:r>
      <w:r>
        <w:t>de</w:t>
      </w:r>
      <w:r w:rsidRPr="009E05CC">
        <w:t xml:space="preserve"> lo establecido </w:t>
      </w:r>
      <w:r>
        <w:t>en</w:t>
      </w:r>
      <w:r w:rsidRPr="009E05CC">
        <w:t xml:space="preserve"> los Acuerdos de Paz</w:t>
      </w:r>
      <w:r>
        <w:t>;</w:t>
      </w:r>
      <w:r w:rsidRPr="009E05CC">
        <w:t xml:space="preserve"> en el Plan Nacional de Desarrollo K’atun, Nuestra Guatemala 2032</w:t>
      </w:r>
      <w:r>
        <w:t>;</w:t>
      </w:r>
      <w:r w:rsidRPr="009E05CC">
        <w:t xml:space="preserve"> y en la Política General de Gobierno 20</w:t>
      </w:r>
      <w:r>
        <w:t>20</w:t>
      </w:r>
      <w:r w:rsidRPr="009E05CC">
        <w:t>-202</w:t>
      </w:r>
      <w:r>
        <w:t xml:space="preserve">4, especialmente en lo que establece el pilar </w:t>
      </w:r>
      <w:r w:rsidRPr="0075004D">
        <w:rPr>
          <w:bCs/>
        </w:rPr>
        <w:t>Desarrollo Social</w:t>
      </w:r>
      <w:r>
        <w:rPr>
          <w:bCs/>
        </w:rPr>
        <w:t>, que busca a</w:t>
      </w:r>
      <w:r w:rsidRPr="0075004D">
        <w:t>lcanzar el objetivo de atender de manera directa y efectiva a los más pobres, impulsando compensadores sociales efectivos y focalizados</w:t>
      </w:r>
      <w:r w:rsidR="0057278F">
        <w:t>.</w:t>
      </w:r>
    </w:p>
    <w:p w:rsidR="00AD535C" w:rsidRDefault="00AD535C" w:rsidP="00AD535C">
      <w:pPr>
        <w:jc w:val="both"/>
      </w:pPr>
    </w:p>
    <w:p w:rsidR="00AD535C" w:rsidRPr="009E05CC" w:rsidRDefault="00AD535C" w:rsidP="00AD535C">
      <w:pPr>
        <w:jc w:val="both"/>
      </w:pPr>
      <w:r>
        <w:t>De esa cuenta,</w:t>
      </w:r>
      <w:r w:rsidRPr="009E05CC">
        <w:t xml:space="preserve"> el monto de ejecución presupuestaria del Gasto Social pasó de Q</w:t>
      </w:r>
      <w:r>
        <w:t>.</w:t>
      </w:r>
      <w:r w:rsidRPr="009E05CC">
        <w:t>1</w:t>
      </w:r>
      <w:r>
        <w:t>5</w:t>
      </w:r>
      <w:r w:rsidRPr="009E05CC">
        <w:t>,</w:t>
      </w:r>
      <w:r>
        <w:t>224.6</w:t>
      </w:r>
      <w:r w:rsidRPr="009E05CC">
        <w:t xml:space="preserve"> millones en 201</w:t>
      </w:r>
      <w:r>
        <w:t>9</w:t>
      </w:r>
      <w:r w:rsidRPr="009E05CC">
        <w:t xml:space="preserve"> a Q</w:t>
      </w:r>
      <w:r>
        <w:t>.</w:t>
      </w:r>
      <w:r w:rsidRPr="009E05CC">
        <w:t>1</w:t>
      </w:r>
      <w:r>
        <w:t>6</w:t>
      </w:r>
      <w:r w:rsidRPr="009E05CC">
        <w:t>,</w:t>
      </w:r>
      <w:r>
        <w:t>982.4</w:t>
      </w:r>
      <w:r w:rsidRPr="009E05CC">
        <w:t xml:space="preserve"> millones en 20</w:t>
      </w:r>
      <w:r>
        <w:t>20;</w:t>
      </w:r>
      <w:r w:rsidRPr="009E05CC">
        <w:t xml:space="preserve"> tuvo un aumento de Q</w:t>
      </w:r>
      <w:r>
        <w:t>.1,757.8</w:t>
      </w:r>
      <w:r w:rsidRPr="009E05CC">
        <w:t xml:space="preserve"> millones </w:t>
      </w:r>
      <w:r>
        <w:t>(11.5</w:t>
      </w:r>
      <w:r w:rsidRPr="009E05CC">
        <w:t>% mayor a lo observado en 201</w:t>
      </w:r>
      <w:r>
        <w:t>9)</w:t>
      </w:r>
      <w:r w:rsidRPr="009E05CC">
        <w:t xml:space="preserve">, </w:t>
      </w:r>
      <w:r>
        <w:t>que</w:t>
      </w:r>
      <w:r w:rsidRPr="009E05CC">
        <w:t xml:space="preserve"> favoreció principalmente </w:t>
      </w:r>
      <w:r>
        <w:t>los</w:t>
      </w:r>
      <w:r w:rsidRPr="009E05CC">
        <w:t xml:space="preserve"> gasto</w:t>
      </w:r>
      <w:r>
        <w:t>s</w:t>
      </w:r>
      <w:r w:rsidRPr="009E05CC">
        <w:t xml:space="preserve"> en </w:t>
      </w:r>
      <w:r>
        <w:t>salud</w:t>
      </w:r>
      <w:r w:rsidR="0057278F">
        <w:t xml:space="preserve"> y asistencia social</w:t>
      </w:r>
      <w:r>
        <w:t>.</w:t>
      </w:r>
    </w:p>
    <w:p w:rsidR="00AD535C" w:rsidRPr="009E05CC" w:rsidRDefault="00AD535C" w:rsidP="00AD535C">
      <w:pPr>
        <w:jc w:val="both"/>
      </w:pPr>
    </w:p>
    <w:p w:rsidR="00AD535C" w:rsidRDefault="00AD535C" w:rsidP="00AD535C">
      <w:pPr>
        <w:jc w:val="both"/>
      </w:pPr>
      <w:r>
        <w:t>L</w:t>
      </w:r>
      <w:r w:rsidRPr="009E05CC">
        <w:t>os Acuerdos de Paz incluyen el gasto destinado al Sector Justicia</w:t>
      </w:r>
      <w:r>
        <w:t xml:space="preserve"> que </w:t>
      </w:r>
      <w:r w:rsidRPr="009E05CC">
        <w:t xml:space="preserve">para </w:t>
      </w:r>
      <w:r>
        <w:t xml:space="preserve">el primer semestre de </w:t>
      </w:r>
      <w:r w:rsidRPr="009E05CC">
        <w:t>20</w:t>
      </w:r>
      <w:r w:rsidR="0057278F">
        <w:t>20</w:t>
      </w:r>
      <w:r w:rsidRPr="009E05CC">
        <w:t xml:space="preserve"> </w:t>
      </w:r>
      <w:r>
        <w:t xml:space="preserve">aumentó en términos netos </w:t>
      </w:r>
      <w:r w:rsidRPr="009E05CC">
        <w:t>Q</w:t>
      </w:r>
      <w:r>
        <w:t>.243.5</w:t>
      </w:r>
      <w:r w:rsidRPr="009E05CC">
        <w:t xml:space="preserve"> millones,</w:t>
      </w:r>
      <w:r>
        <w:t xml:space="preserve"> ya que</w:t>
      </w:r>
      <w:r w:rsidRPr="009E05CC">
        <w:t xml:space="preserve"> pas</w:t>
      </w:r>
      <w:r>
        <w:t>ó</w:t>
      </w:r>
      <w:r w:rsidRPr="009E05CC">
        <w:t xml:space="preserve"> de Q</w:t>
      </w:r>
      <w:r>
        <w:t>.4</w:t>
      </w:r>
      <w:r w:rsidRPr="009E05CC">
        <w:t>,</w:t>
      </w:r>
      <w:r>
        <w:t>109.4</w:t>
      </w:r>
      <w:r w:rsidRPr="009E05CC">
        <w:t xml:space="preserve"> millones en 201</w:t>
      </w:r>
      <w:r>
        <w:t>9</w:t>
      </w:r>
      <w:r w:rsidRPr="009E05CC">
        <w:t xml:space="preserve"> a Q</w:t>
      </w:r>
      <w:r>
        <w:t>.4</w:t>
      </w:r>
      <w:r w:rsidRPr="009E05CC">
        <w:t>,</w:t>
      </w:r>
      <w:r>
        <w:t>352.8</w:t>
      </w:r>
      <w:r w:rsidRPr="009E05CC">
        <w:t xml:space="preserve"> millones</w:t>
      </w:r>
      <w:r>
        <w:t xml:space="preserve"> en 2020. Los subsectores que tuvieron incrementos fueron Seguridad Interna con Q.239.6 millones</w:t>
      </w:r>
      <w:r w:rsidR="0057278F">
        <w:t>, el</w:t>
      </w:r>
      <w:r>
        <w:t xml:space="preserve"> Ministerio Público con Q.51.5 millones y el Organismo Judicial que tuvo </w:t>
      </w:r>
      <w:r w:rsidR="0057278F">
        <w:t xml:space="preserve">una </w:t>
      </w:r>
      <w:r>
        <w:t>disminución de</w:t>
      </w:r>
      <w:r w:rsidRPr="009E05CC">
        <w:t xml:space="preserve"> Q</w:t>
      </w:r>
      <w:r>
        <w:t>.47.6 millones.</w:t>
      </w:r>
    </w:p>
    <w:p w:rsidR="00AD535C" w:rsidRPr="009E05CC" w:rsidRDefault="00AD535C" w:rsidP="00AD535C">
      <w:pPr>
        <w:jc w:val="both"/>
      </w:pPr>
    </w:p>
    <w:p w:rsidR="00AD535C" w:rsidRPr="009E05CC" w:rsidRDefault="00AD535C" w:rsidP="00AD535C">
      <w:pPr>
        <w:jc w:val="both"/>
      </w:pPr>
      <w:r>
        <w:t xml:space="preserve">Los dos sectores que conforman el gasto derivado de los Acuerdos de Paz (Gasto Social y Sector Justicia) </w:t>
      </w:r>
      <w:r w:rsidRPr="009E05CC">
        <w:t>tuvieron un aumento de Q</w:t>
      </w:r>
      <w:r>
        <w:t>.2,001.3</w:t>
      </w:r>
      <w:r w:rsidRPr="009E05CC">
        <w:t xml:space="preserve"> millones </w:t>
      </w:r>
      <w:r>
        <w:t xml:space="preserve">respecto de </w:t>
      </w:r>
      <w:r w:rsidR="0057278F">
        <w:t xml:space="preserve">lo observado en </w:t>
      </w:r>
      <w:r w:rsidRPr="009E05CC">
        <w:t>201</w:t>
      </w:r>
      <w:r>
        <w:t>9</w:t>
      </w:r>
      <w:r w:rsidRPr="009E05CC">
        <w:t xml:space="preserve">, teniendo mayor </w:t>
      </w:r>
      <w:r>
        <w:t xml:space="preserve">incidencia </w:t>
      </w:r>
      <w:r w:rsidRPr="009E05CC">
        <w:t xml:space="preserve">en el gasto </w:t>
      </w:r>
      <w:r>
        <w:t>social.</w:t>
      </w:r>
    </w:p>
    <w:p w:rsidR="00AD535C" w:rsidRDefault="00AD535C" w:rsidP="00AD535C">
      <w:pPr>
        <w:rPr>
          <w:b/>
          <w:sz w:val="22"/>
          <w:szCs w:val="22"/>
          <w:lang w:val="es-MX"/>
        </w:rPr>
      </w:pPr>
    </w:p>
    <w:p w:rsidR="00AD535C" w:rsidRPr="00A7534C" w:rsidRDefault="00AD535C" w:rsidP="00AD535C">
      <w:pPr>
        <w:jc w:val="center"/>
        <w:rPr>
          <w:b/>
          <w:szCs w:val="22"/>
          <w:lang w:val="es-MX"/>
        </w:rPr>
      </w:pPr>
      <w:r w:rsidRPr="00A7534C">
        <w:rPr>
          <w:b/>
          <w:szCs w:val="22"/>
          <w:lang w:val="es-MX"/>
        </w:rPr>
        <w:t>Cuadro 8</w:t>
      </w:r>
    </w:p>
    <w:p w:rsidR="00AD535C" w:rsidRPr="00A7534C" w:rsidRDefault="00AD535C" w:rsidP="00AD535C">
      <w:pPr>
        <w:jc w:val="center"/>
        <w:rPr>
          <w:b/>
          <w:szCs w:val="22"/>
          <w:lang w:val="es-MX"/>
        </w:rPr>
      </w:pPr>
      <w:r w:rsidRPr="00A7534C">
        <w:rPr>
          <w:b/>
          <w:szCs w:val="22"/>
          <w:lang w:val="es-MX"/>
        </w:rPr>
        <w:t>Ejecución Presupuestaria del Gasto Social y Acuerdos de Paz</w:t>
      </w:r>
    </w:p>
    <w:p w:rsidR="00AD535C" w:rsidRPr="00A7534C" w:rsidRDefault="00AD535C" w:rsidP="00AD535C">
      <w:pPr>
        <w:jc w:val="center"/>
        <w:rPr>
          <w:b/>
          <w:szCs w:val="22"/>
          <w:lang w:val="es-MX"/>
        </w:rPr>
      </w:pPr>
      <w:r w:rsidRPr="00A7534C">
        <w:rPr>
          <w:b/>
          <w:szCs w:val="22"/>
          <w:lang w:val="es-MX"/>
        </w:rPr>
        <w:t>Al 30 de junio de cada año</w:t>
      </w:r>
    </w:p>
    <w:p w:rsidR="00AD535C" w:rsidRDefault="00AD535C" w:rsidP="0057278F">
      <w:pPr>
        <w:jc w:val="center"/>
        <w:rPr>
          <w:rFonts w:ascii="Calibri" w:eastAsia="Calibri" w:hAnsi="Calibri"/>
          <w:sz w:val="20"/>
          <w:szCs w:val="20"/>
          <w:lang w:val="es-MX" w:eastAsia="es-MX"/>
        </w:rPr>
      </w:pPr>
      <w:r w:rsidRPr="00A7534C">
        <w:rPr>
          <w:b/>
          <w:szCs w:val="22"/>
          <w:lang w:val="es-MX"/>
        </w:rPr>
        <w:t>(Cifras en Millones de Quetzales)</w:t>
      </w:r>
      <w:r>
        <w:rPr>
          <w:lang w:val="es-MX"/>
        </w:rPr>
        <w:fldChar w:fldCharType="begin"/>
      </w:r>
      <w:r>
        <w:rPr>
          <w:lang w:val="es-MX"/>
        </w:rPr>
        <w:instrText xml:space="preserve"> LINK Excel.Sheet.12 "C:\\Users\\deefoper19\\Desktop\\BACKUP EMATUL\\Archivos Compartidos\\2020\\Excel\\Cuadros para Informe\\Cuadros junio 2020 Informe de medio año.xlsx" "Gasto Social!F6C3:F16C7" \a \f 4 \h </w:instrText>
      </w:r>
      <w:r w:rsidR="0057278F">
        <w:rPr>
          <w:lang w:val="es-MX"/>
        </w:rPr>
        <w:instrText xml:space="preserve"> \* MERGEFORMAT </w:instrText>
      </w:r>
      <w:r>
        <w:rPr>
          <w:lang w:val="es-MX"/>
        </w:rPr>
        <w:fldChar w:fldCharType="separate"/>
      </w:r>
    </w:p>
    <w:tbl>
      <w:tblPr>
        <w:tblW w:w="9142" w:type="dxa"/>
        <w:tblCellMar>
          <w:left w:w="70" w:type="dxa"/>
          <w:right w:w="70" w:type="dxa"/>
        </w:tblCellMar>
        <w:tblLook w:val="04A0" w:firstRow="1" w:lastRow="0" w:firstColumn="1" w:lastColumn="0" w:noHBand="0" w:noVBand="1"/>
      </w:tblPr>
      <w:tblGrid>
        <w:gridCol w:w="3472"/>
        <w:gridCol w:w="1418"/>
        <w:gridCol w:w="1417"/>
        <w:gridCol w:w="1418"/>
        <w:gridCol w:w="1417"/>
      </w:tblGrid>
      <w:tr w:rsidR="00AD535C" w:rsidRPr="004C1DCA" w:rsidTr="00C5165A">
        <w:trPr>
          <w:trHeight w:val="310"/>
        </w:trPr>
        <w:tc>
          <w:tcPr>
            <w:tcW w:w="3472" w:type="dxa"/>
            <w:vMerge w:val="restart"/>
            <w:tcBorders>
              <w:top w:val="single" w:sz="8" w:space="0" w:color="auto"/>
              <w:left w:val="single" w:sz="8" w:space="0" w:color="auto"/>
              <w:bottom w:val="single" w:sz="4" w:space="0" w:color="auto"/>
              <w:right w:val="nil"/>
            </w:tcBorders>
            <w:shd w:val="clear" w:color="000000" w:fill="8DB4E2"/>
            <w:vAlign w:val="center"/>
            <w:hideMark/>
          </w:tcPr>
          <w:p w:rsidR="00AD535C" w:rsidRPr="00A7534C" w:rsidRDefault="00AD535C" w:rsidP="0025776C">
            <w:pPr>
              <w:jc w:val="center"/>
              <w:rPr>
                <w:b/>
                <w:bCs/>
                <w:color w:val="000000"/>
                <w:lang w:val="es-GT" w:eastAsia="es-GT"/>
              </w:rPr>
            </w:pPr>
            <w:r w:rsidRPr="00A7534C">
              <w:rPr>
                <w:b/>
                <w:bCs/>
                <w:color w:val="000000"/>
                <w:lang w:val="es-GT" w:eastAsia="es-GT"/>
              </w:rPr>
              <w:t>Sector</w:t>
            </w:r>
          </w:p>
        </w:tc>
        <w:tc>
          <w:tcPr>
            <w:tcW w:w="1418" w:type="dxa"/>
            <w:vMerge w:val="restart"/>
            <w:tcBorders>
              <w:top w:val="single" w:sz="8" w:space="0" w:color="auto"/>
              <w:left w:val="single" w:sz="4" w:space="0" w:color="auto"/>
              <w:bottom w:val="single" w:sz="4" w:space="0" w:color="auto"/>
              <w:right w:val="single" w:sz="4" w:space="0" w:color="auto"/>
            </w:tcBorders>
            <w:shd w:val="clear" w:color="000000" w:fill="8DB4E2"/>
            <w:vAlign w:val="center"/>
            <w:hideMark/>
          </w:tcPr>
          <w:p w:rsidR="00AD535C" w:rsidRPr="00A7534C" w:rsidRDefault="00AD535C" w:rsidP="0025776C">
            <w:pPr>
              <w:jc w:val="center"/>
              <w:rPr>
                <w:b/>
                <w:bCs/>
                <w:color w:val="000000"/>
                <w:lang w:val="es-GT" w:eastAsia="es-GT"/>
              </w:rPr>
            </w:pPr>
            <w:r w:rsidRPr="00A7534C">
              <w:rPr>
                <w:b/>
                <w:bCs/>
                <w:color w:val="000000"/>
                <w:lang w:val="es-GT" w:eastAsia="es-GT"/>
              </w:rPr>
              <w:t>2019</w:t>
            </w:r>
          </w:p>
        </w:tc>
        <w:tc>
          <w:tcPr>
            <w:tcW w:w="1417" w:type="dxa"/>
            <w:vMerge w:val="restart"/>
            <w:tcBorders>
              <w:top w:val="single" w:sz="8" w:space="0" w:color="auto"/>
              <w:left w:val="single" w:sz="4" w:space="0" w:color="auto"/>
              <w:bottom w:val="single" w:sz="4" w:space="0" w:color="auto"/>
              <w:right w:val="single" w:sz="4" w:space="0" w:color="auto"/>
            </w:tcBorders>
            <w:shd w:val="clear" w:color="000000" w:fill="8DB4E2"/>
            <w:vAlign w:val="center"/>
            <w:hideMark/>
          </w:tcPr>
          <w:p w:rsidR="00AD535C" w:rsidRPr="00A7534C" w:rsidRDefault="00AD535C" w:rsidP="0025776C">
            <w:pPr>
              <w:jc w:val="center"/>
              <w:rPr>
                <w:b/>
                <w:bCs/>
                <w:color w:val="000000"/>
                <w:lang w:val="es-GT" w:eastAsia="es-GT"/>
              </w:rPr>
            </w:pPr>
            <w:r w:rsidRPr="00A7534C">
              <w:rPr>
                <w:b/>
                <w:bCs/>
                <w:color w:val="000000"/>
                <w:lang w:val="es-GT" w:eastAsia="es-GT"/>
              </w:rPr>
              <w:t>2020</w:t>
            </w:r>
            <w:r w:rsidR="00927D15">
              <w:rPr>
                <w:b/>
                <w:bCs/>
                <w:color w:val="000000"/>
                <w:lang w:val="es-GT" w:eastAsia="es-GT"/>
              </w:rPr>
              <w:t>*</w:t>
            </w:r>
          </w:p>
        </w:tc>
        <w:tc>
          <w:tcPr>
            <w:tcW w:w="2835" w:type="dxa"/>
            <w:gridSpan w:val="2"/>
            <w:tcBorders>
              <w:top w:val="single" w:sz="8" w:space="0" w:color="auto"/>
              <w:left w:val="nil"/>
              <w:bottom w:val="single" w:sz="4" w:space="0" w:color="auto"/>
              <w:right w:val="single" w:sz="8" w:space="0" w:color="000000"/>
            </w:tcBorders>
            <w:shd w:val="clear" w:color="000000" w:fill="8DB4E2"/>
            <w:noWrap/>
            <w:vAlign w:val="bottom"/>
            <w:hideMark/>
          </w:tcPr>
          <w:p w:rsidR="00AD535C" w:rsidRPr="00A7534C" w:rsidRDefault="00AD535C" w:rsidP="0025776C">
            <w:pPr>
              <w:jc w:val="center"/>
              <w:rPr>
                <w:b/>
                <w:bCs/>
                <w:color w:val="000000"/>
                <w:lang w:val="es-GT" w:eastAsia="es-GT"/>
              </w:rPr>
            </w:pPr>
            <w:r w:rsidRPr="00A7534C">
              <w:rPr>
                <w:b/>
                <w:bCs/>
                <w:color w:val="000000"/>
                <w:lang w:val="es-GT" w:eastAsia="es-GT"/>
              </w:rPr>
              <w:t>Diferencias</w:t>
            </w:r>
          </w:p>
        </w:tc>
      </w:tr>
      <w:tr w:rsidR="00AD535C" w:rsidRPr="004C1DCA" w:rsidTr="00C5165A">
        <w:trPr>
          <w:trHeight w:val="310"/>
        </w:trPr>
        <w:tc>
          <w:tcPr>
            <w:tcW w:w="3472" w:type="dxa"/>
            <w:vMerge/>
            <w:tcBorders>
              <w:top w:val="single" w:sz="8" w:space="0" w:color="auto"/>
              <w:left w:val="single" w:sz="8" w:space="0" w:color="auto"/>
              <w:bottom w:val="single" w:sz="4" w:space="0" w:color="auto"/>
              <w:right w:val="nil"/>
            </w:tcBorders>
            <w:vAlign w:val="center"/>
            <w:hideMark/>
          </w:tcPr>
          <w:p w:rsidR="00AD535C" w:rsidRPr="00A7534C" w:rsidRDefault="00AD535C" w:rsidP="0025776C">
            <w:pPr>
              <w:rPr>
                <w:b/>
                <w:bCs/>
                <w:color w:val="000000"/>
                <w:lang w:val="es-GT" w:eastAsia="es-GT"/>
              </w:rPr>
            </w:pPr>
          </w:p>
        </w:tc>
        <w:tc>
          <w:tcPr>
            <w:tcW w:w="1418" w:type="dxa"/>
            <w:vMerge/>
            <w:tcBorders>
              <w:top w:val="single" w:sz="8" w:space="0" w:color="auto"/>
              <w:left w:val="single" w:sz="4" w:space="0" w:color="auto"/>
              <w:bottom w:val="single" w:sz="4" w:space="0" w:color="auto"/>
              <w:right w:val="single" w:sz="4" w:space="0" w:color="auto"/>
            </w:tcBorders>
            <w:vAlign w:val="center"/>
            <w:hideMark/>
          </w:tcPr>
          <w:p w:rsidR="00AD535C" w:rsidRPr="00A7534C" w:rsidRDefault="00AD535C" w:rsidP="0025776C">
            <w:pPr>
              <w:rPr>
                <w:b/>
                <w:bCs/>
                <w:color w:val="000000"/>
                <w:lang w:val="es-GT" w:eastAsia="es-GT"/>
              </w:rPr>
            </w:pPr>
          </w:p>
        </w:tc>
        <w:tc>
          <w:tcPr>
            <w:tcW w:w="1417" w:type="dxa"/>
            <w:vMerge/>
            <w:tcBorders>
              <w:top w:val="single" w:sz="8" w:space="0" w:color="auto"/>
              <w:left w:val="single" w:sz="4" w:space="0" w:color="auto"/>
              <w:bottom w:val="single" w:sz="4" w:space="0" w:color="auto"/>
              <w:right w:val="single" w:sz="4" w:space="0" w:color="auto"/>
            </w:tcBorders>
            <w:vAlign w:val="center"/>
            <w:hideMark/>
          </w:tcPr>
          <w:p w:rsidR="00AD535C" w:rsidRPr="00A7534C" w:rsidRDefault="00AD535C" w:rsidP="0025776C">
            <w:pPr>
              <w:rPr>
                <w:b/>
                <w:bCs/>
                <w:color w:val="000000"/>
                <w:lang w:val="es-GT" w:eastAsia="es-GT"/>
              </w:rPr>
            </w:pPr>
          </w:p>
        </w:tc>
        <w:tc>
          <w:tcPr>
            <w:tcW w:w="1418" w:type="dxa"/>
            <w:tcBorders>
              <w:top w:val="single" w:sz="4" w:space="0" w:color="auto"/>
              <w:left w:val="nil"/>
              <w:bottom w:val="single" w:sz="4" w:space="0" w:color="auto"/>
              <w:right w:val="single" w:sz="4" w:space="0" w:color="auto"/>
            </w:tcBorders>
            <w:shd w:val="clear" w:color="000000" w:fill="8DB4E2"/>
            <w:noWrap/>
            <w:vAlign w:val="bottom"/>
            <w:hideMark/>
          </w:tcPr>
          <w:p w:rsidR="00AD535C" w:rsidRPr="00A7534C" w:rsidRDefault="00AD535C" w:rsidP="0025776C">
            <w:pPr>
              <w:jc w:val="center"/>
              <w:rPr>
                <w:b/>
                <w:bCs/>
                <w:color w:val="000000"/>
                <w:lang w:val="es-GT" w:eastAsia="es-GT"/>
              </w:rPr>
            </w:pPr>
            <w:r w:rsidRPr="00A7534C">
              <w:rPr>
                <w:b/>
                <w:bCs/>
                <w:color w:val="000000"/>
                <w:lang w:val="es-GT" w:eastAsia="es-GT"/>
              </w:rPr>
              <w:t>Absolutas</w:t>
            </w:r>
          </w:p>
        </w:tc>
        <w:tc>
          <w:tcPr>
            <w:tcW w:w="1417" w:type="dxa"/>
            <w:tcBorders>
              <w:top w:val="nil"/>
              <w:left w:val="nil"/>
              <w:bottom w:val="single" w:sz="4" w:space="0" w:color="auto"/>
              <w:right w:val="single" w:sz="8" w:space="0" w:color="auto"/>
            </w:tcBorders>
            <w:shd w:val="clear" w:color="000000" w:fill="8DB4E2"/>
            <w:noWrap/>
            <w:vAlign w:val="bottom"/>
            <w:hideMark/>
          </w:tcPr>
          <w:p w:rsidR="00AD535C" w:rsidRPr="00A7534C" w:rsidRDefault="00AD535C" w:rsidP="0025776C">
            <w:pPr>
              <w:jc w:val="center"/>
              <w:rPr>
                <w:b/>
                <w:bCs/>
                <w:color w:val="000000"/>
                <w:lang w:val="es-GT" w:eastAsia="es-GT"/>
              </w:rPr>
            </w:pPr>
            <w:r w:rsidRPr="00A7534C">
              <w:rPr>
                <w:b/>
                <w:bCs/>
                <w:color w:val="000000"/>
                <w:lang w:val="es-GT" w:eastAsia="es-GT"/>
              </w:rPr>
              <w:t>Relativas</w:t>
            </w:r>
          </w:p>
        </w:tc>
      </w:tr>
      <w:tr w:rsidR="00AD535C" w:rsidRPr="004C1DCA" w:rsidTr="00C5165A">
        <w:trPr>
          <w:trHeight w:val="310"/>
        </w:trPr>
        <w:tc>
          <w:tcPr>
            <w:tcW w:w="3472" w:type="dxa"/>
            <w:tcBorders>
              <w:top w:val="nil"/>
              <w:left w:val="single" w:sz="8" w:space="0" w:color="auto"/>
              <w:bottom w:val="nil"/>
              <w:right w:val="nil"/>
            </w:tcBorders>
            <w:shd w:val="clear" w:color="000000" w:fill="FFFFFF"/>
            <w:noWrap/>
            <w:vAlign w:val="bottom"/>
            <w:hideMark/>
          </w:tcPr>
          <w:p w:rsidR="00AD535C" w:rsidRPr="00A7534C" w:rsidRDefault="00AD535C" w:rsidP="0025776C">
            <w:pPr>
              <w:jc w:val="center"/>
              <w:rPr>
                <w:b/>
                <w:bCs/>
                <w:color w:val="000000"/>
                <w:sz w:val="20"/>
                <w:lang w:val="es-GT" w:eastAsia="es-GT"/>
              </w:rPr>
            </w:pPr>
            <w:r w:rsidRPr="00A7534C">
              <w:rPr>
                <w:b/>
                <w:bCs/>
                <w:color w:val="000000"/>
                <w:sz w:val="20"/>
                <w:lang w:val="es-GT" w:eastAsia="es-GT"/>
              </w:rPr>
              <w:t>Total</w:t>
            </w:r>
          </w:p>
        </w:tc>
        <w:tc>
          <w:tcPr>
            <w:tcW w:w="1418"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 xml:space="preserve">    19,334.0 </w:t>
            </w:r>
          </w:p>
        </w:tc>
        <w:tc>
          <w:tcPr>
            <w:tcW w:w="1417"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 xml:space="preserve">    21,335.3 </w:t>
            </w:r>
          </w:p>
        </w:tc>
        <w:tc>
          <w:tcPr>
            <w:tcW w:w="1418"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 xml:space="preserve">      2,001.3 </w:t>
            </w:r>
          </w:p>
        </w:tc>
        <w:tc>
          <w:tcPr>
            <w:tcW w:w="1417"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10.4%</w:t>
            </w:r>
          </w:p>
        </w:tc>
      </w:tr>
      <w:tr w:rsidR="00AD535C" w:rsidRPr="004C1DCA" w:rsidTr="00C5165A">
        <w:trPr>
          <w:trHeight w:val="310"/>
        </w:trPr>
        <w:tc>
          <w:tcPr>
            <w:tcW w:w="3472"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lang w:val="es-GT" w:eastAsia="es-GT"/>
              </w:rPr>
            </w:pPr>
            <w:r w:rsidRPr="00A7534C">
              <w:rPr>
                <w:color w:val="000000"/>
                <w:sz w:val="20"/>
                <w:lang w:val="es-GT" w:eastAsia="es-GT"/>
              </w:rPr>
              <w:t>Salud y Asistencia Social</w:t>
            </w:r>
          </w:p>
        </w:tc>
        <w:tc>
          <w:tcPr>
            <w:tcW w:w="1418"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5,626.1 </w:t>
            </w:r>
          </w:p>
        </w:tc>
        <w:tc>
          <w:tcPr>
            <w:tcW w:w="1417"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7,139.1 </w:t>
            </w:r>
          </w:p>
        </w:tc>
        <w:tc>
          <w:tcPr>
            <w:tcW w:w="1418"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1,513.0 </w:t>
            </w:r>
          </w:p>
        </w:tc>
        <w:tc>
          <w:tcPr>
            <w:tcW w:w="1417"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26.9%</w:t>
            </w:r>
          </w:p>
        </w:tc>
      </w:tr>
      <w:tr w:rsidR="00AD535C" w:rsidRPr="004C1DCA" w:rsidTr="00C5165A">
        <w:trPr>
          <w:trHeight w:val="310"/>
        </w:trPr>
        <w:tc>
          <w:tcPr>
            <w:tcW w:w="3472"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lang w:val="es-GT" w:eastAsia="es-GT"/>
              </w:rPr>
            </w:pPr>
            <w:r w:rsidRPr="00A7534C">
              <w:rPr>
                <w:color w:val="000000"/>
                <w:sz w:val="20"/>
                <w:lang w:val="es-GT" w:eastAsia="es-GT"/>
              </w:rPr>
              <w:t>Educación, Ciencia y Cultura</w:t>
            </w:r>
          </w:p>
        </w:tc>
        <w:tc>
          <w:tcPr>
            <w:tcW w:w="1418"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9,545.6 </w:t>
            </w:r>
          </w:p>
        </w:tc>
        <w:tc>
          <w:tcPr>
            <w:tcW w:w="1417"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9,701.0 </w:t>
            </w:r>
          </w:p>
        </w:tc>
        <w:tc>
          <w:tcPr>
            <w:tcW w:w="1418"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155.5 </w:t>
            </w:r>
          </w:p>
        </w:tc>
        <w:tc>
          <w:tcPr>
            <w:tcW w:w="1417"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1.6%</w:t>
            </w:r>
          </w:p>
        </w:tc>
      </w:tr>
      <w:tr w:rsidR="00AD535C" w:rsidRPr="004C1DCA" w:rsidTr="00C5165A">
        <w:trPr>
          <w:trHeight w:val="310"/>
        </w:trPr>
        <w:tc>
          <w:tcPr>
            <w:tcW w:w="3472"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lang w:val="es-GT" w:eastAsia="es-GT"/>
              </w:rPr>
            </w:pPr>
            <w:r w:rsidRPr="00A7534C">
              <w:rPr>
                <w:color w:val="000000"/>
                <w:sz w:val="20"/>
                <w:lang w:val="es-GT" w:eastAsia="es-GT"/>
              </w:rPr>
              <w:t>Vivienda</w:t>
            </w:r>
          </w:p>
        </w:tc>
        <w:tc>
          <w:tcPr>
            <w:tcW w:w="1418"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53.0 </w:t>
            </w:r>
          </w:p>
        </w:tc>
        <w:tc>
          <w:tcPr>
            <w:tcW w:w="1417"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142.4 </w:t>
            </w:r>
          </w:p>
        </w:tc>
        <w:tc>
          <w:tcPr>
            <w:tcW w:w="1418"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89.4 </w:t>
            </w:r>
          </w:p>
        </w:tc>
        <w:tc>
          <w:tcPr>
            <w:tcW w:w="1417"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168.7%</w:t>
            </w:r>
          </w:p>
        </w:tc>
      </w:tr>
      <w:tr w:rsidR="00AD535C" w:rsidRPr="004C1DCA" w:rsidTr="00C5165A">
        <w:trPr>
          <w:trHeight w:val="310"/>
        </w:trPr>
        <w:tc>
          <w:tcPr>
            <w:tcW w:w="3472" w:type="dxa"/>
            <w:tcBorders>
              <w:top w:val="nil"/>
              <w:left w:val="single" w:sz="8" w:space="0" w:color="auto"/>
              <w:bottom w:val="nil"/>
              <w:right w:val="nil"/>
            </w:tcBorders>
            <w:shd w:val="clear" w:color="000000" w:fill="FFFFFF"/>
            <w:noWrap/>
            <w:vAlign w:val="bottom"/>
            <w:hideMark/>
          </w:tcPr>
          <w:p w:rsidR="00AD535C" w:rsidRPr="00A7534C" w:rsidRDefault="00AD535C" w:rsidP="0025776C">
            <w:pPr>
              <w:jc w:val="center"/>
              <w:rPr>
                <w:b/>
                <w:bCs/>
                <w:color w:val="000000"/>
                <w:sz w:val="20"/>
                <w:lang w:val="es-GT" w:eastAsia="es-GT"/>
              </w:rPr>
            </w:pPr>
            <w:r w:rsidRPr="00A7534C">
              <w:rPr>
                <w:b/>
                <w:bCs/>
                <w:color w:val="000000"/>
                <w:sz w:val="20"/>
                <w:lang w:val="es-GT" w:eastAsia="es-GT"/>
              </w:rPr>
              <w:t>Gasto Social</w:t>
            </w:r>
          </w:p>
        </w:tc>
        <w:tc>
          <w:tcPr>
            <w:tcW w:w="1418"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 xml:space="preserve">    15,224.6 </w:t>
            </w:r>
          </w:p>
        </w:tc>
        <w:tc>
          <w:tcPr>
            <w:tcW w:w="1417"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 xml:space="preserve">    16,982.4 </w:t>
            </w:r>
          </w:p>
        </w:tc>
        <w:tc>
          <w:tcPr>
            <w:tcW w:w="1418"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 xml:space="preserve">      1,757.8 </w:t>
            </w:r>
          </w:p>
        </w:tc>
        <w:tc>
          <w:tcPr>
            <w:tcW w:w="1417"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11.5%</w:t>
            </w:r>
          </w:p>
        </w:tc>
      </w:tr>
      <w:tr w:rsidR="00AD535C" w:rsidRPr="004C1DCA" w:rsidTr="00C5165A">
        <w:trPr>
          <w:trHeight w:val="310"/>
        </w:trPr>
        <w:tc>
          <w:tcPr>
            <w:tcW w:w="3472"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lang w:val="es-GT" w:eastAsia="es-GT"/>
              </w:rPr>
            </w:pPr>
            <w:r w:rsidRPr="00A7534C">
              <w:rPr>
                <w:color w:val="000000"/>
                <w:sz w:val="20"/>
                <w:lang w:val="es-GT" w:eastAsia="es-GT"/>
              </w:rPr>
              <w:t>Seguridad Interna</w:t>
            </w:r>
          </w:p>
        </w:tc>
        <w:tc>
          <w:tcPr>
            <w:tcW w:w="1418"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2,160.8 </w:t>
            </w:r>
          </w:p>
        </w:tc>
        <w:tc>
          <w:tcPr>
            <w:tcW w:w="1417" w:type="dxa"/>
            <w:tcBorders>
              <w:top w:val="nil"/>
              <w:left w:val="nil"/>
              <w:bottom w:val="nil"/>
              <w:right w:val="single" w:sz="4" w:space="0" w:color="auto"/>
            </w:tcBorders>
            <w:shd w:val="clear" w:color="auto" w:fill="auto"/>
            <w:noWrap/>
            <w:vAlign w:val="bottom"/>
            <w:hideMark/>
          </w:tcPr>
          <w:p w:rsidR="00AD535C" w:rsidRPr="00A7534C" w:rsidRDefault="00AD535C" w:rsidP="0025776C">
            <w:pPr>
              <w:jc w:val="right"/>
              <w:rPr>
                <w:sz w:val="20"/>
                <w:lang w:val="es-GT" w:eastAsia="es-GT"/>
              </w:rPr>
            </w:pPr>
            <w:r w:rsidRPr="00A7534C">
              <w:rPr>
                <w:sz w:val="20"/>
                <w:lang w:val="es-GT" w:eastAsia="es-GT"/>
              </w:rPr>
              <w:t>2,400.4</w:t>
            </w:r>
          </w:p>
        </w:tc>
        <w:tc>
          <w:tcPr>
            <w:tcW w:w="1418"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239.6 </w:t>
            </w:r>
          </w:p>
        </w:tc>
        <w:tc>
          <w:tcPr>
            <w:tcW w:w="1417"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11.1%</w:t>
            </w:r>
          </w:p>
        </w:tc>
      </w:tr>
      <w:tr w:rsidR="00AD535C" w:rsidRPr="004C1DCA" w:rsidTr="00C5165A">
        <w:trPr>
          <w:trHeight w:val="310"/>
        </w:trPr>
        <w:tc>
          <w:tcPr>
            <w:tcW w:w="3472"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lang w:val="es-GT" w:eastAsia="es-GT"/>
              </w:rPr>
            </w:pPr>
            <w:r w:rsidRPr="00A7534C">
              <w:rPr>
                <w:color w:val="000000"/>
                <w:sz w:val="20"/>
                <w:lang w:val="es-GT" w:eastAsia="es-GT"/>
              </w:rPr>
              <w:t>Organismo Judicial y C.C</w:t>
            </w:r>
            <w:r w:rsidR="00A7534C">
              <w:rPr>
                <w:color w:val="000000"/>
                <w:sz w:val="20"/>
                <w:lang w:val="es-GT" w:eastAsia="es-GT"/>
              </w:rPr>
              <w:t>.</w:t>
            </w:r>
          </w:p>
        </w:tc>
        <w:tc>
          <w:tcPr>
            <w:tcW w:w="1418"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1,223.1 </w:t>
            </w:r>
          </w:p>
        </w:tc>
        <w:tc>
          <w:tcPr>
            <w:tcW w:w="1417" w:type="dxa"/>
            <w:tcBorders>
              <w:top w:val="nil"/>
              <w:left w:val="nil"/>
              <w:bottom w:val="nil"/>
              <w:right w:val="single" w:sz="4" w:space="0" w:color="auto"/>
            </w:tcBorders>
            <w:shd w:val="clear" w:color="auto" w:fill="auto"/>
            <w:noWrap/>
            <w:vAlign w:val="bottom"/>
            <w:hideMark/>
          </w:tcPr>
          <w:p w:rsidR="00AD535C" w:rsidRPr="00A7534C" w:rsidRDefault="00AD535C" w:rsidP="0025776C">
            <w:pPr>
              <w:jc w:val="right"/>
              <w:rPr>
                <w:sz w:val="20"/>
                <w:lang w:val="es-GT" w:eastAsia="es-GT"/>
              </w:rPr>
            </w:pPr>
            <w:r w:rsidRPr="00A7534C">
              <w:rPr>
                <w:sz w:val="20"/>
                <w:lang w:val="es-GT" w:eastAsia="es-GT"/>
              </w:rPr>
              <w:t>1,175.4</w:t>
            </w:r>
          </w:p>
        </w:tc>
        <w:tc>
          <w:tcPr>
            <w:tcW w:w="1418"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(47.6)</w:t>
            </w:r>
          </w:p>
        </w:tc>
        <w:tc>
          <w:tcPr>
            <w:tcW w:w="1417" w:type="dxa"/>
            <w:tcBorders>
              <w:top w:val="nil"/>
              <w:left w:val="nil"/>
              <w:bottom w:val="nil"/>
              <w:right w:val="single" w:sz="8" w:space="0" w:color="auto"/>
            </w:tcBorders>
            <w:shd w:val="clear" w:color="000000" w:fill="FFFFFF"/>
            <w:noWrap/>
            <w:vAlign w:val="bottom"/>
            <w:hideMark/>
          </w:tcPr>
          <w:p w:rsidR="00AD535C" w:rsidRPr="00A7534C" w:rsidRDefault="00A7534C" w:rsidP="00A7534C">
            <w:pPr>
              <w:jc w:val="right"/>
              <w:rPr>
                <w:color w:val="000000"/>
                <w:sz w:val="20"/>
                <w:lang w:val="es-GT" w:eastAsia="es-GT"/>
              </w:rPr>
            </w:pPr>
            <w:r>
              <w:rPr>
                <w:color w:val="000000"/>
                <w:sz w:val="20"/>
                <w:lang w:val="es-GT" w:eastAsia="es-GT"/>
              </w:rPr>
              <w:t>(</w:t>
            </w:r>
            <w:r w:rsidR="00AD535C" w:rsidRPr="00A7534C">
              <w:rPr>
                <w:color w:val="000000"/>
                <w:sz w:val="20"/>
                <w:lang w:val="es-GT" w:eastAsia="es-GT"/>
              </w:rPr>
              <w:t>3.9%</w:t>
            </w:r>
            <w:r>
              <w:rPr>
                <w:color w:val="000000"/>
                <w:sz w:val="20"/>
                <w:lang w:val="es-GT" w:eastAsia="es-GT"/>
              </w:rPr>
              <w:t>)</w:t>
            </w:r>
          </w:p>
        </w:tc>
      </w:tr>
      <w:tr w:rsidR="00AD535C" w:rsidRPr="004C1DCA" w:rsidTr="00C5165A">
        <w:trPr>
          <w:trHeight w:val="310"/>
        </w:trPr>
        <w:tc>
          <w:tcPr>
            <w:tcW w:w="3472"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lang w:val="es-GT" w:eastAsia="es-GT"/>
              </w:rPr>
            </w:pPr>
            <w:r w:rsidRPr="00A7534C">
              <w:rPr>
                <w:color w:val="000000"/>
                <w:sz w:val="20"/>
                <w:lang w:val="es-GT" w:eastAsia="es-GT"/>
              </w:rPr>
              <w:t>Ministerio Público</w:t>
            </w:r>
          </w:p>
        </w:tc>
        <w:tc>
          <w:tcPr>
            <w:tcW w:w="1418"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725.5 </w:t>
            </w:r>
          </w:p>
        </w:tc>
        <w:tc>
          <w:tcPr>
            <w:tcW w:w="1417" w:type="dxa"/>
            <w:tcBorders>
              <w:top w:val="nil"/>
              <w:left w:val="nil"/>
              <w:bottom w:val="nil"/>
              <w:right w:val="single" w:sz="4" w:space="0" w:color="auto"/>
            </w:tcBorders>
            <w:shd w:val="clear" w:color="auto" w:fill="auto"/>
            <w:noWrap/>
            <w:vAlign w:val="bottom"/>
            <w:hideMark/>
          </w:tcPr>
          <w:p w:rsidR="00AD535C" w:rsidRPr="00A7534C" w:rsidRDefault="00AD535C" w:rsidP="0025776C">
            <w:pPr>
              <w:jc w:val="right"/>
              <w:rPr>
                <w:sz w:val="20"/>
                <w:lang w:val="es-GT" w:eastAsia="es-GT"/>
              </w:rPr>
            </w:pPr>
            <w:r w:rsidRPr="00A7534C">
              <w:rPr>
                <w:sz w:val="20"/>
                <w:lang w:val="es-GT" w:eastAsia="es-GT"/>
              </w:rPr>
              <w:t>777.0</w:t>
            </w:r>
          </w:p>
        </w:tc>
        <w:tc>
          <w:tcPr>
            <w:tcW w:w="1418"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 xml:space="preserve">           51.5 </w:t>
            </w:r>
          </w:p>
        </w:tc>
        <w:tc>
          <w:tcPr>
            <w:tcW w:w="1417"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lang w:val="es-GT" w:eastAsia="es-GT"/>
              </w:rPr>
            </w:pPr>
            <w:r w:rsidRPr="00A7534C">
              <w:rPr>
                <w:color w:val="000000"/>
                <w:sz w:val="20"/>
                <w:lang w:val="es-GT" w:eastAsia="es-GT"/>
              </w:rPr>
              <w:t>7.1%</w:t>
            </w:r>
          </w:p>
        </w:tc>
      </w:tr>
      <w:tr w:rsidR="00AD535C" w:rsidRPr="004C1DCA" w:rsidTr="00C5165A">
        <w:trPr>
          <w:trHeight w:val="320"/>
        </w:trPr>
        <w:tc>
          <w:tcPr>
            <w:tcW w:w="3472" w:type="dxa"/>
            <w:tcBorders>
              <w:top w:val="nil"/>
              <w:left w:val="single" w:sz="8" w:space="0" w:color="auto"/>
              <w:bottom w:val="single" w:sz="8" w:space="0" w:color="auto"/>
              <w:right w:val="single" w:sz="4" w:space="0" w:color="auto"/>
            </w:tcBorders>
            <w:shd w:val="clear" w:color="auto" w:fill="auto"/>
            <w:noWrap/>
            <w:vAlign w:val="bottom"/>
            <w:hideMark/>
          </w:tcPr>
          <w:p w:rsidR="00AD535C" w:rsidRPr="00A7534C" w:rsidRDefault="00AD535C" w:rsidP="0025776C">
            <w:pPr>
              <w:jc w:val="center"/>
              <w:rPr>
                <w:b/>
                <w:bCs/>
                <w:color w:val="000000"/>
                <w:sz w:val="20"/>
                <w:lang w:val="es-GT" w:eastAsia="es-GT"/>
              </w:rPr>
            </w:pPr>
            <w:r w:rsidRPr="00A7534C">
              <w:rPr>
                <w:b/>
                <w:bCs/>
                <w:color w:val="000000"/>
                <w:sz w:val="20"/>
                <w:lang w:val="es-GT" w:eastAsia="es-GT"/>
              </w:rPr>
              <w:t>Sector Justicia</w:t>
            </w:r>
          </w:p>
        </w:tc>
        <w:tc>
          <w:tcPr>
            <w:tcW w:w="1418" w:type="dxa"/>
            <w:tcBorders>
              <w:top w:val="nil"/>
              <w:left w:val="single" w:sz="4" w:space="0" w:color="auto"/>
              <w:bottom w:val="single" w:sz="8" w:space="0" w:color="auto"/>
              <w:right w:val="single" w:sz="4" w:space="0" w:color="auto"/>
            </w:tcBorders>
            <w:shd w:val="clear" w:color="auto" w:fill="auto"/>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 xml:space="preserve">      4,109.4 </w:t>
            </w:r>
          </w:p>
        </w:tc>
        <w:tc>
          <w:tcPr>
            <w:tcW w:w="1417" w:type="dxa"/>
            <w:tcBorders>
              <w:top w:val="nil"/>
              <w:left w:val="nil"/>
              <w:bottom w:val="single" w:sz="8" w:space="0" w:color="auto"/>
              <w:right w:val="single" w:sz="4" w:space="0" w:color="auto"/>
            </w:tcBorders>
            <w:shd w:val="clear" w:color="auto" w:fill="auto"/>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 xml:space="preserve">      4,352.8 </w:t>
            </w:r>
          </w:p>
        </w:tc>
        <w:tc>
          <w:tcPr>
            <w:tcW w:w="1418" w:type="dxa"/>
            <w:tcBorders>
              <w:top w:val="nil"/>
              <w:left w:val="nil"/>
              <w:bottom w:val="single" w:sz="8" w:space="0" w:color="auto"/>
              <w:right w:val="single" w:sz="4" w:space="0" w:color="auto"/>
            </w:tcBorders>
            <w:shd w:val="clear" w:color="auto" w:fill="auto"/>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 xml:space="preserve">         243.5 </w:t>
            </w:r>
          </w:p>
        </w:tc>
        <w:tc>
          <w:tcPr>
            <w:tcW w:w="1417" w:type="dxa"/>
            <w:tcBorders>
              <w:top w:val="nil"/>
              <w:left w:val="nil"/>
              <w:bottom w:val="single" w:sz="8" w:space="0" w:color="auto"/>
              <w:right w:val="single" w:sz="8" w:space="0" w:color="auto"/>
            </w:tcBorders>
            <w:shd w:val="clear" w:color="000000" w:fill="FFFFFF"/>
            <w:noWrap/>
            <w:vAlign w:val="bottom"/>
            <w:hideMark/>
          </w:tcPr>
          <w:p w:rsidR="00AD535C" w:rsidRPr="00A7534C" w:rsidRDefault="00AD535C" w:rsidP="0025776C">
            <w:pPr>
              <w:jc w:val="right"/>
              <w:rPr>
                <w:b/>
                <w:bCs/>
                <w:color w:val="000000"/>
                <w:sz w:val="20"/>
                <w:lang w:val="es-GT" w:eastAsia="es-GT"/>
              </w:rPr>
            </w:pPr>
            <w:r w:rsidRPr="00A7534C">
              <w:rPr>
                <w:b/>
                <w:bCs/>
                <w:color w:val="000000"/>
                <w:sz w:val="20"/>
                <w:lang w:val="es-GT" w:eastAsia="es-GT"/>
              </w:rPr>
              <w:t>5.9%</w:t>
            </w:r>
          </w:p>
        </w:tc>
      </w:tr>
    </w:tbl>
    <w:p w:rsidR="00AD535C" w:rsidRDefault="00AD535C" w:rsidP="00AD535C">
      <w:pPr>
        <w:jc w:val="both"/>
        <w:rPr>
          <w:sz w:val="18"/>
          <w:lang w:val="es-MX"/>
        </w:rPr>
      </w:pPr>
      <w:r>
        <w:rPr>
          <w:sz w:val="18"/>
          <w:lang w:val="es-MX"/>
        </w:rPr>
        <w:fldChar w:fldCharType="end"/>
      </w:r>
      <w:r w:rsidRPr="00240C29">
        <w:rPr>
          <w:sz w:val="18"/>
          <w:lang w:val="es-MX"/>
        </w:rPr>
        <w:t>* Cifras preliminares.</w:t>
      </w:r>
    </w:p>
    <w:p w:rsidR="00AD535C" w:rsidRPr="00240C29" w:rsidRDefault="00AD535C" w:rsidP="00AD535C">
      <w:pPr>
        <w:jc w:val="both"/>
        <w:rPr>
          <w:sz w:val="18"/>
          <w:lang w:val="es-MX"/>
        </w:rPr>
      </w:pPr>
      <w:r>
        <w:rPr>
          <w:sz w:val="18"/>
          <w:lang w:val="es-MX"/>
        </w:rPr>
        <w:t xml:space="preserve">   </w:t>
      </w:r>
      <w:r w:rsidRPr="00240C29">
        <w:rPr>
          <w:sz w:val="18"/>
          <w:lang w:val="es-MX"/>
        </w:rPr>
        <w:t>Fuente: Ministerio de Finanzas Públicas con base al SICOIN.</w:t>
      </w:r>
    </w:p>
    <w:p w:rsidR="00AD535C" w:rsidRPr="00240C29" w:rsidRDefault="00AD535C" w:rsidP="00AD535C">
      <w:pPr>
        <w:jc w:val="both"/>
        <w:rPr>
          <w:sz w:val="18"/>
          <w:lang w:val="es-MX"/>
        </w:rPr>
      </w:pPr>
    </w:p>
    <w:p w:rsidR="00AD535C" w:rsidRDefault="00AD535C" w:rsidP="00AD535C">
      <w:pPr>
        <w:jc w:val="both"/>
        <w:rPr>
          <w:lang w:val="es-MX"/>
        </w:rPr>
      </w:pPr>
      <w:r w:rsidRPr="009E05CC">
        <w:rPr>
          <w:lang w:val="es-MX"/>
        </w:rPr>
        <w:lastRenderedPageBreak/>
        <w:t>Dentro del porcentaje de ejecución presupuestaria total, de acuerdo a las cifras observadas</w:t>
      </w:r>
      <w:r>
        <w:rPr>
          <w:lang w:val="es-MX"/>
        </w:rPr>
        <w:t xml:space="preserve"> en el período 2018 - 2020</w:t>
      </w:r>
      <w:r w:rsidRPr="009E05CC">
        <w:rPr>
          <w:lang w:val="es-MX"/>
        </w:rPr>
        <w:t>, el año de mayor ejecución</w:t>
      </w:r>
      <w:r>
        <w:rPr>
          <w:lang w:val="es-MX"/>
        </w:rPr>
        <w:t xml:space="preserve"> </w:t>
      </w:r>
      <w:r w:rsidR="00C45AAA">
        <w:rPr>
          <w:lang w:val="es-MX"/>
        </w:rPr>
        <w:t xml:space="preserve">porcentual </w:t>
      </w:r>
      <w:r w:rsidRPr="009E05CC">
        <w:rPr>
          <w:lang w:val="es-MX"/>
        </w:rPr>
        <w:t>es 201</w:t>
      </w:r>
      <w:r>
        <w:rPr>
          <w:lang w:val="es-MX"/>
        </w:rPr>
        <w:t>8</w:t>
      </w:r>
      <w:r w:rsidR="00C45AAA">
        <w:rPr>
          <w:lang w:val="es-MX"/>
        </w:rPr>
        <w:t>,</w:t>
      </w:r>
      <w:r>
        <w:rPr>
          <w:lang w:val="es-MX"/>
        </w:rPr>
        <w:t xml:space="preserve"> en el cual, </w:t>
      </w:r>
      <w:r w:rsidRPr="009E05CC">
        <w:rPr>
          <w:lang w:val="es-MX"/>
        </w:rPr>
        <w:t xml:space="preserve">el gasto destinado a los sectores de los Acuerdos de Paz </w:t>
      </w:r>
      <w:r>
        <w:rPr>
          <w:lang w:val="es-MX"/>
        </w:rPr>
        <w:t>corresponde al</w:t>
      </w:r>
      <w:r w:rsidRPr="009E05CC">
        <w:rPr>
          <w:lang w:val="es-MX"/>
        </w:rPr>
        <w:t xml:space="preserve"> </w:t>
      </w:r>
      <w:r>
        <w:rPr>
          <w:lang w:val="es-MX"/>
        </w:rPr>
        <w:t>56.6% y al Sector Justicia el 13.1%.</w:t>
      </w:r>
    </w:p>
    <w:p w:rsidR="00AD535C" w:rsidRPr="009E05CC" w:rsidRDefault="00AD535C" w:rsidP="00AD535C">
      <w:pPr>
        <w:jc w:val="both"/>
        <w:rPr>
          <w:lang w:val="es-MX"/>
        </w:rPr>
      </w:pPr>
    </w:p>
    <w:p w:rsidR="00AD535C" w:rsidRPr="009E05CC" w:rsidRDefault="00AD535C" w:rsidP="00AD535C">
      <w:pPr>
        <w:jc w:val="both"/>
        <w:rPr>
          <w:lang w:val="es-MX"/>
        </w:rPr>
      </w:pPr>
      <w:r w:rsidRPr="009E05CC">
        <w:rPr>
          <w:lang w:val="es-MX"/>
        </w:rPr>
        <w:t xml:space="preserve">Al observar las cifras desagregadas, </w:t>
      </w:r>
      <w:r>
        <w:rPr>
          <w:lang w:val="es-MX"/>
        </w:rPr>
        <w:t xml:space="preserve">en 2018 </w:t>
      </w:r>
      <w:r w:rsidRPr="009E05CC">
        <w:rPr>
          <w:lang w:val="es-MX"/>
        </w:rPr>
        <w:t xml:space="preserve">el </w:t>
      </w:r>
      <w:r>
        <w:rPr>
          <w:lang w:val="es-MX"/>
        </w:rPr>
        <w:t>G</w:t>
      </w:r>
      <w:r w:rsidRPr="009E05CC">
        <w:rPr>
          <w:lang w:val="es-MX"/>
        </w:rPr>
        <w:t xml:space="preserve">asto </w:t>
      </w:r>
      <w:r>
        <w:rPr>
          <w:lang w:val="es-MX"/>
        </w:rPr>
        <w:t>S</w:t>
      </w:r>
      <w:r w:rsidRPr="009E05CC">
        <w:rPr>
          <w:lang w:val="es-MX"/>
        </w:rPr>
        <w:t>ocial reporta la mayor ejecución</w:t>
      </w:r>
      <w:r>
        <w:rPr>
          <w:lang w:val="es-MX"/>
        </w:rPr>
        <w:t xml:space="preserve"> en </w:t>
      </w:r>
      <w:r w:rsidRPr="009E05CC">
        <w:rPr>
          <w:lang w:val="es-MX"/>
        </w:rPr>
        <w:t xml:space="preserve">el período </w:t>
      </w:r>
      <w:r>
        <w:rPr>
          <w:lang w:val="es-MX"/>
        </w:rPr>
        <w:t>con un porcentaje de</w:t>
      </w:r>
      <w:r w:rsidRPr="009E05CC">
        <w:rPr>
          <w:lang w:val="es-MX"/>
        </w:rPr>
        <w:t xml:space="preserve"> </w:t>
      </w:r>
      <w:r>
        <w:rPr>
          <w:lang w:val="es-MX"/>
        </w:rPr>
        <w:t>43.5</w:t>
      </w:r>
      <w:r w:rsidRPr="009E05CC">
        <w:rPr>
          <w:lang w:val="es-MX"/>
        </w:rPr>
        <w:t xml:space="preserve">% del gasto total, en tanto que </w:t>
      </w:r>
      <w:r>
        <w:rPr>
          <w:lang w:val="es-MX"/>
        </w:rPr>
        <w:t>e</w:t>
      </w:r>
      <w:r w:rsidRPr="009E05CC">
        <w:rPr>
          <w:lang w:val="es-MX"/>
        </w:rPr>
        <w:t>l gast</w:t>
      </w:r>
      <w:r>
        <w:rPr>
          <w:lang w:val="es-MX"/>
        </w:rPr>
        <w:t>o destinado al Sector Justicia demostró ser más alto con 13.1%, orientado especialmente a seguridad interna.</w:t>
      </w:r>
    </w:p>
    <w:p w:rsidR="00AD535C" w:rsidRDefault="00AD535C" w:rsidP="00AD535C">
      <w:pPr>
        <w:rPr>
          <w:b/>
          <w:sz w:val="22"/>
          <w:szCs w:val="22"/>
          <w:lang w:val="es-MX"/>
        </w:rPr>
      </w:pPr>
    </w:p>
    <w:p w:rsidR="00C45AAA" w:rsidRDefault="00C45AAA" w:rsidP="00AD535C">
      <w:pPr>
        <w:rPr>
          <w:b/>
          <w:sz w:val="22"/>
          <w:szCs w:val="22"/>
          <w:lang w:val="es-MX"/>
        </w:rPr>
      </w:pPr>
    </w:p>
    <w:p w:rsidR="00AD535C" w:rsidRPr="00A7534C" w:rsidRDefault="00AD535C" w:rsidP="00AD535C">
      <w:pPr>
        <w:jc w:val="center"/>
        <w:rPr>
          <w:b/>
          <w:szCs w:val="22"/>
          <w:lang w:val="es-MX"/>
        </w:rPr>
      </w:pPr>
      <w:r w:rsidRPr="00A7534C">
        <w:rPr>
          <w:b/>
          <w:szCs w:val="22"/>
          <w:lang w:val="es-MX"/>
        </w:rPr>
        <w:t>Cuadro 9</w:t>
      </w:r>
    </w:p>
    <w:p w:rsidR="00AD535C" w:rsidRPr="00A7534C" w:rsidRDefault="00AD535C" w:rsidP="00AD535C">
      <w:pPr>
        <w:jc w:val="center"/>
        <w:rPr>
          <w:b/>
          <w:szCs w:val="22"/>
          <w:lang w:val="es-MX"/>
        </w:rPr>
      </w:pPr>
      <w:r w:rsidRPr="00A7534C">
        <w:rPr>
          <w:b/>
          <w:szCs w:val="22"/>
          <w:lang w:val="es-MX"/>
        </w:rPr>
        <w:t>Ejecución Presupuestaria del Gasto Social y Acuerdos de Paz</w:t>
      </w:r>
    </w:p>
    <w:p w:rsidR="00AD535C" w:rsidRPr="00A7534C" w:rsidRDefault="00AD535C" w:rsidP="00AD535C">
      <w:pPr>
        <w:jc w:val="center"/>
        <w:rPr>
          <w:b/>
          <w:szCs w:val="22"/>
          <w:lang w:val="es-MX"/>
        </w:rPr>
      </w:pPr>
      <w:r w:rsidRPr="00A7534C">
        <w:rPr>
          <w:b/>
          <w:szCs w:val="22"/>
          <w:lang w:val="es-MX"/>
        </w:rPr>
        <w:t>Al 30 de junio de cada año</w:t>
      </w:r>
    </w:p>
    <w:p w:rsidR="00AD535C" w:rsidRPr="00A7534C" w:rsidRDefault="00AD535C" w:rsidP="00C45AAA">
      <w:pPr>
        <w:jc w:val="center"/>
        <w:rPr>
          <w:sz w:val="20"/>
          <w:lang w:val="es-MX"/>
        </w:rPr>
      </w:pPr>
      <w:r w:rsidRPr="00A7534C">
        <w:rPr>
          <w:b/>
          <w:szCs w:val="22"/>
          <w:lang w:val="es-MX"/>
        </w:rPr>
        <w:t>(En Porcentajes del Presupuesto Ejecutado)</w:t>
      </w:r>
    </w:p>
    <w:tbl>
      <w:tblPr>
        <w:tblW w:w="8894" w:type="dxa"/>
        <w:tblInd w:w="-10" w:type="dxa"/>
        <w:tblCellMar>
          <w:left w:w="70" w:type="dxa"/>
          <w:right w:w="70" w:type="dxa"/>
        </w:tblCellMar>
        <w:tblLook w:val="04A0" w:firstRow="1" w:lastRow="0" w:firstColumn="1" w:lastColumn="0" w:noHBand="0" w:noVBand="1"/>
      </w:tblPr>
      <w:tblGrid>
        <w:gridCol w:w="4145"/>
        <w:gridCol w:w="1583"/>
        <w:gridCol w:w="1583"/>
        <w:gridCol w:w="1583"/>
      </w:tblGrid>
      <w:tr w:rsidR="00AD535C" w:rsidRPr="00A7534C" w:rsidTr="0025776C">
        <w:trPr>
          <w:trHeight w:val="365"/>
        </w:trPr>
        <w:tc>
          <w:tcPr>
            <w:tcW w:w="4145" w:type="dxa"/>
            <w:tcBorders>
              <w:top w:val="single" w:sz="8" w:space="0" w:color="auto"/>
              <w:left w:val="single" w:sz="8" w:space="0" w:color="auto"/>
              <w:bottom w:val="single" w:sz="4" w:space="0" w:color="auto"/>
              <w:right w:val="nil"/>
            </w:tcBorders>
            <w:shd w:val="clear" w:color="000000" w:fill="8DB4E2"/>
            <w:noWrap/>
            <w:vAlign w:val="center"/>
            <w:hideMark/>
          </w:tcPr>
          <w:p w:rsidR="00AD535C" w:rsidRPr="00A7534C" w:rsidRDefault="00AD535C" w:rsidP="0025776C">
            <w:pPr>
              <w:jc w:val="center"/>
              <w:rPr>
                <w:b/>
                <w:bCs/>
                <w:color w:val="000000"/>
                <w:szCs w:val="22"/>
                <w:lang w:val="es-GT" w:eastAsia="es-GT"/>
              </w:rPr>
            </w:pPr>
            <w:r w:rsidRPr="00A7534C">
              <w:rPr>
                <w:b/>
                <w:bCs/>
                <w:color w:val="000000"/>
                <w:szCs w:val="22"/>
                <w:lang w:val="es-GT" w:eastAsia="es-GT"/>
              </w:rPr>
              <w:t>Sector</w:t>
            </w:r>
          </w:p>
        </w:tc>
        <w:tc>
          <w:tcPr>
            <w:tcW w:w="1583" w:type="dxa"/>
            <w:tcBorders>
              <w:top w:val="single" w:sz="8" w:space="0" w:color="auto"/>
              <w:left w:val="single" w:sz="4" w:space="0" w:color="auto"/>
              <w:bottom w:val="single" w:sz="4" w:space="0" w:color="auto"/>
              <w:right w:val="single" w:sz="4" w:space="0" w:color="auto"/>
            </w:tcBorders>
            <w:shd w:val="clear" w:color="000000" w:fill="8DB4E2"/>
            <w:noWrap/>
            <w:vAlign w:val="center"/>
            <w:hideMark/>
          </w:tcPr>
          <w:p w:rsidR="00AD535C" w:rsidRPr="00A7534C" w:rsidRDefault="00AD535C" w:rsidP="0025776C">
            <w:pPr>
              <w:jc w:val="center"/>
              <w:rPr>
                <w:b/>
                <w:bCs/>
                <w:color w:val="000000"/>
                <w:szCs w:val="22"/>
                <w:lang w:val="es-GT" w:eastAsia="es-GT"/>
              </w:rPr>
            </w:pPr>
            <w:r w:rsidRPr="00A7534C">
              <w:rPr>
                <w:b/>
                <w:bCs/>
                <w:color w:val="000000"/>
                <w:szCs w:val="22"/>
                <w:lang w:val="es-GT" w:eastAsia="es-GT"/>
              </w:rPr>
              <w:t>2018</w:t>
            </w:r>
          </w:p>
        </w:tc>
        <w:tc>
          <w:tcPr>
            <w:tcW w:w="1583" w:type="dxa"/>
            <w:tcBorders>
              <w:top w:val="single" w:sz="8" w:space="0" w:color="auto"/>
              <w:left w:val="nil"/>
              <w:bottom w:val="single" w:sz="4" w:space="0" w:color="auto"/>
              <w:right w:val="single" w:sz="4" w:space="0" w:color="auto"/>
            </w:tcBorders>
            <w:shd w:val="clear" w:color="000000" w:fill="8DB4E2"/>
            <w:noWrap/>
            <w:vAlign w:val="center"/>
            <w:hideMark/>
          </w:tcPr>
          <w:p w:rsidR="00AD535C" w:rsidRPr="00A7534C" w:rsidRDefault="00AD535C" w:rsidP="0025776C">
            <w:pPr>
              <w:jc w:val="center"/>
              <w:rPr>
                <w:b/>
                <w:bCs/>
                <w:color w:val="000000"/>
                <w:szCs w:val="22"/>
                <w:lang w:val="es-GT" w:eastAsia="es-GT"/>
              </w:rPr>
            </w:pPr>
            <w:r w:rsidRPr="00A7534C">
              <w:rPr>
                <w:b/>
                <w:bCs/>
                <w:color w:val="000000"/>
                <w:szCs w:val="22"/>
                <w:lang w:val="es-GT" w:eastAsia="es-GT"/>
              </w:rPr>
              <w:t>2019</w:t>
            </w:r>
          </w:p>
        </w:tc>
        <w:tc>
          <w:tcPr>
            <w:tcW w:w="1583" w:type="dxa"/>
            <w:tcBorders>
              <w:top w:val="single" w:sz="8" w:space="0" w:color="auto"/>
              <w:left w:val="single" w:sz="4" w:space="0" w:color="auto"/>
              <w:bottom w:val="single" w:sz="4" w:space="0" w:color="auto"/>
              <w:right w:val="single" w:sz="8" w:space="0" w:color="auto"/>
            </w:tcBorders>
            <w:shd w:val="clear" w:color="000000" w:fill="8DB4E2"/>
            <w:noWrap/>
            <w:vAlign w:val="center"/>
            <w:hideMark/>
          </w:tcPr>
          <w:p w:rsidR="00AD535C" w:rsidRPr="00A7534C" w:rsidRDefault="00AD535C" w:rsidP="0025776C">
            <w:pPr>
              <w:jc w:val="center"/>
              <w:rPr>
                <w:b/>
                <w:bCs/>
                <w:color w:val="000000"/>
                <w:szCs w:val="22"/>
                <w:lang w:val="es-GT" w:eastAsia="es-GT"/>
              </w:rPr>
            </w:pPr>
            <w:r w:rsidRPr="00A7534C">
              <w:rPr>
                <w:b/>
                <w:bCs/>
                <w:color w:val="000000"/>
                <w:szCs w:val="22"/>
                <w:lang w:val="es-GT" w:eastAsia="es-GT"/>
              </w:rPr>
              <w:t>2020*</w:t>
            </w:r>
          </w:p>
        </w:tc>
      </w:tr>
      <w:tr w:rsidR="00AD535C" w:rsidRPr="00232BFC" w:rsidTr="0025776C">
        <w:trPr>
          <w:trHeight w:val="365"/>
        </w:trPr>
        <w:tc>
          <w:tcPr>
            <w:tcW w:w="4145" w:type="dxa"/>
            <w:tcBorders>
              <w:top w:val="nil"/>
              <w:left w:val="single" w:sz="8" w:space="0" w:color="auto"/>
              <w:bottom w:val="nil"/>
              <w:right w:val="nil"/>
            </w:tcBorders>
            <w:shd w:val="clear" w:color="000000" w:fill="FFFFFF"/>
            <w:noWrap/>
            <w:vAlign w:val="bottom"/>
            <w:hideMark/>
          </w:tcPr>
          <w:p w:rsidR="00AD535C" w:rsidRPr="00A7534C" w:rsidRDefault="00AD535C" w:rsidP="0025776C">
            <w:pPr>
              <w:jc w:val="center"/>
              <w:rPr>
                <w:b/>
                <w:bCs/>
                <w:color w:val="000000"/>
                <w:sz w:val="20"/>
                <w:szCs w:val="22"/>
                <w:lang w:val="es-GT" w:eastAsia="es-GT"/>
              </w:rPr>
            </w:pPr>
            <w:r w:rsidRPr="00A7534C">
              <w:rPr>
                <w:b/>
                <w:bCs/>
                <w:color w:val="000000"/>
                <w:sz w:val="20"/>
                <w:szCs w:val="22"/>
                <w:lang w:val="es-GT" w:eastAsia="es-GT"/>
              </w:rPr>
              <w:t>Total</w:t>
            </w:r>
          </w:p>
        </w:tc>
        <w:tc>
          <w:tcPr>
            <w:tcW w:w="1583"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szCs w:val="22"/>
                <w:lang w:val="es-GT" w:eastAsia="es-GT"/>
              </w:rPr>
            </w:pPr>
            <w:r w:rsidRPr="00A7534C">
              <w:rPr>
                <w:b/>
                <w:bCs/>
                <w:color w:val="000000"/>
                <w:sz w:val="20"/>
                <w:szCs w:val="22"/>
                <w:lang w:val="es-GT" w:eastAsia="es-GT"/>
              </w:rPr>
              <w:t>56.6%</w:t>
            </w:r>
          </w:p>
        </w:tc>
        <w:tc>
          <w:tcPr>
            <w:tcW w:w="1583"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szCs w:val="22"/>
                <w:lang w:val="es-GT" w:eastAsia="es-GT"/>
              </w:rPr>
            </w:pPr>
            <w:r w:rsidRPr="00A7534C">
              <w:rPr>
                <w:b/>
                <w:bCs/>
                <w:color w:val="000000"/>
                <w:sz w:val="20"/>
                <w:szCs w:val="22"/>
                <w:lang w:val="es-GT" w:eastAsia="es-GT"/>
              </w:rPr>
              <w:t>51.0%</w:t>
            </w:r>
          </w:p>
        </w:tc>
        <w:tc>
          <w:tcPr>
            <w:tcW w:w="1583"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b/>
                <w:bCs/>
                <w:color w:val="000000"/>
                <w:sz w:val="20"/>
                <w:szCs w:val="22"/>
                <w:lang w:val="es-GT" w:eastAsia="es-GT"/>
              </w:rPr>
            </w:pPr>
            <w:r w:rsidRPr="00A7534C">
              <w:rPr>
                <w:b/>
                <w:bCs/>
                <w:color w:val="000000"/>
                <w:sz w:val="20"/>
                <w:szCs w:val="22"/>
                <w:lang w:val="es-GT" w:eastAsia="es-GT"/>
              </w:rPr>
              <w:t>51.7%</w:t>
            </w:r>
          </w:p>
        </w:tc>
      </w:tr>
      <w:tr w:rsidR="00AD535C" w:rsidRPr="00232BFC" w:rsidTr="0025776C">
        <w:trPr>
          <w:trHeight w:val="365"/>
        </w:trPr>
        <w:tc>
          <w:tcPr>
            <w:tcW w:w="4145"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szCs w:val="22"/>
                <w:lang w:val="es-GT" w:eastAsia="es-GT"/>
              </w:rPr>
            </w:pPr>
            <w:r w:rsidRPr="00A7534C">
              <w:rPr>
                <w:color w:val="000000"/>
                <w:sz w:val="20"/>
                <w:szCs w:val="22"/>
                <w:lang w:val="es-GT" w:eastAsia="es-GT"/>
              </w:rPr>
              <w:t>Salud y Asistencia Social</w:t>
            </w:r>
          </w:p>
        </w:tc>
        <w:tc>
          <w:tcPr>
            <w:tcW w:w="1583"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19.0%</w:t>
            </w:r>
          </w:p>
        </w:tc>
        <w:tc>
          <w:tcPr>
            <w:tcW w:w="1583"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14.8%</w:t>
            </w:r>
          </w:p>
        </w:tc>
        <w:tc>
          <w:tcPr>
            <w:tcW w:w="1583"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17.3%</w:t>
            </w:r>
          </w:p>
        </w:tc>
      </w:tr>
      <w:tr w:rsidR="00AD535C" w:rsidRPr="00232BFC" w:rsidTr="0025776C">
        <w:trPr>
          <w:trHeight w:val="365"/>
        </w:trPr>
        <w:tc>
          <w:tcPr>
            <w:tcW w:w="4145"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szCs w:val="22"/>
                <w:lang w:val="es-GT" w:eastAsia="es-GT"/>
              </w:rPr>
            </w:pPr>
            <w:r w:rsidRPr="00A7534C">
              <w:rPr>
                <w:color w:val="000000"/>
                <w:sz w:val="20"/>
                <w:szCs w:val="22"/>
                <w:lang w:val="es-GT" w:eastAsia="es-GT"/>
              </w:rPr>
              <w:t>Educación, Ciencia y Cultura</w:t>
            </w:r>
          </w:p>
        </w:tc>
        <w:tc>
          <w:tcPr>
            <w:tcW w:w="1583"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24.4%</w:t>
            </w:r>
          </w:p>
        </w:tc>
        <w:tc>
          <w:tcPr>
            <w:tcW w:w="1583"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25.2%</w:t>
            </w:r>
          </w:p>
        </w:tc>
        <w:tc>
          <w:tcPr>
            <w:tcW w:w="1583"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23.5%</w:t>
            </w:r>
          </w:p>
        </w:tc>
      </w:tr>
      <w:tr w:rsidR="00AD535C" w:rsidRPr="00232BFC" w:rsidTr="0025776C">
        <w:trPr>
          <w:trHeight w:val="365"/>
        </w:trPr>
        <w:tc>
          <w:tcPr>
            <w:tcW w:w="4145"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szCs w:val="22"/>
                <w:lang w:val="es-GT" w:eastAsia="es-GT"/>
              </w:rPr>
            </w:pPr>
            <w:r w:rsidRPr="00A7534C">
              <w:rPr>
                <w:color w:val="000000"/>
                <w:sz w:val="20"/>
                <w:szCs w:val="22"/>
                <w:lang w:val="es-GT" w:eastAsia="es-GT"/>
              </w:rPr>
              <w:t>Vivienda</w:t>
            </w:r>
          </w:p>
        </w:tc>
        <w:tc>
          <w:tcPr>
            <w:tcW w:w="1583"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0.1%</w:t>
            </w:r>
          </w:p>
        </w:tc>
        <w:tc>
          <w:tcPr>
            <w:tcW w:w="1583"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0.1%</w:t>
            </w:r>
          </w:p>
        </w:tc>
        <w:tc>
          <w:tcPr>
            <w:tcW w:w="1583"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0.3%</w:t>
            </w:r>
          </w:p>
        </w:tc>
      </w:tr>
      <w:tr w:rsidR="00AD535C" w:rsidRPr="00232BFC" w:rsidTr="0025776C">
        <w:trPr>
          <w:trHeight w:val="365"/>
        </w:trPr>
        <w:tc>
          <w:tcPr>
            <w:tcW w:w="4145" w:type="dxa"/>
            <w:tcBorders>
              <w:top w:val="nil"/>
              <w:left w:val="single" w:sz="8" w:space="0" w:color="auto"/>
              <w:bottom w:val="nil"/>
              <w:right w:val="nil"/>
            </w:tcBorders>
            <w:shd w:val="clear" w:color="000000" w:fill="FFFFFF"/>
            <w:noWrap/>
            <w:vAlign w:val="bottom"/>
            <w:hideMark/>
          </w:tcPr>
          <w:p w:rsidR="00AD535C" w:rsidRPr="00A7534C" w:rsidRDefault="00AD535C" w:rsidP="0025776C">
            <w:pPr>
              <w:jc w:val="center"/>
              <w:rPr>
                <w:b/>
                <w:bCs/>
                <w:color w:val="000000"/>
                <w:sz w:val="20"/>
                <w:szCs w:val="22"/>
                <w:lang w:val="es-GT" w:eastAsia="es-GT"/>
              </w:rPr>
            </w:pPr>
            <w:r w:rsidRPr="00A7534C">
              <w:rPr>
                <w:b/>
                <w:bCs/>
                <w:color w:val="000000"/>
                <w:sz w:val="20"/>
                <w:szCs w:val="22"/>
                <w:lang w:val="es-GT" w:eastAsia="es-GT"/>
              </w:rPr>
              <w:t>Gasto Social</w:t>
            </w:r>
          </w:p>
        </w:tc>
        <w:tc>
          <w:tcPr>
            <w:tcW w:w="1583"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szCs w:val="22"/>
                <w:lang w:val="es-GT" w:eastAsia="es-GT"/>
              </w:rPr>
            </w:pPr>
            <w:r w:rsidRPr="00A7534C">
              <w:rPr>
                <w:b/>
                <w:bCs/>
                <w:color w:val="000000"/>
                <w:sz w:val="20"/>
                <w:szCs w:val="22"/>
                <w:lang w:val="es-GT" w:eastAsia="es-GT"/>
              </w:rPr>
              <w:t>43.5%</w:t>
            </w:r>
          </w:p>
        </w:tc>
        <w:tc>
          <w:tcPr>
            <w:tcW w:w="1583"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b/>
                <w:bCs/>
                <w:color w:val="000000"/>
                <w:sz w:val="20"/>
                <w:szCs w:val="22"/>
                <w:lang w:val="es-GT" w:eastAsia="es-GT"/>
              </w:rPr>
            </w:pPr>
            <w:r w:rsidRPr="00A7534C">
              <w:rPr>
                <w:b/>
                <w:bCs/>
                <w:color w:val="000000"/>
                <w:sz w:val="20"/>
                <w:szCs w:val="22"/>
                <w:lang w:val="es-GT" w:eastAsia="es-GT"/>
              </w:rPr>
              <w:t>40.2%</w:t>
            </w:r>
          </w:p>
        </w:tc>
        <w:tc>
          <w:tcPr>
            <w:tcW w:w="1583"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b/>
                <w:bCs/>
                <w:color w:val="000000"/>
                <w:sz w:val="20"/>
                <w:szCs w:val="22"/>
                <w:lang w:val="es-GT" w:eastAsia="es-GT"/>
              </w:rPr>
            </w:pPr>
            <w:r w:rsidRPr="00A7534C">
              <w:rPr>
                <w:b/>
                <w:bCs/>
                <w:color w:val="000000"/>
                <w:sz w:val="20"/>
                <w:szCs w:val="22"/>
                <w:lang w:val="es-GT" w:eastAsia="es-GT"/>
              </w:rPr>
              <w:t>41.1%</w:t>
            </w:r>
          </w:p>
        </w:tc>
      </w:tr>
      <w:tr w:rsidR="00AD535C" w:rsidRPr="00232BFC" w:rsidTr="0025776C">
        <w:trPr>
          <w:trHeight w:val="365"/>
        </w:trPr>
        <w:tc>
          <w:tcPr>
            <w:tcW w:w="4145"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szCs w:val="22"/>
                <w:lang w:val="es-GT" w:eastAsia="es-GT"/>
              </w:rPr>
            </w:pPr>
            <w:r w:rsidRPr="00A7534C">
              <w:rPr>
                <w:color w:val="000000"/>
                <w:sz w:val="20"/>
                <w:szCs w:val="22"/>
                <w:lang w:val="es-GT" w:eastAsia="es-GT"/>
              </w:rPr>
              <w:t>Seguridad Interna</w:t>
            </w:r>
          </w:p>
        </w:tc>
        <w:tc>
          <w:tcPr>
            <w:tcW w:w="1583"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6.5%</w:t>
            </w:r>
          </w:p>
        </w:tc>
        <w:tc>
          <w:tcPr>
            <w:tcW w:w="1583"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5.7%</w:t>
            </w:r>
          </w:p>
        </w:tc>
        <w:tc>
          <w:tcPr>
            <w:tcW w:w="1583"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5.8%</w:t>
            </w:r>
          </w:p>
        </w:tc>
      </w:tr>
      <w:tr w:rsidR="00AD535C" w:rsidRPr="00232BFC" w:rsidTr="0025776C">
        <w:trPr>
          <w:trHeight w:val="365"/>
        </w:trPr>
        <w:tc>
          <w:tcPr>
            <w:tcW w:w="4145"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szCs w:val="22"/>
                <w:lang w:val="es-GT" w:eastAsia="es-GT"/>
              </w:rPr>
            </w:pPr>
            <w:r w:rsidRPr="00A7534C">
              <w:rPr>
                <w:color w:val="000000"/>
                <w:sz w:val="20"/>
                <w:szCs w:val="22"/>
                <w:lang w:val="es-GT" w:eastAsia="es-GT"/>
              </w:rPr>
              <w:t>Organismo Judicial y C.C</w:t>
            </w:r>
            <w:r w:rsidR="00A7534C" w:rsidRPr="00A7534C">
              <w:rPr>
                <w:color w:val="000000"/>
                <w:sz w:val="20"/>
                <w:szCs w:val="22"/>
                <w:lang w:val="es-GT" w:eastAsia="es-GT"/>
              </w:rPr>
              <w:t>.</w:t>
            </w:r>
          </w:p>
        </w:tc>
        <w:tc>
          <w:tcPr>
            <w:tcW w:w="1583"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4.0%</w:t>
            </w:r>
          </w:p>
        </w:tc>
        <w:tc>
          <w:tcPr>
            <w:tcW w:w="1583"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3.2%</w:t>
            </w:r>
          </w:p>
        </w:tc>
        <w:tc>
          <w:tcPr>
            <w:tcW w:w="1583"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2.8%</w:t>
            </w:r>
          </w:p>
        </w:tc>
      </w:tr>
      <w:tr w:rsidR="00AD535C" w:rsidRPr="00232BFC" w:rsidTr="0025776C">
        <w:trPr>
          <w:trHeight w:val="365"/>
        </w:trPr>
        <w:tc>
          <w:tcPr>
            <w:tcW w:w="4145" w:type="dxa"/>
            <w:tcBorders>
              <w:top w:val="nil"/>
              <w:left w:val="single" w:sz="8" w:space="0" w:color="auto"/>
              <w:bottom w:val="nil"/>
              <w:right w:val="nil"/>
            </w:tcBorders>
            <w:shd w:val="clear" w:color="000000" w:fill="FFFFFF"/>
            <w:noWrap/>
            <w:vAlign w:val="bottom"/>
            <w:hideMark/>
          </w:tcPr>
          <w:p w:rsidR="00AD535C" w:rsidRPr="00A7534C" w:rsidRDefault="00AD535C" w:rsidP="0025776C">
            <w:pPr>
              <w:rPr>
                <w:color w:val="000000"/>
                <w:sz w:val="20"/>
                <w:szCs w:val="22"/>
                <w:lang w:val="es-GT" w:eastAsia="es-GT"/>
              </w:rPr>
            </w:pPr>
            <w:r w:rsidRPr="00A7534C">
              <w:rPr>
                <w:color w:val="000000"/>
                <w:sz w:val="20"/>
                <w:szCs w:val="22"/>
                <w:lang w:val="es-GT" w:eastAsia="es-GT"/>
              </w:rPr>
              <w:t>Ministerio Público</w:t>
            </w:r>
          </w:p>
        </w:tc>
        <w:tc>
          <w:tcPr>
            <w:tcW w:w="1583" w:type="dxa"/>
            <w:tcBorders>
              <w:top w:val="nil"/>
              <w:left w:val="single" w:sz="4" w:space="0" w:color="auto"/>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2.6%</w:t>
            </w:r>
          </w:p>
        </w:tc>
        <w:tc>
          <w:tcPr>
            <w:tcW w:w="1583" w:type="dxa"/>
            <w:tcBorders>
              <w:top w:val="nil"/>
              <w:left w:val="nil"/>
              <w:bottom w:val="nil"/>
              <w:right w:val="single" w:sz="4"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1.9%</w:t>
            </w:r>
          </w:p>
        </w:tc>
        <w:tc>
          <w:tcPr>
            <w:tcW w:w="1583" w:type="dxa"/>
            <w:tcBorders>
              <w:top w:val="nil"/>
              <w:left w:val="nil"/>
              <w:bottom w:val="nil"/>
              <w:right w:val="single" w:sz="8" w:space="0" w:color="auto"/>
            </w:tcBorders>
            <w:shd w:val="clear" w:color="000000" w:fill="FFFFFF"/>
            <w:noWrap/>
            <w:vAlign w:val="bottom"/>
            <w:hideMark/>
          </w:tcPr>
          <w:p w:rsidR="00AD535C" w:rsidRPr="00A7534C" w:rsidRDefault="00AD535C" w:rsidP="0025776C">
            <w:pPr>
              <w:jc w:val="right"/>
              <w:rPr>
                <w:color w:val="000000"/>
                <w:sz w:val="20"/>
                <w:szCs w:val="22"/>
                <w:lang w:val="es-GT" w:eastAsia="es-GT"/>
              </w:rPr>
            </w:pPr>
            <w:r w:rsidRPr="00A7534C">
              <w:rPr>
                <w:color w:val="000000"/>
                <w:sz w:val="20"/>
                <w:szCs w:val="22"/>
                <w:lang w:val="es-GT" w:eastAsia="es-GT"/>
              </w:rPr>
              <w:t>1.9%</w:t>
            </w:r>
          </w:p>
        </w:tc>
      </w:tr>
      <w:tr w:rsidR="00AD535C" w:rsidRPr="00232BFC" w:rsidTr="0025776C">
        <w:trPr>
          <w:trHeight w:val="377"/>
        </w:trPr>
        <w:tc>
          <w:tcPr>
            <w:tcW w:w="4145" w:type="dxa"/>
            <w:tcBorders>
              <w:top w:val="nil"/>
              <w:left w:val="single" w:sz="8" w:space="0" w:color="auto"/>
              <w:bottom w:val="single" w:sz="8" w:space="0" w:color="auto"/>
              <w:right w:val="nil"/>
            </w:tcBorders>
            <w:shd w:val="clear" w:color="000000" w:fill="FFFFFF"/>
            <w:noWrap/>
            <w:vAlign w:val="bottom"/>
            <w:hideMark/>
          </w:tcPr>
          <w:p w:rsidR="00AD535C" w:rsidRPr="00A7534C" w:rsidRDefault="00AD535C" w:rsidP="0025776C">
            <w:pPr>
              <w:jc w:val="center"/>
              <w:rPr>
                <w:b/>
                <w:bCs/>
                <w:color w:val="000000"/>
                <w:sz w:val="20"/>
                <w:szCs w:val="22"/>
                <w:lang w:val="es-GT" w:eastAsia="es-GT"/>
              </w:rPr>
            </w:pPr>
            <w:r w:rsidRPr="00A7534C">
              <w:rPr>
                <w:b/>
                <w:bCs/>
                <w:color w:val="000000"/>
                <w:sz w:val="20"/>
                <w:szCs w:val="22"/>
                <w:lang w:val="es-GT" w:eastAsia="es-GT"/>
              </w:rPr>
              <w:t>Sector Justicia</w:t>
            </w:r>
          </w:p>
        </w:tc>
        <w:tc>
          <w:tcPr>
            <w:tcW w:w="1583" w:type="dxa"/>
            <w:tcBorders>
              <w:top w:val="nil"/>
              <w:left w:val="single" w:sz="4" w:space="0" w:color="auto"/>
              <w:bottom w:val="single" w:sz="8" w:space="0" w:color="auto"/>
              <w:right w:val="single" w:sz="4" w:space="0" w:color="auto"/>
            </w:tcBorders>
            <w:shd w:val="clear" w:color="000000" w:fill="FFFFFF"/>
            <w:noWrap/>
            <w:vAlign w:val="bottom"/>
            <w:hideMark/>
          </w:tcPr>
          <w:p w:rsidR="00AD535C" w:rsidRPr="00A7534C" w:rsidRDefault="00AD535C" w:rsidP="0025776C">
            <w:pPr>
              <w:jc w:val="right"/>
              <w:rPr>
                <w:b/>
                <w:bCs/>
                <w:color w:val="000000"/>
                <w:sz w:val="20"/>
                <w:szCs w:val="22"/>
                <w:lang w:val="es-GT" w:eastAsia="es-GT"/>
              </w:rPr>
            </w:pPr>
            <w:r w:rsidRPr="00A7534C">
              <w:rPr>
                <w:b/>
                <w:bCs/>
                <w:color w:val="000000"/>
                <w:sz w:val="20"/>
                <w:szCs w:val="22"/>
                <w:lang w:val="es-GT" w:eastAsia="es-GT"/>
              </w:rPr>
              <w:t>13.1%</w:t>
            </w:r>
          </w:p>
        </w:tc>
        <w:tc>
          <w:tcPr>
            <w:tcW w:w="1583" w:type="dxa"/>
            <w:tcBorders>
              <w:top w:val="nil"/>
              <w:left w:val="nil"/>
              <w:bottom w:val="single" w:sz="8" w:space="0" w:color="auto"/>
              <w:right w:val="single" w:sz="4" w:space="0" w:color="auto"/>
            </w:tcBorders>
            <w:shd w:val="clear" w:color="000000" w:fill="FFFFFF"/>
            <w:noWrap/>
            <w:vAlign w:val="bottom"/>
            <w:hideMark/>
          </w:tcPr>
          <w:p w:rsidR="00AD535C" w:rsidRPr="00A7534C" w:rsidRDefault="00AD535C" w:rsidP="0025776C">
            <w:pPr>
              <w:jc w:val="right"/>
              <w:rPr>
                <w:b/>
                <w:bCs/>
                <w:color w:val="000000"/>
                <w:sz w:val="20"/>
                <w:szCs w:val="22"/>
                <w:lang w:val="es-GT" w:eastAsia="es-GT"/>
              </w:rPr>
            </w:pPr>
            <w:r w:rsidRPr="00A7534C">
              <w:rPr>
                <w:b/>
                <w:bCs/>
                <w:color w:val="000000"/>
                <w:sz w:val="20"/>
                <w:szCs w:val="22"/>
                <w:lang w:val="es-GT" w:eastAsia="es-GT"/>
              </w:rPr>
              <w:t>10.8%</w:t>
            </w:r>
          </w:p>
        </w:tc>
        <w:tc>
          <w:tcPr>
            <w:tcW w:w="1583" w:type="dxa"/>
            <w:tcBorders>
              <w:top w:val="nil"/>
              <w:left w:val="nil"/>
              <w:bottom w:val="single" w:sz="8" w:space="0" w:color="auto"/>
              <w:right w:val="single" w:sz="8" w:space="0" w:color="auto"/>
            </w:tcBorders>
            <w:shd w:val="clear" w:color="000000" w:fill="FFFFFF"/>
            <w:noWrap/>
            <w:vAlign w:val="bottom"/>
            <w:hideMark/>
          </w:tcPr>
          <w:p w:rsidR="00AD535C" w:rsidRPr="00A7534C" w:rsidRDefault="00AD535C" w:rsidP="0025776C">
            <w:pPr>
              <w:jc w:val="right"/>
              <w:rPr>
                <w:b/>
                <w:bCs/>
                <w:color w:val="000000"/>
                <w:sz w:val="20"/>
                <w:szCs w:val="22"/>
                <w:lang w:val="es-GT" w:eastAsia="es-GT"/>
              </w:rPr>
            </w:pPr>
            <w:r w:rsidRPr="00A7534C">
              <w:rPr>
                <w:b/>
                <w:bCs/>
                <w:color w:val="000000"/>
                <w:sz w:val="20"/>
                <w:szCs w:val="22"/>
                <w:lang w:val="es-GT" w:eastAsia="es-GT"/>
              </w:rPr>
              <w:t>10.5%</w:t>
            </w:r>
          </w:p>
        </w:tc>
      </w:tr>
      <w:tr w:rsidR="00AD535C" w:rsidRPr="00232BFC" w:rsidTr="00C45AAA">
        <w:trPr>
          <w:trHeight w:val="222"/>
        </w:trPr>
        <w:tc>
          <w:tcPr>
            <w:tcW w:w="4145" w:type="dxa"/>
            <w:tcBorders>
              <w:top w:val="nil"/>
              <w:left w:val="nil"/>
              <w:bottom w:val="nil"/>
              <w:right w:val="nil"/>
            </w:tcBorders>
            <w:shd w:val="clear" w:color="000000" w:fill="FFFFFF"/>
            <w:noWrap/>
            <w:vAlign w:val="bottom"/>
            <w:hideMark/>
          </w:tcPr>
          <w:p w:rsidR="00AD535C" w:rsidRPr="00A7534C" w:rsidRDefault="00AD535C" w:rsidP="0025776C">
            <w:pPr>
              <w:rPr>
                <w:b/>
                <w:color w:val="000000"/>
                <w:sz w:val="20"/>
                <w:szCs w:val="22"/>
                <w:lang w:val="es-GT" w:eastAsia="es-GT"/>
              </w:rPr>
            </w:pPr>
            <w:r w:rsidRPr="00A7534C">
              <w:rPr>
                <w:b/>
                <w:color w:val="000000"/>
                <w:sz w:val="20"/>
                <w:szCs w:val="22"/>
                <w:lang w:val="es-GT" w:eastAsia="es-GT"/>
              </w:rPr>
              <w:t>Ejecución Presupuestaria</w:t>
            </w:r>
          </w:p>
        </w:tc>
        <w:tc>
          <w:tcPr>
            <w:tcW w:w="1583" w:type="dxa"/>
            <w:tcBorders>
              <w:top w:val="nil"/>
              <w:left w:val="nil"/>
              <w:bottom w:val="nil"/>
              <w:right w:val="nil"/>
            </w:tcBorders>
            <w:shd w:val="clear" w:color="000000" w:fill="FFFFFF"/>
            <w:noWrap/>
            <w:vAlign w:val="bottom"/>
            <w:hideMark/>
          </w:tcPr>
          <w:p w:rsidR="00AD535C" w:rsidRPr="00A7534C" w:rsidRDefault="00AD535C" w:rsidP="0025776C">
            <w:pPr>
              <w:jc w:val="right"/>
              <w:rPr>
                <w:b/>
                <w:color w:val="000000"/>
                <w:sz w:val="20"/>
                <w:szCs w:val="22"/>
                <w:lang w:val="es-GT" w:eastAsia="es-GT"/>
              </w:rPr>
            </w:pPr>
            <w:r w:rsidRPr="00A7534C">
              <w:rPr>
                <w:b/>
                <w:color w:val="000000"/>
                <w:sz w:val="20"/>
                <w:szCs w:val="22"/>
                <w:lang w:val="es-GT" w:eastAsia="es-GT"/>
              </w:rPr>
              <w:t xml:space="preserve">32,503.7 </w:t>
            </w:r>
          </w:p>
        </w:tc>
        <w:tc>
          <w:tcPr>
            <w:tcW w:w="1583" w:type="dxa"/>
            <w:tcBorders>
              <w:top w:val="nil"/>
              <w:left w:val="nil"/>
              <w:bottom w:val="nil"/>
              <w:right w:val="nil"/>
            </w:tcBorders>
            <w:shd w:val="clear" w:color="000000" w:fill="FFFFFF"/>
            <w:noWrap/>
            <w:vAlign w:val="bottom"/>
            <w:hideMark/>
          </w:tcPr>
          <w:p w:rsidR="00AD535C" w:rsidRPr="00A7534C" w:rsidRDefault="00AD535C" w:rsidP="0025776C">
            <w:pPr>
              <w:jc w:val="right"/>
              <w:rPr>
                <w:b/>
                <w:color w:val="000000"/>
                <w:sz w:val="20"/>
                <w:szCs w:val="22"/>
                <w:lang w:val="es-GT" w:eastAsia="es-GT"/>
              </w:rPr>
            </w:pPr>
            <w:r w:rsidRPr="00A7534C">
              <w:rPr>
                <w:b/>
                <w:color w:val="000000"/>
                <w:sz w:val="20"/>
                <w:szCs w:val="22"/>
                <w:lang w:val="es-GT" w:eastAsia="es-GT"/>
              </w:rPr>
              <w:t xml:space="preserve">37,890.0 </w:t>
            </w:r>
          </w:p>
        </w:tc>
        <w:tc>
          <w:tcPr>
            <w:tcW w:w="1583" w:type="dxa"/>
            <w:tcBorders>
              <w:top w:val="nil"/>
              <w:left w:val="nil"/>
              <w:bottom w:val="nil"/>
              <w:right w:val="nil"/>
            </w:tcBorders>
            <w:shd w:val="clear" w:color="000000" w:fill="FFFFFF"/>
            <w:noWrap/>
            <w:vAlign w:val="bottom"/>
            <w:hideMark/>
          </w:tcPr>
          <w:p w:rsidR="00AD535C" w:rsidRPr="00A7534C" w:rsidRDefault="00AD535C" w:rsidP="0025776C">
            <w:pPr>
              <w:jc w:val="right"/>
              <w:rPr>
                <w:b/>
                <w:color w:val="000000"/>
                <w:sz w:val="20"/>
                <w:szCs w:val="22"/>
                <w:lang w:val="es-GT" w:eastAsia="es-GT"/>
              </w:rPr>
            </w:pPr>
            <w:r w:rsidRPr="00A7534C">
              <w:rPr>
                <w:b/>
                <w:color w:val="000000"/>
                <w:sz w:val="20"/>
                <w:szCs w:val="22"/>
                <w:lang w:val="es-GT" w:eastAsia="es-GT"/>
              </w:rPr>
              <w:t xml:space="preserve">41,296.2 </w:t>
            </w:r>
          </w:p>
        </w:tc>
      </w:tr>
    </w:tbl>
    <w:p w:rsidR="00C45AAA" w:rsidRPr="00C45AAA" w:rsidRDefault="00C45AAA" w:rsidP="00AD535C">
      <w:pPr>
        <w:jc w:val="both"/>
        <w:rPr>
          <w:sz w:val="8"/>
          <w:lang w:val="es-MX"/>
        </w:rPr>
      </w:pPr>
    </w:p>
    <w:p w:rsidR="00AD535C" w:rsidRDefault="00AD535C" w:rsidP="00AD535C">
      <w:pPr>
        <w:jc w:val="both"/>
        <w:rPr>
          <w:sz w:val="18"/>
          <w:lang w:val="es-MX"/>
        </w:rPr>
      </w:pPr>
      <w:r w:rsidRPr="00240C29">
        <w:rPr>
          <w:sz w:val="18"/>
          <w:lang w:val="es-MX"/>
        </w:rPr>
        <w:t>* Cifras preliminares.</w:t>
      </w:r>
    </w:p>
    <w:p w:rsidR="00AD535C" w:rsidRDefault="00C45AAA" w:rsidP="00AD535C">
      <w:pPr>
        <w:jc w:val="both"/>
        <w:rPr>
          <w:sz w:val="18"/>
          <w:lang w:val="es-MX"/>
        </w:rPr>
      </w:pPr>
      <w:r>
        <w:rPr>
          <w:sz w:val="18"/>
          <w:lang w:val="es-MX"/>
        </w:rPr>
        <w:t xml:space="preserve">  </w:t>
      </w:r>
      <w:r w:rsidR="00AD535C">
        <w:rPr>
          <w:sz w:val="18"/>
          <w:lang w:val="es-MX"/>
        </w:rPr>
        <w:t xml:space="preserve"> </w:t>
      </w:r>
      <w:r w:rsidR="00AD535C" w:rsidRPr="00240C29">
        <w:rPr>
          <w:sz w:val="18"/>
          <w:lang w:val="es-MX"/>
        </w:rPr>
        <w:t>Fuente: Ministerio de Finanzas Públicas con base al SICOIN.</w:t>
      </w:r>
    </w:p>
    <w:p w:rsidR="00C45AAA" w:rsidRDefault="00C45AAA" w:rsidP="00AD535C">
      <w:pPr>
        <w:jc w:val="both"/>
        <w:rPr>
          <w:sz w:val="18"/>
          <w:lang w:val="es-MX"/>
        </w:rPr>
      </w:pPr>
    </w:p>
    <w:p w:rsidR="00C45AAA" w:rsidRPr="00240C29" w:rsidRDefault="00C45AAA" w:rsidP="00AD535C">
      <w:pPr>
        <w:jc w:val="both"/>
        <w:rPr>
          <w:sz w:val="18"/>
          <w:lang w:val="es-MX"/>
        </w:rPr>
      </w:pPr>
    </w:p>
    <w:p w:rsidR="00AD535C" w:rsidRPr="00FB641E" w:rsidRDefault="00AD535C" w:rsidP="00F073BE">
      <w:pPr>
        <w:keepNext/>
        <w:keepLines/>
        <w:numPr>
          <w:ilvl w:val="2"/>
          <w:numId w:val="3"/>
        </w:numPr>
        <w:spacing w:before="200"/>
        <w:outlineLvl w:val="2"/>
        <w:rPr>
          <w:b/>
          <w:bCs/>
          <w:lang w:val="es-MX"/>
        </w:rPr>
      </w:pPr>
      <w:bookmarkStart w:id="18" w:name="_Toc51925250"/>
      <w:r w:rsidRPr="00FB641E">
        <w:rPr>
          <w:b/>
          <w:bCs/>
          <w:lang w:val="es-MX"/>
        </w:rPr>
        <w:t xml:space="preserve">Gasto </w:t>
      </w:r>
      <w:r>
        <w:rPr>
          <w:b/>
          <w:bCs/>
          <w:lang w:val="es-MX"/>
        </w:rPr>
        <w:t>E</w:t>
      </w:r>
      <w:r w:rsidRPr="00FB641E">
        <w:rPr>
          <w:b/>
          <w:bCs/>
          <w:lang w:val="es-MX"/>
        </w:rPr>
        <w:t xml:space="preserve">jecutado a través de </w:t>
      </w:r>
      <w:r>
        <w:rPr>
          <w:b/>
          <w:bCs/>
          <w:lang w:val="es-MX"/>
        </w:rPr>
        <w:t>F</w:t>
      </w:r>
      <w:r w:rsidRPr="00FB641E">
        <w:rPr>
          <w:b/>
          <w:bCs/>
          <w:lang w:val="es-MX"/>
        </w:rPr>
        <w:t>ideicomisos</w:t>
      </w:r>
      <w:bookmarkEnd w:id="18"/>
    </w:p>
    <w:p w:rsidR="00AD535C" w:rsidRDefault="00AD535C" w:rsidP="00AD535C">
      <w:pPr>
        <w:jc w:val="both"/>
        <w:rPr>
          <w:lang w:val="es-MX"/>
        </w:rPr>
      </w:pPr>
    </w:p>
    <w:p w:rsidR="00AD535C" w:rsidRDefault="00AD535C" w:rsidP="00AD535C">
      <w:pPr>
        <w:jc w:val="both"/>
        <w:rPr>
          <w:lang w:val="es-MX"/>
        </w:rPr>
      </w:pPr>
      <w:r w:rsidRPr="00FB641E">
        <w:rPr>
          <w:lang w:val="es-MX"/>
        </w:rPr>
        <w:t>Al 30 de junio de 20</w:t>
      </w:r>
      <w:r>
        <w:rPr>
          <w:lang w:val="es-MX"/>
        </w:rPr>
        <w:t>20</w:t>
      </w:r>
      <w:r w:rsidRPr="00FB641E">
        <w:rPr>
          <w:lang w:val="es-MX"/>
        </w:rPr>
        <w:t xml:space="preserve">, la ejecución </w:t>
      </w:r>
      <w:r>
        <w:rPr>
          <w:lang w:val="es-MX"/>
        </w:rPr>
        <w:t xml:space="preserve">a través de </w:t>
      </w:r>
      <w:r w:rsidRPr="00FB641E">
        <w:rPr>
          <w:lang w:val="es-MX"/>
        </w:rPr>
        <w:t>fideicomisos</w:t>
      </w:r>
      <w:r w:rsidRPr="004720E6">
        <w:rPr>
          <w:vertAlign w:val="superscript"/>
        </w:rPr>
        <w:footnoteReference w:id="2"/>
      </w:r>
      <w:r>
        <w:rPr>
          <w:lang w:val="es-MX"/>
        </w:rPr>
        <w:t xml:space="preserve"> disminuyó en Q.16.2 millones respecto de lo observado en el mismo período de 2019, que pasó de Q.331.0 millones (0.9%) a Q.314.7 millones en 2020, (0.8%) de la ejecución total.</w:t>
      </w:r>
    </w:p>
    <w:p w:rsidR="00AD535C" w:rsidRDefault="00AD535C" w:rsidP="00AD535C">
      <w:pPr>
        <w:jc w:val="both"/>
        <w:rPr>
          <w:lang w:val="es-MX"/>
        </w:rPr>
      </w:pPr>
    </w:p>
    <w:p w:rsidR="00AD535C" w:rsidRPr="00FB641E" w:rsidRDefault="00AD535C" w:rsidP="00AD535C">
      <w:pPr>
        <w:jc w:val="both"/>
        <w:rPr>
          <w:lang w:val="es-MX"/>
        </w:rPr>
      </w:pPr>
      <w:r>
        <w:rPr>
          <w:lang w:val="es-MX"/>
        </w:rPr>
        <w:t xml:space="preserve">La ejecución del 2020 se concentra especialmente en los </w:t>
      </w:r>
      <w:r w:rsidR="00EF31C8">
        <w:rPr>
          <w:lang w:val="es-MX"/>
        </w:rPr>
        <w:t xml:space="preserve">siguientes </w:t>
      </w:r>
      <w:r>
        <w:rPr>
          <w:lang w:val="es-MX"/>
        </w:rPr>
        <w:t xml:space="preserve">fideicomisos: Inversión para la Vivienda con Q.131.4 millones, Fondo de Protección Social con Q.162.2 millones, </w:t>
      </w:r>
      <w:r w:rsidRPr="00232BFC">
        <w:rPr>
          <w:lang w:val="es-GT" w:eastAsia="es-GT"/>
        </w:rPr>
        <w:t>Fondo Nacional para la Reactivación y Modernización de la Actividad Agropecuaria</w:t>
      </w:r>
      <w:r>
        <w:rPr>
          <w:lang w:val="es-GT" w:eastAsia="es-GT"/>
        </w:rPr>
        <w:t xml:space="preserve"> con Q.19.3 millones y otros fideicomisos con Q.1.9 millones.</w:t>
      </w:r>
    </w:p>
    <w:p w:rsidR="00AD535C" w:rsidRDefault="00AD535C" w:rsidP="00AD535C">
      <w:pPr>
        <w:jc w:val="both"/>
        <w:rPr>
          <w:lang w:val="es-MX"/>
        </w:rPr>
      </w:pPr>
    </w:p>
    <w:p w:rsidR="00AD535C" w:rsidRPr="00E4168F" w:rsidRDefault="00AD535C" w:rsidP="00AD535C">
      <w:pPr>
        <w:jc w:val="center"/>
        <w:rPr>
          <w:b/>
          <w:szCs w:val="22"/>
          <w:lang w:val="es-MX"/>
        </w:rPr>
      </w:pPr>
      <w:r w:rsidRPr="00E4168F">
        <w:rPr>
          <w:b/>
          <w:szCs w:val="22"/>
          <w:lang w:val="es-MX"/>
        </w:rPr>
        <w:t>Cuadro 10</w:t>
      </w:r>
    </w:p>
    <w:p w:rsidR="00AD535C" w:rsidRPr="00E4168F" w:rsidRDefault="00AD535C" w:rsidP="00AD535C">
      <w:pPr>
        <w:jc w:val="center"/>
        <w:rPr>
          <w:b/>
          <w:szCs w:val="22"/>
          <w:lang w:val="es-MX"/>
        </w:rPr>
      </w:pPr>
      <w:r w:rsidRPr="00E4168F">
        <w:rPr>
          <w:b/>
          <w:szCs w:val="22"/>
          <w:lang w:val="es-MX"/>
        </w:rPr>
        <w:t>Ejecución Presupuestaria a través de Fideicomisos</w:t>
      </w:r>
    </w:p>
    <w:p w:rsidR="00AD535C" w:rsidRPr="00E4168F" w:rsidRDefault="00AD535C" w:rsidP="00AD535C">
      <w:pPr>
        <w:jc w:val="center"/>
        <w:rPr>
          <w:b/>
          <w:szCs w:val="22"/>
          <w:lang w:val="es-MX"/>
        </w:rPr>
      </w:pPr>
      <w:r w:rsidRPr="00E4168F">
        <w:rPr>
          <w:b/>
          <w:szCs w:val="22"/>
          <w:lang w:val="es-MX"/>
        </w:rPr>
        <w:t>Al 30 de junio de cada año</w:t>
      </w:r>
    </w:p>
    <w:p w:rsidR="00AD535C" w:rsidRPr="00E4168F" w:rsidRDefault="00AD535C" w:rsidP="00AD535C">
      <w:pPr>
        <w:jc w:val="center"/>
        <w:rPr>
          <w:b/>
          <w:szCs w:val="22"/>
          <w:lang w:val="es-MX"/>
        </w:rPr>
      </w:pPr>
      <w:r w:rsidRPr="00E4168F">
        <w:rPr>
          <w:b/>
          <w:szCs w:val="22"/>
          <w:lang w:val="es-MX"/>
        </w:rPr>
        <w:t>(Cifras en Millones de Quetzales)</w:t>
      </w:r>
    </w:p>
    <w:tbl>
      <w:tblPr>
        <w:tblW w:w="9214" w:type="dxa"/>
        <w:tblInd w:w="-10" w:type="dxa"/>
        <w:tblCellMar>
          <w:left w:w="70" w:type="dxa"/>
          <w:right w:w="70" w:type="dxa"/>
        </w:tblCellMar>
        <w:tblLook w:val="04A0" w:firstRow="1" w:lastRow="0" w:firstColumn="1" w:lastColumn="0" w:noHBand="0" w:noVBand="1"/>
      </w:tblPr>
      <w:tblGrid>
        <w:gridCol w:w="4793"/>
        <w:gridCol w:w="1099"/>
        <w:gridCol w:w="992"/>
        <w:gridCol w:w="1134"/>
        <w:gridCol w:w="1196"/>
      </w:tblGrid>
      <w:tr w:rsidR="00AD535C" w:rsidRPr="007A53E8" w:rsidTr="00581151">
        <w:trPr>
          <w:trHeight w:val="310"/>
        </w:trPr>
        <w:tc>
          <w:tcPr>
            <w:tcW w:w="4793" w:type="dxa"/>
            <w:vMerge w:val="restart"/>
            <w:tcBorders>
              <w:top w:val="single" w:sz="8" w:space="0" w:color="auto"/>
              <w:left w:val="single" w:sz="8" w:space="0" w:color="auto"/>
              <w:bottom w:val="single" w:sz="4" w:space="0" w:color="000000"/>
              <w:right w:val="single" w:sz="4" w:space="0" w:color="auto"/>
            </w:tcBorders>
            <w:shd w:val="clear" w:color="000000" w:fill="8DB4E2"/>
            <w:vAlign w:val="center"/>
            <w:hideMark/>
          </w:tcPr>
          <w:p w:rsidR="00AD535C" w:rsidRPr="00261D9E" w:rsidRDefault="00AD535C" w:rsidP="0025776C">
            <w:pPr>
              <w:jc w:val="center"/>
              <w:rPr>
                <w:b/>
                <w:bCs/>
                <w:sz w:val="22"/>
                <w:lang w:val="es-GT" w:eastAsia="es-GT"/>
              </w:rPr>
            </w:pPr>
            <w:r w:rsidRPr="00261D9E">
              <w:rPr>
                <w:b/>
                <w:bCs/>
                <w:sz w:val="22"/>
                <w:lang w:val="es-GT" w:eastAsia="es-GT"/>
              </w:rPr>
              <w:t>Descripción</w:t>
            </w:r>
          </w:p>
        </w:tc>
        <w:tc>
          <w:tcPr>
            <w:tcW w:w="1099"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261D9E" w:rsidRDefault="00AD535C" w:rsidP="0025776C">
            <w:pPr>
              <w:jc w:val="center"/>
              <w:rPr>
                <w:b/>
                <w:bCs/>
                <w:sz w:val="22"/>
                <w:lang w:val="es-GT" w:eastAsia="es-GT"/>
              </w:rPr>
            </w:pPr>
            <w:r w:rsidRPr="00261D9E">
              <w:rPr>
                <w:b/>
                <w:bCs/>
                <w:sz w:val="22"/>
                <w:lang w:val="es-GT" w:eastAsia="es-GT"/>
              </w:rPr>
              <w:t>2019</w:t>
            </w:r>
          </w:p>
        </w:tc>
        <w:tc>
          <w:tcPr>
            <w:tcW w:w="992"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261D9E" w:rsidRDefault="00AD535C" w:rsidP="0025776C">
            <w:pPr>
              <w:jc w:val="center"/>
              <w:rPr>
                <w:b/>
                <w:bCs/>
                <w:sz w:val="22"/>
                <w:lang w:val="es-GT" w:eastAsia="es-GT"/>
              </w:rPr>
            </w:pPr>
            <w:r w:rsidRPr="00261D9E">
              <w:rPr>
                <w:b/>
                <w:bCs/>
                <w:sz w:val="22"/>
                <w:lang w:val="es-GT" w:eastAsia="es-GT"/>
              </w:rPr>
              <w:t>2020</w:t>
            </w:r>
            <w:r w:rsidR="00927D15">
              <w:rPr>
                <w:b/>
                <w:bCs/>
                <w:sz w:val="22"/>
                <w:lang w:val="es-GT" w:eastAsia="es-GT"/>
              </w:rPr>
              <w:t>*</w:t>
            </w:r>
          </w:p>
        </w:tc>
        <w:tc>
          <w:tcPr>
            <w:tcW w:w="2330" w:type="dxa"/>
            <w:gridSpan w:val="2"/>
            <w:tcBorders>
              <w:top w:val="single" w:sz="8" w:space="0" w:color="auto"/>
              <w:left w:val="single" w:sz="4" w:space="0" w:color="auto"/>
              <w:bottom w:val="single" w:sz="4" w:space="0" w:color="auto"/>
              <w:right w:val="single" w:sz="8" w:space="0" w:color="000000"/>
            </w:tcBorders>
            <w:shd w:val="clear" w:color="000000" w:fill="8DB4E2"/>
            <w:noWrap/>
            <w:vAlign w:val="bottom"/>
            <w:hideMark/>
          </w:tcPr>
          <w:p w:rsidR="00AD535C" w:rsidRPr="00261D9E" w:rsidRDefault="00AD535C" w:rsidP="0025776C">
            <w:pPr>
              <w:jc w:val="center"/>
              <w:rPr>
                <w:b/>
                <w:bCs/>
                <w:sz w:val="22"/>
                <w:lang w:val="es-GT" w:eastAsia="es-GT"/>
              </w:rPr>
            </w:pPr>
            <w:r w:rsidRPr="00261D9E">
              <w:rPr>
                <w:b/>
                <w:bCs/>
                <w:sz w:val="22"/>
                <w:lang w:val="es-GT" w:eastAsia="es-GT"/>
              </w:rPr>
              <w:t>Diferencias</w:t>
            </w:r>
          </w:p>
        </w:tc>
      </w:tr>
      <w:tr w:rsidR="00AD535C" w:rsidRPr="007A53E8" w:rsidTr="00581151">
        <w:trPr>
          <w:trHeight w:val="310"/>
        </w:trPr>
        <w:tc>
          <w:tcPr>
            <w:tcW w:w="4793" w:type="dxa"/>
            <w:vMerge/>
            <w:tcBorders>
              <w:top w:val="single" w:sz="8" w:space="0" w:color="auto"/>
              <w:left w:val="single" w:sz="8" w:space="0" w:color="auto"/>
              <w:bottom w:val="single" w:sz="4" w:space="0" w:color="000000"/>
              <w:right w:val="single" w:sz="4" w:space="0" w:color="auto"/>
            </w:tcBorders>
            <w:vAlign w:val="center"/>
            <w:hideMark/>
          </w:tcPr>
          <w:p w:rsidR="00AD535C" w:rsidRPr="00261D9E" w:rsidRDefault="00AD535C" w:rsidP="0025776C">
            <w:pPr>
              <w:rPr>
                <w:b/>
                <w:bCs/>
                <w:sz w:val="22"/>
                <w:lang w:val="es-GT" w:eastAsia="es-GT"/>
              </w:rPr>
            </w:pPr>
          </w:p>
        </w:tc>
        <w:tc>
          <w:tcPr>
            <w:tcW w:w="1099" w:type="dxa"/>
            <w:vMerge/>
            <w:tcBorders>
              <w:top w:val="single" w:sz="8" w:space="0" w:color="auto"/>
              <w:left w:val="single" w:sz="4" w:space="0" w:color="auto"/>
              <w:bottom w:val="single" w:sz="4" w:space="0" w:color="000000"/>
              <w:right w:val="single" w:sz="4" w:space="0" w:color="auto"/>
            </w:tcBorders>
            <w:vAlign w:val="center"/>
            <w:hideMark/>
          </w:tcPr>
          <w:p w:rsidR="00AD535C" w:rsidRPr="00261D9E" w:rsidRDefault="00AD535C" w:rsidP="0025776C">
            <w:pPr>
              <w:rPr>
                <w:b/>
                <w:bCs/>
                <w:sz w:val="22"/>
                <w:lang w:val="es-GT" w:eastAsia="es-GT"/>
              </w:rPr>
            </w:pPr>
          </w:p>
        </w:tc>
        <w:tc>
          <w:tcPr>
            <w:tcW w:w="992" w:type="dxa"/>
            <w:vMerge/>
            <w:tcBorders>
              <w:top w:val="single" w:sz="8" w:space="0" w:color="auto"/>
              <w:left w:val="single" w:sz="4" w:space="0" w:color="auto"/>
              <w:bottom w:val="single" w:sz="4" w:space="0" w:color="000000"/>
              <w:right w:val="single" w:sz="4" w:space="0" w:color="auto"/>
            </w:tcBorders>
            <w:vAlign w:val="center"/>
            <w:hideMark/>
          </w:tcPr>
          <w:p w:rsidR="00AD535C" w:rsidRPr="00261D9E" w:rsidRDefault="00AD535C" w:rsidP="0025776C">
            <w:pPr>
              <w:rPr>
                <w:b/>
                <w:bCs/>
                <w:sz w:val="22"/>
                <w:lang w:val="es-GT" w:eastAsia="es-GT"/>
              </w:rPr>
            </w:pPr>
          </w:p>
        </w:tc>
        <w:tc>
          <w:tcPr>
            <w:tcW w:w="1134" w:type="dxa"/>
            <w:tcBorders>
              <w:top w:val="nil"/>
              <w:left w:val="nil"/>
              <w:bottom w:val="single" w:sz="4" w:space="0" w:color="auto"/>
              <w:right w:val="single" w:sz="4" w:space="0" w:color="auto"/>
            </w:tcBorders>
            <w:shd w:val="clear" w:color="000000" w:fill="8DB4E2"/>
            <w:noWrap/>
            <w:vAlign w:val="bottom"/>
            <w:hideMark/>
          </w:tcPr>
          <w:p w:rsidR="00AD535C" w:rsidRPr="00261D9E" w:rsidRDefault="00AD535C" w:rsidP="0025776C">
            <w:pPr>
              <w:jc w:val="center"/>
              <w:rPr>
                <w:b/>
                <w:bCs/>
                <w:sz w:val="22"/>
                <w:lang w:val="es-GT" w:eastAsia="es-GT"/>
              </w:rPr>
            </w:pPr>
            <w:r w:rsidRPr="00261D9E">
              <w:rPr>
                <w:b/>
                <w:bCs/>
                <w:sz w:val="22"/>
                <w:lang w:val="es-GT" w:eastAsia="es-GT"/>
              </w:rPr>
              <w:t xml:space="preserve">Absolutas </w:t>
            </w:r>
          </w:p>
        </w:tc>
        <w:tc>
          <w:tcPr>
            <w:tcW w:w="1196" w:type="dxa"/>
            <w:tcBorders>
              <w:top w:val="nil"/>
              <w:left w:val="nil"/>
              <w:bottom w:val="single" w:sz="4" w:space="0" w:color="auto"/>
              <w:right w:val="single" w:sz="8" w:space="0" w:color="auto"/>
            </w:tcBorders>
            <w:shd w:val="clear" w:color="000000" w:fill="8DB4E2"/>
            <w:noWrap/>
            <w:vAlign w:val="bottom"/>
            <w:hideMark/>
          </w:tcPr>
          <w:p w:rsidR="00AD535C" w:rsidRPr="00261D9E" w:rsidRDefault="00AD535C" w:rsidP="0025776C">
            <w:pPr>
              <w:jc w:val="center"/>
              <w:rPr>
                <w:b/>
                <w:bCs/>
                <w:sz w:val="22"/>
                <w:lang w:val="es-GT" w:eastAsia="es-GT"/>
              </w:rPr>
            </w:pPr>
            <w:r w:rsidRPr="00261D9E">
              <w:rPr>
                <w:b/>
                <w:bCs/>
                <w:sz w:val="22"/>
                <w:lang w:val="es-GT" w:eastAsia="es-GT"/>
              </w:rPr>
              <w:t>Relativas</w:t>
            </w:r>
          </w:p>
        </w:tc>
      </w:tr>
      <w:tr w:rsidR="00AD535C" w:rsidRPr="007A53E8" w:rsidTr="00581151">
        <w:trPr>
          <w:trHeight w:val="310"/>
        </w:trPr>
        <w:tc>
          <w:tcPr>
            <w:tcW w:w="4793" w:type="dxa"/>
            <w:tcBorders>
              <w:top w:val="nil"/>
              <w:left w:val="single" w:sz="8" w:space="0" w:color="auto"/>
              <w:bottom w:val="nil"/>
              <w:right w:val="single" w:sz="4" w:space="0" w:color="auto"/>
            </w:tcBorders>
            <w:shd w:val="clear" w:color="000000" w:fill="auto"/>
            <w:vAlign w:val="bottom"/>
            <w:hideMark/>
          </w:tcPr>
          <w:p w:rsidR="00AD535C" w:rsidRPr="00261D9E" w:rsidRDefault="00AD535C" w:rsidP="0025776C">
            <w:pPr>
              <w:jc w:val="center"/>
              <w:rPr>
                <w:b/>
                <w:bCs/>
                <w:sz w:val="20"/>
                <w:szCs w:val="20"/>
                <w:lang w:val="es-GT" w:eastAsia="es-GT"/>
              </w:rPr>
            </w:pPr>
            <w:r w:rsidRPr="00261D9E">
              <w:rPr>
                <w:b/>
                <w:bCs/>
                <w:sz w:val="20"/>
                <w:szCs w:val="20"/>
                <w:lang w:val="es-GT" w:eastAsia="es-GT"/>
              </w:rPr>
              <w:t>Total</w:t>
            </w:r>
          </w:p>
        </w:tc>
        <w:tc>
          <w:tcPr>
            <w:tcW w:w="1099" w:type="dxa"/>
            <w:tcBorders>
              <w:top w:val="nil"/>
              <w:left w:val="single" w:sz="4" w:space="0" w:color="auto"/>
              <w:bottom w:val="nil"/>
              <w:right w:val="single" w:sz="4" w:space="0" w:color="auto"/>
            </w:tcBorders>
            <w:shd w:val="clear" w:color="000000" w:fill="auto"/>
            <w:vAlign w:val="center"/>
            <w:hideMark/>
          </w:tcPr>
          <w:p w:rsidR="00AD535C" w:rsidRPr="00261D9E" w:rsidRDefault="00AD535C" w:rsidP="0025776C">
            <w:pPr>
              <w:jc w:val="right"/>
              <w:rPr>
                <w:b/>
                <w:bCs/>
                <w:sz w:val="20"/>
                <w:szCs w:val="20"/>
                <w:lang w:val="es-GT" w:eastAsia="es-GT"/>
              </w:rPr>
            </w:pPr>
            <w:r w:rsidRPr="00261D9E">
              <w:rPr>
                <w:b/>
                <w:bCs/>
                <w:sz w:val="20"/>
                <w:szCs w:val="20"/>
                <w:lang w:val="es-GT" w:eastAsia="es-GT"/>
              </w:rPr>
              <w:t>331.0</w:t>
            </w:r>
          </w:p>
        </w:tc>
        <w:tc>
          <w:tcPr>
            <w:tcW w:w="992" w:type="dxa"/>
            <w:tcBorders>
              <w:top w:val="nil"/>
              <w:left w:val="nil"/>
              <w:bottom w:val="nil"/>
              <w:right w:val="single" w:sz="4" w:space="0" w:color="auto"/>
            </w:tcBorders>
            <w:shd w:val="clear" w:color="000000" w:fill="auto"/>
            <w:vAlign w:val="center"/>
            <w:hideMark/>
          </w:tcPr>
          <w:p w:rsidR="00AD535C" w:rsidRPr="00261D9E" w:rsidRDefault="00AD535C" w:rsidP="0025776C">
            <w:pPr>
              <w:jc w:val="right"/>
              <w:rPr>
                <w:b/>
                <w:bCs/>
                <w:sz w:val="20"/>
                <w:szCs w:val="20"/>
                <w:lang w:val="es-GT" w:eastAsia="es-GT"/>
              </w:rPr>
            </w:pPr>
            <w:r w:rsidRPr="00261D9E">
              <w:rPr>
                <w:b/>
                <w:bCs/>
                <w:sz w:val="20"/>
                <w:szCs w:val="20"/>
                <w:lang w:val="es-GT" w:eastAsia="es-GT"/>
              </w:rPr>
              <w:t>314.7</w:t>
            </w:r>
          </w:p>
        </w:tc>
        <w:tc>
          <w:tcPr>
            <w:tcW w:w="1134" w:type="dxa"/>
            <w:tcBorders>
              <w:top w:val="nil"/>
              <w:left w:val="nil"/>
              <w:bottom w:val="nil"/>
              <w:right w:val="single" w:sz="4" w:space="0" w:color="auto"/>
            </w:tcBorders>
            <w:shd w:val="clear" w:color="000000" w:fill="auto"/>
            <w:vAlign w:val="center"/>
            <w:hideMark/>
          </w:tcPr>
          <w:p w:rsidR="00AD535C" w:rsidRPr="00261D9E" w:rsidRDefault="00AD535C" w:rsidP="0025776C">
            <w:pPr>
              <w:jc w:val="right"/>
              <w:rPr>
                <w:b/>
                <w:bCs/>
                <w:sz w:val="20"/>
                <w:szCs w:val="20"/>
                <w:lang w:val="es-GT" w:eastAsia="es-GT"/>
              </w:rPr>
            </w:pPr>
            <w:r w:rsidRPr="00261D9E">
              <w:rPr>
                <w:b/>
                <w:bCs/>
                <w:sz w:val="20"/>
                <w:szCs w:val="20"/>
                <w:lang w:val="es-GT" w:eastAsia="es-GT"/>
              </w:rPr>
              <w:t>-16.2</w:t>
            </w:r>
          </w:p>
        </w:tc>
        <w:tc>
          <w:tcPr>
            <w:tcW w:w="1196" w:type="dxa"/>
            <w:tcBorders>
              <w:top w:val="nil"/>
              <w:left w:val="nil"/>
              <w:bottom w:val="nil"/>
              <w:right w:val="single" w:sz="8" w:space="0" w:color="auto"/>
            </w:tcBorders>
            <w:shd w:val="clear" w:color="000000" w:fill="FFFFFF"/>
            <w:noWrap/>
            <w:vAlign w:val="center"/>
            <w:hideMark/>
          </w:tcPr>
          <w:p w:rsidR="00AD535C" w:rsidRPr="00261D9E" w:rsidRDefault="00AD535C" w:rsidP="0025776C">
            <w:pPr>
              <w:jc w:val="right"/>
              <w:rPr>
                <w:b/>
                <w:bCs/>
                <w:sz w:val="20"/>
                <w:szCs w:val="20"/>
                <w:lang w:val="es-GT" w:eastAsia="es-GT"/>
              </w:rPr>
            </w:pPr>
            <w:r w:rsidRPr="00261D9E">
              <w:rPr>
                <w:b/>
                <w:bCs/>
                <w:sz w:val="20"/>
                <w:szCs w:val="20"/>
                <w:lang w:val="es-GT" w:eastAsia="es-GT"/>
              </w:rPr>
              <w:t>-4.9%</w:t>
            </w:r>
          </w:p>
        </w:tc>
      </w:tr>
      <w:tr w:rsidR="00AD535C" w:rsidRPr="007A53E8" w:rsidTr="00581151">
        <w:trPr>
          <w:trHeight w:val="310"/>
        </w:trPr>
        <w:tc>
          <w:tcPr>
            <w:tcW w:w="4793" w:type="dxa"/>
            <w:tcBorders>
              <w:top w:val="nil"/>
              <w:left w:val="single" w:sz="8" w:space="0" w:color="auto"/>
              <w:bottom w:val="nil"/>
              <w:right w:val="single" w:sz="4" w:space="0" w:color="auto"/>
            </w:tcBorders>
            <w:shd w:val="clear" w:color="000000" w:fill="auto"/>
            <w:hideMark/>
          </w:tcPr>
          <w:p w:rsidR="00AD535C" w:rsidRPr="00261D9E" w:rsidRDefault="00AD535C" w:rsidP="0025776C">
            <w:pPr>
              <w:rPr>
                <w:sz w:val="20"/>
                <w:szCs w:val="20"/>
                <w:lang w:val="es-GT" w:eastAsia="es-GT"/>
              </w:rPr>
            </w:pPr>
            <w:r w:rsidRPr="00261D9E">
              <w:rPr>
                <w:sz w:val="20"/>
                <w:szCs w:val="20"/>
                <w:lang w:val="es-GT" w:eastAsia="es-GT"/>
              </w:rPr>
              <w:t xml:space="preserve">Fondo Nacional para la Conservación de la Naturaleza </w:t>
            </w:r>
          </w:p>
        </w:tc>
        <w:tc>
          <w:tcPr>
            <w:tcW w:w="1099" w:type="dxa"/>
            <w:tcBorders>
              <w:top w:val="nil"/>
              <w:left w:val="single" w:sz="4" w:space="0" w:color="auto"/>
              <w:bottom w:val="nil"/>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0.6</w:t>
            </w:r>
          </w:p>
        </w:tc>
        <w:tc>
          <w:tcPr>
            <w:tcW w:w="992" w:type="dxa"/>
            <w:tcBorders>
              <w:top w:val="nil"/>
              <w:left w:val="nil"/>
              <w:bottom w:val="nil"/>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0.2</w:t>
            </w:r>
          </w:p>
        </w:tc>
        <w:tc>
          <w:tcPr>
            <w:tcW w:w="1134" w:type="dxa"/>
            <w:tcBorders>
              <w:top w:val="nil"/>
              <w:left w:val="nil"/>
              <w:bottom w:val="nil"/>
              <w:right w:val="single" w:sz="4"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-0.4</w:t>
            </w:r>
          </w:p>
        </w:tc>
        <w:tc>
          <w:tcPr>
            <w:tcW w:w="1196" w:type="dxa"/>
            <w:tcBorders>
              <w:top w:val="nil"/>
              <w:left w:val="nil"/>
              <w:bottom w:val="nil"/>
              <w:right w:val="single" w:sz="8"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-72.8%</w:t>
            </w:r>
          </w:p>
        </w:tc>
      </w:tr>
      <w:tr w:rsidR="00AD535C" w:rsidRPr="007A53E8" w:rsidTr="00581151">
        <w:trPr>
          <w:trHeight w:val="434"/>
        </w:trPr>
        <w:tc>
          <w:tcPr>
            <w:tcW w:w="4793" w:type="dxa"/>
            <w:tcBorders>
              <w:top w:val="nil"/>
              <w:left w:val="single" w:sz="8" w:space="0" w:color="auto"/>
              <w:bottom w:val="nil"/>
              <w:right w:val="single" w:sz="4" w:space="0" w:color="auto"/>
            </w:tcBorders>
            <w:shd w:val="clear" w:color="000000" w:fill="auto"/>
            <w:hideMark/>
          </w:tcPr>
          <w:p w:rsidR="00AD535C" w:rsidRPr="00261D9E" w:rsidRDefault="00AD535C" w:rsidP="0025776C">
            <w:pPr>
              <w:rPr>
                <w:sz w:val="20"/>
                <w:szCs w:val="20"/>
                <w:lang w:val="es-GT" w:eastAsia="es-GT"/>
              </w:rPr>
            </w:pPr>
            <w:r w:rsidRPr="00261D9E">
              <w:rPr>
                <w:sz w:val="20"/>
                <w:szCs w:val="20"/>
                <w:lang w:val="es-GT" w:eastAsia="es-GT"/>
              </w:rPr>
              <w:t>Fondo Nacional para la Reactivación y Modernización de la Actividad Agropecuaria</w:t>
            </w:r>
          </w:p>
        </w:tc>
        <w:tc>
          <w:tcPr>
            <w:tcW w:w="1099" w:type="dxa"/>
            <w:tcBorders>
              <w:top w:val="nil"/>
              <w:left w:val="single" w:sz="4" w:space="0" w:color="auto"/>
              <w:bottom w:val="nil"/>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32.3</w:t>
            </w:r>
          </w:p>
        </w:tc>
        <w:tc>
          <w:tcPr>
            <w:tcW w:w="992" w:type="dxa"/>
            <w:tcBorders>
              <w:top w:val="nil"/>
              <w:left w:val="nil"/>
              <w:bottom w:val="nil"/>
              <w:right w:val="nil"/>
            </w:tcBorders>
            <w:shd w:val="clear" w:color="000000" w:fill="auto"/>
            <w:noWrap/>
            <w:vAlign w:val="center"/>
            <w:hideMark/>
          </w:tcPr>
          <w:p w:rsidR="00AD535C" w:rsidRPr="00261D9E" w:rsidRDefault="00AD535C" w:rsidP="0025776C">
            <w:pPr>
              <w:jc w:val="right"/>
              <w:rPr>
                <w:color w:val="000000"/>
                <w:sz w:val="20"/>
                <w:szCs w:val="20"/>
                <w:lang w:val="es-GT" w:eastAsia="es-GT"/>
              </w:rPr>
            </w:pPr>
            <w:r w:rsidRPr="00261D9E">
              <w:rPr>
                <w:color w:val="000000"/>
                <w:sz w:val="20"/>
                <w:szCs w:val="20"/>
                <w:lang w:val="es-GT" w:eastAsia="es-GT"/>
              </w:rPr>
              <w:t>19.3</w:t>
            </w:r>
          </w:p>
        </w:tc>
        <w:tc>
          <w:tcPr>
            <w:tcW w:w="1134" w:type="dxa"/>
            <w:tcBorders>
              <w:top w:val="nil"/>
              <w:left w:val="single" w:sz="4" w:space="0" w:color="auto"/>
              <w:bottom w:val="nil"/>
              <w:right w:val="single" w:sz="4"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-13.0</w:t>
            </w:r>
          </w:p>
        </w:tc>
        <w:tc>
          <w:tcPr>
            <w:tcW w:w="1196" w:type="dxa"/>
            <w:tcBorders>
              <w:top w:val="nil"/>
              <w:left w:val="nil"/>
              <w:bottom w:val="nil"/>
              <w:right w:val="single" w:sz="8"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-40.3%</w:t>
            </w:r>
          </w:p>
        </w:tc>
      </w:tr>
      <w:tr w:rsidR="00AD535C" w:rsidRPr="007A53E8" w:rsidTr="00581151">
        <w:trPr>
          <w:trHeight w:val="286"/>
        </w:trPr>
        <w:tc>
          <w:tcPr>
            <w:tcW w:w="4793" w:type="dxa"/>
            <w:tcBorders>
              <w:top w:val="nil"/>
              <w:left w:val="single" w:sz="8" w:space="0" w:color="auto"/>
              <w:bottom w:val="nil"/>
              <w:right w:val="single" w:sz="4" w:space="0" w:color="auto"/>
            </w:tcBorders>
            <w:shd w:val="clear" w:color="000000" w:fill="auto"/>
            <w:hideMark/>
          </w:tcPr>
          <w:p w:rsidR="00AD535C" w:rsidRPr="00261D9E" w:rsidRDefault="00AD535C" w:rsidP="0025776C">
            <w:pPr>
              <w:rPr>
                <w:sz w:val="20"/>
                <w:szCs w:val="20"/>
                <w:lang w:val="es-GT" w:eastAsia="es-GT"/>
              </w:rPr>
            </w:pPr>
            <w:r w:rsidRPr="00261D9E">
              <w:rPr>
                <w:sz w:val="20"/>
                <w:szCs w:val="20"/>
                <w:lang w:val="es-GT" w:eastAsia="es-GT"/>
              </w:rPr>
              <w:t>Fideicomiso Nacional de Becas y Crédito Educativo</w:t>
            </w:r>
          </w:p>
        </w:tc>
        <w:tc>
          <w:tcPr>
            <w:tcW w:w="1099" w:type="dxa"/>
            <w:tcBorders>
              <w:top w:val="nil"/>
              <w:left w:val="single" w:sz="4" w:space="0" w:color="auto"/>
              <w:bottom w:val="nil"/>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0.0</w:t>
            </w:r>
          </w:p>
        </w:tc>
        <w:tc>
          <w:tcPr>
            <w:tcW w:w="992" w:type="dxa"/>
            <w:tcBorders>
              <w:top w:val="nil"/>
              <w:left w:val="nil"/>
              <w:bottom w:val="nil"/>
              <w:right w:val="nil"/>
            </w:tcBorders>
            <w:shd w:val="clear" w:color="000000" w:fill="auto"/>
            <w:noWrap/>
            <w:vAlign w:val="center"/>
            <w:hideMark/>
          </w:tcPr>
          <w:p w:rsidR="00AD535C" w:rsidRPr="00261D9E" w:rsidRDefault="00AD535C" w:rsidP="0025776C">
            <w:pPr>
              <w:jc w:val="right"/>
              <w:rPr>
                <w:color w:val="000000"/>
                <w:sz w:val="20"/>
                <w:szCs w:val="20"/>
                <w:lang w:val="es-GT" w:eastAsia="es-GT"/>
              </w:rPr>
            </w:pPr>
            <w:r w:rsidRPr="00261D9E">
              <w:rPr>
                <w:color w:val="000000"/>
                <w:sz w:val="20"/>
                <w:szCs w:val="20"/>
                <w:lang w:val="es-GT" w:eastAsia="es-GT"/>
              </w:rPr>
              <w:t>0.0</w:t>
            </w:r>
          </w:p>
        </w:tc>
        <w:tc>
          <w:tcPr>
            <w:tcW w:w="1134" w:type="dxa"/>
            <w:tcBorders>
              <w:top w:val="nil"/>
              <w:left w:val="single" w:sz="4" w:space="0" w:color="auto"/>
              <w:bottom w:val="nil"/>
              <w:right w:val="single" w:sz="4"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0.0</w:t>
            </w:r>
          </w:p>
        </w:tc>
        <w:tc>
          <w:tcPr>
            <w:tcW w:w="1196" w:type="dxa"/>
            <w:tcBorders>
              <w:top w:val="nil"/>
              <w:left w:val="nil"/>
              <w:bottom w:val="nil"/>
              <w:right w:val="single" w:sz="8"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-100.0%</w:t>
            </w:r>
          </w:p>
        </w:tc>
      </w:tr>
      <w:tr w:rsidR="00AD535C" w:rsidRPr="007A53E8" w:rsidTr="00581151">
        <w:trPr>
          <w:trHeight w:val="401"/>
        </w:trPr>
        <w:tc>
          <w:tcPr>
            <w:tcW w:w="4793" w:type="dxa"/>
            <w:tcBorders>
              <w:top w:val="nil"/>
              <w:left w:val="single" w:sz="8" w:space="0" w:color="auto"/>
              <w:bottom w:val="nil"/>
              <w:right w:val="single" w:sz="4" w:space="0" w:color="auto"/>
            </w:tcBorders>
            <w:shd w:val="clear" w:color="000000" w:fill="auto"/>
            <w:hideMark/>
          </w:tcPr>
          <w:p w:rsidR="00AD535C" w:rsidRPr="00261D9E" w:rsidRDefault="00AD535C" w:rsidP="0025776C">
            <w:pPr>
              <w:rPr>
                <w:sz w:val="20"/>
                <w:szCs w:val="20"/>
                <w:lang w:val="es-GT" w:eastAsia="es-GT"/>
              </w:rPr>
            </w:pPr>
            <w:r w:rsidRPr="00261D9E">
              <w:rPr>
                <w:sz w:val="20"/>
                <w:szCs w:val="20"/>
                <w:lang w:val="es-GT" w:eastAsia="es-GT"/>
              </w:rPr>
              <w:t>Apoyo Financiero para los Productores del Sector Cafetalero</w:t>
            </w:r>
          </w:p>
        </w:tc>
        <w:tc>
          <w:tcPr>
            <w:tcW w:w="1099" w:type="dxa"/>
            <w:tcBorders>
              <w:top w:val="nil"/>
              <w:left w:val="single" w:sz="4" w:space="0" w:color="auto"/>
              <w:bottom w:val="nil"/>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2.9</w:t>
            </w:r>
          </w:p>
        </w:tc>
        <w:tc>
          <w:tcPr>
            <w:tcW w:w="992" w:type="dxa"/>
            <w:tcBorders>
              <w:top w:val="nil"/>
              <w:left w:val="nil"/>
              <w:bottom w:val="nil"/>
              <w:right w:val="nil"/>
            </w:tcBorders>
            <w:shd w:val="clear" w:color="000000" w:fill="auto"/>
            <w:noWrap/>
            <w:vAlign w:val="center"/>
            <w:hideMark/>
          </w:tcPr>
          <w:p w:rsidR="00AD535C" w:rsidRPr="00261D9E" w:rsidRDefault="00AD535C" w:rsidP="0025776C">
            <w:pPr>
              <w:jc w:val="right"/>
              <w:rPr>
                <w:color w:val="000000"/>
                <w:sz w:val="20"/>
                <w:szCs w:val="20"/>
                <w:lang w:val="es-GT" w:eastAsia="es-GT"/>
              </w:rPr>
            </w:pPr>
            <w:r w:rsidRPr="00261D9E">
              <w:rPr>
                <w:color w:val="000000"/>
                <w:sz w:val="20"/>
                <w:szCs w:val="20"/>
                <w:lang w:val="es-GT" w:eastAsia="es-GT"/>
              </w:rPr>
              <w:t>0.0</w:t>
            </w:r>
          </w:p>
        </w:tc>
        <w:tc>
          <w:tcPr>
            <w:tcW w:w="1134" w:type="dxa"/>
            <w:tcBorders>
              <w:top w:val="nil"/>
              <w:left w:val="single" w:sz="4" w:space="0" w:color="auto"/>
              <w:bottom w:val="nil"/>
              <w:right w:val="single" w:sz="4"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-2.9</w:t>
            </w:r>
          </w:p>
        </w:tc>
        <w:tc>
          <w:tcPr>
            <w:tcW w:w="1196" w:type="dxa"/>
            <w:tcBorders>
              <w:top w:val="nil"/>
              <w:left w:val="nil"/>
              <w:bottom w:val="nil"/>
              <w:right w:val="single" w:sz="8"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w:t>
            </w:r>
          </w:p>
        </w:tc>
      </w:tr>
      <w:tr w:rsidR="00AD535C" w:rsidRPr="007A53E8" w:rsidTr="00581151">
        <w:trPr>
          <w:trHeight w:val="63"/>
        </w:trPr>
        <w:tc>
          <w:tcPr>
            <w:tcW w:w="4793" w:type="dxa"/>
            <w:tcBorders>
              <w:top w:val="nil"/>
              <w:left w:val="single" w:sz="8" w:space="0" w:color="auto"/>
              <w:bottom w:val="nil"/>
              <w:right w:val="single" w:sz="4" w:space="0" w:color="auto"/>
            </w:tcBorders>
            <w:shd w:val="clear" w:color="000000" w:fill="auto"/>
            <w:vAlign w:val="bottom"/>
            <w:hideMark/>
          </w:tcPr>
          <w:p w:rsidR="00AD535C" w:rsidRPr="00261D9E" w:rsidRDefault="00AD535C" w:rsidP="0025776C">
            <w:pPr>
              <w:rPr>
                <w:sz w:val="20"/>
                <w:szCs w:val="20"/>
                <w:lang w:val="es-GT" w:eastAsia="es-GT"/>
              </w:rPr>
            </w:pPr>
            <w:r w:rsidRPr="00261D9E">
              <w:rPr>
                <w:sz w:val="20"/>
                <w:szCs w:val="20"/>
                <w:lang w:val="es-GT" w:eastAsia="es-GT"/>
              </w:rPr>
              <w:t>Fondo de Protección Social</w:t>
            </w:r>
          </w:p>
        </w:tc>
        <w:tc>
          <w:tcPr>
            <w:tcW w:w="1099" w:type="dxa"/>
            <w:tcBorders>
              <w:top w:val="nil"/>
              <w:left w:val="single" w:sz="4" w:space="0" w:color="auto"/>
              <w:bottom w:val="nil"/>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168.9</w:t>
            </w:r>
          </w:p>
        </w:tc>
        <w:tc>
          <w:tcPr>
            <w:tcW w:w="992" w:type="dxa"/>
            <w:tcBorders>
              <w:top w:val="nil"/>
              <w:left w:val="nil"/>
              <w:bottom w:val="nil"/>
              <w:right w:val="nil"/>
            </w:tcBorders>
            <w:shd w:val="clear" w:color="000000" w:fill="auto"/>
            <w:noWrap/>
            <w:vAlign w:val="center"/>
            <w:hideMark/>
          </w:tcPr>
          <w:p w:rsidR="00AD535C" w:rsidRPr="00261D9E" w:rsidRDefault="00AD535C" w:rsidP="0025776C">
            <w:pPr>
              <w:jc w:val="right"/>
              <w:rPr>
                <w:color w:val="000000"/>
                <w:sz w:val="20"/>
                <w:szCs w:val="20"/>
                <w:lang w:val="es-GT" w:eastAsia="es-GT"/>
              </w:rPr>
            </w:pPr>
            <w:r w:rsidRPr="00261D9E">
              <w:rPr>
                <w:color w:val="000000"/>
                <w:sz w:val="20"/>
                <w:szCs w:val="20"/>
                <w:lang w:val="es-GT" w:eastAsia="es-GT"/>
              </w:rPr>
              <w:t>162.2</w:t>
            </w:r>
          </w:p>
        </w:tc>
        <w:tc>
          <w:tcPr>
            <w:tcW w:w="1134" w:type="dxa"/>
            <w:tcBorders>
              <w:top w:val="nil"/>
              <w:left w:val="single" w:sz="4" w:space="0" w:color="auto"/>
              <w:bottom w:val="nil"/>
              <w:right w:val="single" w:sz="4"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-6.7</w:t>
            </w:r>
          </w:p>
        </w:tc>
        <w:tc>
          <w:tcPr>
            <w:tcW w:w="1196" w:type="dxa"/>
            <w:tcBorders>
              <w:top w:val="nil"/>
              <w:left w:val="nil"/>
              <w:bottom w:val="nil"/>
              <w:right w:val="single" w:sz="8"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-4.0%</w:t>
            </w:r>
          </w:p>
        </w:tc>
      </w:tr>
      <w:tr w:rsidR="00AD535C" w:rsidRPr="007A53E8" w:rsidTr="00581151">
        <w:trPr>
          <w:trHeight w:val="310"/>
        </w:trPr>
        <w:tc>
          <w:tcPr>
            <w:tcW w:w="4793" w:type="dxa"/>
            <w:tcBorders>
              <w:top w:val="nil"/>
              <w:left w:val="single" w:sz="8" w:space="0" w:color="auto"/>
              <w:bottom w:val="nil"/>
              <w:right w:val="single" w:sz="4" w:space="0" w:color="auto"/>
            </w:tcBorders>
            <w:shd w:val="clear" w:color="000000" w:fill="auto"/>
            <w:vAlign w:val="bottom"/>
            <w:hideMark/>
          </w:tcPr>
          <w:p w:rsidR="00AD535C" w:rsidRPr="00261D9E" w:rsidRDefault="00AD535C" w:rsidP="0025776C">
            <w:pPr>
              <w:rPr>
                <w:sz w:val="20"/>
                <w:szCs w:val="20"/>
                <w:lang w:val="es-GT" w:eastAsia="es-GT"/>
              </w:rPr>
            </w:pPr>
            <w:r w:rsidRPr="00261D9E">
              <w:rPr>
                <w:sz w:val="20"/>
                <w:szCs w:val="20"/>
                <w:lang w:val="es-GT" w:eastAsia="es-GT"/>
              </w:rPr>
              <w:t>Fondo Social de Solidaridad</w:t>
            </w:r>
          </w:p>
        </w:tc>
        <w:tc>
          <w:tcPr>
            <w:tcW w:w="1099" w:type="dxa"/>
            <w:tcBorders>
              <w:top w:val="nil"/>
              <w:left w:val="single" w:sz="4" w:space="0" w:color="auto"/>
              <w:bottom w:val="nil"/>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84.9</w:t>
            </w:r>
          </w:p>
        </w:tc>
        <w:tc>
          <w:tcPr>
            <w:tcW w:w="992" w:type="dxa"/>
            <w:tcBorders>
              <w:top w:val="nil"/>
              <w:left w:val="nil"/>
              <w:bottom w:val="nil"/>
              <w:right w:val="nil"/>
            </w:tcBorders>
            <w:shd w:val="clear" w:color="000000" w:fill="auto"/>
            <w:noWrap/>
            <w:vAlign w:val="center"/>
            <w:hideMark/>
          </w:tcPr>
          <w:p w:rsidR="00AD535C" w:rsidRPr="00261D9E" w:rsidRDefault="00AD535C" w:rsidP="0025776C">
            <w:pPr>
              <w:jc w:val="right"/>
              <w:rPr>
                <w:color w:val="000000"/>
                <w:sz w:val="20"/>
                <w:szCs w:val="20"/>
                <w:lang w:val="es-GT" w:eastAsia="es-GT"/>
              </w:rPr>
            </w:pPr>
            <w:r w:rsidRPr="00261D9E">
              <w:rPr>
                <w:color w:val="000000"/>
                <w:sz w:val="20"/>
                <w:szCs w:val="20"/>
                <w:lang w:val="es-GT" w:eastAsia="es-GT"/>
              </w:rPr>
              <w:t>0.0</w:t>
            </w:r>
          </w:p>
        </w:tc>
        <w:tc>
          <w:tcPr>
            <w:tcW w:w="1134" w:type="dxa"/>
            <w:tcBorders>
              <w:top w:val="nil"/>
              <w:left w:val="single" w:sz="4" w:space="0" w:color="auto"/>
              <w:bottom w:val="nil"/>
              <w:right w:val="single" w:sz="4"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-84.9</w:t>
            </w:r>
          </w:p>
        </w:tc>
        <w:tc>
          <w:tcPr>
            <w:tcW w:w="1196" w:type="dxa"/>
            <w:tcBorders>
              <w:top w:val="nil"/>
              <w:left w:val="nil"/>
              <w:bottom w:val="nil"/>
              <w:right w:val="single" w:sz="8"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-100.0%</w:t>
            </w:r>
          </w:p>
        </w:tc>
      </w:tr>
      <w:tr w:rsidR="00AD535C" w:rsidRPr="007A53E8" w:rsidTr="00581151">
        <w:trPr>
          <w:trHeight w:val="310"/>
        </w:trPr>
        <w:tc>
          <w:tcPr>
            <w:tcW w:w="4793" w:type="dxa"/>
            <w:tcBorders>
              <w:top w:val="nil"/>
              <w:left w:val="single" w:sz="8" w:space="0" w:color="auto"/>
              <w:bottom w:val="nil"/>
              <w:right w:val="single" w:sz="4" w:space="0" w:color="auto"/>
            </w:tcBorders>
            <w:shd w:val="clear" w:color="000000" w:fill="auto"/>
            <w:vAlign w:val="bottom"/>
            <w:hideMark/>
          </w:tcPr>
          <w:p w:rsidR="00AD535C" w:rsidRPr="00261D9E" w:rsidRDefault="00AD535C" w:rsidP="0025776C">
            <w:pPr>
              <w:rPr>
                <w:sz w:val="20"/>
                <w:szCs w:val="20"/>
                <w:lang w:val="es-GT" w:eastAsia="es-GT"/>
              </w:rPr>
            </w:pPr>
            <w:r w:rsidRPr="00261D9E">
              <w:rPr>
                <w:sz w:val="20"/>
                <w:szCs w:val="20"/>
                <w:lang w:val="es-GT" w:eastAsia="es-GT"/>
              </w:rPr>
              <w:t>Fondo de Desarrollo Indígena Guatemalteco</w:t>
            </w:r>
          </w:p>
        </w:tc>
        <w:tc>
          <w:tcPr>
            <w:tcW w:w="1099" w:type="dxa"/>
            <w:tcBorders>
              <w:top w:val="nil"/>
              <w:left w:val="single" w:sz="4" w:space="0" w:color="auto"/>
              <w:bottom w:val="nil"/>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1.8</w:t>
            </w:r>
          </w:p>
        </w:tc>
        <w:tc>
          <w:tcPr>
            <w:tcW w:w="992" w:type="dxa"/>
            <w:tcBorders>
              <w:top w:val="nil"/>
              <w:left w:val="nil"/>
              <w:bottom w:val="nil"/>
              <w:right w:val="nil"/>
            </w:tcBorders>
            <w:shd w:val="clear" w:color="000000" w:fill="auto"/>
            <w:noWrap/>
            <w:vAlign w:val="center"/>
            <w:hideMark/>
          </w:tcPr>
          <w:p w:rsidR="00AD535C" w:rsidRPr="00261D9E" w:rsidRDefault="00AD535C" w:rsidP="0025776C">
            <w:pPr>
              <w:jc w:val="right"/>
              <w:rPr>
                <w:color w:val="000000"/>
                <w:sz w:val="20"/>
                <w:szCs w:val="20"/>
                <w:lang w:val="es-GT" w:eastAsia="es-GT"/>
              </w:rPr>
            </w:pPr>
            <w:r w:rsidRPr="00261D9E">
              <w:rPr>
                <w:color w:val="000000"/>
                <w:sz w:val="20"/>
                <w:szCs w:val="20"/>
                <w:lang w:val="es-GT" w:eastAsia="es-GT"/>
              </w:rPr>
              <w:t>1.1</w:t>
            </w:r>
          </w:p>
        </w:tc>
        <w:tc>
          <w:tcPr>
            <w:tcW w:w="1134" w:type="dxa"/>
            <w:tcBorders>
              <w:top w:val="nil"/>
              <w:left w:val="single" w:sz="4" w:space="0" w:color="auto"/>
              <w:bottom w:val="nil"/>
              <w:right w:val="single" w:sz="4"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-0.7</w:t>
            </w:r>
          </w:p>
        </w:tc>
        <w:tc>
          <w:tcPr>
            <w:tcW w:w="1196" w:type="dxa"/>
            <w:tcBorders>
              <w:top w:val="nil"/>
              <w:left w:val="nil"/>
              <w:bottom w:val="nil"/>
              <w:right w:val="single" w:sz="8"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-40.9%</w:t>
            </w:r>
          </w:p>
        </w:tc>
      </w:tr>
      <w:tr w:rsidR="00AD535C" w:rsidRPr="007A53E8" w:rsidTr="00581151">
        <w:trPr>
          <w:trHeight w:val="310"/>
        </w:trPr>
        <w:tc>
          <w:tcPr>
            <w:tcW w:w="4793" w:type="dxa"/>
            <w:tcBorders>
              <w:top w:val="nil"/>
              <w:left w:val="single" w:sz="8" w:space="0" w:color="auto"/>
              <w:bottom w:val="nil"/>
              <w:right w:val="single" w:sz="4" w:space="0" w:color="auto"/>
            </w:tcBorders>
            <w:shd w:val="clear" w:color="000000" w:fill="auto"/>
            <w:vAlign w:val="bottom"/>
            <w:hideMark/>
          </w:tcPr>
          <w:p w:rsidR="00AD535C" w:rsidRPr="00261D9E" w:rsidRDefault="00E4168F" w:rsidP="0025776C">
            <w:pPr>
              <w:rPr>
                <w:sz w:val="20"/>
                <w:szCs w:val="20"/>
                <w:lang w:val="es-GT" w:eastAsia="es-GT"/>
              </w:rPr>
            </w:pPr>
            <w:r>
              <w:rPr>
                <w:sz w:val="20"/>
                <w:szCs w:val="20"/>
                <w:lang w:val="es-GT" w:eastAsia="es-GT"/>
              </w:rPr>
              <w:t xml:space="preserve">Fondo de </w:t>
            </w:r>
            <w:r w:rsidR="00AD535C" w:rsidRPr="00261D9E">
              <w:rPr>
                <w:sz w:val="20"/>
                <w:szCs w:val="20"/>
                <w:lang w:val="es-GT" w:eastAsia="es-GT"/>
              </w:rPr>
              <w:t>Inversión para la Vivienda</w:t>
            </w:r>
          </w:p>
        </w:tc>
        <w:tc>
          <w:tcPr>
            <w:tcW w:w="1099" w:type="dxa"/>
            <w:tcBorders>
              <w:top w:val="nil"/>
              <w:left w:val="single" w:sz="4" w:space="0" w:color="auto"/>
              <w:bottom w:val="nil"/>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36.2</w:t>
            </w:r>
          </w:p>
        </w:tc>
        <w:tc>
          <w:tcPr>
            <w:tcW w:w="992" w:type="dxa"/>
            <w:tcBorders>
              <w:top w:val="nil"/>
              <w:left w:val="nil"/>
              <w:bottom w:val="nil"/>
              <w:right w:val="nil"/>
            </w:tcBorders>
            <w:shd w:val="clear" w:color="000000" w:fill="auto"/>
            <w:noWrap/>
            <w:vAlign w:val="center"/>
            <w:hideMark/>
          </w:tcPr>
          <w:p w:rsidR="00AD535C" w:rsidRPr="00261D9E" w:rsidRDefault="00AD535C" w:rsidP="0025776C">
            <w:pPr>
              <w:jc w:val="right"/>
              <w:rPr>
                <w:color w:val="000000"/>
                <w:sz w:val="20"/>
                <w:szCs w:val="20"/>
                <w:lang w:val="es-GT" w:eastAsia="es-GT"/>
              </w:rPr>
            </w:pPr>
            <w:r w:rsidRPr="00261D9E">
              <w:rPr>
                <w:color w:val="000000"/>
                <w:sz w:val="20"/>
                <w:szCs w:val="20"/>
                <w:lang w:val="es-GT" w:eastAsia="es-GT"/>
              </w:rPr>
              <w:t>131.4</w:t>
            </w:r>
          </w:p>
        </w:tc>
        <w:tc>
          <w:tcPr>
            <w:tcW w:w="1134" w:type="dxa"/>
            <w:tcBorders>
              <w:top w:val="nil"/>
              <w:left w:val="single" w:sz="4" w:space="0" w:color="auto"/>
              <w:bottom w:val="nil"/>
              <w:right w:val="single" w:sz="4"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95.2</w:t>
            </w:r>
          </w:p>
        </w:tc>
        <w:tc>
          <w:tcPr>
            <w:tcW w:w="1196" w:type="dxa"/>
            <w:tcBorders>
              <w:top w:val="nil"/>
              <w:left w:val="nil"/>
              <w:bottom w:val="nil"/>
              <w:right w:val="single" w:sz="8"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262.8%</w:t>
            </w:r>
          </w:p>
        </w:tc>
      </w:tr>
      <w:tr w:rsidR="00AD535C" w:rsidRPr="007A53E8" w:rsidTr="00581151">
        <w:trPr>
          <w:trHeight w:val="320"/>
        </w:trPr>
        <w:tc>
          <w:tcPr>
            <w:tcW w:w="4793" w:type="dxa"/>
            <w:tcBorders>
              <w:top w:val="nil"/>
              <w:left w:val="single" w:sz="8" w:space="0" w:color="auto"/>
              <w:bottom w:val="single" w:sz="8" w:space="0" w:color="auto"/>
              <w:right w:val="single" w:sz="4" w:space="0" w:color="auto"/>
            </w:tcBorders>
            <w:shd w:val="clear" w:color="000000" w:fill="auto"/>
            <w:vAlign w:val="bottom"/>
            <w:hideMark/>
          </w:tcPr>
          <w:p w:rsidR="00AD535C" w:rsidRPr="00261D9E" w:rsidRDefault="00AD535C" w:rsidP="0025776C">
            <w:pPr>
              <w:rPr>
                <w:sz w:val="20"/>
                <w:szCs w:val="20"/>
                <w:lang w:val="es-GT" w:eastAsia="es-GT"/>
              </w:rPr>
            </w:pPr>
            <w:r w:rsidRPr="00261D9E">
              <w:rPr>
                <w:sz w:val="20"/>
                <w:szCs w:val="20"/>
                <w:lang w:val="es-GT" w:eastAsia="es-GT"/>
              </w:rPr>
              <w:t xml:space="preserve">Fondo Nacional de Ciencia y Tecnología  </w:t>
            </w:r>
          </w:p>
        </w:tc>
        <w:tc>
          <w:tcPr>
            <w:tcW w:w="1099" w:type="dxa"/>
            <w:tcBorders>
              <w:top w:val="nil"/>
              <w:left w:val="single" w:sz="4" w:space="0" w:color="auto"/>
              <w:bottom w:val="single" w:sz="8" w:space="0" w:color="auto"/>
              <w:right w:val="single" w:sz="4" w:space="0" w:color="auto"/>
            </w:tcBorders>
            <w:shd w:val="clear" w:color="000000" w:fill="auto"/>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3.4</w:t>
            </w:r>
          </w:p>
        </w:tc>
        <w:tc>
          <w:tcPr>
            <w:tcW w:w="992" w:type="dxa"/>
            <w:tcBorders>
              <w:top w:val="nil"/>
              <w:left w:val="nil"/>
              <w:bottom w:val="single" w:sz="8" w:space="0" w:color="auto"/>
              <w:right w:val="single" w:sz="4" w:space="0" w:color="auto"/>
            </w:tcBorders>
            <w:shd w:val="clear" w:color="000000" w:fill="auto"/>
            <w:noWrap/>
            <w:vAlign w:val="center"/>
            <w:hideMark/>
          </w:tcPr>
          <w:p w:rsidR="00AD535C" w:rsidRPr="00261D9E" w:rsidRDefault="00AD535C" w:rsidP="0025776C">
            <w:pPr>
              <w:jc w:val="right"/>
              <w:rPr>
                <w:color w:val="000000"/>
                <w:sz w:val="20"/>
                <w:szCs w:val="20"/>
                <w:lang w:val="es-GT" w:eastAsia="es-GT"/>
              </w:rPr>
            </w:pPr>
            <w:r w:rsidRPr="00261D9E">
              <w:rPr>
                <w:color w:val="000000"/>
                <w:sz w:val="20"/>
                <w:szCs w:val="20"/>
                <w:lang w:val="es-GT" w:eastAsia="es-GT"/>
              </w:rPr>
              <w:t>0.7</w:t>
            </w:r>
          </w:p>
        </w:tc>
        <w:tc>
          <w:tcPr>
            <w:tcW w:w="1134" w:type="dxa"/>
            <w:tcBorders>
              <w:top w:val="nil"/>
              <w:left w:val="nil"/>
              <w:bottom w:val="single" w:sz="8" w:space="0" w:color="auto"/>
              <w:right w:val="single" w:sz="4"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-2.7</w:t>
            </w:r>
          </w:p>
        </w:tc>
        <w:tc>
          <w:tcPr>
            <w:tcW w:w="1196" w:type="dxa"/>
            <w:tcBorders>
              <w:top w:val="nil"/>
              <w:left w:val="nil"/>
              <w:bottom w:val="single" w:sz="8" w:space="0" w:color="auto"/>
              <w:right w:val="single" w:sz="8" w:space="0" w:color="auto"/>
            </w:tcBorders>
            <w:shd w:val="clear" w:color="000000" w:fill="FFFFFF"/>
            <w:noWrap/>
            <w:vAlign w:val="center"/>
            <w:hideMark/>
          </w:tcPr>
          <w:p w:rsidR="00AD535C" w:rsidRPr="00261D9E" w:rsidRDefault="00AD535C" w:rsidP="0025776C">
            <w:pPr>
              <w:jc w:val="right"/>
              <w:rPr>
                <w:sz w:val="20"/>
                <w:szCs w:val="20"/>
                <w:lang w:val="es-GT" w:eastAsia="es-GT"/>
              </w:rPr>
            </w:pPr>
            <w:r w:rsidRPr="00261D9E">
              <w:rPr>
                <w:sz w:val="20"/>
                <w:szCs w:val="20"/>
                <w:lang w:val="es-GT" w:eastAsia="es-GT"/>
              </w:rPr>
              <w:t>-79.7%</w:t>
            </w:r>
          </w:p>
        </w:tc>
      </w:tr>
      <w:tr w:rsidR="00AD535C" w:rsidRPr="007A53E8" w:rsidTr="00581151">
        <w:trPr>
          <w:trHeight w:val="310"/>
        </w:trPr>
        <w:tc>
          <w:tcPr>
            <w:tcW w:w="4793" w:type="dxa"/>
            <w:tcBorders>
              <w:top w:val="single" w:sz="8" w:space="0" w:color="auto"/>
              <w:left w:val="nil"/>
              <w:bottom w:val="nil"/>
              <w:right w:val="nil"/>
            </w:tcBorders>
            <w:shd w:val="clear" w:color="000000" w:fill="FFFFFF"/>
            <w:vAlign w:val="bottom"/>
            <w:hideMark/>
          </w:tcPr>
          <w:p w:rsidR="00AD535C" w:rsidRPr="00261D9E" w:rsidRDefault="00AD535C" w:rsidP="008C7B67">
            <w:pPr>
              <w:rPr>
                <w:b/>
                <w:bCs/>
                <w:sz w:val="20"/>
                <w:szCs w:val="20"/>
                <w:lang w:val="es-GT" w:eastAsia="es-GT"/>
              </w:rPr>
            </w:pPr>
            <w:r w:rsidRPr="00261D9E">
              <w:rPr>
                <w:b/>
                <w:bCs/>
                <w:sz w:val="20"/>
                <w:szCs w:val="20"/>
                <w:lang w:val="es-GT" w:eastAsia="es-GT"/>
              </w:rPr>
              <w:t xml:space="preserve">Porcentaje de </w:t>
            </w:r>
            <w:r w:rsidR="008C7B67">
              <w:rPr>
                <w:b/>
                <w:bCs/>
                <w:sz w:val="20"/>
                <w:szCs w:val="20"/>
                <w:lang w:val="es-GT" w:eastAsia="es-GT"/>
              </w:rPr>
              <w:t>E</w:t>
            </w:r>
            <w:r w:rsidRPr="00261D9E">
              <w:rPr>
                <w:b/>
                <w:bCs/>
                <w:sz w:val="20"/>
                <w:szCs w:val="20"/>
                <w:lang w:val="es-GT" w:eastAsia="es-GT"/>
              </w:rPr>
              <w:t xml:space="preserve">jecución </w:t>
            </w:r>
            <w:r w:rsidR="008C7B67">
              <w:rPr>
                <w:b/>
                <w:bCs/>
                <w:sz w:val="20"/>
                <w:szCs w:val="20"/>
                <w:lang w:val="es-GT" w:eastAsia="es-GT"/>
              </w:rPr>
              <w:t>P</w:t>
            </w:r>
            <w:r w:rsidRPr="00261D9E">
              <w:rPr>
                <w:b/>
                <w:bCs/>
                <w:sz w:val="20"/>
                <w:szCs w:val="20"/>
                <w:lang w:val="es-GT" w:eastAsia="es-GT"/>
              </w:rPr>
              <w:t>resupuestaria</w:t>
            </w:r>
          </w:p>
        </w:tc>
        <w:tc>
          <w:tcPr>
            <w:tcW w:w="1099" w:type="dxa"/>
            <w:tcBorders>
              <w:top w:val="nil"/>
              <w:left w:val="nil"/>
              <w:bottom w:val="nil"/>
              <w:right w:val="nil"/>
            </w:tcBorders>
            <w:shd w:val="clear" w:color="000000" w:fill="FFFFFF"/>
            <w:noWrap/>
            <w:vAlign w:val="bottom"/>
            <w:hideMark/>
          </w:tcPr>
          <w:p w:rsidR="00AD535C" w:rsidRPr="00261D9E" w:rsidRDefault="00AD535C" w:rsidP="0025776C">
            <w:pPr>
              <w:jc w:val="right"/>
              <w:rPr>
                <w:b/>
                <w:bCs/>
                <w:sz w:val="20"/>
                <w:szCs w:val="20"/>
                <w:lang w:val="es-GT" w:eastAsia="es-GT"/>
              </w:rPr>
            </w:pPr>
            <w:r w:rsidRPr="00261D9E">
              <w:rPr>
                <w:b/>
                <w:bCs/>
                <w:sz w:val="20"/>
                <w:szCs w:val="20"/>
                <w:lang w:val="es-GT" w:eastAsia="es-GT"/>
              </w:rPr>
              <w:t>0.9%</w:t>
            </w:r>
          </w:p>
        </w:tc>
        <w:tc>
          <w:tcPr>
            <w:tcW w:w="992" w:type="dxa"/>
            <w:tcBorders>
              <w:top w:val="nil"/>
              <w:left w:val="nil"/>
              <w:bottom w:val="nil"/>
              <w:right w:val="nil"/>
            </w:tcBorders>
            <w:shd w:val="clear" w:color="000000" w:fill="FFFFFF"/>
            <w:noWrap/>
            <w:vAlign w:val="bottom"/>
            <w:hideMark/>
          </w:tcPr>
          <w:p w:rsidR="00AD535C" w:rsidRPr="00261D9E" w:rsidRDefault="00AD535C" w:rsidP="0025776C">
            <w:pPr>
              <w:jc w:val="right"/>
              <w:rPr>
                <w:b/>
                <w:bCs/>
                <w:sz w:val="20"/>
                <w:szCs w:val="20"/>
                <w:lang w:val="es-GT" w:eastAsia="es-GT"/>
              </w:rPr>
            </w:pPr>
            <w:r w:rsidRPr="00261D9E">
              <w:rPr>
                <w:b/>
                <w:bCs/>
                <w:sz w:val="20"/>
                <w:szCs w:val="20"/>
                <w:lang w:val="es-GT" w:eastAsia="es-GT"/>
              </w:rPr>
              <w:t>0.8%</w:t>
            </w:r>
          </w:p>
        </w:tc>
        <w:tc>
          <w:tcPr>
            <w:tcW w:w="1134" w:type="dxa"/>
            <w:tcBorders>
              <w:top w:val="nil"/>
              <w:left w:val="nil"/>
              <w:bottom w:val="nil"/>
              <w:right w:val="nil"/>
            </w:tcBorders>
            <w:shd w:val="clear" w:color="000000" w:fill="FFFFFF"/>
            <w:noWrap/>
            <w:vAlign w:val="bottom"/>
            <w:hideMark/>
          </w:tcPr>
          <w:p w:rsidR="00AD535C" w:rsidRPr="00261D9E" w:rsidRDefault="00AD535C" w:rsidP="0025776C">
            <w:pPr>
              <w:jc w:val="right"/>
              <w:rPr>
                <w:b/>
                <w:bCs/>
                <w:sz w:val="20"/>
                <w:szCs w:val="20"/>
                <w:lang w:val="es-GT" w:eastAsia="es-GT"/>
              </w:rPr>
            </w:pPr>
            <w:r w:rsidRPr="00261D9E">
              <w:rPr>
                <w:b/>
                <w:bCs/>
                <w:sz w:val="20"/>
                <w:szCs w:val="20"/>
                <w:lang w:val="es-GT" w:eastAsia="es-GT"/>
              </w:rPr>
              <w:t> </w:t>
            </w:r>
          </w:p>
        </w:tc>
        <w:tc>
          <w:tcPr>
            <w:tcW w:w="1196" w:type="dxa"/>
            <w:tcBorders>
              <w:top w:val="nil"/>
              <w:left w:val="nil"/>
              <w:bottom w:val="nil"/>
              <w:right w:val="nil"/>
            </w:tcBorders>
            <w:shd w:val="clear" w:color="000000" w:fill="FFFFFF"/>
            <w:noWrap/>
            <w:vAlign w:val="bottom"/>
            <w:hideMark/>
          </w:tcPr>
          <w:p w:rsidR="00AD535C" w:rsidRPr="00261D9E" w:rsidRDefault="00AD535C" w:rsidP="0025776C">
            <w:pPr>
              <w:jc w:val="right"/>
              <w:rPr>
                <w:b/>
                <w:bCs/>
                <w:sz w:val="20"/>
                <w:szCs w:val="20"/>
                <w:lang w:val="es-GT" w:eastAsia="es-GT"/>
              </w:rPr>
            </w:pPr>
            <w:r w:rsidRPr="00261D9E">
              <w:rPr>
                <w:b/>
                <w:bCs/>
                <w:sz w:val="20"/>
                <w:szCs w:val="20"/>
                <w:lang w:val="es-GT" w:eastAsia="es-GT"/>
              </w:rPr>
              <w:t> </w:t>
            </w:r>
          </w:p>
        </w:tc>
      </w:tr>
    </w:tbl>
    <w:p w:rsidR="00261D9E" w:rsidRPr="00261D9E" w:rsidRDefault="00261D9E" w:rsidP="00AD535C">
      <w:pPr>
        <w:jc w:val="both"/>
        <w:rPr>
          <w:sz w:val="8"/>
          <w:lang w:val="es-MX"/>
        </w:rPr>
      </w:pPr>
    </w:p>
    <w:p w:rsidR="00AD535C" w:rsidRDefault="00AD535C" w:rsidP="00AD535C">
      <w:pPr>
        <w:jc w:val="both"/>
        <w:rPr>
          <w:sz w:val="18"/>
          <w:lang w:val="es-MX"/>
        </w:rPr>
      </w:pPr>
      <w:r w:rsidRPr="00E4580C">
        <w:rPr>
          <w:sz w:val="18"/>
          <w:lang w:val="es-MX"/>
        </w:rPr>
        <w:t>* Cifras preliminares.</w:t>
      </w:r>
    </w:p>
    <w:p w:rsidR="00AD535C" w:rsidRPr="00E4580C" w:rsidRDefault="00AD535C" w:rsidP="00AD535C">
      <w:pPr>
        <w:jc w:val="both"/>
        <w:rPr>
          <w:sz w:val="18"/>
          <w:lang w:val="es-MX"/>
        </w:rPr>
      </w:pPr>
      <w:r>
        <w:rPr>
          <w:sz w:val="18"/>
          <w:lang w:val="es-MX"/>
        </w:rPr>
        <w:t xml:space="preserve">   </w:t>
      </w:r>
      <w:r w:rsidRPr="00E4580C">
        <w:rPr>
          <w:sz w:val="18"/>
          <w:lang w:val="es-MX"/>
        </w:rPr>
        <w:t>Fuente: Ministerio de Finanzas Públicas con base al SICOIN.</w:t>
      </w:r>
    </w:p>
    <w:p w:rsidR="00AD535C" w:rsidRPr="00E4580C" w:rsidRDefault="00AD535C" w:rsidP="00AD535C">
      <w:pPr>
        <w:jc w:val="both"/>
        <w:rPr>
          <w:sz w:val="18"/>
          <w:lang w:val="es-MX"/>
        </w:rPr>
      </w:pPr>
    </w:p>
    <w:p w:rsidR="00AD535C" w:rsidRPr="00FB641E" w:rsidRDefault="00AD535C" w:rsidP="00F073BE">
      <w:pPr>
        <w:keepNext/>
        <w:keepLines/>
        <w:numPr>
          <w:ilvl w:val="2"/>
          <w:numId w:val="3"/>
        </w:numPr>
        <w:spacing w:before="200"/>
        <w:outlineLvl w:val="2"/>
        <w:rPr>
          <w:b/>
          <w:bCs/>
          <w:lang w:val="es-MX"/>
        </w:rPr>
      </w:pPr>
      <w:bookmarkStart w:id="19" w:name="_Toc51925251"/>
      <w:r>
        <w:rPr>
          <w:b/>
          <w:bCs/>
          <w:lang w:val="es-MX"/>
        </w:rPr>
        <w:t>G</w:t>
      </w:r>
      <w:r w:rsidRPr="00FB641E">
        <w:rPr>
          <w:b/>
          <w:bCs/>
          <w:lang w:val="es-MX"/>
        </w:rPr>
        <w:t xml:space="preserve">asto </w:t>
      </w:r>
      <w:r>
        <w:rPr>
          <w:b/>
          <w:bCs/>
          <w:lang w:val="es-MX"/>
        </w:rPr>
        <w:t>E</w:t>
      </w:r>
      <w:r w:rsidRPr="00FB641E">
        <w:rPr>
          <w:b/>
          <w:bCs/>
          <w:lang w:val="es-MX"/>
        </w:rPr>
        <w:t>jecutado a través de Organizaciones No Gubernamentales</w:t>
      </w:r>
      <w:r w:rsidRPr="0090134D">
        <w:rPr>
          <w:b/>
          <w:bCs/>
          <w:lang w:val="es-MX"/>
        </w:rPr>
        <w:footnoteReference w:id="3"/>
      </w:r>
      <w:bookmarkEnd w:id="19"/>
    </w:p>
    <w:p w:rsidR="00AD535C" w:rsidRPr="00E4580C" w:rsidRDefault="00AD535C" w:rsidP="00AD535C">
      <w:pPr>
        <w:jc w:val="both"/>
        <w:rPr>
          <w:lang w:val="es-MX"/>
        </w:rPr>
      </w:pPr>
    </w:p>
    <w:p w:rsidR="00AD535C" w:rsidRPr="00FB641E" w:rsidRDefault="00AD535C" w:rsidP="00AD535C">
      <w:pPr>
        <w:jc w:val="both"/>
        <w:rPr>
          <w:lang w:val="es-MX"/>
        </w:rPr>
      </w:pPr>
      <w:r>
        <w:rPr>
          <w:lang w:val="es-MX"/>
        </w:rPr>
        <w:t>A</w:t>
      </w:r>
      <w:r w:rsidRPr="00FB641E">
        <w:rPr>
          <w:lang w:val="es-MX"/>
        </w:rPr>
        <w:t>l 30 de junio de 20</w:t>
      </w:r>
      <w:r>
        <w:rPr>
          <w:lang w:val="es-MX"/>
        </w:rPr>
        <w:t>20,</w:t>
      </w:r>
      <w:r w:rsidRPr="00FB641E">
        <w:rPr>
          <w:lang w:val="es-MX"/>
        </w:rPr>
        <w:t xml:space="preserve"> se ha ejecutado</w:t>
      </w:r>
      <w:r>
        <w:rPr>
          <w:lang w:val="es-MX"/>
        </w:rPr>
        <w:t xml:space="preserve"> a través de Organizaciones No Gubernamentales el monto de</w:t>
      </w:r>
      <w:r w:rsidRPr="00FB641E">
        <w:rPr>
          <w:lang w:val="es-MX"/>
        </w:rPr>
        <w:t xml:space="preserve"> Q</w:t>
      </w:r>
      <w:r>
        <w:rPr>
          <w:lang w:val="es-MX"/>
        </w:rPr>
        <w:t>.486.5 millones</w:t>
      </w:r>
      <w:r w:rsidRPr="00FB641E">
        <w:rPr>
          <w:lang w:val="es-MX"/>
        </w:rPr>
        <w:t>, equivalen</w:t>
      </w:r>
      <w:r>
        <w:rPr>
          <w:lang w:val="es-MX"/>
        </w:rPr>
        <w:t>tes</w:t>
      </w:r>
      <w:r w:rsidRPr="00FB641E">
        <w:rPr>
          <w:lang w:val="es-MX"/>
        </w:rPr>
        <w:t xml:space="preserve"> al 1.</w:t>
      </w:r>
      <w:r>
        <w:rPr>
          <w:lang w:val="es-MX"/>
        </w:rPr>
        <w:t>2</w:t>
      </w:r>
      <w:r w:rsidRPr="00FB641E">
        <w:rPr>
          <w:lang w:val="es-MX"/>
        </w:rPr>
        <w:t>% de la ejecución presupuestaria total</w:t>
      </w:r>
      <w:r>
        <w:rPr>
          <w:lang w:val="es-MX"/>
        </w:rPr>
        <w:t xml:space="preserve">; este monto es inferior </w:t>
      </w:r>
      <w:r w:rsidRPr="00FB641E">
        <w:rPr>
          <w:lang w:val="es-MX"/>
        </w:rPr>
        <w:t>en Q</w:t>
      </w:r>
      <w:r>
        <w:rPr>
          <w:lang w:val="es-MX"/>
        </w:rPr>
        <w:t xml:space="preserve">.192.4 </w:t>
      </w:r>
      <w:r w:rsidRPr="00FB641E">
        <w:rPr>
          <w:lang w:val="es-MX"/>
        </w:rPr>
        <w:t xml:space="preserve">millones respecto </w:t>
      </w:r>
      <w:r>
        <w:rPr>
          <w:lang w:val="es-MX"/>
        </w:rPr>
        <w:t>del mismo período en</w:t>
      </w:r>
      <w:r w:rsidRPr="00FB641E">
        <w:rPr>
          <w:lang w:val="es-MX"/>
        </w:rPr>
        <w:t xml:space="preserve"> 201</w:t>
      </w:r>
      <w:r>
        <w:rPr>
          <w:lang w:val="es-MX"/>
        </w:rPr>
        <w:t>9. Las entidades de mayor ejecución son: el Ministerio de Salud Pública y Asistencia Social con Q.206.2 millones</w:t>
      </w:r>
      <w:r w:rsidRPr="00FB641E">
        <w:rPr>
          <w:lang w:val="es-MX"/>
        </w:rPr>
        <w:t xml:space="preserve">, </w:t>
      </w:r>
      <w:r>
        <w:rPr>
          <w:lang w:val="es-MX"/>
        </w:rPr>
        <w:t xml:space="preserve">Obligaciones del Estado a Cargo del Tesoro con Q.168.5 millones y </w:t>
      </w:r>
      <w:r w:rsidRPr="00FB641E">
        <w:rPr>
          <w:lang w:val="es-MX"/>
        </w:rPr>
        <w:t>e</w:t>
      </w:r>
      <w:r>
        <w:rPr>
          <w:lang w:val="es-MX"/>
        </w:rPr>
        <w:t>l Ministerio de Educación con Q.90.9 millones</w:t>
      </w:r>
      <w:r w:rsidR="00D96E9D">
        <w:rPr>
          <w:lang w:val="es-MX"/>
        </w:rPr>
        <w:t>; las demás entidades han ejecutado</w:t>
      </w:r>
      <w:r>
        <w:rPr>
          <w:lang w:val="es-MX"/>
        </w:rPr>
        <w:t xml:space="preserve"> Q.20.9 millones.</w:t>
      </w:r>
    </w:p>
    <w:p w:rsidR="00AD535C" w:rsidRDefault="00AD535C" w:rsidP="00AD535C">
      <w:pPr>
        <w:rPr>
          <w:b/>
          <w:sz w:val="22"/>
          <w:lang w:val="es-MX"/>
        </w:rPr>
      </w:pPr>
    </w:p>
    <w:p w:rsidR="00AD535C" w:rsidRDefault="00AD535C" w:rsidP="00AD535C">
      <w:pPr>
        <w:rPr>
          <w:b/>
          <w:sz w:val="22"/>
          <w:lang w:val="es-MX"/>
        </w:rPr>
      </w:pPr>
    </w:p>
    <w:p w:rsidR="00AD535C" w:rsidRDefault="00AD535C" w:rsidP="00AD535C">
      <w:pPr>
        <w:rPr>
          <w:b/>
          <w:sz w:val="22"/>
          <w:lang w:val="es-MX"/>
        </w:rPr>
      </w:pPr>
    </w:p>
    <w:p w:rsidR="00AD535C" w:rsidRPr="007F6AD4" w:rsidRDefault="00AD535C" w:rsidP="00AD535C">
      <w:pPr>
        <w:jc w:val="center"/>
        <w:rPr>
          <w:b/>
          <w:szCs w:val="22"/>
          <w:lang w:val="es-MX"/>
        </w:rPr>
      </w:pPr>
      <w:r w:rsidRPr="007F6AD4">
        <w:rPr>
          <w:b/>
          <w:szCs w:val="22"/>
          <w:lang w:val="es-MX"/>
        </w:rPr>
        <w:lastRenderedPageBreak/>
        <w:t>Cuadro 11</w:t>
      </w:r>
    </w:p>
    <w:p w:rsidR="00AD535C" w:rsidRPr="007F6AD4" w:rsidRDefault="00AD535C" w:rsidP="00AD535C">
      <w:pPr>
        <w:jc w:val="center"/>
        <w:rPr>
          <w:b/>
          <w:szCs w:val="22"/>
          <w:lang w:val="es-MX"/>
        </w:rPr>
      </w:pPr>
      <w:r w:rsidRPr="007F6AD4">
        <w:rPr>
          <w:b/>
          <w:szCs w:val="22"/>
          <w:lang w:val="es-MX"/>
        </w:rPr>
        <w:t>Aportes Realizados a Organizaciones No Gubernamentales -ONG-</w:t>
      </w:r>
    </w:p>
    <w:p w:rsidR="00AD535C" w:rsidRPr="007F6AD4" w:rsidRDefault="00AD535C" w:rsidP="00AD535C">
      <w:pPr>
        <w:jc w:val="center"/>
        <w:rPr>
          <w:b/>
          <w:szCs w:val="22"/>
          <w:lang w:val="es-MX"/>
        </w:rPr>
      </w:pPr>
      <w:r w:rsidRPr="007F6AD4">
        <w:rPr>
          <w:b/>
          <w:szCs w:val="22"/>
          <w:lang w:val="es-MX"/>
        </w:rPr>
        <w:t>Al 30 de junio de cada año</w:t>
      </w:r>
    </w:p>
    <w:p w:rsidR="00AD535C" w:rsidRPr="007F6AD4" w:rsidRDefault="00AD535C" w:rsidP="00AD535C">
      <w:pPr>
        <w:jc w:val="center"/>
        <w:rPr>
          <w:b/>
          <w:szCs w:val="22"/>
          <w:lang w:val="es-MX"/>
        </w:rPr>
      </w:pPr>
      <w:r w:rsidRPr="007F6AD4">
        <w:rPr>
          <w:b/>
          <w:szCs w:val="22"/>
          <w:lang w:val="es-MX"/>
        </w:rPr>
        <w:t>(Cifras en Millones de Quetzales)</w:t>
      </w:r>
    </w:p>
    <w:tbl>
      <w:tblPr>
        <w:tblW w:w="9152" w:type="dxa"/>
        <w:tblInd w:w="-10" w:type="dxa"/>
        <w:tblCellMar>
          <w:left w:w="70" w:type="dxa"/>
          <w:right w:w="70" w:type="dxa"/>
        </w:tblCellMar>
        <w:tblLook w:val="04A0" w:firstRow="1" w:lastRow="0" w:firstColumn="1" w:lastColumn="0" w:noHBand="0" w:noVBand="1"/>
      </w:tblPr>
      <w:tblGrid>
        <w:gridCol w:w="4616"/>
        <w:gridCol w:w="1134"/>
        <w:gridCol w:w="1134"/>
        <w:gridCol w:w="1134"/>
        <w:gridCol w:w="1134"/>
      </w:tblGrid>
      <w:tr w:rsidR="00AD535C" w:rsidRPr="00E53001" w:rsidTr="00D84096">
        <w:trPr>
          <w:trHeight w:val="147"/>
        </w:trPr>
        <w:tc>
          <w:tcPr>
            <w:tcW w:w="4616" w:type="dxa"/>
            <w:vMerge w:val="restart"/>
            <w:tcBorders>
              <w:top w:val="single" w:sz="8" w:space="0" w:color="auto"/>
              <w:left w:val="single" w:sz="8" w:space="0" w:color="auto"/>
              <w:bottom w:val="single" w:sz="4" w:space="0" w:color="000000"/>
              <w:right w:val="nil"/>
            </w:tcBorders>
            <w:shd w:val="clear" w:color="000000" w:fill="8DB4E2"/>
            <w:vAlign w:val="center"/>
            <w:hideMark/>
          </w:tcPr>
          <w:p w:rsidR="00AD535C" w:rsidRPr="00471AEC" w:rsidRDefault="00AD535C" w:rsidP="0025776C">
            <w:pPr>
              <w:jc w:val="center"/>
              <w:rPr>
                <w:b/>
                <w:bCs/>
                <w:sz w:val="22"/>
                <w:lang w:val="es-GT" w:eastAsia="es-GT"/>
              </w:rPr>
            </w:pPr>
            <w:r w:rsidRPr="00471AEC">
              <w:rPr>
                <w:b/>
                <w:bCs/>
                <w:sz w:val="22"/>
                <w:lang w:val="es-GT" w:eastAsia="es-GT"/>
              </w:rPr>
              <w:t>Entidad</w:t>
            </w:r>
          </w:p>
        </w:tc>
        <w:tc>
          <w:tcPr>
            <w:tcW w:w="1134"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471AEC" w:rsidRDefault="00AD535C" w:rsidP="0025776C">
            <w:pPr>
              <w:jc w:val="center"/>
              <w:rPr>
                <w:b/>
                <w:bCs/>
                <w:sz w:val="22"/>
                <w:lang w:val="es-GT" w:eastAsia="es-GT"/>
              </w:rPr>
            </w:pPr>
            <w:r w:rsidRPr="00471AEC">
              <w:rPr>
                <w:b/>
                <w:bCs/>
                <w:sz w:val="22"/>
                <w:lang w:val="es-GT" w:eastAsia="es-GT"/>
              </w:rPr>
              <w:t>2019</w:t>
            </w:r>
          </w:p>
        </w:tc>
        <w:tc>
          <w:tcPr>
            <w:tcW w:w="1134" w:type="dxa"/>
            <w:vMerge w:val="restart"/>
            <w:tcBorders>
              <w:top w:val="single" w:sz="8" w:space="0" w:color="auto"/>
              <w:left w:val="single" w:sz="4" w:space="0" w:color="auto"/>
              <w:bottom w:val="single" w:sz="4" w:space="0" w:color="000000"/>
              <w:right w:val="single" w:sz="4" w:space="0" w:color="auto"/>
            </w:tcBorders>
            <w:shd w:val="clear" w:color="000000" w:fill="8DB4E2"/>
            <w:vAlign w:val="center"/>
            <w:hideMark/>
          </w:tcPr>
          <w:p w:rsidR="00AD535C" w:rsidRPr="00471AEC" w:rsidRDefault="00AD535C" w:rsidP="0025776C">
            <w:pPr>
              <w:jc w:val="center"/>
              <w:rPr>
                <w:b/>
                <w:bCs/>
                <w:sz w:val="22"/>
                <w:lang w:val="es-GT" w:eastAsia="es-GT"/>
              </w:rPr>
            </w:pPr>
            <w:r w:rsidRPr="00471AEC">
              <w:rPr>
                <w:b/>
                <w:bCs/>
                <w:sz w:val="22"/>
                <w:lang w:val="es-GT" w:eastAsia="es-GT"/>
              </w:rPr>
              <w:t>2020</w:t>
            </w:r>
            <w:r w:rsidR="00927D15">
              <w:rPr>
                <w:b/>
                <w:bCs/>
                <w:sz w:val="22"/>
                <w:lang w:val="es-GT" w:eastAsia="es-GT"/>
              </w:rPr>
              <w:t>*</w:t>
            </w:r>
          </w:p>
        </w:tc>
        <w:tc>
          <w:tcPr>
            <w:tcW w:w="2268" w:type="dxa"/>
            <w:gridSpan w:val="2"/>
            <w:tcBorders>
              <w:top w:val="single" w:sz="8" w:space="0" w:color="auto"/>
              <w:left w:val="nil"/>
              <w:bottom w:val="single" w:sz="4" w:space="0" w:color="auto"/>
              <w:right w:val="single" w:sz="8" w:space="0" w:color="000000"/>
            </w:tcBorders>
            <w:shd w:val="clear" w:color="000000" w:fill="8DB4E2"/>
            <w:noWrap/>
            <w:vAlign w:val="center"/>
            <w:hideMark/>
          </w:tcPr>
          <w:p w:rsidR="00AD535C" w:rsidRPr="00471AEC" w:rsidRDefault="00AD535C" w:rsidP="0025776C">
            <w:pPr>
              <w:jc w:val="center"/>
              <w:rPr>
                <w:b/>
                <w:bCs/>
                <w:sz w:val="22"/>
                <w:lang w:val="es-GT" w:eastAsia="es-GT"/>
              </w:rPr>
            </w:pPr>
            <w:r w:rsidRPr="00471AEC">
              <w:rPr>
                <w:b/>
                <w:bCs/>
                <w:sz w:val="22"/>
                <w:lang w:val="es-GT" w:eastAsia="es-GT"/>
              </w:rPr>
              <w:t>Diferencias</w:t>
            </w:r>
          </w:p>
        </w:tc>
      </w:tr>
      <w:tr w:rsidR="00AD535C" w:rsidRPr="00E53001" w:rsidTr="00D84096">
        <w:trPr>
          <w:trHeight w:val="251"/>
        </w:trPr>
        <w:tc>
          <w:tcPr>
            <w:tcW w:w="4616" w:type="dxa"/>
            <w:vMerge/>
            <w:tcBorders>
              <w:top w:val="single" w:sz="8" w:space="0" w:color="auto"/>
              <w:left w:val="single" w:sz="8" w:space="0" w:color="auto"/>
              <w:bottom w:val="single" w:sz="4" w:space="0" w:color="000000"/>
              <w:right w:val="nil"/>
            </w:tcBorders>
            <w:vAlign w:val="center"/>
            <w:hideMark/>
          </w:tcPr>
          <w:p w:rsidR="00AD535C" w:rsidRPr="00471AEC" w:rsidRDefault="00AD535C" w:rsidP="0025776C">
            <w:pPr>
              <w:rPr>
                <w:b/>
                <w:bCs/>
                <w:sz w:val="22"/>
                <w:lang w:val="es-GT" w:eastAsia="es-GT"/>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rsidR="00AD535C" w:rsidRPr="00471AEC" w:rsidRDefault="00AD535C" w:rsidP="0025776C">
            <w:pPr>
              <w:rPr>
                <w:b/>
                <w:bCs/>
                <w:sz w:val="22"/>
                <w:lang w:val="es-GT" w:eastAsia="es-GT"/>
              </w:rPr>
            </w:pPr>
          </w:p>
        </w:tc>
        <w:tc>
          <w:tcPr>
            <w:tcW w:w="1134" w:type="dxa"/>
            <w:vMerge/>
            <w:tcBorders>
              <w:top w:val="single" w:sz="8" w:space="0" w:color="auto"/>
              <w:left w:val="single" w:sz="4" w:space="0" w:color="auto"/>
              <w:bottom w:val="single" w:sz="4" w:space="0" w:color="000000"/>
              <w:right w:val="single" w:sz="4" w:space="0" w:color="auto"/>
            </w:tcBorders>
            <w:vAlign w:val="center"/>
            <w:hideMark/>
          </w:tcPr>
          <w:p w:rsidR="00AD535C" w:rsidRPr="00471AEC" w:rsidRDefault="00AD535C" w:rsidP="0025776C">
            <w:pPr>
              <w:rPr>
                <w:b/>
                <w:bCs/>
                <w:sz w:val="22"/>
                <w:lang w:val="es-GT" w:eastAsia="es-GT"/>
              </w:rPr>
            </w:pPr>
          </w:p>
        </w:tc>
        <w:tc>
          <w:tcPr>
            <w:tcW w:w="1134" w:type="dxa"/>
            <w:tcBorders>
              <w:top w:val="single" w:sz="4" w:space="0" w:color="auto"/>
              <w:left w:val="nil"/>
              <w:bottom w:val="single" w:sz="4" w:space="0" w:color="auto"/>
              <w:right w:val="single" w:sz="4" w:space="0" w:color="auto"/>
            </w:tcBorders>
            <w:shd w:val="clear" w:color="000000" w:fill="8DB4E2"/>
            <w:noWrap/>
            <w:vAlign w:val="center"/>
            <w:hideMark/>
          </w:tcPr>
          <w:p w:rsidR="00AD535C" w:rsidRPr="00471AEC" w:rsidRDefault="00AD535C" w:rsidP="0025776C">
            <w:pPr>
              <w:jc w:val="center"/>
              <w:rPr>
                <w:b/>
                <w:bCs/>
                <w:sz w:val="22"/>
                <w:lang w:val="es-GT" w:eastAsia="es-GT"/>
              </w:rPr>
            </w:pPr>
            <w:r w:rsidRPr="00471AEC">
              <w:rPr>
                <w:b/>
                <w:bCs/>
                <w:sz w:val="22"/>
                <w:lang w:val="es-GT" w:eastAsia="es-GT"/>
              </w:rPr>
              <w:t xml:space="preserve">Absolutas </w:t>
            </w:r>
          </w:p>
        </w:tc>
        <w:tc>
          <w:tcPr>
            <w:tcW w:w="1134" w:type="dxa"/>
            <w:tcBorders>
              <w:top w:val="single" w:sz="4" w:space="0" w:color="auto"/>
              <w:left w:val="nil"/>
              <w:bottom w:val="single" w:sz="4" w:space="0" w:color="auto"/>
              <w:right w:val="single" w:sz="8" w:space="0" w:color="auto"/>
            </w:tcBorders>
            <w:shd w:val="clear" w:color="000000" w:fill="8DB4E2"/>
            <w:noWrap/>
            <w:vAlign w:val="center"/>
            <w:hideMark/>
          </w:tcPr>
          <w:p w:rsidR="00AD535C" w:rsidRPr="00471AEC" w:rsidRDefault="00AD535C" w:rsidP="0025776C">
            <w:pPr>
              <w:jc w:val="center"/>
              <w:rPr>
                <w:b/>
                <w:bCs/>
                <w:sz w:val="22"/>
                <w:lang w:val="es-GT" w:eastAsia="es-GT"/>
              </w:rPr>
            </w:pPr>
            <w:r w:rsidRPr="00471AEC">
              <w:rPr>
                <w:b/>
                <w:bCs/>
                <w:sz w:val="22"/>
                <w:lang w:val="es-GT" w:eastAsia="es-GT"/>
              </w:rPr>
              <w:t>Relativas</w:t>
            </w:r>
          </w:p>
        </w:tc>
      </w:tr>
      <w:tr w:rsidR="00AD535C" w:rsidRPr="00E53001" w:rsidTr="00471AEC">
        <w:trPr>
          <w:trHeight w:val="310"/>
        </w:trPr>
        <w:tc>
          <w:tcPr>
            <w:tcW w:w="4616" w:type="dxa"/>
            <w:tcBorders>
              <w:top w:val="nil"/>
              <w:left w:val="single" w:sz="8" w:space="0" w:color="auto"/>
              <w:bottom w:val="nil"/>
              <w:right w:val="nil"/>
            </w:tcBorders>
            <w:shd w:val="clear" w:color="000000" w:fill="FFFFFF"/>
            <w:noWrap/>
            <w:vAlign w:val="bottom"/>
            <w:hideMark/>
          </w:tcPr>
          <w:p w:rsidR="00AD535C" w:rsidRPr="00471AEC" w:rsidRDefault="00AD535C" w:rsidP="0025776C">
            <w:pPr>
              <w:jc w:val="center"/>
              <w:rPr>
                <w:b/>
                <w:bCs/>
                <w:color w:val="000000"/>
                <w:sz w:val="20"/>
                <w:szCs w:val="20"/>
                <w:lang w:val="es-GT" w:eastAsia="es-GT"/>
              </w:rPr>
            </w:pPr>
            <w:r w:rsidRPr="00471AEC">
              <w:rPr>
                <w:b/>
                <w:bCs/>
                <w:color w:val="000000"/>
                <w:sz w:val="20"/>
                <w:szCs w:val="20"/>
                <w:lang w:val="es-GT" w:eastAsia="es-GT"/>
              </w:rPr>
              <w:t>Total</w:t>
            </w:r>
          </w:p>
        </w:tc>
        <w:tc>
          <w:tcPr>
            <w:tcW w:w="1134" w:type="dxa"/>
            <w:tcBorders>
              <w:top w:val="nil"/>
              <w:left w:val="single" w:sz="4" w:space="0" w:color="auto"/>
              <w:bottom w:val="nil"/>
              <w:right w:val="single" w:sz="4" w:space="0" w:color="auto"/>
            </w:tcBorders>
            <w:shd w:val="clear" w:color="000000" w:fill="FFFFFF"/>
            <w:noWrap/>
            <w:vAlign w:val="bottom"/>
            <w:hideMark/>
          </w:tcPr>
          <w:p w:rsidR="00AD535C" w:rsidRPr="00471AEC" w:rsidRDefault="00AD535C" w:rsidP="00471AEC">
            <w:pPr>
              <w:jc w:val="right"/>
              <w:rPr>
                <w:b/>
                <w:bCs/>
                <w:color w:val="000000"/>
                <w:sz w:val="20"/>
                <w:szCs w:val="20"/>
                <w:lang w:val="es-GT" w:eastAsia="es-GT"/>
              </w:rPr>
            </w:pPr>
            <w:r w:rsidRPr="00471AEC">
              <w:rPr>
                <w:b/>
                <w:bCs/>
                <w:color w:val="000000"/>
                <w:sz w:val="20"/>
                <w:szCs w:val="20"/>
                <w:lang w:val="es-GT" w:eastAsia="es-GT"/>
              </w:rPr>
              <w:t>678.9</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471AEC">
            <w:pPr>
              <w:jc w:val="right"/>
              <w:rPr>
                <w:b/>
                <w:bCs/>
                <w:color w:val="000000"/>
                <w:sz w:val="20"/>
                <w:szCs w:val="20"/>
                <w:lang w:val="es-GT" w:eastAsia="es-GT"/>
              </w:rPr>
            </w:pPr>
            <w:r w:rsidRPr="00471AEC">
              <w:rPr>
                <w:b/>
                <w:bCs/>
                <w:color w:val="000000"/>
                <w:sz w:val="20"/>
                <w:szCs w:val="20"/>
                <w:lang w:val="es-GT" w:eastAsia="es-GT"/>
              </w:rPr>
              <w:t>486.5</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471AEC">
            <w:pPr>
              <w:jc w:val="right"/>
              <w:rPr>
                <w:b/>
                <w:bCs/>
                <w:color w:val="000000"/>
                <w:sz w:val="20"/>
                <w:szCs w:val="20"/>
                <w:lang w:val="es-GT" w:eastAsia="es-GT"/>
              </w:rPr>
            </w:pPr>
            <w:r w:rsidRPr="00471AEC">
              <w:rPr>
                <w:b/>
                <w:bCs/>
                <w:color w:val="000000"/>
                <w:sz w:val="20"/>
                <w:szCs w:val="20"/>
                <w:lang w:val="es-GT" w:eastAsia="es-GT"/>
              </w:rPr>
              <w:t>(192.4)</w:t>
            </w:r>
          </w:p>
        </w:tc>
        <w:tc>
          <w:tcPr>
            <w:tcW w:w="1134" w:type="dxa"/>
            <w:tcBorders>
              <w:top w:val="nil"/>
              <w:left w:val="nil"/>
              <w:bottom w:val="nil"/>
              <w:right w:val="single" w:sz="8" w:space="0" w:color="auto"/>
            </w:tcBorders>
            <w:shd w:val="clear" w:color="000000" w:fill="FFFFFF"/>
            <w:noWrap/>
            <w:vAlign w:val="bottom"/>
            <w:hideMark/>
          </w:tcPr>
          <w:p w:rsidR="00AD535C" w:rsidRPr="00471AEC" w:rsidRDefault="00AD535C" w:rsidP="00471AEC">
            <w:pPr>
              <w:jc w:val="right"/>
              <w:rPr>
                <w:b/>
                <w:bCs/>
                <w:color w:val="000000"/>
                <w:sz w:val="20"/>
                <w:szCs w:val="20"/>
                <w:lang w:val="es-GT" w:eastAsia="es-GT"/>
              </w:rPr>
            </w:pPr>
            <w:r w:rsidRPr="00471AEC">
              <w:rPr>
                <w:b/>
                <w:bCs/>
                <w:color w:val="000000"/>
                <w:sz w:val="20"/>
                <w:szCs w:val="20"/>
                <w:lang w:val="es-GT" w:eastAsia="es-GT"/>
              </w:rPr>
              <w:t>-28.3%</w:t>
            </w:r>
          </w:p>
        </w:tc>
      </w:tr>
      <w:tr w:rsidR="00AD535C" w:rsidRPr="00E53001" w:rsidTr="00D84096">
        <w:trPr>
          <w:trHeight w:val="164"/>
        </w:trPr>
        <w:tc>
          <w:tcPr>
            <w:tcW w:w="4616" w:type="dxa"/>
            <w:tcBorders>
              <w:top w:val="nil"/>
              <w:left w:val="single" w:sz="8" w:space="0" w:color="auto"/>
              <w:bottom w:val="nil"/>
              <w:right w:val="nil"/>
            </w:tcBorders>
            <w:shd w:val="clear" w:color="000000" w:fill="FFFFFF"/>
            <w:noWrap/>
            <w:vAlign w:val="bottom"/>
            <w:hideMark/>
          </w:tcPr>
          <w:p w:rsidR="00AD535C" w:rsidRPr="00471AEC" w:rsidRDefault="00AD535C" w:rsidP="0025776C">
            <w:pPr>
              <w:rPr>
                <w:color w:val="000000"/>
                <w:sz w:val="20"/>
                <w:szCs w:val="20"/>
                <w:lang w:val="es-GT" w:eastAsia="es-GT"/>
              </w:rPr>
            </w:pPr>
            <w:r w:rsidRPr="00471AEC">
              <w:rPr>
                <w:color w:val="000000"/>
                <w:sz w:val="20"/>
                <w:szCs w:val="20"/>
                <w:lang w:val="es-GT" w:eastAsia="es-GT"/>
              </w:rPr>
              <w:t>Ministerio de Educación</w:t>
            </w:r>
          </w:p>
        </w:tc>
        <w:tc>
          <w:tcPr>
            <w:tcW w:w="1134" w:type="dxa"/>
            <w:tcBorders>
              <w:top w:val="nil"/>
              <w:left w:val="single" w:sz="4" w:space="0" w:color="auto"/>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117.2</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90.9</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-26.3</w:t>
            </w:r>
          </w:p>
        </w:tc>
        <w:tc>
          <w:tcPr>
            <w:tcW w:w="1134" w:type="dxa"/>
            <w:tcBorders>
              <w:top w:val="nil"/>
              <w:left w:val="nil"/>
              <w:bottom w:val="nil"/>
              <w:right w:val="single" w:sz="8"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-22.4%</w:t>
            </w:r>
          </w:p>
        </w:tc>
      </w:tr>
      <w:tr w:rsidR="00AD535C" w:rsidRPr="00E53001" w:rsidTr="00471AEC">
        <w:trPr>
          <w:trHeight w:val="310"/>
        </w:trPr>
        <w:tc>
          <w:tcPr>
            <w:tcW w:w="4616" w:type="dxa"/>
            <w:tcBorders>
              <w:top w:val="nil"/>
              <w:left w:val="single" w:sz="8" w:space="0" w:color="auto"/>
              <w:bottom w:val="nil"/>
              <w:right w:val="nil"/>
            </w:tcBorders>
            <w:shd w:val="clear" w:color="000000" w:fill="FFFFFF"/>
            <w:noWrap/>
            <w:vAlign w:val="bottom"/>
            <w:hideMark/>
          </w:tcPr>
          <w:p w:rsidR="00AD535C" w:rsidRPr="00471AEC" w:rsidRDefault="00AD535C" w:rsidP="0025776C">
            <w:pPr>
              <w:rPr>
                <w:color w:val="000000"/>
                <w:sz w:val="20"/>
                <w:szCs w:val="20"/>
                <w:lang w:val="es-GT" w:eastAsia="es-GT"/>
              </w:rPr>
            </w:pPr>
            <w:r w:rsidRPr="00471AEC">
              <w:rPr>
                <w:color w:val="000000"/>
                <w:sz w:val="20"/>
                <w:szCs w:val="20"/>
                <w:lang w:val="es-GT" w:eastAsia="es-GT"/>
              </w:rPr>
              <w:t>Ministerio de Salud Pública y Asistencia Social</w:t>
            </w:r>
          </w:p>
        </w:tc>
        <w:tc>
          <w:tcPr>
            <w:tcW w:w="1134" w:type="dxa"/>
            <w:tcBorders>
              <w:top w:val="nil"/>
              <w:left w:val="single" w:sz="4" w:space="0" w:color="auto"/>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306.2</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206.2</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-100.0</w:t>
            </w:r>
          </w:p>
        </w:tc>
        <w:tc>
          <w:tcPr>
            <w:tcW w:w="1134" w:type="dxa"/>
            <w:tcBorders>
              <w:top w:val="nil"/>
              <w:left w:val="nil"/>
              <w:bottom w:val="nil"/>
              <w:right w:val="single" w:sz="8"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-32.7%</w:t>
            </w:r>
          </w:p>
        </w:tc>
      </w:tr>
      <w:tr w:rsidR="00AD535C" w:rsidRPr="00E53001" w:rsidTr="00471AEC">
        <w:trPr>
          <w:trHeight w:val="310"/>
        </w:trPr>
        <w:tc>
          <w:tcPr>
            <w:tcW w:w="4616" w:type="dxa"/>
            <w:tcBorders>
              <w:top w:val="nil"/>
              <w:left w:val="single" w:sz="8" w:space="0" w:color="auto"/>
              <w:bottom w:val="nil"/>
              <w:right w:val="nil"/>
            </w:tcBorders>
            <w:shd w:val="clear" w:color="000000" w:fill="FFFFFF"/>
            <w:noWrap/>
            <w:vAlign w:val="bottom"/>
            <w:hideMark/>
          </w:tcPr>
          <w:p w:rsidR="00AD535C" w:rsidRPr="00471AEC" w:rsidRDefault="00AD535C" w:rsidP="0025776C">
            <w:pPr>
              <w:rPr>
                <w:color w:val="000000"/>
                <w:sz w:val="20"/>
                <w:szCs w:val="20"/>
                <w:lang w:val="es-GT" w:eastAsia="es-GT"/>
              </w:rPr>
            </w:pPr>
            <w:r w:rsidRPr="00471AEC">
              <w:rPr>
                <w:color w:val="000000"/>
                <w:sz w:val="20"/>
                <w:szCs w:val="20"/>
                <w:lang w:val="es-GT" w:eastAsia="es-GT"/>
              </w:rPr>
              <w:t>Ministerio de Economía</w:t>
            </w:r>
          </w:p>
        </w:tc>
        <w:tc>
          <w:tcPr>
            <w:tcW w:w="1134" w:type="dxa"/>
            <w:tcBorders>
              <w:top w:val="nil"/>
              <w:left w:val="single" w:sz="4" w:space="0" w:color="auto"/>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2.0</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0.0</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-2.0</w:t>
            </w:r>
          </w:p>
        </w:tc>
        <w:tc>
          <w:tcPr>
            <w:tcW w:w="1134" w:type="dxa"/>
            <w:tcBorders>
              <w:top w:val="nil"/>
              <w:left w:val="nil"/>
              <w:bottom w:val="nil"/>
              <w:right w:val="single" w:sz="8"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-100.0%</w:t>
            </w:r>
          </w:p>
        </w:tc>
      </w:tr>
      <w:tr w:rsidR="00AD535C" w:rsidRPr="00E53001" w:rsidTr="00471AEC">
        <w:trPr>
          <w:trHeight w:val="310"/>
        </w:trPr>
        <w:tc>
          <w:tcPr>
            <w:tcW w:w="4616" w:type="dxa"/>
            <w:tcBorders>
              <w:top w:val="nil"/>
              <w:left w:val="single" w:sz="8" w:space="0" w:color="auto"/>
              <w:bottom w:val="nil"/>
              <w:right w:val="nil"/>
            </w:tcBorders>
            <w:shd w:val="clear" w:color="000000" w:fill="FFFFFF"/>
            <w:noWrap/>
            <w:vAlign w:val="bottom"/>
            <w:hideMark/>
          </w:tcPr>
          <w:p w:rsidR="00AD535C" w:rsidRPr="00471AEC" w:rsidRDefault="00AD535C" w:rsidP="0025776C">
            <w:pPr>
              <w:rPr>
                <w:color w:val="000000"/>
                <w:sz w:val="20"/>
                <w:szCs w:val="20"/>
                <w:lang w:val="es-GT" w:eastAsia="es-GT"/>
              </w:rPr>
            </w:pPr>
            <w:r w:rsidRPr="00471AEC">
              <w:rPr>
                <w:color w:val="000000"/>
                <w:sz w:val="20"/>
                <w:szCs w:val="20"/>
                <w:lang w:val="es-GT" w:eastAsia="es-GT"/>
              </w:rPr>
              <w:t>Ministerio de Agricultura</w:t>
            </w:r>
            <w:r w:rsidR="007F6AD4">
              <w:rPr>
                <w:color w:val="000000"/>
                <w:sz w:val="20"/>
                <w:szCs w:val="20"/>
                <w:lang w:val="es-GT" w:eastAsia="es-GT"/>
              </w:rPr>
              <w:t>, Ganadería y Alimentación</w:t>
            </w:r>
          </w:p>
        </w:tc>
        <w:tc>
          <w:tcPr>
            <w:tcW w:w="1134" w:type="dxa"/>
            <w:tcBorders>
              <w:top w:val="nil"/>
              <w:left w:val="single" w:sz="4" w:space="0" w:color="auto"/>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37.4</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16.4</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-21.0</w:t>
            </w:r>
          </w:p>
        </w:tc>
        <w:tc>
          <w:tcPr>
            <w:tcW w:w="1134" w:type="dxa"/>
            <w:tcBorders>
              <w:top w:val="nil"/>
              <w:left w:val="nil"/>
              <w:bottom w:val="nil"/>
              <w:right w:val="single" w:sz="8"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-56.2%</w:t>
            </w:r>
          </w:p>
        </w:tc>
      </w:tr>
      <w:tr w:rsidR="00AD535C" w:rsidRPr="00E53001" w:rsidTr="00471AEC">
        <w:trPr>
          <w:trHeight w:val="310"/>
        </w:trPr>
        <w:tc>
          <w:tcPr>
            <w:tcW w:w="4616" w:type="dxa"/>
            <w:tcBorders>
              <w:top w:val="nil"/>
              <w:left w:val="single" w:sz="8" w:space="0" w:color="auto"/>
              <w:bottom w:val="nil"/>
              <w:right w:val="nil"/>
            </w:tcBorders>
            <w:shd w:val="clear" w:color="000000" w:fill="FFFFFF"/>
            <w:noWrap/>
            <w:vAlign w:val="bottom"/>
            <w:hideMark/>
          </w:tcPr>
          <w:p w:rsidR="00AD535C" w:rsidRPr="00471AEC" w:rsidRDefault="00AD535C" w:rsidP="0025776C">
            <w:pPr>
              <w:rPr>
                <w:color w:val="000000"/>
                <w:sz w:val="20"/>
                <w:szCs w:val="20"/>
                <w:lang w:val="es-GT" w:eastAsia="es-GT"/>
              </w:rPr>
            </w:pPr>
            <w:r w:rsidRPr="00471AEC">
              <w:rPr>
                <w:color w:val="000000"/>
                <w:sz w:val="20"/>
                <w:szCs w:val="20"/>
                <w:lang w:val="es-GT" w:eastAsia="es-GT"/>
              </w:rPr>
              <w:t>Ministerio de Cultura y Deportes</w:t>
            </w:r>
          </w:p>
        </w:tc>
        <w:tc>
          <w:tcPr>
            <w:tcW w:w="1134" w:type="dxa"/>
            <w:tcBorders>
              <w:top w:val="nil"/>
              <w:left w:val="single" w:sz="4" w:space="0" w:color="auto"/>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9.0</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4.5</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-4.5</w:t>
            </w:r>
          </w:p>
        </w:tc>
        <w:tc>
          <w:tcPr>
            <w:tcW w:w="1134" w:type="dxa"/>
            <w:tcBorders>
              <w:top w:val="nil"/>
              <w:left w:val="nil"/>
              <w:bottom w:val="nil"/>
              <w:right w:val="single" w:sz="8"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-50.0%</w:t>
            </w:r>
          </w:p>
        </w:tc>
      </w:tr>
      <w:tr w:rsidR="00AD535C" w:rsidRPr="00E53001" w:rsidTr="00471AEC">
        <w:trPr>
          <w:trHeight w:val="310"/>
        </w:trPr>
        <w:tc>
          <w:tcPr>
            <w:tcW w:w="4616" w:type="dxa"/>
            <w:tcBorders>
              <w:top w:val="nil"/>
              <w:left w:val="single" w:sz="8" w:space="0" w:color="auto"/>
              <w:bottom w:val="nil"/>
              <w:right w:val="nil"/>
            </w:tcBorders>
            <w:shd w:val="clear" w:color="000000" w:fill="FFFFFF"/>
            <w:noWrap/>
            <w:vAlign w:val="bottom"/>
            <w:hideMark/>
          </w:tcPr>
          <w:p w:rsidR="00AD535C" w:rsidRPr="00471AEC" w:rsidRDefault="00AD535C" w:rsidP="0025776C">
            <w:pPr>
              <w:rPr>
                <w:color w:val="000000"/>
                <w:sz w:val="20"/>
                <w:szCs w:val="20"/>
                <w:lang w:val="es-GT" w:eastAsia="es-GT"/>
              </w:rPr>
            </w:pPr>
            <w:r w:rsidRPr="00471AEC">
              <w:rPr>
                <w:color w:val="000000"/>
                <w:sz w:val="20"/>
                <w:szCs w:val="20"/>
                <w:lang w:val="es-GT" w:eastAsia="es-GT"/>
              </w:rPr>
              <w:t>Secretarias y Otras Dependencias del Ejecutivo</w:t>
            </w:r>
          </w:p>
        </w:tc>
        <w:tc>
          <w:tcPr>
            <w:tcW w:w="1134" w:type="dxa"/>
            <w:tcBorders>
              <w:top w:val="nil"/>
              <w:left w:val="single" w:sz="4" w:space="0" w:color="auto"/>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0.1</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0.0</w:t>
            </w:r>
          </w:p>
        </w:tc>
        <w:tc>
          <w:tcPr>
            <w:tcW w:w="1134" w:type="dxa"/>
            <w:tcBorders>
              <w:top w:val="nil"/>
              <w:left w:val="nil"/>
              <w:bottom w:val="nil"/>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-0.1</w:t>
            </w:r>
          </w:p>
        </w:tc>
        <w:tc>
          <w:tcPr>
            <w:tcW w:w="1134" w:type="dxa"/>
            <w:tcBorders>
              <w:top w:val="nil"/>
              <w:left w:val="nil"/>
              <w:bottom w:val="nil"/>
              <w:right w:val="single" w:sz="8" w:space="0" w:color="auto"/>
            </w:tcBorders>
            <w:shd w:val="clear" w:color="000000" w:fill="FFFFFF"/>
            <w:noWrap/>
            <w:vAlign w:val="bottom"/>
            <w:hideMark/>
          </w:tcPr>
          <w:p w:rsidR="00AD535C" w:rsidRPr="00471AEC" w:rsidRDefault="00AD535C" w:rsidP="0025776C">
            <w:pPr>
              <w:rPr>
                <w:color w:val="000000"/>
                <w:sz w:val="20"/>
                <w:szCs w:val="20"/>
                <w:lang w:val="es-GT" w:eastAsia="es-GT"/>
              </w:rPr>
            </w:pPr>
          </w:p>
        </w:tc>
      </w:tr>
      <w:tr w:rsidR="00AD535C" w:rsidRPr="00E53001" w:rsidTr="00471AEC">
        <w:trPr>
          <w:trHeight w:val="320"/>
        </w:trPr>
        <w:tc>
          <w:tcPr>
            <w:tcW w:w="4616" w:type="dxa"/>
            <w:tcBorders>
              <w:top w:val="nil"/>
              <w:left w:val="single" w:sz="8" w:space="0" w:color="auto"/>
              <w:bottom w:val="single" w:sz="8" w:space="0" w:color="auto"/>
              <w:right w:val="nil"/>
            </w:tcBorders>
            <w:shd w:val="clear" w:color="000000" w:fill="FFFFFF"/>
            <w:noWrap/>
            <w:vAlign w:val="bottom"/>
            <w:hideMark/>
          </w:tcPr>
          <w:p w:rsidR="00AD535C" w:rsidRPr="00471AEC" w:rsidRDefault="00AD535C" w:rsidP="0025776C">
            <w:pPr>
              <w:rPr>
                <w:color w:val="000000"/>
                <w:sz w:val="20"/>
                <w:szCs w:val="20"/>
                <w:lang w:val="es-GT" w:eastAsia="es-GT"/>
              </w:rPr>
            </w:pPr>
            <w:r w:rsidRPr="00471AEC">
              <w:rPr>
                <w:color w:val="000000"/>
                <w:sz w:val="20"/>
                <w:szCs w:val="20"/>
                <w:lang w:val="es-GT" w:eastAsia="es-GT"/>
              </w:rPr>
              <w:t>Obligaciones del Estado a Cargo del Tesoro</w:t>
            </w:r>
          </w:p>
        </w:tc>
        <w:tc>
          <w:tcPr>
            <w:tcW w:w="1134" w:type="dxa"/>
            <w:tcBorders>
              <w:top w:val="nil"/>
              <w:left w:val="single" w:sz="4" w:space="0" w:color="auto"/>
              <w:bottom w:val="single" w:sz="8" w:space="0" w:color="auto"/>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206.9</w:t>
            </w:r>
          </w:p>
        </w:tc>
        <w:tc>
          <w:tcPr>
            <w:tcW w:w="1134" w:type="dxa"/>
            <w:tcBorders>
              <w:top w:val="nil"/>
              <w:left w:val="nil"/>
              <w:bottom w:val="single" w:sz="8" w:space="0" w:color="auto"/>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168.5</w:t>
            </w:r>
          </w:p>
        </w:tc>
        <w:tc>
          <w:tcPr>
            <w:tcW w:w="1134" w:type="dxa"/>
            <w:tcBorders>
              <w:top w:val="nil"/>
              <w:left w:val="nil"/>
              <w:bottom w:val="single" w:sz="8" w:space="0" w:color="auto"/>
              <w:right w:val="single" w:sz="4"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-38.4</w:t>
            </w:r>
          </w:p>
        </w:tc>
        <w:tc>
          <w:tcPr>
            <w:tcW w:w="1134" w:type="dxa"/>
            <w:tcBorders>
              <w:top w:val="nil"/>
              <w:left w:val="nil"/>
              <w:bottom w:val="single" w:sz="8" w:space="0" w:color="auto"/>
              <w:right w:val="single" w:sz="8" w:space="0" w:color="auto"/>
            </w:tcBorders>
            <w:shd w:val="clear" w:color="000000" w:fill="FFFFFF"/>
            <w:noWrap/>
            <w:vAlign w:val="bottom"/>
            <w:hideMark/>
          </w:tcPr>
          <w:p w:rsidR="00AD535C" w:rsidRPr="00471AEC" w:rsidRDefault="00AD535C" w:rsidP="0025776C">
            <w:pPr>
              <w:jc w:val="right"/>
              <w:rPr>
                <w:color w:val="000000"/>
                <w:sz w:val="20"/>
                <w:szCs w:val="20"/>
                <w:lang w:val="es-GT" w:eastAsia="es-GT"/>
              </w:rPr>
            </w:pPr>
            <w:r w:rsidRPr="00471AEC">
              <w:rPr>
                <w:color w:val="000000"/>
                <w:sz w:val="20"/>
                <w:szCs w:val="20"/>
                <w:lang w:val="es-GT" w:eastAsia="es-GT"/>
              </w:rPr>
              <w:t>-18.6%</w:t>
            </w:r>
          </w:p>
        </w:tc>
      </w:tr>
      <w:tr w:rsidR="00AD535C" w:rsidRPr="00E53001" w:rsidTr="00471AEC">
        <w:trPr>
          <w:trHeight w:val="310"/>
        </w:trPr>
        <w:tc>
          <w:tcPr>
            <w:tcW w:w="4616" w:type="dxa"/>
            <w:tcBorders>
              <w:top w:val="nil"/>
              <w:left w:val="nil"/>
              <w:bottom w:val="nil"/>
              <w:right w:val="nil"/>
            </w:tcBorders>
            <w:shd w:val="clear" w:color="000000" w:fill="FFFFFF"/>
            <w:noWrap/>
            <w:vAlign w:val="bottom"/>
            <w:hideMark/>
          </w:tcPr>
          <w:p w:rsidR="00AD535C" w:rsidRPr="00471AEC" w:rsidRDefault="00AD535C" w:rsidP="00F34EEA">
            <w:pPr>
              <w:rPr>
                <w:b/>
                <w:bCs/>
                <w:color w:val="000000"/>
                <w:sz w:val="20"/>
                <w:lang w:val="es-GT" w:eastAsia="es-GT"/>
              </w:rPr>
            </w:pPr>
            <w:r w:rsidRPr="00471AEC">
              <w:rPr>
                <w:b/>
                <w:bCs/>
                <w:color w:val="000000"/>
                <w:sz w:val="20"/>
                <w:lang w:val="es-GT" w:eastAsia="es-GT"/>
              </w:rPr>
              <w:t xml:space="preserve">Porcentaje de </w:t>
            </w:r>
            <w:r w:rsidR="00F34EEA">
              <w:rPr>
                <w:b/>
                <w:bCs/>
                <w:color w:val="000000"/>
                <w:sz w:val="20"/>
                <w:lang w:val="es-GT" w:eastAsia="es-GT"/>
              </w:rPr>
              <w:t>E</w:t>
            </w:r>
            <w:r w:rsidRPr="00471AEC">
              <w:rPr>
                <w:b/>
                <w:bCs/>
                <w:color w:val="000000"/>
                <w:sz w:val="20"/>
                <w:lang w:val="es-GT" w:eastAsia="es-GT"/>
              </w:rPr>
              <w:t xml:space="preserve">jecución </w:t>
            </w:r>
            <w:r w:rsidR="00F34EEA">
              <w:rPr>
                <w:b/>
                <w:bCs/>
                <w:color w:val="000000"/>
                <w:sz w:val="20"/>
                <w:lang w:val="es-GT" w:eastAsia="es-GT"/>
              </w:rPr>
              <w:t>P</w:t>
            </w:r>
            <w:r w:rsidRPr="00471AEC">
              <w:rPr>
                <w:b/>
                <w:bCs/>
                <w:color w:val="000000"/>
                <w:sz w:val="20"/>
                <w:lang w:val="es-GT" w:eastAsia="es-GT"/>
              </w:rPr>
              <w:t>resupuestaria</w:t>
            </w:r>
          </w:p>
        </w:tc>
        <w:tc>
          <w:tcPr>
            <w:tcW w:w="1134" w:type="dxa"/>
            <w:tcBorders>
              <w:top w:val="nil"/>
              <w:left w:val="nil"/>
              <w:bottom w:val="nil"/>
              <w:right w:val="nil"/>
            </w:tcBorders>
            <w:shd w:val="clear" w:color="000000" w:fill="FFFFFF"/>
            <w:noWrap/>
            <w:vAlign w:val="bottom"/>
            <w:hideMark/>
          </w:tcPr>
          <w:p w:rsidR="00AD535C" w:rsidRPr="00471AEC" w:rsidRDefault="00AD535C" w:rsidP="0025776C">
            <w:pPr>
              <w:jc w:val="right"/>
              <w:rPr>
                <w:b/>
                <w:bCs/>
                <w:color w:val="000000"/>
                <w:sz w:val="20"/>
                <w:lang w:val="es-GT" w:eastAsia="es-GT"/>
              </w:rPr>
            </w:pPr>
            <w:r w:rsidRPr="00471AEC">
              <w:rPr>
                <w:b/>
                <w:bCs/>
                <w:color w:val="000000"/>
                <w:sz w:val="20"/>
                <w:lang w:val="es-GT" w:eastAsia="es-GT"/>
              </w:rPr>
              <w:t>1.8%</w:t>
            </w:r>
          </w:p>
        </w:tc>
        <w:tc>
          <w:tcPr>
            <w:tcW w:w="1134" w:type="dxa"/>
            <w:tcBorders>
              <w:top w:val="nil"/>
              <w:left w:val="nil"/>
              <w:bottom w:val="nil"/>
              <w:right w:val="nil"/>
            </w:tcBorders>
            <w:shd w:val="clear" w:color="000000" w:fill="FFFFFF"/>
            <w:noWrap/>
            <w:vAlign w:val="bottom"/>
            <w:hideMark/>
          </w:tcPr>
          <w:p w:rsidR="00AD535C" w:rsidRPr="00471AEC" w:rsidRDefault="00AD535C" w:rsidP="0025776C">
            <w:pPr>
              <w:jc w:val="right"/>
              <w:rPr>
                <w:b/>
                <w:bCs/>
                <w:color w:val="000000"/>
                <w:sz w:val="20"/>
                <w:lang w:val="es-GT" w:eastAsia="es-GT"/>
              </w:rPr>
            </w:pPr>
            <w:r w:rsidRPr="00471AEC">
              <w:rPr>
                <w:b/>
                <w:bCs/>
                <w:color w:val="000000"/>
                <w:sz w:val="20"/>
                <w:lang w:val="es-GT" w:eastAsia="es-GT"/>
              </w:rPr>
              <w:t>1.2%</w:t>
            </w:r>
          </w:p>
        </w:tc>
        <w:tc>
          <w:tcPr>
            <w:tcW w:w="1134" w:type="dxa"/>
            <w:tcBorders>
              <w:top w:val="nil"/>
              <w:left w:val="nil"/>
              <w:bottom w:val="nil"/>
              <w:right w:val="nil"/>
            </w:tcBorders>
            <w:shd w:val="clear" w:color="000000" w:fill="FFFFFF"/>
            <w:noWrap/>
            <w:vAlign w:val="bottom"/>
            <w:hideMark/>
          </w:tcPr>
          <w:p w:rsidR="00AD535C" w:rsidRPr="00E53001" w:rsidRDefault="00AD535C" w:rsidP="0025776C">
            <w:pPr>
              <w:jc w:val="right"/>
              <w:rPr>
                <w:color w:val="000000"/>
                <w:lang w:val="es-GT" w:eastAsia="es-GT"/>
              </w:rPr>
            </w:pPr>
            <w:r w:rsidRPr="00E53001">
              <w:rPr>
                <w:color w:val="000000"/>
                <w:lang w:val="es-GT" w:eastAsia="es-GT"/>
              </w:rPr>
              <w:t> </w:t>
            </w:r>
          </w:p>
        </w:tc>
        <w:tc>
          <w:tcPr>
            <w:tcW w:w="1134" w:type="dxa"/>
            <w:tcBorders>
              <w:top w:val="nil"/>
              <w:left w:val="nil"/>
              <w:bottom w:val="nil"/>
              <w:right w:val="nil"/>
            </w:tcBorders>
            <w:shd w:val="clear" w:color="000000" w:fill="FFFFFF"/>
            <w:noWrap/>
            <w:vAlign w:val="bottom"/>
            <w:hideMark/>
          </w:tcPr>
          <w:p w:rsidR="00AD535C" w:rsidRPr="00E53001" w:rsidRDefault="00AD535C" w:rsidP="0025776C">
            <w:pPr>
              <w:jc w:val="right"/>
              <w:rPr>
                <w:color w:val="000000"/>
                <w:lang w:val="es-GT" w:eastAsia="es-GT"/>
              </w:rPr>
            </w:pPr>
            <w:r w:rsidRPr="00E53001">
              <w:rPr>
                <w:color w:val="000000"/>
                <w:lang w:val="es-GT" w:eastAsia="es-GT"/>
              </w:rPr>
              <w:t> </w:t>
            </w:r>
          </w:p>
        </w:tc>
      </w:tr>
    </w:tbl>
    <w:p w:rsidR="00AD535C" w:rsidRDefault="00AD535C" w:rsidP="00AD535C">
      <w:pPr>
        <w:jc w:val="both"/>
        <w:rPr>
          <w:sz w:val="18"/>
          <w:lang w:val="es-MX"/>
        </w:rPr>
      </w:pPr>
      <w:r w:rsidRPr="00CF5481">
        <w:rPr>
          <w:sz w:val="18"/>
          <w:lang w:val="es-MX"/>
        </w:rPr>
        <w:t>* Cifras preliminares.</w:t>
      </w:r>
    </w:p>
    <w:p w:rsidR="00AD535C" w:rsidRPr="00CF5481" w:rsidRDefault="00AD535C" w:rsidP="00AD535C">
      <w:pPr>
        <w:jc w:val="both"/>
        <w:rPr>
          <w:sz w:val="18"/>
          <w:lang w:val="es-MX"/>
        </w:rPr>
      </w:pPr>
      <w:r>
        <w:rPr>
          <w:sz w:val="18"/>
          <w:lang w:val="es-MX"/>
        </w:rPr>
        <w:t xml:space="preserve">    </w:t>
      </w:r>
      <w:r w:rsidRPr="00CF5481">
        <w:rPr>
          <w:sz w:val="18"/>
          <w:lang w:val="es-MX"/>
        </w:rPr>
        <w:t>Fuente: Ministerio de Finanzas Públicas con base al SICOIN.</w:t>
      </w:r>
    </w:p>
    <w:p w:rsidR="00AD535C" w:rsidRDefault="00AD535C" w:rsidP="00AD535C">
      <w:pPr>
        <w:jc w:val="both"/>
        <w:rPr>
          <w:sz w:val="18"/>
          <w:lang w:val="es-MX"/>
        </w:rPr>
      </w:pPr>
    </w:p>
    <w:p w:rsidR="0090134D" w:rsidRPr="0090134D" w:rsidRDefault="00AD535C" w:rsidP="00F073BE">
      <w:pPr>
        <w:keepNext/>
        <w:keepLines/>
        <w:numPr>
          <w:ilvl w:val="2"/>
          <w:numId w:val="3"/>
        </w:numPr>
        <w:spacing w:before="200"/>
        <w:outlineLvl w:val="2"/>
        <w:rPr>
          <w:b/>
          <w:bCs/>
          <w:lang w:val="es-MX"/>
        </w:rPr>
      </w:pPr>
      <w:bookmarkStart w:id="20" w:name="_Toc51925252"/>
      <w:r w:rsidRPr="00D86812">
        <w:rPr>
          <w:b/>
          <w:bCs/>
          <w:lang w:val="es-MX"/>
        </w:rPr>
        <w:t xml:space="preserve">Gasto Ejecutado </w:t>
      </w:r>
      <w:r>
        <w:rPr>
          <w:b/>
          <w:bCs/>
          <w:lang w:val="es-MX"/>
        </w:rPr>
        <w:t>por el</w:t>
      </w:r>
      <w:r w:rsidRPr="00D86812">
        <w:rPr>
          <w:b/>
          <w:bCs/>
          <w:lang w:val="es-MX"/>
        </w:rPr>
        <w:t xml:space="preserve"> Programa C</w:t>
      </w:r>
      <w:r w:rsidR="00821E0A">
        <w:rPr>
          <w:b/>
          <w:bCs/>
          <w:lang w:val="es-MX"/>
        </w:rPr>
        <w:t>ovid</w:t>
      </w:r>
      <w:r>
        <w:rPr>
          <w:b/>
          <w:bCs/>
          <w:lang w:val="es-MX"/>
        </w:rPr>
        <w:t>-</w:t>
      </w:r>
      <w:r w:rsidRPr="00D86812">
        <w:rPr>
          <w:b/>
          <w:bCs/>
          <w:lang w:val="es-MX"/>
        </w:rPr>
        <w:t>19</w:t>
      </w:r>
      <w:bookmarkEnd w:id="20"/>
    </w:p>
    <w:p w:rsidR="0090134D" w:rsidRDefault="0090134D" w:rsidP="0090134D">
      <w:pPr>
        <w:jc w:val="both"/>
        <w:rPr>
          <w:lang w:val="es-MX"/>
        </w:rPr>
      </w:pPr>
    </w:p>
    <w:p w:rsidR="00AD535C" w:rsidRDefault="00AD535C" w:rsidP="0090134D">
      <w:pPr>
        <w:jc w:val="both"/>
        <w:rPr>
          <w:lang w:val="es-MX"/>
        </w:rPr>
      </w:pPr>
      <w:r>
        <w:rPr>
          <w:lang w:val="es-MX"/>
        </w:rPr>
        <w:t>Al 30 de junio de 2020 e</w:t>
      </w:r>
      <w:r w:rsidRPr="00D86812">
        <w:rPr>
          <w:lang w:val="es-MX"/>
        </w:rPr>
        <w:t>l presupuesto vigente del Programa C</w:t>
      </w:r>
      <w:r w:rsidR="00B33CB7">
        <w:rPr>
          <w:lang w:val="es-MX"/>
        </w:rPr>
        <w:t>ovid-19</w:t>
      </w:r>
      <w:r w:rsidRPr="00D86812">
        <w:rPr>
          <w:lang w:val="es-MX"/>
        </w:rPr>
        <w:t xml:space="preserve"> es de Q.14,</w:t>
      </w:r>
      <w:r>
        <w:rPr>
          <w:lang w:val="es-MX"/>
        </w:rPr>
        <w:t>299.8</w:t>
      </w:r>
      <w:r w:rsidRPr="00D86812">
        <w:rPr>
          <w:lang w:val="es-MX"/>
        </w:rPr>
        <w:t xml:space="preserve"> millones, de los cuales se ha</w:t>
      </w:r>
      <w:r w:rsidR="00B33CB7">
        <w:rPr>
          <w:lang w:val="es-MX"/>
        </w:rPr>
        <w:t>n</w:t>
      </w:r>
      <w:r w:rsidRPr="00D86812">
        <w:rPr>
          <w:lang w:val="es-MX"/>
        </w:rPr>
        <w:t xml:space="preserve"> ejecutado Q.4,</w:t>
      </w:r>
      <w:r>
        <w:rPr>
          <w:lang w:val="es-MX"/>
        </w:rPr>
        <w:t>124.2</w:t>
      </w:r>
      <w:r w:rsidRPr="00D86812">
        <w:rPr>
          <w:lang w:val="es-MX"/>
        </w:rPr>
        <w:t xml:space="preserve"> millones, que equivale</w:t>
      </w:r>
      <w:r w:rsidR="00B33CB7">
        <w:rPr>
          <w:lang w:val="es-MX"/>
        </w:rPr>
        <w:t>n</w:t>
      </w:r>
      <w:r w:rsidRPr="00D86812">
        <w:rPr>
          <w:lang w:val="es-MX"/>
        </w:rPr>
        <w:t xml:space="preserve"> al </w:t>
      </w:r>
      <w:r>
        <w:rPr>
          <w:lang w:val="es-MX"/>
        </w:rPr>
        <w:t>28.8</w:t>
      </w:r>
      <w:r w:rsidRPr="00D86812">
        <w:rPr>
          <w:lang w:val="es-MX"/>
        </w:rPr>
        <w:t>%. Del monto vigente</w:t>
      </w:r>
      <w:r w:rsidR="00B33CB7">
        <w:rPr>
          <w:lang w:val="es-MX"/>
        </w:rPr>
        <w:t>,</w:t>
      </w:r>
      <w:r w:rsidRPr="00D86812">
        <w:rPr>
          <w:lang w:val="es-MX"/>
        </w:rPr>
        <w:t xml:space="preserve"> el 45.0% corresponde al Ministerio de Desarrollo Social, el 22.7% a las Obligaciones del Estado a Cargo del Tesoro, el 16.7% al Ministerio de Economía y el 11.5% al Ministerio de Salud</w:t>
      </w:r>
      <w:r>
        <w:rPr>
          <w:lang w:val="es-MX"/>
        </w:rPr>
        <w:t xml:space="preserve"> Pública y Asistencia Social.</w:t>
      </w:r>
    </w:p>
    <w:p w:rsidR="0090134D" w:rsidRDefault="0090134D" w:rsidP="0090134D">
      <w:pPr>
        <w:jc w:val="both"/>
        <w:rPr>
          <w:lang w:val="es-MX"/>
        </w:rPr>
      </w:pPr>
    </w:p>
    <w:p w:rsidR="00AD535C" w:rsidRPr="00D84096" w:rsidRDefault="00AD535C" w:rsidP="00AD535C">
      <w:pPr>
        <w:jc w:val="center"/>
        <w:rPr>
          <w:b/>
          <w:szCs w:val="22"/>
          <w:lang w:val="es-MX"/>
        </w:rPr>
      </w:pPr>
      <w:r w:rsidRPr="00D84096">
        <w:rPr>
          <w:b/>
          <w:szCs w:val="22"/>
          <w:lang w:val="es-MX"/>
        </w:rPr>
        <w:t>Cuadro 12</w:t>
      </w:r>
    </w:p>
    <w:p w:rsidR="00AD535C" w:rsidRPr="00D84096" w:rsidRDefault="00AD535C" w:rsidP="00AD535C">
      <w:pPr>
        <w:jc w:val="center"/>
        <w:rPr>
          <w:b/>
          <w:szCs w:val="22"/>
          <w:lang w:val="es-MX"/>
        </w:rPr>
      </w:pPr>
      <w:r w:rsidRPr="00D84096">
        <w:rPr>
          <w:b/>
          <w:szCs w:val="22"/>
          <w:lang w:val="es-MX"/>
        </w:rPr>
        <w:t>Programa de Emergencia C</w:t>
      </w:r>
      <w:r w:rsidR="00B33CB7" w:rsidRPr="00D84096">
        <w:rPr>
          <w:b/>
          <w:szCs w:val="22"/>
          <w:lang w:val="es-MX"/>
        </w:rPr>
        <w:t>ovid</w:t>
      </w:r>
      <w:r w:rsidRPr="00D84096">
        <w:rPr>
          <w:b/>
          <w:szCs w:val="22"/>
          <w:lang w:val="es-MX"/>
        </w:rPr>
        <w:t>-19</w:t>
      </w:r>
      <w:r w:rsidR="00A75101">
        <w:rPr>
          <w:b/>
          <w:szCs w:val="22"/>
          <w:lang w:val="es-MX"/>
        </w:rPr>
        <w:t xml:space="preserve"> por Entidad</w:t>
      </w:r>
    </w:p>
    <w:p w:rsidR="00AD535C" w:rsidRPr="00D84096" w:rsidRDefault="00AD535C" w:rsidP="00AD535C">
      <w:pPr>
        <w:jc w:val="center"/>
        <w:rPr>
          <w:b/>
          <w:szCs w:val="22"/>
          <w:lang w:val="es-MX"/>
        </w:rPr>
      </w:pPr>
      <w:r w:rsidRPr="00D84096">
        <w:rPr>
          <w:b/>
          <w:szCs w:val="22"/>
          <w:lang w:val="es-MX"/>
        </w:rPr>
        <w:t>Al 30 de junio de 2020</w:t>
      </w:r>
      <w:r w:rsidR="00B33CB7" w:rsidRPr="00D84096">
        <w:rPr>
          <w:b/>
          <w:szCs w:val="22"/>
          <w:lang w:val="es-MX"/>
        </w:rPr>
        <w:t>*</w:t>
      </w:r>
    </w:p>
    <w:p w:rsidR="00AD535C" w:rsidRPr="00D84096" w:rsidRDefault="00AD535C" w:rsidP="00AD535C">
      <w:pPr>
        <w:jc w:val="center"/>
        <w:rPr>
          <w:b/>
          <w:szCs w:val="22"/>
          <w:lang w:val="es-MX"/>
        </w:rPr>
      </w:pPr>
      <w:r w:rsidRPr="00D84096">
        <w:rPr>
          <w:b/>
          <w:szCs w:val="22"/>
          <w:lang w:val="es-MX"/>
        </w:rPr>
        <w:t>(Cifras en Millones de Quetzales)</w:t>
      </w:r>
    </w:p>
    <w:tbl>
      <w:tblPr>
        <w:tblW w:w="9189" w:type="dxa"/>
        <w:tblInd w:w="-10" w:type="dxa"/>
        <w:tblCellMar>
          <w:left w:w="70" w:type="dxa"/>
          <w:right w:w="70" w:type="dxa"/>
        </w:tblCellMar>
        <w:tblLook w:val="04A0" w:firstRow="1" w:lastRow="0" w:firstColumn="1" w:lastColumn="0" w:noHBand="0" w:noVBand="1"/>
      </w:tblPr>
      <w:tblGrid>
        <w:gridCol w:w="4191"/>
        <w:gridCol w:w="1276"/>
        <w:gridCol w:w="1276"/>
        <w:gridCol w:w="1275"/>
        <w:gridCol w:w="1171"/>
      </w:tblGrid>
      <w:tr w:rsidR="00AD535C" w:rsidRPr="005A297B" w:rsidTr="00B33CB7">
        <w:trPr>
          <w:trHeight w:val="580"/>
        </w:trPr>
        <w:tc>
          <w:tcPr>
            <w:tcW w:w="4191" w:type="dxa"/>
            <w:tcBorders>
              <w:top w:val="single" w:sz="8" w:space="0" w:color="auto"/>
              <w:left w:val="single" w:sz="8" w:space="0" w:color="auto"/>
              <w:bottom w:val="nil"/>
              <w:right w:val="single" w:sz="4" w:space="0" w:color="auto"/>
            </w:tcBorders>
            <w:shd w:val="clear" w:color="000000" w:fill="9BC2E6"/>
            <w:vAlign w:val="center"/>
            <w:hideMark/>
          </w:tcPr>
          <w:p w:rsidR="00AD535C" w:rsidRPr="00B33CB7" w:rsidRDefault="00AD535C" w:rsidP="00B33CB7">
            <w:pPr>
              <w:jc w:val="center"/>
              <w:rPr>
                <w:b/>
                <w:bCs/>
                <w:sz w:val="22"/>
                <w:lang w:val="es-GT" w:eastAsia="es-GT"/>
              </w:rPr>
            </w:pPr>
            <w:r w:rsidRPr="00B33CB7">
              <w:rPr>
                <w:b/>
                <w:bCs/>
                <w:sz w:val="22"/>
                <w:lang w:val="es-GT" w:eastAsia="es-GT"/>
              </w:rPr>
              <w:t>Entidad</w:t>
            </w:r>
          </w:p>
        </w:tc>
        <w:tc>
          <w:tcPr>
            <w:tcW w:w="1276" w:type="dxa"/>
            <w:tcBorders>
              <w:top w:val="single" w:sz="8" w:space="0" w:color="auto"/>
              <w:left w:val="nil"/>
              <w:bottom w:val="nil"/>
              <w:right w:val="single" w:sz="4" w:space="0" w:color="auto"/>
            </w:tcBorders>
            <w:shd w:val="clear" w:color="000000" w:fill="9BC2E6"/>
            <w:vAlign w:val="center"/>
            <w:hideMark/>
          </w:tcPr>
          <w:p w:rsidR="00AD535C" w:rsidRPr="00B33CB7" w:rsidRDefault="00AD535C" w:rsidP="0025776C">
            <w:pPr>
              <w:jc w:val="center"/>
              <w:rPr>
                <w:b/>
                <w:bCs/>
                <w:sz w:val="22"/>
                <w:lang w:val="es-GT" w:eastAsia="es-GT"/>
              </w:rPr>
            </w:pPr>
            <w:r w:rsidRPr="00B33CB7">
              <w:rPr>
                <w:b/>
                <w:bCs/>
                <w:sz w:val="22"/>
                <w:lang w:val="es-GT" w:eastAsia="es-GT"/>
              </w:rPr>
              <w:t>Vigente</w:t>
            </w:r>
          </w:p>
        </w:tc>
        <w:tc>
          <w:tcPr>
            <w:tcW w:w="1276" w:type="dxa"/>
            <w:tcBorders>
              <w:top w:val="single" w:sz="8" w:space="0" w:color="auto"/>
              <w:left w:val="nil"/>
              <w:bottom w:val="nil"/>
              <w:right w:val="single" w:sz="4" w:space="0" w:color="auto"/>
            </w:tcBorders>
            <w:shd w:val="clear" w:color="000000" w:fill="9BC2E6"/>
            <w:vAlign w:val="center"/>
            <w:hideMark/>
          </w:tcPr>
          <w:p w:rsidR="00AD535C" w:rsidRPr="00B33CB7" w:rsidRDefault="00AD535C" w:rsidP="0025776C">
            <w:pPr>
              <w:jc w:val="center"/>
              <w:rPr>
                <w:b/>
                <w:bCs/>
                <w:sz w:val="22"/>
                <w:lang w:val="es-GT" w:eastAsia="es-GT"/>
              </w:rPr>
            </w:pPr>
            <w:r w:rsidRPr="00B33CB7">
              <w:rPr>
                <w:b/>
                <w:bCs/>
                <w:sz w:val="22"/>
                <w:lang w:val="es-GT" w:eastAsia="es-GT"/>
              </w:rPr>
              <w:t>Ejecutado</w:t>
            </w:r>
          </w:p>
        </w:tc>
        <w:tc>
          <w:tcPr>
            <w:tcW w:w="1275" w:type="dxa"/>
            <w:tcBorders>
              <w:top w:val="single" w:sz="8" w:space="0" w:color="auto"/>
              <w:left w:val="nil"/>
              <w:bottom w:val="nil"/>
              <w:right w:val="single" w:sz="4" w:space="0" w:color="auto"/>
            </w:tcBorders>
            <w:shd w:val="clear" w:color="000000" w:fill="9BC2E6"/>
            <w:vAlign w:val="center"/>
            <w:hideMark/>
          </w:tcPr>
          <w:p w:rsidR="00AD535C" w:rsidRPr="00B33CB7" w:rsidRDefault="00AD535C" w:rsidP="0025776C">
            <w:pPr>
              <w:jc w:val="center"/>
              <w:rPr>
                <w:b/>
                <w:bCs/>
                <w:sz w:val="22"/>
                <w:lang w:val="es-GT" w:eastAsia="es-GT"/>
              </w:rPr>
            </w:pPr>
            <w:r w:rsidRPr="00B33CB7">
              <w:rPr>
                <w:b/>
                <w:bCs/>
                <w:sz w:val="22"/>
                <w:lang w:val="es-GT" w:eastAsia="es-GT"/>
              </w:rPr>
              <w:t>Saldo por Devengar</w:t>
            </w:r>
          </w:p>
        </w:tc>
        <w:tc>
          <w:tcPr>
            <w:tcW w:w="1171" w:type="dxa"/>
            <w:tcBorders>
              <w:top w:val="single" w:sz="8" w:space="0" w:color="auto"/>
              <w:left w:val="nil"/>
              <w:bottom w:val="nil"/>
              <w:right w:val="single" w:sz="8" w:space="0" w:color="auto"/>
            </w:tcBorders>
            <w:shd w:val="clear" w:color="000000" w:fill="9BC2E6"/>
            <w:vAlign w:val="center"/>
            <w:hideMark/>
          </w:tcPr>
          <w:p w:rsidR="00AD535C" w:rsidRPr="00B33CB7" w:rsidRDefault="00AD535C" w:rsidP="0025776C">
            <w:pPr>
              <w:jc w:val="center"/>
              <w:rPr>
                <w:b/>
                <w:bCs/>
                <w:sz w:val="22"/>
                <w:lang w:val="es-GT" w:eastAsia="es-GT"/>
              </w:rPr>
            </w:pPr>
            <w:r w:rsidRPr="00B33CB7">
              <w:rPr>
                <w:b/>
                <w:bCs/>
                <w:sz w:val="22"/>
                <w:lang w:val="es-GT" w:eastAsia="es-GT"/>
              </w:rPr>
              <w:t>% de Ejecución</w:t>
            </w:r>
          </w:p>
        </w:tc>
      </w:tr>
      <w:tr w:rsidR="00AD535C" w:rsidRPr="005A297B" w:rsidTr="00B33CB7">
        <w:trPr>
          <w:trHeight w:val="300"/>
        </w:trPr>
        <w:tc>
          <w:tcPr>
            <w:tcW w:w="4191" w:type="dxa"/>
            <w:tcBorders>
              <w:top w:val="single" w:sz="8" w:space="0" w:color="auto"/>
              <w:left w:val="single" w:sz="8" w:space="0" w:color="auto"/>
              <w:bottom w:val="nil"/>
              <w:right w:val="single" w:sz="4" w:space="0" w:color="auto"/>
            </w:tcBorders>
            <w:shd w:val="clear" w:color="auto" w:fill="auto"/>
            <w:noWrap/>
            <w:vAlign w:val="bottom"/>
            <w:hideMark/>
          </w:tcPr>
          <w:p w:rsidR="00AD535C" w:rsidRPr="00B33CB7" w:rsidRDefault="00AD535C" w:rsidP="0025776C">
            <w:pPr>
              <w:jc w:val="center"/>
              <w:rPr>
                <w:b/>
                <w:bCs/>
                <w:sz w:val="20"/>
                <w:szCs w:val="20"/>
                <w:lang w:val="es-GT" w:eastAsia="es-GT"/>
              </w:rPr>
            </w:pPr>
            <w:r w:rsidRPr="00B33CB7">
              <w:rPr>
                <w:b/>
                <w:bCs/>
                <w:sz w:val="20"/>
                <w:szCs w:val="20"/>
                <w:lang w:val="es-GT" w:eastAsia="es-GT"/>
              </w:rPr>
              <w:t>TOTAL</w:t>
            </w:r>
          </w:p>
        </w:tc>
        <w:tc>
          <w:tcPr>
            <w:tcW w:w="1276" w:type="dxa"/>
            <w:tcBorders>
              <w:top w:val="single" w:sz="8" w:space="0" w:color="auto"/>
              <w:left w:val="nil"/>
              <w:bottom w:val="nil"/>
              <w:right w:val="single" w:sz="4" w:space="0" w:color="auto"/>
            </w:tcBorders>
            <w:shd w:val="clear" w:color="auto" w:fill="auto"/>
            <w:noWrap/>
            <w:vAlign w:val="bottom"/>
            <w:hideMark/>
          </w:tcPr>
          <w:p w:rsidR="00AD535C" w:rsidRPr="00B33CB7" w:rsidRDefault="00AD535C" w:rsidP="00B33CB7">
            <w:pPr>
              <w:jc w:val="right"/>
              <w:rPr>
                <w:b/>
                <w:bCs/>
                <w:sz w:val="20"/>
                <w:szCs w:val="20"/>
                <w:lang w:val="es-GT" w:eastAsia="es-GT"/>
              </w:rPr>
            </w:pPr>
            <w:r w:rsidRPr="00B33CB7">
              <w:rPr>
                <w:b/>
                <w:bCs/>
                <w:sz w:val="20"/>
                <w:szCs w:val="20"/>
                <w:lang w:val="es-GT" w:eastAsia="es-GT"/>
              </w:rPr>
              <w:t>14,299.8</w:t>
            </w:r>
          </w:p>
        </w:tc>
        <w:tc>
          <w:tcPr>
            <w:tcW w:w="1276" w:type="dxa"/>
            <w:tcBorders>
              <w:top w:val="single" w:sz="8" w:space="0" w:color="auto"/>
              <w:left w:val="nil"/>
              <w:bottom w:val="nil"/>
              <w:right w:val="single" w:sz="4" w:space="0" w:color="auto"/>
            </w:tcBorders>
            <w:shd w:val="clear" w:color="auto" w:fill="auto"/>
            <w:noWrap/>
            <w:vAlign w:val="bottom"/>
            <w:hideMark/>
          </w:tcPr>
          <w:p w:rsidR="00AD535C" w:rsidRPr="00B33CB7" w:rsidRDefault="00AD535C" w:rsidP="00B33CB7">
            <w:pPr>
              <w:jc w:val="right"/>
              <w:rPr>
                <w:b/>
                <w:bCs/>
                <w:sz w:val="20"/>
                <w:szCs w:val="20"/>
                <w:lang w:val="es-GT" w:eastAsia="es-GT"/>
              </w:rPr>
            </w:pPr>
            <w:r w:rsidRPr="00B33CB7">
              <w:rPr>
                <w:b/>
                <w:bCs/>
                <w:sz w:val="20"/>
                <w:szCs w:val="20"/>
                <w:lang w:val="es-GT" w:eastAsia="es-GT"/>
              </w:rPr>
              <w:t>4,124.2</w:t>
            </w:r>
          </w:p>
        </w:tc>
        <w:tc>
          <w:tcPr>
            <w:tcW w:w="1275" w:type="dxa"/>
            <w:tcBorders>
              <w:top w:val="single" w:sz="8" w:space="0" w:color="auto"/>
              <w:left w:val="nil"/>
              <w:bottom w:val="nil"/>
              <w:right w:val="single" w:sz="4" w:space="0" w:color="auto"/>
            </w:tcBorders>
            <w:shd w:val="clear" w:color="auto" w:fill="auto"/>
            <w:noWrap/>
            <w:vAlign w:val="bottom"/>
            <w:hideMark/>
          </w:tcPr>
          <w:p w:rsidR="00AD535C" w:rsidRPr="00B33CB7" w:rsidRDefault="00AD535C" w:rsidP="00B33CB7">
            <w:pPr>
              <w:jc w:val="right"/>
              <w:rPr>
                <w:b/>
                <w:bCs/>
                <w:sz w:val="20"/>
                <w:szCs w:val="20"/>
                <w:lang w:val="es-GT" w:eastAsia="es-GT"/>
              </w:rPr>
            </w:pPr>
            <w:r w:rsidRPr="00B33CB7">
              <w:rPr>
                <w:b/>
                <w:bCs/>
                <w:sz w:val="20"/>
                <w:szCs w:val="20"/>
                <w:lang w:val="es-GT" w:eastAsia="es-GT"/>
              </w:rPr>
              <w:t>10,175.6</w:t>
            </w:r>
          </w:p>
        </w:tc>
        <w:tc>
          <w:tcPr>
            <w:tcW w:w="1171" w:type="dxa"/>
            <w:tcBorders>
              <w:top w:val="single" w:sz="8" w:space="0" w:color="auto"/>
              <w:left w:val="nil"/>
              <w:bottom w:val="nil"/>
              <w:right w:val="single" w:sz="8" w:space="0" w:color="auto"/>
            </w:tcBorders>
            <w:shd w:val="clear" w:color="auto" w:fill="auto"/>
            <w:noWrap/>
            <w:vAlign w:val="bottom"/>
            <w:hideMark/>
          </w:tcPr>
          <w:p w:rsidR="00AD535C" w:rsidRPr="00B33CB7" w:rsidRDefault="00AD535C" w:rsidP="00B33CB7">
            <w:pPr>
              <w:jc w:val="right"/>
              <w:rPr>
                <w:b/>
                <w:bCs/>
                <w:sz w:val="20"/>
                <w:szCs w:val="20"/>
                <w:lang w:val="es-GT" w:eastAsia="es-GT"/>
              </w:rPr>
            </w:pPr>
            <w:r w:rsidRPr="00B33CB7">
              <w:rPr>
                <w:b/>
                <w:bCs/>
                <w:sz w:val="20"/>
                <w:szCs w:val="20"/>
                <w:lang w:val="es-GT" w:eastAsia="es-GT"/>
              </w:rPr>
              <w:t>28.8%</w:t>
            </w:r>
          </w:p>
        </w:tc>
      </w:tr>
      <w:tr w:rsidR="00AD535C" w:rsidRPr="005A297B" w:rsidTr="00D84096">
        <w:trPr>
          <w:trHeight w:val="274"/>
        </w:trPr>
        <w:tc>
          <w:tcPr>
            <w:tcW w:w="4191" w:type="dxa"/>
            <w:tcBorders>
              <w:top w:val="nil"/>
              <w:left w:val="single" w:sz="8" w:space="0" w:color="auto"/>
              <w:bottom w:val="nil"/>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Relaciones Exteriores</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0.5</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0.3</w:t>
            </w:r>
          </w:p>
        </w:tc>
        <w:tc>
          <w:tcPr>
            <w:tcW w:w="1275"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0.2</w:t>
            </w:r>
          </w:p>
        </w:tc>
        <w:tc>
          <w:tcPr>
            <w:tcW w:w="1171" w:type="dxa"/>
            <w:tcBorders>
              <w:top w:val="nil"/>
              <w:left w:val="nil"/>
              <w:bottom w:val="nil"/>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56.0%</w:t>
            </w:r>
          </w:p>
        </w:tc>
      </w:tr>
      <w:tr w:rsidR="00AD535C" w:rsidRPr="005A297B" w:rsidTr="00B33CB7">
        <w:trPr>
          <w:trHeight w:val="310"/>
        </w:trPr>
        <w:tc>
          <w:tcPr>
            <w:tcW w:w="4191" w:type="dxa"/>
            <w:tcBorders>
              <w:top w:val="nil"/>
              <w:left w:val="single" w:sz="8" w:space="0" w:color="auto"/>
              <w:bottom w:val="nil"/>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Defensa Nacional</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3.2</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0.0</w:t>
            </w:r>
          </w:p>
        </w:tc>
        <w:tc>
          <w:tcPr>
            <w:tcW w:w="1275"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3.2</w:t>
            </w:r>
          </w:p>
        </w:tc>
        <w:tc>
          <w:tcPr>
            <w:tcW w:w="1171" w:type="dxa"/>
            <w:tcBorders>
              <w:top w:val="nil"/>
              <w:left w:val="nil"/>
              <w:bottom w:val="nil"/>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0.0%</w:t>
            </w:r>
          </w:p>
        </w:tc>
      </w:tr>
      <w:tr w:rsidR="00AD535C" w:rsidRPr="005A297B" w:rsidTr="00B33CB7">
        <w:trPr>
          <w:trHeight w:val="310"/>
        </w:trPr>
        <w:tc>
          <w:tcPr>
            <w:tcW w:w="4191" w:type="dxa"/>
            <w:tcBorders>
              <w:top w:val="nil"/>
              <w:left w:val="single" w:sz="8" w:space="0" w:color="auto"/>
              <w:bottom w:val="nil"/>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 xml:space="preserve">Educación </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22.5</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4.8</w:t>
            </w:r>
          </w:p>
        </w:tc>
        <w:tc>
          <w:tcPr>
            <w:tcW w:w="1275"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17.7</w:t>
            </w:r>
          </w:p>
        </w:tc>
        <w:tc>
          <w:tcPr>
            <w:tcW w:w="1171" w:type="dxa"/>
            <w:tcBorders>
              <w:top w:val="nil"/>
              <w:left w:val="nil"/>
              <w:bottom w:val="nil"/>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21.4%</w:t>
            </w:r>
          </w:p>
        </w:tc>
      </w:tr>
      <w:tr w:rsidR="00AD535C" w:rsidRPr="005A297B" w:rsidTr="00B33CB7">
        <w:trPr>
          <w:trHeight w:val="310"/>
        </w:trPr>
        <w:tc>
          <w:tcPr>
            <w:tcW w:w="4191" w:type="dxa"/>
            <w:tcBorders>
              <w:top w:val="nil"/>
              <w:left w:val="single" w:sz="8" w:space="0" w:color="auto"/>
              <w:bottom w:val="nil"/>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Salud Pública y Asistencia Social</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1,694.4</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136.2</w:t>
            </w:r>
          </w:p>
        </w:tc>
        <w:tc>
          <w:tcPr>
            <w:tcW w:w="1275"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1,558.2</w:t>
            </w:r>
          </w:p>
        </w:tc>
        <w:tc>
          <w:tcPr>
            <w:tcW w:w="1171" w:type="dxa"/>
            <w:tcBorders>
              <w:top w:val="nil"/>
              <w:left w:val="nil"/>
              <w:bottom w:val="nil"/>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8.0%</w:t>
            </w:r>
          </w:p>
        </w:tc>
      </w:tr>
      <w:tr w:rsidR="00AD535C" w:rsidRPr="005A297B" w:rsidTr="00B33CB7">
        <w:trPr>
          <w:trHeight w:val="310"/>
        </w:trPr>
        <w:tc>
          <w:tcPr>
            <w:tcW w:w="4191" w:type="dxa"/>
            <w:tcBorders>
              <w:top w:val="nil"/>
              <w:left w:val="single" w:sz="8" w:space="0" w:color="auto"/>
              <w:bottom w:val="nil"/>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Trabajo y Previsión Social</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50.0</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2.6</w:t>
            </w:r>
          </w:p>
        </w:tc>
        <w:tc>
          <w:tcPr>
            <w:tcW w:w="1275"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47.4</w:t>
            </w:r>
          </w:p>
        </w:tc>
        <w:tc>
          <w:tcPr>
            <w:tcW w:w="1171" w:type="dxa"/>
            <w:tcBorders>
              <w:top w:val="nil"/>
              <w:left w:val="nil"/>
              <w:bottom w:val="nil"/>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5.2%</w:t>
            </w:r>
          </w:p>
        </w:tc>
      </w:tr>
      <w:tr w:rsidR="00AD535C" w:rsidRPr="005A297B" w:rsidTr="00B33CB7">
        <w:trPr>
          <w:trHeight w:val="310"/>
        </w:trPr>
        <w:tc>
          <w:tcPr>
            <w:tcW w:w="4191" w:type="dxa"/>
            <w:tcBorders>
              <w:top w:val="nil"/>
              <w:left w:val="single" w:sz="8" w:space="0" w:color="auto"/>
              <w:bottom w:val="nil"/>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Economía</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2,401.0</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506.5</w:t>
            </w:r>
          </w:p>
        </w:tc>
        <w:tc>
          <w:tcPr>
            <w:tcW w:w="1275"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1,894.5</w:t>
            </w:r>
          </w:p>
        </w:tc>
        <w:tc>
          <w:tcPr>
            <w:tcW w:w="1171" w:type="dxa"/>
            <w:tcBorders>
              <w:top w:val="nil"/>
              <w:left w:val="nil"/>
              <w:bottom w:val="nil"/>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21.1%</w:t>
            </w:r>
          </w:p>
        </w:tc>
      </w:tr>
      <w:tr w:rsidR="00AD535C" w:rsidRPr="005A297B" w:rsidTr="00B33CB7">
        <w:trPr>
          <w:trHeight w:val="310"/>
        </w:trPr>
        <w:tc>
          <w:tcPr>
            <w:tcW w:w="4191" w:type="dxa"/>
            <w:tcBorders>
              <w:top w:val="nil"/>
              <w:left w:val="single" w:sz="8" w:space="0" w:color="auto"/>
              <w:bottom w:val="nil"/>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Agricultura, Ganadería y Alimentación</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401.3</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0.0</w:t>
            </w:r>
          </w:p>
        </w:tc>
        <w:tc>
          <w:tcPr>
            <w:tcW w:w="1275"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401.3</w:t>
            </w:r>
          </w:p>
        </w:tc>
        <w:tc>
          <w:tcPr>
            <w:tcW w:w="1171" w:type="dxa"/>
            <w:tcBorders>
              <w:top w:val="nil"/>
              <w:left w:val="nil"/>
              <w:bottom w:val="nil"/>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0.0%</w:t>
            </w:r>
          </w:p>
        </w:tc>
      </w:tr>
      <w:tr w:rsidR="00AD535C" w:rsidRPr="005A297B" w:rsidTr="00B33CB7">
        <w:trPr>
          <w:trHeight w:val="310"/>
        </w:trPr>
        <w:tc>
          <w:tcPr>
            <w:tcW w:w="4191" w:type="dxa"/>
            <w:tcBorders>
              <w:top w:val="nil"/>
              <w:left w:val="single" w:sz="8" w:space="0" w:color="auto"/>
              <w:bottom w:val="nil"/>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Secretarías y Otras Dependencias del Ejecutivo</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12.8</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2.9</w:t>
            </w:r>
          </w:p>
        </w:tc>
        <w:tc>
          <w:tcPr>
            <w:tcW w:w="1275"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9.8</w:t>
            </w:r>
          </w:p>
        </w:tc>
        <w:tc>
          <w:tcPr>
            <w:tcW w:w="1171" w:type="dxa"/>
            <w:tcBorders>
              <w:top w:val="nil"/>
              <w:left w:val="nil"/>
              <w:bottom w:val="nil"/>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22.9%</w:t>
            </w:r>
          </w:p>
        </w:tc>
      </w:tr>
      <w:tr w:rsidR="00AD535C" w:rsidRPr="005A297B" w:rsidTr="00B33CB7">
        <w:trPr>
          <w:trHeight w:val="310"/>
        </w:trPr>
        <w:tc>
          <w:tcPr>
            <w:tcW w:w="4191" w:type="dxa"/>
            <w:tcBorders>
              <w:top w:val="nil"/>
              <w:left w:val="single" w:sz="8" w:space="0" w:color="auto"/>
              <w:bottom w:val="nil"/>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Obligaciones del Estado a Cargo del Tesoro</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3,250.0</w:t>
            </w:r>
          </w:p>
        </w:tc>
        <w:tc>
          <w:tcPr>
            <w:tcW w:w="1276"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1,720.0</w:t>
            </w:r>
          </w:p>
        </w:tc>
        <w:tc>
          <w:tcPr>
            <w:tcW w:w="1275" w:type="dxa"/>
            <w:tcBorders>
              <w:top w:val="nil"/>
              <w:left w:val="nil"/>
              <w:bottom w:val="nil"/>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1,530.0</w:t>
            </w:r>
          </w:p>
        </w:tc>
        <w:tc>
          <w:tcPr>
            <w:tcW w:w="1171" w:type="dxa"/>
            <w:tcBorders>
              <w:top w:val="nil"/>
              <w:left w:val="nil"/>
              <w:bottom w:val="nil"/>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52.9%</w:t>
            </w:r>
          </w:p>
        </w:tc>
      </w:tr>
      <w:tr w:rsidR="00AD535C" w:rsidRPr="005A297B" w:rsidTr="00B33CB7">
        <w:trPr>
          <w:trHeight w:val="320"/>
        </w:trPr>
        <w:tc>
          <w:tcPr>
            <w:tcW w:w="4191" w:type="dxa"/>
            <w:tcBorders>
              <w:top w:val="nil"/>
              <w:left w:val="single" w:sz="8" w:space="0" w:color="auto"/>
              <w:bottom w:val="single" w:sz="8" w:space="0" w:color="auto"/>
              <w:right w:val="single" w:sz="4" w:space="0" w:color="auto"/>
            </w:tcBorders>
            <w:shd w:val="clear" w:color="auto" w:fill="auto"/>
            <w:noWrap/>
            <w:vAlign w:val="bottom"/>
            <w:hideMark/>
          </w:tcPr>
          <w:p w:rsidR="00AD535C" w:rsidRPr="00B33CB7" w:rsidRDefault="00AD535C" w:rsidP="0025776C">
            <w:pPr>
              <w:rPr>
                <w:sz w:val="20"/>
                <w:szCs w:val="20"/>
                <w:lang w:val="es-GT" w:eastAsia="es-GT"/>
              </w:rPr>
            </w:pPr>
            <w:r w:rsidRPr="00B33CB7">
              <w:rPr>
                <w:sz w:val="20"/>
                <w:szCs w:val="20"/>
                <w:lang w:val="es-GT" w:eastAsia="es-GT"/>
              </w:rPr>
              <w:t>Desarrollo Social</w:t>
            </w:r>
          </w:p>
        </w:tc>
        <w:tc>
          <w:tcPr>
            <w:tcW w:w="1276" w:type="dxa"/>
            <w:tcBorders>
              <w:top w:val="nil"/>
              <w:left w:val="nil"/>
              <w:bottom w:val="single" w:sz="8" w:space="0" w:color="auto"/>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6,464.1</w:t>
            </w:r>
          </w:p>
        </w:tc>
        <w:tc>
          <w:tcPr>
            <w:tcW w:w="1276" w:type="dxa"/>
            <w:tcBorders>
              <w:top w:val="nil"/>
              <w:left w:val="nil"/>
              <w:bottom w:val="single" w:sz="8" w:space="0" w:color="auto"/>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1,750.9</w:t>
            </w:r>
          </w:p>
        </w:tc>
        <w:tc>
          <w:tcPr>
            <w:tcW w:w="1275" w:type="dxa"/>
            <w:tcBorders>
              <w:top w:val="nil"/>
              <w:left w:val="nil"/>
              <w:bottom w:val="single" w:sz="8" w:space="0" w:color="auto"/>
              <w:right w:val="single" w:sz="4"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4,713.2</w:t>
            </w:r>
          </w:p>
        </w:tc>
        <w:tc>
          <w:tcPr>
            <w:tcW w:w="1171" w:type="dxa"/>
            <w:tcBorders>
              <w:top w:val="nil"/>
              <w:left w:val="nil"/>
              <w:bottom w:val="single" w:sz="8" w:space="0" w:color="auto"/>
              <w:right w:val="single" w:sz="8" w:space="0" w:color="auto"/>
            </w:tcBorders>
            <w:shd w:val="clear" w:color="auto" w:fill="auto"/>
            <w:noWrap/>
            <w:vAlign w:val="bottom"/>
            <w:hideMark/>
          </w:tcPr>
          <w:p w:rsidR="00AD535C" w:rsidRPr="00B33CB7" w:rsidRDefault="00AD535C" w:rsidP="00B33CB7">
            <w:pPr>
              <w:jc w:val="right"/>
              <w:rPr>
                <w:sz w:val="20"/>
                <w:szCs w:val="20"/>
                <w:lang w:val="es-GT" w:eastAsia="es-GT"/>
              </w:rPr>
            </w:pPr>
            <w:r w:rsidRPr="00B33CB7">
              <w:rPr>
                <w:sz w:val="20"/>
                <w:szCs w:val="20"/>
                <w:lang w:val="es-GT" w:eastAsia="es-GT"/>
              </w:rPr>
              <w:t>27.1%</w:t>
            </w:r>
          </w:p>
        </w:tc>
      </w:tr>
    </w:tbl>
    <w:p w:rsidR="00B33CB7" w:rsidRDefault="00B33CB7" w:rsidP="00B33CB7">
      <w:pPr>
        <w:jc w:val="both"/>
        <w:rPr>
          <w:sz w:val="18"/>
          <w:lang w:val="es-MX"/>
        </w:rPr>
      </w:pPr>
      <w:r w:rsidRPr="00CF5481">
        <w:rPr>
          <w:sz w:val="18"/>
          <w:lang w:val="es-MX"/>
        </w:rPr>
        <w:t>* Cifras preliminares.</w:t>
      </w:r>
    </w:p>
    <w:p w:rsidR="00B33CB7" w:rsidRPr="00CF5481" w:rsidRDefault="00B33CB7" w:rsidP="00B33CB7">
      <w:pPr>
        <w:jc w:val="both"/>
        <w:rPr>
          <w:sz w:val="18"/>
          <w:lang w:val="es-MX"/>
        </w:rPr>
      </w:pPr>
      <w:r>
        <w:rPr>
          <w:sz w:val="18"/>
          <w:lang w:val="es-MX"/>
        </w:rPr>
        <w:t xml:space="preserve">    </w:t>
      </w:r>
      <w:r w:rsidRPr="00CF5481">
        <w:rPr>
          <w:sz w:val="18"/>
          <w:lang w:val="es-MX"/>
        </w:rPr>
        <w:t>Fuente: Ministerio de Finanzas Públicas con base al SICOIN.</w:t>
      </w:r>
    </w:p>
    <w:p w:rsidR="00AD535C" w:rsidRDefault="00AD535C" w:rsidP="00AD535C">
      <w:pPr>
        <w:jc w:val="both"/>
        <w:rPr>
          <w:sz w:val="18"/>
          <w:lang w:val="es-MX"/>
        </w:rPr>
      </w:pPr>
    </w:p>
    <w:p w:rsidR="0066150D" w:rsidRDefault="0066150D" w:rsidP="00AD535C">
      <w:pPr>
        <w:jc w:val="both"/>
        <w:rPr>
          <w:lang w:val="es-GT"/>
        </w:rPr>
      </w:pPr>
    </w:p>
    <w:p w:rsidR="00AD535C" w:rsidRDefault="00AD535C" w:rsidP="00AD535C">
      <w:pPr>
        <w:jc w:val="both"/>
        <w:rPr>
          <w:lang w:val="es-GT"/>
        </w:rPr>
      </w:pPr>
      <w:r>
        <w:rPr>
          <w:lang w:val="es-GT"/>
        </w:rPr>
        <w:t>Al 30 de junio de 2020 de la ejecución total de Q.4,124.</w:t>
      </w:r>
      <w:r w:rsidR="00157F62">
        <w:rPr>
          <w:lang w:val="es-GT"/>
        </w:rPr>
        <w:t>2</w:t>
      </w:r>
      <w:r>
        <w:rPr>
          <w:lang w:val="es-GT"/>
        </w:rPr>
        <w:t xml:space="preserve"> millones, las entidades de mayor ejecución son: Obligaciones </w:t>
      </w:r>
      <w:r w:rsidR="00157F62">
        <w:rPr>
          <w:lang w:val="es-GT"/>
        </w:rPr>
        <w:t xml:space="preserve">del Estado </w:t>
      </w:r>
      <w:r>
        <w:rPr>
          <w:lang w:val="es-GT"/>
        </w:rPr>
        <w:t xml:space="preserve">a cargo del Tesoro con Q.1,720.0 millones; </w:t>
      </w:r>
      <w:r w:rsidR="00157F62">
        <w:rPr>
          <w:lang w:val="es-GT"/>
        </w:rPr>
        <w:t xml:space="preserve">el Ministerio de Desarrollo Social </w:t>
      </w:r>
      <w:r>
        <w:rPr>
          <w:lang w:val="es-GT"/>
        </w:rPr>
        <w:t>con Q.1,7</w:t>
      </w:r>
      <w:r w:rsidR="00157F62">
        <w:rPr>
          <w:lang w:val="es-GT"/>
        </w:rPr>
        <w:t>50.9</w:t>
      </w:r>
      <w:r>
        <w:rPr>
          <w:lang w:val="es-GT"/>
        </w:rPr>
        <w:t xml:space="preserve"> millones; el Ministerio de Economía con Q.506.5 millones y el Ministerio de Salud </w:t>
      </w:r>
      <w:r w:rsidR="00157F62">
        <w:rPr>
          <w:lang w:val="es-GT"/>
        </w:rPr>
        <w:t xml:space="preserve">Pública y Asistencia Social </w:t>
      </w:r>
      <w:r>
        <w:rPr>
          <w:lang w:val="es-GT"/>
        </w:rPr>
        <w:t>con Q.136.2 millones.</w:t>
      </w:r>
    </w:p>
    <w:p w:rsidR="00AD535C" w:rsidRDefault="00AD535C" w:rsidP="00AD535C">
      <w:pPr>
        <w:jc w:val="both"/>
        <w:rPr>
          <w:b/>
          <w:bCs/>
          <w:lang w:val="es-GT"/>
        </w:rPr>
      </w:pPr>
    </w:p>
    <w:p w:rsidR="00157F62" w:rsidRDefault="00157F62" w:rsidP="00AD535C">
      <w:pPr>
        <w:jc w:val="both"/>
        <w:rPr>
          <w:b/>
          <w:bCs/>
          <w:lang w:val="es-GT"/>
        </w:rPr>
      </w:pPr>
    </w:p>
    <w:p w:rsidR="00F34EEA" w:rsidRPr="00157F62" w:rsidRDefault="00F34EEA" w:rsidP="00AD535C">
      <w:pPr>
        <w:jc w:val="both"/>
        <w:rPr>
          <w:b/>
          <w:bCs/>
          <w:lang w:val="es-GT"/>
        </w:rPr>
      </w:pPr>
    </w:p>
    <w:p w:rsidR="00AD535C" w:rsidRDefault="00AD535C" w:rsidP="00AD535C">
      <w:pPr>
        <w:jc w:val="both"/>
        <w:rPr>
          <w:b/>
          <w:bCs/>
        </w:rPr>
      </w:pPr>
      <w:r>
        <w:rPr>
          <w:b/>
          <w:bCs/>
        </w:rPr>
        <w:t>P</w:t>
      </w:r>
      <w:r w:rsidRPr="00B74EF9">
        <w:rPr>
          <w:b/>
          <w:bCs/>
        </w:rPr>
        <w:t>rincipales rubros de ejecución de los fondos asignados al Programa C</w:t>
      </w:r>
      <w:r w:rsidR="00157F62">
        <w:rPr>
          <w:b/>
          <w:bCs/>
        </w:rPr>
        <w:t>ovid</w:t>
      </w:r>
      <w:r w:rsidRPr="00B74EF9">
        <w:rPr>
          <w:b/>
          <w:bCs/>
        </w:rPr>
        <w:t>-19</w:t>
      </w:r>
    </w:p>
    <w:p w:rsidR="00AD535C" w:rsidRPr="00157F62" w:rsidRDefault="00AD535C" w:rsidP="00AD535C">
      <w:pPr>
        <w:jc w:val="both"/>
      </w:pPr>
    </w:p>
    <w:p w:rsidR="00AD535C" w:rsidRDefault="00AD535C" w:rsidP="00AD535C">
      <w:pPr>
        <w:jc w:val="both"/>
        <w:rPr>
          <w:b/>
          <w:bCs/>
        </w:rPr>
      </w:pPr>
      <w:r w:rsidRPr="00B74EF9">
        <w:rPr>
          <w:b/>
          <w:bCs/>
        </w:rPr>
        <w:t>Ministerio de Salud</w:t>
      </w:r>
      <w:r w:rsidR="00157F62">
        <w:rPr>
          <w:b/>
          <w:bCs/>
        </w:rPr>
        <w:t xml:space="preserve"> Pública y Asistencia Social</w:t>
      </w:r>
      <w:r w:rsidRPr="00B74EF9">
        <w:rPr>
          <w:b/>
          <w:bCs/>
        </w:rPr>
        <w:t>:</w:t>
      </w:r>
    </w:p>
    <w:p w:rsidR="0066150D" w:rsidRPr="00B74EF9" w:rsidRDefault="0066150D" w:rsidP="00AD535C">
      <w:pPr>
        <w:jc w:val="both"/>
        <w:rPr>
          <w:lang w:val="es-GT"/>
        </w:rPr>
      </w:pPr>
    </w:p>
    <w:p w:rsidR="00AD535C" w:rsidRDefault="00AD535C" w:rsidP="00AD535C">
      <w:pPr>
        <w:jc w:val="both"/>
      </w:pPr>
      <w:r w:rsidRPr="00B74EF9">
        <w:t xml:space="preserve">Los rubros más significativos </w:t>
      </w:r>
      <w:r w:rsidR="00157F62">
        <w:t>del</w:t>
      </w:r>
      <w:r w:rsidRPr="00B74EF9">
        <w:t xml:space="preserve"> presupuesto vigente son: </w:t>
      </w:r>
      <w:r w:rsidR="00157F62">
        <w:t>s</w:t>
      </w:r>
      <w:r w:rsidRPr="00B74EF9">
        <w:t xml:space="preserve">ervicios </w:t>
      </w:r>
      <w:r w:rsidR="00157F62">
        <w:t>mé</w:t>
      </w:r>
      <w:r w:rsidRPr="00B74EF9">
        <w:t>dico-sanitarios con Q.1</w:t>
      </w:r>
      <w:r>
        <w:t>18.9</w:t>
      </w:r>
      <w:r w:rsidRPr="00B74EF9">
        <w:t xml:space="preserve"> millones; elementos y </w:t>
      </w:r>
      <w:r w:rsidR="00157F62">
        <w:t>c</w:t>
      </w:r>
      <w:r w:rsidRPr="00B74EF9">
        <w:t xml:space="preserve">ompuestos </w:t>
      </w:r>
      <w:r w:rsidR="00157F62">
        <w:t>q</w:t>
      </w:r>
      <w:r w:rsidRPr="00B74EF9">
        <w:t>uímicos con Q.3</w:t>
      </w:r>
      <w:r>
        <w:t>97.5</w:t>
      </w:r>
      <w:r w:rsidRPr="00B74EF9">
        <w:t xml:space="preserve"> millones; </w:t>
      </w:r>
      <w:r w:rsidR="00157F62">
        <w:t>p</w:t>
      </w:r>
      <w:r w:rsidRPr="00B74EF9">
        <w:t xml:space="preserve">roductos </w:t>
      </w:r>
      <w:r w:rsidR="00157F62">
        <w:t>m</w:t>
      </w:r>
      <w:r w:rsidRPr="00B74EF9">
        <w:t xml:space="preserve">edicinales y </w:t>
      </w:r>
      <w:r w:rsidR="00157F62">
        <w:t>f</w:t>
      </w:r>
      <w:r w:rsidRPr="00B74EF9">
        <w:t>armacéuticos con Q.</w:t>
      </w:r>
      <w:r>
        <w:t>323.3</w:t>
      </w:r>
      <w:r w:rsidRPr="00B74EF9">
        <w:t xml:space="preserve"> millones; </w:t>
      </w:r>
      <w:r w:rsidR="00157F62">
        <w:t>s</w:t>
      </w:r>
      <w:r w:rsidRPr="00B74EF9">
        <w:rPr>
          <w:lang w:val="es-GT"/>
        </w:rPr>
        <w:t>uministro</w:t>
      </w:r>
      <w:r w:rsidR="00157F62">
        <w:rPr>
          <w:lang w:val="es-GT"/>
        </w:rPr>
        <w:t>s</w:t>
      </w:r>
      <w:r w:rsidRPr="00B74EF9">
        <w:rPr>
          <w:lang w:val="es-GT"/>
        </w:rPr>
        <w:t xml:space="preserve"> e </w:t>
      </w:r>
      <w:r w:rsidR="00157F62">
        <w:rPr>
          <w:lang w:val="es-GT"/>
        </w:rPr>
        <w:t>i</w:t>
      </w:r>
      <w:r w:rsidRPr="00B74EF9">
        <w:rPr>
          <w:lang w:val="es-GT"/>
        </w:rPr>
        <w:t xml:space="preserve">nstrumental </w:t>
      </w:r>
      <w:r w:rsidR="00157F62">
        <w:rPr>
          <w:lang w:val="es-GT"/>
        </w:rPr>
        <w:t>mé</w:t>
      </w:r>
      <w:r w:rsidRPr="00B74EF9">
        <w:rPr>
          <w:lang w:val="es-GT"/>
        </w:rPr>
        <w:t>dico-</w:t>
      </w:r>
      <w:r w:rsidR="00157F62">
        <w:rPr>
          <w:lang w:val="es-GT"/>
        </w:rPr>
        <w:t>q</w:t>
      </w:r>
      <w:r w:rsidRPr="00B74EF9">
        <w:rPr>
          <w:lang w:val="es-GT"/>
        </w:rPr>
        <w:t xml:space="preserve">uirúrgico de Laboratorio y </w:t>
      </w:r>
      <w:r w:rsidR="00157F62">
        <w:rPr>
          <w:lang w:val="es-GT"/>
        </w:rPr>
        <w:t>c</w:t>
      </w:r>
      <w:r w:rsidRPr="00B74EF9">
        <w:rPr>
          <w:lang w:val="es-GT"/>
        </w:rPr>
        <w:t xml:space="preserve">uidado de la </w:t>
      </w:r>
      <w:r w:rsidR="00157F62">
        <w:rPr>
          <w:lang w:val="es-GT"/>
        </w:rPr>
        <w:t>s</w:t>
      </w:r>
      <w:r w:rsidRPr="00B74EF9">
        <w:rPr>
          <w:lang w:val="es-GT"/>
        </w:rPr>
        <w:t>alud con Q.39</w:t>
      </w:r>
      <w:r>
        <w:rPr>
          <w:lang w:val="es-GT"/>
        </w:rPr>
        <w:t>4.0</w:t>
      </w:r>
      <w:r w:rsidRPr="00B74EF9">
        <w:rPr>
          <w:lang w:val="es-GT"/>
        </w:rPr>
        <w:t xml:space="preserve"> millones</w:t>
      </w:r>
      <w:r w:rsidR="00157F62">
        <w:rPr>
          <w:lang w:val="es-GT"/>
        </w:rPr>
        <w:t>;</w:t>
      </w:r>
      <w:r w:rsidRPr="00B74EF9">
        <w:rPr>
          <w:lang w:val="es-GT"/>
        </w:rPr>
        <w:t xml:space="preserve"> y </w:t>
      </w:r>
      <w:r w:rsidR="00157F62">
        <w:rPr>
          <w:lang w:val="es-GT"/>
        </w:rPr>
        <w:t>m</w:t>
      </w:r>
      <w:r w:rsidRPr="00B74EF9">
        <w:t xml:space="preserve">obiliario y </w:t>
      </w:r>
      <w:r w:rsidR="00157F62">
        <w:t>e</w:t>
      </w:r>
      <w:r w:rsidRPr="00B74EF9">
        <w:t xml:space="preserve">quipo </w:t>
      </w:r>
      <w:r w:rsidR="00157F62">
        <w:t>m</w:t>
      </w:r>
      <w:r w:rsidRPr="00B74EF9">
        <w:t>édico-</w:t>
      </w:r>
      <w:r w:rsidR="00157F62">
        <w:t>s</w:t>
      </w:r>
      <w:r w:rsidRPr="00B74EF9">
        <w:t xml:space="preserve">anitario y de </w:t>
      </w:r>
      <w:r w:rsidR="00157F62">
        <w:t>l</w:t>
      </w:r>
      <w:r w:rsidRPr="00B74EF9">
        <w:t>aboratorio con Q.</w:t>
      </w:r>
      <w:r>
        <w:t>291.5</w:t>
      </w:r>
      <w:r w:rsidRPr="00B74EF9">
        <w:t xml:space="preserve"> millones.</w:t>
      </w:r>
    </w:p>
    <w:p w:rsidR="00157F62" w:rsidRPr="00B74EF9" w:rsidRDefault="00157F62" w:rsidP="00AD535C">
      <w:pPr>
        <w:jc w:val="both"/>
        <w:rPr>
          <w:lang w:val="es-GT"/>
        </w:rPr>
      </w:pPr>
    </w:p>
    <w:p w:rsidR="00AD535C" w:rsidRDefault="00AD535C" w:rsidP="00AD535C">
      <w:pPr>
        <w:jc w:val="both"/>
        <w:rPr>
          <w:b/>
          <w:bCs/>
        </w:rPr>
      </w:pPr>
      <w:r w:rsidRPr="00B74EF9">
        <w:rPr>
          <w:b/>
          <w:bCs/>
        </w:rPr>
        <w:t>Ministerio de Economía:</w:t>
      </w:r>
    </w:p>
    <w:p w:rsidR="0066150D" w:rsidRPr="00B74EF9" w:rsidRDefault="0066150D" w:rsidP="00AD535C">
      <w:pPr>
        <w:jc w:val="both"/>
        <w:rPr>
          <w:lang w:val="es-GT"/>
        </w:rPr>
      </w:pPr>
    </w:p>
    <w:p w:rsidR="00AD535C" w:rsidRDefault="00AD535C" w:rsidP="00AD535C">
      <w:pPr>
        <w:jc w:val="both"/>
      </w:pPr>
      <w:r w:rsidRPr="00B74EF9">
        <w:t xml:space="preserve">Los rubros más significativos </w:t>
      </w:r>
      <w:r w:rsidR="00157F62">
        <w:t>del</w:t>
      </w:r>
      <w:r w:rsidRPr="00B74EF9">
        <w:t xml:space="preserve"> el presupuesto vigente son: Fondo de Protección al Empleo con Q.2,000.0 millones; Fideicomiso a la Micro, Pequeña y Mediana Empresa con Q.400.0 millones.</w:t>
      </w:r>
    </w:p>
    <w:p w:rsidR="00157F62" w:rsidRPr="00B74EF9" w:rsidRDefault="00157F62" w:rsidP="00AD535C">
      <w:pPr>
        <w:jc w:val="both"/>
        <w:rPr>
          <w:lang w:val="es-GT"/>
        </w:rPr>
      </w:pPr>
    </w:p>
    <w:p w:rsidR="00AD535C" w:rsidRDefault="00AD535C" w:rsidP="00AD535C">
      <w:pPr>
        <w:jc w:val="both"/>
        <w:rPr>
          <w:b/>
          <w:bCs/>
        </w:rPr>
      </w:pPr>
      <w:r w:rsidRPr="00B74EF9">
        <w:rPr>
          <w:b/>
          <w:bCs/>
        </w:rPr>
        <w:t>Ministerio de Agricultura</w:t>
      </w:r>
      <w:r w:rsidR="00157F62">
        <w:rPr>
          <w:b/>
          <w:bCs/>
        </w:rPr>
        <w:t>, Ganadería y Alimentación:</w:t>
      </w:r>
    </w:p>
    <w:p w:rsidR="0066150D" w:rsidRPr="00B74EF9" w:rsidRDefault="0066150D" w:rsidP="00AD535C">
      <w:pPr>
        <w:jc w:val="both"/>
        <w:rPr>
          <w:lang w:val="es-GT"/>
        </w:rPr>
      </w:pPr>
    </w:p>
    <w:p w:rsidR="00AD535C" w:rsidRDefault="00AD535C" w:rsidP="00AD535C">
      <w:pPr>
        <w:jc w:val="both"/>
      </w:pPr>
      <w:r w:rsidRPr="00B74EF9">
        <w:t xml:space="preserve">Los rubros más significativos </w:t>
      </w:r>
      <w:r w:rsidR="00157F62">
        <w:t>del</w:t>
      </w:r>
      <w:r w:rsidRPr="00B74EF9">
        <w:t xml:space="preserve"> presupuesto vigente son: Bolsa de Alimentos con Q.350.0 millones</w:t>
      </w:r>
      <w:r>
        <w:t xml:space="preserve"> y otros materiales y </w:t>
      </w:r>
      <w:r w:rsidR="00157F62">
        <w:t>s</w:t>
      </w:r>
      <w:r>
        <w:t>uministros con Q.50.0 millones.</w:t>
      </w:r>
    </w:p>
    <w:p w:rsidR="00157F62" w:rsidRPr="00B74EF9" w:rsidRDefault="00157F62" w:rsidP="00AD535C">
      <w:pPr>
        <w:jc w:val="both"/>
        <w:rPr>
          <w:lang w:val="es-GT"/>
        </w:rPr>
      </w:pPr>
    </w:p>
    <w:p w:rsidR="00AD535C" w:rsidRDefault="00AD535C" w:rsidP="00AD535C">
      <w:pPr>
        <w:jc w:val="both"/>
        <w:rPr>
          <w:b/>
          <w:bCs/>
        </w:rPr>
      </w:pPr>
      <w:r w:rsidRPr="00B74EF9">
        <w:rPr>
          <w:b/>
          <w:bCs/>
        </w:rPr>
        <w:t>Obligaciones del Estado</w:t>
      </w:r>
      <w:r w:rsidR="00157F62">
        <w:rPr>
          <w:b/>
          <w:bCs/>
        </w:rPr>
        <w:t xml:space="preserve"> a cargo del Tesoro</w:t>
      </w:r>
      <w:r w:rsidRPr="00B74EF9">
        <w:rPr>
          <w:b/>
          <w:bCs/>
        </w:rPr>
        <w:t>:</w:t>
      </w:r>
    </w:p>
    <w:p w:rsidR="0066150D" w:rsidRPr="00B74EF9" w:rsidRDefault="0066150D" w:rsidP="00AD535C">
      <w:pPr>
        <w:jc w:val="both"/>
        <w:rPr>
          <w:lang w:val="es-GT"/>
        </w:rPr>
      </w:pPr>
    </w:p>
    <w:p w:rsidR="00AD535C" w:rsidRDefault="00AD535C" w:rsidP="00AD535C">
      <w:pPr>
        <w:jc w:val="both"/>
      </w:pPr>
      <w:r w:rsidRPr="00B74EF9">
        <w:t xml:space="preserve">Los rubros más significativos </w:t>
      </w:r>
      <w:r w:rsidR="00157F62">
        <w:t>del</w:t>
      </w:r>
      <w:r w:rsidRPr="00B74EF9">
        <w:t xml:space="preserve"> presupuesto vigente son: </w:t>
      </w:r>
      <w:r w:rsidR="00157F62">
        <w:t>a</w:t>
      </w:r>
      <w:r w:rsidRPr="00B74EF9">
        <w:t xml:space="preserve">porte </w:t>
      </w:r>
      <w:r w:rsidR="00157F62">
        <w:t>a la t</w:t>
      </w:r>
      <w:r w:rsidRPr="00B74EF9">
        <w:t xml:space="preserve">arifa </w:t>
      </w:r>
      <w:r w:rsidR="00157F62">
        <w:t>s</w:t>
      </w:r>
      <w:r w:rsidRPr="00B74EF9">
        <w:t>ocial de energía</w:t>
      </w:r>
      <w:r w:rsidR="00157F62">
        <w:t xml:space="preserve"> eléctrica</w:t>
      </w:r>
      <w:r w:rsidRPr="00B74EF9">
        <w:t xml:space="preserve"> con Q.270.0 millones y Fondo para Capital de Trabajo al CHN con Q.2,980.</w:t>
      </w:r>
      <w:r>
        <w:t xml:space="preserve">0 </w:t>
      </w:r>
      <w:r w:rsidRPr="00B74EF9">
        <w:t>millones.</w:t>
      </w:r>
    </w:p>
    <w:p w:rsidR="00157F62" w:rsidRPr="00B74EF9" w:rsidRDefault="00157F62" w:rsidP="00AD535C">
      <w:pPr>
        <w:jc w:val="both"/>
        <w:rPr>
          <w:lang w:val="es-GT"/>
        </w:rPr>
      </w:pPr>
    </w:p>
    <w:p w:rsidR="00AD535C" w:rsidRDefault="00AD535C" w:rsidP="00AD535C">
      <w:pPr>
        <w:jc w:val="both"/>
        <w:rPr>
          <w:b/>
          <w:bCs/>
        </w:rPr>
      </w:pPr>
      <w:r w:rsidRPr="00B74EF9">
        <w:rPr>
          <w:b/>
          <w:bCs/>
        </w:rPr>
        <w:t>Ministerio de Desarrollo Social:</w:t>
      </w:r>
    </w:p>
    <w:p w:rsidR="0066150D" w:rsidRPr="00B74EF9" w:rsidRDefault="0066150D" w:rsidP="00AD535C">
      <w:pPr>
        <w:jc w:val="both"/>
        <w:rPr>
          <w:lang w:val="es-GT"/>
        </w:rPr>
      </w:pPr>
    </w:p>
    <w:p w:rsidR="00AD535C" w:rsidRPr="00B74EF9" w:rsidRDefault="00AD535C" w:rsidP="00AD535C">
      <w:pPr>
        <w:jc w:val="both"/>
        <w:rPr>
          <w:lang w:val="es-GT"/>
        </w:rPr>
      </w:pPr>
      <w:r w:rsidRPr="00B74EF9">
        <w:t xml:space="preserve">Los rubros más significativos </w:t>
      </w:r>
      <w:r w:rsidR="00157F62">
        <w:t>del</w:t>
      </w:r>
      <w:r w:rsidRPr="00B74EF9">
        <w:t xml:space="preserve"> presupuesto vigente son: Bono para Familias con Q.6,100.0 millones y Bolsa de Alimentos con Q.3</w:t>
      </w:r>
      <w:r>
        <w:t>58.4</w:t>
      </w:r>
      <w:r w:rsidRPr="00B74EF9">
        <w:t xml:space="preserve"> millones.</w:t>
      </w:r>
    </w:p>
    <w:p w:rsidR="00AD535C" w:rsidRDefault="00AD535C" w:rsidP="00AD535C">
      <w:pPr>
        <w:jc w:val="both"/>
        <w:rPr>
          <w:sz w:val="18"/>
          <w:lang w:val="es-MX"/>
        </w:rPr>
      </w:pPr>
    </w:p>
    <w:p w:rsidR="0066150D" w:rsidRDefault="0066150D" w:rsidP="00AD535C">
      <w:pPr>
        <w:jc w:val="both"/>
        <w:rPr>
          <w:sz w:val="18"/>
          <w:lang w:val="es-MX"/>
        </w:rPr>
      </w:pPr>
    </w:p>
    <w:p w:rsidR="0066150D" w:rsidRDefault="0066150D" w:rsidP="00AD535C">
      <w:pPr>
        <w:jc w:val="both"/>
        <w:rPr>
          <w:sz w:val="18"/>
          <w:lang w:val="es-MX"/>
        </w:rPr>
      </w:pPr>
    </w:p>
    <w:p w:rsidR="0066150D" w:rsidRDefault="0066150D" w:rsidP="00AD535C">
      <w:pPr>
        <w:jc w:val="both"/>
        <w:rPr>
          <w:sz w:val="18"/>
          <w:lang w:val="es-MX"/>
        </w:rPr>
      </w:pPr>
    </w:p>
    <w:p w:rsidR="0066150D" w:rsidRDefault="0066150D" w:rsidP="00AD535C">
      <w:pPr>
        <w:jc w:val="both"/>
        <w:rPr>
          <w:sz w:val="18"/>
          <w:lang w:val="es-MX"/>
        </w:rPr>
      </w:pPr>
    </w:p>
    <w:p w:rsidR="0066150D" w:rsidRDefault="0066150D" w:rsidP="00AD535C">
      <w:pPr>
        <w:jc w:val="both"/>
        <w:rPr>
          <w:sz w:val="18"/>
          <w:lang w:val="es-MX"/>
        </w:rPr>
      </w:pPr>
    </w:p>
    <w:p w:rsidR="0066150D" w:rsidRDefault="0066150D" w:rsidP="00AD535C">
      <w:pPr>
        <w:jc w:val="both"/>
        <w:rPr>
          <w:sz w:val="18"/>
          <w:lang w:val="es-MX"/>
        </w:rPr>
      </w:pPr>
    </w:p>
    <w:p w:rsidR="0066150D" w:rsidRDefault="0066150D" w:rsidP="00AD535C">
      <w:pPr>
        <w:jc w:val="both"/>
        <w:rPr>
          <w:sz w:val="18"/>
          <w:lang w:val="es-MX"/>
        </w:rPr>
      </w:pPr>
    </w:p>
    <w:p w:rsidR="0066150D" w:rsidRDefault="0066150D" w:rsidP="00AD535C">
      <w:pPr>
        <w:jc w:val="both"/>
        <w:rPr>
          <w:sz w:val="18"/>
          <w:lang w:val="es-MX"/>
        </w:rPr>
      </w:pPr>
    </w:p>
    <w:p w:rsidR="0066150D" w:rsidRDefault="0066150D" w:rsidP="00AD535C">
      <w:pPr>
        <w:jc w:val="both"/>
        <w:rPr>
          <w:sz w:val="18"/>
          <w:lang w:val="es-MX"/>
        </w:rPr>
      </w:pPr>
    </w:p>
    <w:p w:rsidR="00AD535C" w:rsidRPr="00C416DA" w:rsidRDefault="00AD535C" w:rsidP="00AD535C">
      <w:pPr>
        <w:jc w:val="center"/>
        <w:rPr>
          <w:b/>
          <w:szCs w:val="22"/>
          <w:lang w:val="es-MX"/>
        </w:rPr>
      </w:pPr>
      <w:r w:rsidRPr="00C416DA">
        <w:rPr>
          <w:b/>
          <w:szCs w:val="22"/>
          <w:lang w:val="es-MX"/>
        </w:rPr>
        <w:t>Cuadro 13</w:t>
      </w:r>
    </w:p>
    <w:p w:rsidR="00AD535C" w:rsidRPr="00C416DA" w:rsidRDefault="00AD535C" w:rsidP="00AD535C">
      <w:pPr>
        <w:jc w:val="center"/>
        <w:rPr>
          <w:b/>
          <w:szCs w:val="22"/>
          <w:lang w:val="es-MX"/>
        </w:rPr>
      </w:pPr>
      <w:r w:rsidRPr="00C416DA">
        <w:rPr>
          <w:b/>
          <w:szCs w:val="22"/>
          <w:lang w:val="es-MX"/>
        </w:rPr>
        <w:t>Programa de Emergencia C</w:t>
      </w:r>
      <w:r w:rsidR="00754EAA" w:rsidRPr="00C416DA">
        <w:rPr>
          <w:b/>
          <w:szCs w:val="22"/>
          <w:lang w:val="es-MX"/>
        </w:rPr>
        <w:t>ovid</w:t>
      </w:r>
      <w:r w:rsidRPr="00C416DA">
        <w:rPr>
          <w:b/>
          <w:szCs w:val="22"/>
          <w:lang w:val="es-MX"/>
        </w:rPr>
        <w:t>-19</w:t>
      </w:r>
      <w:r w:rsidR="00A75101">
        <w:rPr>
          <w:b/>
          <w:szCs w:val="22"/>
          <w:lang w:val="es-MX"/>
        </w:rPr>
        <w:t xml:space="preserve"> por Entidad y Componente</w:t>
      </w:r>
    </w:p>
    <w:p w:rsidR="00AD535C" w:rsidRPr="00C416DA" w:rsidRDefault="00AD535C" w:rsidP="00AD535C">
      <w:pPr>
        <w:jc w:val="center"/>
        <w:rPr>
          <w:b/>
          <w:szCs w:val="22"/>
          <w:lang w:val="es-MX"/>
        </w:rPr>
      </w:pPr>
      <w:r w:rsidRPr="00C416DA">
        <w:rPr>
          <w:b/>
          <w:szCs w:val="22"/>
          <w:lang w:val="es-MX"/>
        </w:rPr>
        <w:t>Al 30 de junio de 2020</w:t>
      </w:r>
      <w:r w:rsidR="00927D15">
        <w:rPr>
          <w:b/>
          <w:szCs w:val="22"/>
          <w:lang w:val="es-MX"/>
        </w:rPr>
        <w:t>*</w:t>
      </w:r>
    </w:p>
    <w:p w:rsidR="00AD535C" w:rsidRPr="00C416DA" w:rsidRDefault="00AD535C" w:rsidP="00AD535C">
      <w:pPr>
        <w:jc w:val="center"/>
        <w:rPr>
          <w:sz w:val="20"/>
          <w:lang w:val="es-MX"/>
        </w:rPr>
      </w:pPr>
      <w:r w:rsidRPr="00C416DA">
        <w:rPr>
          <w:b/>
          <w:szCs w:val="22"/>
          <w:lang w:val="es-MX"/>
        </w:rPr>
        <w:t>(Cifras en Millones de Quetzales)</w:t>
      </w:r>
    </w:p>
    <w:tbl>
      <w:tblPr>
        <w:tblW w:w="9294" w:type="dxa"/>
        <w:tblInd w:w="-10" w:type="dxa"/>
        <w:tblCellMar>
          <w:left w:w="70" w:type="dxa"/>
          <w:right w:w="70" w:type="dxa"/>
        </w:tblCellMar>
        <w:tblLook w:val="04A0" w:firstRow="1" w:lastRow="0" w:firstColumn="1" w:lastColumn="0" w:noHBand="0" w:noVBand="1"/>
      </w:tblPr>
      <w:tblGrid>
        <w:gridCol w:w="5183"/>
        <w:gridCol w:w="1418"/>
        <w:gridCol w:w="1417"/>
        <w:gridCol w:w="1276"/>
      </w:tblGrid>
      <w:tr w:rsidR="00AD535C" w:rsidRPr="0066150D" w:rsidTr="00C416DA">
        <w:trPr>
          <w:trHeight w:val="520"/>
        </w:trPr>
        <w:tc>
          <w:tcPr>
            <w:tcW w:w="5183" w:type="dxa"/>
            <w:tcBorders>
              <w:top w:val="single" w:sz="8" w:space="0" w:color="auto"/>
              <w:left w:val="single" w:sz="8" w:space="0" w:color="auto"/>
              <w:bottom w:val="single" w:sz="4" w:space="0" w:color="auto"/>
              <w:right w:val="nil"/>
            </w:tcBorders>
            <w:shd w:val="clear" w:color="000000" w:fill="9BC2E6"/>
            <w:noWrap/>
            <w:vAlign w:val="center"/>
            <w:hideMark/>
          </w:tcPr>
          <w:p w:rsidR="00AD535C" w:rsidRPr="00C416DA" w:rsidRDefault="00754EAA" w:rsidP="007A7C46">
            <w:pPr>
              <w:jc w:val="center"/>
              <w:rPr>
                <w:b/>
                <w:bCs/>
                <w:color w:val="000000"/>
                <w:sz w:val="20"/>
                <w:szCs w:val="18"/>
                <w:lang w:val="es-GT" w:eastAsia="es-GT"/>
              </w:rPr>
            </w:pPr>
            <w:r w:rsidRPr="00C416DA">
              <w:rPr>
                <w:b/>
                <w:bCs/>
                <w:color w:val="000000"/>
                <w:sz w:val="20"/>
                <w:szCs w:val="18"/>
                <w:lang w:val="es-GT" w:eastAsia="es-GT"/>
              </w:rPr>
              <w:t>Entidad/</w:t>
            </w:r>
            <w:r w:rsidR="007A7C46">
              <w:rPr>
                <w:b/>
                <w:bCs/>
                <w:color w:val="000000"/>
                <w:sz w:val="20"/>
                <w:szCs w:val="18"/>
                <w:lang w:val="es-GT" w:eastAsia="es-GT"/>
              </w:rPr>
              <w:t>Componente</w:t>
            </w:r>
          </w:p>
        </w:tc>
        <w:tc>
          <w:tcPr>
            <w:tcW w:w="1418" w:type="dxa"/>
            <w:tcBorders>
              <w:top w:val="single" w:sz="8" w:space="0" w:color="auto"/>
              <w:left w:val="single" w:sz="4" w:space="0" w:color="auto"/>
              <w:bottom w:val="single" w:sz="4" w:space="0" w:color="auto"/>
              <w:right w:val="single" w:sz="4" w:space="0" w:color="auto"/>
            </w:tcBorders>
            <w:shd w:val="clear" w:color="000000" w:fill="9BC2E6"/>
            <w:vAlign w:val="center"/>
            <w:hideMark/>
          </w:tcPr>
          <w:p w:rsidR="00AD535C" w:rsidRPr="00C416DA" w:rsidRDefault="00AD535C" w:rsidP="0025776C">
            <w:pPr>
              <w:jc w:val="center"/>
              <w:rPr>
                <w:b/>
                <w:bCs/>
                <w:color w:val="000000"/>
                <w:sz w:val="20"/>
                <w:szCs w:val="18"/>
                <w:lang w:val="es-GT" w:eastAsia="es-GT"/>
              </w:rPr>
            </w:pPr>
            <w:r w:rsidRPr="00C416DA">
              <w:rPr>
                <w:b/>
                <w:bCs/>
                <w:color w:val="000000"/>
                <w:sz w:val="20"/>
                <w:szCs w:val="18"/>
                <w:lang w:val="es-GT" w:eastAsia="es-GT"/>
              </w:rPr>
              <w:t>Presupuesto Vigente</w:t>
            </w:r>
          </w:p>
        </w:tc>
        <w:tc>
          <w:tcPr>
            <w:tcW w:w="1417" w:type="dxa"/>
            <w:tcBorders>
              <w:top w:val="single" w:sz="8" w:space="0" w:color="auto"/>
              <w:left w:val="nil"/>
              <w:bottom w:val="single" w:sz="4" w:space="0" w:color="auto"/>
              <w:right w:val="single" w:sz="4" w:space="0" w:color="auto"/>
            </w:tcBorders>
            <w:shd w:val="clear" w:color="000000" w:fill="9BC2E6"/>
            <w:noWrap/>
            <w:vAlign w:val="center"/>
            <w:hideMark/>
          </w:tcPr>
          <w:p w:rsidR="00EB636A" w:rsidRPr="00C416DA" w:rsidRDefault="00EB636A" w:rsidP="0025776C">
            <w:pPr>
              <w:jc w:val="center"/>
              <w:rPr>
                <w:b/>
                <w:bCs/>
                <w:color w:val="000000"/>
                <w:sz w:val="20"/>
                <w:szCs w:val="18"/>
                <w:lang w:val="es-GT" w:eastAsia="es-GT"/>
              </w:rPr>
            </w:pPr>
            <w:r w:rsidRPr="00C416DA">
              <w:rPr>
                <w:b/>
                <w:bCs/>
                <w:color w:val="000000"/>
                <w:sz w:val="20"/>
                <w:szCs w:val="18"/>
                <w:lang w:val="es-GT" w:eastAsia="es-GT"/>
              </w:rPr>
              <w:t>Presupuesto</w:t>
            </w:r>
          </w:p>
          <w:p w:rsidR="00AD535C" w:rsidRPr="00C416DA" w:rsidRDefault="00EB636A" w:rsidP="0025776C">
            <w:pPr>
              <w:jc w:val="center"/>
              <w:rPr>
                <w:b/>
                <w:bCs/>
                <w:color w:val="000000"/>
                <w:sz w:val="20"/>
                <w:szCs w:val="18"/>
                <w:lang w:val="es-GT" w:eastAsia="es-GT"/>
              </w:rPr>
            </w:pPr>
            <w:r w:rsidRPr="00C416DA">
              <w:rPr>
                <w:b/>
                <w:bCs/>
                <w:color w:val="000000"/>
                <w:sz w:val="20"/>
                <w:szCs w:val="18"/>
                <w:lang w:val="es-GT" w:eastAsia="es-GT"/>
              </w:rPr>
              <w:t>E</w:t>
            </w:r>
            <w:r w:rsidR="00AD535C" w:rsidRPr="00C416DA">
              <w:rPr>
                <w:b/>
                <w:bCs/>
                <w:color w:val="000000"/>
                <w:sz w:val="20"/>
                <w:szCs w:val="18"/>
                <w:lang w:val="es-GT" w:eastAsia="es-GT"/>
              </w:rPr>
              <w:t>jecutado</w:t>
            </w:r>
          </w:p>
        </w:tc>
        <w:tc>
          <w:tcPr>
            <w:tcW w:w="1276" w:type="dxa"/>
            <w:tcBorders>
              <w:top w:val="single" w:sz="8" w:space="0" w:color="auto"/>
              <w:left w:val="nil"/>
              <w:bottom w:val="single" w:sz="4" w:space="0" w:color="auto"/>
              <w:right w:val="single" w:sz="8" w:space="0" w:color="auto"/>
            </w:tcBorders>
            <w:shd w:val="clear" w:color="000000" w:fill="9BC2E6"/>
            <w:vAlign w:val="center"/>
            <w:hideMark/>
          </w:tcPr>
          <w:p w:rsidR="0066150D" w:rsidRPr="00C416DA" w:rsidRDefault="00AD535C" w:rsidP="003763AF">
            <w:pPr>
              <w:jc w:val="center"/>
              <w:rPr>
                <w:b/>
                <w:bCs/>
                <w:color w:val="000000"/>
                <w:sz w:val="20"/>
                <w:szCs w:val="18"/>
                <w:lang w:val="es-GT" w:eastAsia="es-GT"/>
              </w:rPr>
            </w:pPr>
            <w:r w:rsidRPr="00C416DA">
              <w:rPr>
                <w:b/>
                <w:bCs/>
                <w:color w:val="000000"/>
                <w:sz w:val="20"/>
                <w:szCs w:val="18"/>
                <w:lang w:val="es-GT" w:eastAsia="es-GT"/>
              </w:rPr>
              <w:t>%</w:t>
            </w:r>
          </w:p>
          <w:p w:rsidR="00AD535C" w:rsidRPr="00C416DA" w:rsidRDefault="00AD535C" w:rsidP="003763AF">
            <w:pPr>
              <w:jc w:val="center"/>
              <w:rPr>
                <w:b/>
                <w:bCs/>
                <w:color w:val="000000"/>
                <w:sz w:val="20"/>
                <w:szCs w:val="18"/>
                <w:lang w:val="es-GT" w:eastAsia="es-GT"/>
              </w:rPr>
            </w:pPr>
            <w:r w:rsidRPr="00C416DA">
              <w:rPr>
                <w:b/>
                <w:bCs/>
                <w:color w:val="000000"/>
                <w:sz w:val="20"/>
                <w:szCs w:val="18"/>
                <w:lang w:val="es-GT" w:eastAsia="es-GT"/>
              </w:rPr>
              <w:t>Ejecución</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jc w:val="center"/>
              <w:rPr>
                <w:b/>
                <w:bCs/>
                <w:color w:val="000000"/>
                <w:sz w:val="18"/>
                <w:szCs w:val="18"/>
                <w:lang w:val="es-GT" w:eastAsia="es-GT"/>
              </w:rPr>
            </w:pPr>
            <w:r w:rsidRPr="0066150D">
              <w:rPr>
                <w:b/>
                <w:bCs/>
                <w:color w:val="000000"/>
                <w:sz w:val="18"/>
                <w:szCs w:val="18"/>
                <w:lang w:val="es-GT" w:eastAsia="es-GT"/>
              </w:rPr>
              <w:t>Total</w:t>
            </w:r>
          </w:p>
        </w:tc>
        <w:tc>
          <w:tcPr>
            <w:tcW w:w="1418" w:type="dxa"/>
            <w:tcBorders>
              <w:top w:val="nil"/>
              <w:left w:val="single" w:sz="4" w:space="0" w:color="auto"/>
              <w:bottom w:val="nil"/>
              <w:right w:val="single" w:sz="4" w:space="0" w:color="auto"/>
            </w:tcBorders>
            <w:shd w:val="clear" w:color="auto" w:fill="auto"/>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14,299.7</w:t>
            </w:r>
          </w:p>
        </w:tc>
        <w:tc>
          <w:tcPr>
            <w:tcW w:w="1417" w:type="dxa"/>
            <w:tcBorders>
              <w:top w:val="nil"/>
              <w:left w:val="nil"/>
              <w:bottom w:val="nil"/>
              <w:right w:val="single" w:sz="4" w:space="0" w:color="auto"/>
            </w:tcBorders>
            <w:shd w:val="clear" w:color="auto" w:fill="auto"/>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4,124.1</w:t>
            </w:r>
          </w:p>
        </w:tc>
        <w:tc>
          <w:tcPr>
            <w:tcW w:w="1276" w:type="dxa"/>
            <w:tcBorders>
              <w:top w:val="nil"/>
              <w:left w:val="nil"/>
              <w:bottom w:val="nil"/>
              <w:right w:val="single" w:sz="8" w:space="0" w:color="auto"/>
            </w:tcBorders>
            <w:shd w:val="clear" w:color="auto" w:fill="auto"/>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28.8%</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b/>
                <w:bCs/>
                <w:color w:val="000000"/>
                <w:sz w:val="18"/>
                <w:szCs w:val="18"/>
                <w:lang w:val="es-GT" w:eastAsia="es-GT"/>
              </w:rPr>
            </w:pPr>
            <w:r w:rsidRPr="0066150D">
              <w:rPr>
                <w:b/>
                <w:bCs/>
                <w:color w:val="000000"/>
                <w:sz w:val="18"/>
                <w:szCs w:val="18"/>
                <w:lang w:val="es-GT" w:eastAsia="es-GT"/>
              </w:rPr>
              <w:t>Ministerio de Relaciones Exteriores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0.5</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0.3</w:t>
            </w:r>
          </w:p>
        </w:tc>
        <w:tc>
          <w:tcPr>
            <w:tcW w:w="1276"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56.0%</w:t>
            </w:r>
          </w:p>
        </w:tc>
      </w:tr>
      <w:tr w:rsidR="00AD535C" w:rsidRPr="0066150D" w:rsidTr="00C416DA">
        <w:trPr>
          <w:trHeight w:val="260"/>
        </w:trPr>
        <w:tc>
          <w:tcPr>
            <w:tcW w:w="5183" w:type="dxa"/>
            <w:tcBorders>
              <w:top w:val="nil"/>
              <w:left w:val="single" w:sz="8" w:space="0" w:color="auto"/>
              <w:bottom w:val="nil"/>
              <w:right w:val="single" w:sz="4" w:space="0" w:color="auto"/>
            </w:tcBorders>
            <w:shd w:val="clear" w:color="auto" w:fill="auto"/>
            <w:noWrap/>
            <w:hideMark/>
          </w:tcPr>
          <w:p w:rsidR="00AD535C" w:rsidRPr="0066150D" w:rsidRDefault="00AD535C" w:rsidP="0025776C">
            <w:pPr>
              <w:rPr>
                <w:color w:val="000000"/>
                <w:sz w:val="18"/>
                <w:szCs w:val="18"/>
                <w:lang w:val="es-GT" w:eastAsia="es-GT"/>
              </w:rPr>
            </w:pPr>
            <w:r w:rsidRPr="0066150D">
              <w:rPr>
                <w:color w:val="000000"/>
                <w:sz w:val="18"/>
                <w:szCs w:val="18"/>
                <w:lang w:val="es-GT" w:eastAsia="es-GT"/>
              </w:rPr>
              <w:t>Intervenciones realizadas para la atención de la emergencia</w:t>
            </w:r>
          </w:p>
        </w:tc>
        <w:tc>
          <w:tcPr>
            <w:tcW w:w="1418"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0.5</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0.3</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56.0%</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b/>
                <w:bCs/>
                <w:color w:val="000000"/>
                <w:sz w:val="18"/>
                <w:szCs w:val="18"/>
                <w:lang w:val="es-GT" w:eastAsia="es-GT"/>
              </w:rPr>
            </w:pPr>
            <w:r w:rsidRPr="0066150D">
              <w:rPr>
                <w:b/>
                <w:bCs/>
                <w:color w:val="000000"/>
                <w:sz w:val="18"/>
                <w:szCs w:val="18"/>
                <w:lang w:val="es-GT" w:eastAsia="es-GT"/>
              </w:rPr>
              <w:t>Ministerio de la Defensa</w:t>
            </w:r>
            <w:r w:rsidR="00754EAA" w:rsidRPr="0066150D">
              <w:rPr>
                <w:b/>
                <w:bCs/>
                <w:color w:val="000000"/>
                <w:sz w:val="18"/>
                <w:szCs w:val="18"/>
                <w:lang w:val="es-GT" w:eastAsia="es-GT"/>
              </w:rPr>
              <w:t xml:space="preserve"> Nacional</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3.2</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0.0</w:t>
            </w:r>
          </w:p>
        </w:tc>
        <w:tc>
          <w:tcPr>
            <w:tcW w:w="1276"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0.0%</w:t>
            </w:r>
          </w:p>
        </w:tc>
      </w:tr>
      <w:tr w:rsidR="00AD535C" w:rsidRPr="0066150D" w:rsidTr="00C416DA">
        <w:trPr>
          <w:trHeight w:val="260"/>
        </w:trPr>
        <w:tc>
          <w:tcPr>
            <w:tcW w:w="5183" w:type="dxa"/>
            <w:tcBorders>
              <w:top w:val="nil"/>
              <w:left w:val="single" w:sz="8" w:space="0" w:color="auto"/>
              <w:bottom w:val="nil"/>
              <w:right w:val="single" w:sz="4" w:space="0" w:color="auto"/>
            </w:tcBorders>
            <w:shd w:val="clear" w:color="auto" w:fill="auto"/>
            <w:noWrap/>
            <w:hideMark/>
          </w:tcPr>
          <w:p w:rsidR="00AD535C" w:rsidRPr="0066150D" w:rsidRDefault="00AD535C" w:rsidP="00754EAA">
            <w:pPr>
              <w:rPr>
                <w:color w:val="000000"/>
                <w:sz w:val="18"/>
                <w:szCs w:val="18"/>
                <w:lang w:val="es-GT" w:eastAsia="es-GT"/>
              </w:rPr>
            </w:pPr>
            <w:r w:rsidRPr="0066150D">
              <w:rPr>
                <w:color w:val="000000"/>
                <w:sz w:val="18"/>
                <w:szCs w:val="18"/>
                <w:lang w:val="es-GT" w:eastAsia="es-GT"/>
              </w:rPr>
              <w:t xml:space="preserve">Mobiliario y </w:t>
            </w:r>
            <w:r w:rsidR="00754EAA" w:rsidRPr="0066150D">
              <w:rPr>
                <w:color w:val="000000"/>
                <w:sz w:val="18"/>
                <w:szCs w:val="18"/>
                <w:lang w:val="es-GT" w:eastAsia="es-GT"/>
              </w:rPr>
              <w:t>e</w:t>
            </w:r>
            <w:r w:rsidRPr="0066150D">
              <w:rPr>
                <w:color w:val="000000"/>
                <w:sz w:val="18"/>
                <w:szCs w:val="18"/>
                <w:lang w:val="es-GT" w:eastAsia="es-GT"/>
              </w:rPr>
              <w:t xml:space="preserve">quipo </w:t>
            </w:r>
            <w:r w:rsidR="00754EAA" w:rsidRPr="0066150D">
              <w:rPr>
                <w:color w:val="000000"/>
                <w:sz w:val="18"/>
                <w:szCs w:val="18"/>
                <w:lang w:val="es-GT" w:eastAsia="es-GT"/>
              </w:rPr>
              <w:t>m</w:t>
            </w:r>
            <w:r w:rsidRPr="0066150D">
              <w:rPr>
                <w:color w:val="000000"/>
                <w:sz w:val="18"/>
                <w:szCs w:val="18"/>
                <w:lang w:val="es-GT" w:eastAsia="es-GT"/>
              </w:rPr>
              <w:t>édico-</w:t>
            </w:r>
            <w:r w:rsidR="00754EAA" w:rsidRPr="0066150D">
              <w:rPr>
                <w:color w:val="000000"/>
                <w:sz w:val="18"/>
                <w:szCs w:val="18"/>
                <w:lang w:val="es-GT" w:eastAsia="es-GT"/>
              </w:rPr>
              <w:t>s</w:t>
            </w:r>
            <w:r w:rsidRPr="0066150D">
              <w:rPr>
                <w:color w:val="000000"/>
                <w:sz w:val="18"/>
                <w:szCs w:val="18"/>
                <w:lang w:val="es-GT" w:eastAsia="es-GT"/>
              </w:rPr>
              <w:t xml:space="preserve">anitario y de </w:t>
            </w:r>
            <w:r w:rsidR="00754EAA" w:rsidRPr="0066150D">
              <w:rPr>
                <w:color w:val="000000"/>
                <w:sz w:val="18"/>
                <w:szCs w:val="18"/>
                <w:lang w:val="es-GT" w:eastAsia="es-GT"/>
              </w:rPr>
              <w:t>l</w:t>
            </w:r>
            <w:r w:rsidRPr="0066150D">
              <w:rPr>
                <w:color w:val="000000"/>
                <w:sz w:val="18"/>
                <w:szCs w:val="18"/>
                <w:lang w:val="es-GT" w:eastAsia="es-GT"/>
              </w:rPr>
              <w:t>aboratorio</w:t>
            </w:r>
          </w:p>
        </w:tc>
        <w:tc>
          <w:tcPr>
            <w:tcW w:w="1418"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r>
      <w:tr w:rsidR="00AD535C" w:rsidRPr="0066150D" w:rsidTr="00C416DA">
        <w:trPr>
          <w:trHeight w:val="260"/>
        </w:trPr>
        <w:tc>
          <w:tcPr>
            <w:tcW w:w="5183" w:type="dxa"/>
            <w:tcBorders>
              <w:top w:val="nil"/>
              <w:left w:val="single" w:sz="8" w:space="0" w:color="auto"/>
              <w:bottom w:val="nil"/>
              <w:right w:val="single" w:sz="4" w:space="0" w:color="auto"/>
            </w:tcBorders>
            <w:shd w:val="clear" w:color="auto" w:fill="auto"/>
            <w:noWrap/>
            <w:hideMark/>
          </w:tcPr>
          <w:p w:rsidR="00AD535C" w:rsidRPr="0066150D" w:rsidRDefault="00AD535C" w:rsidP="00754EAA">
            <w:pPr>
              <w:rPr>
                <w:color w:val="000000"/>
                <w:sz w:val="18"/>
                <w:szCs w:val="18"/>
                <w:lang w:val="es-GT" w:eastAsia="es-GT"/>
              </w:rPr>
            </w:pPr>
            <w:r w:rsidRPr="0066150D">
              <w:rPr>
                <w:color w:val="000000"/>
                <w:sz w:val="18"/>
                <w:szCs w:val="18"/>
                <w:lang w:val="es-GT" w:eastAsia="es-GT"/>
              </w:rPr>
              <w:t xml:space="preserve">Equipo de </w:t>
            </w:r>
            <w:r w:rsidR="00754EAA" w:rsidRPr="0066150D">
              <w:rPr>
                <w:color w:val="000000"/>
                <w:sz w:val="18"/>
                <w:szCs w:val="18"/>
                <w:lang w:val="es-GT" w:eastAsia="es-GT"/>
              </w:rPr>
              <w:t>t</w:t>
            </w:r>
            <w:r w:rsidRPr="0066150D">
              <w:rPr>
                <w:color w:val="000000"/>
                <w:sz w:val="18"/>
                <w:szCs w:val="18"/>
                <w:lang w:val="es-GT" w:eastAsia="es-GT"/>
              </w:rPr>
              <w:t>ransporte</w:t>
            </w:r>
          </w:p>
        </w:tc>
        <w:tc>
          <w:tcPr>
            <w:tcW w:w="1418" w:type="dxa"/>
            <w:tcBorders>
              <w:top w:val="nil"/>
              <w:left w:val="nil"/>
              <w:bottom w:val="nil"/>
              <w:right w:val="single" w:sz="4" w:space="0" w:color="auto"/>
            </w:tcBorders>
            <w:shd w:val="clear" w:color="auto" w:fill="auto"/>
            <w:noWrap/>
            <w:hideMark/>
          </w:tcPr>
          <w:p w:rsidR="00AD535C" w:rsidRPr="0066150D" w:rsidRDefault="00AD535C" w:rsidP="00EB636A">
            <w:pPr>
              <w:jc w:val="right"/>
              <w:rPr>
                <w:color w:val="000000"/>
                <w:sz w:val="18"/>
                <w:szCs w:val="18"/>
                <w:lang w:val="es-GT" w:eastAsia="es-GT"/>
              </w:rPr>
            </w:pPr>
            <w:r w:rsidRPr="0066150D">
              <w:rPr>
                <w:color w:val="000000"/>
                <w:sz w:val="18"/>
                <w:szCs w:val="18"/>
                <w:lang w:val="es-GT" w:eastAsia="es-GT"/>
              </w:rPr>
              <w:t>1.</w:t>
            </w:r>
            <w:r w:rsidR="00EB636A">
              <w:rPr>
                <w:color w:val="000000"/>
                <w:sz w:val="18"/>
                <w:szCs w:val="18"/>
                <w:lang w:val="es-GT" w:eastAsia="es-GT"/>
              </w:rPr>
              <w:t>2</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b/>
                <w:bCs/>
                <w:color w:val="000000"/>
                <w:sz w:val="18"/>
                <w:szCs w:val="18"/>
                <w:lang w:val="es-GT" w:eastAsia="es-GT"/>
              </w:rPr>
            </w:pPr>
            <w:r w:rsidRPr="0066150D">
              <w:rPr>
                <w:b/>
                <w:bCs/>
                <w:color w:val="000000"/>
                <w:sz w:val="18"/>
                <w:szCs w:val="18"/>
                <w:lang w:val="es-GT" w:eastAsia="es-GT"/>
              </w:rPr>
              <w:t>Ministerio de Educación</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22.5</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4.8</w:t>
            </w:r>
          </w:p>
        </w:tc>
        <w:tc>
          <w:tcPr>
            <w:tcW w:w="1276"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21.3%</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Divulgación e </w:t>
            </w:r>
            <w:r w:rsidR="003763AF" w:rsidRPr="0066150D">
              <w:rPr>
                <w:color w:val="000000"/>
                <w:sz w:val="18"/>
                <w:szCs w:val="18"/>
                <w:lang w:val="es-GT" w:eastAsia="es-GT"/>
              </w:rPr>
              <w:t>i</w:t>
            </w:r>
            <w:r w:rsidRPr="0066150D">
              <w:rPr>
                <w:color w:val="000000"/>
                <w:sz w:val="18"/>
                <w:szCs w:val="18"/>
                <w:lang w:val="es-GT" w:eastAsia="es-GT"/>
              </w:rPr>
              <w:t>nformación</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1.5</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0.9</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61.6%</w:t>
            </w:r>
          </w:p>
        </w:tc>
      </w:tr>
      <w:tr w:rsidR="00AD535C" w:rsidRPr="0066150D" w:rsidTr="00C416DA">
        <w:trPr>
          <w:trHeight w:val="260"/>
        </w:trPr>
        <w:tc>
          <w:tcPr>
            <w:tcW w:w="5183" w:type="dxa"/>
            <w:tcBorders>
              <w:top w:val="nil"/>
              <w:left w:val="single" w:sz="8" w:space="0" w:color="auto"/>
              <w:bottom w:val="nil"/>
              <w:right w:val="single" w:sz="4" w:space="0" w:color="auto"/>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Impresión, </w:t>
            </w:r>
            <w:r w:rsidR="003763AF" w:rsidRPr="0066150D">
              <w:rPr>
                <w:color w:val="000000"/>
                <w:sz w:val="18"/>
                <w:szCs w:val="18"/>
                <w:lang w:val="es-GT" w:eastAsia="es-GT"/>
              </w:rPr>
              <w:t>e</w:t>
            </w:r>
            <w:r w:rsidRPr="0066150D">
              <w:rPr>
                <w:color w:val="000000"/>
                <w:sz w:val="18"/>
                <w:szCs w:val="18"/>
                <w:lang w:val="es-GT" w:eastAsia="es-GT"/>
              </w:rPr>
              <w:t xml:space="preserve">ncuadernación y </w:t>
            </w:r>
            <w:r w:rsidR="003763AF" w:rsidRPr="0066150D">
              <w:rPr>
                <w:color w:val="000000"/>
                <w:sz w:val="18"/>
                <w:szCs w:val="18"/>
                <w:lang w:val="es-GT" w:eastAsia="es-GT"/>
              </w:rPr>
              <w:t>r</w:t>
            </w:r>
            <w:r w:rsidRPr="0066150D">
              <w:rPr>
                <w:color w:val="000000"/>
                <w:sz w:val="18"/>
                <w:szCs w:val="18"/>
                <w:lang w:val="es-GT" w:eastAsia="es-GT"/>
              </w:rPr>
              <w:t>eproducción</w:t>
            </w:r>
          </w:p>
        </w:tc>
        <w:tc>
          <w:tcPr>
            <w:tcW w:w="1418"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16.3</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1.6</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9.9%</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Elementos y </w:t>
            </w:r>
            <w:r w:rsidR="003763AF" w:rsidRPr="0066150D">
              <w:rPr>
                <w:color w:val="000000"/>
                <w:sz w:val="18"/>
                <w:szCs w:val="18"/>
                <w:lang w:val="es-GT" w:eastAsia="es-GT"/>
              </w:rPr>
              <w:t>c</w:t>
            </w:r>
            <w:r w:rsidRPr="0066150D">
              <w:rPr>
                <w:color w:val="000000"/>
                <w:sz w:val="18"/>
                <w:szCs w:val="18"/>
                <w:lang w:val="es-GT" w:eastAsia="es-GT"/>
              </w:rPr>
              <w:t xml:space="preserve">ompuestos </w:t>
            </w:r>
            <w:r w:rsidR="003763AF" w:rsidRPr="0066150D">
              <w:rPr>
                <w:color w:val="000000"/>
                <w:sz w:val="18"/>
                <w:szCs w:val="18"/>
                <w:lang w:val="es-GT" w:eastAsia="es-GT"/>
              </w:rPr>
              <w:t>q</w:t>
            </w:r>
            <w:r w:rsidRPr="0066150D">
              <w:rPr>
                <w:color w:val="000000"/>
                <w:sz w:val="18"/>
                <w:szCs w:val="18"/>
                <w:lang w:val="es-GT" w:eastAsia="es-GT"/>
              </w:rPr>
              <w:t>uímicos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2.9</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66.3%</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b/>
                <w:bCs/>
                <w:color w:val="000000"/>
                <w:sz w:val="18"/>
                <w:szCs w:val="18"/>
                <w:lang w:val="es-GT" w:eastAsia="es-GT"/>
              </w:rPr>
            </w:pPr>
            <w:r w:rsidRPr="0066150D">
              <w:rPr>
                <w:b/>
                <w:bCs/>
                <w:color w:val="000000"/>
                <w:sz w:val="18"/>
                <w:szCs w:val="18"/>
                <w:lang w:val="es-GT" w:eastAsia="es-GT"/>
              </w:rPr>
              <w:t>Ministerio de Salud Pública y Asistencia Social</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1,694.4</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136.2</w:t>
            </w:r>
          </w:p>
        </w:tc>
        <w:tc>
          <w:tcPr>
            <w:tcW w:w="1276"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8.0%</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Arrendamientos de </w:t>
            </w:r>
            <w:r w:rsidR="003763AF" w:rsidRPr="0066150D">
              <w:rPr>
                <w:color w:val="000000"/>
                <w:sz w:val="18"/>
                <w:szCs w:val="18"/>
                <w:lang w:val="es-GT" w:eastAsia="es-GT"/>
              </w:rPr>
              <w:t>o</w:t>
            </w:r>
            <w:r w:rsidRPr="0066150D">
              <w:rPr>
                <w:color w:val="000000"/>
                <w:sz w:val="18"/>
                <w:szCs w:val="18"/>
                <w:lang w:val="es-GT" w:eastAsia="es-GT"/>
              </w:rPr>
              <w:t xml:space="preserve">tras </w:t>
            </w:r>
            <w:r w:rsidR="003763AF" w:rsidRPr="0066150D">
              <w:rPr>
                <w:color w:val="000000"/>
                <w:sz w:val="18"/>
                <w:szCs w:val="18"/>
                <w:lang w:val="es-GT" w:eastAsia="es-GT"/>
              </w:rPr>
              <w:t>m</w:t>
            </w:r>
            <w:r w:rsidRPr="0066150D">
              <w:rPr>
                <w:color w:val="000000"/>
                <w:sz w:val="18"/>
                <w:szCs w:val="18"/>
                <w:lang w:val="es-GT" w:eastAsia="es-GT"/>
              </w:rPr>
              <w:t xml:space="preserve">aquinarias y </w:t>
            </w:r>
            <w:r w:rsidR="003763AF" w:rsidRPr="0066150D">
              <w:rPr>
                <w:color w:val="000000"/>
                <w:sz w:val="18"/>
                <w:szCs w:val="18"/>
                <w:lang w:val="es-GT" w:eastAsia="es-GT"/>
              </w:rPr>
              <w:t>e</w:t>
            </w:r>
            <w:r w:rsidRPr="0066150D">
              <w:rPr>
                <w:color w:val="000000"/>
                <w:sz w:val="18"/>
                <w:szCs w:val="18"/>
                <w:lang w:val="es-GT" w:eastAsia="es-GT"/>
              </w:rPr>
              <w:t>quipos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19.3</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0.1%</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Servicios </w:t>
            </w:r>
            <w:r w:rsidR="003763AF" w:rsidRPr="0066150D">
              <w:rPr>
                <w:color w:val="000000"/>
                <w:sz w:val="18"/>
                <w:szCs w:val="18"/>
                <w:lang w:val="es-GT" w:eastAsia="es-GT"/>
              </w:rPr>
              <w:t>mé</w:t>
            </w:r>
            <w:r w:rsidRPr="0066150D">
              <w:rPr>
                <w:color w:val="000000"/>
                <w:sz w:val="18"/>
                <w:szCs w:val="18"/>
                <w:lang w:val="es-GT" w:eastAsia="es-GT"/>
              </w:rPr>
              <w:t>dico-</w:t>
            </w:r>
            <w:r w:rsidR="003763AF" w:rsidRPr="0066150D">
              <w:rPr>
                <w:color w:val="000000"/>
                <w:sz w:val="18"/>
                <w:szCs w:val="18"/>
                <w:lang w:val="es-GT" w:eastAsia="es-GT"/>
              </w:rPr>
              <w:t>s</w:t>
            </w:r>
            <w:r w:rsidRPr="0066150D">
              <w:rPr>
                <w:color w:val="000000"/>
                <w:sz w:val="18"/>
                <w:szCs w:val="18"/>
                <w:lang w:val="es-GT" w:eastAsia="es-GT"/>
              </w:rPr>
              <w:t>anitarios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118.9</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20.1</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16.9%</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Otros </w:t>
            </w:r>
            <w:r w:rsidR="003763AF" w:rsidRPr="0066150D">
              <w:rPr>
                <w:color w:val="000000"/>
                <w:sz w:val="18"/>
                <w:szCs w:val="18"/>
                <w:lang w:val="es-GT" w:eastAsia="es-GT"/>
              </w:rPr>
              <w:t>e</w:t>
            </w:r>
            <w:r w:rsidRPr="0066150D">
              <w:rPr>
                <w:color w:val="000000"/>
                <w:sz w:val="18"/>
                <w:szCs w:val="18"/>
                <w:lang w:val="es-GT" w:eastAsia="es-GT"/>
              </w:rPr>
              <w:t>studios y/</w:t>
            </w:r>
            <w:r w:rsidR="003763AF" w:rsidRPr="0066150D">
              <w:rPr>
                <w:color w:val="000000"/>
                <w:sz w:val="18"/>
                <w:szCs w:val="18"/>
                <w:lang w:val="es-GT" w:eastAsia="es-GT"/>
              </w:rPr>
              <w:t>o s</w:t>
            </w:r>
            <w:r w:rsidRPr="0066150D">
              <w:rPr>
                <w:color w:val="000000"/>
                <w:sz w:val="18"/>
                <w:szCs w:val="18"/>
                <w:lang w:val="es-GT" w:eastAsia="es-GT"/>
              </w:rPr>
              <w:t>ervicios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31.1</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8.1</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26.1%</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Alimento</w:t>
            </w:r>
            <w:r w:rsidR="003763AF" w:rsidRPr="0066150D">
              <w:rPr>
                <w:color w:val="000000"/>
                <w:sz w:val="18"/>
                <w:szCs w:val="18"/>
                <w:lang w:val="es-GT" w:eastAsia="es-GT"/>
              </w:rPr>
              <w:t>s</w:t>
            </w:r>
            <w:r w:rsidRPr="0066150D">
              <w:rPr>
                <w:color w:val="000000"/>
                <w:sz w:val="18"/>
                <w:szCs w:val="18"/>
                <w:lang w:val="es-GT" w:eastAsia="es-GT"/>
              </w:rPr>
              <w:t xml:space="preserve"> para </w:t>
            </w:r>
            <w:r w:rsidR="003763AF" w:rsidRPr="0066150D">
              <w:rPr>
                <w:color w:val="000000"/>
                <w:sz w:val="18"/>
                <w:szCs w:val="18"/>
                <w:lang w:val="es-GT" w:eastAsia="es-GT"/>
              </w:rPr>
              <w:t>p</w:t>
            </w:r>
            <w:r w:rsidRPr="0066150D">
              <w:rPr>
                <w:color w:val="000000"/>
                <w:sz w:val="18"/>
                <w:szCs w:val="18"/>
                <w:lang w:val="es-GT" w:eastAsia="es-GT"/>
              </w:rPr>
              <w:t>ersonas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16.9</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0.2</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1.2%</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Elementos y </w:t>
            </w:r>
            <w:r w:rsidR="003763AF" w:rsidRPr="0066150D">
              <w:rPr>
                <w:color w:val="000000"/>
                <w:sz w:val="18"/>
                <w:szCs w:val="18"/>
                <w:lang w:val="es-GT" w:eastAsia="es-GT"/>
              </w:rPr>
              <w:t>c</w:t>
            </w:r>
            <w:r w:rsidRPr="0066150D">
              <w:rPr>
                <w:color w:val="000000"/>
                <w:sz w:val="18"/>
                <w:szCs w:val="18"/>
                <w:lang w:val="es-GT" w:eastAsia="es-GT"/>
              </w:rPr>
              <w:t xml:space="preserve">ompuestos </w:t>
            </w:r>
            <w:r w:rsidR="003763AF" w:rsidRPr="0066150D">
              <w:rPr>
                <w:color w:val="000000"/>
                <w:sz w:val="18"/>
                <w:szCs w:val="18"/>
                <w:lang w:val="es-GT" w:eastAsia="es-GT"/>
              </w:rPr>
              <w:t>q</w:t>
            </w:r>
            <w:r w:rsidRPr="0066150D">
              <w:rPr>
                <w:color w:val="000000"/>
                <w:sz w:val="18"/>
                <w:szCs w:val="18"/>
                <w:lang w:val="es-GT" w:eastAsia="es-GT"/>
              </w:rPr>
              <w:t>uímicos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397.5</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12.2</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3.1%</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Productos </w:t>
            </w:r>
            <w:r w:rsidR="003763AF" w:rsidRPr="0066150D">
              <w:rPr>
                <w:color w:val="000000"/>
                <w:sz w:val="18"/>
                <w:szCs w:val="18"/>
                <w:lang w:val="es-GT" w:eastAsia="es-GT"/>
              </w:rPr>
              <w:t>m</w:t>
            </w:r>
            <w:r w:rsidRPr="0066150D">
              <w:rPr>
                <w:color w:val="000000"/>
                <w:sz w:val="18"/>
                <w:szCs w:val="18"/>
                <w:lang w:val="es-GT" w:eastAsia="es-GT"/>
              </w:rPr>
              <w:t xml:space="preserve">edicinales y </w:t>
            </w:r>
            <w:r w:rsidR="003763AF" w:rsidRPr="0066150D">
              <w:rPr>
                <w:color w:val="000000"/>
                <w:sz w:val="18"/>
                <w:szCs w:val="18"/>
                <w:lang w:val="es-GT" w:eastAsia="es-GT"/>
              </w:rPr>
              <w:t>f</w:t>
            </w:r>
            <w:r w:rsidRPr="0066150D">
              <w:rPr>
                <w:color w:val="000000"/>
                <w:sz w:val="18"/>
                <w:szCs w:val="18"/>
                <w:lang w:val="es-GT" w:eastAsia="es-GT"/>
              </w:rPr>
              <w:t>armacéuticos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323.3</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39.8</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12.3%</w:t>
            </w:r>
          </w:p>
        </w:tc>
      </w:tr>
      <w:tr w:rsidR="00AD535C" w:rsidRPr="0066150D" w:rsidTr="00C416DA">
        <w:trPr>
          <w:trHeight w:val="250"/>
        </w:trPr>
        <w:tc>
          <w:tcPr>
            <w:tcW w:w="5183" w:type="dxa"/>
            <w:tcBorders>
              <w:top w:val="nil"/>
              <w:left w:val="single" w:sz="8" w:space="0" w:color="auto"/>
              <w:bottom w:val="nil"/>
              <w:right w:val="nil"/>
            </w:tcBorders>
            <w:shd w:val="clear" w:color="auto" w:fill="auto"/>
            <w:hideMark/>
          </w:tcPr>
          <w:p w:rsidR="00AD535C" w:rsidRPr="0066150D" w:rsidRDefault="00AD535C" w:rsidP="00304A90">
            <w:pPr>
              <w:rPr>
                <w:color w:val="000000"/>
                <w:sz w:val="18"/>
                <w:szCs w:val="18"/>
                <w:lang w:val="es-GT" w:eastAsia="es-GT"/>
              </w:rPr>
            </w:pPr>
            <w:r w:rsidRPr="0066150D">
              <w:rPr>
                <w:color w:val="000000"/>
                <w:sz w:val="18"/>
                <w:szCs w:val="18"/>
                <w:lang w:val="es-GT" w:eastAsia="es-GT"/>
              </w:rPr>
              <w:t xml:space="preserve">Útiles </w:t>
            </w:r>
            <w:r w:rsidR="003763AF" w:rsidRPr="0066150D">
              <w:rPr>
                <w:color w:val="000000"/>
                <w:sz w:val="18"/>
                <w:szCs w:val="18"/>
                <w:lang w:val="es-GT" w:eastAsia="es-GT"/>
              </w:rPr>
              <w:t>m</w:t>
            </w:r>
            <w:r w:rsidRPr="0066150D">
              <w:rPr>
                <w:color w:val="000000"/>
                <w:sz w:val="18"/>
                <w:szCs w:val="18"/>
                <w:lang w:val="es-GT" w:eastAsia="es-GT"/>
              </w:rPr>
              <w:t xml:space="preserve">enores, </w:t>
            </w:r>
            <w:r w:rsidR="003763AF" w:rsidRPr="0066150D">
              <w:rPr>
                <w:color w:val="000000"/>
                <w:sz w:val="18"/>
                <w:szCs w:val="18"/>
                <w:lang w:val="es-GT" w:eastAsia="es-GT"/>
              </w:rPr>
              <w:t>s</w:t>
            </w:r>
            <w:r w:rsidRPr="0066150D">
              <w:rPr>
                <w:color w:val="000000"/>
                <w:sz w:val="18"/>
                <w:szCs w:val="18"/>
                <w:lang w:val="es-GT" w:eastAsia="es-GT"/>
              </w:rPr>
              <w:t xml:space="preserve">uministro e </w:t>
            </w:r>
            <w:r w:rsidR="003763AF" w:rsidRPr="0066150D">
              <w:rPr>
                <w:color w:val="000000"/>
                <w:sz w:val="18"/>
                <w:szCs w:val="18"/>
                <w:lang w:val="es-GT" w:eastAsia="es-GT"/>
              </w:rPr>
              <w:t>i</w:t>
            </w:r>
            <w:r w:rsidRPr="0066150D">
              <w:rPr>
                <w:color w:val="000000"/>
                <w:sz w:val="18"/>
                <w:szCs w:val="18"/>
                <w:lang w:val="es-GT" w:eastAsia="es-GT"/>
              </w:rPr>
              <w:t xml:space="preserve">nstrumental </w:t>
            </w:r>
            <w:r w:rsidR="003763AF" w:rsidRPr="0066150D">
              <w:rPr>
                <w:color w:val="000000"/>
                <w:sz w:val="18"/>
                <w:szCs w:val="18"/>
                <w:lang w:val="es-GT" w:eastAsia="es-GT"/>
              </w:rPr>
              <w:t>m</w:t>
            </w:r>
            <w:r w:rsidRPr="0066150D">
              <w:rPr>
                <w:color w:val="000000"/>
                <w:sz w:val="18"/>
                <w:szCs w:val="18"/>
                <w:lang w:val="es-GT" w:eastAsia="es-GT"/>
              </w:rPr>
              <w:t>édico-</w:t>
            </w:r>
            <w:r w:rsidR="003763AF" w:rsidRPr="0066150D">
              <w:rPr>
                <w:color w:val="000000"/>
                <w:sz w:val="18"/>
                <w:szCs w:val="18"/>
                <w:lang w:val="es-GT" w:eastAsia="es-GT"/>
              </w:rPr>
              <w:t>q</w:t>
            </w:r>
            <w:r w:rsidRPr="0066150D">
              <w:rPr>
                <w:color w:val="000000"/>
                <w:sz w:val="18"/>
                <w:szCs w:val="18"/>
                <w:lang w:val="es-GT" w:eastAsia="es-GT"/>
              </w:rPr>
              <w:t>uirúrgico</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394.0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35.3</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9.0%</w:t>
            </w:r>
          </w:p>
        </w:tc>
      </w:tr>
      <w:tr w:rsidR="00AD535C" w:rsidRPr="0066150D" w:rsidTr="00C416DA">
        <w:trPr>
          <w:trHeight w:val="63"/>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Mobiliario y </w:t>
            </w:r>
            <w:r w:rsidR="003763AF" w:rsidRPr="0066150D">
              <w:rPr>
                <w:color w:val="000000"/>
                <w:sz w:val="18"/>
                <w:szCs w:val="18"/>
                <w:lang w:val="es-GT" w:eastAsia="es-GT"/>
              </w:rPr>
              <w:t>e</w:t>
            </w:r>
            <w:r w:rsidRPr="0066150D">
              <w:rPr>
                <w:color w:val="000000"/>
                <w:sz w:val="18"/>
                <w:szCs w:val="18"/>
                <w:lang w:val="es-GT" w:eastAsia="es-GT"/>
              </w:rPr>
              <w:t xml:space="preserve">quipo </w:t>
            </w:r>
            <w:r w:rsidR="003763AF" w:rsidRPr="0066150D">
              <w:rPr>
                <w:color w:val="000000"/>
                <w:sz w:val="18"/>
                <w:szCs w:val="18"/>
                <w:lang w:val="es-GT" w:eastAsia="es-GT"/>
              </w:rPr>
              <w:t>m</w:t>
            </w:r>
            <w:r w:rsidRPr="0066150D">
              <w:rPr>
                <w:color w:val="000000"/>
                <w:sz w:val="18"/>
                <w:szCs w:val="18"/>
                <w:lang w:val="es-GT" w:eastAsia="es-GT"/>
              </w:rPr>
              <w:t>édico-</w:t>
            </w:r>
            <w:r w:rsidR="003763AF" w:rsidRPr="0066150D">
              <w:rPr>
                <w:color w:val="000000"/>
                <w:sz w:val="18"/>
                <w:szCs w:val="18"/>
                <w:lang w:val="es-GT" w:eastAsia="es-GT"/>
              </w:rPr>
              <w:t>s</w:t>
            </w:r>
            <w:r w:rsidRPr="0066150D">
              <w:rPr>
                <w:color w:val="000000"/>
                <w:sz w:val="18"/>
                <w:szCs w:val="18"/>
                <w:lang w:val="es-GT" w:eastAsia="es-GT"/>
              </w:rPr>
              <w:t xml:space="preserve">anitario y de </w:t>
            </w:r>
            <w:r w:rsidR="003763AF" w:rsidRPr="0066150D">
              <w:rPr>
                <w:color w:val="000000"/>
                <w:sz w:val="18"/>
                <w:szCs w:val="18"/>
                <w:lang w:val="es-GT" w:eastAsia="es-GT"/>
              </w:rPr>
              <w:t>l</w:t>
            </w:r>
            <w:r w:rsidRPr="0066150D">
              <w:rPr>
                <w:color w:val="000000"/>
                <w:sz w:val="18"/>
                <w:szCs w:val="18"/>
                <w:lang w:val="es-GT" w:eastAsia="es-GT"/>
              </w:rPr>
              <w:t>aboratorio</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291.5</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10.2</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3.5%</w:t>
            </w:r>
          </w:p>
        </w:tc>
      </w:tr>
      <w:tr w:rsidR="00AD535C" w:rsidRPr="0066150D"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Otras </w:t>
            </w:r>
            <w:r w:rsidR="003763AF" w:rsidRPr="0066150D">
              <w:rPr>
                <w:color w:val="000000"/>
                <w:sz w:val="18"/>
                <w:szCs w:val="18"/>
                <w:lang w:val="es-GT" w:eastAsia="es-GT"/>
              </w:rPr>
              <w:t>m</w:t>
            </w:r>
            <w:r w:rsidRPr="0066150D">
              <w:rPr>
                <w:color w:val="000000"/>
                <w:sz w:val="18"/>
                <w:szCs w:val="18"/>
                <w:lang w:val="es-GT" w:eastAsia="es-GT"/>
              </w:rPr>
              <w:t xml:space="preserve">aquinarias y </w:t>
            </w:r>
            <w:r w:rsidR="003763AF" w:rsidRPr="0066150D">
              <w:rPr>
                <w:color w:val="000000"/>
                <w:sz w:val="18"/>
                <w:szCs w:val="18"/>
                <w:lang w:val="es-GT" w:eastAsia="es-GT"/>
              </w:rPr>
              <w:t>e</w:t>
            </w:r>
            <w:r w:rsidRPr="0066150D">
              <w:rPr>
                <w:color w:val="000000"/>
                <w:sz w:val="18"/>
                <w:szCs w:val="18"/>
                <w:lang w:val="es-GT" w:eastAsia="es-GT"/>
              </w:rPr>
              <w:t>quipos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304A90" w:rsidP="00304A90">
            <w:pPr>
              <w:jc w:val="right"/>
              <w:rPr>
                <w:color w:val="000000"/>
                <w:sz w:val="18"/>
                <w:szCs w:val="18"/>
                <w:lang w:val="es-GT" w:eastAsia="es-GT"/>
              </w:rPr>
            </w:pPr>
            <w:r>
              <w:rPr>
                <w:color w:val="000000"/>
                <w:sz w:val="18"/>
                <w:szCs w:val="18"/>
                <w:lang w:val="es-GT" w:eastAsia="es-GT"/>
              </w:rPr>
              <w:t>10</w:t>
            </w:r>
            <w:r w:rsidR="00AD535C" w:rsidRPr="0066150D">
              <w:rPr>
                <w:color w:val="000000"/>
                <w:sz w:val="18"/>
                <w:szCs w:val="18"/>
                <w:lang w:val="es-GT" w:eastAsia="es-GT"/>
              </w:rPr>
              <w:t>1.</w:t>
            </w:r>
            <w:r>
              <w:rPr>
                <w:color w:val="000000"/>
                <w:sz w:val="18"/>
                <w:szCs w:val="18"/>
                <w:lang w:val="es-GT" w:eastAsia="es-GT"/>
              </w:rPr>
              <w:t>8</w:t>
            </w:r>
          </w:p>
        </w:tc>
        <w:tc>
          <w:tcPr>
            <w:tcW w:w="1417" w:type="dxa"/>
            <w:tcBorders>
              <w:top w:val="nil"/>
              <w:left w:val="nil"/>
              <w:bottom w:val="nil"/>
              <w:right w:val="single" w:sz="4" w:space="0" w:color="auto"/>
            </w:tcBorders>
            <w:shd w:val="clear" w:color="auto" w:fill="auto"/>
            <w:noWrap/>
            <w:hideMark/>
          </w:tcPr>
          <w:p w:rsidR="00AD535C" w:rsidRPr="0066150D" w:rsidRDefault="00AD535C" w:rsidP="00304A90">
            <w:pPr>
              <w:jc w:val="right"/>
              <w:rPr>
                <w:color w:val="000000"/>
                <w:sz w:val="18"/>
                <w:szCs w:val="18"/>
                <w:lang w:val="es-GT" w:eastAsia="es-GT"/>
              </w:rPr>
            </w:pPr>
            <w:r w:rsidRPr="0066150D">
              <w:rPr>
                <w:color w:val="000000"/>
                <w:sz w:val="18"/>
                <w:szCs w:val="18"/>
                <w:lang w:val="es-GT" w:eastAsia="es-GT"/>
              </w:rPr>
              <w:t>1</w:t>
            </w:r>
            <w:r w:rsidR="00304A90">
              <w:rPr>
                <w:color w:val="000000"/>
                <w:sz w:val="18"/>
                <w:szCs w:val="18"/>
                <w:lang w:val="es-GT" w:eastAsia="es-GT"/>
              </w:rPr>
              <w:t>0</w:t>
            </w:r>
            <w:r w:rsidRPr="0066150D">
              <w:rPr>
                <w:color w:val="000000"/>
                <w:sz w:val="18"/>
                <w:szCs w:val="18"/>
                <w:lang w:val="es-GT" w:eastAsia="es-GT"/>
              </w:rPr>
              <w:t>.</w:t>
            </w:r>
            <w:r w:rsidR="00304A90">
              <w:rPr>
                <w:color w:val="000000"/>
                <w:sz w:val="18"/>
                <w:szCs w:val="18"/>
                <w:lang w:val="es-GT" w:eastAsia="es-GT"/>
              </w:rPr>
              <w:t>4</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4.9%</w:t>
            </w:r>
          </w:p>
        </w:tc>
      </w:tr>
      <w:tr w:rsidR="00AD535C" w:rsidRPr="0066150D" w:rsidTr="00C416DA">
        <w:trPr>
          <w:trHeight w:val="260"/>
        </w:trPr>
        <w:tc>
          <w:tcPr>
            <w:tcW w:w="5183" w:type="dxa"/>
            <w:tcBorders>
              <w:top w:val="nil"/>
              <w:left w:val="single" w:sz="8" w:space="0" w:color="auto"/>
              <w:right w:val="nil"/>
            </w:tcBorders>
            <w:shd w:val="clear" w:color="auto" w:fill="auto"/>
            <w:noWrap/>
            <w:hideMark/>
          </w:tcPr>
          <w:p w:rsidR="00AD535C" w:rsidRPr="0066150D" w:rsidRDefault="00AD535C" w:rsidP="0025776C">
            <w:pPr>
              <w:rPr>
                <w:b/>
                <w:bCs/>
                <w:color w:val="000000"/>
                <w:sz w:val="18"/>
                <w:szCs w:val="18"/>
                <w:lang w:val="es-GT" w:eastAsia="es-GT"/>
              </w:rPr>
            </w:pPr>
            <w:r w:rsidRPr="0066150D">
              <w:rPr>
                <w:b/>
                <w:bCs/>
                <w:color w:val="000000"/>
                <w:sz w:val="18"/>
                <w:szCs w:val="18"/>
                <w:lang w:val="es-GT" w:eastAsia="es-GT"/>
              </w:rPr>
              <w:t>Ministerio de Trabajo</w:t>
            </w:r>
            <w:r w:rsidR="003763AF" w:rsidRPr="0066150D">
              <w:rPr>
                <w:b/>
                <w:bCs/>
                <w:color w:val="000000"/>
                <w:sz w:val="18"/>
                <w:szCs w:val="18"/>
                <w:lang w:val="es-GT" w:eastAsia="es-GT"/>
              </w:rPr>
              <w:t xml:space="preserve"> y Previsión Social</w:t>
            </w:r>
            <w:r w:rsidRPr="0066150D">
              <w:rPr>
                <w:b/>
                <w:bCs/>
                <w:color w:val="000000"/>
                <w:sz w:val="18"/>
                <w:szCs w:val="18"/>
                <w:lang w:val="es-GT" w:eastAsia="es-GT"/>
              </w:rPr>
              <w:t xml:space="preserve"> </w:t>
            </w:r>
          </w:p>
        </w:tc>
        <w:tc>
          <w:tcPr>
            <w:tcW w:w="1418" w:type="dxa"/>
            <w:tcBorders>
              <w:top w:val="nil"/>
              <w:left w:val="single" w:sz="4" w:space="0" w:color="auto"/>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50.0</w:t>
            </w:r>
          </w:p>
        </w:tc>
        <w:tc>
          <w:tcPr>
            <w:tcW w:w="1417" w:type="dxa"/>
            <w:tcBorders>
              <w:top w:val="nil"/>
              <w:left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2.6</w:t>
            </w:r>
          </w:p>
        </w:tc>
        <w:tc>
          <w:tcPr>
            <w:tcW w:w="1276" w:type="dxa"/>
            <w:tcBorders>
              <w:top w:val="nil"/>
              <w:left w:val="nil"/>
              <w:right w:val="single" w:sz="8"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5.2%</w:t>
            </w:r>
          </w:p>
        </w:tc>
      </w:tr>
      <w:tr w:rsidR="00AD535C" w:rsidRPr="0066150D" w:rsidTr="00C416DA">
        <w:trPr>
          <w:trHeight w:val="270"/>
        </w:trPr>
        <w:tc>
          <w:tcPr>
            <w:tcW w:w="5183" w:type="dxa"/>
            <w:tcBorders>
              <w:top w:val="nil"/>
              <w:left w:val="single" w:sz="8" w:space="0" w:color="auto"/>
              <w:right w:val="nil"/>
            </w:tcBorders>
            <w:shd w:val="clear" w:color="auto" w:fill="auto"/>
            <w:noWrap/>
            <w:hideMark/>
          </w:tcPr>
          <w:p w:rsidR="00AD535C" w:rsidRPr="0066150D" w:rsidRDefault="00AD535C" w:rsidP="003763AF">
            <w:pPr>
              <w:rPr>
                <w:color w:val="000000"/>
                <w:sz w:val="18"/>
                <w:szCs w:val="18"/>
                <w:lang w:val="es-GT" w:eastAsia="es-GT"/>
              </w:rPr>
            </w:pPr>
            <w:r w:rsidRPr="0066150D">
              <w:rPr>
                <w:color w:val="000000"/>
                <w:sz w:val="18"/>
                <w:szCs w:val="18"/>
                <w:lang w:val="es-GT" w:eastAsia="es-GT"/>
              </w:rPr>
              <w:t xml:space="preserve">Aporte </w:t>
            </w:r>
            <w:r w:rsidR="003763AF" w:rsidRPr="0066150D">
              <w:rPr>
                <w:color w:val="000000"/>
                <w:sz w:val="18"/>
                <w:szCs w:val="18"/>
                <w:lang w:val="es-GT" w:eastAsia="es-GT"/>
              </w:rPr>
              <w:t>e</w:t>
            </w:r>
            <w:r w:rsidRPr="0066150D">
              <w:rPr>
                <w:color w:val="000000"/>
                <w:sz w:val="18"/>
                <w:szCs w:val="18"/>
                <w:lang w:val="es-GT" w:eastAsia="es-GT"/>
              </w:rPr>
              <w:t xml:space="preserve">conómico </w:t>
            </w:r>
            <w:r w:rsidR="003763AF" w:rsidRPr="0066150D">
              <w:rPr>
                <w:color w:val="000000"/>
                <w:sz w:val="18"/>
                <w:szCs w:val="18"/>
                <w:lang w:val="es-GT" w:eastAsia="es-GT"/>
              </w:rPr>
              <w:t xml:space="preserve">al Programa del </w:t>
            </w:r>
            <w:r w:rsidRPr="0066150D">
              <w:rPr>
                <w:color w:val="000000"/>
                <w:sz w:val="18"/>
                <w:szCs w:val="18"/>
                <w:lang w:val="es-GT" w:eastAsia="es-GT"/>
              </w:rPr>
              <w:t>Adulto Mayor</w:t>
            </w:r>
          </w:p>
        </w:tc>
        <w:tc>
          <w:tcPr>
            <w:tcW w:w="1418" w:type="dxa"/>
            <w:tcBorders>
              <w:top w:val="nil"/>
              <w:left w:val="single" w:sz="4" w:space="0" w:color="auto"/>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50.0</w:t>
            </w:r>
          </w:p>
        </w:tc>
        <w:tc>
          <w:tcPr>
            <w:tcW w:w="1417" w:type="dxa"/>
            <w:tcBorders>
              <w:top w:val="nil"/>
              <w:left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2.6</w:t>
            </w:r>
          </w:p>
        </w:tc>
        <w:tc>
          <w:tcPr>
            <w:tcW w:w="1276" w:type="dxa"/>
            <w:tcBorders>
              <w:top w:val="nil"/>
              <w:left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5.2%</w:t>
            </w:r>
          </w:p>
        </w:tc>
      </w:tr>
      <w:tr w:rsidR="00AD535C" w:rsidRPr="005A297B" w:rsidTr="00C416DA">
        <w:trPr>
          <w:trHeight w:val="260"/>
        </w:trPr>
        <w:tc>
          <w:tcPr>
            <w:tcW w:w="5183" w:type="dxa"/>
            <w:tcBorders>
              <w:left w:val="single" w:sz="8" w:space="0" w:color="auto"/>
              <w:bottom w:val="nil"/>
              <w:right w:val="nil"/>
            </w:tcBorders>
            <w:shd w:val="clear" w:color="auto" w:fill="auto"/>
            <w:noWrap/>
            <w:hideMark/>
          </w:tcPr>
          <w:p w:rsidR="00AD535C" w:rsidRPr="0066150D" w:rsidRDefault="00AD535C" w:rsidP="0025776C">
            <w:pPr>
              <w:rPr>
                <w:b/>
                <w:bCs/>
                <w:color w:val="000000"/>
                <w:sz w:val="18"/>
                <w:szCs w:val="18"/>
                <w:lang w:val="es-GT" w:eastAsia="es-GT"/>
              </w:rPr>
            </w:pPr>
            <w:r w:rsidRPr="0066150D">
              <w:rPr>
                <w:b/>
                <w:bCs/>
                <w:color w:val="000000"/>
                <w:sz w:val="18"/>
                <w:szCs w:val="18"/>
                <w:lang w:val="es-GT" w:eastAsia="es-GT"/>
              </w:rPr>
              <w:t>Ministerio de Economía</w:t>
            </w:r>
          </w:p>
        </w:tc>
        <w:tc>
          <w:tcPr>
            <w:tcW w:w="1418" w:type="dxa"/>
            <w:tcBorders>
              <w:left w:val="single" w:sz="4" w:space="0" w:color="auto"/>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2,401.0</w:t>
            </w:r>
          </w:p>
        </w:tc>
        <w:tc>
          <w:tcPr>
            <w:tcW w:w="1417" w:type="dxa"/>
            <w:tcBorders>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506.5</w:t>
            </w:r>
          </w:p>
        </w:tc>
        <w:tc>
          <w:tcPr>
            <w:tcW w:w="1276" w:type="dxa"/>
            <w:tcBorders>
              <w:left w:val="nil"/>
              <w:bottom w:val="nil"/>
              <w:right w:val="single" w:sz="8"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21.1%</w:t>
            </w:r>
          </w:p>
        </w:tc>
      </w:tr>
      <w:tr w:rsidR="00AD535C" w:rsidRPr="005A297B" w:rsidTr="00C416DA">
        <w:trPr>
          <w:trHeight w:val="158"/>
        </w:trPr>
        <w:tc>
          <w:tcPr>
            <w:tcW w:w="5183" w:type="dxa"/>
            <w:tcBorders>
              <w:top w:val="nil"/>
              <w:left w:val="single" w:sz="8" w:space="0" w:color="auto"/>
              <w:bottom w:val="nil"/>
              <w:right w:val="nil"/>
            </w:tcBorders>
            <w:shd w:val="clear" w:color="auto" w:fill="auto"/>
            <w:hideMark/>
          </w:tcPr>
          <w:p w:rsidR="00AD535C" w:rsidRPr="0066150D" w:rsidRDefault="00AD535C" w:rsidP="00C416DA">
            <w:pPr>
              <w:rPr>
                <w:color w:val="000000"/>
                <w:sz w:val="18"/>
                <w:szCs w:val="18"/>
                <w:lang w:val="es-GT" w:eastAsia="es-GT"/>
              </w:rPr>
            </w:pPr>
            <w:r w:rsidRPr="0066150D">
              <w:rPr>
                <w:color w:val="000000"/>
                <w:sz w:val="18"/>
                <w:szCs w:val="18"/>
                <w:lang w:val="es-GT" w:eastAsia="es-GT"/>
              </w:rPr>
              <w:t xml:space="preserve">Útiles </w:t>
            </w:r>
            <w:r w:rsidR="00915A61" w:rsidRPr="0066150D">
              <w:rPr>
                <w:color w:val="000000"/>
                <w:sz w:val="18"/>
                <w:szCs w:val="18"/>
                <w:lang w:val="es-GT" w:eastAsia="es-GT"/>
              </w:rPr>
              <w:t>m</w:t>
            </w:r>
            <w:r w:rsidRPr="0066150D">
              <w:rPr>
                <w:color w:val="000000"/>
                <w:sz w:val="18"/>
                <w:szCs w:val="18"/>
                <w:lang w:val="es-GT" w:eastAsia="es-GT"/>
              </w:rPr>
              <w:t xml:space="preserve">enores, </w:t>
            </w:r>
            <w:r w:rsidR="00915A61" w:rsidRPr="0066150D">
              <w:rPr>
                <w:color w:val="000000"/>
                <w:sz w:val="18"/>
                <w:szCs w:val="18"/>
                <w:lang w:val="es-GT" w:eastAsia="es-GT"/>
              </w:rPr>
              <w:t>s</w:t>
            </w:r>
            <w:r w:rsidRPr="0066150D">
              <w:rPr>
                <w:color w:val="000000"/>
                <w:sz w:val="18"/>
                <w:szCs w:val="18"/>
                <w:lang w:val="es-GT" w:eastAsia="es-GT"/>
              </w:rPr>
              <w:t xml:space="preserve">uministro e </w:t>
            </w:r>
            <w:r w:rsidR="00915A61" w:rsidRPr="0066150D">
              <w:rPr>
                <w:color w:val="000000"/>
                <w:sz w:val="18"/>
                <w:szCs w:val="18"/>
                <w:lang w:val="es-GT" w:eastAsia="es-GT"/>
              </w:rPr>
              <w:t>i</w:t>
            </w:r>
            <w:r w:rsidRPr="0066150D">
              <w:rPr>
                <w:color w:val="000000"/>
                <w:sz w:val="18"/>
                <w:szCs w:val="18"/>
                <w:lang w:val="es-GT" w:eastAsia="es-GT"/>
              </w:rPr>
              <w:t xml:space="preserve">nstrumental </w:t>
            </w:r>
            <w:r w:rsidR="00915A61" w:rsidRPr="0066150D">
              <w:rPr>
                <w:color w:val="000000"/>
                <w:sz w:val="18"/>
                <w:szCs w:val="18"/>
                <w:lang w:val="es-GT" w:eastAsia="es-GT"/>
              </w:rPr>
              <w:t>m</w:t>
            </w:r>
            <w:r w:rsidRPr="0066150D">
              <w:rPr>
                <w:color w:val="000000"/>
                <w:sz w:val="18"/>
                <w:szCs w:val="18"/>
                <w:lang w:val="es-GT" w:eastAsia="es-GT"/>
              </w:rPr>
              <w:t>édico-</w:t>
            </w:r>
            <w:r w:rsidR="00915A61" w:rsidRPr="0066150D">
              <w:rPr>
                <w:color w:val="000000"/>
                <w:sz w:val="18"/>
                <w:szCs w:val="18"/>
                <w:lang w:val="es-GT" w:eastAsia="es-GT"/>
              </w:rPr>
              <w:t>q</w:t>
            </w:r>
            <w:r w:rsidRPr="0066150D">
              <w:rPr>
                <w:color w:val="000000"/>
                <w:sz w:val="18"/>
                <w:szCs w:val="18"/>
                <w:lang w:val="es-GT" w:eastAsia="es-GT"/>
              </w:rPr>
              <w:t>uirúrgico</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color w:val="000000"/>
                <w:sz w:val="18"/>
                <w:szCs w:val="18"/>
                <w:lang w:val="es-GT" w:eastAsia="es-GT"/>
              </w:rPr>
            </w:pPr>
            <w:r w:rsidRPr="0066150D">
              <w:rPr>
                <w:color w:val="000000"/>
                <w:sz w:val="18"/>
                <w:szCs w:val="18"/>
                <w:lang w:val="es-GT" w:eastAsia="es-GT"/>
              </w:rPr>
              <w:t xml:space="preserve">Fondo de Protección de Empleo (Decreto </w:t>
            </w:r>
            <w:r w:rsidR="00915A61" w:rsidRPr="0066150D">
              <w:rPr>
                <w:color w:val="000000"/>
                <w:sz w:val="18"/>
                <w:szCs w:val="18"/>
                <w:lang w:val="es-GT" w:eastAsia="es-GT"/>
              </w:rPr>
              <w:t xml:space="preserve">No. </w:t>
            </w:r>
            <w:r w:rsidRPr="0066150D">
              <w:rPr>
                <w:color w:val="000000"/>
                <w:sz w:val="18"/>
                <w:szCs w:val="18"/>
                <w:lang w:val="es-GT" w:eastAsia="es-GT"/>
              </w:rPr>
              <w:t>13-2020)</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2,000.0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506.5</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25.3%</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color w:val="000000"/>
                <w:sz w:val="18"/>
                <w:szCs w:val="18"/>
                <w:lang w:val="es-GT" w:eastAsia="es-GT"/>
              </w:rPr>
            </w:pPr>
            <w:r w:rsidRPr="0066150D">
              <w:rPr>
                <w:color w:val="000000"/>
                <w:sz w:val="18"/>
                <w:szCs w:val="18"/>
                <w:lang w:val="es-GT" w:eastAsia="es-GT"/>
              </w:rPr>
              <w:t xml:space="preserve">Fideicomiso MIPYME </w:t>
            </w:r>
            <w:r w:rsidR="00915A61" w:rsidRPr="0066150D">
              <w:rPr>
                <w:color w:val="000000"/>
                <w:sz w:val="18"/>
                <w:szCs w:val="18"/>
                <w:lang w:val="es-GT" w:eastAsia="es-GT"/>
              </w:rPr>
              <w:t xml:space="preserve">S </w:t>
            </w:r>
            <w:r w:rsidRPr="0066150D">
              <w:rPr>
                <w:color w:val="000000"/>
                <w:sz w:val="18"/>
                <w:szCs w:val="18"/>
                <w:lang w:val="es-GT" w:eastAsia="es-GT"/>
              </w:rPr>
              <w:t xml:space="preserve">(Decreto </w:t>
            </w:r>
            <w:r w:rsidR="00915A61" w:rsidRPr="0066150D">
              <w:rPr>
                <w:color w:val="000000"/>
                <w:sz w:val="18"/>
                <w:szCs w:val="18"/>
                <w:lang w:val="es-GT" w:eastAsia="es-GT"/>
              </w:rPr>
              <w:t xml:space="preserve">No. </w:t>
            </w:r>
            <w:r w:rsidRPr="0066150D">
              <w:rPr>
                <w:color w:val="000000"/>
                <w:sz w:val="18"/>
                <w:szCs w:val="18"/>
                <w:lang w:val="es-GT" w:eastAsia="es-GT"/>
              </w:rPr>
              <w:t>12</w:t>
            </w:r>
            <w:r w:rsidR="00915A61" w:rsidRPr="0066150D">
              <w:rPr>
                <w:color w:val="000000"/>
                <w:sz w:val="18"/>
                <w:szCs w:val="18"/>
                <w:lang w:val="es-GT" w:eastAsia="es-GT"/>
              </w:rPr>
              <w:t>-</w:t>
            </w:r>
            <w:r w:rsidRPr="0066150D">
              <w:rPr>
                <w:color w:val="000000"/>
                <w:sz w:val="18"/>
                <w:szCs w:val="18"/>
                <w:lang w:val="es-GT" w:eastAsia="es-GT"/>
              </w:rPr>
              <w:t>2020)</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400.0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b/>
                <w:bCs/>
                <w:color w:val="000000"/>
                <w:sz w:val="18"/>
                <w:szCs w:val="18"/>
                <w:lang w:val="es-GT" w:eastAsia="es-GT"/>
              </w:rPr>
            </w:pPr>
            <w:r w:rsidRPr="0066150D">
              <w:rPr>
                <w:b/>
                <w:bCs/>
                <w:color w:val="000000"/>
                <w:sz w:val="18"/>
                <w:szCs w:val="18"/>
                <w:lang w:val="es-GT" w:eastAsia="es-GT"/>
              </w:rPr>
              <w:t>Ministerio de Agricultura</w:t>
            </w:r>
            <w:r w:rsidR="00915A61" w:rsidRPr="0066150D">
              <w:rPr>
                <w:b/>
                <w:bCs/>
                <w:color w:val="000000"/>
                <w:sz w:val="18"/>
                <w:szCs w:val="18"/>
                <w:lang w:val="es-GT" w:eastAsia="es-GT"/>
              </w:rPr>
              <w:t>, Ganadería y Alimentación</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401.3</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0.0%</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color w:val="000000"/>
                <w:sz w:val="18"/>
                <w:szCs w:val="18"/>
                <w:lang w:val="es-GT" w:eastAsia="es-GT"/>
              </w:rPr>
            </w:pPr>
            <w:r w:rsidRPr="0066150D">
              <w:rPr>
                <w:color w:val="000000"/>
                <w:sz w:val="18"/>
                <w:szCs w:val="18"/>
                <w:lang w:val="es-GT" w:eastAsia="es-GT"/>
              </w:rPr>
              <w:t xml:space="preserve">Bolsa de Alimentos (Decreto </w:t>
            </w:r>
            <w:r w:rsidR="00915A61" w:rsidRPr="0066150D">
              <w:rPr>
                <w:color w:val="000000"/>
                <w:sz w:val="18"/>
                <w:szCs w:val="18"/>
                <w:lang w:val="es-GT" w:eastAsia="es-GT"/>
              </w:rPr>
              <w:t xml:space="preserve">No. </w:t>
            </w:r>
            <w:r w:rsidRPr="0066150D">
              <w:rPr>
                <w:color w:val="000000"/>
                <w:sz w:val="18"/>
                <w:szCs w:val="18"/>
                <w:lang w:val="es-GT" w:eastAsia="es-GT"/>
              </w:rPr>
              <w:t>12-2020</w:t>
            </w:r>
            <w:r w:rsidR="00915A61" w:rsidRPr="0066150D">
              <w:rPr>
                <w:color w:val="000000"/>
                <w:sz w:val="18"/>
                <w:szCs w:val="18"/>
                <w:lang w:val="es-GT" w:eastAsia="es-GT"/>
              </w:rPr>
              <w:t>)</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350.0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915A61">
            <w:pPr>
              <w:rPr>
                <w:color w:val="000000"/>
                <w:sz w:val="18"/>
                <w:szCs w:val="18"/>
                <w:lang w:val="es-GT" w:eastAsia="es-GT"/>
              </w:rPr>
            </w:pPr>
            <w:r w:rsidRPr="0066150D">
              <w:rPr>
                <w:color w:val="000000"/>
                <w:sz w:val="18"/>
                <w:szCs w:val="18"/>
                <w:lang w:val="es-GT" w:eastAsia="es-GT"/>
              </w:rPr>
              <w:t xml:space="preserve">Otros </w:t>
            </w:r>
            <w:r w:rsidR="00915A61" w:rsidRPr="0066150D">
              <w:rPr>
                <w:color w:val="000000"/>
                <w:sz w:val="18"/>
                <w:szCs w:val="18"/>
                <w:lang w:val="es-GT" w:eastAsia="es-GT"/>
              </w:rPr>
              <w:t>m</w:t>
            </w:r>
            <w:r w:rsidRPr="0066150D">
              <w:rPr>
                <w:color w:val="000000"/>
                <w:sz w:val="18"/>
                <w:szCs w:val="18"/>
                <w:lang w:val="es-GT" w:eastAsia="es-GT"/>
              </w:rPr>
              <w:t xml:space="preserve">ateriales y </w:t>
            </w:r>
            <w:r w:rsidR="00915A61" w:rsidRPr="0066150D">
              <w:rPr>
                <w:color w:val="000000"/>
                <w:sz w:val="18"/>
                <w:szCs w:val="18"/>
                <w:lang w:val="es-GT" w:eastAsia="es-GT"/>
              </w:rPr>
              <w:t>s</w:t>
            </w:r>
            <w:r w:rsidRPr="0066150D">
              <w:rPr>
                <w:color w:val="000000"/>
                <w:sz w:val="18"/>
                <w:szCs w:val="18"/>
                <w:lang w:val="es-GT" w:eastAsia="es-GT"/>
              </w:rPr>
              <w:t>uministros</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C416DA">
            <w:pPr>
              <w:jc w:val="right"/>
              <w:rPr>
                <w:color w:val="000000"/>
                <w:sz w:val="18"/>
                <w:szCs w:val="18"/>
                <w:lang w:val="es-GT" w:eastAsia="es-GT"/>
              </w:rPr>
            </w:pPr>
            <w:r w:rsidRPr="0066150D">
              <w:rPr>
                <w:color w:val="000000"/>
                <w:sz w:val="18"/>
                <w:szCs w:val="18"/>
                <w:lang w:val="es-GT" w:eastAsia="es-GT"/>
              </w:rPr>
              <w:t>5</w:t>
            </w:r>
            <w:r w:rsidR="00C416DA">
              <w:rPr>
                <w:color w:val="000000"/>
                <w:sz w:val="18"/>
                <w:szCs w:val="18"/>
                <w:lang w:val="es-GT" w:eastAsia="es-GT"/>
              </w:rPr>
              <w:t>1.3</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915A61">
            <w:pPr>
              <w:rPr>
                <w:b/>
                <w:bCs/>
                <w:color w:val="000000"/>
                <w:sz w:val="18"/>
                <w:szCs w:val="18"/>
                <w:lang w:val="es-GT" w:eastAsia="es-GT"/>
              </w:rPr>
            </w:pPr>
            <w:r w:rsidRPr="0066150D">
              <w:rPr>
                <w:b/>
                <w:bCs/>
                <w:color w:val="000000"/>
                <w:sz w:val="18"/>
                <w:szCs w:val="18"/>
                <w:lang w:val="es-GT" w:eastAsia="es-GT"/>
              </w:rPr>
              <w:t>Secretarías</w:t>
            </w:r>
            <w:r w:rsidR="00915A61" w:rsidRPr="0066150D">
              <w:rPr>
                <w:b/>
                <w:bCs/>
                <w:color w:val="000000"/>
                <w:sz w:val="18"/>
                <w:szCs w:val="18"/>
                <w:lang w:val="es-GT" w:eastAsia="es-GT"/>
              </w:rPr>
              <w:t xml:space="preserve"> y Otras Dependencias del Ejecutivo</w:t>
            </w:r>
            <w:r w:rsidRPr="0066150D">
              <w:rPr>
                <w:b/>
                <w:bCs/>
                <w:color w:val="000000"/>
                <w:sz w:val="18"/>
                <w:szCs w:val="18"/>
                <w:lang w:val="es-GT" w:eastAsia="es-GT"/>
              </w:rPr>
              <w:t xml:space="preserve"> </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12.7</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2.9</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22.9%</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915A61">
            <w:pPr>
              <w:rPr>
                <w:color w:val="000000"/>
                <w:sz w:val="18"/>
                <w:szCs w:val="18"/>
                <w:lang w:val="es-GT" w:eastAsia="es-GT"/>
              </w:rPr>
            </w:pPr>
            <w:r w:rsidRPr="0066150D">
              <w:rPr>
                <w:color w:val="000000"/>
                <w:sz w:val="18"/>
                <w:szCs w:val="18"/>
                <w:lang w:val="es-GT" w:eastAsia="es-GT"/>
              </w:rPr>
              <w:t xml:space="preserve">Divulgación e </w:t>
            </w:r>
            <w:r w:rsidR="00915A61" w:rsidRPr="0066150D">
              <w:rPr>
                <w:color w:val="000000"/>
                <w:sz w:val="18"/>
                <w:szCs w:val="18"/>
                <w:lang w:val="es-GT" w:eastAsia="es-GT"/>
              </w:rPr>
              <w:t>i</w:t>
            </w:r>
            <w:r w:rsidRPr="0066150D">
              <w:rPr>
                <w:color w:val="000000"/>
                <w:sz w:val="18"/>
                <w:szCs w:val="18"/>
                <w:lang w:val="es-GT" w:eastAsia="es-GT"/>
              </w:rPr>
              <w:t>nformación</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10.0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2.3</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22.6%</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915A61">
            <w:pPr>
              <w:rPr>
                <w:color w:val="000000"/>
                <w:sz w:val="18"/>
                <w:szCs w:val="18"/>
                <w:lang w:val="es-GT" w:eastAsia="es-GT"/>
              </w:rPr>
            </w:pPr>
            <w:r w:rsidRPr="0066150D">
              <w:rPr>
                <w:color w:val="000000"/>
                <w:sz w:val="18"/>
                <w:szCs w:val="18"/>
                <w:lang w:val="es-GT" w:eastAsia="es-GT"/>
              </w:rPr>
              <w:t xml:space="preserve">Otros </w:t>
            </w:r>
            <w:r w:rsidR="00915A61" w:rsidRPr="0066150D">
              <w:rPr>
                <w:color w:val="000000"/>
                <w:sz w:val="18"/>
                <w:szCs w:val="18"/>
                <w:lang w:val="es-GT" w:eastAsia="es-GT"/>
              </w:rPr>
              <w:t>v</w:t>
            </w:r>
            <w:r w:rsidRPr="0066150D">
              <w:rPr>
                <w:color w:val="000000"/>
                <w:sz w:val="18"/>
                <w:szCs w:val="18"/>
                <w:lang w:val="es-GT" w:eastAsia="es-GT"/>
              </w:rPr>
              <w:t xml:space="preserve">iáticos </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1.3</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r>
      <w:tr w:rsidR="00AD535C" w:rsidRPr="005A297B" w:rsidTr="00C416DA">
        <w:trPr>
          <w:trHeight w:val="148"/>
        </w:trPr>
        <w:tc>
          <w:tcPr>
            <w:tcW w:w="5183" w:type="dxa"/>
            <w:tcBorders>
              <w:top w:val="nil"/>
              <w:left w:val="single" w:sz="8" w:space="0" w:color="auto"/>
              <w:bottom w:val="nil"/>
              <w:right w:val="nil"/>
            </w:tcBorders>
            <w:shd w:val="clear" w:color="auto" w:fill="auto"/>
            <w:hideMark/>
          </w:tcPr>
          <w:p w:rsidR="00AD535C" w:rsidRPr="0066150D" w:rsidRDefault="00AD535C" w:rsidP="00C416DA">
            <w:pPr>
              <w:rPr>
                <w:color w:val="000000"/>
                <w:sz w:val="18"/>
                <w:szCs w:val="18"/>
                <w:lang w:val="es-GT" w:eastAsia="es-GT"/>
              </w:rPr>
            </w:pPr>
            <w:r w:rsidRPr="0066150D">
              <w:rPr>
                <w:color w:val="000000"/>
                <w:sz w:val="18"/>
                <w:szCs w:val="18"/>
                <w:lang w:val="es-GT" w:eastAsia="es-GT"/>
              </w:rPr>
              <w:t xml:space="preserve">Útiles </w:t>
            </w:r>
            <w:r w:rsidR="00915A61" w:rsidRPr="0066150D">
              <w:rPr>
                <w:color w:val="000000"/>
                <w:sz w:val="18"/>
                <w:szCs w:val="18"/>
                <w:lang w:val="es-GT" w:eastAsia="es-GT"/>
              </w:rPr>
              <w:t>m</w:t>
            </w:r>
            <w:r w:rsidRPr="0066150D">
              <w:rPr>
                <w:color w:val="000000"/>
                <w:sz w:val="18"/>
                <w:szCs w:val="18"/>
                <w:lang w:val="es-GT" w:eastAsia="es-GT"/>
              </w:rPr>
              <w:t xml:space="preserve">enores, </w:t>
            </w:r>
            <w:r w:rsidR="00915A61" w:rsidRPr="0066150D">
              <w:rPr>
                <w:color w:val="000000"/>
                <w:sz w:val="18"/>
                <w:szCs w:val="18"/>
                <w:lang w:val="es-GT" w:eastAsia="es-GT"/>
              </w:rPr>
              <w:t>s</w:t>
            </w:r>
            <w:r w:rsidRPr="0066150D">
              <w:rPr>
                <w:color w:val="000000"/>
                <w:sz w:val="18"/>
                <w:szCs w:val="18"/>
                <w:lang w:val="es-GT" w:eastAsia="es-GT"/>
              </w:rPr>
              <w:t xml:space="preserve">uministro e </w:t>
            </w:r>
            <w:r w:rsidR="00915A61" w:rsidRPr="0066150D">
              <w:rPr>
                <w:color w:val="000000"/>
                <w:sz w:val="18"/>
                <w:szCs w:val="18"/>
                <w:lang w:val="es-GT" w:eastAsia="es-GT"/>
              </w:rPr>
              <w:t>i</w:t>
            </w:r>
            <w:r w:rsidRPr="0066150D">
              <w:rPr>
                <w:color w:val="000000"/>
                <w:sz w:val="18"/>
                <w:szCs w:val="18"/>
                <w:lang w:val="es-GT" w:eastAsia="es-GT"/>
              </w:rPr>
              <w:t xml:space="preserve">nstrumental </w:t>
            </w:r>
            <w:r w:rsidR="00915A61" w:rsidRPr="0066150D">
              <w:rPr>
                <w:color w:val="000000"/>
                <w:sz w:val="18"/>
                <w:szCs w:val="18"/>
                <w:lang w:val="es-GT" w:eastAsia="es-GT"/>
              </w:rPr>
              <w:t>m</w:t>
            </w:r>
            <w:r w:rsidRPr="0066150D">
              <w:rPr>
                <w:color w:val="000000"/>
                <w:sz w:val="18"/>
                <w:szCs w:val="18"/>
                <w:lang w:val="es-GT" w:eastAsia="es-GT"/>
              </w:rPr>
              <w:t>édico-</w:t>
            </w:r>
            <w:r w:rsidR="00915A61" w:rsidRPr="0066150D">
              <w:rPr>
                <w:color w:val="000000"/>
                <w:sz w:val="18"/>
                <w:szCs w:val="18"/>
                <w:lang w:val="es-GT" w:eastAsia="es-GT"/>
              </w:rPr>
              <w:t>q</w:t>
            </w:r>
            <w:r w:rsidRPr="0066150D">
              <w:rPr>
                <w:color w:val="000000"/>
                <w:sz w:val="18"/>
                <w:szCs w:val="18"/>
                <w:lang w:val="es-GT" w:eastAsia="es-GT"/>
              </w:rPr>
              <w:t>uirúrgico</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C416DA" w:rsidP="00C416DA">
            <w:pPr>
              <w:jc w:val="right"/>
              <w:rPr>
                <w:color w:val="000000"/>
                <w:sz w:val="18"/>
                <w:szCs w:val="18"/>
                <w:lang w:val="es-GT" w:eastAsia="es-GT"/>
              </w:rPr>
            </w:pPr>
            <w:r>
              <w:rPr>
                <w:color w:val="000000"/>
                <w:sz w:val="18"/>
                <w:szCs w:val="18"/>
                <w:lang w:val="es-GT" w:eastAsia="es-GT"/>
              </w:rPr>
              <w:t>1</w:t>
            </w:r>
            <w:r w:rsidR="00AD535C" w:rsidRPr="0066150D">
              <w:rPr>
                <w:color w:val="000000"/>
                <w:sz w:val="18"/>
                <w:szCs w:val="18"/>
                <w:lang w:val="es-GT" w:eastAsia="es-GT"/>
              </w:rPr>
              <w:t>.4</w:t>
            </w:r>
          </w:p>
        </w:tc>
        <w:tc>
          <w:tcPr>
            <w:tcW w:w="1417" w:type="dxa"/>
            <w:tcBorders>
              <w:top w:val="nil"/>
              <w:left w:val="nil"/>
              <w:bottom w:val="nil"/>
              <w:right w:val="single" w:sz="4" w:space="0" w:color="auto"/>
            </w:tcBorders>
            <w:shd w:val="clear" w:color="auto" w:fill="auto"/>
            <w:noWrap/>
            <w:hideMark/>
          </w:tcPr>
          <w:p w:rsidR="00AD535C" w:rsidRPr="0066150D" w:rsidRDefault="00AD535C" w:rsidP="00C416DA">
            <w:pPr>
              <w:jc w:val="right"/>
              <w:rPr>
                <w:color w:val="000000"/>
                <w:sz w:val="18"/>
                <w:szCs w:val="18"/>
                <w:lang w:val="es-GT" w:eastAsia="es-GT"/>
              </w:rPr>
            </w:pPr>
            <w:r w:rsidRPr="0066150D">
              <w:rPr>
                <w:color w:val="000000"/>
                <w:sz w:val="18"/>
                <w:szCs w:val="18"/>
                <w:lang w:val="es-GT" w:eastAsia="es-GT"/>
              </w:rPr>
              <w:t>0.</w:t>
            </w:r>
            <w:r w:rsidR="00C416DA">
              <w:rPr>
                <w:color w:val="000000"/>
                <w:sz w:val="18"/>
                <w:szCs w:val="18"/>
                <w:lang w:val="es-GT" w:eastAsia="es-GT"/>
              </w:rPr>
              <w:t>7</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79.5%</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b/>
                <w:bCs/>
                <w:color w:val="000000"/>
                <w:sz w:val="18"/>
                <w:szCs w:val="18"/>
                <w:lang w:val="es-GT" w:eastAsia="es-GT"/>
              </w:rPr>
            </w:pPr>
            <w:r w:rsidRPr="0066150D">
              <w:rPr>
                <w:b/>
                <w:bCs/>
                <w:color w:val="000000"/>
                <w:sz w:val="18"/>
                <w:szCs w:val="18"/>
                <w:lang w:val="es-GT" w:eastAsia="es-GT"/>
              </w:rPr>
              <w:t>Obligaciones del Estado</w:t>
            </w:r>
            <w:r w:rsidR="00915A61" w:rsidRPr="0066150D">
              <w:rPr>
                <w:b/>
                <w:bCs/>
                <w:color w:val="000000"/>
                <w:sz w:val="18"/>
                <w:szCs w:val="18"/>
                <w:lang w:val="es-GT" w:eastAsia="es-GT"/>
              </w:rPr>
              <w:t xml:space="preserve"> a Cargo del Tesoro</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3,250.0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1,720.0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52.9%</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915A61">
            <w:pPr>
              <w:rPr>
                <w:color w:val="000000"/>
                <w:sz w:val="18"/>
                <w:szCs w:val="18"/>
                <w:lang w:val="es-GT" w:eastAsia="es-GT"/>
              </w:rPr>
            </w:pPr>
            <w:r w:rsidRPr="0066150D">
              <w:rPr>
                <w:color w:val="000000"/>
                <w:sz w:val="18"/>
                <w:szCs w:val="18"/>
                <w:lang w:val="es-GT" w:eastAsia="es-GT"/>
              </w:rPr>
              <w:t xml:space="preserve">Aporte </w:t>
            </w:r>
            <w:r w:rsidR="00915A61" w:rsidRPr="0066150D">
              <w:rPr>
                <w:color w:val="000000"/>
                <w:sz w:val="18"/>
                <w:szCs w:val="18"/>
                <w:lang w:val="es-GT" w:eastAsia="es-GT"/>
              </w:rPr>
              <w:t>a la t</w:t>
            </w:r>
            <w:r w:rsidRPr="0066150D">
              <w:rPr>
                <w:color w:val="000000"/>
                <w:sz w:val="18"/>
                <w:szCs w:val="18"/>
                <w:lang w:val="es-GT" w:eastAsia="es-GT"/>
              </w:rPr>
              <w:t xml:space="preserve">arifa </w:t>
            </w:r>
            <w:r w:rsidR="00915A61" w:rsidRPr="0066150D">
              <w:rPr>
                <w:color w:val="000000"/>
                <w:sz w:val="18"/>
                <w:szCs w:val="18"/>
                <w:lang w:val="es-GT" w:eastAsia="es-GT"/>
              </w:rPr>
              <w:t>s</w:t>
            </w:r>
            <w:r w:rsidRPr="0066150D">
              <w:rPr>
                <w:color w:val="000000"/>
                <w:sz w:val="18"/>
                <w:szCs w:val="18"/>
                <w:lang w:val="es-GT" w:eastAsia="es-GT"/>
              </w:rPr>
              <w:t xml:space="preserve">ocial de </w:t>
            </w:r>
            <w:r w:rsidR="00915A61" w:rsidRPr="0066150D">
              <w:rPr>
                <w:color w:val="000000"/>
                <w:sz w:val="18"/>
                <w:szCs w:val="18"/>
                <w:lang w:val="es-GT" w:eastAsia="es-GT"/>
              </w:rPr>
              <w:t>e</w:t>
            </w:r>
            <w:r w:rsidRPr="0066150D">
              <w:rPr>
                <w:color w:val="000000"/>
                <w:sz w:val="18"/>
                <w:szCs w:val="18"/>
                <w:lang w:val="es-GT" w:eastAsia="es-GT"/>
              </w:rPr>
              <w:t>nergía</w:t>
            </w:r>
            <w:r w:rsidR="00915A61" w:rsidRPr="0066150D">
              <w:rPr>
                <w:color w:val="000000"/>
                <w:sz w:val="18"/>
                <w:szCs w:val="18"/>
                <w:lang w:val="es-GT" w:eastAsia="es-GT"/>
              </w:rPr>
              <w:t xml:space="preserve"> eléctrica,</w:t>
            </w:r>
            <w:r w:rsidRPr="0066150D">
              <w:rPr>
                <w:color w:val="000000"/>
                <w:sz w:val="18"/>
                <w:szCs w:val="18"/>
                <w:lang w:val="es-GT" w:eastAsia="es-GT"/>
              </w:rPr>
              <w:t xml:space="preserve"> INDE</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270.0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270.0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100.0%</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915A61" w:rsidP="00915A61">
            <w:pPr>
              <w:rPr>
                <w:color w:val="000000"/>
                <w:sz w:val="18"/>
                <w:szCs w:val="18"/>
                <w:lang w:val="es-GT" w:eastAsia="es-GT"/>
              </w:rPr>
            </w:pPr>
            <w:r w:rsidRPr="0066150D">
              <w:rPr>
                <w:color w:val="000000"/>
                <w:sz w:val="18"/>
                <w:szCs w:val="18"/>
                <w:lang w:val="es-GT" w:eastAsia="es-GT"/>
              </w:rPr>
              <w:t>Fondo para capital de trabajo,</w:t>
            </w:r>
            <w:r w:rsidR="00AD535C" w:rsidRPr="0066150D">
              <w:rPr>
                <w:color w:val="000000"/>
                <w:sz w:val="18"/>
                <w:szCs w:val="18"/>
                <w:lang w:val="es-GT" w:eastAsia="es-GT"/>
              </w:rPr>
              <w:t xml:space="preserve"> CHN</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2,980.0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1,450.0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48.7%</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b/>
                <w:bCs/>
                <w:color w:val="000000"/>
                <w:sz w:val="18"/>
                <w:szCs w:val="18"/>
                <w:lang w:val="es-GT" w:eastAsia="es-GT"/>
              </w:rPr>
            </w:pPr>
            <w:r w:rsidRPr="0066150D">
              <w:rPr>
                <w:b/>
                <w:bCs/>
                <w:color w:val="000000"/>
                <w:sz w:val="18"/>
                <w:szCs w:val="18"/>
                <w:lang w:val="es-GT" w:eastAsia="es-GT"/>
              </w:rPr>
              <w:t>Ministerio de Desarrollo Social</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6,464.1</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1,750.9</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b/>
                <w:bCs/>
                <w:color w:val="000000"/>
                <w:sz w:val="18"/>
                <w:szCs w:val="18"/>
                <w:lang w:val="es-GT" w:eastAsia="es-GT"/>
              </w:rPr>
            </w:pPr>
            <w:r w:rsidRPr="0066150D">
              <w:rPr>
                <w:b/>
                <w:bCs/>
                <w:color w:val="000000"/>
                <w:sz w:val="18"/>
                <w:szCs w:val="18"/>
                <w:lang w:val="es-GT" w:eastAsia="es-GT"/>
              </w:rPr>
              <w:t>27.1%</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915A61">
            <w:pPr>
              <w:rPr>
                <w:color w:val="000000"/>
                <w:sz w:val="18"/>
                <w:szCs w:val="18"/>
                <w:lang w:val="es-GT" w:eastAsia="es-GT"/>
              </w:rPr>
            </w:pPr>
            <w:r w:rsidRPr="0066150D">
              <w:rPr>
                <w:color w:val="000000"/>
                <w:sz w:val="18"/>
                <w:szCs w:val="18"/>
                <w:lang w:val="es-GT" w:eastAsia="es-GT"/>
              </w:rPr>
              <w:t xml:space="preserve">Bolsa de </w:t>
            </w:r>
            <w:r w:rsidR="00915A61" w:rsidRPr="0066150D">
              <w:rPr>
                <w:color w:val="000000"/>
                <w:sz w:val="18"/>
                <w:szCs w:val="18"/>
                <w:lang w:val="es-GT" w:eastAsia="es-GT"/>
              </w:rPr>
              <w:t>a</w:t>
            </w:r>
            <w:r w:rsidRPr="0066150D">
              <w:rPr>
                <w:color w:val="000000"/>
                <w:sz w:val="18"/>
                <w:szCs w:val="18"/>
                <w:lang w:val="es-GT" w:eastAsia="es-GT"/>
              </w:rPr>
              <w:t xml:space="preserve">limentos (Decreto </w:t>
            </w:r>
            <w:r w:rsidR="00915A61" w:rsidRPr="0066150D">
              <w:rPr>
                <w:color w:val="000000"/>
                <w:sz w:val="18"/>
                <w:szCs w:val="18"/>
                <w:lang w:val="es-GT" w:eastAsia="es-GT"/>
              </w:rPr>
              <w:t xml:space="preserve">No. </w:t>
            </w:r>
            <w:r w:rsidRPr="0066150D">
              <w:rPr>
                <w:color w:val="000000"/>
                <w:sz w:val="18"/>
                <w:szCs w:val="18"/>
                <w:lang w:val="es-GT" w:eastAsia="es-GT"/>
              </w:rPr>
              <w:t>12-2020)</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358.4</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r>
      <w:tr w:rsidR="00AD535C" w:rsidRPr="005A297B" w:rsidTr="00C416DA">
        <w:trPr>
          <w:trHeight w:val="260"/>
        </w:trPr>
        <w:tc>
          <w:tcPr>
            <w:tcW w:w="5183" w:type="dxa"/>
            <w:tcBorders>
              <w:top w:val="nil"/>
              <w:left w:val="single" w:sz="8" w:space="0" w:color="auto"/>
              <w:bottom w:val="nil"/>
              <w:right w:val="nil"/>
            </w:tcBorders>
            <w:shd w:val="clear" w:color="auto" w:fill="auto"/>
            <w:noWrap/>
            <w:hideMark/>
          </w:tcPr>
          <w:p w:rsidR="00AD535C" w:rsidRPr="0066150D" w:rsidRDefault="00AD535C" w:rsidP="0025776C">
            <w:pPr>
              <w:rPr>
                <w:color w:val="000000"/>
                <w:sz w:val="18"/>
                <w:szCs w:val="18"/>
                <w:lang w:val="es-GT" w:eastAsia="es-GT"/>
              </w:rPr>
            </w:pPr>
            <w:r w:rsidRPr="0066150D">
              <w:rPr>
                <w:color w:val="000000"/>
                <w:sz w:val="18"/>
                <w:szCs w:val="18"/>
                <w:lang w:val="es-GT" w:eastAsia="es-GT"/>
              </w:rPr>
              <w:t>Bono para familias (</w:t>
            </w:r>
            <w:r w:rsidR="00915A61" w:rsidRPr="0066150D">
              <w:rPr>
                <w:color w:val="000000"/>
                <w:sz w:val="18"/>
                <w:szCs w:val="18"/>
                <w:lang w:val="es-GT" w:eastAsia="es-GT"/>
              </w:rPr>
              <w:t xml:space="preserve">Decreto No. </w:t>
            </w:r>
            <w:r w:rsidRPr="0066150D">
              <w:rPr>
                <w:color w:val="000000"/>
                <w:sz w:val="18"/>
                <w:szCs w:val="18"/>
                <w:lang w:val="es-GT" w:eastAsia="es-GT"/>
              </w:rPr>
              <w:t>13-2020)</w:t>
            </w:r>
          </w:p>
        </w:tc>
        <w:tc>
          <w:tcPr>
            <w:tcW w:w="1418" w:type="dxa"/>
            <w:tcBorders>
              <w:top w:val="nil"/>
              <w:left w:val="single" w:sz="4" w:space="0" w:color="auto"/>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6,100.0</w:t>
            </w:r>
          </w:p>
        </w:tc>
        <w:tc>
          <w:tcPr>
            <w:tcW w:w="1417" w:type="dxa"/>
            <w:tcBorders>
              <w:top w:val="nil"/>
              <w:left w:val="nil"/>
              <w:bottom w:val="nil"/>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1,750.9</w:t>
            </w:r>
          </w:p>
        </w:tc>
        <w:tc>
          <w:tcPr>
            <w:tcW w:w="1276" w:type="dxa"/>
            <w:tcBorders>
              <w:top w:val="nil"/>
              <w:left w:val="nil"/>
              <w:bottom w:val="nil"/>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28.7%</w:t>
            </w:r>
          </w:p>
        </w:tc>
      </w:tr>
      <w:tr w:rsidR="00AD535C" w:rsidRPr="005A297B" w:rsidTr="00C416DA">
        <w:trPr>
          <w:trHeight w:val="270"/>
        </w:trPr>
        <w:tc>
          <w:tcPr>
            <w:tcW w:w="5183" w:type="dxa"/>
            <w:tcBorders>
              <w:top w:val="nil"/>
              <w:left w:val="single" w:sz="8" w:space="0" w:color="auto"/>
              <w:bottom w:val="single" w:sz="8" w:space="0" w:color="auto"/>
              <w:right w:val="nil"/>
            </w:tcBorders>
            <w:shd w:val="clear" w:color="auto" w:fill="auto"/>
            <w:noWrap/>
            <w:hideMark/>
          </w:tcPr>
          <w:p w:rsidR="00AD535C" w:rsidRPr="0066150D" w:rsidRDefault="00AD535C" w:rsidP="0025776C">
            <w:pPr>
              <w:rPr>
                <w:color w:val="000000"/>
                <w:sz w:val="18"/>
                <w:szCs w:val="18"/>
                <w:lang w:val="es-GT" w:eastAsia="es-GT"/>
              </w:rPr>
            </w:pPr>
            <w:r w:rsidRPr="0066150D">
              <w:rPr>
                <w:color w:val="000000"/>
                <w:sz w:val="18"/>
                <w:szCs w:val="18"/>
                <w:lang w:val="es-GT" w:eastAsia="es-GT"/>
              </w:rPr>
              <w:t>Otros</w:t>
            </w:r>
          </w:p>
        </w:tc>
        <w:tc>
          <w:tcPr>
            <w:tcW w:w="1418" w:type="dxa"/>
            <w:tcBorders>
              <w:top w:val="nil"/>
              <w:left w:val="single" w:sz="4" w:space="0" w:color="auto"/>
              <w:bottom w:val="single" w:sz="8" w:space="0" w:color="auto"/>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5.7</w:t>
            </w:r>
          </w:p>
        </w:tc>
        <w:tc>
          <w:tcPr>
            <w:tcW w:w="1417" w:type="dxa"/>
            <w:tcBorders>
              <w:top w:val="nil"/>
              <w:left w:val="nil"/>
              <w:bottom w:val="single" w:sz="8" w:space="0" w:color="auto"/>
              <w:right w:val="single" w:sz="4"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c>
          <w:tcPr>
            <w:tcW w:w="1276" w:type="dxa"/>
            <w:tcBorders>
              <w:top w:val="nil"/>
              <w:left w:val="nil"/>
              <w:bottom w:val="single" w:sz="8" w:space="0" w:color="auto"/>
              <w:right w:val="single" w:sz="8" w:space="0" w:color="auto"/>
            </w:tcBorders>
            <w:shd w:val="clear" w:color="auto" w:fill="auto"/>
            <w:noWrap/>
            <w:hideMark/>
          </w:tcPr>
          <w:p w:rsidR="00AD535C" w:rsidRPr="0066150D" w:rsidRDefault="00AD535C" w:rsidP="0025776C">
            <w:pPr>
              <w:jc w:val="right"/>
              <w:rPr>
                <w:color w:val="000000"/>
                <w:sz w:val="18"/>
                <w:szCs w:val="18"/>
                <w:lang w:val="es-GT" w:eastAsia="es-GT"/>
              </w:rPr>
            </w:pPr>
            <w:r w:rsidRPr="0066150D">
              <w:rPr>
                <w:color w:val="000000"/>
                <w:sz w:val="18"/>
                <w:szCs w:val="18"/>
                <w:lang w:val="es-GT" w:eastAsia="es-GT"/>
              </w:rPr>
              <w:t>0.0%</w:t>
            </w:r>
          </w:p>
        </w:tc>
      </w:tr>
    </w:tbl>
    <w:p w:rsidR="00450674" w:rsidRDefault="00450674" w:rsidP="00450674">
      <w:pPr>
        <w:jc w:val="both"/>
        <w:rPr>
          <w:sz w:val="18"/>
          <w:lang w:val="es-MX"/>
        </w:rPr>
      </w:pPr>
      <w:r w:rsidRPr="00CF5481">
        <w:rPr>
          <w:sz w:val="18"/>
          <w:lang w:val="es-MX"/>
        </w:rPr>
        <w:t>* Cifras preliminares.</w:t>
      </w:r>
    </w:p>
    <w:p w:rsidR="00450674" w:rsidRPr="00CF5481" w:rsidRDefault="00450674" w:rsidP="00450674">
      <w:pPr>
        <w:jc w:val="both"/>
        <w:rPr>
          <w:sz w:val="18"/>
          <w:lang w:val="es-MX"/>
        </w:rPr>
      </w:pPr>
      <w:r>
        <w:rPr>
          <w:sz w:val="18"/>
          <w:lang w:val="es-MX"/>
        </w:rPr>
        <w:t xml:space="preserve">    </w:t>
      </w:r>
      <w:r w:rsidRPr="00CF5481">
        <w:rPr>
          <w:sz w:val="18"/>
          <w:lang w:val="es-MX"/>
        </w:rPr>
        <w:t>Fuente: Ministerio de Finanzas Públicas con base al SICOIN.</w:t>
      </w:r>
    </w:p>
    <w:p w:rsidR="00450674" w:rsidRDefault="00450674" w:rsidP="00450674">
      <w:pPr>
        <w:jc w:val="both"/>
        <w:rPr>
          <w:sz w:val="18"/>
          <w:lang w:val="es-MX"/>
        </w:rPr>
      </w:pPr>
    </w:p>
    <w:p w:rsidR="00BF2057" w:rsidRDefault="00BF2057" w:rsidP="00AD535C">
      <w:pPr>
        <w:jc w:val="both"/>
        <w:rPr>
          <w:szCs w:val="22"/>
        </w:rPr>
      </w:pPr>
    </w:p>
    <w:p w:rsidR="00BF2057" w:rsidRDefault="00BF2057" w:rsidP="00AD535C">
      <w:pPr>
        <w:jc w:val="both"/>
        <w:rPr>
          <w:szCs w:val="22"/>
        </w:rPr>
      </w:pPr>
    </w:p>
    <w:p w:rsidR="00AD535C" w:rsidRDefault="00AD535C" w:rsidP="00AD535C">
      <w:pPr>
        <w:jc w:val="both"/>
        <w:rPr>
          <w:b/>
          <w:szCs w:val="22"/>
          <w:lang w:val="es-MX"/>
        </w:rPr>
      </w:pPr>
      <w:r w:rsidRPr="00450674">
        <w:rPr>
          <w:szCs w:val="22"/>
        </w:rPr>
        <w:t xml:space="preserve">Del monto vigente del </w:t>
      </w:r>
      <w:r w:rsidR="00450674">
        <w:rPr>
          <w:szCs w:val="22"/>
        </w:rPr>
        <w:t>P</w:t>
      </w:r>
      <w:r w:rsidRPr="00450674">
        <w:rPr>
          <w:szCs w:val="22"/>
        </w:rPr>
        <w:t>rograma C</w:t>
      </w:r>
      <w:r w:rsidR="00450674">
        <w:rPr>
          <w:szCs w:val="22"/>
        </w:rPr>
        <w:t>ovid</w:t>
      </w:r>
      <w:r w:rsidRPr="00450674">
        <w:rPr>
          <w:szCs w:val="22"/>
        </w:rPr>
        <w:t>-19 po</w:t>
      </w:r>
      <w:r w:rsidR="00450674">
        <w:rPr>
          <w:szCs w:val="22"/>
        </w:rPr>
        <w:t>r</w:t>
      </w:r>
      <w:r w:rsidRPr="00450674">
        <w:rPr>
          <w:szCs w:val="22"/>
        </w:rPr>
        <w:t xml:space="preserve"> un monto de Q.14,299.7 millones, el 79.9% proviene de </w:t>
      </w:r>
      <w:r w:rsidR="00450674">
        <w:rPr>
          <w:szCs w:val="22"/>
        </w:rPr>
        <w:t>c</w:t>
      </w:r>
      <w:r w:rsidRPr="00450674">
        <w:rPr>
          <w:szCs w:val="22"/>
        </w:rPr>
        <w:t xml:space="preserve">olocaciones </w:t>
      </w:r>
      <w:r w:rsidR="00450674">
        <w:rPr>
          <w:szCs w:val="22"/>
        </w:rPr>
        <w:t>i</w:t>
      </w:r>
      <w:r w:rsidRPr="00450674">
        <w:rPr>
          <w:szCs w:val="22"/>
        </w:rPr>
        <w:t>nternas (emisión de Bonos</w:t>
      </w:r>
      <w:r w:rsidR="00450674">
        <w:rPr>
          <w:szCs w:val="22"/>
        </w:rPr>
        <w:t xml:space="preserve"> del Tesoro</w:t>
      </w:r>
      <w:r w:rsidRPr="00450674">
        <w:rPr>
          <w:szCs w:val="22"/>
        </w:rPr>
        <w:t xml:space="preserve">); el 16.8% de </w:t>
      </w:r>
      <w:r w:rsidR="00450674">
        <w:rPr>
          <w:szCs w:val="22"/>
        </w:rPr>
        <w:t>p</w:t>
      </w:r>
      <w:r w:rsidRPr="00450674">
        <w:rPr>
          <w:szCs w:val="22"/>
        </w:rPr>
        <w:t xml:space="preserve">réstamos </w:t>
      </w:r>
      <w:r w:rsidR="00450674">
        <w:rPr>
          <w:szCs w:val="22"/>
        </w:rPr>
        <w:t>e</w:t>
      </w:r>
      <w:r w:rsidRPr="00450674">
        <w:rPr>
          <w:szCs w:val="22"/>
        </w:rPr>
        <w:t xml:space="preserve">xternos y el 3.0% de </w:t>
      </w:r>
      <w:r w:rsidR="00450674">
        <w:rPr>
          <w:szCs w:val="22"/>
        </w:rPr>
        <w:t>i</w:t>
      </w:r>
      <w:r w:rsidRPr="00450674">
        <w:rPr>
          <w:szCs w:val="22"/>
        </w:rPr>
        <w:t xml:space="preserve">ngresos </w:t>
      </w:r>
      <w:r w:rsidR="00450674">
        <w:rPr>
          <w:szCs w:val="22"/>
        </w:rPr>
        <w:t>c</w:t>
      </w:r>
      <w:r w:rsidRPr="00450674">
        <w:rPr>
          <w:szCs w:val="22"/>
        </w:rPr>
        <w:t>orrientes.</w:t>
      </w:r>
    </w:p>
    <w:p w:rsidR="004440F1" w:rsidRDefault="004440F1" w:rsidP="00AD535C">
      <w:pPr>
        <w:jc w:val="both"/>
        <w:rPr>
          <w:b/>
          <w:szCs w:val="22"/>
          <w:lang w:val="es-MX"/>
        </w:rPr>
      </w:pPr>
    </w:p>
    <w:p w:rsidR="00BF2057" w:rsidRPr="00450674" w:rsidRDefault="00BF2057" w:rsidP="00AD535C">
      <w:pPr>
        <w:jc w:val="both"/>
        <w:rPr>
          <w:b/>
          <w:szCs w:val="22"/>
          <w:lang w:val="es-MX"/>
        </w:rPr>
      </w:pPr>
    </w:p>
    <w:p w:rsidR="00AD535C" w:rsidRPr="00453502" w:rsidRDefault="00AD535C" w:rsidP="00AD535C">
      <w:pPr>
        <w:jc w:val="center"/>
        <w:rPr>
          <w:b/>
          <w:szCs w:val="22"/>
          <w:lang w:val="es-MX"/>
        </w:rPr>
      </w:pPr>
      <w:r w:rsidRPr="00453502">
        <w:rPr>
          <w:b/>
          <w:szCs w:val="22"/>
          <w:lang w:val="es-MX"/>
        </w:rPr>
        <w:t>Cuadro 14</w:t>
      </w:r>
    </w:p>
    <w:p w:rsidR="00AD535C" w:rsidRPr="00453502" w:rsidRDefault="00AD535C" w:rsidP="00AD535C">
      <w:pPr>
        <w:jc w:val="center"/>
        <w:rPr>
          <w:b/>
          <w:szCs w:val="22"/>
          <w:lang w:val="es-MX"/>
        </w:rPr>
      </w:pPr>
      <w:r w:rsidRPr="00453502">
        <w:rPr>
          <w:b/>
          <w:szCs w:val="22"/>
          <w:lang w:val="es-MX"/>
        </w:rPr>
        <w:t>Programa de Emergencia C</w:t>
      </w:r>
      <w:r w:rsidR="00450674" w:rsidRPr="00453502">
        <w:rPr>
          <w:b/>
          <w:szCs w:val="22"/>
          <w:lang w:val="es-MX"/>
        </w:rPr>
        <w:t>ovid</w:t>
      </w:r>
      <w:r w:rsidRPr="00453502">
        <w:rPr>
          <w:b/>
          <w:szCs w:val="22"/>
          <w:lang w:val="es-MX"/>
        </w:rPr>
        <w:t>-19</w:t>
      </w:r>
      <w:r w:rsidR="00A75101">
        <w:rPr>
          <w:b/>
          <w:szCs w:val="22"/>
          <w:lang w:val="es-MX"/>
        </w:rPr>
        <w:t xml:space="preserve"> por Fuente de Financiamiento</w:t>
      </w:r>
    </w:p>
    <w:p w:rsidR="00AD535C" w:rsidRPr="00453502" w:rsidRDefault="00AD535C" w:rsidP="00AD535C">
      <w:pPr>
        <w:jc w:val="center"/>
        <w:rPr>
          <w:b/>
          <w:szCs w:val="22"/>
          <w:lang w:val="es-MX"/>
        </w:rPr>
      </w:pPr>
      <w:r w:rsidRPr="00453502">
        <w:rPr>
          <w:b/>
          <w:szCs w:val="22"/>
          <w:lang w:val="es-MX"/>
        </w:rPr>
        <w:t>Al 30 de junio de 2020</w:t>
      </w:r>
      <w:r w:rsidR="00927D15">
        <w:rPr>
          <w:b/>
          <w:szCs w:val="22"/>
          <w:lang w:val="es-MX"/>
        </w:rPr>
        <w:t>*</w:t>
      </w:r>
    </w:p>
    <w:p w:rsidR="00AD535C" w:rsidRPr="00453502" w:rsidRDefault="00AD535C" w:rsidP="00AD535C">
      <w:pPr>
        <w:jc w:val="center"/>
        <w:rPr>
          <w:sz w:val="20"/>
          <w:lang w:val="es-MX"/>
        </w:rPr>
      </w:pPr>
      <w:r w:rsidRPr="00453502">
        <w:rPr>
          <w:b/>
          <w:szCs w:val="22"/>
          <w:lang w:val="es-MX"/>
        </w:rPr>
        <w:t>(Cifras en Millones de Quetzales)</w:t>
      </w:r>
    </w:p>
    <w:tbl>
      <w:tblPr>
        <w:tblW w:w="9319" w:type="dxa"/>
        <w:tblInd w:w="-10" w:type="dxa"/>
        <w:tblCellMar>
          <w:left w:w="70" w:type="dxa"/>
          <w:right w:w="70" w:type="dxa"/>
        </w:tblCellMar>
        <w:tblLook w:val="04A0" w:firstRow="1" w:lastRow="0" w:firstColumn="1" w:lastColumn="0" w:noHBand="0" w:noVBand="1"/>
      </w:tblPr>
      <w:tblGrid>
        <w:gridCol w:w="813"/>
        <w:gridCol w:w="4370"/>
        <w:gridCol w:w="1418"/>
        <w:gridCol w:w="1417"/>
        <w:gridCol w:w="1301"/>
      </w:tblGrid>
      <w:tr w:rsidR="00AD535C" w:rsidRPr="002F48E5" w:rsidTr="00453502">
        <w:trPr>
          <w:trHeight w:val="570"/>
        </w:trPr>
        <w:tc>
          <w:tcPr>
            <w:tcW w:w="813" w:type="dxa"/>
            <w:tcBorders>
              <w:top w:val="single" w:sz="8" w:space="0" w:color="auto"/>
              <w:left w:val="single" w:sz="8" w:space="0" w:color="auto"/>
              <w:bottom w:val="single" w:sz="8" w:space="0" w:color="auto"/>
              <w:right w:val="nil"/>
            </w:tcBorders>
            <w:shd w:val="clear" w:color="000000" w:fill="9BC2E6"/>
            <w:noWrap/>
            <w:vAlign w:val="center"/>
            <w:hideMark/>
          </w:tcPr>
          <w:p w:rsidR="00AD535C" w:rsidRPr="00F34EEA" w:rsidRDefault="00453502" w:rsidP="00453502">
            <w:pPr>
              <w:jc w:val="center"/>
              <w:rPr>
                <w:b/>
                <w:bCs/>
                <w:color w:val="000000"/>
                <w:sz w:val="22"/>
                <w:szCs w:val="22"/>
                <w:lang w:val="es-GT" w:eastAsia="es-GT"/>
              </w:rPr>
            </w:pPr>
            <w:r w:rsidRPr="00F34EEA">
              <w:rPr>
                <w:b/>
                <w:bCs/>
                <w:color w:val="000000"/>
                <w:sz w:val="22"/>
                <w:szCs w:val="22"/>
                <w:lang w:val="es-GT" w:eastAsia="es-GT"/>
              </w:rPr>
              <w:t>Código</w:t>
            </w:r>
          </w:p>
        </w:tc>
        <w:tc>
          <w:tcPr>
            <w:tcW w:w="4370" w:type="dxa"/>
            <w:tcBorders>
              <w:top w:val="single" w:sz="8" w:space="0" w:color="auto"/>
              <w:left w:val="single" w:sz="8" w:space="0" w:color="auto"/>
              <w:bottom w:val="single" w:sz="8" w:space="0" w:color="auto"/>
              <w:right w:val="nil"/>
            </w:tcBorders>
            <w:shd w:val="clear" w:color="000000" w:fill="9BC2E6"/>
            <w:noWrap/>
            <w:vAlign w:val="center"/>
            <w:hideMark/>
          </w:tcPr>
          <w:p w:rsidR="00AD535C" w:rsidRPr="00F34EEA" w:rsidRDefault="00453502" w:rsidP="00453502">
            <w:pPr>
              <w:jc w:val="center"/>
              <w:rPr>
                <w:b/>
                <w:bCs/>
                <w:color w:val="000000"/>
                <w:sz w:val="22"/>
                <w:szCs w:val="22"/>
                <w:lang w:val="es-GT" w:eastAsia="es-GT"/>
              </w:rPr>
            </w:pPr>
            <w:r w:rsidRPr="00F34EEA">
              <w:rPr>
                <w:b/>
                <w:bCs/>
                <w:color w:val="000000"/>
                <w:sz w:val="22"/>
                <w:szCs w:val="22"/>
                <w:lang w:val="es-GT" w:eastAsia="es-GT"/>
              </w:rPr>
              <w:t>Fuente</w:t>
            </w:r>
          </w:p>
        </w:tc>
        <w:tc>
          <w:tcPr>
            <w:tcW w:w="1418" w:type="dxa"/>
            <w:tcBorders>
              <w:top w:val="single" w:sz="8" w:space="0" w:color="auto"/>
              <w:left w:val="single" w:sz="4" w:space="0" w:color="auto"/>
              <w:bottom w:val="single" w:sz="8" w:space="0" w:color="auto"/>
              <w:right w:val="single" w:sz="4" w:space="0" w:color="auto"/>
            </w:tcBorders>
            <w:shd w:val="clear" w:color="000000" w:fill="9BC2E6"/>
            <w:hideMark/>
          </w:tcPr>
          <w:p w:rsidR="00AD535C" w:rsidRPr="00F34EEA" w:rsidRDefault="00AD535C" w:rsidP="0025776C">
            <w:pPr>
              <w:jc w:val="center"/>
              <w:rPr>
                <w:b/>
                <w:bCs/>
                <w:color w:val="000000"/>
                <w:sz w:val="22"/>
                <w:szCs w:val="22"/>
                <w:lang w:val="es-GT" w:eastAsia="es-GT"/>
              </w:rPr>
            </w:pPr>
            <w:r w:rsidRPr="00F34EEA">
              <w:rPr>
                <w:b/>
                <w:bCs/>
                <w:color w:val="000000"/>
                <w:sz w:val="22"/>
                <w:szCs w:val="22"/>
                <w:lang w:val="es-GT" w:eastAsia="es-GT"/>
              </w:rPr>
              <w:t>Presupuesto Vigente</w:t>
            </w:r>
          </w:p>
        </w:tc>
        <w:tc>
          <w:tcPr>
            <w:tcW w:w="1417" w:type="dxa"/>
            <w:tcBorders>
              <w:top w:val="single" w:sz="8" w:space="0" w:color="auto"/>
              <w:left w:val="nil"/>
              <w:bottom w:val="single" w:sz="8" w:space="0" w:color="auto"/>
              <w:right w:val="single" w:sz="8" w:space="0" w:color="auto"/>
            </w:tcBorders>
            <w:shd w:val="clear" w:color="000000" w:fill="9BC2E6"/>
            <w:hideMark/>
          </w:tcPr>
          <w:p w:rsidR="00AD535C" w:rsidRPr="00F34EEA" w:rsidRDefault="00AD535C" w:rsidP="0025776C">
            <w:pPr>
              <w:jc w:val="center"/>
              <w:rPr>
                <w:b/>
                <w:bCs/>
                <w:color w:val="000000"/>
                <w:sz w:val="22"/>
                <w:szCs w:val="22"/>
                <w:lang w:val="es-GT" w:eastAsia="es-GT"/>
              </w:rPr>
            </w:pPr>
            <w:r w:rsidRPr="00F34EEA">
              <w:rPr>
                <w:b/>
                <w:bCs/>
                <w:color w:val="000000"/>
                <w:sz w:val="22"/>
                <w:szCs w:val="22"/>
                <w:lang w:val="es-GT" w:eastAsia="es-GT"/>
              </w:rPr>
              <w:t>Presupuesto Ejecutado</w:t>
            </w:r>
          </w:p>
        </w:tc>
        <w:tc>
          <w:tcPr>
            <w:tcW w:w="1301" w:type="dxa"/>
            <w:tcBorders>
              <w:top w:val="single" w:sz="8" w:space="0" w:color="auto"/>
              <w:left w:val="nil"/>
              <w:bottom w:val="single" w:sz="8" w:space="0" w:color="auto"/>
              <w:right w:val="single" w:sz="8" w:space="0" w:color="auto"/>
            </w:tcBorders>
            <w:shd w:val="clear" w:color="000000" w:fill="9BC2E6"/>
            <w:noWrap/>
            <w:vAlign w:val="center"/>
            <w:hideMark/>
          </w:tcPr>
          <w:p w:rsidR="00AD535C" w:rsidRPr="00F34EEA" w:rsidRDefault="00AD535C" w:rsidP="0025776C">
            <w:pPr>
              <w:jc w:val="center"/>
              <w:rPr>
                <w:b/>
                <w:bCs/>
                <w:color w:val="000000"/>
                <w:sz w:val="22"/>
                <w:szCs w:val="22"/>
                <w:lang w:val="es-GT" w:eastAsia="es-GT"/>
              </w:rPr>
            </w:pPr>
            <w:r w:rsidRPr="00F34EEA">
              <w:rPr>
                <w:b/>
                <w:bCs/>
                <w:color w:val="000000"/>
                <w:sz w:val="22"/>
                <w:szCs w:val="22"/>
                <w:lang w:val="es-GT" w:eastAsia="es-GT"/>
              </w:rPr>
              <w:t>% Ejecución</w:t>
            </w:r>
          </w:p>
        </w:tc>
      </w:tr>
      <w:tr w:rsidR="00AD535C" w:rsidRPr="002F48E5" w:rsidTr="00453502">
        <w:trPr>
          <w:trHeight w:val="280"/>
        </w:trPr>
        <w:tc>
          <w:tcPr>
            <w:tcW w:w="813" w:type="dxa"/>
            <w:tcBorders>
              <w:top w:val="nil"/>
              <w:left w:val="single" w:sz="8" w:space="0" w:color="auto"/>
              <w:bottom w:val="nil"/>
              <w:right w:val="single" w:sz="8" w:space="0" w:color="auto"/>
            </w:tcBorders>
            <w:shd w:val="clear" w:color="auto" w:fill="auto"/>
            <w:noWrap/>
            <w:vAlign w:val="center"/>
            <w:hideMark/>
          </w:tcPr>
          <w:p w:rsidR="00AD535C" w:rsidRPr="00450674" w:rsidRDefault="00AD535C" w:rsidP="0025776C">
            <w:pPr>
              <w:jc w:val="center"/>
              <w:rPr>
                <w:color w:val="000000"/>
                <w:sz w:val="20"/>
                <w:szCs w:val="20"/>
                <w:lang w:val="es-GT" w:eastAsia="es-GT"/>
              </w:rPr>
            </w:pPr>
            <w:r w:rsidRPr="00450674">
              <w:rPr>
                <w:color w:val="000000"/>
                <w:sz w:val="20"/>
                <w:szCs w:val="20"/>
                <w:lang w:val="es-GT" w:eastAsia="es-GT"/>
              </w:rPr>
              <w:t> </w:t>
            </w:r>
          </w:p>
        </w:tc>
        <w:tc>
          <w:tcPr>
            <w:tcW w:w="4370" w:type="dxa"/>
            <w:tcBorders>
              <w:top w:val="nil"/>
              <w:left w:val="nil"/>
              <w:bottom w:val="nil"/>
              <w:right w:val="nil"/>
            </w:tcBorders>
            <w:shd w:val="clear" w:color="auto" w:fill="auto"/>
            <w:noWrap/>
            <w:hideMark/>
          </w:tcPr>
          <w:p w:rsidR="00AD535C" w:rsidRPr="00BF2057" w:rsidRDefault="00AD535C" w:rsidP="0025776C">
            <w:pPr>
              <w:jc w:val="center"/>
              <w:rPr>
                <w:b/>
                <w:bCs/>
                <w:color w:val="000000"/>
                <w:sz w:val="22"/>
                <w:szCs w:val="22"/>
                <w:lang w:val="es-GT" w:eastAsia="es-GT"/>
              </w:rPr>
            </w:pPr>
            <w:r w:rsidRPr="00BF2057">
              <w:rPr>
                <w:b/>
                <w:bCs/>
                <w:color w:val="000000"/>
                <w:sz w:val="22"/>
                <w:szCs w:val="22"/>
                <w:lang w:val="es-GT" w:eastAsia="es-GT"/>
              </w:rPr>
              <w:t>Total</w:t>
            </w:r>
          </w:p>
        </w:tc>
        <w:tc>
          <w:tcPr>
            <w:tcW w:w="1418" w:type="dxa"/>
            <w:tcBorders>
              <w:top w:val="nil"/>
              <w:left w:val="single" w:sz="4" w:space="0" w:color="auto"/>
              <w:bottom w:val="nil"/>
              <w:right w:val="single" w:sz="4" w:space="0" w:color="auto"/>
            </w:tcBorders>
            <w:shd w:val="clear" w:color="auto" w:fill="auto"/>
            <w:noWrap/>
            <w:vAlign w:val="center"/>
            <w:hideMark/>
          </w:tcPr>
          <w:p w:rsidR="00AD535C" w:rsidRPr="00BF2057" w:rsidRDefault="00AD535C" w:rsidP="00450674">
            <w:pPr>
              <w:jc w:val="right"/>
              <w:rPr>
                <w:b/>
                <w:bCs/>
                <w:color w:val="000000"/>
                <w:sz w:val="22"/>
                <w:szCs w:val="22"/>
                <w:lang w:val="es-GT" w:eastAsia="es-GT"/>
              </w:rPr>
            </w:pPr>
            <w:r w:rsidRPr="00BF2057">
              <w:rPr>
                <w:b/>
                <w:bCs/>
                <w:color w:val="000000"/>
                <w:sz w:val="22"/>
                <w:szCs w:val="22"/>
                <w:lang w:val="es-GT" w:eastAsia="es-GT"/>
              </w:rPr>
              <w:t>14,299.7</w:t>
            </w:r>
          </w:p>
        </w:tc>
        <w:tc>
          <w:tcPr>
            <w:tcW w:w="1417" w:type="dxa"/>
            <w:tcBorders>
              <w:top w:val="nil"/>
              <w:left w:val="nil"/>
              <w:bottom w:val="nil"/>
              <w:right w:val="single" w:sz="4" w:space="0" w:color="auto"/>
            </w:tcBorders>
            <w:shd w:val="clear" w:color="auto" w:fill="auto"/>
            <w:noWrap/>
            <w:vAlign w:val="center"/>
            <w:hideMark/>
          </w:tcPr>
          <w:p w:rsidR="00AD535C" w:rsidRPr="00BF2057" w:rsidRDefault="00AD535C" w:rsidP="00450674">
            <w:pPr>
              <w:jc w:val="right"/>
              <w:rPr>
                <w:b/>
                <w:bCs/>
                <w:color w:val="000000"/>
                <w:sz w:val="22"/>
                <w:szCs w:val="22"/>
                <w:lang w:val="es-GT" w:eastAsia="es-GT"/>
              </w:rPr>
            </w:pPr>
            <w:r w:rsidRPr="00BF2057">
              <w:rPr>
                <w:b/>
                <w:bCs/>
                <w:color w:val="000000"/>
                <w:sz w:val="22"/>
                <w:szCs w:val="22"/>
                <w:lang w:val="es-GT" w:eastAsia="es-GT"/>
              </w:rPr>
              <w:t>4,124.2</w:t>
            </w:r>
          </w:p>
        </w:tc>
        <w:tc>
          <w:tcPr>
            <w:tcW w:w="1301" w:type="dxa"/>
            <w:tcBorders>
              <w:top w:val="nil"/>
              <w:left w:val="single" w:sz="8" w:space="0" w:color="auto"/>
              <w:bottom w:val="nil"/>
              <w:right w:val="single" w:sz="8" w:space="0" w:color="auto"/>
            </w:tcBorders>
            <w:shd w:val="clear" w:color="auto" w:fill="auto"/>
            <w:noWrap/>
            <w:vAlign w:val="center"/>
            <w:hideMark/>
          </w:tcPr>
          <w:p w:rsidR="00AD535C" w:rsidRPr="00BF2057" w:rsidRDefault="00AD535C" w:rsidP="0025776C">
            <w:pPr>
              <w:jc w:val="center"/>
              <w:rPr>
                <w:b/>
                <w:color w:val="000000"/>
                <w:sz w:val="22"/>
                <w:szCs w:val="22"/>
                <w:lang w:val="es-GT" w:eastAsia="es-GT"/>
              </w:rPr>
            </w:pPr>
            <w:r w:rsidRPr="00BF2057">
              <w:rPr>
                <w:b/>
                <w:color w:val="000000"/>
                <w:sz w:val="22"/>
                <w:szCs w:val="22"/>
                <w:lang w:val="es-GT" w:eastAsia="es-GT"/>
              </w:rPr>
              <w:t>28.8%</w:t>
            </w:r>
          </w:p>
        </w:tc>
      </w:tr>
      <w:tr w:rsidR="00AD535C" w:rsidRPr="002F48E5" w:rsidTr="00453502">
        <w:trPr>
          <w:trHeight w:val="280"/>
        </w:trPr>
        <w:tc>
          <w:tcPr>
            <w:tcW w:w="813" w:type="dxa"/>
            <w:tcBorders>
              <w:top w:val="nil"/>
              <w:left w:val="single" w:sz="8" w:space="0" w:color="auto"/>
              <w:bottom w:val="nil"/>
              <w:right w:val="single" w:sz="8" w:space="0" w:color="auto"/>
            </w:tcBorders>
            <w:shd w:val="clear" w:color="auto" w:fill="auto"/>
            <w:noWrap/>
            <w:vAlign w:val="center"/>
            <w:hideMark/>
          </w:tcPr>
          <w:p w:rsidR="00AD535C" w:rsidRPr="00450674" w:rsidRDefault="00AD535C" w:rsidP="0025776C">
            <w:pPr>
              <w:jc w:val="center"/>
              <w:rPr>
                <w:color w:val="000000"/>
                <w:sz w:val="20"/>
                <w:szCs w:val="20"/>
                <w:lang w:val="es-GT" w:eastAsia="es-GT"/>
              </w:rPr>
            </w:pPr>
            <w:r w:rsidRPr="00450674">
              <w:rPr>
                <w:color w:val="000000"/>
                <w:sz w:val="20"/>
                <w:szCs w:val="20"/>
                <w:lang w:val="es-GT" w:eastAsia="es-GT"/>
              </w:rPr>
              <w:t>11</w:t>
            </w:r>
          </w:p>
        </w:tc>
        <w:tc>
          <w:tcPr>
            <w:tcW w:w="4370" w:type="dxa"/>
            <w:tcBorders>
              <w:top w:val="nil"/>
              <w:left w:val="nil"/>
              <w:bottom w:val="nil"/>
              <w:right w:val="nil"/>
            </w:tcBorders>
            <w:shd w:val="clear" w:color="auto" w:fill="auto"/>
            <w:noWrap/>
            <w:hideMark/>
          </w:tcPr>
          <w:p w:rsidR="00AD535C" w:rsidRPr="00BF2057" w:rsidRDefault="00AD535C" w:rsidP="00705FFF">
            <w:pPr>
              <w:rPr>
                <w:color w:val="000000"/>
                <w:sz w:val="22"/>
                <w:szCs w:val="22"/>
                <w:lang w:val="es-GT" w:eastAsia="es-GT"/>
              </w:rPr>
            </w:pPr>
            <w:r w:rsidRPr="00BF2057">
              <w:rPr>
                <w:color w:val="000000"/>
                <w:sz w:val="22"/>
                <w:szCs w:val="22"/>
                <w:lang w:val="es-GT" w:eastAsia="es-GT"/>
              </w:rPr>
              <w:t xml:space="preserve">Ingresos </w:t>
            </w:r>
            <w:r w:rsidR="00705FFF" w:rsidRPr="00BF2057">
              <w:rPr>
                <w:color w:val="000000"/>
                <w:sz w:val="22"/>
                <w:szCs w:val="22"/>
                <w:lang w:val="es-GT" w:eastAsia="es-GT"/>
              </w:rPr>
              <w:t>c</w:t>
            </w:r>
            <w:r w:rsidRPr="00BF2057">
              <w:rPr>
                <w:color w:val="000000"/>
                <w:sz w:val="22"/>
                <w:szCs w:val="22"/>
                <w:lang w:val="es-GT" w:eastAsia="es-GT"/>
              </w:rPr>
              <w:t>orrientes</w:t>
            </w:r>
          </w:p>
        </w:tc>
        <w:tc>
          <w:tcPr>
            <w:tcW w:w="1418" w:type="dxa"/>
            <w:tcBorders>
              <w:top w:val="nil"/>
              <w:left w:val="single" w:sz="4" w:space="0" w:color="auto"/>
              <w:bottom w:val="nil"/>
              <w:right w:val="single" w:sz="4"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433.6</w:t>
            </w:r>
          </w:p>
        </w:tc>
        <w:tc>
          <w:tcPr>
            <w:tcW w:w="1417" w:type="dxa"/>
            <w:tcBorders>
              <w:top w:val="nil"/>
              <w:left w:val="nil"/>
              <w:bottom w:val="nil"/>
              <w:right w:val="single" w:sz="4"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41.2</w:t>
            </w:r>
          </w:p>
        </w:tc>
        <w:tc>
          <w:tcPr>
            <w:tcW w:w="1301" w:type="dxa"/>
            <w:tcBorders>
              <w:top w:val="nil"/>
              <w:left w:val="single" w:sz="8" w:space="0" w:color="auto"/>
              <w:bottom w:val="nil"/>
              <w:right w:val="single" w:sz="8" w:space="0" w:color="auto"/>
            </w:tcBorders>
            <w:shd w:val="clear" w:color="auto" w:fill="auto"/>
            <w:noWrap/>
            <w:vAlign w:val="center"/>
            <w:hideMark/>
          </w:tcPr>
          <w:p w:rsidR="00AD535C" w:rsidRPr="00BF2057" w:rsidRDefault="00AD535C" w:rsidP="0025776C">
            <w:pPr>
              <w:jc w:val="center"/>
              <w:rPr>
                <w:color w:val="000000"/>
                <w:sz w:val="22"/>
                <w:szCs w:val="22"/>
                <w:lang w:val="es-GT" w:eastAsia="es-GT"/>
              </w:rPr>
            </w:pPr>
            <w:r w:rsidRPr="00BF2057">
              <w:rPr>
                <w:color w:val="000000"/>
                <w:sz w:val="22"/>
                <w:szCs w:val="22"/>
                <w:lang w:val="es-GT" w:eastAsia="es-GT"/>
              </w:rPr>
              <w:t>9.5%</w:t>
            </w:r>
          </w:p>
        </w:tc>
      </w:tr>
      <w:tr w:rsidR="00AD535C" w:rsidRPr="002F48E5" w:rsidTr="00453502">
        <w:trPr>
          <w:trHeight w:val="280"/>
        </w:trPr>
        <w:tc>
          <w:tcPr>
            <w:tcW w:w="813" w:type="dxa"/>
            <w:tcBorders>
              <w:top w:val="nil"/>
              <w:left w:val="single" w:sz="8" w:space="0" w:color="auto"/>
              <w:bottom w:val="nil"/>
              <w:right w:val="single" w:sz="8" w:space="0" w:color="auto"/>
            </w:tcBorders>
            <w:shd w:val="clear" w:color="auto" w:fill="auto"/>
            <w:noWrap/>
            <w:vAlign w:val="center"/>
            <w:hideMark/>
          </w:tcPr>
          <w:p w:rsidR="00AD535C" w:rsidRPr="00450674" w:rsidRDefault="00AD535C" w:rsidP="0025776C">
            <w:pPr>
              <w:jc w:val="center"/>
              <w:rPr>
                <w:color w:val="000000"/>
                <w:sz w:val="20"/>
                <w:szCs w:val="20"/>
                <w:lang w:val="es-GT" w:eastAsia="es-GT"/>
              </w:rPr>
            </w:pPr>
            <w:r w:rsidRPr="00450674">
              <w:rPr>
                <w:color w:val="000000"/>
                <w:sz w:val="20"/>
                <w:szCs w:val="20"/>
                <w:lang w:val="es-GT" w:eastAsia="es-GT"/>
              </w:rPr>
              <w:t>21</w:t>
            </w:r>
          </w:p>
        </w:tc>
        <w:tc>
          <w:tcPr>
            <w:tcW w:w="4370" w:type="dxa"/>
            <w:tcBorders>
              <w:top w:val="nil"/>
              <w:left w:val="nil"/>
              <w:bottom w:val="nil"/>
              <w:right w:val="nil"/>
            </w:tcBorders>
            <w:shd w:val="clear" w:color="auto" w:fill="auto"/>
            <w:noWrap/>
            <w:hideMark/>
          </w:tcPr>
          <w:p w:rsidR="00AD535C" w:rsidRPr="00BF2057" w:rsidRDefault="00AD535C" w:rsidP="00705FFF">
            <w:pPr>
              <w:rPr>
                <w:color w:val="000000"/>
                <w:sz w:val="22"/>
                <w:szCs w:val="22"/>
                <w:lang w:val="es-GT" w:eastAsia="es-GT"/>
              </w:rPr>
            </w:pPr>
            <w:r w:rsidRPr="00BF2057">
              <w:rPr>
                <w:color w:val="000000"/>
                <w:sz w:val="22"/>
                <w:szCs w:val="22"/>
                <w:lang w:val="es-GT" w:eastAsia="es-GT"/>
              </w:rPr>
              <w:t xml:space="preserve">Ingresos </w:t>
            </w:r>
            <w:r w:rsidR="00705FFF" w:rsidRPr="00BF2057">
              <w:rPr>
                <w:color w:val="000000"/>
                <w:sz w:val="22"/>
                <w:szCs w:val="22"/>
                <w:lang w:val="es-GT" w:eastAsia="es-GT"/>
              </w:rPr>
              <w:t>t</w:t>
            </w:r>
            <w:r w:rsidRPr="00BF2057">
              <w:rPr>
                <w:color w:val="000000"/>
                <w:sz w:val="22"/>
                <w:szCs w:val="22"/>
                <w:lang w:val="es-GT" w:eastAsia="es-GT"/>
              </w:rPr>
              <w:t>ributarios IVA</w:t>
            </w:r>
            <w:r w:rsidR="00705FFF" w:rsidRPr="00BF2057">
              <w:rPr>
                <w:color w:val="000000"/>
                <w:sz w:val="22"/>
                <w:szCs w:val="22"/>
                <w:lang w:val="es-GT" w:eastAsia="es-GT"/>
              </w:rPr>
              <w:t>-</w:t>
            </w:r>
            <w:r w:rsidRPr="00BF2057">
              <w:rPr>
                <w:color w:val="000000"/>
                <w:sz w:val="22"/>
                <w:szCs w:val="22"/>
                <w:lang w:val="es-GT" w:eastAsia="es-GT"/>
              </w:rPr>
              <w:t>Paz</w:t>
            </w:r>
          </w:p>
        </w:tc>
        <w:tc>
          <w:tcPr>
            <w:tcW w:w="1418" w:type="dxa"/>
            <w:tcBorders>
              <w:top w:val="nil"/>
              <w:left w:val="single" w:sz="4" w:space="0" w:color="auto"/>
              <w:bottom w:val="nil"/>
              <w:right w:val="single" w:sz="4"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1.7</w:t>
            </w:r>
          </w:p>
        </w:tc>
        <w:tc>
          <w:tcPr>
            <w:tcW w:w="1417" w:type="dxa"/>
            <w:tcBorders>
              <w:top w:val="nil"/>
              <w:left w:val="nil"/>
              <w:bottom w:val="nil"/>
              <w:right w:val="single" w:sz="4"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0.3</w:t>
            </w:r>
          </w:p>
        </w:tc>
        <w:tc>
          <w:tcPr>
            <w:tcW w:w="1301" w:type="dxa"/>
            <w:tcBorders>
              <w:top w:val="nil"/>
              <w:left w:val="single" w:sz="8" w:space="0" w:color="auto"/>
              <w:bottom w:val="nil"/>
              <w:right w:val="single" w:sz="8" w:space="0" w:color="auto"/>
            </w:tcBorders>
            <w:shd w:val="clear" w:color="auto" w:fill="auto"/>
            <w:noWrap/>
            <w:vAlign w:val="center"/>
            <w:hideMark/>
          </w:tcPr>
          <w:p w:rsidR="00AD535C" w:rsidRPr="00BF2057" w:rsidRDefault="00AD535C" w:rsidP="0025776C">
            <w:pPr>
              <w:jc w:val="center"/>
              <w:rPr>
                <w:color w:val="000000"/>
                <w:sz w:val="22"/>
                <w:szCs w:val="22"/>
                <w:lang w:val="es-GT" w:eastAsia="es-GT"/>
              </w:rPr>
            </w:pPr>
            <w:r w:rsidRPr="00BF2057">
              <w:rPr>
                <w:color w:val="000000"/>
                <w:sz w:val="22"/>
                <w:szCs w:val="22"/>
                <w:lang w:val="es-GT" w:eastAsia="es-GT"/>
              </w:rPr>
              <w:t>14.7%</w:t>
            </w:r>
          </w:p>
        </w:tc>
      </w:tr>
      <w:tr w:rsidR="00AD535C" w:rsidRPr="002F48E5" w:rsidTr="00A75101">
        <w:trPr>
          <w:trHeight w:val="280"/>
        </w:trPr>
        <w:tc>
          <w:tcPr>
            <w:tcW w:w="813" w:type="dxa"/>
            <w:tcBorders>
              <w:top w:val="nil"/>
              <w:left w:val="single" w:sz="8" w:space="0" w:color="auto"/>
              <w:bottom w:val="nil"/>
              <w:right w:val="single" w:sz="8" w:space="0" w:color="auto"/>
            </w:tcBorders>
            <w:shd w:val="clear" w:color="auto" w:fill="auto"/>
            <w:noWrap/>
            <w:hideMark/>
          </w:tcPr>
          <w:p w:rsidR="00AD535C" w:rsidRPr="00450674" w:rsidRDefault="00AD535C" w:rsidP="00A75101">
            <w:pPr>
              <w:jc w:val="center"/>
              <w:rPr>
                <w:color w:val="000000"/>
                <w:sz w:val="20"/>
                <w:szCs w:val="20"/>
                <w:lang w:val="es-GT" w:eastAsia="es-GT"/>
              </w:rPr>
            </w:pPr>
            <w:r w:rsidRPr="00450674">
              <w:rPr>
                <w:color w:val="000000"/>
                <w:sz w:val="20"/>
                <w:szCs w:val="20"/>
                <w:lang w:val="es-GT" w:eastAsia="es-GT"/>
              </w:rPr>
              <w:t>29</w:t>
            </w:r>
          </w:p>
        </w:tc>
        <w:tc>
          <w:tcPr>
            <w:tcW w:w="4370" w:type="dxa"/>
            <w:tcBorders>
              <w:top w:val="nil"/>
              <w:left w:val="nil"/>
              <w:bottom w:val="nil"/>
              <w:right w:val="nil"/>
            </w:tcBorders>
            <w:shd w:val="clear" w:color="auto" w:fill="auto"/>
            <w:noWrap/>
            <w:hideMark/>
          </w:tcPr>
          <w:p w:rsidR="00AD535C" w:rsidRPr="00BF2057" w:rsidRDefault="00AD535C" w:rsidP="00705FFF">
            <w:pPr>
              <w:rPr>
                <w:color w:val="000000"/>
                <w:sz w:val="22"/>
                <w:szCs w:val="22"/>
                <w:lang w:val="es-GT" w:eastAsia="es-GT"/>
              </w:rPr>
            </w:pPr>
            <w:r w:rsidRPr="00BF2057">
              <w:rPr>
                <w:color w:val="000000"/>
                <w:sz w:val="22"/>
                <w:szCs w:val="22"/>
                <w:lang w:val="es-GT" w:eastAsia="es-GT"/>
              </w:rPr>
              <w:t xml:space="preserve">Otros </w:t>
            </w:r>
            <w:r w:rsidR="00705FFF" w:rsidRPr="00BF2057">
              <w:rPr>
                <w:color w:val="000000"/>
                <w:sz w:val="22"/>
                <w:szCs w:val="22"/>
                <w:lang w:val="es-GT" w:eastAsia="es-GT"/>
              </w:rPr>
              <w:t>r</w:t>
            </w:r>
            <w:r w:rsidRPr="00BF2057">
              <w:rPr>
                <w:color w:val="000000"/>
                <w:sz w:val="22"/>
                <w:szCs w:val="22"/>
                <w:lang w:val="es-GT" w:eastAsia="es-GT"/>
              </w:rPr>
              <w:t xml:space="preserve">ecursos del </w:t>
            </w:r>
            <w:r w:rsidR="00705FFF" w:rsidRPr="00BF2057">
              <w:rPr>
                <w:color w:val="000000"/>
                <w:sz w:val="22"/>
                <w:szCs w:val="22"/>
                <w:lang w:val="es-GT" w:eastAsia="es-GT"/>
              </w:rPr>
              <w:t>t</w:t>
            </w:r>
            <w:r w:rsidRPr="00BF2057">
              <w:rPr>
                <w:color w:val="000000"/>
                <w:sz w:val="22"/>
                <w:szCs w:val="22"/>
                <w:lang w:val="es-GT" w:eastAsia="es-GT"/>
              </w:rPr>
              <w:t xml:space="preserve">esoro con </w:t>
            </w:r>
            <w:r w:rsidR="00705FFF" w:rsidRPr="00BF2057">
              <w:rPr>
                <w:color w:val="000000"/>
                <w:sz w:val="22"/>
                <w:szCs w:val="22"/>
                <w:lang w:val="es-GT" w:eastAsia="es-GT"/>
              </w:rPr>
              <w:t>a</w:t>
            </w:r>
            <w:r w:rsidRPr="00BF2057">
              <w:rPr>
                <w:color w:val="000000"/>
                <w:sz w:val="22"/>
                <w:szCs w:val="22"/>
                <w:lang w:val="es-GT" w:eastAsia="es-GT"/>
              </w:rPr>
              <w:t xml:space="preserve">fectación </w:t>
            </w:r>
            <w:r w:rsidR="00705FFF" w:rsidRPr="00BF2057">
              <w:rPr>
                <w:color w:val="000000"/>
                <w:sz w:val="22"/>
                <w:szCs w:val="22"/>
                <w:lang w:val="es-GT" w:eastAsia="es-GT"/>
              </w:rPr>
              <w:t>e</w:t>
            </w:r>
            <w:r w:rsidRPr="00BF2057">
              <w:rPr>
                <w:color w:val="000000"/>
                <w:sz w:val="22"/>
                <w:szCs w:val="22"/>
                <w:lang w:val="es-GT" w:eastAsia="es-GT"/>
              </w:rPr>
              <w:t>specífica</w:t>
            </w:r>
          </w:p>
        </w:tc>
        <w:tc>
          <w:tcPr>
            <w:tcW w:w="1418" w:type="dxa"/>
            <w:tcBorders>
              <w:top w:val="nil"/>
              <w:left w:val="single" w:sz="4" w:space="0" w:color="auto"/>
              <w:bottom w:val="nil"/>
              <w:right w:val="single" w:sz="4" w:space="0" w:color="auto"/>
            </w:tcBorders>
            <w:shd w:val="clear" w:color="auto" w:fill="auto"/>
            <w:noWrap/>
            <w:vAlign w:val="center"/>
            <w:hideMark/>
          </w:tcPr>
          <w:p w:rsidR="00BF2057" w:rsidRDefault="00BF2057" w:rsidP="0025776C">
            <w:pPr>
              <w:jc w:val="right"/>
              <w:rPr>
                <w:color w:val="000000"/>
                <w:sz w:val="22"/>
                <w:szCs w:val="22"/>
                <w:lang w:val="es-GT" w:eastAsia="es-GT"/>
              </w:rPr>
            </w:pPr>
          </w:p>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28.4</w:t>
            </w:r>
          </w:p>
        </w:tc>
        <w:tc>
          <w:tcPr>
            <w:tcW w:w="1417" w:type="dxa"/>
            <w:tcBorders>
              <w:top w:val="nil"/>
              <w:left w:val="nil"/>
              <w:bottom w:val="nil"/>
              <w:right w:val="single" w:sz="4" w:space="0" w:color="auto"/>
            </w:tcBorders>
            <w:shd w:val="clear" w:color="auto" w:fill="auto"/>
            <w:noWrap/>
            <w:vAlign w:val="center"/>
            <w:hideMark/>
          </w:tcPr>
          <w:p w:rsidR="00BF2057" w:rsidRDefault="00BF2057" w:rsidP="0025776C">
            <w:pPr>
              <w:jc w:val="right"/>
              <w:rPr>
                <w:color w:val="000000"/>
                <w:sz w:val="22"/>
                <w:szCs w:val="22"/>
                <w:lang w:val="es-GT" w:eastAsia="es-GT"/>
              </w:rPr>
            </w:pPr>
          </w:p>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3.0</w:t>
            </w:r>
          </w:p>
        </w:tc>
        <w:tc>
          <w:tcPr>
            <w:tcW w:w="1301" w:type="dxa"/>
            <w:tcBorders>
              <w:top w:val="nil"/>
              <w:left w:val="single" w:sz="8" w:space="0" w:color="auto"/>
              <w:bottom w:val="nil"/>
              <w:right w:val="single" w:sz="8" w:space="0" w:color="auto"/>
            </w:tcBorders>
            <w:shd w:val="clear" w:color="auto" w:fill="auto"/>
            <w:noWrap/>
            <w:vAlign w:val="center"/>
            <w:hideMark/>
          </w:tcPr>
          <w:p w:rsidR="00BF2057" w:rsidRDefault="00BF2057" w:rsidP="0025776C">
            <w:pPr>
              <w:jc w:val="center"/>
              <w:rPr>
                <w:color w:val="000000"/>
                <w:sz w:val="22"/>
                <w:szCs w:val="22"/>
                <w:lang w:val="es-GT" w:eastAsia="es-GT"/>
              </w:rPr>
            </w:pPr>
          </w:p>
          <w:p w:rsidR="00AD535C" w:rsidRPr="00BF2057" w:rsidRDefault="00AD535C" w:rsidP="0025776C">
            <w:pPr>
              <w:jc w:val="center"/>
              <w:rPr>
                <w:color w:val="000000"/>
                <w:sz w:val="22"/>
                <w:szCs w:val="22"/>
                <w:lang w:val="es-GT" w:eastAsia="es-GT"/>
              </w:rPr>
            </w:pPr>
            <w:r w:rsidRPr="00BF2057">
              <w:rPr>
                <w:color w:val="000000"/>
                <w:sz w:val="22"/>
                <w:szCs w:val="22"/>
                <w:lang w:val="es-GT" w:eastAsia="es-GT"/>
              </w:rPr>
              <w:t>10.7%</w:t>
            </w:r>
          </w:p>
        </w:tc>
      </w:tr>
      <w:tr w:rsidR="00AD535C" w:rsidRPr="002F48E5" w:rsidTr="00453502">
        <w:trPr>
          <w:trHeight w:val="280"/>
        </w:trPr>
        <w:tc>
          <w:tcPr>
            <w:tcW w:w="813" w:type="dxa"/>
            <w:tcBorders>
              <w:top w:val="nil"/>
              <w:left w:val="single" w:sz="8" w:space="0" w:color="auto"/>
              <w:bottom w:val="nil"/>
              <w:right w:val="single" w:sz="8" w:space="0" w:color="auto"/>
            </w:tcBorders>
            <w:shd w:val="clear" w:color="auto" w:fill="auto"/>
            <w:noWrap/>
            <w:vAlign w:val="center"/>
            <w:hideMark/>
          </w:tcPr>
          <w:p w:rsidR="00AD535C" w:rsidRPr="00450674" w:rsidRDefault="00AD535C" w:rsidP="0025776C">
            <w:pPr>
              <w:jc w:val="center"/>
              <w:rPr>
                <w:color w:val="000000"/>
                <w:sz w:val="20"/>
                <w:szCs w:val="20"/>
                <w:lang w:val="es-GT" w:eastAsia="es-GT"/>
              </w:rPr>
            </w:pPr>
            <w:r w:rsidRPr="00450674">
              <w:rPr>
                <w:color w:val="000000"/>
                <w:sz w:val="20"/>
                <w:szCs w:val="20"/>
                <w:lang w:val="es-GT" w:eastAsia="es-GT"/>
              </w:rPr>
              <w:t>31</w:t>
            </w:r>
          </w:p>
        </w:tc>
        <w:tc>
          <w:tcPr>
            <w:tcW w:w="4370" w:type="dxa"/>
            <w:tcBorders>
              <w:top w:val="nil"/>
              <w:left w:val="nil"/>
              <w:bottom w:val="nil"/>
              <w:right w:val="nil"/>
            </w:tcBorders>
            <w:shd w:val="clear" w:color="auto" w:fill="auto"/>
            <w:noWrap/>
            <w:hideMark/>
          </w:tcPr>
          <w:p w:rsidR="00AD535C" w:rsidRPr="00BF2057" w:rsidRDefault="00AD535C" w:rsidP="00705FFF">
            <w:pPr>
              <w:rPr>
                <w:color w:val="000000"/>
                <w:sz w:val="22"/>
                <w:szCs w:val="22"/>
                <w:lang w:val="es-GT" w:eastAsia="es-GT"/>
              </w:rPr>
            </w:pPr>
            <w:r w:rsidRPr="00BF2057">
              <w:rPr>
                <w:color w:val="000000"/>
                <w:sz w:val="22"/>
                <w:szCs w:val="22"/>
                <w:lang w:val="es-GT" w:eastAsia="es-GT"/>
              </w:rPr>
              <w:t xml:space="preserve">Ingresos </w:t>
            </w:r>
            <w:r w:rsidR="00705FFF" w:rsidRPr="00BF2057">
              <w:rPr>
                <w:color w:val="000000"/>
                <w:sz w:val="22"/>
                <w:szCs w:val="22"/>
                <w:lang w:val="es-GT" w:eastAsia="es-GT"/>
              </w:rPr>
              <w:t>p</w:t>
            </w:r>
            <w:r w:rsidRPr="00BF2057">
              <w:rPr>
                <w:color w:val="000000"/>
                <w:sz w:val="22"/>
                <w:szCs w:val="22"/>
                <w:lang w:val="es-GT" w:eastAsia="es-GT"/>
              </w:rPr>
              <w:t>ropios</w:t>
            </w:r>
          </w:p>
        </w:tc>
        <w:tc>
          <w:tcPr>
            <w:tcW w:w="1418" w:type="dxa"/>
            <w:tcBorders>
              <w:top w:val="nil"/>
              <w:left w:val="single" w:sz="4" w:space="0" w:color="auto"/>
              <w:bottom w:val="nil"/>
              <w:right w:val="single" w:sz="4"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1.2</w:t>
            </w:r>
          </w:p>
        </w:tc>
        <w:tc>
          <w:tcPr>
            <w:tcW w:w="1417" w:type="dxa"/>
            <w:tcBorders>
              <w:top w:val="nil"/>
              <w:left w:val="nil"/>
              <w:bottom w:val="nil"/>
              <w:right w:val="single" w:sz="8"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0.1</w:t>
            </w:r>
          </w:p>
        </w:tc>
        <w:tc>
          <w:tcPr>
            <w:tcW w:w="1301" w:type="dxa"/>
            <w:tcBorders>
              <w:top w:val="nil"/>
              <w:left w:val="nil"/>
              <w:bottom w:val="nil"/>
              <w:right w:val="single" w:sz="8" w:space="0" w:color="auto"/>
            </w:tcBorders>
            <w:shd w:val="clear" w:color="auto" w:fill="auto"/>
            <w:noWrap/>
            <w:vAlign w:val="center"/>
            <w:hideMark/>
          </w:tcPr>
          <w:p w:rsidR="00AD535C" w:rsidRPr="00BF2057" w:rsidRDefault="00AD535C" w:rsidP="0025776C">
            <w:pPr>
              <w:jc w:val="center"/>
              <w:rPr>
                <w:color w:val="000000"/>
                <w:sz w:val="22"/>
                <w:szCs w:val="22"/>
                <w:lang w:val="es-GT" w:eastAsia="es-GT"/>
              </w:rPr>
            </w:pPr>
            <w:r w:rsidRPr="00BF2057">
              <w:rPr>
                <w:color w:val="000000"/>
                <w:sz w:val="22"/>
                <w:szCs w:val="22"/>
                <w:lang w:val="es-GT" w:eastAsia="es-GT"/>
              </w:rPr>
              <w:t>10.8%</w:t>
            </w:r>
          </w:p>
        </w:tc>
      </w:tr>
      <w:tr w:rsidR="00AD535C" w:rsidRPr="002F48E5" w:rsidTr="00453502">
        <w:trPr>
          <w:trHeight w:val="280"/>
        </w:trPr>
        <w:tc>
          <w:tcPr>
            <w:tcW w:w="813" w:type="dxa"/>
            <w:tcBorders>
              <w:top w:val="nil"/>
              <w:left w:val="single" w:sz="8" w:space="0" w:color="auto"/>
              <w:bottom w:val="nil"/>
              <w:right w:val="single" w:sz="8" w:space="0" w:color="auto"/>
            </w:tcBorders>
            <w:shd w:val="clear" w:color="auto" w:fill="auto"/>
            <w:noWrap/>
            <w:vAlign w:val="center"/>
            <w:hideMark/>
          </w:tcPr>
          <w:p w:rsidR="00AD535C" w:rsidRPr="00450674" w:rsidRDefault="00AD535C" w:rsidP="0025776C">
            <w:pPr>
              <w:jc w:val="center"/>
              <w:rPr>
                <w:color w:val="000000"/>
                <w:sz w:val="20"/>
                <w:szCs w:val="20"/>
                <w:lang w:val="es-GT" w:eastAsia="es-GT"/>
              </w:rPr>
            </w:pPr>
            <w:r w:rsidRPr="00450674">
              <w:rPr>
                <w:color w:val="000000"/>
                <w:sz w:val="20"/>
                <w:szCs w:val="20"/>
                <w:lang w:val="es-GT" w:eastAsia="es-GT"/>
              </w:rPr>
              <w:t>41</w:t>
            </w:r>
          </w:p>
        </w:tc>
        <w:tc>
          <w:tcPr>
            <w:tcW w:w="4370" w:type="dxa"/>
            <w:tcBorders>
              <w:top w:val="nil"/>
              <w:left w:val="nil"/>
              <w:bottom w:val="nil"/>
              <w:right w:val="nil"/>
            </w:tcBorders>
            <w:shd w:val="clear" w:color="auto" w:fill="auto"/>
            <w:noWrap/>
            <w:hideMark/>
          </w:tcPr>
          <w:p w:rsidR="00AD535C" w:rsidRPr="00BF2057" w:rsidRDefault="00AD535C" w:rsidP="00705FFF">
            <w:pPr>
              <w:rPr>
                <w:color w:val="000000"/>
                <w:sz w:val="22"/>
                <w:szCs w:val="22"/>
                <w:lang w:val="es-GT" w:eastAsia="es-GT"/>
              </w:rPr>
            </w:pPr>
            <w:r w:rsidRPr="00BF2057">
              <w:rPr>
                <w:color w:val="000000"/>
                <w:sz w:val="22"/>
                <w:szCs w:val="22"/>
                <w:lang w:val="es-GT" w:eastAsia="es-GT"/>
              </w:rPr>
              <w:t xml:space="preserve">Colocaciones </w:t>
            </w:r>
            <w:r w:rsidR="00705FFF" w:rsidRPr="00BF2057">
              <w:rPr>
                <w:color w:val="000000"/>
                <w:sz w:val="22"/>
                <w:szCs w:val="22"/>
                <w:lang w:val="es-GT" w:eastAsia="es-GT"/>
              </w:rPr>
              <w:t>i</w:t>
            </w:r>
            <w:r w:rsidRPr="00BF2057">
              <w:rPr>
                <w:color w:val="000000"/>
                <w:sz w:val="22"/>
                <w:szCs w:val="22"/>
                <w:lang w:val="es-GT" w:eastAsia="es-GT"/>
              </w:rPr>
              <w:t>nternas</w:t>
            </w:r>
          </w:p>
        </w:tc>
        <w:tc>
          <w:tcPr>
            <w:tcW w:w="1418" w:type="dxa"/>
            <w:tcBorders>
              <w:top w:val="nil"/>
              <w:left w:val="single" w:sz="4" w:space="0" w:color="auto"/>
              <w:bottom w:val="nil"/>
              <w:right w:val="single" w:sz="4"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11,427.2</w:t>
            </w:r>
          </w:p>
        </w:tc>
        <w:tc>
          <w:tcPr>
            <w:tcW w:w="1417" w:type="dxa"/>
            <w:tcBorders>
              <w:top w:val="nil"/>
              <w:left w:val="nil"/>
              <w:bottom w:val="nil"/>
              <w:right w:val="single" w:sz="4"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3,674.9</w:t>
            </w:r>
          </w:p>
        </w:tc>
        <w:tc>
          <w:tcPr>
            <w:tcW w:w="1301" w:type="dxa"/>
            <w:tcBorders>
              <w:top w:val="nil"/>
              <w:left w:val="single" w:sz="8" w:space="0" w:color="auto"/>
              <w:bottom w:val="nil"/>
              <w:right w:val="single" w:sz="8" w:space="0" w:color="auto"/>
            </w:tcBorders>
            <w:shd w:val="clear" w:color="auto" w:fill="auto"/>
            <w:noWrap/>
            <w:vAlign w:val="center"/>
            <w:hideMark/>
          </w:tcPr>
          <w:p w:rsidR="00AD535C" w:rsidRPr="00BF2057" w:rsidRDefault="00AD535C" w:rsidP="0025776C">
            <w:pPr>
              <w:jc w:val="center"/>
              <w:rPr>
                <w:color w:val="000000"/>
                <w:sz w:val="22"/>
                <w:szCs w:val="22"/>
                <w:lang w:val="es-GT" w:eastAsia="es-GT"/>
              </w:rPr>
            </w:pPr>
            <w:r w:rsidRPr="00BF2057">
              <w:rPr>
                <w:color w:val="000000"/>
                <w:sz w:val="22"/>
                <w:szCs w:val="22"/>
                <w:lang w:val="es-GT" w:eastAsia="es-GT"/>
              </w:rPr>
              <w:t>32.2%</w:t>
            </w:r>
          </w:p>
        </w:tc>
      </w:tr>
      <w:tr w:rsidR="00AD535C" w:rsidRPr="002F48E5" w:rsidTr="00453502">
        <w:trPr>
          <w:trHeight w:val="280"/>
        </w:trPr>
        <w:tc>
          <w:tcPr>
            <w:tcW w:w="813" w:type="dxa"/>
            <w:tcBorders>
              <w:top w:val="nil"/>
              <w:left w:val="single" w:sz="8" w:space="0" w:color="auto"/>
              <w:bottom w:val="nil"/>
              <w:right w:val="single" w:sz="8" w:space="0" w:color="auto"/>
            </w:tcBorders>
            <w:shd w:val="clear" w:color="auto" w:fill="auto"/>
            <w:noWrap/>
            <w:vAlign w:val="center"/>
            <w:hideMark/>
          </w:tcPr>
          <w:p w:rsidR="00AD535C" w:rsidRPr="00450674" w:rsidRDefault="00AD535C" w:rsidP="0025776C">
            <w:pPr>
              <w:jc w:val="center"/>
              <w:rPr>
                <w:color w:val="000000"/>
                <w:sz w:val="20"/>
                <w:szCs w:val="20"/>
                <w:lang w:val="es-GT" w:eastAsia="es-GT"/>
              </w:rPr>
            </w:pPr>
            <w:r w:rsidRPr="00450674">
              <w:rPr>
                <w:color w:val="000000"/>
                <w:sz w:val="20"/>
                <w:szCs w:val="20"/>
                <w:lang w:val="es-GT" w:eastAsia="es-GT"/>
              </w:rPr>
              <w:t>52</w:t>
            </w:r>
          </w:p>
        </w:tc>
        <w:tc>
          <w:tcPr>
            <w:tcW w:w="4370" w:type="dxa"/>
            <w:tcBorders>
              <w:top w:val="nil"/>
              <w:left w:val="nil"/>
              <w:bottom w:val="nil"/>
              <w:right w:val="nil"/>
            </w:tcBorders>
            <w:shd w:val="clear" w:color="auto" w:fill="auto"/>
            <w:noWrap/>
            <w:hideMark/>
          </w:tcPr>
          <w:p w:rsidR="00AD535C" w:rsidRPr="00BF2057" w:rsidRDefault="00AD535C" w:rsidP="00705FFF">
            <w:pPr>
              <w:rPr>
                <w:color w:val="000000"/>
                <w:sz w:val="22"/>
                <w:szCs w:val="22"/>
                <w:lang w:val="es-GT" w:eastAsia="es-GT"/>
              </w:rPr>
            </w:pPr>
            <w:r w:rsidRPr="00BF2057">
              <w:rPr>
                <w:color w:val="000000"/>
                <w:sz w:val="22"/>
                <w:szCs w:val="22"/>
                <w:lang w:val="es-GT" w:eastAsia="es-GT"/>
              </w:rPr>
              <w:t xml:space="preserve">Préstamos </w:t>
            </w:r>
            <w:r w:rsidR="00705FFF" w:rsidRPr="00BF2057">
              <w:rPr>
                <w:color w:val="000000"/>
                <w:sz w:val="22"/>
                <w:szCs w:val="22"/>
                <w:lang w:val="es-GT" w:eastAsia="es-GT"/>
              </w:rPr>
              <w:t>e</w:t>
            </w:r>
            <w:r w:rsidRPr="00BF2057">
              <w:rPr>
                <w:color w:val="000000"/>
                <w:sz w:val="22"/>
                <w:szCs w:val="22"/>
                <w:lang w:val="es-GT" w:eastAsia="es-GT"/>
              </w:rPr>
              <w:t>xternos</w:t>
            </w:r>
          </w:p>
        </w:tc>
        <w:tc>
          <w:tcPr>
            <w:tcW w:w="1418" w:type="dxa"/>
            <w:tcBorders>
              <w:top w:val="nil"/>
              <w:left w:val="single" w:sz="4" w:space="0" w:color="auto"/>
              <w:bottom w:val="nil"/>
              <w:right w:val="single" w:sz="4"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2,400.0</w:t>
            </w:r>
          </w:p>
        </w:tc>
        <w:tc>
          <w:tcPr>
            <w:tcW w:w="1417" w:type="dxa"/>
            <w:tcBorders>
              <w:top w:val="nil"/>
              <w:left w:val="nil"/>
              <w:bottom w:val="nil"/>
              <w:right w:val="single" w:sz="8"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399.1</w:t>
            </w:r>
          </w:p>
        </w:tc>
        <w:tc>
          <w:tcPr>
            <w:tcW w:w="1301" w:type="dxa"/>
            <w:tcBorders>
              <w:top w:val="nil"/>
              <w:left w:val="nil"/>
              <w:bottom w:val="nil"/>
              <w:right w:val="single" w:sz="8" w:space="0" w:color="auto"/>
            </w:tcBorders>
            <w:shd w:val="clear" w:color="auto" w:fill="auto"/>
            <w:noWrap/>
            <w:vAlign w:val="center"/>
            <w:hideMark/>
          </w:tcPr>
          <w:p w:rsidR="00AD535C" w:rsidRPr="00BF2057" w:rsidRDefault="00AD535C" w:rsidP="0025776C">
            <w:pPr>
              <w:jc w:val="center"/>
              <w:rPr>
                <w:color w:val="000000"/>
                <w:sz w:val="22"/>
                <w:szCs w:val="22"/>
                <w:lang w:val="es-GT" w:eastAsia="es-GT"/>
              </w:rPr>
            </w:pPr>
            <w:r w:rsidRPr="00BF2057">
              <w:rPr>
                <w:color w:val="000000"/>
                <w:sz w:val="22"/>
                <w:szCs w:val="22"/>
                <w:lang w:val="es-GT" w:eastAsia="es-GT"/>
              </w:rPr>
              <w:t>16.6%</w:t>
            </w:r>
          </w:p>
        </w:tc>
      </w:tr>
      <w:tr w:rsidR="00AD535C" w:rsidRPr="002F48E5" w:rsidTr="00453502">
        <w:trPr>
          <w:trHeight w:val="290"/>
        </w:trPr>
        <w:tc>
          <w:tcPr>
            <w:tcW w:w="813" w:type="dxa"/>
            <w:tcBorders>
              <w:top w:val="nil"/>
              <w:left w:val="single" w:sz="8" w:space="0" w:color="auto"/>
              <w:bottom w:val="single" w:sz="8" w:space="0" w:color="auto"/>
              <w:right w:val="single" w:sz="8" w:space="0" w:color="auto"/>
            </w:tcBorders>
            <w:shd w:val="clear" w:color="auto" w:fill="auto"/>
            <w:noWrap/>
            <w:vAlign w:val="center"/>
            <w:hideMark/>
          </w:tcPr>
          <w:p w:rsidR="00AD535C" w:rsidRPr="00450674" w:rsidRDefault="00AD535C" w:rsidP="0025776C">
            <w:pPr>
              <w:jc w:val="center"/>
              <w:rPr>
                <w:color w:val="000000"/>
                <w:sz w:val="20"/>
                <w:szCs w:val="20"/>
                <w:lang w:val="es-GT" w:eastAsia="es-GT"/>
              </w:rPr>
            </w:pPr>
            <w:r w:rsidRPr="00450674">
              <w:rPr>
                <w:color w:val="000000"/>
                <w:sz w:val="20"/>
                <w:szCs w:val="20"/>
                <w:lang w:val="es-GT" w:eastAsia="es-GT"/>
              </w:rPr>
              <w:t>61</w:t>
            </w:r>
          </w:p>
        </w:tc>
        <w:tc>
          <w:tcPr>
            <w:tcW w:w="4370" w:type="dxa"/>
            <w:tcBorders>
              <w:top w:val="nil"/>
              <w:left w:val="nil"/>
              <w:bottom w:val="single" w:sz="8" w:space="0" w:color="auto"/>
              <w:right w:val="nil"/>
            </w:tcBorders>
            <w:shd w:val="clear" w:color="auto" w:fill="auto"/>
            <w:noWrap/>
            <w:hideMark/>
          </w:tcPr>
          <w:p w:rsidR="00AD535C" w:rsidRPr="00BF2057" w:rsidRDefault="00AD535C" w:rsidP="00705FFF">
            <w:pPr>
              <w:rPr>
                <w:color w:val="000000"/>
                <w:sz w:val="22"/>
                <w:szCs w:val="22"/>
                <w:lang w:val="es-GT" w:eastAsia="es-GT"/>
              </w:rPr>
            </w:pPr>
            <w:r w:rsidRPr="00BF2057">
              <w:rPr>
                <w:color w:val="000000"/>
                <w:sz w:val="22"/>
                <w:szCs w:val="22"/>
                <w:lang w:val="es-GT" w:eastAsia="es-GT"/>
              </w:rPr>
              <w:t xml:space="preserve">Donaciones </w:t>
            </w:r>
            <w:r w:rsidR="00705FFF" w:rsidRPr="00BF2057">
              <w:rPr>
                <w:color w:val="000000"/>
                <w:sz w:val="22"/>
                <w:szCs w:val="22"/>
                <w:lang w:val="es-GT" w:eastAsia="es-GT"/>
              </w:rPr>
              <w:t>e</w:t>
            </w:r>
            <w:r w:rsidRPr="00BF2057">
              <w:rPr>
                <w:color w:val="000000"/>
                <w:sz w:val="22"/>
                <w:szCs w:val="22"/>
                <w:lang w:val="es-GT" w:eastAsia="es-GT"/>
              </w:rPr>
              <w:t>xternas</w:t>
            </w:r>
          </w:p>
        </w:tc>
        <w:tc>
          <w:tcPr>
            <w:tcW w:w="1418" w:type="dxa"/>
            <w:tcBorders>
              <w:top w:val="nil"/>
              <w:left w:val="single" w:sz="4" w:space="0" w:color="auto"/>
              <w:bottom w:val="single" w:sz="8" w:space="0" w:color="auto"/>
              <w:right w:val="single" w:sz="4"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7.7</w:t>
            </w:r>
          </w:p>
        </w:tc>
        <w:tc>
          <w:tcPr>
            <w:tcW w:w="1417" w:type="dxa"/>
            <w:tcBorders>
              <w:top w:val="nil"/>
              <w:left w:val="nil"/>
              <w:bottom w:val="single" w:sz="8" w:space="0" w:color="auto"/>
              <w:right w:val="single" w:sz="8" w:space="0" w:color="auto"/>
            </w:tcBorders>
            <w:shd w:val="clear" w:color="auto" w:fill="auto"/>
            <w:noWrap/>
            <w:vAlign w:val="center"/>
            <w:hideMark/>
          </w:tcPr>
          <w:p w:rsidR="00AD535C" w:rsidRPr="00BF2057" w:rsidRDefault="00AD535C" w:rsidP="0025776C">
            <w:pPr>
              <w:jc w:val="right"/>
              <w:rPr>
                <w:color w:val="000000"/>
                <w:sz w:val="22"/>
                <w:szCs w:val="22"/>
                <w:lang w:val="es-GT" w:eastAsia="es-GT"/>
              </w:rPr>
            </w:pPr>
            <w:r w:rsidRPr="00BF2057">
              <w:rPr>
                <w:color w:val="000000"/>
                <w:sz w:val="22"/>
                <w:szCs w:val="22"/>
                <w:lang w:val="es-GT" w:eastAsia="es-GT"/>
              </w:rPr>
              <w:t>5.6</w:t>
            </w:r>
          </w:p>
        </w:tc>
        <w:tc>
          <w:tcPr>
            <w:tcW w:w="1301" w:type="dxa"/>
            <w:tcBorders>
              <w:top w:val="nil"/>
              <w:left w:val="nil"/>
              <w:bottom w:val="single" w:sz="8" w:space="0" w:color="auto"/>
              <w:right w:val="single" w:sz="8" w:space="0" w:color="auto"/>
            </w:tcBorders>
            <w:shd w:val="clear" w:color="auto" w:fill="auto"/>
            <w:noWrap/>
            <w:vAlign w:val="center"/>
            <w:hideMark/>
          </w:tcPr>
          <w:p w:rsidR="00AD535C" w:rsidRPr="00BF2057" w:rsidRDefault="00AD535C" w:rsidP="0025776C">
            <w:pPr>
              <w:jc w:val="center"/>
              <w:rPr>
                <w:color w:val="000000"/>
                <w:sz w:val="22"/>
                <w:szCs w:val="22"/>
                <w:lang w:val="es-GT" w:eastAsia="es-GT"/>
              </w:rPr>
            </w:pPr>
            <w:r w:rsidRPr="00BF2057">
              <w:rPr>
                <w:color w:val="000000"/>
                <w:sz w:val="22"/>
                <w:szCs w:val="22"/>
                <w:lang w:val="es-GT" w:eastAsia="es-GT"/>
              </w:rPr>
              <w:t>72.7%</w:t>
            </w:r>
          </w:p>
        </w:tc>
      </w:tr>
    </w:tbl>
    <w:p w:rsidR="00450674" w:rsidRDefault="00450674" w:rsidP="00450674">
      <w:pPr>
        <w:jc w:val="both"/>
        <w:rPr>
          <w:sz w:val="18"/>
          <w:lang w:val="es-MX"/>
        </w:rPr>
      </w:pPr>
      <w:r w:rsidRPr="00CF5481">
        <w:rPr>
          <w:sz w:val="18"/>
          <w:lang w:val="es-MX"/>
        </w:rPr>
        <w:t>* Cifras preliminares.</w:t>
      </w:r>
    </w:p>
    <w:p w:rsidR="00450674" w:rsidRPr="00CF5481" w:rsidRDefault="00450674" w:rsidP="00450674">
      <w:pPr>
        <w:jc w:val="both"/>
        <w:rPr>
          <w:sz w:val="18"/>
          <w:lang w:val="es-MX"/>
        </w:rPr>
      </w:pPr>
      <w:r>
        <w:rPr>
          <w:sz w:val="18"/>
          <w:lang w:val="es-MX"/>
        </w:rPr>
        <w:t xml:space="preserve">    </w:t>
      </w:r>
      <w:r w:rsidRPr="00CF5481">
        <w:rPr>
          <w:sz w:val="18"/>
          <w:lang w:val="es-MX"/>
        </w:rPr>
        <w:t>Fuente: Ministerio de Finanzas Públicas con base al SICOIN.</w:t>
      </w:r>
    </w:p>
    <w:p w:rsidR="00AD535C" w:rsidRDefault="00AD535C" w:rsidP="00AD535C">
      <w:pPr>
        <w:jc w:val="both"/>
      </w:pPr>
    </w:p>
    <w:p w:rsidR="00BF2057" w:rsidRDefault="00BF2057" w:rsidP="00AD535C">
      <w:pPr>
        <w:jc w:val="both"/>
      </w:pPr>
    </w:p>
    <w:p w:rsidR="00AD535C" w:rsidRDefault="00AD535C" w:rsidP="00AD535C">
      <w:pPr>
        <w:jc w:val="both"/>
      </w:pPr>
      <w:r w:rsidRPr="00897850">
        <w:t xml:space="preserve">Del monto vigente del </w:t>
      </w:r>
      <w:r w:rsidR="00705FFF">
        <w:t>P</w:t>
      </w:r>
      <w:r w:rsidRPr="00897850">
        <w:t>rograma C</w:t>
      </w:r>
      <w:r w:rsidR="00705FFF">
        <w:t>ovid</w:t>
      </w:r>
      <w:r>
        <w:t>-19</w:t>
      </w:r>
      <w:r w:rsidRPr="00897850">
        <w:t xml:space="preserve"> pon un monto de Q.14,</w:t>
      </w:r>
      <w:r>
        <w:t>299.7</w:t>
      </w:r>
      <w:r w:rsidRPr="00897850">
        <w:t xml:space="preserve"> millones, </w:t>
      </w:r>
      <w:r w:rsidR="00705FFF">
        <w:t xml:space="preserve">el monto de </w:t>
      </w:r>
      <w:r w:rsidRPr="00897850">
        <w:t>Q.2,4</w:t>
      </w:r>
      <w:r>
        <w:t>00</w:t>
      </w:r>
      <w:r w:rsidRPr="00897850">
        <w:t xml:space="preserve">.0 millones </w:t>
      </w:r>
      <w:r w:rsidR="00705FFF">
        <w:t>es</w:t>
      </w:r>
      <w:r>
        <w:t xml:space="preserve"> </w:t>
      </w:r>
      <w:r w:rsidRPr="00897850">
        <w:t>financiado</w:t>
      </w:r>
      <w:r>
        <w:t xml:space="preserve"> </w:t>
      </w:r>
      <w:r w:rsidR="00705FFF">
        <w:t xml:space="preserve">con </w:t>
      </w:r>
      <w:r>
        <w:t>recursos provenientes de</w:t>
      </w:r>
      <w:r w:rsidR="00705FFF">
        <w:t>l endeudamiento externo</w:t>
      </w:r>
      <w:r>
        <w:t>,</w:t>
      </w:r>
      <w:r w:rsidRPr="00897850">
        <w:t xml:space="preserve"> </w:t>
      </w:r>
      <w:r w:rsidR="00705FFF">
        <w:t>asignados a</w:t>
      </w:r>
      <w:r w:rsidRPr="00897850">
        <w:t xml:space="preserve"> las entidades siguientes: </w:t>
      </w:r>
      <w:r>
        <w:t xml:space="preserve">Ministerio de </w:t>
      </w:r>
      <w:r w:rsidRPr="00897850">
        <w:t>Salud</w:t>
      </w:r>
      <w:r w:rsidR="00705FFF">
        <w:t xml:space="preserve"> Pública y Asistencia Social</w:t>
      </w:r>
      <w:r w:rsidRPr="00897850">
        <w:t xml:space="preserve"> con Q.850.0 millones; </w:t>
      </w:r>
      <w:r>
        <w:t xml:space="preserve">Ministerio de </w:t>
      </w:r>
      <w:r w:rsidRPr="00897850">
        <w:t>Trabajo</w:t>
      </w:r>
      <w:r w:rsidR="00705FFF">
        <w:t xml:space="preserve"> y Previsión Social</w:t>
      </w:r>
      <w:r w:rsidRPr="00897850">
        <w:t xml:space="preserve"> con Q.50.0 millones; </w:t>
      </w:r>
      <w:r>
        <w:t xml:space="preserve">Ministerio de </w:t>
      </w:r>
      <w:r w:rsidRPr="00897850">
        <w:t xml:space="preserve">Economía con Q.400.0 millones; </w:t>
      </w:r>
      <w:r>
        <w:t xml:space="preserve">Ministerio de </w:t>
      </w:r>
      <w:r w:rsidRPr="00897850">
        <w:t>Agricultura</w:t>
      </w:r>
      <w:r w:rsidR="00705FFF">
        <w:t>, Ganadería y Alimentación</w:t>
      </w:r>
      <w:r w:rsidRPr="00897850">
        <w:t xml:space="preserve"> con Q.400.0 millones; Obligaciones</w:t>
      </w:r>
      <w:r w:rsidR="00705FFF">
        <w:t xml:space="preserve"> del Estado a cargo del Tesoro</w:t>
      </w:r>
      <w:r w:rsidRPr="00897850">
        <w:t xml:space="preserve"> con </w:t>
      </w:r>
      <w:r w:rsidR="00705FFF">
        <w:t>Q.</w:t>
      </w:r>
      <w:r w:rsidRPr="00897850">
        <w:t>2</w:t>
      </w:r>
      <w:r>
        <w:t>5</w:t>
      </w:r>
      <w:r w:rsidRPr="00897850">
        <w:t>0.0 millones y Mi</w:t>
      </w:r>
      <w:r w:rsidR="00705FFF">
        <w:t>nisterio de Desarrollo Social con Q.450.0 millones.</w:t>
      </w:r>
    </w:p>
    <w:p w:rsidR="00705FFF" w:rsidRDefault="00705FFF"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BF2057" w:rsidRDefault="00BF2057" w:rsidP="00AD535C">
      <w:pPr>
        <w:jc w:val="both"/>
      </w:pPr>
    </w:p>
    <w:p w:rsidR="00AD535C" w:rsidRPr="00BF2057" w:rsidRDefault="00AD535C" w:rsidP="00AD535C">
      <w:pPr>
        <w:jc w:val="center"/>
        <w:rPr>
          <w:b/>
          <w:szCs w:val="22"/>
          <w:lang w:val="es-MX"/>
        </w:rPr>
      </w:pPr>
      <w:r w:rsidRPr="00BF2057">
        <w:rPr>
          <w:b/>
          <w:szCs w:val="22"/>
          <w:lang w:val="es-MX"/>
        </w:rPr>
        <w:t>Cuadro 15</w:t>
      </w:r>
    </w:p>
    <w:p w:rsidR="00AD535C" w:rsidRPr="00BF2057" w:rsidRDefault="00AD535C" w:rsidP="00AD535C">
      <w:pPr>
        <w:jc w:val="center"/>
        <w:rPr>
          <w:b/>
          <w:szCs w:val="22"/>
          <w:lang w:val="es-MX"/>
        </w:rPr>
      </w:pPr>
      <w:r w:rsidRPr="00BF2057">
        <w:rPr>
          <w:b/>
          <w:szCs w:val="22"/>
          <w:lang w:val="es-MX"/>
        </w:rPr>
        <w:t>Programa de Emergencia C</w:t>
      </w:r>
      <w:r w:rsidR="00705FFF" w:rsidRPr="00BF2057">
        <w:rPr>
          <w:b/>
          <w:szCs w:val="22"/>
          <w:lang w:val="es-MX"/>
        </w:rPr>
        <w:t>ovid</w:t>
      </w:r>
      <w:r w:rsidRPr="00BF2057">
        <w:rPr>
          <w:b/>
          <w:szCs w:val="22"/>
          <w:lang w:val="es-MX"/>
        </w:rPr>
        <w:t>-19</w:t>
      </w:r>
      <w:r w:rsidR="007A7C46">
        <w:rPr>
          <w:b/>
          <w:szCs w:val="22"/>
          <w:lang w:val="es-MX"/>
        </w:rPr>
        <w:t xml:space="preserve"> por Entidad y Organismo Financiero</w:t>
      </w:r>
    </w:p>
    <w:p w:rsidR="00AD535C" w:rsidRPr="00BF2057" w:rsidRDefault="00AD535C" w:rsidP="00AD535C">
      <w:pPr>
        <w:jc w:val="center"/>
        <w:rPr>
          <w:b/>
          <w:szCs w:val="22"/>
          <w:lang w:val="es-MX"/>
        </w:rPr>
      </w:pPr>
      <w:r w:rsidRPr="00BF2057">
        <w:rPr>
          <w:b/>
          <w:szCs w:val="22"/>
          <w:lang w:val="es-MX"/>
        </w:rPr>
        <w:t>Al 30 de junio de 2020</w:t>
      </w:r>
      <w:r w:rsidR="00927D15">
        <w:rPr>
          <w:b/>
          <w:szCs w:val="22"/>
          <w:lang w:val="es-MX"/>
        </w:rPr>
        <w:t>*</w:t>
      </w:r>
    </w:p>
    <w:p w:rsidR="00AD535C" w:rsidRPr="00BF2057" w:rsidRDefault="00AD535C" w:rsidP="00AD535C">
      <w:pPr>
        <w:jc w:val="center"/>
        <w:rPr>
          <w:sz w:val="20"/>
          <w:lang w:val="es-MX"/>
        </w:rPr>
      </w:pPr>
      <w:r w:rsidRPr="00BF2057">
        <w:rPr>
          <w:b/>
          <w:szCs w:val="22"/>
          <w:lang w:val="es-MX"/>
        </w:rPr>
        <w:t>(Cifras en Millones de Quetzales)</w:t>
      </w:r>
    </w:p>
    <w:tbl>
      <w:tblPr>
        <w:tblW w:w="9152" w:type="dxa"/>
        <w:tblInd w:w="-10" w:type="dxa"/>
        <w:tblCellMar>
          <w:left w:w="70" w:type="dxa"/>
          <w:right w:w="70" w:type="dxa"/>
        </w:tblCellMar>
        <w:tblLook w:val="04A0" w:firstRow="1" w:lastRow="0" w:firstColumn="1" w:lastColumn="0" w:noHBand="0" w:noVBand="1"/>
      </w:tblPr>
      <w:tblGrid>
        <w:gridCol w:w="4333"/>
        <w:gridCol w:w="1276"/>
        <w:gridCol w:w="1275"/>
        <w:gridCol w:w="1134"/>
        <w:gridCol w:w="1134"/>
      </w:tblGrid>
      <w:tr w:rsidR="00AD535C" w:rsidRPr="009D409E" w:rsidTr="00705FFF">
        <w:trPr>
          <w:trHeight w:val="375"/>
        </w:trPr>
        <w:tc>
          <w:tcPr>
            <w:tcW w:w="4333" w:type="dxa"/>
            <w:vMerge w:val="restart"/>
            <w:tcBorders>
              <w:top w:val="single" w:sz="8" w:space="0" w:color="auto"/>
              <w:left w:val="single" w:sz="8" w:space="0" w:color="auto"/>
              <w:bottom w:val="single" w:sz="8" w:space="0" w:color="000000"/>
              <w:right w:val="single" w:sz="4" w:space="0" w:color="auto"/>
            </w:tcBorders>
            <w:shd w:val="clear" w:color="000000" w:fill="9BC2E6"/>
            <w:vAlign w:val="center"/>
            <w:hideMark/>
          </w:tcPr>
          <w:p w:rsidR="00AD535C" w:rsidRPr="009D409E" w:rsidRDefault="00AD535C" w:rsidP="0025776C">
            <w:pPr>
              <w:jc w:val="center"/>
              <w:rPr>
                <w:b/>
                <w:bCs/>
                <w:sz w:val="22"/>
                <w:szCs w:val="22"/>
                <w:lang w:val="es-GT" w:eastAsia="es-GT"/>
              </w:rPr>
            </w:pPr>
            <w:r w:rsidRPr="009D409E">
              <w:rPr>
                <w:b/>
                <w:bCs/>
                <w:sz w:val="22"/>
                <w:szCs w:val="22"/>
                <w:lang w:val="es-GT" w:eastAsia="es-GT"/>
              </w:rPr>
              <w:t>Entidad</w:t>
            </w:r>
            <w:r w:rsidR="007A7C46">
              <w:rPr>
                <w:b/>
                <w:bCs/>
                <w:sz w:val="22"/>
                <w:szCs w:val="22"/>
                <w:lang w:val="es-GT" w:eastAsia="es-GT"/>
              </w:rPr>
              <w:t>/Organismo</w:t>
            </w:r>
          </w:p>
        </w:tc>
        <w:tc>
          <w:tcPr>
            <w:tcW w:w="1276"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AD535C" w:rsidRPr="009D409E" w:rsidRDefault="00AD535C" w:rsidP="0025776C">
            <w:pPr>
              <w:jc w:val="center"/>
              <w:rPr>
                <w:b/>
                <w:bCs/>
                <w:sz w:val="22"/>
                <w:szCs w:val="22"/>
                <w:lang w:val="es-GT" w:eastAsia="es-GT"/>
              </w:rPr>
            </w:pPr>
            <w:r w:rsidRPr="009D409E">
              <w:rPr>
                <w:b/>
                <w:bCs/>
                <w:sz w:val="22"/>
                <w:szCs w:val="22"/>
                <w:lang w:val="es-GT" w:eastAsia="es-GT"/>
              </w:rPr>
              <w:t>Vigente</w:t>
            </w:r>
          </w:p>
        </w:tc>
        <w:tc>
          <w:tcPr>
            <w:tcW w:w="1275"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AD535C" w:rsidRPr="009D409E" w:rsidRDefault="00AD535C" w:rsidP="0025776C">
            <w:pPr>
              <w:jc w:val="center"/>
              <w:rPr>
                <w:b/>
                <w:bCs/>
                <w:sz w:val="22"/>
                <w:szCs w:val="22"/>
                <w:lang w:val="es-GT" w:eastAsia="es-GT"/>
              </w:rPr>
            </w:pPr>
            <w:r w:rsidRPr="009D409E">
              <w:rPr>
                <w:b/>
                <w:bCs/>
                <w:sz w:val="22"/>
                <w:szCs w:val="22"/>
                <w:lang w:val="es-GT" w:eastAsia="es-GT"/>
              </w:rPr>
              <w:t>Ejecutado</w:t>
            </w:r>
          </w:p>
        </w:tc>
        <w:tc>
          <w:tcPr>
            <w:tcW w:w="1134"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AD535C" w:rsidRPr="009D409E" w:rsidRDefault="00AD535C" w:rsidP="0025776C">
            <w:pPr>
              <w:jc w:val="center"/>
              <w:rPr>
                <w:b/>
                <w:bCs/>
                <w:sz w:val="22"/>
                <w:szCs w:val="22"/>
                <w:lang w:val="es-GT" w:eastAsia="es-GT"/>
              </w:rPr>
            </w:pPr>
            <w:r w:rsidRPr="009D409E">
              <w:rPr>
                <w:b/>
                <w:bCs/>
                <w:sz w:val="22"/>
                <w:szCs w:val="22"/>
                <w:lang w:val="es-GT" w:eastAsia="es-GT"/>
              </w:rPr>
              <w:t>Saldo por Devengar</w:t>
            </w:r>
          </w:p>
        </w:tc>
        <w:tc>
          <w:tcPr>
            <w:tcW w:w="1134" w:type="dxa"/>
            <w:vMerge w:val="restart"/>
            <w:tcBorders>
              <w:top w:val="single" w:sz="8" w:space="0" w:color="auto"/>
              <w:left w:val="single" w:sz="4" w:space="0" w:color="auto"/>
              <w:bottom w:val="single" w:sz="8" w:space="0" w:color="000000"/>
              <w:right w:val="single" w:sz="8" w:space="0" w:color="auto"/>
            </w:tcBorders>
            <w:shd w:val="clear" w:color="000000" w:fill="9BC2E6"/>
            <w:vAlign w:val="center"/>
            <w:hideMark/>
          </w:tcPr>
          <w:p w:rsidR="00AD535C" w:rsidRPr="009D409E" w:rsidRDefault="00AD535C" w:rsidP="0025776C">
            <w:pPr>
              <w:jc w:val="center"/>
              <w:rPr>
                <w:b/>
                <w:bCs/>
                <w:sz w:val="22"/>
                <w:szCs w:val="22"/>
                <w:lang w:val="es-GT" w:eastAsia="es-GT"/>
              </w:rPr>
            </w:pPr>
            <w:r w:rsidRPr="009D409E">
              <w:rPr>
                <w:b/>
                <w:bCs/>
                <w:sz w:val="22"/>
                <w:szCs w:val="22"/>
                <w:lang w:val="es-GT" w:eastAsia="es-GT"/>
              </w:rPr>
              <w:t>% de Ejecución</w:t>
            </w:r>
          </w:p>
        </w:tc>
      </w:tr>
      <w:tr w:rsidR="00AD535C" w:rsidRPr="009D409E" w:rsidTr="00705FFF">
        <w:trPr>
          <w:trHeight w:val="276"/>
        </w:trPr>
        <w:tc>
          <w:tcPr>
            <w:tcW w:w="4333" w:type="dxa"/>
            <w:vMerge/>
            <w:tcBorders>
              <w:top w:val="single" w:sz="8" w:space="0" w:color="auto"/>
              <w:left w:val="single" w:sz="8" w:space="0" w:color="auto"/>
              <w:bottom w:val="single" w:sz="8" w:space="0" w:color="000000"/>
              <w:right w:val="single" w:sz="4" w:space="0" w:color="auto"/>
            </w:tcBorders>
            <w:vAlign w:val="center"/>
            <w:hideMark/>
          </w:tcPr>
          <w:p w:rsidR="00AD535C" w:rsidRPr="009D409E" w:rsidRDefault="00AD535C" w:rsidP="0025776C">
            <w:pPr>
              <w:rPr>
                <w:b/>
                <w:bCs/>
                <w:sz w:val="22"/>
                <w:szCs w:val="22"/>
                <w:lang w:val="es-GT" w:eastAsia="es-GT"/>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rsidR="00AD535C" w:rsidRPr="009D409E" w:rsidRDefault="00AD535C" w:rsidP="0025776C">
            <w:pPr>
              <w:rPr>
                <w:b/>
                <w:bCs/>
                <w:sz w:val="22"/>
                <w:szCs w:val="22"/>
                <w:lang w:val="es-GT" w:eastAsia="es-GT"/>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rsidR="00AD535C" w:rsidRPr="009D409E" w:rsidRDefault="00AD535C" w:rsidP="0025776C">
            <w:pPr>
              <w:rPr>
                <w:b/>
                <w:bCs/>
                <w:sz w:val="22"/>
                <w:szCs w:val="22"/>
                <w:lang w:val="es-GT" w:eastAsia="es-GT"/>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AD535C" w:rsidRPr="009D409E" w:rsidRDefault="00AD535C" w:rsidP="0025776C">
            <w:pPr>
              <w:rPr>
                <w:b/>
                <w:bCs/>
                <w:sz w:val="22"/>
                <w:szCs w:val="22"/>
                <w:lang w:val="es-GT" w:eastAsia="es-GT"/>
              </w:rPr>
            </w:pPr>
          </w:p>
        </w:tc>
        <w:tc>
          <w:tcPr>
            <w:tcW w:w="1134" w:type="dxa"/>
            <w:vMerge/>
            <w:tcBorders>
              <w:top w:val="single" w:sz="8" w:space="0" w:color="auto"/>
              <w:left w:val="single" w:sz="4" w:space="0" w:color="auto"/>
              <w:bottom w:val="single" w:sz="8" w:space="0" w:color="000000"/>
              <w:right w:val="single" w:sz="8" w:space="0" w:color="auto"/>
            </w:tcBorders>
            <w:vAlign w:val="center"/>
            <w:hideMark/>
          </w:tcPr>
          <w:p w:rsidR="00AD535C" w:rsidRPr="009D409E" w:rsidRDefault="00AD535C" w:rsidP="0025776C">
            <w:pPr>
              <w:rPr>
                <w:b/>
                <w:bCs/>
                <w:sz w:val="22"/>
                <w:szCs w:val="22"/>
                <w:lang w:val="es-GT" w:eastAsia="es-GT"/>
              </w:rPr>
            </w:pPr>
          </w:p>
        </w:tc>
      </w:tr>
      <w:tr w:rsidR="00AD535C" w:rsidRPr="009D409E" w:rsidTr="00705FFF">
        <w:trPr>
          <w:trHeight w:val="270"/>
        </w:trPr>
        <w:tc>
          <w:tcPr>
            <w:tcW w:w="4333" w:type="dxa"/>
            <w:tcBorders>
              <w:top w:val="single" w:sz="8" w:space="0" w:color="000000"/>
              <w:left w:val="single" w:sz="8" w:space="0" w:color="auto"/>
              <w:right w:val="single" w:sz="4" w:space="0" w:color="auto"/>
            </w:tcBorders>
            <w:shd w:val="clear" w:color="auto" w:fill="auto"/>
            <w:noWrap/>
            <w:vAlign w:val="bottom"/>
            <w:hideMark/>
          </w:tcPr>
          <w:p w:rsidR="00AD535C" w:rsidRPr="00705FFF" w:rsidRDefault="00AD535C" w:rsidP="0025776C">
            <w:pPr>
              <w:jc w:val="center"/>
              <w:rPr>
                <w:b/>
                <w:bCs/>
                <w:sz w:val="20"/>
                <w:szCs w:val="20"/>
                <w:lang w:val="es-GT" w:eastAsia="es-GT"/>
              </w:rPr>
            </w:pPr>
            <w:r w:rsidRPr="00705FFF">
              <w:rPr>
                <w:b/>
                <w:bCs/>
                <w:sz w:val="20"/>
                <w:szCs w:val="20"/>
                <w:lang w:val="es-GT" w:eastAsia="es-GT"/>
              </w:rPr>
              <w:t>TOTAL</w:t>
            </w:r>
          </w:p>
        </w:tc>
        <w:tc>
          <w:tcPr>
            <w:tcW w:w="1276" w:type="dxa"/>
            <w:tcBorders>
              <w:top w:val="single" w:sz="8" w:space="0" w:color="000000"/>
              <w:left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2,400.0</w:t>
            </w:r>
          </w:p>
        </w:tc>
        <w:tc>
          <w:tcPr>
            <w:tcW w:w="1275" w:type="dxa"/>
            <w:tcBorders>
              <w:top w:val="single" w:sz="8" w:space="0" w:color="000000"/>
              <w:left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399.1</w:t>
            </w:r>
          </w:p>
        </w:tc>
        <w:tc>
          <w:tcPr>
            <w:tcW w:w="1134" w:type="dxa"/>
            <w:tcBorders>
              <w:top w:val="single" w:sz="8" w:space="0" w:color="000000"/>
              <w:left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2,000.9</w:t>
            </w:r>
          </w:p>
        </w:tc>
        <w:tc>
          <w:tcPr>
            <w:tcW w:w="1134" w:type="dxa"/>
            <w:tcBorders>
              <w:top w:val="single" w:sz="8" w:space="0" w:color="000000"/>
              <w:left w:val="nil"/>
              <w:right w:val="single" w:sz="8"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16.6%</w:t>
            </w:r>
          </w:p>
        </w:tc>
      </w:tr>
      <w:tr w:rsidR="00AD535C" w:rsidRPr="009D409E" w:rsidTr="00705FFF">
        <w:trPr>
          <w:trHeight w:val="290"/>
        </w:trPr>
        <w:tc>
          <w:tcPr>
            <w:tcW w:w="4333" w:type="dxa"/>
            <w:tcBorders>
              <w:left w:val="single" w:sz="8" w:space="0" w:color="auto"/>
              <w:bottom w:val="nil"/>
              <w:right w:val="single" w:sz="4" w:space="0" w:color="auto"/>
            </w:tcBorders>
            <w:shd w:val="clear" w:color="auto" w:fill="auto"/>
            <w:noWrap/>
            <w:vAlign w:val="bottom"/>
            <w:hideMark/>
          </w:tcPr>
          <w:p w:rsidR="00AD535C" w:rsidRPr="00705FFF" w:rsidRDefault="00AD535C" w:rsidP="00705FFF">
            <w:pPr>
              <w:rPr>
                <w:b/>
                <w:bCs/>
                <w:sz w:val="20"/>
                <w:szCs w:val="20"/>
                <w:lang w:val="es-GT" w:eastAsia="es-GT"/>
              </w:rPr>
            </w:pPr>
            <w:r w:rsidRPr="00705FFF">
              <w:rPr>
                <w:b/>
                <w:bCs/>
                <w:sz w:val="20"/>
                <w:szCs w:val="20"/>
                <w:lang w:val="es-GT" w:eastAsia="es-GT"/>
              </w:rPr>
              <w:t>Salud Pública y Asistencia Social</w:t>
            </w:r>
          </w:p>
        </w:tc>
        <w:tc>
          <w:tcPr>
            <w:tcW w:w="1276" w:type="dxa"/>
            <w:tcBorders>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850.0</w:t>
            </w:r>
          </w:p>
        </w:tc>
        <w:tc>
          <w:tcPr>
            <w:tcW w:w="1275" w:type="dxa"/>
            <w:tcBorders>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81.5</w:t>
            </w:r>
          </w:p>
        </w:tc>
        <w:tc>
          <w:tcPr>
            <w:tcW w:w="1134" w:type="dxa"/>
            <w:tcBorders>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768.5</w:t>
            </w:r>
          </w:p>
        </w:tc>
        <w:tc>
          <w:tcPr>
            <w:tcW w:w="1134" w:type="dxa"/>
            <w:tcBorders>
              <w:left w:val="nil"/>
              <w:bottom w:val="nil"/>
              <w:right w:val="single" w:sz="8"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9.6%</w:t>
            </w:r>
          </w:p>
        </w:tc>
      </w:tr>
      <w:tr w:rsidR="00AD535C" w:rsidRPr="009D409E" w:rsidTr="00705FFF">
        <w:trPr>
          <w:trHeight w:val="26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sz w:val="20"/>
                <w:szCs w:val="20"/>
                <w:lang w:val="es-GT" w:eastAsia="es-GT"/>
              </w:rPr>
            </w:pPr>
            <w:r w:rsidRPr="00705FFF">
              <w:rPr>
                <w:sz w:val="20"/>
                <w:szCs w:val="20"/>
                <w:lang w:val="es-GT" w:eastAsia="es-GT"/>
              </w:rPr>
              <w:t>Banco Internacional de Reconstrucción y Fomento</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850.0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81.5</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768.5</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9.6%</w:t>
            </w:r>
          </w:p>
        </w:tc>
      </w:tr>
      <w:tr w:rsidR="00AD535C" w:rsidRPr="009D409E" w:rsidTr="00705FFF">
        <w:trPr>
          <w:trHeight w:val="30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b/>
                <w:bCs/>
                <w:sz w:val="20"/>
                <w:szCs w:val="20"/>
                <w:lang w:val="es-GT" w:eastAsia="es-GT"/>
              </w:rPr>
            </w:pPr>
            <w:r w:rsidRPr="00705FFF">
              <w:rPr>
                <w:b/>
                <w:bCs/>
                <w:sz w:val="20"/>
                <w:szCs w:val="20"/>
                <w:lang w:val="es-GT" w:eastAsia="es-GT"/>
              </w:rPr>
              <w:t>Trabajo y Previsión Social</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50.0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2.6</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47.4</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5.2%</w:t>
            </w:r>
          </w:p>
        </w:tc>
      </w:tr>
      <w:tr w:rsidR="00AD535C" w:rsidRPr="009D409E" w:rsidTr="00705FFF">
        <w:trPr>
          <w:trHeight w:val="26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sz w:val="20"/>
                <w:szCs w:val="20"/>
                <w:lang w:val="es-GT" w:eastAsia="es-GT"/>
              </w:rPr>
            </w:pPr>
            <w:r w:rsidRPr="00705FFF">
              <w:rPr>
                <w:sz w:val="20"/>
                <w:szCs w:val="20"/>
                <w:lang w:val="es-GT" w:eastAsia="es-GT"/>
              </w:rPr>
              <w:t>Banco Interamericano de Desarrollo</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50.0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2.6</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47.4</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5.2%</w:t>
            </w:r>
          </w:p>
        </w:tc>
      </w:tr>
      <w:tr w:rsidR="00AD535C" w:rsidRPr="009D409E" w:rsidTr="00705FFF">
        <w:trPr>
          <w:trHeight w:val="30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b/>
                <w:bCs/>
                <w:sz w:val="20"/>
                <w:szCs w:val="20"/>
                <w:lang w:val="es-GT" w:eastAsia="es-GT"/>
              </w:rPr>
            </w:pPr>
            <w:r w:rsidRPr="00705FFF">
              <w:rPr>
                <w:b/>
                <w:bCs/>
                <w:sz w:val="20"/>
                <w:szCs w:val="20"/>
                <w:lang w:val="es-GT" w:eastAsia="es-GT"/>
              </w:rPr>
              <w:t>Economía</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400.0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0.0</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400.0</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0.0%</w:t>
            </w:r>
          </w:p>
        </w:tc>
      </w:tr>
      <w:tr w:rsidR="00AD535C" w:rsidRPr="009D409E" w:rsidTr="00705FFF">
        <w:trPr>
          <w:trHeight w:val="26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sz w:val="20"/>
                <w:szCs w:val="20"/>
                <w:lang w:val="es-GT" w:eastAsia="es-GT"/>
              </w:rPr>
            </w:pPr>
            <w:r w:rsidRPr="00705FFF">
              <w:rPr>
                <w:sz w:val="20"/>
                <w:szCs w:val="20"/>
                <w:lang w:val="es-GT" w:eastAsia="es-GT"/>
              </w:rPr>
              <w:t>Banco Interamericano de Desarrollo</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400.0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0.0</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400.0</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0.0%</w:t>
            </w:r>
          </w:p>
        </w:tc>
      </w:tr>
      <w:tr w:rsidR="00AD535C" w:rsidRPr="009D409E" w:rsidTr="00705FFF">
        <w:trPr>
          <w:trHeight w:val="30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b/>
                <w:bCs/>
                <w:sz w:val="20"/>
                <w:szCs w:val="20"/>
                <w:lang w:val="es-GT" w:eastAsia="es-GT"/>
              </w:rPr>
            </w:pPr>
            <w:r w:rsidRPr="00705FFF">
              <w:rPr>
                <w:b/>
                <w:bCs/>
                <w:sz w:val="20"/>
                <w:szCs w:val="20"/>
                <w:lang w:val="es-GT" w:eastAsia="es-GT"/>
              </w:rPr>
              <w:t>Agricultura, Ganadería y Alimentación</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400.0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0.0</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400.0</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0.0%</w:t>
            </w:r>
          </w:p>
        </w:tc>
      </w:tr>
      <w:tr w:rsidR="00AD535C" w:rsidRPr="009D409E" w:rsidTr="00705FFF">
        <w:trPr>
          <w:trHeight w:val="26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sz w:val="20"/>
                <w:szCs w:val="20"/>
                <w:lang w:val="es-GT" w:eastAsia="es-GT"/>
              </w:rPr>
            </w:pPr>
            <w:r w:rsidRPr="00705FFF">
              <w:rPr>
                <w:sz w:val="20"/>
                <w:szCs w:val="20"/>
                <w:lang w:val="es-GT" w:eastAsia="es-GT"/>
              </w:rPr>
              <w:t>Banco Internacional de Reconstrucción y Fomento</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400.0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0.0</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400.0</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0.0%</w:t>
            </w:r>
          </w:p>
        </w:tc>
      </w:tr>
      <w:tr w:rsidR="00AD535C" w:rsidRPr="009D409E" w:rsidTr="00705FFF">
        <w:trPr>
          <w:trHeight w:val="30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b/>
                <w:bCs/>
                <w:sz w:val="20"/>
                <w:szCs w:val="20"/>
                <w:lang w:val="es-GT" w:eastAsia="es-GT"/>
              </w:rPr>
            </w:pPr>
            <w:r w:rsidRPr="00705FFF">
              <w:rPr>
                <w:b/>
                <w:bCs/>
                <w:sz w:val="20"/>
                <w:szCs w:val="20"/>
                <w:lang w:val="es-GT" w:eastAsia="es-GT"/>
              </w:rPr>
              <w:t>Obligaciones del Estado a Cargo del Tesoro</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250.0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250.0</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0.0</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100.0%</w:t>
            </w:r>
          </w:p>
        </w:tc>
      </w:tr>
      <w:tr w:rsidR="00AD535C" w:rsidRPr="009D409E" w:rsidTr="00705FFF">
        <w:trPr>
          <w:trHeight w:val="26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sz w:val="20"/>
                <w:szCs w:val="20"/>
                <w:lang w:val="es-GT" w:eastAsia="es-GT"/>
              </w:rPr>
            </w:pPr>
            <w:r w:rsidRPr="00705FFF">
              <w:rPr>
                <w:sz w:val="20"/>
                <w:szCs w:val="20"/>
                <w:lang w:val="es-GT" w:eastAsia="es-GT"/>
              </w:rPr>
              <w:t>Banco Internacional de Reconstrucción y Fomento</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250.0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250.0</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0.0</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100.0%</w:t>
            </w:r>
          </w:p>
        </w:tc>
      </w:tr>
      <w:tr w:rsidR="00AD535C" w:rsidRPr="009D409E" w:rsidTr="00705FFF">
        <w:trPr>
          <w:trHeight w:val="30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705FFF">
            <w:pPr>
              <w:rPr>
                <w:b/>
                <w:bCs/>
                <w:sz w:val="20"/>
                <w:szCs w:val="20"/>
                <w:lang w:val="es-GT" w:eastAsia="es-GT"/>
              </w:rPr>
            </w:pPr>
            <w:r w:rsidRPr="00705FFF">
              <w:rPr>
                <w:b/>
                <w:bCs/>
                <w:sz w:val="20"/>
                <w:szCs w:val="20"/>
                <w:lang w:val="es-GT" w:eastAsia="es-GT"/>
              </w:rPr>
              <w:t>Desarrollo Social</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450.0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65.0</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385.0</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14.4%</w:t>
            </w:r>
          </w:p>
        </w:tc>
      </w:tr>
      <w:tr w:rsidR="00AD535C" w:rsidRPr="009D409E" w:rsidTr="00705FFF">
        <w:trPr>
          <w:trHeight w:val="260"/>
        </w:trPr>
        <w:tc>
          <w:tcPr>
            <w:tcW w:w="4333" w:type="dxa"/>
            <w:tcBorders>
              <w:top w:val="nil"/>
              <w:left w:val="single" w:sz="8" w:space="0" w:color="auto"/>
              <w:bottom w:val="nil"/>
              <w:right w:val="single" w:sz="4" w:space="0" w:color="auto"/>
            </w:tcBorders>
            <w:shd w:val="clear" w:color="auto" w:fill="auto"/>
            <w:noWrap/>
            <w:vAlign w:val="bottom"/>
            <w:hideMark/>
          </w:tcPr>
          <w:p w:rsidR="00AD535C" w:rsidRPr="00705FFF" w:rsidRDefault="00AD535C" w:rsidP="0025776C">
            <w:pPr>
              <w:rPr>
                <w:sz w:val="20"/>
                <w:szCs w:val="20"/>
                <w:lang w:val="es-GT" w:eastAsia="es-GT"/>
              </w:rPr>
            </w:pPr>
            <w:r w:rsidRPr="00705FFF">
              <w:rPr>
                <w:sz w:val="20"/>
                <w:szCs w:val="20"/>
                <w:lang w:val="es-GT" w:eastAsia="es-GT"/>
              </w:rPr>
              <w:t>Banco Interamericano de Desarrollo</w:t>
            </w:r>
          </w:p>
        </w:tc>
        <w:tc>
          <w:tcPr>
            <w:tcW w:w="1276"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170.0</w:t>
            </w:r>
          </w:p>
        </w:tc>
        <w:tc>
          <w:tcPr>
            <w:tcW w:w="1275"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0.0</w:t>
            </w:r>
          </w:p>
        </w:tc>
        <w:tc>
          <w:tcPr>
            <w:tcW w:w="1134" w:type="dxa"/>
            <w:tcBorders>
              <w:top w:val="nil"/>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170.0</w:t>
            </w:r>
          </w:p>
        </w:tc>
        <w:tc>
          <w:tcPr>
            <w:tcW w:w="1134" w:type="dxa"/>
            <w:tcBorders>
              <w:top w:val="nil"/>
              <w:left w:val="nil"/>
              <w:bottom w:val="nil"/>
              <w:right w:val="single" w:sz="8"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0.0%</w:t>
            </w:r>
          </w:p>
        </w:tc>
      </w:tr>
      <w:tr w:rsidR="00AD535C" w:rsidRPr="009D409E" w:rsidTr="00705FFF">
        <w:trPr>
          <w:trHeight w:val="270"/>
        </w:trPr>
        <w:tc>
          <w:tcPr>
            <w:tcW w:w="4333" w:type="dxa"/>
            <w:tcBorders>
              <w:top w:val="nil"/>
              <w:left w:val="single" w:sz="8" w:space="0" w:color="auto"/>
              <w:bottom w:val="single" w:sz="8" w:space="0" w:color="auto"/>
              <w:right w:val="single" w:sz="4" w:space="0" w:color="auto"/>
            </w:tcBorders>
            <w:shd w:val="clear" w:color="auto" w:fill="auto"/>
            <w:noWrap/>
            <w:vAlign w:val="bottom"/>
            <w:hideMark/>
          </w:tcPr>
          <w:p w:rsidR="00AD535C" w:rsidRPr="00705FFF" w:rsidRDefault="00AD535C" w:rsidP="0025776C">
            <w:pPr>
              <w:rPr>
                <w:sz w:val="20"/>
                <w:szCs w:val="20"/>
                <w:lang w:val="es-GT" w:eastAsia="es-GT"/>
              </w:rPr>
            </w:pPr>
            <w:r w:rsidRPr="00705FFF">
              <w:rPr>
                <w:sz w:val="20"/>
                <w:szCs w:val="20"/>
                <w:lang w:val="es-GT" w:eastAsia="es-GT"/>
              </w:rPr>
              <w:t>Banco Internacional de Reconstrucción y Fomento</w:t>
            </w:r>
          </w:p>
        </w:tc>
        <w:tc>
          <w:tcPr>
            <w:tcW w:w="1276" w:type="dxa"/>
            <w:tcBorders>
              <w:top w:val="nil"/>
              <w:left w:val="nil"/>
              <w:bottom w:val="single" w:sz="8" w:space="0" w:color="auto"/>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280.0</w:t>
            </w:r>
          </w:p>
        </w:tc>
        <w:tc>
          <w:tcPr>
            <w:tcW w:w="1275" w:type="dxa"/>
            <w:tcBorders>
              <w:top w:val="nil"/>
              <w:left w:val="nil"/>
              <w:bottom w:val="single" w:sz="8" w:space="0" w:color="auto"/>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65.0</w:t>
            </w:r>
          </w:p>
        </w:tc>
        <w:tc>
          <w:tcPr>
            <w:tcW w:w="1134" w:type="dxa"/>
            <w:tcBorders>
              <w:top w:val="nil"/>
              <w:left w:val="nil"/>
              <w:bottom w:val="single" w:sz="8" w:space="0" w:color="auto"/>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215.0</w:t>
            </w:r>
          </w:p>
        </w:tc>
        <w:tc>
          <w:tcPr>
            <w:tcW w:w="1134" w:type="dxa"/>
            <w:tcBorders>
              <w:top w:val="nil"/>
              <w:left w:val="nil"/>
              <w:bottom w:val="single" w:sz="8" w:space="0" w:color="auto"/>
              <w:right w:val="single" w:sz="8"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23.2%</w:t>
            </w:r>
          </w:p>
        </w:tc>
      </w:tr>
    </w:tbl>
    <w:p w:rsidR="00705FFF" w:rsidRDefault="00705FFF" w:rsidP="00705FFF">
      <w:pPr>
        <w:jc w:val="both"/>
        <w:rPr>
          <w:sz w:val="18"/>
          <w:lang w:val="es-MX"/>
        </w:rPr>
      </w:pPr>
      <w:r w:rsidRPr="00CF5481">
        <w:rPr>
          <w:sz w:val="18"/>
          <w:lang w:val="es-MX"/>
        </w:rPr>
        <w:t>* Cifras preliminares.</w:t>
      </w:r>
    </w:p>
    <w:p w:rsidR="00705FFF" w:rsidRPr="00CF5481" w:rsidRDefault="00705FFF" w:rsidP="00705FFF">
      <w:pPr>
        <w:jc w:val="both"/>
        <w:rPr>
          <w:sz w:val="18"/>
          <w:lang w:val="es-MX"/>
        </w:rPr>
      </w:pPr>
      <w:r>
        <w:rPr>
          <w:sz w:val="18"/>
          <w:lang w:val="es-MX"/>
        </w:rPr>
        <w:t xml:space="preserve">    </w:t>
      </w:r>
      <w:r w:rsidRPr="00CF5481">
        <w:rPr>
          <w:sz w:val="18"/>
          <w:lang w:val="es-MX"/>
        </w:rPr>
        <w:t>Fuente: Ministerio de Finanzas Públicas con base al SICOIN.</w:t>
      </w:r>
    </w:p>
    <w:p w:rsidR="00705FFF" w:rsidRDefault="00705FFF" w:rsidP="00705FFF">
      <w:pPr>
        <w:jc w:val="both"/>
        <w:rPr>
          <w:sz w:val="18"/>
          <w:lang w:val="es-MX"/>
        </w:rPr>
      </w:pPr>
    </w:p>
    <w:p w:rsidR="00BF2057" w:rsidRDefault="00BF2057" w:rsidP="00705FFF">
      <w:pPr>
        <w:jc w:val="both"/>
        <w:rPr>
          <w:sz w:val="18"/>
          <w:lang w:val="es-MX"/>
        </w:rPr>
      </w:pPr>
    </w:p>
    <w:p w:rsidR="00BF2057" w:rsidRDefault="00BF2057" w:rsidP="00705FFF">
      <w:pPr>
        <w:jc w:val="both"/>
        <w:rPr>
          <w:sz w:val="18"/>
          <w:lang w:val="es-MX"/>
        </w:rPr>
      </w:pPr>
    </w:p>
    <w:p w:rsidR="00AD535C" w:rsidRDefault="00AD535C" w:rsidP="00F22C67">
      <w:pPr>
        <w:jc w:val="both"/>
      </w:pPr>
      <w:r w:rsidRPr="00DD5276">
        <w:t>El Programa de Emergencia C</w:t>
      </w:r>
      <w:r w:rsidR="00705FFF">
        <w:t>ovid</w:t>
      </w:r>
      <w:r w:rsidRPr="00DD5276">
        <w:t xml:space="preserve">-19, </w:t>
      </w:r>
      <w:r>
        <w:t xml:space="preserve">es </w:t>
      </w:r>
      <w:r w:rsidRPr="00DD5276">
        <w:t xml:space="preserve">financiado con </w:t>
      </w:r>
      <w:r>
        <w:t xml:space="preserve">recursos de la </w:t>
      </w:r>
      <w:r w:rsidRPr="00DD5276">
        <w:t xml:space="preserve">fuente 52 </w:t>
      </w:r>
      <w:r w:rsidR="00705FFF">
        <w:t>“P</w:t>
      </w:r>
      <w:r w:rsidRPr="00DD5276">
        <w:t>réstamos externos</w:t>
      </w:r>
      <w:r w:rsidR="00705FFF">
        <w:t>”</w:t>
      </w:r>
      <w:r w:rsidRPr="00DD5276">
        <w:t xml:space="preserve"> por un monto de Q.2,4</w:t>
      </w:r>
      <w:r>
        <w:t>00.</w:t>
      </w:r>
      <w:r w:rsidRPr="00DD5276">
        <w:t>0 millones, recursos que provienen del Banco Interamericano de Desarrollo con Q.620.0 millones y Banco Mundial por un monto de Q.1,</w:t>
      </w:r>
      <w:r>
        <w:t>780.0</w:t>
      </w:r>
      <w:r w:rsidRPr="00DD5276">
        <w:t xml:space="preserve"> millones.</w:t>
      </w:r>
    </w:p>
    <w:p w:rsidR="00BF2057" w:rsidRPr="00F22C67" w:rsidRDefault="00BF2057" w:rsidP="00F22C67">
      <w:pPr>
        <w:jc w:val="both"/>
      </w:pPr>
    </w:p>
    <w:p w:rsidR="00AD535C" w:rsidRPr="00BF2057" w:rsidRDefault="00AD535C" w:rsidP="00AD535C">
      <w:pPr>
        <w:jc w:val="center"/>
        <w:rPr>
          <w:b/>
          <w:szCs w:val="22"/>
          <w:lang w:val="es-MX"/>
        </w:rPr>
      </w:pPr>
      <w:r w:rsidRPr="00BF2057">
        <w:rPr>
          <w:b/>
          <w:szCs w:val="22"/>
          <w:lang w:val="es-MX"/>
        </w:rPr>
        <w:t>Cuadro 16</w:t>
      </w:r>
    </w:p>
    <w:p w:rsidR="00AD535C" w:rsidRPr="00BF2057" w:rsidRDefault="00AD535C" w:rsidP="00AD535C">
      <w:pPr>
        <w:jc w:val="center"/>
        <w:rPr>
          <w:b/>
          <w:szCs w:val="22"/>
          <w:lang w:val="es-MX"/>
        </w:rPr>
      </w:pPr>
      <w:r w:rsidRPr="00BF2057">
        <w:rPr>
          <w:b/>
          <w:szCs w:val="22"/>
          <w:lang w:val="es-MX"/>
        </w:rPr>
        <w:t>Programa de Emergencia C</w:t>
      </w:r>
      <w:r w:rsidR="00705FFF" w:rsidRPr="00BF2057">
        <w:rPr>
          <w:b/>
          <w:szCs w:val="22"/>
          <w:lang w:val="es-MX"/>
        </w:rPr>
        <w:t>ovid</w:t>
      </w:r>
      <w:r w:rsidRPr="00BF2057">
        <w:rPr>
          <w:b/>
          <w:szCs w:val="22"/>
          <w:lang w:val="es-MX"/>
        </w:rPr>
        <w:t>-19</w:t>
      </w:r>
      <w:r w:rsidR="007A7C46">
        <w:rPr>
          <w:b/>
          <w:szCs w:val="22"/>
          <w:lang w:val="es-MX"/>
        </w:rPr>
        <w:t xml:space="preserve"> por Organismo Financiero</w:t>
      </w:r>
    </w:p>
    <w:p w:rsidR="00AD535C" w:rsidRPr="00BF2057" w:rsidRDefault="00AD535C" w:rsidP="00AD535C">
      <w:pPr>
        <w:jc w:val="center"/>
        <w:rPr>
          <w:b/>
          <w:szCs w:val="22"/>
          <w:lang w:val="es-MX"/>
        </w:rPr>
      </w:pPr>
      <w:r w:rsidRPr="00BF2057">
        <w:rPr>
          <w:b/>
          <w:szCs w:val="22"/>
          <w:lang w:val="es-MX"/>
        </w:rPr>
        <w:t>Al 30 de junio de 2020</w:t>
      </w:r>
      <w:r w:rsidR="00927D15">
        <w:rPr>
          <w:b/>
          <w:szCs w:val="22"/>
          <w:lang w:val="es-MX"/>
        </w:rPr>
        <w:t>*</w:t>
      </w:r>
    </w:p>
    <w:p w:rsidR="00AD535C" w:rsidRDefault="00AD535C" w:rsidP="00AD535C">
      <w:pPr>
        <w:jc w:val="center"/>
        <w:rPr>
          <w:rFonts w:ascii="Calibri" w:eastAsia="Calibri" w:hAnsi="Calibri"/>
          <w:sz w:val="20"/>
          <w:szCs w:val="20"/>
          <w:lang w:val="es-MX" w:eastAsia="es-MX"/>
        </w:rPr>
      </w:pPr>
      <w:r w:rsidRPr="00BF2057">
        <w:rPr>
          <w:b/>
          <w:szCs w:val="22"/>
          <w:lang w:val="es-MX"/>
        </w:rPr>
        <w:t>(Cifras en Millones de Quetzales)</w:t>
      </w:r>
      <w:r>
        <w:rPr>
          <w:lang w:val="es-MX"/>
        </w:rPr>
        <w:fldChar w:fldCharType="begin"/>
      </w:r>
      <w:r>
        <w:rPr>
          <w:lang w:val="es-MX"/>
        </w:rPr>
        <w:instrText xml:space="preserve"> LINK Excel.Sheet.12 "C:\\Users\\deefoper19\\Desktop\\BACKUP EMATUL\\Archivos Compartidos\\2020\\Excel\\Programa 94\\Gasto COVID Informe Medio Año.xlsx" "COVID por Organismo!F5C2:F9C6" \a \f 4 \h </w:instrText>
      </w:r>
      <w:r w:rsidR="00705FFF">
        <w:rPr>
          <w:lang w:val="es-MX"/>
        </w:rPr>
        <w:instrText xml:space="preserve"> \* MERGEFORMAT </w:instrText>
      </w:r>
      <w:r>
        <w:rPr>
          <w:lang w:val="es-MX"/>
        </w:rPr>
        <w:fldChar w:fldCharType="separate"/>
      </w:r>
    </w:p>
    <w:tbl>
      <w:tblPr>
        <w:tblW w:w="9142" w:type="dxa"/>
        <w:tblCellMar>
          <w:left w:w="70" w:type="dxa"/>
          <w:right w:w="70" w:type="dxa"/>
        </w:tblCellMar>
        <w:tblLook w:val="04A0" w:firstRow="1" w:lastRow="0" w:firstColumn="1" w:lastColumn="0" w:noHBand="0" w:noVBand="1"/>
      </w:tblPr>
      <w:tblGrid>
        <w:gridCol w:w="4323"/>
        <w:gridCol w:w="1276"/>
        <w:gridCol w:w="1275"/>
        <w:gridCol w:w="1134"/>
        <w:gridCol w:w="1134"/>
      </w:tblGrid>
      <w:tr w:rsidR="00AD535C" w:rsidRPr="00DD5276" w:rsidTr="000E296B">
        <w:trPr>
          <w:trHeight w:val="375"/>
        </w:trPr>
        <w:tc>
          <w:tcPr>
            <w:tcW w:w="4323" w:type="dxa"/>
            <w:vMerge w:val="restart"/>
            <w:tcBorders>
              <w:top w:val="single" w:sz="8" w:space="0" w:color="auto"/>
              <w:left w:val="single" w:sz="8" w:space="0" w:color="auto"/>
              <w:bottom w:val="single" w:sz="8" w:space="0" w:color="000000"/>
              <w:right w:val="single" w:sz="4" w:space="0" w:color="auto"/>
            </w:tcBorders>
            <w:shd w:val="clear" w:color="000000" w:fill="9BC2E6"/>
            <w:vAlign w:val="center"/>
            <w:hideMark/>
          </w:tcPr>
          <w:p w:rsidR="00AD535C" w:rsidRPr="00705FFF" w:rsidRDefault="00A75101" w:rsidP="00A75101">
            <w:pPr>
              <w:jc w:val="center"/>
              <w:rPr>
                <w:b/>
                <w:bCs/>
                <w:sz w:val="22"/>
                <w:lang w:val="es-GT" w:eastAsia="es-GT"/>
              </w:rPr>
            </w:pPr>
            <w:r>
              <w:rPr>
                <w:b/>
                <w:bCs/>
                <w:sz w:val="22"/>
                <w:lang w:val="es-GT" w:eastAsia="es-GT"/>
              </w:rPr>
              <w:t>Organismo</w:t>
            </w:r>
            <w:r w:rsidR="009E7272">
              <w:rPr>
                <w:b/>
                <w:bCs/>
                <w:sz w:val="22"/>
                <w:lang w:val="es-GT" w:eastAsia="es-GT"/>
              </w:rPr>
              <w:t xml:space="preserve"> Financiero</w:t>
            </w:r>
          </w:p>
        </w:tc>
        <w:tc>
          <w:tcPr>
            <w:tcW w:w="1276"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AD535C" w:rsidRPr="00705FFF" w:rsidRDefault="00AD535C" w:rsidP="0025776C">
            <w:pPr>
              <w:jc w:val="center"/>
              <w:rPr>
                <w:b/>
                <w:bCs/>
                <w:sz w:val="22"/>
                <w:lang w:val="es-GT" w:eastAsia="es-GT"/>
              </w:rPr>
            </w:pPr>
            <w:r w:rsidRPr="00705FFF">
              <w:rPr>
                <w:b/>
                <w:bCs/>
                <w:sz w:val="22"/>
                <w:lang w:val="es-GT" w:eastAsia="es-GT"/>
              </w:rPr>
              <w:t>Vigente</w:t>
            </w:r>
          </w:p>
        </w:tc>
        <w:tc>
          <w:tcPr>
            <w:tcW w:w="1275"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AD535C" w:rsidRPr="00705FFF" w:rsidRDefault="00AD535C" w:rsidP="0025776C">
            <w:pPr>
              <w:jc w:val="center"/>
              <w:rPr>
                <w:b/>
                <w:bCs/>
                <w:sz w:val="22"/>
                <w:lang w:val="es-GT" w:eastAsia="es-GT"/>
              </w:rPr>
            </w:pPr>
            <w:r w:rsidRPr="00705FFF">
              <w:rPr>
                <w:b/>
                <w:bCs/>
                <w:sz w:val="22"/>
                <w:lang w:val="es-GT" w:eastAsia="es-GT"/>
              </w:rPr>
              <w:t>Ejecutado</w:t>
            </w:r>
          </w:p>
        </w:tc>
        <w:tc>
          <w:tcPr>
            <w:tcW w:w="1134"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AD535C" w:rsidRPr="00705FFF" w:rsidRDefault="00AD535C" w:rsidP="0025776C">
            <w:pPr>
              <w:jc w:val="center"/>
              <w:rPr>
                <w:b/>
                <w:bCs/>
                <w:sz w:val="22"/>
                <w:lang w:val="es-GT" w:eastAsia="es-GT"/>
              </w:rPr>
            </w:pPr>
            <w:r w:rsidRPr="00705FFF">
              <w:rPr>
                <w:b/>
                <w:bCs/>
                <w:sz w:val="22"/>
                <w:lang w:val="es-GT" w:eastAsia="es-GT"/>
              </w:rPr>
              <w:t>Saldo por Devengar</w:t>
            </w:r>
          </w:p>
        </w:tc>
        <w:tc>
          <w:tcPr>
            <w:tcW w:w="1134" w:type="dxa"/>
            <w:vMerge w:val="restart"/>
            <w:tcBorders>
              <w:top w:val="single" w:sz="8" w:space="0" w:color="auto"/>
              <w:left w:val="single" w:sz="4" w:space="0" w:color="auto"/>
              <w:bottom w:val="single" w:sz="8" w:space="0" w:color="000000"/>
              <w:right w:val="single" w:sz="8" w:space="0" w:color="auto"/>
            </w:tcBorders>
            <w:shd w:val="clear" w:color="000000" w:fill="9BC2E6"/>
            <w:vAlign w:val="center"/>
            <w:hideMark/>
          </w:tcPr>
          <w:p w:rsidR="00AD535C" w:rsidRPr="00705FFF" w:rsidRDefault="00AD535C" w:rsidP="0025776C">
            <w:pPr>
              <w:jc w:val="center"/>
              <w:rPr>
                <w:b/>
                <w:bCs/>
                <w:sz w:val="22"/>
                <w:lang w:val="es-GT" w:eastAsia="es-GT"/>
              </w:rPr>
            </w:pPr>
            <w:r w:rsidRPr="00705FFF">
              <w:rPr>
                <w:b/>
                <w:bCs/>
                <w:sz w:val="22"/>
                <w:lang w:val="es-GT" w:eastAsia="es-GT"/>
              </w:rPr>
              <w:t>% de Ejecución</w:t>
            </w:r>
          </w:p>
        </w:tc>
      </w:tr>
      <w:tr w:rsidR="00AD535C" w:rsidRPr="00DD5276" w:rsidTr="000E296B">
        <w:trPr>
          <w:trHeight w:val="320"/>
        </w:trPr>
        <w:tc>
          <w:tcPr>
            <w:tcW w:w="4323" w:type="dxa"/>
            <w:vMerge/>
            <w:tcBorders>
              <w:top w:val="single" w:sz="8" w:space="0" w:color="auto"/>
              <w:left w:val="single" w:sz="8" w:space="0" w:color="auto"/>
              <w:bottom w:val="single" w:sz="8" w:space="0" w:color="000000"/>
              <w:right w:val="single" w:sz="4" w:space="0" w:color="auto"/>
            </w:tcBorders>
            <w:vAlign w:val="center"/>
            <w:hideMark/>
          </w:tcPr>
          <w:p w:rsidR="00AD535C" w:rsidRPr="00DD5276" w:rsidRDefault="00AD535C" w:rsidP="0025776C">
            <w:pPr>
              <w:rPr>
                <w:b/>
                <w:bCs/>
                <w:lang w:val="es-GT" w:eastAsia="es-GT"/>
              </w:rPr>
            </w:pPr>
          </w:p>
        </w:tc>
        <w:tc>
          <w:tcPr>
            <w:tcW w:w="1276" w:type="dxa"/>
            <w:vMerge/>
            <w:tcBorders>
              <w:top w:val="single" w:sz="8" w:space="0" w:color="auto"/>
              <w:left w:val="single" w:sz="4" w:space="0" w:color="auto"/>
              <w:bottom w:val="single" w:sz="8" w:space="0" w:color="000000"/>
              <w:right w:val="single" w:sz="4" w:space="0" w:color="auto"/>
            </w:tcBorders>
            <w:vAlign w:val="center"/>
            <w:hideMark/>
          </w:tcPr>
          <w:p w:rsidR="00AD535C" w:rsidRPr="00DD5276" w:rsidRDefault="00AD535C" w:rsidP="0025776C">
            <w:pPr>
              <w:rPr>
                <w:b/>
                <w:bCs/>
                <w:lang w:val="es-GT" w:eastAsia="es-GT"/>
              </w:rPr>
            </w:pPr>
          </w:p>
        </w:tc>
        <w:tc>
          <w:tcPr>
            <w:tcW w:w="1275" w:type="dxa"/>
            <w:vMerge/>
            <w:tcBorders>
              <w:top w:val="single" w:sz="8" w:space="0" w:color="auto"/>
              <w:left w:val="single" w:sz="4" w:space="0" w:color="auto"/>
              <w:bottom w:val="single" w:sz="8" w:space="0" w:color="000000"/>
              <w:right w:val="single" w:sz="4" w:space="0" w:color="auto"/>
            </w:tcBorders>
            <w:vAlign w:val="center"/>
            <w:hideMark/>
          </w:tcPr>
          <w:p w:rsidR="00AD535C" w:rsidRPr="00DD5276" w:rsidRDefault="00AD535C" w:rsidP="0025776C">
            <w:pPr>
              <w:rPr>
                <w:b/>
                <w:bCs/>
                <w:lang w:val="es-GT" w:eastAsia="es-GT"/>
              </w:rPr>
            </w:pPr>
          </w:p>
        </w:tc>
        <w:tc>
          <w:tcPr>
            <w:tcW w:w="1134" w:type="dxa"/>
            <w:vMerge/>
            <w:tcBorders>
              <w:top w:val="single" w:sz="8" w:space="0" w:color="auto"/>
              <w:left w:val="single" w:sz="4" w:space="0" w:color="auto"/>
              <w:bottom w:val="single" w:sz="8" w:space="0" w:color="000000"/>
              <w:right w:val="single" w:sz="4" w:space="0" w:color="auto"/>
            </w:tcBorders>
            <w:vAlign w:val="center"/>
            <w:hideMark/>
          </w:tcPr>
          <w:p w:rsidR="00AD535C" w:rsidRPr="00DD5276" w:rsidRDefault="00AD535C" w:rsidP="0025776C">
            <w:pPr>
              <w:rPr>
                <w:b/>
                <w:bCs/>
                <w:lang w:val="es-GT" w:eastAsia="es-GT"/>
              </w:rPr>
            </w:pPr>
          </w:p>
        </w:tc>
        <w:tc>
          <w:tcPr>
            <w:tcW w:w="1134" w:type="dxa"/>
            <w:vMerge/>
            <w:tcBorders>
              <w:top w:val="single" w:sz="8" w:space="0" w:color="auto"/>
              <w:left w:val="single" w:sz="4" w:space="0" w:color="auto"/>
              <w:bottom w:val="single" w:sz="8" w:space="0" w:color="000000"/>
              <w:right w:val="single" w:sz="8" w:space="0" w:color="auto"/>
            </w:tcBorders>
            <w:vAlign w:val="center"/>
            <w:hideMark/>
          </w:tcPr>
          <w:p w:rsidR="00AD535C" w:rsidRPr="00DD5276" w:rsidRDefault="00AD535C" w:rsidP="0025776C">
            <w:pPr>
              <w:rPr>
                <w:b/>
                <w:bCs/>
                <w:lang w:val="es-GT" w:eastAsia="es-GT"/>
              </w:rPr>
            </w:pPr>
          </w:p>
        </w:tc>
      </w:tr>
      <w:tr w:rsidR="00AD535C" w:rsidRPr="00DD5276" w:rsidTr="000E296B">
        <w:trPr>
          <w:trHeight w:val="320"/>
        </w:trPr>
        <w:tc>
          <w:tcPr>
            <w:tcW w:w="4323" w:type="dxa"/>
            <w:tcBorders>
              <w:top w:val="single" w:sz="8" w:space="0" w:color="000000"/>
              <w:left w:val="single" w:sz="8" w:space="0" w:color="auto"/>
              <w:right w:val="single" w:sz="4" w:space="0" w:color="auto"/>
            </w:tcBorders>
            <w:shd w:val="clear" w:color="auto" w:fill="auto"/>
            <w:noWrap/>
            <w:vAlign w:val="bottom"/>
            <w:hideMark/>
          </w:tcPr>
          <w:p w:rsidR="00AD535C" w:rsidRPr="00705FFF" w:rsidRDefault="00AD535C" w:rsidP="0025776C">
            <w:pPr>
              <w:jc w:val="center"/>
              <w:rPr>
                <w:b/>
                <w:bCs/>
                <w:sz w:val="20"/>
                <w:szCs w:val="20"/>
                <w:lang w:val="es-GT" w:eastAsia="es-GT"/>
              </w:rPr>
            </w:pPr>
            <w:r w:rsidRPr="00705FFF">
              <w:rPr>
                <w:b/>
                <w:bCs/>
                <w:sz w:val="20"/>
                <w:szCs w:val="20"/>
                <w:lang w:val="es-GT" w:eastAsia="es-GT"/>
              </w:rPr>
              <w:t>TOTAL</w:t>
            </w:r>
          </w:p>
        </w:tc>
        <w:tc>
          <w:tcPr>
            <w:tcW w:w="1276" w:type="dxa"/>
            <w:tcBorders>
              <w:top w:val="single" w:sz="8" w:space="0" w:color="000000"/>
              <w:left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2,400.0</w:t>
            </w:r>
          </w:p>
        </w:tc>
        <w:tc>
          <w:tcPr>
            <w:tcW w:w="1275" w:type="dxa"/>
            <w:tcBorders>
              <w:top w:val="single" w:sz="8" w:space="0" w:color="000000"/>
              <w:left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399.1</w:t>
            </w:r>
          </w:p>
        </w:tc>
        <w:tc>
          <w:tcPr>
            <w:tcW w:w="1134" w:type="dxa"/>
            <w:tcBorders>
              <w:top w:val="single" w:sz="8" w:space="0" w:color="000000"/>
              <w:left w:val="nil"/>
              <w:right w:val="single" w:sz="4"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2,000.9</w:t>
            </w:r>
          </w:p>
        </w:tc>
        <w:tc>
          <w:tcPr>
            <w:tcW w:w="1134" w:type="dxa"/>
            <w:tcBorders>
              <w:top w:val="single" w:sz="8" w:space="0" w:color="000000"/>
              <w:left w:val="nil"/>
              <w:right w:val="single" w:sz="8" w:space="0" w:color="auto"/>
            </w:tcBorders>
            <w:shd w:val="clear" w:color="auto" w:fill="auto"/>
            <w:noWrap/>
            <w:vAlign w:val="center"/>
            <w:hideMark/>
          </w:tcPr>
          <w:p w:rsidR="00AD535C" w:rsidRPr="00705FFF" w:rsidRDefault="00AD535C" w:rsidP="0025776C">
            <w:pPr>
              <w:jc w:val="right"/>
              <w:rPr>
                <w:b/>
                <w:bCs/>
                <w:sz w:val="20"/>
                <w:szCs w:val="20"/>
                <w:lang w:val="es-GT" w:eastAsia="es-GT"/>
              </w:rPr>
            </w:pPr>
            <w:r w:rsidRPr="00705FFF">
              <w:rPr>
                <w:b/>
                <w:bCs/>
                <w:sz w:val="20"/>
                <w:szCs w:val="20"/>
                <w:lang w:val="es-GT" w:eastAsia="es-GT"/>
              </w:rPr>
              <w:t>16.6%</w:t>
            </w:r>
          </w:p>
        </w:tc>
      </w:tr>
      <w:tr w:rsidR="00AD535C" w:rsidRPr="00DD5276" w:rsidTr="000E296B">
        <w:trPr>
          <w:trHeight w:val="310"/>
        </w:trPr>
        <w:tc>
          <w:tcPr>
            <w:tcW w:w="4323" w:type="dxa"/>
            <w:tcBorders>
              <w:left w:val="single" w:sz="8" w:space="0" w:color="auto"/>
              <w:bottom w:val="nil"/>
              <w:right w:val="single" w:sz="4" w:space="0" w:color="auto"/>
            </w:tcBorders>
            <w:shd w:val="clear" w:color="auto" w:fill="auto"/>
            <w:noWrap/>
            <w:vAlign w:val="bottom"/>
            <w:hideMark/>
          </w:tcPr>
          <w:p w:rsidR="00AD535C" w:rsidRDefault="00AD535C" w:rsidP="0025776C">
            <w:pPr>
              <w:rPr>
                <w:sz w:val="20"/>
                <w:szCs w:val="20"/>
                <w:lang w:val="es-GT" w:eastAsia="es-GT"/>
              </w:rPr>
            </w:pPr>
            <w:r w:rsidRPr="00705FFF">
              <w:rPr>
                <w:sz w:val="20"/>
                <w:szCs w:val="20"/>
                <w:lang w:val="es-GT" w:eastAsia="es-GT"/>
              </w:rPr>
              <w:t>Banco Interamericano de Desarrollo</w:t>
            </w:r>
          </w:p>
          <w:p w:rsidR="00F22C67" w:rsidRPr="00F22C67" w:rsidRDefault="00F22C67" w:rsidP="0025776C">
            <w:pPr>
              <w:rPr>
                <w:sz w:val="10"/>
                <w:szCs w:val="20"/>
                <w:lang w:val="es-GT" w:eastAsia="es-GT"/>
              </w:rPr>
            </w:pPr>
          </w:p>
        </w:tc>
        <w:tc>
          <w:tcPr>
            <w:tcW w:w="1276" w:type="dxa"/>
            <w:tcBorders>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620.0</w:t>
            </w:r>
          </w:p>
        </w:tc>
        <w:tc>
          <w:tcPr>
            <w:tcW w:w="1275" w:type="dxa"/>
            <w:tcBorders>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2.6</w:t>
            </w:r>
          </w:p>
        </w:tc>
        <w:tc>
          <w:tcPr>
            <w:tcW w:w="1134" w:type="dxa"/>
            <w:tcBorders>
              <w:left w:val="nil"/>
              <w:bottom w:val="nil"/>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617.4</w:t>
            </w:r>
          </w:p>
        </w:tc>
        <w:tc>
          <w:tcPr>
            <w:tcW w:w="1134" w:type="dxa"/>
            <w:tcBorders>
              <w:left w:val="nil"/>
              <w:bottom w:val="nil"/>
              <w:right w:val="single" w:sz="8"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0.4%</w:t>
            </w:r>
          </w:p>
        </w:tc>
      </w:tr>
      <w:tr w:rsidR="00AD535C" w:rsidRPr="00DD5276" w:rsidTr="00F22C67">
        <w:trPr>
          <w:trHeight w:val="246"/>
        </w:trPr>
        <w:tc>
          <w:tcPr>
            <w:tcW w:w="4323" w:type="dxa"/>
            <w:tcBorders>
              <w:top w:val="nil"/>
              <w:left w:val="single" w:sz="8" w:space="0" w:color="auto"/>
              <w:bottom w:val="single" w:sz="8" w:space="0" w:color="auto"/>
              <w:right w:val="single" w:sz="4" w:space="0" w:color="auto"/>
            </w:tcBorders>
            <w:shd w:val="clear" w:color="auto" w:fill="auto"/>
            <w:hideMark/>
          </w:tcPr>
          <w:p w:rsidR="00AD535C" w:rsidRPr="00705FFF" w:rsidRDefault="00AD535C" w:rsidP="0025776C">
            <w:pPr>
              <w:rPr>
                <w:sz w:val="20"/>
                <w:szCs w:val="20"/>
                <w:lang w:val="es-GT" w:eastAsia="es-GT"/>
              </w:rPr>
            </w:pPr>
            <w:r w:rsidRPr="00705FFF">
              <w:rPr>
                <w:sz w:val="20"/>
                <w:szCs w:val="20"/>
                <w:lang w:val="es-GT" w:eastAsia="es-GT"/>
              </w:rPr>
              <w:t>Banco Internacional de Reconstrucción y Fomento</w:t>
            </w:r>
          </w:p>
        </w:tc>
        <w:tc>
          <w:tcPr>
            <w:tcW w:w="1276" w:type="dxa"/>
            <w:tcBorders>
              <w:top w:val="nil"/>
              <w:left w:val="nil"/>
              <w:bottom w:val="single" w:sz="8" w:space="0" w:color="auto"/>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1,780.0</w:t>
            </w:r>
          </w:p>
        </w:tc>
        <w:tc>
          <w:tcPr>
            <w:tcW w:w="1275" w:type="dxa"/>
            <w:tcBorders>
              <w:top w:val="nil"/>
              <w:left w:val="nil"/>
              <w:bottom w:val="single" w:sz="8" w:space="0" w:color="auto"/>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396.5</w:t>
            </w:r>
          </w:p>
        </w:tc>
        <w:tc>
          <w:tcPr>
            <w:tcW w:w="1134" w:type="dxa"/>
            <w:tcBorders>
              <w:top w:val="nil"/>
              <w:left w:val="nil"/>
              <w:bottom w:val="single" w:sz="8" w:space="0" w:color="auto"/>
              <w:right w:val="single" w:sz="4"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1,383.5</w:t>
            </w:r>
          </w:p>
        </w:tc>
        <w:tc>
          <w:tcPr>
            <w:tcW w:w="1134" w:type="dxa"/>
            <w:tcBorders>
              <w:top w:val="nil"/>
              <w:left w:val="nil"/>
              <w:bottom w:val="single" w:sz="8" w:space="0" w:color="auto"/>
              <w:right w:val="single" w:sz="8" w:space="0" w:color="auto"/>
            </w:tcBorders>
            <w:shd w:val="clear" w:color="auto" w:fill="auto"/>
            <w:noWrap/>
            <w:vAlign w:val="center"/>
            <w:hideMark/>
          </w:tcPr>
          <w:p w:rsidR="00AD535C" w:rsidRPr="00705FFF" w:rsidRDefault="00AD535C" w:rsidP="0025776C">
            <w:pPr>
              <w:jc w:val="right"/>
              <w:rPr>
                <w:sz w:val="20"/>
                <w:szCs w:val="20"/>
                <w:lang w:val="es-GT" w:eastAsia="es-GT"/>
              </w:rPr>
            </w:pPr>
            <w:r w:rsidRPr="00705FFF">
              <w:rPr>
                <w:sz w:val="20"/>
                <w:szCs w:val="20"/>
                <w:lang w:val="es-GT" w:eastAsia="es-GT"/>
              </w:rPr>
              <w:t>22.3%</w:t>
            </w:r>
          </w:p>
        </w:tc>
      </w:tr>
    </w:tbl>
    <w:p w:rsidR="00705FFF" w:rsidRDefault="00AD535C" w:rsidP="00705FFF">
      <w:pPr>
        <w:jc w:val="both"/>
        <w:rPr>
          <w:sz w:val="18"/>
          <w:lang w:val="es-MX"/>
        </w:rPr>
      </w:pPr>
      <w:r>
        <w:rPr>
          <w:lang w:val="es-MX"/>
        </w:rPr>
        <w:fldChar w:fldCharType="end"/>
      </w:r>
      <w:r w:rsidR="00705FFF" w:rsidRPr="00CF5481">
        <w:rPr>
          <w:sz w:val="18"/>
          <w:lang w:val="es-MX"/>
        </w:rPr>
        <w:t>* Cifras preliminares.</w:t>
      </w:r>
    </w:p>
    <w:p w:rsidR="00705FFF" w:rsidRPr="00CF5481" w:rsidRDefault="00705FFF" w:rsidP="00705FFF">
      <w:pPr>
        <w:jc w:val="both"/>
        <w:rPr>
          <w:sz w:val="18"/>
          <w:lang w:val="es-MX"/>
        </w:rPr>
      </w:pPr>
      <w:r>
        <w:rPr>
          <w:sz w:val="18"/>
          <w:lang w:val="es-MX"/>
        </w:rPr>
        <w:t xml:space="preserve">    </w:t>
      </w:r>
      <w:r w:rsidRPr="00CF5481">
        <w:rPr>
          <w:sz w:val="18"/>
          <w:lang w:val="es-MX"/>
        </w:rPr>
        <w:t>Fuente: Ministerio de Finanzas Públicas con base al SICOIN.</w:t>
      </w:r>
    </w:p>
    <w:p w:rsidR="00705FFF" w:rsidRDefault="00705FFF" w:rsidP="00705FFF">
      <w:pPr>
        <w:jc w:val="both"/>
        <w:rPr>
          <w:sz w:val="18"/>
          <w:lang w:val="es-MX"/>
        </w:rPr>
      </w:pPr>
    </w:p>
    <w:p w:rsidR="00BF2057" w:rsidRDefault="00BF2057" w:rsidP="00705FFF">
      <w:pPr>
        <w:jc w:val="both"/>
        <w:rPr>
          <w:sz w:val="18"/>
          <w:lang w:val="es-MX"/>
        </w:rPr>
      </w:pPr>
    </w:p>
    <w:p w:rsidR="00AD535C" w:rsidRDefault="00AD535C" w:rsidP="00F22C67">
      <w:pPr>
        <w:jc w:val="both"/>
      </w:pPr>
      <w:r w:rsidRPr="008037BB">
        <w:t xml:space="preserve">A través del Decreto </w:t>
      </w:r>
      <w:r w:rsidR="00F22C67">
        <w:t xml:space="preserve">No. </w:t>
      </w:r>
      <w:r w:rsidRPr="008037BB">
        <w:t xml:space="preserve">13-2020, el Congreso de la República autorizó </w:t>
      </w:r>
      <w:r w:rsidR="00F22C67">
        <w:t xml:space="preserve">una </w:t>
      </w:r>
      <w:r w:rsidRPr="008037BB">
        <w:t xml:space="preserve">ampliación presupuestaria por </w:t>
      </w:r>
      <w:r w:rsidR="00F22C67">
        <w:t>el</w:t>
      </w:r>
      <w:r w:rsidRPr="008037BB">
        <w:t xml:space="preserve"> monto de Q.11,000.0 millones, recursos provenientes de la emisión</w:t>
      </w:r>
      <w:r w:rsidR="00F22C67">
        <w:t>, negociación y colocación</w:t>
      </w:r>
      <w:r w:rsidRPr="008037BB">
        <w:t xml:space="preserve"> de </w:t>
      </w:r>
      <w:r w:rsidR="00F22C67">
        <w:t>B</w:t>
      </w:r>
      <w:r w:rsidRPr="008037BB">
        <w:t>onos</w:t>
      </w:r>
      <w:r w:rsidR="00F22C67">
        <w:t xml:space="preserve"> del Tesoro</w:t>
      </w:r>
      <w:r w:rsidRPr="008037BB">
        <w:t xml:space="preserve"> por parte del Banco de Guatemala.</w:t>
      </w:r>
    </w:p>
    <w:p w:rsidR="00F22C67" w:rsidRDefault="00F22C67" w:rsidP="00F22C67">
      <w:pPr>
        <w:jc w:val="both"/>
      </w:pPr>
    </w:p>
    <w:p w:rsidR="00AD535C" w:rsidRPr="008037BB" w:rsidRDefault="00AD535C" w:rsidP="00F22C67">
      <w:pPr>
        <w:jc w:val="both"/>
      </w:pPr>
      <w:r>
        <w:t xml:space="preserve">El destino de los recursos es para cubrir </w:t>
      </w:r>
      <w:r w:rsidR="00F22C67">
        <w:t>los</w:t>
      </w:r>
      <w:r>
        <w:t xml:space="preserve"> componente</w:t>
      </w:r>
      <w:r w:rsidR="00F22C67">
        <w:t>s:</w:t>
      </w:r>
      <w:r>
        <w:t xml:space="preserve"> Bono </w:t>
      </w:r>
      <w:r w:rsidR="00F22C67">
        <w:t xml:space="preserve">de </w:t>
      </w:r>
      <w:r>
        <w:t>Protección de</w:t>
      </w:r>
      <w:r w:rsidR="00F22C67">
        <w:t>l</w:t>
      </w:r>
      <w:r>
        <w:t xml:space="preserve"> Empleo, ejecutado por el Ministerio de Economía por un monto de Q.2,000.0 millones; Aporte</w:t>
      </w:r>
      <w:r w:rsidR="00F22C67">
        <w:t>s</w:t>
      </w:r>
      <w:r>
        <w:t xml:space="preserve"> al INDE (tarifa social) y al Crédito Hipotecario Nacional por un monto de Q.3,000.0 millones</w:t>
      </w:r>
      <w:r w:rsidR="00F22C67">
        <w:t>;</w:t>
      </w:r>
      <w:r>
        <w:t xml:space="preserve"> y para financiar el Bono Familia ejecutado por el Ministerio de Desarrollo Social, por un monto de Q.6,000.0 millones.</w:t>
      </w:r>
    </w:p>
    <w:p w:rsidR="004440F1" w:rsidRDefault="004440F1" w:rsidP="00AD535C">
      <w:pPr>
        <w:jc w:val="both"/>
        <w:rPr>
          <w:sz w:val="18"/>
          <w:lang w:val="es-MX"/>
        </w:rPr>
      </w:pPr>
    </w:p>
    <w:p w:rsidR="00AD535C" w:rsidRPr="00BF2057" w:rsidRDefault="00AD535C" w:rsidP="004440F1">
      <w:pPr>
        <w:jc w:val="center"/>
        <w:rPr>
          <w:b/>
          <w:szCs w:val="22"/>
          <w:lang w:val="es-MX"/>
        </w:rPr>
      </w:pPr>
      <w:r w:rsidRPr="00BF2057">
        <w:rPr>
          <w:b/>
          <w:szCs w:val="22"/>
          <w:lang w:val="es-MX"/>
        </w:rPr>
        <w:t>Cuadro 17</w:t>
      </w:r>
    </w:p>
    <w:p w:rsidR="00AD535C" w:rsidRPr="00BF2057" w:rsidRDefault="00AD535C" w:rsidP="004440F1">
      <w:pPr>
        <w:jc w:val="center"/>
        <w:rPr>
          <w:b/>
          <w:szCs w:val="22"/>
          <w:lang w:val="es-MX"/>
        </w:rPr>
      </w:pPr>
      <w:r w:rsidRPr="00BF2057">
        <w:rPr>
          <w:b/>
          <w:szCs w:val="22"/>
          <w:lang w:val="es-MX"/>
        </w:rPr>
        <w:t>Programa de Emergencia C</w:t>
      </w:r>
      <w:r w:rsidR="00F22C67" w:rsidRPr="00BF2057">
        <w:rPr>
          <w:b/>
          <w:szCs w:val="22"/>
          <w:lang w:val="es-MX"/>
        </w:rPr>
        <w:t>ovid</w:t>
      </w:r>
      <w:r w:rsidRPr="00BF2057">
        <w:rPr>
          <w:b/>
          <w:szCs w:val="22"/>
          <w:lang w:val="es-MX"/>
        </w:rPr>
        <w:t>-19</w:t>
      </w:r>
      <w:r w:rsidR="009E7272">
        <w:rPr>
          <w:b/>
          <w:szCs w:val="22"/>
          <w:lang w:val="es-MX"/>
        </w:rPr>
        <w:t xml:space="preserve"> por Entidad y Programa</w:t>
      </w:r>
    </w:p>
    <w:p w:rsidR="00AD535C" w:rsidRPr="00BF2057" w:rsidRDefault="00AD535C" w:rsidP="004440F1">
      <w:pPr>
        <w:jc w:val="center"/>
        <w:rPr>
          <w:b/>
          <w:szCs w:val="22"/>
          <w:lang w:val="es-MX"/>
        </w:rPr>
      </w:pPr>
      <w:r w:rsidRPr="00BF2057">
        <w:rPr>
          <w:b/>
          <w:szCs w:val="22"/>
          <w:lang w:val="es-MX"/>
        </w:rPr>
        <w:t>Al 30 de junio de 2020</w:t>
      </w:r>
      <w:r w:rsidR="00927D15">
        <w:rPr>
          <w:b/>
          <w:szCs w:val="22"/>
          <w:lang w:val="es-MX"/>
        </w:rPr>
        <w:t>*</w:t>
      </w:r>
    </w:p>
    <w:p w:rsidR="00AD535C" w:rsidRPr="00BF2057" w:rsidRDefault="00AD535C" w:rsidP="004440F1">
      <w:pPr>
        <w:jc w:val="center"/>
        <w:rPr>
          <w:sz w:val="20"/>
          <w:lang w:val="es-MX"/>
        </w:rPr>
      </w:pPr>
      <w:r w:rsidRPr="00BF2057">
        <w:rPr>
          <w:b/>
          <w:szCs w:val="22"/>
          <w:lang w:val="es-MX"/>
        </w:rPr>
        <w:t>(Cifras en Millones de Quetzales)</w:t>
      </w:r>
    </w:p>
    <w:tbl>
      <w:tblPr>
        <w:tblW w:w="8814" w:type="dxa"/>
        <w:tblInd w:w="-10" w:type="dxa"/>
        <w:tblCellMar>
          <w:left w:w="70" w:type="dxa"/>
          <w:right w:w="70" w:type="dxa"/>
        </w:tblCellMar>
        <w:tblLook w:val="04A0" w:firstRow="1" w:lastRow="0" w:firstColumn="1" w:lastColumn="0" w:noHBand="0" w:noVBand="1"/>
      </w:tblPr>
      <w:tblGrid>
        <w:gridCol w:w="4105"/>
        <w:gridCol w:w="1094"/>
        <w:gridCol w:w="1231"/>
        <w:gridCol w:w="1230"/>
        <w:gridCol w:w="1154"/>
      </w:tblGrid>
      <w:tr w:rsidR="00AD535C" w:rsidRPr="004440F1" w:rsidTr="0025776C">
        <w:trPr>
          <w:trHeight w:val="380"/>
        </w:trPr>
        <w:tc>
          <w:tcPr>
            <w:tcW w:w="4105" w:type="dxa"/>
            <w:vMerge w:val="restart"/>
            <w:tcBorders>
              <w:top w:val="single" w:sz="8" w:space="0" w:color="auto"/>
              <w:left w:val="single" w:sz="8" w:space="0" w:color="auto"/>
              <w:bottom w:val="single" w:sz="8" w:space="0" w:color="000000"/>
              <w:right w:val="single" w:sz="4" w:space="0" w:color="auto"/>
            </w:tcBorders>
            <w:shd w:val="clear" w:color="000000" w:fill="9BC2E6"/>
            <w:vAlign w:val="center"/>
            <w:hideMark/>
          </w:tcPr>
          <w:p w:rsidR="00AD535C" w:rsidRPr="004440F1" w:rsidRDefault="00AD535C" w:rsidP="0025776C">
            <w:pPr>
              <w:jc w:val="center"/>
              <w:rPr>
                <w:b/>
                <w:bCs/>
                <w:sz w:val="22"/>
                <w:lang w:val="es-GT" w:eastAsia="es-GT"/>
              </w:rPr>
            </w:pPr>
            <w:r w:rsidRPr="004440F1">
              <w:rPr>
                <w:b/>
                <w:bCs/>
                <w:sz w:val="22"/>
                <w:lang w:val="es-GT" w:eastAsia="es-GT"/>
              </w:rPr>
              <w:t>Entidad</w:t>
            </w:r>
            <w:r w:rsidR="009E7272">
              <w:rPr>
                <w:b/>
                <w:bCs/>
                <w:sz w:val="22"/>
                <w:lang w:val="es-GT" w:eastAsia="es-GT"/>
              </w:rPr>
              <w:t>/Programa</w:t>
            </w:r>
          </w:p>
        </w:tc>
        <w:tc>
          <w:tcPr>
            <w:tcW w:w="1094"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AD535C" w:rsidRPr="004440F1" w:rsidRDefault="00AD535C" w:rsidP="0025776C">
            <w:pPr>
              <w:jc w:val="center"/>
              <w:rPr>
                <w:b/>
                <w:bCs/>
                <w:sz w:val="22"/>
                <w:lang w:val="es-GT" w:eastAsia="es-GT"/>
              </w:rPr>
            </w:pPr>
            <w:r w:rsidRPr="004440F1">
              <w:rPr>
                <w:b/>
                <w:bCs/>
                <w:sz w:val="22"/>
                <w:lang w:val="es-GT" w:eastAsia="es-GT"/>
              </w:rPr>
              <w:t>Vigente</w:t>
            </w:r>
          </w:p>
        </w:tc>
        <w:tc>
          <w:tcPr>
            <w:tcW w:w="1231"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AD535C" w:rsidRPr="004440F1" w:rsidRDefault="00AD535C" w:rsidP="0025776C">
            <w:pPr>
              <w:jc w:val="center"/>
              <w:rPr>
                <w:b/>
                <w:bCs/>
                <w:sz w:val="22"/>
                <w:lang w:val="es-GT" w:eastAsia="es-GT"/>
              </w:rPr>
            </w:pPr>
            <w:r w:rsidRPr="004440F1">
              <w:rPr>
                <w:b/>
                <w:bCs/>
                <w:sz w:val="22"/>
                <w:lang w:val="es-GT" w:eastAsia="es-GT"/>
              </w:rPr>
              <w:t>Ejecutado</w:t>
            </w:r>
          </w:p>
        </w:tc>
        <w:tc>
          <w:tcPr>
            <w:tcW w:w="1230" w:type="dxa"/>
            <w:vMerge w:val="restart"/>
            <w:tcBorders>
              <w:top w:val="single" w:sz="8" w:space="0" w:color="auto"/>
              <w:left w:val="single" w:sz="4" w:space="0" w:color="auto"/>
              <w:bottom w:val="single" w:sz="8" w:space="0" w:color="000000"/>
              <w:right w:val="single" w:sz="4" w:space="0" w:color="auto"/>
            </w:tcBorders>
            <w:shd w:val="clear" w:color="000000" w:fill="9BC2E6"/>
            <w:vAlign w:val="center"/>
            <w:hideMark/>
          </w:tcPr>
          <w:p w:rsidR="00AD535C" w:rsidRPr="004440F1" w:rsidRDefault="00AD535C" w:rsidP="0025776C">
            <w:pPr>
              <w:jc w:val="center"/>
              <w:rPr>
                <w:b/>
                <w:bCs/>
                <w:sz w:val="22"/>
                <w:lang w:val="es-GT" w:eastAsia="es-GT"/>
              </w:rPr>
            </w:pPr>
            <w:r w:rsidRPr="004440F1">
              <w:rPr>
                <w:b/>
                <w:bCs/>
                <w:sz w:val="22"/>
                <w:lang w:val="es-GT" w:eastAsia="es-GT"/>
              </w:rPr>
              <w:t>Saldo por Devengar</w:t>
            </w:r>
          </w:p>
        </w:tc>
        <w:tc>
          <w:tcPr>
            <w:tcW w:w="1154" w:type="dxa"/>
            <w:vMerge w:val="restart"/>
            <w:tcBorders>
              <w:top w:val="single" w:sz="8" w:space="0" w:color="auto"/>
              <w:left w:val="single" w:sz="4" w:space="0" w:color="auto"/>
              <w:bottom w:val="single" w:sz="8" w:space="0" w:color="000000"/>
              <w:right w:val="single" w:sz="8" w:space="0" w:color="auto"/>
            </w:tcBorders>
            <w:shd w:val="clear" w:color="000000" w:fill="9BC2E6"/>
            <w:vAlign w:val="center"/>
            <w:hideMark/>
          </w:tcPr>
          <w:p w:rsidR="00AD535C" w:rsidRPr="004440F1" w:rsidRDefault="00AD535C" w:rsidP="0025776C">
            <w:pPr>
              <w:jc w:val="center"/>
              <w:rPr>
                <w:b/>
                <w:bCs/>
                <w:sz w:val="22"/>
                <w:lang w:val="es-GT" w:eastAsia="es-GT"/>
              </w:rPr>
            </w:pPr>
            <w:r w:rsidRPr="004440F1">
              <w:rPr>
                <w:b/>
                <w:bCs/>
                <w:sz w:val="22"/>
                <w:lang w:val="es-GT" w:eastAsia="es-GT"/>
              </w:rPr>
              <w:t>% Ejecución</w:t>
            </w:r>
          </w:p>
        </w:tc>
      </w:tr>
      <w:tr w:rsidR="00AD535C" w:rsidRPr="00DD5276" w:rsidTr="004440F1">
        <w:trPr>
          <w:trHeight w:val="276"/>
        </w:trPr>
        <w:tc>
          <w:tcPr>
            <w:tcW w:w="4105" w:type="dxa"/>
            <w:vMerge/>
            <w:tcBorders>
              <w:top w:val="single" w:sz="8" w:space="0" w:color="auto"/>
              <w:left w:val="single" w:sz="8" w:space="0" w:color="auto"/>
              <w:bottom w:val="single" w:sz="8" w:space="0" w:color="000000"/>
              <w:right w:val="single" w:sz="4" w:space="0" w:color="auto"/>
            </w:tcBorders>
            <w:vAlign w:val="center"/>
            <w:hideMark/>
          </w:tcPr>
          <w:p w:rsidR="00AD535C" w:rsidRPr="008037BB" w:rsidRDefault="00AD535C" w:rsidP="0025776C">
            <w:pPr>
              <w:rPr>
                <w:b/>
                <w:bCs/>
                <w:lang w:val="es-GT" w:eastAsia="es-GT"/>
              </w:rPr>
            </w:pPr>
          </w:p>
        </w:tc>
        <w:tc>
          <w:tcPr>
            <w:tcW w:w="1094" w:type="dxa"/>
            <w:vMerge/>
            <w:tcBorders>
              <w:top w:val="single" w:sz="8" w:space="0" w:color="auto"/>
              <w:left w:val="single" w:sz="4" w:space="0" w:color="auto"/>
              <w:bottom w:val="single" w:sz="8" w:space="0" w:color="000000"/>
              <w:right w:val="single" w:sz="4" w:space="0" w:color="auto"/>
            </w:tcBorders>
            <w:vAlign w:val="center"/>
            <w:hideMark/>
          </w:tcPr>
          <w:p w:rsidR="00AD535C" w:rsidRPr="008037BB" w:rsidRDefault="00AD535C" w:rsidP="0025776C">
            <w:pPr>
              <w:rPr>
                <w:b/>
                <w:bCs/>
                <w:lang w:val="es-GT" w:eastAsia="es-GT"/>
              </w:rPr>
            </w:pPr>
          </w:p>
        </w:tc>
        <w:tc>
          <w:tcPr>
            <w:tcW w:w="1231" w:type="dxa"/>
            <w:vMerge/>
            <w:tcBorders>
              <w:top w:val="single" w:sz="8" w:space="0" w:color="auto"/>
              <w:left w:val="single" w:sz="4" w:space="0" w:color="auto"/>
              <w:bottom w:val="single" w:sz="8" w:space="0" w:color="000000"/>
              <w:right w:val="single" w:sz="4" w:space="0" w:color="auto"/>
            </w:tcBorders>
            <w:vAlign w:val="center"/>
            <w:hideMark/>
          </w:tcPr>
          <w:p w:rsidR="00AD535C" w:rsidRPr="008037BB" w:rsidRDefault="00AD535C" w:rsidP="0025776C">
            <w:pPr>
              <w:rPr>
                <w:b/>
                <w:bCs/>
                <w:lang w:val="es-GT" w:eastAsia="es-GT"/>
              </w:rPr>
            </w:pPr>
          </w:p>
        </w:tc>
        <w:tc>
          <w:tcPr>
            <w:tcW w:w="1230" w:type="dxa"/>
            <w:vMerge/>
            <w:tcBorders>
              <w:top w:val="single" w:sz="8" w:space="0" w:color="auto"/>
              <w:left w:val="single" w:sz="4" w:space="0" w:color="auto"/>
              <w:bottom w:val="single" w:sz="8" w:space="0" w:color="000000"/>
              <w:right w:val="single" w:sz="4" w:space="0" w:color="auto"/>
            </w:tcBorders>
            <w:vAlign w:val="center"/>
            <w:hideMark/>
          </w:tcPr>
          <w:p w:rsidR="00AD535C" w:rsidRPr="008037BB" w:rsidRDefault="00AD535C" w:rsidP="0025776C">
            <w:pPr>
              <w:rPr>
                <w:b/>
                <w:bCs/>
                <w:lang w:val="es-GT" w:eastAsia="es-GT"/>
              </w:rPr>
            </w:pPr>
          </w:p>
        </w:tc>
        <w:tc>
          <w:tcPr>
            <w:tcW w:w="1154" w:type="dxa"/>
            <w:vMerge/>
            <w:tcBorders>
              <w:top w:val="single" w:sz="8" w:space="0" w:color="auto"/>
              <w:left w:val="single" w:sz="4" w:space="0" w:color="auto"/>
              <w:bottom w:val="single" w:sz="8" w:space="0" w:color="000000"/>
              <w:right w:val="single" w:sz="8" w:space="0" w:color="auto"/>
            </w:tcBorders>
            <w:vAlign w:val="center"/>
            <w:hideMark/>
          </w:tcPr>
          <w:p w:rsidR="00AD535C" w:rsidRPr="008037BB" w:rsidRDefault="00AD535C" w:rsidP="0025776C">
            <w:pPr>
              <w:rPr>
                <w:b/>
                <w:bCs/>
                <w:lang w:val="es-GT" w:eastAsia="es-GT"/>
              </w:rPr>
            </w:pPr>
          </w:p>
        </w:tc>
      </w:tr>
      <w:tr w:rsidR="00AD535C" w:rsidRPr="00DD5276" w:rsidTr="004440F1">
        <w:trPr>
          <w:trHeight w:val="274"/>
        </w:trPr>
        <w:tc>
          <w:tcPr>
            <w:tcW w:w="4105" w:type="dxa"/>
            <w:tcBorders>
              <w:top w:val="single" w:sz="8" w:space="0" w:color="000000"/>
              <w:left w:val="single" w:sz="8" w:space="0" w:color="auto"/>
              <w:right w:val="single" w:sz="4" w:space="0" w:color="auto"/>
            </w:tcBorders>
            <w:shd w:val="clear" w:color="auto" w:fill="auto"/>
            <w:noWrap/>
            <w:vAlign w:val="bottom"/>
            <w:hideMark/>
          </w:tcPr>
          <w:p w:rsidR="00AD535C" w:rsidRPr="004440F1" w:rsidRDefault="00AD535C" w:rsidP="0025776C">
            <w:pPr>
              <w:jc w:val="center"/>
              <w:rPr>
                <w:b/>
                <w:bCs/>
                <w:sz w:val="20"/>
                <w:lang w:val="es-GT" w:eastAsia="es-GT"/>
              </w:rPr>
            </w:pPr>
            <w:r w:rsidRPr="004440F1">
              <w:rPr>
                <w:b/>
                <w:bCs/>
                <w:sz w:val="20"/>
                <w:lang w:val="es-GT" w:eastAsia="es-GT"/>
              </w:rPr>
              <w:t>TOTAL</w:t>
            </w:r>
          </w:p>
        </w:tc>
        <w:tc>
          <w:tcPr>
            <w:tcW w:w="1094" w:type="dxa"/>
            <w:tcBorders>
              <w:top w:val="single" w:sz="8" w:space="0" w:color="000000"/>
              <w:left w:val="nil"/>
              <w:right w:val="single" w:sz="4" w:space="0" w:color="auto"/>
            </w:tcBorders>
            <w:shd w:val="clear" w:color="auto" w:fill="auto"/>
            <w:noWrap/>
            <w:vAlign w:val="bottom"/>
            <w:hideMark/>
          </w:tcPr>
          <w:p w:rsidR="00AD535C" w:rsidRPr="004440F1" w:rsidRDefault="00AD535C" w:rsidP="00BF2057">
            <w:pPr>
              <w:jc w:val="right"/>
              <w:rPr>
                <w:b/>
                <w:bCs/>
                <w:sz w:val="20"/>
                <w:lang w:val="es-GT" w:eastAsia="es-GT"/>
              </w:rPr>
            </w:pPr>
            <w:r w:rsidRPr="004440F1">
              <w:rPr>
                <w:b/>
                <w:bCs/>
                <w:sz w:val="20"/>
                <w:lang w:val="es-GT" w:eastAsia="es-GT"/>
              </w:rPr>
              <w:t>11,000.0</w:t>
            </w:r>
          </w:p>
        </w:tc>
        <w:tc>
          <w:tcPr>
            <w:tcW w:w="1231" w:type="dxa"/>
            <w:tcBorders>
              <w:top w:val="single" w:sz="8" w:space="0" w:color="000000"/>
              <w:left w:val="nil"/>
              <w:right w:val="single" w:sz="4" w:space="0" w:color="auto"/>
            </w:tcBorders>
            <w:shd w:val="clear" w:color="auto" w:fill="auto"/>
            <w:noWrap/>
            <w:vAlign w:val="bottom"/>
            <w:hideMark/>
          </w:tcPr>
          <w:p w:rsidR="00AD535C" w:rsidRPr="004440F1" w:rsidRDefault="00AD535C" w:rsidP="00BF2057">
            <w:pPr>
              <w:jc w:val="right"/>
              <w:rPr>
                <w:b/>
                <w:bCs/>
                <w:sz w:val="20"/>
                <w:lang w:val="es-GT" w:eastAsia="es-GT"/>
              </w:rPr>
            </w:pPr>
            <w:r w:rsidRPr="004440F1">
              <w:rPr>
                <w:b/>
                <w:bCs/>
                <w:sz w:val="20"/>
                <w:lang w:val="es-GT" w:eastAsia="es-GT"/>
              </w:rPr>
              <w:t>3,662.4</w:t>
            </w:r>
          </w:p>
        </w:tc>
        <w:tc>
          <w:tcPr>
            <w:tcW w:w="1230" w:type="dxa"/>
            <w:tcBorders>
              <w:top w:val="single" w:sz="8" w:space="0" w:color="000000"/>
              <w:left w:val="nil"/>
              <w:right w:val="single" w:sz="4" w:space="0" w:color="auto"/>
            </w:tcBorders>
            <w:shd w:val="clear" w:color="auto" w:fill="auto"/>
            <w:noWrap/>
            <w:vAlign w:val="bottom"/>
            <w:hideMark/>
          </w:tcPr>
          <w:p w:rsidR="00AD535C" w:rsidRPr="004440F1" w:rsidRDefault="00AD535C" w:rsidP="00BF2057">
            <w:pPr>
              <w:jc w:val="right"/>
              <w:rPr>
                <w:b/>
                <w:bCs/>
                <w:sz w:val="20"/>
                <w:lang w:val="es-GT" w:eastAsia="es-GT"/>
              </w:rPr>
            </w:pPr>
            <w:r w:rsidRPr="004440F1">
              <w:rPr>
                <w:b/>
                <w:bCs/>
                <w:sz w:val="20"/>
                <w:lang w:val="es-GT" w:eastAsia="es-GT"/>
              </w:rPr>
              <w:t>7,337.6</w:t>
            </w:r>
          </w:p>
        </w:tc>
        <w:tc>
          <w:tcPr>
            <w:tcW w:w="1154" w:type="dxa"/>
            <w:tcBorders>
              <w:top w:val="single" w:sz="8" w:space="0" w:color="000000"/>
              <w:left w:val="nil"/>
              <w:right w:val="single" w:sz="8" w:space="0" w:color="auto"/>
            </w:tcBorders>
            <w:shd w:val="clear" w:color="auto" w:fill="auto"/>
            <w:noWrap/>
            <w:vAlign w:val="bottom"/>
            <w:hideMark/>
          </w:tcPr>
          <w:p w:rsidR="00AD535C" w:rsidRPr="004440F1" w:rsidRDefault="00AD535C" w:rsidP="00BF2057">
            <w:pPr>
              <w:jc w:val="right"/>
              <w:rPr>
                <w:b/>
                <w:bCs/>
                <w:sz w:val="20"/>
                <w:lang w:val="es-GT" w:eastAsia="es-GT"/>
              </w:rPr>
            </w:pPr>
            <w:r w:rsidRPr="004440F1">
              <w:rPr>
                <w:b/>
                <w:bCs/>
                <w:sz w:val="20"/>
                <w:lang w:val="es-GT" w:eastAsia="es-GT"/>
              </w:rPr>
              <w:t>33.3%</w:t>
            </w:r>
          </w:p>
        </w:tc>
      </w:tr>
      <w:tr w:rsidR="00AD535C" w:rsidRPr="00DD5276" w:rsidTr="004440F1">
        <w:trPr>
          <w:trHeight w:val="314"/>
        </w:trPr>
        <w:tc>
          <w:tcPr>
            <w:tcW w:w="4105" w:type="dxa"/>
            <w:tcBorders>
              <w:left w:val="single" w:sz="8" w:space="0" w:color="auto"/>
              <w:bottom w:val="nil"/>
              <w:right w:val="single" w:sz="4" w:space="0" w:color="auto"/>
            </w:tcBorders>
            <w:shd w:val="clear" w:color="auto" w:fill="auto"/>
            <w:noWrap/>
            <w:vAlign w:val="bottom"/>
            <w:hideMark/>
          </w:tcPr>
          <w:p w:rsidR="00BF2057" w:rsidRPr="00BF2057" w:rsidRDefault="00AD535C" w:rsidP="0025776C">
            <w:pPr>
              <w:rPr>
                <w:b/>
                <w:sz w:val="20"/>
                <w:lang w:val="es-GT" w:eastAsia="es-GT"/>
              </w:rPr>
            </w:pPr>
            <w:r w:rsidRPr="00BF2057">
              <w:rPr>
                <w:b/>
                <w:sz w:val="20"/>
                <w:lang w:val="es-GT" w:eastAsia="es-GT"/>
              </w:rPr>
              <w:t>Ministerio de Economía</w:t>
            </w:r>
          </w:p>
          <w:p w:rsidR="00AD535C" w:rsidRPr="004440F1" w:rsidRDefault="00AD535C" w:rsidP="0025776C">
            <w:pPr>
              <w:rPr>
                <w:sz w:val="20"/>
                <w:lang w:val="es-GT" w:eastAsia="es-GT"/>
              </w:rPr>
            </w:pPr>
            <w:r w:rsidRPr="004440F1">
              <w:rPr>
                <w:sz w:val="20"/>
                <w:lang w:val="es-GT" w:eastAsia="es-GT"/>
              </w:rPr>
              <w:t xml:space="preserve">(Bono </w:t>
            </w:r>
            <w:r w:rsidR="004440F1">
              <w:rPr>
                <w:sz w:val="20"/>
                <w:lang w:val="es-GT" w:eastAsia="es-GT"/>
              </w:rPr>
              <w:t xml:space="preserve">de </w:t>
            </w:r>
            <w:r w:rsidRPr="004440F1">
              <w:rPr>
                <w:sz w:val="20"/>
                <w:lang w:val="es-GT" w:eastAsia="es-GT"/>
              </w:rPr>
              <w:t>Protección de</w:t>
            </w:r>
            <w:r w:rsidR="004440F1">
              <w:rPr>
                <w:sz w:val="20"/>
                <w:lang w:val="es-GT" w:eastAsia="es-GT"/>
              </w:rPr>
              <w:t>l</w:t>
            </w:r>
            <w:r w:rsidRPr="004440F1">
              <w:rPr>
                <w:sz w:val="20"/>
                <w:lang w:val="es-GT" w:eastAsia="es-GT"/>
              </w:rPr>
              <w:t xml:space="preserve"> Empleo)</w:t>
            </w:r>
          </w:p>
        </w:tc>
        <w:tc>
          <w:tcPr>
            <w:tcW w:w="1094" w:type="dxa"/>
            <w:tcBorders>
              <w:left w:val="nil"/>
              <w:bottom w:val="nil"/>
              <w:right w:val="single" w:sz="4"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2,000.0</w:t>
            </w:r>
          </w:p>
        </w:tc>
        <w:tc>
          <w:tcPr>
            <w:tcW w:w="1231" w:type="dxa"/>
            <w:tcBorders>
              <w:left w:val="nil"/>
              <w:bottom w:val="nil"/>
              <w:right w:val="single" w:sz="4"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506.5</w:t>
            </w:r>
          </w:p>
        </w:tc>
        <w:tc>
          <w:tcPr>
            <w:tcW w:w="1230" w:type="dxa"/>
            <w:tcBorders>
              <w:left w:val="nil"/>
              <w:bottom w:val="nil"/>
              <w:right w:val="single" w:sz="4"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1,493.5</w:t>
            </w:r>
          </w:p>
        </w:tc>
        <w:tc>
          <w:tcPr>
            <w:tcW w:w="1154" w:type="dxa"/>
            <w:tcBorders>
              <w:left w:val="nil"/>
              <w:bottom w:val="nil"/>
              <w:right w:val="single" w:sz="8"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25.3%</w:t>
            </w:r>
          </w:p>
        </w:tc>
      </w:tr>
      <w:tr w:rsidR="00AD535C" w:rsidRPr="00DD5276" w:rsidTr="0025776C">
        <w:trPr>
          <w:trHeight w:val="314"/>
        </w:trPr>
        <w:tc>
          <w:tcPr>
            <w:tcW w:w="4105" w:type="dxa"/>
            <w:tcBorders>
              <w:top w:val="nil"/>
              <w:left w:val="single" w:sz="8" w:space="0" w:color="auto"/>
              <w:bottom w:val="nil"/>
              <w:right w:val="single" w:sz="4" w:space="0" w:color="auto"/>
            </w:tcBorders>
            <w:shd w:val="clear" w:color="auto" w:fill="auto"/>
            <w:noWrap/>
            <w:vAlign w:val="bottom"/>
            <w:hideMark/>
          </w:tcPr>
          <w:p w:rsidR="00AD535C" w:rsidRPr="004440F1" w:rsidRDefault="00AD535C" w:rsidP="00BF2057">
            <w:pPr>
              <w:rPr>
                <w:sz w:val="20"/>
                <w:lang w:val="es-GT" w:eastAsia="es-GT"/>
              </w:rPr>
            </w:pPr>
            <w:r w:rsidRPr="00BF2057">
              <w:rPr>
                <w:b/>
                <w:sz w:val="20"/>
                <w:lang w:val="es-GT" w:eastAsia="es-GT"/>
              </w:rPr>
              <w:t>Obligaciones del Estado</w:t>
            </w:r>
            <w:r w:rsidR="004440F1" w:rsidRPr="00BF2057">
              <w:rPr>
                <w:b/>
                <w:sz w:val="20"/>
                <w:lang w:val="es-GT" w:eastAsia="es-GT"/>
              </w:rPr>
              <w:t xml:space="preserve"> a </w:t>
            </w:r>
            <w:r w:rsidR="00BF2057">
              <w:rPr>
                <w:b/>
                <w:sz w:val="20"/>
                <w:lang w:val="es-GT" w:eastAsia="es-GT"/>
              </w:rPr>
              <w:t>C</w:t>
            </w:r>
            <w:r w:rsidR="004440F1" w:rsidRPr="00BF2057">
              <w:rPr>
                <w:b/>
                <w:sz w:val="20"/>
                <w:lang w:val="es-GT" w:eastAsia="es-GT"/>
              </w:rPr>
              <w:t xml:space="preserve">argo del </w:t>
            </w:r>
            <w:r w:rsidR="00BF2057">
              <w:rPr>
                <w:b/>
                <w:sz w:val="20"/>
                <w:lang w:val="es-GT" w:eastAsia="es-GT"/>
              </w:rPr>
              <w:t>T</w:t>
            </w:r>
            <w:r w:rsidR="004440F1" w:rsidRPr="00BF2057">
              <w:rPr>
                <w:b/>
                <w:sz w:val="20"/>
                <w:lang w:val="es-GT" w:eastAsia="es-GT"/>
              </w:rPr>
              <w:t>esoro</w:t>
            </w:r>
            <w:r w:rsidRPr="004440F1">
              <w:rPr>
                <w:sz w:val="20"/>
                <w:lang w:val="es-GT" w:eastAsia="es-GT"/>
              </w:rPr>
              <w:t xml:space="preserve"> (Aporte</w:t>
            </w:r>
            <w:r w:rsidR="004440F1">
              <w:rPr>
                <w:sz w:val="20"/>
                <w:lang w:val="es-GT" w:eastAsia="es-GT"/>
              </w:rPr>
              <w:t>s al</w:t>
            </w:r>
            <w:r w:rsidRPr="004440F1">
              <w:rPr>
                <w:sz w:val="20"/>
                <w:lang w:val="es-GT" w:eastAsia="es-GT"/>
              </w:rPr>
              <w:t xml:space="preserve"> INDE y </w:t>
            </w:r>
            <w:r w:rsidR="004440F1">
              <w:rPr>
                <w:sz w:val="20"/>
                <w:lang w:val="es-GT" w:eastAsia="es-GT"/>
              </w:rPr>
              <w:t>al</w:t>
            </w:r>
            <w:r w:rsidRPr="004440F1">
              <w:rPr>
                <w:sz w:val="20"/>
                <w:lang w:val="es-GT" w:eastAsia="es-GT"/>
              </w:rPr>
              <w:t xml:space="preserve"> CHN)</w:t>
            </w:r>
          </w:p>
        </w:tc>
        <w:tc>
          <w:tcPr>
            <w:tcW w:w="1094" w:type="dxa"/>
            <w:tcBorders>
              <w:top w:val="nil"/>
              <w:left w:val="nil"/>
              <w:bottom w:val="nil"/>
              <w:right w:val="single" w:sz="4"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3,000.0</w:t>
            </w:r>
          </w:p>
        </w:tc>
        <w:tc>
          <w:tcPr>
            <w:tcW w:w="1231" w:type="dxa"/>
            <w:tcBorders>
              <w:top w:val="nil"/>
              <w:left w:val="nil"/>
              <w:bottom w:val="nil"/>
              <w:right w:val="single" w:sz="4"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1,685.9</w:t>
            </w:r>
          </w:p>
        </w:tc>
        <w:tc>
          <w:tcPr>
            <w:tcW w:w="1230" w:type="dxa"/>
            <w:tcBorders>
              <w:top w:val="nil"/>
              <w:left w:val="nil"/>
              <w:bottom w:val="nil"/>
              <w:right w:val="single" w:sz="4"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1,314.1</w:t>
            </w:r>
          </w:p>
        </w:tc>
        <w:tc>
          <w:tcPr>
            <w:tcW w:w="1154" w:type="dxa"/>
            <w:tcBorders>
              <w:top w:val="nil"/>
              <w:left w:val="nil"/>
              <w:bottom w:val="nil"/>
              <w:right w:val="single" w:sz="8"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56.2%</w:t>
            </w:r>
          </w:p>
        </w:tc>
      </w:tr>
      <w:tr w:rsidR="00AD535C" w:rsidRPr="00DD5276" w:rsidTr="0025776C">
        <w:trPr>
          <w:trHeight w:val="324"/>
        </w:trPr>
        <w:tc>
          <w:tcPr>
            <w:tcW w:w="4105" w:type="dxa"/>
            <w:tcBorders>
              <w:top w:val="nil"/>
              <w:left w:val="single" w:sz="8" w:space="0" w:color="auto"/>
              <w:bottom w:val="single" w:sz="8" w:space="0" w:color="auto"/>
              <w:right w:val="single" w:sz="4" w:space="0" w:color="auto"/>
            </w:tcBorders>
            <w:shd w:val="clear" w:color="auto" w:fill="auto"/>
            <w:noWrap/>
            <w:vAlign w:val="bottom"/>
            <w:hideMark/>
          </w:tcPr>
          <w:p w:rsidR="00BF2057" w:rsidRPr="00BF2057" w:rsidRDefault="00AD535C" w:rsidP="004440F1">
            <w:pPr>
              <w:rPr>
                <w:b/>
                <w:sz w:val="20"/>
                <w:lang w:val="es-GT" w:eastAsia="es-GT"/>
              </w:rPr>
            </w:pPr>
            <w:r w:rsidRPr="00BF2057">
              <w:rPr>
                <w:b/>
                <w:sz w:val="20"/>
                <w:lang w:val="es-GT" w:eastAsia="es-GT"/>
              </w:rPr>
              <w:t xml:space="preserve">Ministerio de Desarrollo </w:t>
            </w:r>
            <w:r w:rsidR="004440F1" w:rsidRPr="00BF2057">
              <w:rPr>
                <w:b/>
                <w:sz w:val="20"/>
                <w:lang w:val="es-GT" w:eastAsia="es-GT"/>
              </w:rPr>
              <w:t>S</w:t>
            </w:r>
            <w:r w:rsidRPr="00BF2057">
              <w:rPr>
                <w:b/>
                <w:sz w:val="20"/>
                <w:lang w:val="es-GT" w:eastAsia="es-GT"/>
              </w:rPr>
              <w:t>ocial</w:t>
            </w:r>
          </w:p>
          <w:p w:rsidR="00AD535C" w:rsidRPr="004440F1" w:rsidRDefault="00AD535C" w:rsidP="004440F1">
            <w:pPr>
              <w:rPr>
                <w:sz w:val="20"/>
                <w:lang w:val="es-GT" w:eastAsia="es-GT"/>
              </w:rPr>
            </w:pPr>
            <w:r w:rsidRPr="004440F1">
              <w:rPr>
                <w:sz w:val="20"/>
                <w:lang w:val="es-GT" w:eastAsia="es-GT"/>
              </w:rPr>
              <w:t>(Bono Familia)</w:t>
            </w:r>
          </w:p>
        </w:tc>
        <w:tc>
          <w:tcPr>
            <w:tcW w:w="1094" w:type="dxa"/>
            <w:tcBorders>
              <w:top w:val="nil"/>
              <w:left w:val="nil"/>
              <w:bottom w:val="single" w:sz="8" w:space="0" w:color="auto"/>
              <w:right w:val="single" w:sz="4"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6,000.0</w:t>
            </w:r>
          </w:p>
        </w:tc>
        <w:tc>
          <w:tcPr>
            <w:tcW w:w="1231" w:type="dxa"/>
            <w:tcBorders>
              <w:top w:val="nil"/>
              <w:left w:val="nil"/>
              <w:bottom w:val="single" w:sz="8" w:space="0" w:color="auto"/>
              <w:right w:val="single" w:sz="4"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1,470.0</w:t>
            </w:r>
          </w:p>
        </w:tc>
        <w:tc>
          <w:tcPr>
            <w:tcW w:w="1230" w:type="dxa"/>
            <w:tcBorders>
              <w:top w:val="nil"/>
              <w:left w:val="nil"/>
              <w:bottom w:val="single" w:sz="8" w:space="0" w:color="auto"/>
              <w:right w:val="single" w:sz="4"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4,530.0</w:t>
            </w:r>
          </w:p>
        </w:tc>
        <w:tc>
          <w:tcPr>
            <w:tcW w:w="1154" w:type="dxa"/>
            <w:tcBorders>
              <w:top w:val="nil"/>
              <w:left w:val="nil"/>
              <w:bottom w:val="single" w:sz="8" w:space="0" w:color="auto"/>
              <w:right w:val="single" w:sz="8" w:space="0" w:color="auto"/>
            </w:tcBorders>
            <w:shd w:val="clear" w:color="auto" w:fill="auto"/>
            <w:noWrap/>
            <w:vAlign w:val="bottom"/>
            <w:hideMark/>
          </w:tcPr>
          <w:p w:rsidR="00AD535C" w:rsidRPr="004440F1" w:rsidRDefault="00AD535C" w:rsidP="00BF2057">
            <w:pPr>
              <w:jc w:val="right"/>
              <w:rPr>
                <w:sz w:val="20"/>
                <w:lang w:val="es-GT" w:eastAsia="es-GT"/>
              </w:rPr>
            </w:pPr>
            <w:r w:rsidRPr="004440F1">
              <w:rPr>
                <w:sz w:val="20"/>
                <w:lang w:val="es-GT" w:eastAsia="es-GT"/>
              </w:rPr>
              <w:t>24.5%</w:t>
            </w:r>
          </w:p>
        </w:tc>
      </w:tr>
    </w:tbl>
    <w:p w:rsidR="004440F1" w:rsidRDefault="004440F1" w:rsidP="004440F1">
      <w:pPr>
        <w:jc w:val="both"/>
        <w:rPr>
          <w:sz w:val="18"/>
          <w:lang w:val="es-MX"/>
        </w:rPr>
      </w:pPr>
      <w:r w:rsidRPr="00CF5481">
        <w:rPr>
          <w:sz w:val="18"/>
          <w:lang w:val="es-MX"/>
        </w:rPr>
        <w:t>* Cifras preliminares.</w:t>
      </w:r>
    </w:p>
    <w:p w:rsidR="0090134D" w:rsidRDefault="004440F1" w:rsidP="0090134D">
      <w:pPr>
        <w:jc w:val="both"/>
        <w:rPr>
          <w:sz w:val="18"/>
          <w:lang w:val="es-MX"/>
        </w:rPr>
      </w:pPr>
      <w:r>
        <w:rPr>
          <w:sz w:val="18"/>
          <w:lang w:val="es-MX"/>
        </w:rPr>
        <w:t xml:space="preserve">    </w:t>
      </w:r>
      <w:r w:rsidRPr="00CF5481">
        <w:rPr>
          <w:sz w:val="18"/>
          <w:lang w:val="es-MX"/>
        </w:rPr>
        <w:t>Fuente: Ministerio de Finanz</w:t>
      </w:r>
      <w:r w:rsidR="0090134D">
        <w:rPr>
          <w:sz w:val="18"/>
          <w:lang w:val="es-MX"/>
        </w:rPr>
        <w:t>as Públicas con base al SICOIN.</w:t>
      </w:r>
    </w:p>
    <w:p w:rsidR="0090134D" w:rsidRDefault="0090134D" w:rsidP="0090134D">
      <w:pPr>
        <w:jc w:val="both"/>
        <w:rPr>
          <w:sz w:val="18"/>
          <w:lang w:val="es-MX"/>
        </w:rPr>
      </w:pPr>
    </w:p>
    <w:p w:rsidR="0090134D" w:rsidRDefault="0090134D" w:rsidP="0090134D">
      <w:pPr>
        <w:jc w:val="both"/>
        <w:rPr>
          <w:sz w:val="18"/>
          <w:lang w:val="es-MX"/>
        </w:rPr>
      </w:pPr>
    </w:p>
    <w:p w:rsidR="00AD535C" w:rsidRPr="0090134D" w:rsidRDefault="00AD535C" w:rsidP="00F073BE">
      <w:pPr>
        <w:keepNext/>
        <w:keepLines/>
        <w:numPr>
          <w:ilvl w:val="2"/>
          <w:numId w:val="3"/>
        </w:numPr>
        <w:spacing w:before="200"/>
        <w:outlineLvl w:val="2"/>
        <w:rPr>
          <w:b/>
          <w:bCs/>
          <w:lang w:val="es-MX"/>
        </w:rPr>
      </w:pPr>
      <w:bookmarkStart w:id="21" w:name="_Toc51925253"/>
      <w:r w:rsidRPr="0090134D">
        <w:rPr>
          <w:b/>
          <w:bCs/>
          <w:lang w:val="es-MX"/>
        </w:rPr>
        <w:t>Ejecución con Fuente 61</w:t>
      </w:r>
      <w:r w:rsidR="005C3695" w:rsidRPr="0090134D">
        <w:rPr>
          <w:b/>
          <w:bCs/>
          <w:lang w:val="es-MX"/>
        </w:rPr>
        <w:t xml:space="preserve"> “</w:t>
      </w:r>
      <w:r w:rsidRPr="0090134D">
        <w:rPr>
          <w:b/>
          <w:bCs/>
          <w:lang w:val="es-MX"/>
        </w:rPr>
        <w:t xml:space="preserve">Donaciones </w:t>
      </w:r>
      <w:r w:rsidR="005C3695" w:rsidRPr="0090134D">
        <w:rPr>
          <w:b/>
          <w:bCs/>
          <w:lang w:val="es-MX"/>
        </w:rPr>
        <w:t>e</w:t>
      </w:r>
      <w:r w:rsidRPr="0090134D">
        <w:rPr>
          <w:b/>
          <w:bCs/>
          <w:lang w:val="es-MX"/>
        </w:rPr>
        <w:t>xternas</w:t>
      </w:r>
      <w:r w:rsidR="005C3695" w:rsidRPr="0090134D">
        <w:rPr>
          <w:b/>
          <w:bCs/>
          <w:lang w:val="es-MX"/>
        </w:rPr>
        <w:t>”</w:t>
      </w:r>
      <w:bookmarkEnd w:id="21"/>
    </w:p>
    <w:p w:rsidR="005C3695" w:rsidRPr="005C3695" w:rsidRDefault="005C3695" w:rsidP="005C3695">
      <w:pPr>
        <w:jc w:val="both"/>
        <w:rPr>
          <w:lang w:val="es-MX"/>
        </w:rPr>
      </w:pPr>
    </w:p>
    <w:p w:rsidR="00AD535C" w:rsidRPr="004440F1" w:rsidRDefault="00AD535C" w:rsidP="004440F1">
      <w:pPr>
        <w:jc w:val="both"/>
        <w:rPr>
          <w:lang w:val="es-MX"/>
        </w:rPr>
      </w:pPr>
      <w:r w:rsidRPr="004440F1">
        <w:rPr>
          <w:lang w:val="es-MX"/>
        </w:rPr>
        <w:t>El Banco Centroamericano de Integración Económica</w:t>
      </w:r>
      <w:r w:rsidR="00FB44EF">
        <w:rPr>
          <w:lang w:val="es-MX"/>
        </w:rPr>
        <w:t xml:space="preserve"> (BCIE)</w:t>
      </w:r>
      <w:r w:rsidRPr="004440F1">
        <w:rPr>
          <w:lang w:val="es-MX"/>
        </w:rPr>
        <w:t xml:space="preserve">, apoya al </w:t>
      </w:r>
      <w:r w:rsidR="00FB44EF">
        <w:rPr>
          <w:lang w:val="es-MX"/>
        </w:rPr>
        <w:t>G</w:t>
      </w:r>
      <w:r w:rsidRPr="004440F1">
        <w:rPr>
          <w:lang w:val="es-MX"/>
        </w:rPr>
        <w:t xml:space="preserve">obierno de Guatemala a través de una donación por </w:t>
      </w:r>
      <w:r w:rsidR="00FB44EF">
        <w:rPr>
          <w:lang w:val="es-MX"/>
        </w:rPr>
        <w:t>el</w:t>
      </w:r>
      <w:r w:rsidRPr="004440F1">
        <w:rPr>
          <w:lang w:val="es-MX"/>
        </w:rPr>
        <w:t xml:space="preserve"> monto de Q.7.7 millones, </w:t>
      </w:r>
      <w:r w:rsidR="00FB44EF">
        <w:rPr>
          <w:lang w:val="es-MX"/>
        </w:rPr>
        <w:t>la</w:t>
      </w:r>
      <w:r w:rsidRPr="004440F1">
        <w:rPr>
          <w:lang w:val="es-MX"/>
        </w:rPr>
        <w:t xml:space="preserve"> cual es ejecutad</w:t>
      </w:r>
      <w:r w:rsidR="00FB44EF">
        <w:rPr>
          <w:lang w:val="es-MX"/>
        </w:rPr>
        <w:t>a</w:t>
      </w:r>
      <w:r w:rsidRPr="004440F1">
        <w:rPr>
          <w:lang w:val="es-MX"/>
        </w:rPr>
        <w:t xml:space="preserve"> por el Ministerio de Salud Pública y Asistencia Social</w:t>
      </w:r>
      <w:r w:rsidR="00FB44EF">
        <w:rPr>
          <w:lang w:val="es-MX"/>
        </w:rPr>
        <w:t>. A</w:t>
      </w:r>
      <w:r w:rsidRPr="004440F1">
        <w:rPr>
          <w:lang w:val="es-MX"/>
        </w:rPr>
        <w:t xml:space="preserve">l 30 de junio de 2020 </w:t>
      </w:r>
      <w:r w:rsidR="00E823FE">
        <w:rPr>
          <w:lang w:val="es-MX"/>
        </w:rPr>
        <w:t xml:space="preserve">se </w:t>
      </w:r>
      <w:r w:rsidRPr="004440F1">
        <w:rPr>
          <w:lang w:val="es-MX"/>
        </w:rPr>
        <w:t>ha</w:t>
      </w:r>
      <w:r w:rsidR="00E823FE">
        <w:rPr>
          <w:lang w:val="es-MX"/>
        </w:rPr>
        <w:t>n</w:t>
      </w:r>
      <w:r w:rsidRPr="004440F1">
        <w:rPr>
          <w:lang w:val="es-MX"/>
        </w:rPr>
        <w:t xml:space="preserve"> ejecutado </w:t>
      </w:r>
      <w:r w:rsidR="00FB44EF">
        <w:rPr>
          <w:lang w:val="es-MX"/>
        </w:rPr>
        <w:t>Q</w:t>
      </w:r>
      <w:r w:rsidRPr="004440F1">
        <w:rPr>
          <w:lang w:val="es-MX"/>
        </w:rPr>
        <w:t>.5.6 millones, especialmente en la compra de productos medicinales y farmacéuticos.</w:t>
      </w:r>
    </w:p>
    <w:p w:rsidR="00AD535C" w:rsidRPr="00CF5481" w:rsidRDefault="00AD535C" w:rsidP="00AD535C">
      <w:pPr>
        <w:jc w:val="both"/>
        <w:rPr>
          <w:sz w:val="18"/>
          <w:lang w:val="es-MX"/>
        </w:rPr>
      </w:pPr>
    </w:p>
    <w:p w:rsidR="00AD535C" w:rsidRPr="00FB641E" w:rsidRDefault="00AD535C" w:rsidP="00F073BE">
      <w:pPr>
        <w:keepNext/>
        <w:keepLines/>
        <w:numPr>
          <w:ilvl w:val="2"/>
          <w:numId w:val="3"/>
        </w:numPr>
        <w:spacing w:before="200"/>
        <w:outlineLvl w:val="2"/>
        <w:rPr>
          <w:b/>
          <w:bCs/>
          <w:lang w:val="es-MX"/>
        </w:rPr>
      </w:pPr>
      <w:bookmarkStart w:id="22" w:name="_Toc51925254"/>
      <w:r w:rsidRPr="00FB641E">
        <w:rPr>
          <w:b/>
          <w:bCs/>
          <w:lang w:val="es-MX"/>
        </w:rPr>
        <w:t>Déficit Fiscal</w:t>
      </w:r>
      <w:bookmarkEnd w:id="22"/>
    </w:p>
    <w:p w:rsidR="00AD535C" w:rsidRPr="00FB641E" w:rsidRDefault="00AD535C" w:rsidP="00AD535C">
      <w:pPr>
        <w:jc w:val="both"/>
        <w:rPr>
          <w:lang w:val="es-MX"/>
        </w:rPr>
      </w:pPr>
    </w:p>
    <w:p w:rsidR="00AD535C" w:rsidRPr="00FB641E" w:rsidRDefault="00AD535C" w:rsidP="00AD535C">
      <w:pPr>
        <w:jc w:val="both"/>
        <w:rPr>
          <w:lang w:val="es-MX"/>
        </w:rPr>
      </w:pPr>
      <w:r>
        <w:rPr>
          <w:lang w:val="es-MX"/>
        </w:rPr>
        <w:t>La Política General de Gobierno 20</w:t>
      </w:r>
      <w:r w:rsidR="00A564D5">
        <w:rPr>
          <w:lang w:val="es-MX"/>
        </w:rPr>
        <w:t>20</w:t>
      </w:r>
      <w:r>
        <w:rPr>
          <w:lang w:val="es-MX"/>
        </w:rPr>
        <w:t>-202</w:t>
      </w:r>
      <w:r w:rsidR="00A564D5">
        <w:rPr>
          <w:lang w:val="es-MX"/>
        </w:rPr>
        <w:t>4</w:t>
      </w:r>
      <w:r>
        <w:rPr>
          <w:lang w:val="es-MX"/>
        </w:rPr>
        <w:t xml:space="preserve"> </w:t>
      </w:r>
      <w:r w:rsidRPr="00CD2CCE">
        <w:rPr>
          <w:lang w:val="es-MX"/>
        </w:rPr>
        <w:t>parte del análisis de la situación</w:t>
      </w:r>
      <w:r>
        <w:rPr>
          <w:lang w:val="es-MX"/>
        </w:rPr>
        <w:t xml:space="preserve"> </w:t>
      </w:r>
      <w:r w:rsidRPr="00CD2CCE">
        <w:rPr>
          <w:lang w:val="es-MX"/>
        </w:rPr>
        <w:t>sociopolítica y económica actual</w:t>
      </w:r>
      <w:r>
        <w:rPr>
          <w:lang w:val="es-MX"/>
        </w:rPr>
        <w:t xml:space="preserve">, proponiendo </w:t>
      </w:r>
      <w:r w:rsidRPr="00CD2CCE">
        <w:rPr>
          <w:lang w:val="es-MX"/>
        </w:rPr>
        <w:t>enfrentar</w:t>
      </w:r>
      <w:r>
        <w:rPr>
          <w:lang w:val="es-MX"/>
        </w:rPr>
        <w:t xml:space="preserve"> </w:t>
      </w:r>
      <w:r w:rsidRPr="00CD2CCE">
        <w:rPr>
          <w:lang w:val="es-MX"/>
        </w:rPr>
        <w:t>y solucionar problemas como la corrupción, la</w:t>
      </w:r>
      <w:r>
        <w:rPr>
          <w:lang w:val="es-MX"/>
        </w:rPr>
        <w:t xml:space="preserve"> </w:t>
      </w:r>
      <w:r w:rsidRPr="00CD2CCE">
        <w:rPr>
          <w:lang w:val="es-MX"/>
        </w:rPr>
        <w:t>violencia, la agudización de la pobreza, la debilidad</w:t>
      </w:r>
      <w:r>
        <w:rPr>
          <w:lang w:val="es-MX"/>
        </w:rPr>
        <w:t xml:space="preserve"> </w:t>
      </w:r>
      <w:r w:rsidRPr="00CD2CCE">
        <w:rPr>
          <w:lang w:val="es-MX"/>
        </w:rPr>
        <w:t>institucional</w:t>
      </w:r>
      <w:r>
        <w:rPr>
          <w:lang w:val="es-MX"/>
        </w:rPr>
        <w:t xml:space="preserve"> y</w:t>
      </w:r>
      <w:r w:rsidRPr="00CD2CCE">
        <w:rPr>
          <w:lang w:val="es-MX"/>
        </w:rPr>
        <w:t xml:space="preserve"> la ineficacia del Estado</w:t>
      </w:r>
      <w:r>
        <w:rPr>
          <w:lang w:val="es-MX"/>
        </w:rPr>
        <w:t>, todo esto</w:t>
      </w:r>
      <w:r w:rsidRPr="00CD2CCE">
        <w:rPr>
          <w:lang w:val="es-MX"/>
        </w:rPr>
        <w:t xml:space="preserve"> para garantizar el</w:t>
      </w:r>
      <w:r>
        <w:rPr>
          <w:lang w:val="es-MX"/>
        </w:rPr>
        <w:t xml:space="preserve"> </w:t>
      </w:r>
      <w:r w:rsidRPr="00CD2CCE">
        <w:rPr>
          <w:lang w:val="es-MX"/>
        </w:rPr>
        <w:t>ejercicio de los derechos humanos</w:t>
      </w:r>
      <w:r w:rsidR="00A564D5">
        <w:rPr>
          <w:lang w:val="es-MX"/>
        </w:rPr>
        <w:t xml:space="preserve"> y contribuir al desarrollo económico y social de la nación</w:t>
      </w:r>
      <w:r>
        <w:rPr>
          <w:lang w:val="es-MX"/>
        </w:rPr>
        <w:t xml:space="preserve">. Congruente con dichos objetivos, </w:t>
      </w:r>
      <w:r w:rsidRPr="001F2900">
        <w:rPr>
          <w:lang w:val="es-MX"/>
        </w:rPr>
        <w:t>la política fiscal</w:t>
      </w:r>
      <w:r>
        <w:rPr>
          <w:lang w:val="es-MX"/>
        </w:rPr>
        <w:t xml:space="preserve"> persigue</w:t>
      </w:r>
      <w:r w:rsidRPr="001F2900">
        <w:rPr>
          <w:lang w:val="es-MX"/>
        </w:rPr>
        <w:t xml:space="preserve"> elevar </w:t>
      </w:r>
      <w:r>
        <w:rPr>
          <w:lang w:val="es-MX"/>
        </w:rPr>
        <w:t>el nivel de</w:t>
      </w:r>
      <w:r w:rsidRPr="001F2900">
        <w:rPr>
          <w:lang w:val="es-MX"/>
        </w:rPr>
        <w:t xml:space="preserve"> recaudación de los ingresos tributarios</w:t>
      </w:r>
      <w:r w:rsidR="00A564D5">
        <w:rPr>
          <w:lang w:val="es-MX"/>
        </w:rPr>
        <w:t>;</w:t>
      </w:r>
      <w:r w:rsidRPr="001F2900">
        <w:rPr>
          <w:lang w:val="es-MX"/>
        </w:rPr>
        <w:t xml:space="preserve"> combatir la evasión</w:t>
      </w:r>
      <w:r>
        <w:rPr>
          <w:lang w:val="es-MX"/>
        </w:rPr>
        <w:t>, elusión</w:t>
      </w:r>
      <w:r w:rsidRPr="001F2900">
        <w:rPr>
          <w:lang w:val="es-MX"/>
        </w:rPr>
        <w:t xml:space="preserve"> y contrabando aduanero</w:t>
      </w:r>
      <w:r>
        <w:rPr>
          <w:lang w:val="es-MX"/>
        </w:rPr>
        <w:t>;</w:t>
      </w:r>
      <w:r w:rsidRPr="001F2900">
        <w:rPr>
          <w:lang w:val="es-MX"/>
        </w:rPr>
        <w:t xml:space="preserve"> lograr la sostenibilidad de los niveles de endeudamiento</w:t>
      </w:r>
      <w:r>
        <w:rPr>
          <w:lang w:val="es-MX"/>
        </w:rPr>
        <w:t>;</w:t>
      </w:r>
      <w:r w:rsidRPr="001F2900">
        <w:rPr>
          <w:lang w:val="es-MX"/>
        </w:rPr>
        <w:t xml:space="preserve"> así como alcanzar la transparencia y calidad del gasto público, </w:t>
      </w:r>
      <w:r>
        <w:rPr>
          <w:lang w:val="es-MX"/>
        </w:rPr>
        <w:t>asignando los recursos presupuestarios en sectores prioritarios como educación, salud, seguridad</w:t>
      </w:r>
      <w:r w:rsidR="00DA381B">
        <w:rPr>
          <w:lang w:val="es-MX"/>
        </w:rPr>
        <w:t xml:space="preserve"> interna</w:t>
      </w:r>
      <w:r>
        <w:rPr>
          <w:lang w:val="es-MX"/>
        </w:rPr>
        <w:t xml:space="preserve"> y vivienda, </w:t>
      </w:r>
      <w:r w:rsidRPr="001F2900">
        <w:rPr>
          <w:lang w:val="es-MX"/>
        </w:rPr>
        <w:t xml:space="preserve">enfocados en el logro de </w:t>
      </w:r>
      <w:r>
        <w:rPr>
          <w:lang w:val="es-MX"/>
        </w:rPr>
        <w:t xml:space="preserve">metas y </w:t>
      </w:r>
      <w:r w:rsidRPr="001F2900">
        <w:rPr>
          <w:lang w:val="es-MX"/>
        </w:rPr>
        <w:t xml:space="preserve">resultados </w:t>
      </w:r>
      <w:r>
        <w:rPr>
          <w:lang w:val="es-MX"/>
        </w:rPr>
        <w:t>que impacten en un mayor número de personas de la sociedad guatemalteca.</w:t>
      </w:r>
    </w:p>
    <w:p w:rsidR="00AD535C" w:rsidRDefault="00AD535C" w:rsidP="00AD535C">
      <w:pPr>
        <w:jc w:val="both"/>
        <w:rPr>
          <w:lang w:val="es-MX"/>
        </w:rPr>
      </w:pPr>
    </w:p>
    <w:p w:rsidR="00AD535C" w:rsidRDefault="00AD535C" w:rsidP="00AD535C">
      <w:pPr>
        <w:jc w:val="both"/>
        <w:rPr>
          <w:lang w:val="es-MX"/>
        </w:rPr>
      </w:pPr>
      <w:r>
        <w:rPr>
          <w:lang w:val="es-MX"/>
        </w:rPr>
        <w:t>En el primer año del actual gobierno el resultado presupuestario muestra el mayor déficit de 1.6% equivalente a Q.9,440.4 millones.</w:t>
      </w:r>
    </w:p>
    <w:p w:rsidR="00AD535C" w:rsidRDefault="00AD535C" w:rsidP="00AD535C">
      <w:pPr>
        <w:rPr>
          <w:b/>
          <w:sz w:val="22"/>
          <w:lang w:val="es-MX"/>
        </w:rPr>
      </w:pPr>
    </w:p>
    <w:p w:rsidR="00AD535C" w:rsidRPr="00D11334" w:rsidRDefault="00AD535C" w:rsidP="00AD535C">
      <w:pPr>
        <w:jc w:val="center"/>
        <w:rPr>
          <w:b/>
          <w:lang w:val="es-MX"/>
        </w:rPr>
      </w:pPr>
      <w:r w:rsidRPr="00D11334">
        <w:rPr>
          <w:b/>
          <w:lang w:val="es-MX"/>
        </w:rPr>
        <w:t>Gráfica 12</w:t>
      </w:r>
    </w:p>
    <w:p w:rsidR="00AD535C" w:rsidRPr="00D11334" w:rsidRDefault="00927D15" w:rsidP="00AD535C">
      <w:pPr>
        <w:jc w:val="center"/>
        <w:rPr>
          <w:b/>
          <w:szCs w:val="22"/>
          <w:lang w:val="es-MX"/>
        </w:rPr>
      </w:pPr>
      <w:r>
        <w:rPr>
          <w:b/>
          <w:szCs w:val="22"/>
          <w:lang w:val="es-MX"/>
        </w:rPr>
        <w:t>Resultado Presupuestario</w:t>
      </w:r>
    </w:p>
    <w:p w:rsidR="00AD535C" w:rsidRPr="00D11334" w:rsidRDefault="00AD535C" w:rsidP="00AD535C">
      <w:pPr>
        <w:jc w:val="center"/>
        <w:rPr>
          <w:b/>
          <w:szCs w:val="22"/>
          <w:lang w:val="es-MX"/>
        </w:rPr>
      </w:pPr>
      <w:r w:rsidRPr="00D11334">
        <w:rPr>
          <w:b/>
          <w:szCs w:val="22"/>
          <w:lang w:val="es-MX"/>
        </w:rPr>
        <w:t>Al 30 de junio de cada año</w:t>
      </w:r>
      <w:r w:rsidR="00927D15">
        <w:rPr>
          <w:b/>
          <w:szCs w:val="22"/>
          <w:lang w:val="es-MX"/>
        </w:rPr>
        <w:t>*</w:t>
      </w:r>
    </w:p>
    <w:p w:rsidR="00AD535C" w:rsidRPr="00D11334" w:rsidRDefault="00AD535C" w:rsidP="00AD535C">
      <w:pPr>
        <w:jc w:val="center"/>
        <w:rPr>
          <w:b/>
          <w:szCs w:val="22"/>
          <w:lang w:val="es-MX"/>
        </w:rPr>
      </w:pPr>
      <w:r w:rsidRPr="00D11334">
        <w:rPr>
          <w:b/>
          <w:szCs w:val="22"/>
          <w:lang w:val="es-MX"/>
        </w:rPr>
        <w:t>(Cifras en Millones de Quetzales y Porcentajes del PIB)</w:t>
      </w:r>
    </w:p>
    <w:p w:rsidR="00AD535C" w:rsidRPr="009469D4" w:rsidRDefault="00AD535C" w:rsidP="00AD535C">
      <w:pPr>
        <w:jc w:val="center"/>
        <w:rPr>
          <w:lang w:val="es-MX"/>
        </w:rPr>
      </w:pPr>
      <w:r>
        <w:rPr>
          <w:noProof/>
          <w:lang w:val="es-GT" w:eastAsia="es-GT"/>
        </w:rPr>
        <w:drawing>
          <wp:inline distT="0" distB="0" distL="0" distR="0" wp14:anchorId="3AFE77CA" wp14:editId="4F4652F4">
            <wp:extent cx="5930900" cy="3492500"/>
            <wp:effectExtent l="0" t="0" r="12700" b="12700"/>
            <wp:docPr id="10" name="Gráfico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CEBD403-5276-4FE2-A2BE-E30AC9C14C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D535C" w:rsidRDefault="00AD535C" w:rsidP="00AD535C">
      <w:pPr>
        <w:jc w:val="both"/>
        <w:rPr>
          <w:sz w:val="18"/>
          <w:lang w:val="es-MX"/>
        </w:rPr>
      </w:pPr>
      <w:r w:rsidRPr="001F107D">
        <w:rPr>
          <w:sz w:val="18"/>
          <w:lang w:val="es-MX"/>
        </w:rPr>
        <w:t xml:space="preserve">* </w:t>
      </w:r>
      <w:r>
        <w:rPr>
          <w:sz w:val="18"/>
          <w:lang w:val="es-MX"/>
        </w:rPr>
        <w:t>Para 2020</w:t>
      </w:r>
      <w:r w:rsidR="00DA381B">
        <w:rPr>
          <w:sz w:val="18"/>
          <w:lang w:val="es-MX"/>
        </w:rPr>
        <w:t>,</w:t>
      </w:r>
      <w:r>
        <w:rPr>
          <w:sz w:val="18"/>
          <w:lang w:val="es-MX"/>
        </w:rPr>
        <w:t xml:space="preserve"> cifras preliminares</w:t>
      </w:r>
    </w:p>
    <w:p w:rsidR="00AD535C" w:rsidRPr="001F107D" w:rsidRDefault="00AD535C" w:rsidP="00AD535C">
      <w:pPr>
        <w:jc w:val="both"/>
        <w:rPr>
          <w:sz w:val="18"/>
          <w:lang w:val="es-MX"/>
        </w:rPr>
      </w:pPr>
      <w:r w:rsidRPr="001F107D">
        <w:rPr>
          <w:sz w:val="18"/>
          <w:lang w:val="es-MX"/>
        </w:rPr>
        <w:t xml:space="preserve">   Fuente: Ministerio de Finanzas Públicas con base al SICOIN.</w:t>
      </w:r>
    </w:p>
    <w:p w:rsidR="00AD535C" w:rsidRPr="001F107D" w:rsidRDefault="00AD535C" w:rsidP="00AD535C">
      <w:pPr>
        <w:jc w:val="both"/>
        <w:rPr>
          <w:sz w:val="18"/>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jc w:val="both"/>
        <w:rPr>
          <w:lang w:val="es-MX"/>
        </w:rPr>
      </w:pPr>
    </w:p>
    <w:p w:rsidR="00AD535C" w:rsidRDefault="00AD535C" w:rsidP="00AD535C">
      <w:pPr>
        <w:rPr>
          <w:b/>
          <w:sz w:val="22"/>
          <w:lang w:val="es-MX"/>
        </w:rPr>
      </w:pPr>
      <w:r>
        <w:rPr>
          <w:b/>
          <w:sz w:val="22"/>
          <w:lang w:val="es-MX"/>
        </w:rPr>
        <w:br w:type="page"/>
      </w:r>
    </w:p>
    <w:p w:rsidR="00AD535C" w:rsidRPr="00D11334" w:rsidRDefault="00AD535C" w:rsidP="00AD535C">
      <w:pPr>
        <w:jc w:val="center"/>
        <w:rPr>
          <w:b/>
          <w:lang w:val="es-MX"/>
        </w:rPr>
      </w:pPr>
      <w:r w:rsidRPr="00D11334">
        <w:rPr>
          <w:b/>
          <w:lang w:val="es-MX"/>
        </w:rPr>
        <w:lastRenderedPageBreak/>
        <w:t>Cuadro 18</w:t>
      </w:r>
    </w:p>
    <w:p w:rsidR="00AD535C" w:rsidRPr="00D11334" w:rsidRDefault="00AD535C" w:rsidP="00AD535C">
      <w:pPr>
        <w:jc w:val="center"/>
        <w:rPr>
          <w:b/>
          <w:lang w:val="es-MX"/>
        </w:rPr>
      </w:pPr>
      <w:r w:rsidRPr="00D11334">
        <w:rPr>
          <w:b/>
          <w:lang w:val="es-MX"/>
        </w:rPr>
        <w:t>Situación Financiera de la Administración Central</w:t>
      </w:r>
    </w:p>
    <w:p w:rsidR="00AD535C" w:rsidRPr="00D11334" w:rsidRDefault="00AD535C" w:rsidP="00AD535C">
      <w:pPr>
        <w:jc w:val="center"/>
        <w:rPr>
          <w:b/>
          <w:lang w:val="es-MX"/>
        </w:rPr>
      </w:pPr>
      <w:r w:rsidRPr="00D11334">
        <w:rPr>
          <w:b/>
          <w:lang w:val="es-MX"/>
        </w:rPr>
        <w:t>Al 30 de junio de cada año</w:t>
      </w:r>
    </w:p>
    <w:p w:rsidR="00AD535C" w:rsidRPr="00D11334" w:rsidRDefault="00AD535C" w:rsidP="00AD535C">
      <w:pPr>
        <w:jc w:val="center"/>
        <w:rPr>
          <w:sz w:val="20"/>
          <w:lang w:val="es-MX"/>
        </w:rPr>
      </w:pPr>
      <w:r w:rsidRPr="00D11334">
        <w:rPr>
          <w:b/>
          <w:lang w:val="es-MX"/>
        </w:rPr>
        <w:t>(Cifras en Millones de Quetzales)</w:t>
      </w:r>
    </w:p>
    <w:tbl>
      <w:tblPr>
        <w:tblW w:w="9142" w:type="dxa"/>
        <w:tblCellMar>
          <w:left w:w="70" w:type="dxa"/>
          <w:right w:w="70" w:type="dxa"/>
        </w:tblCellMar>
        <w:tblLook w:val="04A0" w:firstRow="1" w:lastRow="0" w:firstColumn="1" w:lastColumn="0" w:noHBand="0" w:noVBand="1"/>
      </w:tblPr>
      <w:tblGrid>
        <w:gridCol w:w="4181"/>
        <w:gridCol w:w="1276"/>
        <w:gridCol w:w="1276"/>
        <w:gridCol w:w="1134"/>
        <w:gridCol w:w="1275"/>
      </w:tblGrid>
      <w:tr w:rsidR="00AD535C" w:rsidRPr="00DA381B" w:rsidTr="00DA381B">
        <w:trPr>
          <w:trHeight w:val="512"/>
        </w:trPr>
        <w:tc>
          <w:tcPr>
            <w:tcW w:w="4181" w:type="dxa"/>
            <w:vMerge w:val="restart"/>
            <w:tcBorders>
              <w:top w:val="single" w:sz="8" w:space="0" w:color="auto"/>
              <w:left w:val="single" w:sz="8" w:space="0" w:color="auto"/>
              <w:bottom w:val="single" w:sz="4" w:space="0" w:color="000000"/>
              <w:right w:val="single" w:sz="4" w:space="0" w:color="auto"/>
            </w:tcBorders>
            <w:shd w:val="clear" w:color="000000" w:fill="8DB4E2"/>
            <w:noWrap/>
            <w:vAlign w:val="center"/>
            <w:hideMark/>
          </w:tcPr>
          <w:p w:rsidR="00AD535C" w:rsidRPr="00DA381B" w:rsidRDefault="00AD535C" w:rsidP="0025776C">
            <w:pPr>
              <w:jc w:val="center"/>
              <w:rPr>
                <w:b/>
                <w:bCs/>
                <w:color w:val="000000"/>
                <w:sz w:val="22"/>
                <w:szCs w:val="16"/>
                <w:lang w:val="es-MX" w:eastAsia="es-MX"/>
              </w:rPr>
            </w:pPr>
            <w:r w:rsidRPr="00DA381B">
              <w:rPr>
                <w:b/>
                <w:bCs/>
                <w:color w:val="000000"/>
                <w:sz w:val="22"/>
                <w:szCs w:val="16"/>
                <w:lang w:val="es-MX" w:eastAsia="es-MX"/>
              </w:rPr>
              <w:t>Concepto</w:t>
            </w:r>
          </w:p>
        </w:tc>
        <w:tc>
          <w:tcPr>
            <w:tcW w:w="2552" w:type="dxa"/>
            <w:gridSpan w:val="2"/>
            <w:tcBorders>
              <w:top w:val="single" w:sz="8" w:space="0" w:color="auto"/>
              <w:left w:val="single" w:sz="4" w:space="0" w:color="auto"/>
              <w:bottom w:val="single" w:sz="4" w:space="0" w:color="auto"/>
              <w:right w:val="single" w:sz="4" w:space="0" w:color="000000"/>
            </w:tcBorders>
            <w:shd w:val="clear" w:color="000000" w:fill="8DB4E2"/>
            <w:noWrap/>
            <w:vAlign w:val="center"/>
            <w:hideMark/>
          </w:tcPr>
          <w:p w:rsidR="00AD535C" w:rsidRPr="00DA381B" w:rsidRDefault="00AD535C" w:rsidP="0025776C">
            <w:pPr>
              <w:jc w:val="center"/>
              <w:rPr>
                <w:b/>
                <w:bCs/>
                <w:color w:val="000000"/>
                <w:sz w:val="22"/>
                <w:szCs w:val="16"/>
                <w:lang w:val="es-MX" w:eastAsia="es-MX"/>
              </w:rPr>
            </w:pPr>
            <w:r w:rsidRPr="00DA381B">
              <w:rPr>
                <w:b/>
                <w:bCs/>
                <w:color w:val="000000"/>
                <w:sz w:val="22"/>
                <w:szCs w:val="16"/>
                <w:lang w:val="es-MX" w:eastAsia="es-MX"/>
              </w:rPr>
              <w:t>Ejecutado</w:t>
            </w:r>
          </w:p>
        </w:tc>
        <w:tc>
          <w:tcPr>
            <w:tcW w:w="2409" w:type="dxa"/>
            <w:gridSpan w:val="2"/>
            <w:tcBorders>
              <w:top w:val="single" w:sz="8" w:space="0" w:color="auto"/>
              <w:left w:val="nil"/>
              <w:bottom w:val="single" w:sz="4" w:space="0" w:color="auto"/>
              <w:right w:val="single" w:sz="8" w:space="0" w:color="000000"/>
            </w:tcBorders>
            <w:shd w:val="clear" w:color="000000" w:fill="8DB4E2"/>
            <w:vAlign w:val="center"/>
            <w:hideMark/>
          </w:tcPr>
          <w:p w:rsidR="00AD535C" w:rsidRPr="00DA381B" w:rsidRDefault="00AD535C" w:rsidP="0025776C">
            <w:pPr>
              <w:jc w:val="center"/>
              <w:rPr>
                <w:b/>
                <w:bCs/>
                <w:color w:val="000000"/>
                <w:sz w:val="22"/>
                <w:szCs w:val="16"/>
                <w:lang w:val="es-MX" w:eastAsia="es-MX"/>
              </w:rPr>
            </w:pPr>
            <w:r w:rsidRPr="00DA381B">
              <w:rPr>
                <w:b/>
                <w:bCs/>
                <w:color w:val="000000"/>
                <w:sz w:val="22"/>
                <w:szCs w:val="16"/>
                <w:lang w:val="es-MX" w:eastAsia="es-MX"/>
              </w:rPr>
              <w:t>Diferencias</w:t>
            </w:r>
          </w:p>
        </w:tc>
      </w:tr>
      <w:tr w:rsidR="00AD535C" w:rsidRPr="00FE5B47" w:rsidTr="00DA381B">
        <w:trPr>
          <w:trHeight w:val="387"/>
        </w:trPr>
        <w:tc>
          <w:tcPr>
            <w:tcW w:w="4181" w:type="dxa"/>
            <w:vMerge/>
            <w:tcBorders>
              <w:top w:val="single" w:sz="8" w:space="0" w:color="auto"/>
              <w:left w:val="single" w:sz="8" w:space="0" w:color="auto"/>
              <w:bottom w:val="single" w:sz="4" w:space="0" w:color="000000"/>
              <w:right w:val="single" w:sz="4" w:space="0" w:color="auto"/>
            </w:tcBorders>
            <w:vAlign w:val="center"/>
            <w:hideMark/>
          </w:tcPr>
          <w:p w:rsidR="00AD535C" w:rsidRPr="00FE5B47" w:rsidRDefault="00AD535C" w:rsidP="0025776C">
            <w:pPr>
              <w:rPr>
                <w:b/>
                <w:bCs/>
                <w:color w:val="000000"/>
                <w:sz w:val="16"/>
                <w:szCs w:val="16"/>
                <w:lang w:val="es-MX" w:eastAsia="es-MX"/>
              </w:rPr>
            </w:pPr>
          </w:p>
        </w:tc>
        <w:tc>
          <w:tcPr>
            <w:tcW w:w="1276" w:type="dxa"/>
            <w:tcBorders>
              <w:top w:val="single" w:sz="4" w:space="0" w:color="auto"/>
              <w:left w:val="single" w:sz="4" w:space="0" w:color="auto"/>
              <w:bottom w:val="single" w:sz="4" w:space="0" w:color="auto"/>
              <w:right w:val="single" w:sz="4" w:space="0" w:color="auto"/>
            </w:tcBorders>
            <w:shd w:val="clear" w:color="000000" w:fill="8DB4E2"/>
            <w:noWrap/>
            <w:vAlign w:val="center"/>
            <w:hideMark/>
          </w:tcPr>
          <w:p w:rsidR="00AD535C" w:rsidRPr="00DA381B" w:rsidRDefault="00AD535C" w:rsidP="0025776C">
            <w:pPr>
              <w:jc w:val="center"/>
              <w:rPr>
                <w:b/>
                <w:bCs/>
                <w:color w:val="000000"/>
                <w:sz w:val="22"/>
                <w:szCs w:val="16"/>
                <w:lang w:val="es-MX" w:eastAsia="es-MX"/>
              </w:rPr>
            </w:pPr>
            <w:r w:rsidRPr="00DA381B">
              <w:rPr>
                <w:b/>
                <w:bCs/>
                <w:color w:val="000000"/>
                <w:sz w:val="22"/>
                <w:szCs w:val="16"/>
                <w:lang w:val="es-MX" w:eastAsia="es-MX"/>
              </w:rPr>
              <w:t>2019</w:t>
            </w:r>
          </w:p>
        </w:tc>
        <w:tc>
          <w:tcPr>
            <w:tcW w:w="1276" w:type="dxa"/>
            <w:tcBorders>
              <w:top w:val="single" w:sz="4" w:space="0" w:color="auto"/>
              <w:left w:val="nil"/>
              <w:bottom w:val="single" w:sz="4" w:space="0" w:color="auto"/>
              <w:right w:val="single" w:sz="4" w:space="0" w:color="auto"/>
            </w:tcBorders>
            <w:shd w:val="clear" w:color="000000" w:fill="8DB4E2"/>
            <w:noWrap/>
            <w:vAlign w:val="center"/>
            <w:hideMark/>
          </w:tcPr>
          <w:p w:rsidR="00AD535C" w:rsidRPr="00DA381B" w:rsidRDefault="00AD535C" w:rsidP="0025776C">
            <w:pPr>
              <w:jc w:val="center"/>
              <w:rPr>
                <w:b/>
                <w:bCs/>
                <w:color w:val="000000"/>
                <w:sz w:val="22"/>
                <w:szCs w:val="16"/>
                <w:lang w:val="es-MX" w:eastAsia="es-MX"/>
              </w:rPr>
            </w:pPr>
            <w:r w:rsidRPr="00DA381B">
              <w:rPr>
                <w:b/>
                <w:bCs/>
                <w:color w:val="000000"/>
                <w:sz w:val="22"/>
                <w:szCs w:val="16"/>
                <w:lang w:val="es-MX" w:eastAsia="es-MX"/>
              </w:rPr>
              <w:t>2020</w:t>
            </w:r>
            <w:r w:rsidR="00DA381B">
              <w:rPr>
                <w:b/>
                <w:bCs/>
                <w:color w:val="000000"/>
                <w:sz w:val="22"/>
                <w:szCs w:val="16"/>
                <w:lang w:val="es-MX" w:eastAsia="es-MX"/>
              </w:rPr>
              <w:t>*</w:t>
            </w:r>
          </w:p>
        </w:tc>
        <w:tc>
          <w:tcPr>
            <w:tcW w:w="1134" w:type="dxa"/>
            <w:tcBorders>
              <w:top w:val="nil"/>
              <w:left w:val="nil"/>
              <w:bottom w:val="single" w:sz="4" w:space="0" w:color="auto"/>
              <w:right w:val="single" w:sz="4" w:space="0" w:color="auto"/>
            </w:tcBorders>
            <w:shd w:val="clear" w:color="000000" w:fill="8DB4E2"/>
            <w:vAlign w:val="center"/>
            <w:hideMark/>
          </w:tcPr>
          <w:p w:rsidR="00AD535C" w:rsidRPr="00DA381B" w:rsidRDefault="00AD535C" w:rsidP="0025776C">
            <w:pPr>
              <w:jc w:val="center"/>
              <w:rPr>
                <w:b/>
                <w:bCs/>
                <w:color w:val="000000"/>
                <w:sz w:val="22"/>
                <w:szCs w:val="16"/>
                <w:lang w:val="es-MX" w:eastAsia="es-MX"/>
              </w:rPr>
            </w:pPr>
            <w:r w:rsidRPr="00DA381B">
              <w:rPr>
                <w:b/>
                <w:bCs/>
                <w:color w:val="000000"/>
                <w:sz w:val="22"/>
                <w:szCs w:val="16"/>
                <w:lang w:val="es-MX" w:eastAsia="es-MX"/>
              </w:rPr>
              <w:t>Absolutas</w:t>
            </w:r>
          </w:p>
        </w:tc>
        <w:tc>
          <w:tcPr>
            <w:tcW w:w="1275" w:type="dxa"/>
            <w:tcBorders>
              <w:top w:val="nil"/>
              <w:left w:val="nil"/>
              <w:bottom w:val="single" w:sz="4" w:space="0" w:color="auto"/>
              <w:right w:val="single" w:sz="8" w:space="0" w:color="auto"/>
            </w:tcBorders>
            <w:shd w:val="clear" w:color="000000" w:fill="8DB4E2"/>
            <w:vAlign w:val="center"/>
            <w:hideMark/>
          </w:tcPr>
          <w:p w:rsidR="00AD535C" w:rsidRPr="00DA381B" w:rsidRDefault="00AD535C" w:rsidP="0025776C">
            <w:pPr>
              <w:jc w:val="center"/>
              <w:rPr>
                <w:b/>
                <w:bCs/>
                <w:color w:val="000000"/>
                <w:sz w:val="22"/>
                <w:szCs w:val="16"/>
                <w:lang w:val="es-MX" w:eastAsia="es-MX"/>
              </w:rPr>
            </w:pPr>
            <w:r w:rsidRPr="00DA381B">
              <w:rPr>
                <w:b/>
                <w:bCs/>
                <w:color w:val="000000"/>
                <w:sz w:val="22"/>
                <w:szCs w:val="16"/>
                <w:lang w:val="es-MX" w:eastAsia="es-MX"/>
              </w:rPr>
              <w:t>Relativas</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25776C">
            <w:pPr>
              <w:rPr>
                <w:b/>
                <w:bCs/>
                <w:sz w:val="20"/>
                <w:szCs w:val="16"/>
                <w:lang w:val="es-MX" w:eastAsia="es-MX"/>
              </w:rPr>
            </w:pPr>
            <w:r w:rsidRPr="00DA381B">
              <w:rPr>
                <w:b/>
                <w:bCs/>
                <w:sz w:val="20"/>
                <w:szCs w:val="16"/>
                <w:lang w:val="es-MX" w:eastAsia="es-MX"/>
              </w:rPr>
              <w:t xml:space="preserve">Ingresos Totales </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31,993.4</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30,305.4</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-1,688.0</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-5.3%</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100" w:firstLine="200"/>
              <w:rPr>
                <w:sz w:val="20"/>
                <w:szCs w:val="16"/>
                <w:lang w:val="es-MX" w:eastAsia="es-MX"/>
              </w:rPr>
            </w:pPr>
            <w:r w:rsidRPr="00DA381B">
              <w:rPr>
                <w:sz w:val="20"/>
                <w:szCs w:val="16"/>
                <w:lang w:val="es-MX" w:eastAsia="es-MX"/>
              </w:rPr>
              <w:t>Ingresos Corrientes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31,991.3</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30,304.9</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-1,686.4</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-5.3%</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200" w:firstLine="400"/>
              <w:rPr>
                <w:sz w:val="20"/>
                <w:szCs w:val="16"/>
                <w:lang w:val="es-MX" w:eastAsia="es-MX"/>
              </w:rPr>
            </w:pPr>
            <w:r w:rsidRPr="00DA381B">
              <w:rPr>
                <w:sz w:val="20"/>
                <w:szCs w:val="16"/>
                <w:lang w:val="es-MX" w:eastAsia="es-MX"/>
              </w:rPr>
              <w:t>Ingresos Tributarios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30,065.2</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28,467.8</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-1,597.3</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-5.3%</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300" w:firstLine="600"/>
              <w:rPr>
                <w:sz w:val="20"/>
                <w:szCs w:val="16"/>
                <w:lang w:val="es-MX" w:eastAsia="es-MX"/>
              </w:rPr>
            </w:pPr>
            <w:r w:rsidRPr="00DA381B">
              <w:rPr>
                <w:sz w:val="20"/>
                <w:szCs w:val="16"/>
                <w:lang w:val="es-MX" w:eastAsia="es-MX"/>
              </w:rPr>
              <w:t>Impuestos Directos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10,705.8</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10,771.5</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65.7</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0.6%</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300" w:firstLine="600"/>
              <w:rPr>
                <w:sz w:val="20"/>
                <w:szCs w:val="16"/>
                <w:lang w:val="es-MX" w:eastAsia="es-MX"/>
              </w:rPr>
            </w:pPr>
            <w:r w:rsidRPr="00DA381B">
              <w:rPr>
                <w:sz w:val="20"/>
                <w:szCs w:val="16"/>
                <w:lang w:val="es-MX" w:eastAsia="es-MX"/>
              </w:rPr>
              <w:t>Impuestos Indirectos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19,359.4</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17,696.4</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-1,663.0</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-8.6%</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200" w:firstLine="400"/>
              <w:rPr>
                <w:sz w:val="20"/>
                <w:szCs w:val="16"/>
                <w:lang w:val="es-MX" w:eastAsia="es-MX"/>
              </w:rPr>
            </w:pPr>
            <w:r w:rsidRPr="00DA381B">
              <w:rPr>
                <w:sz w:val="20"/>
                <w:szCs w:val="16"/>
                <w:lang w:val="es-MX" w:eastAsia="es-MX"/>
              </w:rPr>
              <w:t xml:space="preserve">No Tributarios y Transferencias </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1,926.2</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1,837.1</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-89.1</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-4.6%</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400" w:firstLine="800"/>
              <w:rPr>
                <w:sz w:val="20"/>
                <w:szCs w:val="16"/>
                <w:lang w:val="es-MX" w:eastAsia="es-MX"/>
              </w:rPr>
            </w:pPr>
            <w:r w:rsidRPr="00DA381B">
              <w:rPr>
                <w:sz w:val="20"/>
                <w:szCs w:val="16"/>
                <w:lang w:val="es-MX" w:eastAsia="es-MX"/>
              </w:rPr>
              <w:t>Contribuciones a la Seguridad Social</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1,097.2</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1,236.5</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139.4</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12.7%</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400" w:firstLine="800"/>
              <w:rPr>
                <w:sz w:val="20"/>
                <w:szCs w:val="16"/>
                <w:lang w:val="es-MX" w:eastAsia="es-MX"/>
              </w:rPr>
            </w:pPr>
            <w:r w:rsidRPr="00DA381B">
              <w:rPr>
                <w:sz w:val="20"/>
                <w:szCs w:val="16"/>
                <w:lang w:val="es-MX" w:eastAsia="es-MX"/>
              </w:rPr>
              <w:t>Donaciones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11.2</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17.2</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6.0</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53.8%</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400" w:firstLine="800"/>
              <w:rPr>
                <w:sz w:val="20"/>
                <w:szCs w:val="16"/>
                <w:lang w:val="es-MX" w:eastAsia="es-MX"/>
              </w:rPr>
            </w:pPr>
            <w:r w:rsidRPr="00DA381B">
              <w:rPr>
                <w:sz w:val="20"/>
                <w:szCs w:val="16"/>
                <w:lang w:val="es-MX" w:eastAsia="es-MX"/>
              </w:rPr>
              <w:t>Otros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817.8</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583.4</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-234.5</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-28.7%</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100" w:firstLine="200"/>
              <w:rPr>
                <w:sz w:val="20"/>
                <w:szCs w:val="16"/>
                <w:lang w:val="es-MX" w:eastAsia="es-MX"/>
              </w:rPr>
            </w:pPr>
            <w:r w:rsidRPr="00DA381B">
              <w:rPr>
                <w:sz w:val="20"/>
                <w:szCs w:val="16"/>
                <w:lang w:val="es-MX" w:eastAsia="es-MX"/>
              </w:rPr>
              <w:t>Ingresos de Capital</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2.1</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0.4</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-1.6</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-78.8%</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25776C">
            <w:pPr>
              <w:rPr>
                <w:b/>
                <w:bCs/>
                <w:sz w:val="20"/>
                <w:szCs w:val="16"/>
                <w:lang w:val="es-MX" w:eastAsia="es-MX"/>
              </w:rPr>
            </w:pPr>
            <w:r w:rsidRPr="00DA381B">
              <w:rPr>
                <w:b/>
                <w:bCs/>
                <w:sz w:val="20"/>
                <w:szCs w:val="16"/>
                <w:lang w:val="es-MX" w:eastAsia="es-MX"/>
              </w:rPr>
              <w:t>Gastos Totales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36,441.2</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39,745.7</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3,304.5</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9.1%</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100" w:firstLine="200"/>
              <w:rPr>
                <w:sz w:val="20"/>
                <w:szCs w:val="16"/>
                <w:lang w:val="es-MX" w:eastAsia="es-MX"/>
              </w:rPr>
            </w:pPr>
            <w:r w:rsidRPr="00DA381B">
              <w:rPr>
                <w:sz w:val="20"/>
                <w:szCs w:val="16"/>
                <w:lang w:val="es-MX" w:eastAsia="es-MX"/>
              </w:rPr>
              <w:t>Gastos Corrientes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29,655.7</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32,226.2</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2,570.5</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8.7%</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200" w:firstLine="400"/>
              <w:rPr>
                <w:sz w:val="20"/>
                <w:szCs w:val="16"/>
                <w:lang w:val="es-MX" w:eastAsia="es-MX"/>
              </w:rPr>
            </w:pPr>
            <w:r w:rsidRPr="00DA381B">
              <w:rPr>
                <w:sz w:val="20"/>
                <w:szCs w:val="16"/>
                <w:lang w:val="es-MX" w:eastAsia="es-MX"/>
              </w:rPr>
              <w:t xml:space="preserve">Intereses </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4,611.4</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4,819.4</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208.0</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4.5%</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100" w:firstLine="200"/>
              <w:rPr>
                <w:sz w:val="20"/>
                <w:szCs w:val="16"/>
                <w:lang w:val="es-MX" w:eastAsia="es-MX"/>
              </w:rPr>
            </w:pPr>
            <w:r w:rsidRPr="00DA381B">
              <w:rPr>
                <w:sz w:val="20"/>
                <w:szCs w:val="16"/>
                <w:lang w:val="es-MX" w:eastAsia="es-MX"/>
              </w:rPr>
              <w:t>Gastos de Capital</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6,785.5</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7,519.5</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734.0</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10.8%</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25776C">
            <w:pPr>
              <w:rPr>
                <w:b/>
                <w:bCs/>
                <w:sz w:val="20"/>
                <w:szCs w:val="16"/>
                <w:lang w:val="es-MX" w:eastAsia="es-MX"/>
              </w:rPr>
            </w:pPr>
            <w:r w:rsidRPr="00DA381B">
              <w:rPr>
                <w:b/>
                <w:bCs/>
                <w:sz w:val="20"/>
                <w:szCs w:val="16"/>
                <w:lang w:val="es-MX" w:eastAsia="es-MX"/>
              </w:rPr>
              <w:t>Resultado en Cuenta Corriente</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2,335.6</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-1,921.3</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-4,256.9</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-182.3%</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25776C">
            <w:pPr>
              <w:rPr>
                <w:b/>
                <w:bCs/>
                <w:sz w:val="20"/>
                <w:szCs w:val="16"/>
                <w:lang w:val="es-MX" w:eastAsia="es-MX"/>
              </w:rPr>
            </w:pPr>
            <w:r w:rsidRPr="00DA381B">
              <w:rPr>
                <w:b/>
                <w:bCs/>
                <w:sz w:val="20"/>
                <w:szCs w:val="16"/>
                <w:lang w:val="es-MX" w:eastAsia="es-MX"/>
              </w:rPr>
              <w:t>Resultado Primario</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163.6</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-4,620.9</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-4,784.5</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-2925.0%</w:t>
            </w:r>
          </w:p>
        </w:tc>
      </w:tr>
      <w:tr w:rsidR="00AD535C" w:rsidRPr="00FE5B47" w:rsidTr="00DA381B">
        <w:trPr>
          <w:trHeight w:val="294"/>
        </w:trPr>
        <w:tc>
          <w:tcPr>
            <w:tcW w:w="4181" w:type="dxa"/>
            <w:tcBorders>
              <w:top w:val="nil"/>
              <w:left w:val="single" w:sz="8" w:space="0" w:color="auto"/>
              <w:bottom w:val="single" w:sz="8" w:space="0" w:color="auto"/>
              <w:right w:val="single" w:sz="4" w:space="0" w:color="auto"/>
            </w:tcBorders>
            <w:shd w:val="clear" w:color="000000" w:fill="FFFFFF"/>
            <w:noWrap/>
            <w:vAlign w:val="bottom"/>
            <w:hideMark/>
          </w:tcPr>
          <w:p w:rsidR="00AD535C" w:rsidRPr="00DA381B" w:rsidRDefault="00AD535C" w:rsidP="0025776C">
            <w:pPr>
              <w:rPr>
                <w:b/>
                <w:bCs/>
                <w:sz w:val="20"/>
                <w:szCs w:val="16"/>
                <w:lang w:val="es-MX" w:eastAsia="es-MX"/>
              </w:rPr>
            </w:pPr>
            <w:r w:rsidRPr="00DA381B">
              <w:rPr>
                <w:b/>
                <w:bCs/>
                <w:sz w:val="20"/>
                <w:szCs w:val="16"/>
                <w:lang w:val="es-MX" w:eastAsia="es-MX"/>
              </w:rPr>
              <w:t>Resultado Presupuestal</w:t>
            </w:r>
          </w:p>
        </w:tc>
        <w:tc>
          <w:tcPr>
            <w:tcW w:w="1276" w:type="dxa"/>
            <w:tcBorders>
              <w:top w:val="nil"/>
              <w:left w:val="single" w:sz="4" w:space="0" w:color="auto"/>
              <w:bottom w:val="single" w:sz="8" w:space="0" w:color="auto"/>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-4,447.8</w:t>
            </w:r>
          </w:p>
        </w:tc>
        <w:tc>
          <w:tcPr>
            <w:tcW w:w="1276" w:type="dxa"/>
            <w:tcBorders>
              <w:top w:val="nil"/>
              <w:left w:val="nil"/>
              <w:bottom w:val="single" w:sz="8" w:space="0" w:color="auto"/>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-9,440.4</w:t>
            </w:r>
          </w:p>
        </w:tc>
        <w:tc>
          <w:tcPr>
            <w:tcW w:w="1134" w:type="dxa"/>
            <w:tcBorders>
              <w:top w:val="nil"/>
              <w:left w:val="single" w:sz="4" w:space="0" w:color="auto"/>
              <w:bottom w:val="single" w:sz="8" w:space="0" w:color="auto"/>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-4,992.5</w:t>
            </w:r>
          </w:p>
        </w:tc>
        <w:tc>
          <w:tcPr>
            <w:tcW w:w="1275" w:type="dxa"/>
            <w:tcBorders>
              <w:top w:val="nil"/>
              <w:left w:val="nil"/>
              <w:bottom w:val="single" w:sz="8" w:space="0" w:color="auto"/>
              <w:right w:val="single" w:sz="8"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112.2%</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25776C">
            <w:pPr>
              <w:rPr>
                <w:b/>
                <w:bCs/>
                <w:sz w:val="20"/>
                <w:szCs w:val="16"/>
                <w:lang w:val="es-MX" w:eastAsia="es-MX"/>
              </w:rPr>
            </w:pPr>
            <w:r w:rsidRPr="00DA381B">
              <w:rPr>
                <w:b/>
                <w:bCs/>
                <w:sz w:val="20"/>
                <w:szCs w:val="16"/>
                <w:lang w:val="es-MX" w:eastAsia="es-MX"/>
              </w:rPr>
              <w:t>Financiamiento Total</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4,447.8</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9,440.4</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4,992.5</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112.2%</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100" w:firstLine="201"/>
              <w:rPr>
                <w:b/>
                <w:bCs/>
                <w:sz w:val="20"/>
                <w:szCs w:val="16"/>
                <w:lang w:val="es-MX" w:eastAsia="es-MX"/>
              </w:rPr>
            </w:pPr>
            <w:r w:rsidRPr="00DA381B">
              <w:rPr>
                <w:b/>
                <w:bCs/>
                <w:sz w:val="20"/>
                <w:szCs w:val="16"/>
                <w:lang w:val="es-MX" w:eastAsia="es-MX"/>
              </w:rPr>
              <w:t>Financiamiento Externo Neto</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7,955.8</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10,365.9</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2,410.1</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30.3%</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200" w:firstLine="400"/>
              <w:rPr>
                <w:sz w:val="20"/>
                <w:szCs w:val="16"/>
                <w:lang w:val="es-MX" w:eastAsia="es-MX"/>
              </w:rPr>
            </w:pPr>
            <w:r w:rsidRPr="00DA381B">
              <w:rPr>
                <w:sz w:val="20"/>
                <w:szCs w:val="16"/>
                <w:lang w:val="es-MX" w:eastAsia="es-MX"/>
              </w:rPr>
              <w:t>Préstamos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-1,311.4</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1,111.4</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2,422.8</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-184.7%</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300" w:firstLine="600"/>
              <w:rPr>
                <w:sz w:val="20"/>
                <w:szCs w:val="16"/>
                <w:lang w:val="es-MX" w:eastAsia="es-MX"/>
              </w:rPr>
            </w:pPr>
            <w:r w:rsidRPr="00DA381B">
              <w:rPr>
                <w:sz w:val="20"/>
                <w:szCs w:val="16"/>
                <w:lang w:val="es-MX" w:eastAsia="es-MX"/>
              </w:rPr>
              <w:t xml:space="preserve">Desembolsos  </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136.3</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2,661.9</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2,525.5</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1852.6%</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300" w:firstLine="600"/>
              <w:rPr>
                <w:sz w:val="20"/>
                <w:szCs w:val="16"/>
                <w:lang w:val="es-MX" w:eastAsia="es-MX"/>
              </w:rPr>
            </w:pPr>
            <w:r w:rsidRPr="00DA381B">
              <w:rPr>
                <w:sz w:val="20"/>
                <w:szCs w:val="16"/>
                <w:lang w:val="es-MX" w:eastAsia="es-MX"/>
              </w:rPr>
              <w:t>Amortizaciones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1,447.8</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1,550.5</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102.8</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7.1%</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200" w:firstLine="400"/>
              <w:rPr>
                <w:sz w:val="20"/>
                <w:szCs w:val="16"/>
                <w:lang w:val="es-MX" w:eastAsia="es-MX"/>
              </w:rPr>
            </w:pPr>
            <w:r w:rsidRPr="00DA381B">
              <w:rPr>
                <w:sz w:val="20"/>
                <w:szCs w:val="16"/>
                <w:lang w:val="es-MX" w:eastAsia="es-MX"/>
              </w:rPr>
              <w:t>Negociación Neta de Eurobonos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9,267.2</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9,254.5</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-12.7</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-0.1%</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100" w:firstLine="201"/>
              <w:rPr>
                <w:b/>
                <w:bCs/>
                <w:sz w:val="20"/>
                <w:szCs w:val="16"/>
                <w:lang w:val="es-MX" w:eastAsia="es-MX"/>
              </w:rPr>
            </w:pPr>
            <w:r w:rsidRPr="00DA381B">
              <w:rPr>
                <w:b/>
                <w:bCs/>
                <w:sz w:val="20"/>
                <w:szCs w:val="16"/>
                <w:lang w:val="es-MX" w:eastAsia="es-MX"/>
              </w:rPr>
              <w:t>Financiamiento Interno Neto</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-3,508.0</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-925.5</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2,582.5</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b/>
                <w:bCs/>
                <w:sz w:val="20"/>
                <w:szCs w:val="16"/>
                <w:lang w:val="es-MX" w:eastAsia="es-MX"/>
              </w:rPr>
            </w:pPr>
            <w:r w:rsidRPr="00DA381B">
              <w:rPr>
                <w:b/>
                <w:bCs/>
                <w:sz w:val="20"/>
                <w:szCs w:val="16"/>
                <w:lang w:val="es-MX" w:eastAsia="es-MX"/>
              </w:rPr>
              <w:t>-73.6%</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200" w:firstLine="400"/>
              <w:rPr>
                <w:sz w:val="20"/>
                <w:szCs w:val="16"/>
                <w:lang w:val="es-MX" w:eastAsia="es-MX"/>
              </w:rPr>
            </w:pPr>
            <w:r w:rsidRPr="00DA381B">
              <w:rPr>
                <w:sz w:val="20"/>
                <w:szCs w:val="16"/>
                <w:lang w:val="es-MX" w:eastAsia="es-MX"/>
              </w:rPr>
              <w:t xml:space="preserve">Negociación Neta </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5,147.3</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13,630.8</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8,483.6</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164.8%</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300" w:firstLine="600"/>
              <w:rPr>
                <w:sz w:val="20"/>
                <w:szCs w:val="16"/>
                <w:lang w:val="es-MX" w:eastAsia="es-MX"/>
              </w:rPr>
            </w:pPr>
            <w:r w:rsidRPr="00DA381B">
              <w:rPr>
                <w:sz w:val="20"/>
                <w:szCs w:val="16"/>
                <w:lang w:val="es-MX" w:eastAsia="es-MX"/>
              </w:rPr>
              <w:t>Negociación de Bonos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8,160.9</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16,136.1</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7,975.2</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97.7%</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300" w:firstLine="600"/>
              <w:rPr>
                <w:sz w:val="20"/>
                <w:szCs w:val="16"/>
                <w:lang w:val="es-MX" w:eastAsia="es-MX"/>
              </w:rPr>
            </w:pPr>
            <w:r w:rsidRPr="00DA381B">
              <w:rPr>
                <w:sz w:val="20"/>
                <w:szCs w:val="16"/>
                <w:lang w:val="es-MX" w:eastAsia="es-MX"/>
              </w:rPr>
              <w:t>Amortizaciones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3,013.6</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2,505.3</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-508.4</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-16.9%</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300" w:firstLine="600"/>
              <w:rPr>
                <w:sz w:val="20"/>
                <w:szCs w:val="16"/>
                <w:lang w:val="es-MX" w:eastAsia="es-MX"/>
              </w:rPr>
            </w:pPr>
            <w:r w:rsidRPr="00DA381B">
              <w:rPr>
                <w:sz w:val="20"/>
                <w:szCs w:val="16"/>
                <w:lang w:val="es-MX" w:eastAsia="es-MX"/>
              </w:rPr>
              <w:t xml:space="preserve">Colocación </w:t>
            </w:r>
            <w:r w:rsidR="00DA381B">
              <w:rPr>
                <w:sz w:val="20"/>
                <w:szCs w:val="16"/>
                <w:lang w:val="es-MX" w:eastAsia="es-MX"/>
              </w:rPr>
              <w:t>N</w:t>
            </w:r>
            <w:r w:rsidRPr="00DA381B">
              <w:rPr>
                <w:sz w:val="20"/>
                <w:szCs w:val="16"/>
                <w:lang w:val="es-MX" w:eastAsia="es-MX"/>
              </w:rPr>
              <w:t>eta de Primas</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401.6</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1,334.6</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933.0</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232.4%</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200" w:firstLine="400"/>
              <w:rPr>
                <w:sz w:val="20"/>
                <w:szCs w:val="16"/>
                <w:lang w:val="es-MX" w:eastAsia="es-MX"/>
              </w:rPr>
            </w:pPr>
            <w:r w:rsidRPr="00DA381B">
              <w:rPr>
                <w:sz w:val="20"/>
                <w:szCs w:val="16"/>
                <w:lang w:val="es-MX" w:eastAsia="es-MX"/>
              </w:rPr>
              <w:t>Colocación de Primas de Deuda Interna</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402.6</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1,334.6</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932.0</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231.5%</w:t>
            </w:r>
          </w:p>
        </w:tc>
      </w:tr>
      <w:tr w:rsidR="00AD535C" w:rsidRPr="00FE5B47" w:rsidTr="00DA381B">
        <w:trPr>
          <w:trHeight w:val="294"/>
        </w:trPr>
        <w:tc>
          <w:tcPr>
            <w:tcW w:w="4181" w:type="dxa"/>
            <w:tcBorders>
              <w:top w:val="nil"/>
              <w:left w:val="single" w:sz="8" w:space="0" w:color="auto"/>
              <w:bottom w:val="nil"/>
              <w:right w:val="single" w:sz="4" w:space="0" w:color="auto"/>
            </w:tcBorders>
            <w:shd w:val="clear" w:color="000000" w:fill="FFFFFF"/>
            <w:noWrap/>
            <w:vAlign w:val="bottom"/>
            <w:hideMark/>
          </w:tcPr>
          <w:p w:rsidR="00AD535C" w:rsidRPr="00DA381B" w:rsidRDefault="00AD535C" w:rsidP="00DA381B">
            <w:pPr>
              <w:ind w:firstLineChars="200" w:firstLine="400"/>
              <w:rPr>
                <w:sz w:val="20"/>
                <w:szCs w:val="16"/>
                <w:lang w:val="es-MX" w:eastAsia="es-MX"/>
              </w:rPr>
            </w:pPr>
            <w:r w:rsidRPr="00DA381B">
              <w:rPr>
                <w:sz w:val="20"/>
                <w:szCs w:val="16"/>
                <w:lang w:val="es-MX" w:eastAsia="es-MX"/>
              </w:rPr>
              <w:t>Amortización Primas de Deuda Interna</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1.1</w:t>
            </w:r>
          </w:p>
        </w:tc>
        <w:tc>
          <w:tcPr>
            <w:tcW w:w="1276"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0.0</w:t>
            </w:r>
          </w:p>
        </w:tc>
        <w:tc>
          <w:tcPr>
            <w:tcW w:w="1134" w:type="dxa"/>
            <w:tcBorders>
              <w:top w:val="nil"/>
              <w:left w:val="nil"/>
              <w:bottom w:val="nil"/>
              <w:right w:val="single" w:sz="4"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-1.1</w:t>
            </w:r>
          </w:p>
        </w:tc>
        <w:tc>
          <w:tcPr>
            <w:tcW w:w="1275" w:type="dxa"/>
            <w:tcBorders>
              <w:top w:val="nil"/>
              <w:left w:val="single" w:sz="4" w:space="0" w:color="auto"/>
              <w:bottom w:val="nil"/>
              <w:right w:val="single" w:sz="8" w:space="0" w:color="auto"/>
            </w:tcBorders>
            <w:shd w:val="clear" w:color="000000" w:fill="FFFFFF"/>
            <w:noWrap/>
            <w:vAlign w:val="bottom"/>
            <w:hideMark/>
          </w:tcPr>
          <w:p w:rsidR="00AD535C" w:rsidRPr="00DA381B" w:rsidRDefault="00AD535C" w:rsidP="0025776C">
            <w:pPr>
              <w:jc w:val="right"/>
              <w:rPr>
                <w:sz w:val="20"/>
                <w:szCs w:val="16"/>
                <w:lang w:val="es-MX" w:eastAsia="es-MX"/>
              </w:rPr>
            </w:pPr>
            <w:r w:rsidRPr="00DA381B">
              <w:rPr>
                <w:sz w:val="20"/>
                <w:szCs w:val="16"/>
                <w:lang w:val="es-MX" w:eastAsia="es-MX"/>
              </w:rPr>
              <w:t>-100.0%</w:t>
            </w:r>
          </w:p>
        </w:tc>
      </w:tr>
      <w:tr w:rsidR="00AD535C" w:rsidRPr="00FE5B47" w:rsidTr="00DA381B">
        <w:trPr>
          <w:trHeight w:val="650"/>
        </w:trPr>
        <w:tc>
          <w:tcPr>
            <w:tcW w:w="4181" w:type="dxa"/>
            <w:tcBorders>
              <w:top w:val="nil"/>
              <w:left w:val="single" w:sz="8" w:space="0" w:color="auto"/>
              <w:bottom w:val="single" w:sz="8" w:space="0" w:color="auto"/>
              <w:right w:val="single" w:sz="4" w:space="0" w:color="auto"/>
            </w:tcBorders>
            <w:shd w:val="clear" w:color="000000" w:fill="FFFFFF"/>
            <w:vAlign w:val="center"/>
            <w:hideMark/>
          </w:tcPr>
          <w:p w:rsidR="00AD535C" w:rsidRPr="00DA381B" w:rsidRDefault="00AD535C" w:rsidP="0025776C">
            <w:pPr>
              <w:rPr>
                <w:b/>
                <w:bCs/>
                <w:sz w:val="20"/>
                <w:szCs w:val="16"/>
                <w:lang w:val="es-MX" w:eastAsia="es-MX"/>
              </w:rPr>
            </w:pPr>
            <w:r w:rsidRPr="00DA381B">
              <w:rPr>
                <w:b/>
                <w:bCs/>
                <w:sz w:val="20"/>
                <w:szCs w:val="16"/>
                <w:lang w:val="es-MX" w:eastAsia="es-MX"/>
              </w:rPr>
              <w:t>Variación de Caja (+) disminución (-) aumento</w:t>
            </w:r>
          </w:p>
        </w:tc>
        <w:tc>
          <w:tcPr>
            <w:tcW w:w="1276" w:type="dxa"/>
            <w:tcBorders>
              <w:top w:val="nil"/>
              <w:left w:val="single" w:sz="4" w:space="0" w:color="auto"/>
              <w:bottom w:val="single" w:sz="8" w:space="0" w:color="auto"/>
              <w:right w:val="single" w:sz="4" w:space="0" w:color="auto"/>
            </w:tcBorders>
            <w:shd w:val="clear" w:color="000000" w:fill="FFFFFF"/>
            <w:noWrap/>
            <w:vAlign w:val="center"/>
            <w:hideMark/>
          </w:tcPr>
          <w:p w:rsidR="00AD535C" w:rsidRPr="00DA381B" w:rsidRDefault="00AD535C" w:rsidP="0025776C">
            <w:pPr>
              <w:jc w:val="right"/>
              <w:rPr>
                <w:b/>
                <w:bCs/>
                <w:sz w:val="20"/>
                <w:szCs w:val="16"/>
                <w:lang w:val="es-MX" w:eastAsia="es-MX"/>
              </w:rPr>
            </w:pPr>
            <w:r w:rsidRPr="00DA381B">
              <w:rPr>
                <w:b/>
                <w:bCs/>
                <w:sz w:val="20"/>
                <w:szCs w:val="16"/>
                <w:lang w:val="es-MX" w:eastAsia="es-MX"/>
              </w:rPr>
              <w:t>-9,056.8</w:t>
            </w:r>
          </w:p>
        </w:tc>
        <w:tc>
          <w:tcPr>
            <w:tcW w:w="1276" w:type="dxa"/>
            <w:tcBorders>
              <w:top w:val="nil"/>
              <w:left w:val="nil"/>
              <w:bottom w:val="single" w:sz="8" w:space="0" w:color="auto"/>
              <w:right w:val="single" w:sz="4" w:space="0" w:color="auto"/>
            </w:tcBorders>
            <w:shd w:val="clear" w:color="000000" w:fill="FFFFFF"/>
            <w:noWrap/>
            <w:vAlign w:val="center"/>
            <w:hideMark/>
          </w:tcPr>
          <w:p w:rsidR="00AD535C" w:rsidRPr="00DA381B" w:rsidRDefault="00AD535C" w:rsidP="0025776C">
            <w:pPr>
              <w:jc w:val="right"/>
              <w:rPr>
                <w:b/>
                <w:bCs/>
                <w:sz w:val="20"/>
                <w:szCs w:val="16"/>
                <w:lang w:val="es-MX" w:eastAsia="es-MX"/>
              </w:rPr>
            </w:pPr>
            <w:r w:rsidRPr="00DA381B">
              <w:rPr>
                <w:b/>
                <w:bCs/>
                <w:sz w:val="20"/>
                <w:szCs w:val="16"/>
                <w:lang w:val="es-MX" w:eastAsia="es-MX"/>
              </w:rPr>
              <w:t>-15,890.9</w:t>
            </w:r>
          </w:p>
        </w:tc>
        <w:tc>
          <w:tcPr>
            <w:tcW w:w="1134" w:type="dxa"/>
            <w:tcBorders>
              <w:top w:val="nil"/>
              <w:left w:val="single" w:sz="4" w:space="0" w:color="auto"/>
              <w:bottom w:val="single" w:sz="8" w:space="0" w:color="auto"/>
              <w:right w:val="single" w:sz="4" w:space="0" w:color="auto"/>
            </w:tcBorders>
            <w:shd w:val="clear" w:color="000000" w:fill="FFFFFF"/>
            <w:noWrap/>
            <w:vAlign w:val="center"/>
            <w:hideMark/>
          </w:tcPr>
          <w:p w:rsidR="00AD535C" w:rsidRPr="00DA381B" w:rsidRDefault="00AD535C" w:rsidP="0025776C">
            <w:pPr>
              <w:jc w:val="right"/>
              <w:rPr>
                <w:b/>
                <w:bCs/>
                <w:sz w:val="20"/>
                <w:szCs w:val="16"/>
                <w:lang w:val="es-MX" w:eastAsia="es-MX"/>
              </w:rPr>
            </w:pPr>
            <w:r w:rsidRPr="00DA381B">
              <w:rPr>
                <w:b/>
                <w:bCs/>
                <w:sz w:val="20"/>
                <w:szCs w:val="16"/>
                <w:lang w:val="es-MX" w:eastAsia="es-MX"/>
              </w:rPr>
              <w:t>-6,834.1</w:t>
            </w:r>
          </w:p>
        </w:tc>
        <w:tc>
          <w:tcPr>
            <w:tcW w:w="1275" w:type="dxa"/>
            <w:tcBorders>
              <w:top w:val="nil"/>
              <w:left w:val="nil"/>
              <w:bottom w:val="single" w:sz="8" w:space="0" w:color="auto"/>
              <w:right w:val="single" w:sz="8" w:space="0" w:color="auto"/>
            </w:tcBorders>
            <w:shd w:val="clear" w:color="000000" w:fill="FFFFFF"/>
            <w:noWrap/>
            <w:vAlign w:val="center"/>
            <w:hideMark/>
          </w:tcPr>
          <w:p w:rsidR="00AD535C" w:rsidRPr="00DA381B" w:rsidRDefault="00AD535C" w:rsidP="0025776C">
            <w:pPr>
              <w:jc w:val="right"/>
              <w:rPr>
                <w:b/>
                <w:bCs/>
                <w:sz w:val="20"/>
                <w:szCs w:val="16"/>
                <w:lang w:val="es-MX" w:eastAsia="es-MX"/>
              </w:rPr>
            </w:pPr>
            <w:r w:rsidRPr="00DA381B">
              <w:rPr>
                <w:b/>
                <w:bCs/>
                <w:sz w:val="20"/>
                <w:szCs w:val="16"/>
                <w:lang w:val="es-MX" w:eastAsia="es-MX"/>
              </w:rPr>
              <w:t>75.5%</w:t>
            </w:r>
          </w:p>
        </w:tc>
      </w:tr>
    </w:tbl>
    <w:p w:rsidR="00AD535C" w:rsidRDefault="00AD535C" w:rsidP="00AD535C">
      <w:pPr>
        <w:jc w:val="both"/>
        <w:rPr>
          <w:sz w:val="16"/>
          <w:lang w:val="es-MX"/>
        </w:rPr>
      </w:pPr>
      <w:r w:rsidRPr="003024D7">
        <w:rPr>
          <w:sz w:val="18"/>
          <w:lang w:val="es-MX"/>
        </w:rPr>
        <w:t>* Cifras preliminares</w:t>
      </w:r>
      <w:r>
        <w:rPr>
          <w:sz w:val="16"/>
          <w:lang w:val="es-MX"/>
        </w:rPr>
        <w:t>.</w:t>
      </w:r>
    </w:p>
    <w:p w:rsidR="00AD535C" w:rsidRPr="003024D7" w:rsidRDefault="00AD535C" w:rsidP="00AD535C">
      <w:pPr>
        <w:jc w:val="both"/>
        <w:rPr>
          <w:sz w:val="18"/>
          <w:lang w:val="es-MX"/>
        </w:rPr>
      </w:pPr>
      <w:r>
        <w:rPr>
          <w:sz w:val="18"/>
          <w:lang w:val="es-MX"/>
        </w:rPr>
        <w:t xml:space="preserve">   </w:t>
      </w:r>
      <w:r w:rsidRPr="003024D7">
        <w:rPr>
          <w:sz w:val="18"/>
          <w:lang w:val="es-MX"/>
        </w:rPr>
        <w:t>Fuente: Ministerio de Finanzas Públicas con base al SICOIN.</w:t>
      </w:r>
    </w:p>
    <w:p w:rsidR="00AD535C" w:rsidRPr="000C3FEC" w:rsidRDefault="00AD535C" w:rsidP="00AD535C">
      <w:pPr>
        <w:jc w:val="both"/>
        <w:rPr>
          <w:sz w:val="16"/>
          <w:lang w:val="es-MX"/>
        </w:rPr>
      </w:pPr>
    </w:p>
    <w:p w:rsidR="00AD535C" w:rsidRPr="00FB641E" w:rsidRDefault="00AD535C" w:rsidP="00AD535C">
      <w:pPr>
        <w:jc w:val="both"/>
        <w:rPr>
          <w:sz w:val="12"/>
          <w:lang w:val="es-MX"/>
        </w:rPr>
      </w:pPr>
    </w:p>
    <w:p w:rsidR="00AD535C" w:rsidRPr="00FB641E" w:rsidRDefault="00AD535C" w:rsidP="00AD535C">
      <w:pPr>
        <w:jc w:val="both"/>
        <w:rPr>
          <w:lang w:val="es-MX"/>
        </w:rPr>
      </w:pPr>
    </w:p>
    <w:p w:rsidR="00AD535C" w:rsidRDefault="00AD535C" w:rsidP="00AD535C">
      <w:pPr>
        <w:rPr>
          <w:b/>
          <w:bCs/>
          <w:szCs w:val="26"/>
          <w:highlight w:val="yellow"/>
        </w:rPr>
      </w:pPr>
      <w:r>
        <w:rPr>
          <w:highlight w:val="yellow"/>
        </w:rPr>
        <w:br w:type="page"/>
      </w:r>
    </w:p>
    <w:p w:rsidR="00AD535C" w:rsidRPr="00AB0496" w:rsidRDefault="00AD535C" w:rsidP="00F073BE">
      <w:pPr>
        <w:keepNext/>
        <w:keepLines/>
        <w:numPr>
          <w:ilvl w:val="2"/>
          <w:numId w:val="3"/>
        </w:numPr>
        <w:spacing w:before="200"/>
        <w:outlineLvl w:val="2"/>
        <w:rPr>
          <w:b/>
          <w:bCs/>
          <w:lang w:val="es-MX"/>
        </w:rPr>
      </w:pPr>
      <w:bookmarkStart w:id="23" w:name="_Toc51925255"/>
      <w:r w:rsidRPr="00AB0496">
        <w:rPr>
          <w:b/>
          <w:bCs/>
          <w:lang w:val="es-MX"/>
        </w:rPr>
        <w:lastRenderedPageBreak/>
        <w:t>Servicio</w:t>
      </w:r>
      <w:r>
        <w:rPr>
          <w:b/>
          <w:bCs/>
          <w:lang w:val="es-MX"/>
        </w:rPr>
        <w:t>s</w:t>
      </w:r>
      <w:r w:rsidRPr="00AB0496">
        <w:rPr>
          <w:b/>
          <w:bCs/>
          <w:lang w:val="es-MX"/>
        </w:rPr>
        <w:t xml:space="preserve"> de la </w:t>
      </w:r>
      <w:r>
        <w:rPr>
          <w:b/>
          <w:bCs/>
          <w:lang w:val="es-MX"/>
        </w:rPr>
        <w:t>D</w:t>
      </w:r>
      <w:r w:rsidRPr="00AB0496">
        <w:rPr>
          <w:b/>
          <w:bCs/>
          <w:lang w:val="es-MX"/>
        </w:rPr>
        <w:t xml:space="preserve">euda </w:t>
      </w:r>
      <w:r>
        <w:rPr>
          <w:b/>
          <w:bCs/>
          <w:lang w:val="es-MX"/>
        </w:rPr>
        <w:t>P</w:t>
      </w:r>
      <w:r w:rsidRPr="00AB0496">
        <w:rPr>
          <w:b/>
          <w:bCs/>
          <w:lang w:val="es-MX"/>
        </w:rPr>
        <w:t>ública</w:t>
      </w:r>
      <w:bookmarkEnd w:id="23"/>
    </w:p>
    <w:p w:rsidR="00AD535C" w:rsidRDefault="00AD535C" w:rsidP="00AD535C">
      <w:pPr>
        <w:jc w:val="both"/>
      </w:pPr>
    </w:p>
    <w:p w:rsidR="00AD535C" w:rsidRPr="00615FD2" w:rsidRDefault="00AD535C" w:rsidP="00AD535C">
      <w:pPr>
        <w:jc w:val="both"/>
        <w:rPr>
          <w:lang w:val="es-MX"/>
        </w:rPr>
      </w:pPr>
      <w:r>
        <w:rPr>
          <w:lang w:val="es-MX"/>
        </w:rPr>
        <w:t>El pago en concepto de S</w:t>
      </w:r>
      <w:r w:rsidRPr="00615FD2">
        <w:rPr>
          <w:lang w:val="es-MX"/>
        </w:rPr>
        <w:t>ervicio</w:t>
      </w:r>
      <w:r>
        <w:rPr>
          <w:lang w:val="es-MX"/>
        </w:rPr>
        <w:t>s</w:t>
      </w:r>
      <w:r w:rsidRPr="00615FD2">
        <w:rPr>
          <w:lang w:val="es-MX"/>
        </w:rPr>
        <w:t xml:space="preserve"> de la </w:t>
      </w:r>
      <w:r>
        <w:rPr>
          <w:lang w:val="es-MX"/>
        </w:rPr>
        <w:t>D</w:t>
      </w:r>
      <w:r w:rsidRPr="00615FD2">
        <w:rPr>
          <w:lang w:val="es-MX"/>
        </w:rPr>
        <w:t xml:space="preserve">euda </w:t>
      </w:r>
      <w:r>
        <w:rPr>
          <w:lang w:val="es-MX"/>
        </w:rPr>
        <w:t>P</w:t>
      </w:r>
      <w:r w:rsidRPr="00615FD2">
        <w:rPr>
          <w:lang w:val="es-MX"/>
        </w:rPr>
        <w:t>ública</w:t>
      </w:r>
      <w:r>
        <w:rPr>
          <w:lang w:val="es-MX"/>
        </w:rPr>
        <w:t xml:space="preserve"> al 30 de junio </w:t>
      </w:r>
      <w:r w:rsidR="00F10800">
        <w:rPr>
          <w:lang w:val="es-MX"/>
        </w:rPr>
        <w:t xml:space="preserve">de 2020 </w:t>
      </w:r>
      <w:r>
        <w:rPr>
          <w:lang w:val="es-MX"/>
        </w:rPr>
        <w:t xml:space="preserve">asciende a </w:t>
      </w:r>
      <w:r w:rsidRPr="00615FD2">
        <w:rPr>
          <w:lang w:val="es-MX"/>
        </w:rPr>
        <w:t>Q</w:t>
      </w:r>
      <w:r>
        <w:rPr>
          <w:lang w:val="es-MX"/>
        </w:rPr>
        <w:t>.6</w:t>
      </w:r>
      <w:r w:rsidRPr="00615FD2">
        <w:rPr>
          <w:lang w:val="es-MX"/>
        </w:rPr>
        <w:t>,</w:t>
      </w:r>
      <w:r>
        <w:rPr>
          <w:lang w:val="es-MX"/>
        </w:rPr>
        <w:t>369.9 millones, equivalente</w:t>
      </w:r>
      <w:r w:rsidR="00F10800">
        <w:rPr>
          <w:lang w:val="es-MX"/>
        </w:rPr>
        <w:t>s</w:t>
      </w:r>
      <w:r w:rsidRPr="00615FD2">
        <w:rPr>
          <w:lang w:val="es-MX"/>
        </w:rPr>
        <w:t xml:space="preserve"> al </w:t>
      </w:r>
      <w:r>
        <w:rPr>
          <w:lang w:val="es-MX"/>
        </w:rPr>
        <w:t>43.6</w:t>
      </w:r>
      <w:r w:rsidRPr="00615FD2">
        <w:rPr>
          <w:lang w:val="es-MX"/>
        </w:rPr>
        <w:t xml:space="preserve">% </w:t>
      </w:r>
      <w:r>
        <w:rPr>
          <w:lang w:val="es-MX"/>
        </w:rPr>
        <w:t>de ejecución</w:t>
      </w:r>
      <w:r w:rsidRPr="00615FD2">
        <w:rPr>
          <w:lang w:val="es-MX"/>
        </w:rPr>
        <w:t xml:space="preserve">. </w:t>
      </w:r>
      <w:r>
        <w:rPr>
          <w:lang w:val="es-MX"/>
        </w:rPr>
        <w:t xml:space="preserve">El referido </w:t>
      </w:r>
      <w:r w:rsidRPr="00615FD2">
        <w:rPr>
          <w:lang w:val="es-MX"/>
        </w:rPr>
        <w:t xml:space="preserve">monto </w:t>
      </w:r>
      <w:r>
        <w:rPr>
          <w:lang w:val="es-MX"/>
        </w:rPr>
        <w:t xml:space="preserve">está conformado por deuda </w:t>
      </w:r>
      <w:r w:rsidRPr="00615FD2">
        <w:rPr>
          <w:lang w:val="es-MX"/>
        </w:rPr>
        <w:t>interna</w:t>
      </w:r>
      <w:r>
        <w:rPr>
          <w:lang w:val="es-MX"/>
        </w:rPr>
        <w:t xml:space="preserve"> (bonificada)</w:t>
      </w:r>
      <w:r w:rsidRPr="00615FD2">
        <w:rPr>
          <w:lang w:val="es-MX"/>
        </w:rPr>
        <w:t xml:space="preserve"> </w:t>
      </w:r>
      <w:r w:rsidR="00F10800">
        <w:rPr>
          <w:lang w:val="es-MX"/>
        </w:rPr>
        <w:t>en</w:t>
      </w:r>
      <w:r w:rsidRPr="00615FD2">
        <w:rPr>
          <w:lang w:val="es-MX"/>
        </w:rPr>
        <w:t xml:space="preserve"> Q</w:t>
      </w:r>
      <w:r>
        <w:rPr>
          <w:lang w:val="es-MX"/>
        </w:rPr>
        <w:t>.2</w:t>
      </w:r>
      <w:r w:rsidRPr="00615FD2">
        <w:rPr>
          <w:lang w:val="es-MX"/>
        </w:rPr>
        <w:t>,</w:t>
      </w:r>
      <w:r>
        <w:rPr>
          <w:lang w:val="es-MX"/>
        </w:rPr>
        <w:t>520.2</w:t>
      </w:r>
      <w:r w:rsidRPr="00615FD2">
        <w:rPr>
          <w:lang w:val="es-MX"/>
        </w:rPr>
        <w:t xml:space="preserve"> millones, equivalentes al </w:t>
      </w:r>
      <w:r>
        <w:rPr>
          <w:lang w:val="es-MX"/>
        </w:rPr>
        <w:t>39.6</w:t>
      </w:r>
      <w:r w:rsidRPr="00615FD2">
        <w:rPr>
          <w:lang w:val="es-MX"/>
        </w:rPr>
        <w:t>%; y deuda externa</w:t>
      </w:r>
      <w:r>
        <w:rPr>
          <w:lang w:val="es-MX"/>
        </w:rPr>
        <w:t xml:space="preserve"> (eurobonos y préstamos externos)</w:t>
      </w:r>
      <w:r w:rsidRPr="00615FD2">
        <w:rPr>
          <w:lang w:val="es-MX"/>
        </w:rPr>
        <w:t>, con una ejecución de Q</w:t>
      </w:r>
      <w:r>
        <w:rPr>
          <w:lang w:val="es-MX"/>
        </w:rPr>
        <w:t>.3</w:t>
      </w:r>
      <w:r w:rsidRPr="00615FD2">
        <w:rPr>
          <w:lang w:val="es-MX"/>
        </w:rPr>
        <w:t>,</w:t>
      </w:r>
      <w:r>
        <w:rPr>
          <w:lang w:val="es-MX"/>
        </w:rPr>
        <w:t>849.7</w:t>
      </w:r>
      <w:r w:rsidRPr="00615FD2">
        <w:rPr>
          <w:lang w:val="es-MX"/>
        </w:rPr>
        <w:t xml:space="preserve"> millones, correspondientes al </w:t>
      </w:r>
      <w:r>
        <w:rPr>
          <w:lang w:val="es-MX"/>
        </w:rPr>
        <w:t>60.4</w:t>
      </w:r>
      <w:r w:rsidRPr="00615FD2">
        <w:rPr>
          <w:lang w:val="es-MX"/>
        </w:rPr>
        <w:t>%.</w:t>
      </w:r>
    </w:p>
    <w:p w:rsidR="00AD535C" w:rsidRDefault="00AD535C" w:rsidP="00AD535C">
      <w:pPr>
        <w:jc w:val="center"/>
        <w:rPr>
          <w:b/>
          <w:sz w:val="22"/>
          <w:lang w:val="es-MX"/>
        </w:rPr>
      </w:pPr>
    </w:p>
    <w:p w:rsidR="00AD535C" w:rsidRDefault="00AD535C" w:rsidP="00AD535C">
      <w:pPr>
        <w:jc w:val="center"/>
        <w:rPr>
          <w:b/>
          <w:sz w:val="22"/>
          <w:lang w:val="es-MX"/>
        </w:rPr>
      </w:pPr>
    </w:p>
    <w:p w:rsidR="00AD535C" w:rsidRPr="00D11334" w:rsidRDefault="00AD535C" w:rsidP="00AD535C">
      <w:pPr>
        <w:jc w:val="center"/>
        <w:rPr>
          <w:b/>
          <w:lang w:val="es-MX"/>
        </w:rPr>
      </w:pPr>
      <w:r w:rsidRPr="00D11334">
        <w:rPr>
          <w:b/>
          <w:lang w:val="es-MX"/>
        </w:rPr>
        <w:t>Gráfica 13</w:t>
      </w:r>
    </w:p>
    <w:p w:rsidR="00AD535C" w:rsidRPr="00D11334" w:rsidRDefault="00AD535C" w:rsidP="00AD535C">
      <w:pPr>
        <w:jc w:val="center"/>
        <w:rPr>
          <w:b/>
          <w:szCs w:val="22"/>
          <w:lang w:val="es-MX"/>
        </w:rPr>
      </w:pPr>
      <w:r w:rsidRPr="00D11334">
        <w:rPr>
          <w:b/>
          <w:szCs w:val="22"/>
          <w:lang w:val="es-MX"/>
        </w:rPr>
        <w:t>Comportamiento del Saldo de la Deuda Pública*</w:t>
      </w:r>
    </w:p>
    <w:p w:rsidR="00AD535C" w:rsidRPr="00D11334" w:rsidRDefault="00AD535C" w:rsidP="00AD535C">
      <w:pPr>
        <w:jc w:val="center"/>
        <w:rPr>
          <w:b/>
          <w:szCs w:val="22"/>
          <w:lang w:val="es-MX"/>
        </w:rPr>
      </w:pPr>
      <w:r w:rsidRPr="00D11334">
        <w:rPr>
          <w:b/>
          <w:szCs w:val="22"/>
          <w:lang w:val="es-MX"/>
        </w:rPr>
        <w:t xml:space="preserve">Período 2009 </w:t>
      </w:r>
      <w:r w:rsidR="00927D15">
        <w:rPr>
          <w:b/>
          <w:szCs w:val="22"/>
          <w:lang w:val="es-MX"/>
        </w:rPr>
        <w:t>–</w:t>
      </w:r>
      <w:r w:rsidRPr="00D11334">
        <w:rPr>
          <w:b/>
          <w:szCs w:val="22"/>
          <w:lang w:val="es-MX"/>
        </w:rPr>
        <w:t xml:space="preserve"> 2020</w:t>
      </w:r>
      <w:r w:rsidR="00927D15">
        <w:rPr>
          <w:b/>
          <w:szCs w:val="22"/>
          <w:lang w:val="es-MX"/>
        </w:rPr>
        <w:t>*</w:t>
      </w:r>
    </w:p>
    <w:p w:rsidR="00AD535C" w:rsidRPr="00D11334" w:rsidRDefault="00AD535C" w:rsidP="00AD535C">
      <w:pPr>
        <w:jc w:val="center"/>
        <w:rPr>
          <w:b/>
          <w:szCs w:val="22"/>
          <w:lang w:val="es-MX"/>
        </w:rPr>
      </w:pPr>
      <w:r w:rsidRPr="00D11334">
        <w:rPr>
          <w:b/>
          <w:szCs w:val="22"/>
          <w:lang w:val="es-MX"/>
        </w:rPr>
        <w:t>(Cifras en Millones de Quetzales y Porcentajes del PIB)</w:t>
      </w:r>
    </w:p>
    <w:p w:rsidR="00AD535C" w:rsidRDefault="00AD535C" w:rsidP="00AD535C">
      <w:pPr>
        <w:jc w:val="both"/>
        <w:rPr>
          <w:lang w:val="es-MX"/>
        </w:rPr>
      </w:pPr>
      <w:r w:rsidRPr="00002F5E">
        <w:rPr>
          <w:noProof/>
          <w:sz w:val="18"/>
          <w:lang w:val="es-GT" w:eastAsia="es-GT"/>
        </w:rPr>
        <w:drawing>
          <wp:inline distT="0" distB="0" distL="0" distR="0" wp14:anchorId="57E93AEC" wp14:editId="2986593C">
            <wp:extent cx="5760720" cy="3201035"/>
            <wp:effectExtent l="0" t="0" r="11430" b="18415"/>
            <wp:docPr id="22" name="Gráfico 2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D535C" w:rsidRDefault="00AD535C" w:rsidP="00AD535C">
      <w:pPr>
        <w:jc w:val="both"/>
        <w:rPr>
          <w:sz w:val="18"/>
          <w:lang w:val="es-MX"/>
        </w:rPr>
      </w:pPr>
      <w:r w:rsidRPr="00046E3F">
        <w:rPr>
          <w:sz w:val="18"/>
          <w:lang w:val="es-MX"/>
        </w:rPr>
        <w:t>* De 2009 a 201</w:t>
      </w:r>
      <w:r>
        <w:rPr>
          <w:sz w:val="18"/>
          <w:lang w:val="es-MX"/>
        </w:rPr>
        <w:t>9</w:t>
      </w:r>
      <w:r w:rsidRPr="00046E3F">
        <w:rPr>
          <w:sz w:val="18"/>
          <w:lang w:val="es-MX"/>
        </w:rPr>
        <w:t xml:space="preserve"> corresponde al saldo de la Deuda Pública al final del año; y en 20</w:t>
      </w:r>
      <w:r>
        <w:rPr>
          <w:sz w:val="18"/>
          <w:lang w:val="es-MX"/>
        </w:rPr>
        <w:t>20</w:t>
      </w:r>
      <w:r w:rsidRPr="00046E3F">
        <w:rPr>
          <w:sz w:val="18"/>
          <w:lang w:val="es-MX"/>
        </w:rPr>
        <w:t xml:space="preserve"> corresponde al saldo a </w:t>
      </w:r>
      <w:r>
        <w:rPr>
          <w:sz w:val="18"/>
          <w:lang w:val="es-MX"/>
        </w:rPr>
        <w:t>junio</w:t>
      </w:r>
      <w:r w:rsidRPr="00046E3F">
        <w:rPr>
          <w:sz w:val="18"/>
          <w:lang w:val="es-MX"/>
        </w:rPr>
        <w:t>.</w:t>
      </w:r>
    </w:p>
    <w:p w:rsidR="00AD535C" w:rsidRPr="00046E3F" w:rsidRDefault="00AD535C" w:rsidP="00AD535C">
      <w:pPr>
        <w:jc w:val="both"/>
        <w:rPr>
          <w:sz w:val="18"/>
          <w:lang w:val="es-MX"/>
        </w:rPr>
      </w:pPr>
      <w:r w:rsidRPr="00046E3F">
        <w:rPr>
          <w:sz w:val="18"/>
          <w:lang w:val="es-MX"/>
        </w:rPr>
        <w:t xml:space="preserve">   Fuente: Ministerio de Finanzas Públicas.</w:t>
      </w:r>
    </w:p>
    <w:p w:rsidR="00AD535C" w:rsidRPr="00046E3F" w:rsidRDefault="00AD535C" w:rsidP="00AD535C">
      <w:pPr>
        <w:jc w:val="both"/>
        <w:rPr>
          <w:sz w:val="18"/>
          <w:lang w:val="es-MX"/>
        </w:rPr>
      </w:pPr>
    </w:p>
    <w:p w:rsidR="00AD535C" w:rsidRPr="00806DD8" w:rsidRDefault="00AD535C" w:rsidP="00AD535C">
      <w:pPr>
        <w:jc w:val="both"/>
        <w:rPr>
          <w:sz w:val="32"/>
          <w:lang w:val="es-MX"/>
        </w:rPr>
      </w:pPr>
    </w:p>
    <w:p w:rsidR="00AD535C" w:rsidRPr="00615FD2" w:rsidRDefault="00AD535C" w:rsidP="00AD535C">
      <w:pPr>
        <w:jc w:val="both"/>
        <w:rPr>
          <w:lang w:val="es-MX"/>
        </w:rPr>
      </w:pPr>
      <w:r>
        <w:rPr>
          <w:lang w:val="es-MX"/>
        </w:rPr>
        <w:t>Durante el período observado de 2009 a 2020, el saldo muestra un comportamiento creciente con una tasa promedio anual de 8.4%. El porcentaje de la deuda tuvo un incremento debido al cambio del año base de las Cuentas Nacionales</w:t>
      </w:r>
      <w:r w:rsidR="00FF3E16">
        <w:rPr>
          <w:lang w:val="es-MX"/>
        </w:rPr>
        <w:t xml:space="preserve"> realizado por el Banco de Guatemala.</w:t>
      </w:r>
      <w:r>
        <w:rPr>
          <w:lang w:val="es-MX"/>
        </w:rPr>
        <w:t xml:space="preserve"> Según datos publicados por el Ministerio de Finanzas Públicas en el Reporte de Operaciones Especiales, a mayo de 2020, el saldo de la deuda</w:t>
      </w:r>
      <w:r w:rsidR="00FF3E16">
        <w:rPr>
          <w:lang w:val="es-MX"/>
        </w:rPr>
        <w:t xml:space="preserve"> pública</w:t>
      </w:r>
      <w:r>
        <w:rPr>
          <w:lang w:val="es-MX"/>
        </w:rPr>
        <w:t xml:space="preserve"> es de Q.181,318.0 millones, equivalente</w:t>
      </w:r>
      <w:r w:rsidR="00FF3E16">
        <w:rPr>
          <w:lang w:val="es-MX"/>
        </w:rPr>
        <w:t>s</w:t>
      </w:r>
      <w:r>
        <w:rPr>
          <w:lang w:val="es-MX"/>
        </w:rPr>
        <w:t xml:space="preserve"> al 31.2% </w:t>
      </w:r>
      <w:r w:rsidR="00FF3E16">
        <w:rPr>
          <w:lang w:val="es-MX"/>
        </w:rPr>
        <w:t xml:space="preserve">con </w:t>
      </w:r>
      <w:r>
        <w:rPr>
          <w:lang w:val="es-MX"/>
        </w:rPr>
        <w:t xml:space="preserve">respecto al PIB, dato que está </w:t>
      </w:r>
      <w:r w:rsidRPr="00E5644C">
        <w:rPr>
          <w:lang w:val="es-MX"/>
        </w:rPr>
        <w:t xml:space="preserve">por debajo del riesgo global de sobreendeudamiento para economías de </w:t>
      </w:r>
      <w:r>
        <w:rPr>
          <w:lang w:val="es-MX"/>
        </w:rPr>
        <w:t xml:space="preserve">ingresos medios, 40.0% establecido en </w:t>
      </w:r>
      <w:r w:rsidRPr="00E5644C">
        <w:rPr>
          <w:lang w:val="es-MX"/>
        </w:rPr>
        <w:t>el marco de sostenibilidad de la deuda</w:t>
      </w:r>
      <w:r>
        <w:rPr>
          <w:lang w:val="es-MX"/>
        </w:rPr>
        <w:t xml:space="preserve"> por parte</w:t>
      </w:r>
      <w:r w:rsidRPr="00E5644C">
        <w:rPr>
          <w:lang w:val="es-MX"/>
        </w:rPr>
        <w:t xml:space="preserve"> del Fondo Monetario Internacional (FMI) y el Banco Mundial (BM)</w:t>
      </w:r>
      <w:r>
        <w:rPr>
          <w:lang w:val="es-MX"/>
        </w:rPr>
        <w:t>.</w:t>
      </w:r>
    </w:p>
    <w:p w:rsidR="00AD535C" w:rsidRDefault="00AD535C" w:rsidP="00AD535C">
      <w:pPr>
        <w:jc w:val="both"/>
        <w:rPr>
          <w:lang w:val="es-MX"/>
        </w:rPr>
      </w:pPr>
    </w:p>
    <w:p w:rsidR="00AD535C" w:rsidRDefault="00AD535C" w:rsidP="00AD535C">
      <w:pPr>
        <w:rPr>
          <w:sz w:val="16"/>
          <w:lang w:val="es-MX"/>
        </w:rPr>
      </w:pPr>
    </w:p>
    <w:p w:rsidR="00FF3E16" w:rsidRDefault="00FF3E16" w:rsidP="00AD535C">
      <w:pPr>
        <w:rPr>
          <w:sz w:val="16"/>
          <w:lang w:val="es-MX"/>
        </w:rPr>
      </w:pPr>
    </w:p>
    <w:p w:rsidR="00FF3E16" w:rsidRDefault="00FF3E16" w:rsidP="00AD535C">
      <w:pPr>
        <w:rPr>
          <w:sz w:val="16"/>
          <w:lang w:val="es-MX"/>
        </w:rPr>
      </w:pPr>
    </w:p>
    <w:p w:rsidR="001B713E" w:rsidRDefault="001B713E">
      <w:pPr>
        <w:rPr>
          <w:highlight w:val="yellow"/>
          <w:lang w:val="es-MX"/>
        </w:rPr>
      </w:pPr>
    </w:p>
    <w:p w:rsidR="00171991" w:rsidRPr="0045333F" w:rsidRDefault="00C33C42" w:rsidP="0059599D">
      <w:pPr>
        <w:pStyle w:val="Ttulo1"/>
        <w:numPr>
          <w:ilvl w:val="0"/>
          <w:numId w:val="2"/>
        </w:numPr>
        <w:tabs>
          <w:tab w:val="num" w:pos="0"/>
        </w:tabs>
        <w:suppressAutoHyphens/>
        <w:ind w:left="709"/>
      </w:pPr>
      <w:bookmarkStart w:id="24" w:name="_Toc51925256"/>
      <w:r w:rsidRPr="0045333F">
        <w:t xml:space="preserve">Perspectivas de Cierre </w:t>
      </w:r>
      <w:r w:rsidR="00B20C2F" w:rsidRPr="0045333F">
        <w:t xml:space="preserve">del Ejercicio Fiscal </w:t>
      </w:r>
      <w:r w:rsidRPr="0045333F">
        <w:t>20</w:t>
      </w:r>
      <w:r w:rsidR="00DB0F04">
        <w:t>20</w:t>
      </w:r>
      <w:bookmarkEnd w:id="24"/>
    </w:p>
    <w:p w:rsidR="00171991" w:rsidRDefault="00171991" w:rsidP="00171991">
      <w:pPr>
        <w:autoSpaceDE w:val="0"/>
        <w:autoSpaceDN w:val="0"/>
        <w:adjustRightInd w:val="0"/>
        <w:jc w:val="both"/>
        <w:rPr>
          <w:b/>
          <w:highlight w:val="yellow"/>
        </w:rPr>
      </w:pPr>
    </w:p>
    <w:p w:rsidR="00EF23D0" w:rsidRPr="00EF23D0" w:rsidRDefault="00EF23D0" w:rsidP="00EF23D0">
      <w:pPr>
        <w:pStyle w:val="Ttulo2"/>
        <w:numPr>
          <w:ilvl w:val="0"/>
          <w:numId w:val="0"/>
        </w:numPr>
        <w:ind w:left="576" w:hanging="576"/>
        <w:rPr>
          <w:rFonts w:ascii="Times New Roman" w:hAnsi="Times New Roman"/>
          <w:color w:val="000000" w:themeColor="text1"/>
          <w:sz w:val="24"/>
          <w:szCs w:val="24"/>
        </w:rPr>
      </w:pPr>
      <w:bookmarkStart w:id="25" w:name="_Toc51925257"/>
      <w:r w:rsidRPr="00EF23D0">
        <w:rPr>
          <w:rFonts w:ascii="Times New Roman" w:hAnsi="Times New Roman"/>
          <w:color w:val="000000" w:themeColor="text1"/>
          <w:sz w:val="24"/>
          <w:szCs w:val="24"/>
        </w:rPr>
        <w:t>A.</w:t>
      </w:r>
      <w:r w:rsidRPr="00EF23D0">
        <w:rPr>
          <w:rFonts w:ascii="Times New Roman" w:hAnsi="Times New Roman"/>
          <w:color w:val="000000" w:themeColor="text1"/>
          <w:sz w:val="24"/>
          <w:szCs w:val="24"/>
        </w:rPr>
        <w:tab/>
        <w:t>Escenario Macroeconómico</w:t>
      </w:r>
      <w:bookmarkEnd w:id="25"/>
    </w:p>
    <w:p w:rsidR="00EF23D0" w:rsidRDefault="00EF23D0" w:rsidP="00EF23D0">
      <w:pPr>
        <w:autoSpaceDE w:val="0"/>
        <w:autoSpaceDN w:val="0"/>
        <w:adjustRightInd w:val="0"/>
        <w:jc w:val="both"/>
      </w:pPr>
    </w:p>
    <w:p w:rsidR="00DB0F04" w:rsidRDefault="008B6C10" w:rsidP="00DB0F04">
      <w:pPr>
        <w:autoSpaceDE w:val="0"/>
        <w:autoSpaceDN w:val="0"/>
        <w:adjustRightInd w:val="0"/>
        <w:jc w:val="both"/>
      </w:pPr>
      <w:r>
        <w:t xml:space="preserve">Según opinión </w:t>
      </w:r>
      <w:r w:rsidR="00DB0F04">
        <w:t>del Fondo Monetario Internacional</w:t>
      </w:r>
      <w:r>
        <w:t xml:space="preserve"> (FMI)</w:t>
      </w:r>
      <w:r w:rsidR="00DB0F04">
        <w:t xml:space="preserve">, </w:t>
      </w:r>
      <w:r w:rsidR="00DB0F04" w:rsidRPr="0064035A">
        <w:t>Guatemala ha tenido un largo per</w:t>
      </w:r>
      <w:r w:rsidR="008805C7">
        <w:t>í</w:t>
      </w:r>
      <w:r w:rsidR="00DB0F04" w:rsidRPr="0064035A">
        <w:t xml:space="preserve">odo de estabilidad macroeconómica respaldada por una gestión fiscal prudente y una </w:t>
      </w:r>
      <w:r w:rsidR="00DB0F04">
        <w:t xml:space="preserve">adecuada </w:t>
      </w:r>
      <w:r w:rsidR="00DB0F04" w:rsidRPr="0064035A">
        <w:t>política monetaria. Sin embargo, a pesar de los fundamentos sólidos</w:t>
      </w:r>
      <w:r w:rsidR="00DB0F04">
        <w:t xml:space="preserve"> de la economía</w:t>
      </w:r>
      <w:r w:rsidR="00DB0F04" w:rsidRPr="0064035A">
        <w:t>,</w:t>
      </w:r>
      <w:r w:rsidR="00DB0F04">
        <w:t xml:space="preserve"> en el presente año,</w:t>
      </w:r>
      <w:r w:rsidR="00DB0F04" w:rsidRPr="0064035A">
        <w:t xml:space="preserve"> el modelo social y económico fue vulnerable al brote del Covid-19, al igual que la gran mayoría de los países del mundo</w:t>
      </w:r>
      <w:r w:rsidR="008805C7">
        <w:t>. L</w:t>
      </w:r>
      <w:r w:rsidR="00DB0F04">
        <w:t xml:space="preserve">a caída de las remesas </w:t>
      </w:r>
      <w:r w:rsidR="008805C7">
        <w:t xml:space="preserve">familiares </w:t>
      </w:r>
      <w:r w:rsidR="00DB0F04">
        <w:t xml:space="preserve">y las medidas de contención </w:t>
      </w:r>
      <w:r w:rsidR="008805C7">
        <w:t xml:space="preserve">del gasto </w:t>
      </w:r>
      <w:r w:rsidR="00DB0F04">
        <w:t xml:space="preserve">deterioraron las perspectivas de crecimiento, por lo que ha sido necesario para atender la emergencia, </w:t>
      </w:r>
      <w:r w:rsidR="008805C7">
        <w:t xml:space="preserve">llevar a cabo </w:t>
      </w:r>
      <w:r w:rsidR="00DB0F04">
        <w:t xml:space="preserve">la aprobación de préstamos </w:t>
      </w:r>
      <w:r w:rsidR="008805C7">
        <w:t>externos con el propósito</w:t>
      </w:r>
      <w:r w:rsidR="00DB0F04">
        <w:t xml:space="preserve"> de atender el financiamiento del gasto público.</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t xml:space="preserve">Según estimación </w:t>
      </w:r>
      <w:r w:rsidR="008805C7">
        <w:t xml:space="preserve">realizada </w:t>
      </w:r>
      <w:r>
        <w:t xml:space="preserve">en abril de 2020 </w:t>
      </w:r>
      <w:r w:rsidR="008805C7">
        <w:t>por parte del</w:t>
      </w:r>
      <w:r>
        <w:t xml:space="preserve"> FMI, Guatemala tendrá una contracción de -2.0</w:t>
      </w:r>
      <w:r w:rsidR="008805C7">
        <w:t>%</w:t>
      </w:r>
      <w:r>
        <w:t xml:space="preserve"> en el crecimiento económico en el 2020, por el impacto de la pandemia del C</w:t>
      </w:r>
      <w:r w:rsidR="008805C7">
        <w:t>ovid</w:t>
      </w:r>
      <w:r>
        <w:t>-19, afectando entre otras variables</w:t>
      </w:r>
      <w:r w:rsidR="008805C7">
        <w:t>,</w:t>
      </w:r>
      <w:r>
        <w:t xml:space="preserve"> la </w:t>
      </w:r>
      <w:r w:rsidR="008805C7">
        <w:t>percepción</w:t>
      </w:r>
      <w:r>
        <w:t xml:space="preserve"> de ingresos de divisas por remesas familiares e interrupciones en las cadenas de suministros para la producción local.</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p>
    <w:p w:rsidR="009D14BB" w:rsidRDefault="00DB0F04" w:rsidP="00DB0F04">
      <w:pPr>
        <w:pStyle w:val="Epgrafe"/>
        <w:keepNext/>
        <w:spacing w:after="0"/>
        <w:jc w:val="center"/>
        <w:rPr>
          <w:rFonts w:ascii="Times New Roman" w:hAnsi="Times New Roman" w:cs="Times New Roman"/>
          <w:b/>
          <w:bCs/>
          <w:i w:val="0"/>
          <w:iCs w:val="0"/>
          <w:color w:val="000000" w:themeColor="text1"/>
          <w:sz w:val="24"/>
          <w:szCs w:val="24"/>
        </w:rPr>
      </w:pPr>
      <w:r w:rsidRPr="00B221A2">
        <w:rPr>
          <w:rFonts w:ascii="Times New Roman" w:hAnsi="Times New Roman" w:cs="Times New Roman"/>
          <w:b/>
          <w:bCs/>
          <w:i w:val="0"/>
          <w:iCs w:val="0"/>
          <w:color w:val="000000" w:themeColor="text1"/>
          <w:sz w:val="24"/>
          <w:szCs w:val="24"/>
        </w:rPr>
        <w:t>Gráfic</w:t>
      </w:r>
      <w:r w:rsidR="009D14BB">
        <w:rPr>
          <w:rFonts w:ascii="Times New Roman" w:hAnsi="Times New Roman" w:cs="Times New Roman"/>
          <w:b/>
          <w:bCs/>
          <w:i w:val="0"/>
          <w:iCs w:val="0"/>
          <w:color w:val="000000" w:themeColor="text1"/>
          <w:sz w:val="24"/>
          <w:szCs w:val="24"/>
        </w:rPr>
        <w:t>a</w:t>
      </w:r>
      <w:r w:rsidRPr="00B221A2">
        <w:rPr>
          <w:rFonts w:ascii="Times New Roman" w:hAnsi="Times New Roman" w:cs="Times New Roman"/>
          <w:b/>
          <w:bCs/>
          <w:i w:val="0"/>
          <w:iCs w:val="0"/>
          <w:color w:val="000000" w:themeColor="text1"/>
          <w:sz w:val="24"/>
          <w:szCs w:val="24"/>
        </w:rPr>
        <w:t xml:space="preserve"> </w:t>
      </w:r>
      <w:r w:rsidRPr="00B221A2">
        <w:rPr>
          <w:rFonts w:ascii="Times New Roman" w:hAnsi="Times New Roman" w:cs="Times New Roman"/>
          <w:b/>
          <w:bCs/>
          <w:i w:val="0"/>
          <w:iCs w:val="0"/>
          <w:color w:val="000000" w:themeColor="text1"/>
          <w:sz w:val="24"/>
          <w:szCs w:val="24"/>
        </w:rPr>
        <w:fldChar w:fldCharType="begin"/>
      </w:r>
      <w:r w:rsidRPr="00B221A2">
        <w:rPr>
          <w:rFonts w:ascii="Times New Roman" w:hAnsi="Times New Roman" w:cs="Times New Roman"/>
          <w:b/>
          <w:bCs/>
          <w:i w:val="0"/>
          <w:iCs w:val="0"/>
          <w:color w:val="000000" w:themeColor="text1"/>
          <w:sz w:val="24"/>
          <w:szCs w:val="24"/>
        </w:rPr>
        <w:instrText xml:space="preserve"> SEQ Gráfico \* ARABIC </w:instrText>
      </w:r>
      <w:r w:rsidRPr="00B221A2">
        <w:rPr>
          <w:rFonts w:ascii="Times New Roman" w:hAnsi="Times New Roman" w:cs="Times New Roman"/>
          <w:b/>
          <w:bCs/>
          <w:i w:val="0"/>
          <w:iCs w:val="0"/>
          <w:color w:val="000000" w:themeColor="text1"/>
          <w:sz w:val="24"/>
          <w:szCs w:val="24"/>
        </w:rPr>
        <w:fldChar w:fldCharType="separate"/>
      </w:r>
      <w:r w:rsidR="00534A0E">
        <w:rPr>
          <w:rFonts w:ascii="Times New Roman" w:hAnsi="Times New Roman" w:cs="Times New Roman"/>
          <w:b/>
          <w:bCs/>
          <w:i w:val="0"/>
          <w:iCs w:val="0"/>
          <w:noProof/>
          <w:color w:val="000000" w:themeColor="text1"/>
          <w:sz w:val="24"/>
          <w:szCs w:val="24"/>
        </w:rPr>
        <w:t>1</w:t>
      </w:r>
      <w:r w:rsidRPr="00B221A2">
        <w:rPr>
          <w:rFonts w:ascii="Times New Roman" w:hAnsi="Times New Roman" w:cs="Times New Roman"/>
          <w:b/>
          <w:bCs/>
          <w:i w:val="0"/>
          <w:iCs w:val="0"/>
          <w:color w:val="000000" w:themeColor="text1"/>
          <w:sz w:val="24"/>
          <w:szCs w:val="24"/>
        </w:rPr>
        <w:fldChar w:fldCharType="end"/>
      </w:r>
      <w:r w:rsidR="009D14BB">
        <w:rPr>
          <w:rFonts w:ascii="Times New Roman" w:hAnsi="Times New Roman" w:cs="Times New Roman"/>
          <w:b/>
          <w:bCs/>
          <w:i w:val="0"/>
          <w:iCs w:val="0"/>
          <w:color w:val="000000" w:themeColor="text1"/>
          <w:sz w:val="24"/>
          <w:szCs w:val="24"/>
        </w:rPr>
        <w:t>4</w:t>
      </w:r>
    </w:p>
    <w:p w:rsidR="00DB0F04" w:rsidRDefault="00DB0F04" w:rsidP="00DB0F04">
      <w:pPr>
        <w:pStyle w:val="Epgrafe"/>
        <w:keepNext/>
        <w:spacing w:after="0"/>
        <w:jc w:val="center"/>
        <w:rPr>
          <w:rFonts w:ascii="Times New Roman" w:hAnsi="Times New Roman" w:cs="Times New Roman"/>
          <w:b/>
          <w:bCs/>
          <w:i w:val="0"/>
          <w:iCs w:val="0"/>
          <w:color w:val="000000" w:themeColor="text1"/>
          <w:sz w:val="24"/>
          <w:szCs w:val="24"/>
        </w:rPr>
      </w:pPr>
      <w:r w:rsidRPr="00B221A2">
        <w:rPr>
          <w:rFonts w:ascii="Times New Roman" w:hAnsi="Times New Roman" w:cs="Times New Roman"/>
          <w:b/>
          <w:bCs/>
          <w:i w:val="0"/>
          <w:iCs w:val="0"/>
          <w:color w:val="000000" w:themeColor="text1"/>
          <w:sz w:val="24"/>
          <w:szCs w:val="24"/>
        </w:rPr>
        <w:t xml:space="preserve">Proyecciones de </w:t>
      </w:r>
      <w:r w:rsidR="008805C7">
        <w:rPr>
          <w:rFonts w:ascii="Times New Roman" w:hAnsi="Times New Roman" w:cs="Times New Roman"/>
          <w:b/>
          <w:bCs/>
          <w:i w:val="0"/>
          <w:iCs w:val="0"/>
          <w:color w:val="000000" w:themeColor="text1"/>
          <w:sz w:val="24"/>
          <w:szCs w:val="24"/>
        </w:rPr>
        <w:t>C</w:t>
      </w:r>
      <w:r w:rsidRPr="00B221A2">
        <w:rPr>
          <w:rFonts w:ascii="Times New Roman" w:hAnsi="Times New Roman" w:cs="Times New Roman"/>
          <w:b/>
          <w:bCs/>
          <w:i w:val="0"/>
          <w:iCs w:val="0"/>
          <w:color w:val="000000" w:themeColor="text1"/>
          <w:sz w:val="24"/>
          <w:szCs w:val="24"/>
        </w:rPr>
        <w:t>recimiento para Guatemala en 2020</w:t>
      </w:r>
    </w:p>
    <w:p w:rsidR="00DB0F04" w:rsidRPr="00957EBA" w:rsidRDefault="009D14BB" w:rsidP="00DB0F04">
      <w:pPr>
        <w:jc w:val="center"/>
        <w:rPr>
          <w:b/>
          <w:bCs/>
        </w:rPr>
      </w:pPr>
      <w:r>
        <w:rPr>
          <w:b/>
          <w:bCs/>
          <w:lang w:val="es-GT"/>
        </w:rPr>
        <w:t>(</w:t>
      </w:r>
      <w:r w:rsidR="00DB0F04" w:rsidRPr="00957EBA">
        <w:rPr>
          <w:b/>
          <w:bCs/>
        </w:rPr>
        <w:t xml:space="preserve">En </w:t>
      </w:r>
      <w:r w:rsidR="008805C7">
        <w:rPr>
          <w:b/>
          <w:bCs/>
        </w:rPr>
        <w:t>P</w:t>
      </w:r>
      <w:r w:rsidR="00DB0F04" w:rsidRPr="00957EBA">
        <w:rPr>
          <w:b/>
          <w:bCs/>
        </w:rPr>
        <w:t>orcentaje</w:t>
      </w:r>
      <w:r w:rsidR="008805C7">
        <w:rPr>
          <w:b/>
          <w:bCs/>
        </w:rPr>
        <w:t>s</w:t>
      </w:r>
      <w:r>
        <w:rPr>
          <w:b/>
          <w:bCs/>
        </w:rPr>
        <w:t>)</w:t>
      </w:r>
    </w:p>
    <w:p w:rsidR="00DB0F04" w:rsidRDefault="00DB0F04" w:rsidP="00DB0F04">
      <w:pPr>
        <w:autoSpaceDE w:val="0"/>
        <w:autoSpaceDN w:val="0"/>
        <w:adjustRightInd w:val="0"/>
        <w:jc w:val="both"/>
      </w:pPr>
      <w:r>
        <w:rPr>
          <w:noProof/>
          <w:lang w:val="es-GT" w:eastAsia="es-GT"/>
        </w:rPr>
        <w:drawing>
          <wp:inline distT="0" distB="0" distL="0" distR="0" wp14:anchorId="221A230C" wp14:editId="5FBF4B70">
            <wp:extent cx="5773003" cy="2531659"/>
            <wp:effectExtent l="0" t="0" r="18415" b="21590"/>
            <wp:docPr id="23" name="Gráfico 2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B568FED8-2E4A-401D-BD06-A1A16B9DB6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805C7" w:rsidRPr="00046E3F" w:rsidRDefault="008805C7" w:rsidP="008805C7">
      <w:pPr>
        <w:jc w:val="both"/>
        <w:rPr>
          <w:sz w:val="18"/>
          <w:lang w:val="es-MX"/>
        </w:rPr>
      </w:pPr>
      <w:r w:rsidRPr="00046E3F">
        <w:rPr>
          <w:sz w:val="18"/>
          <w:lang w:val="es-MX"/>
        </w:rPr>
        <w:t>Fuente: Ministerio de Finanzas Públicas.</w:t>
      </w:r>
    </w:p>
    <w:p w:rsidR="00DB0F04" w:rsidRPr="008805C7" w:rsidRDefault="00DB0F04" w:rsidP="00DB0F04">
      <w:pPr>
        <w:autoSpaceDE w:val="0"/>
        <w:autoSpaceDN w:val="0"/>
        <w:adjustRightInd w:val="0"/>
        <w:jc w:val="both"/>
        <w:rPr>
          <w:lang w:val="es-MX"/>
        </w:rPr>
      </w:pPr>
    </w:p>
    <w:p w:rsidR="00DB0F04" w:rsidRDefault="00DB0F04" w:rsidP="00DB0F04">
      <w:pPr>
        <w:autoSpaceDE w:val="0"/>
        <w:autoSpaceDN w:val="0"/>
        <w:adjustRightInd w:val="0"/>
        <w:jc w:val="both"/>
      </w:pPr>
      <w:r>
        <w:t>El Banco Mundial</w:t>
      </w:r>
      <w:r w:rsidR="008805C7">
        <w:t>,</w:t>
      </w:r>
      <w:r>
        <w:t xml:space="preserve"> en su informe de Perspectivas Económicas Globales de junio de 2020, pronostica para Guatemala una baja en el crecimiento de -3.0</w:t>
      </w:r>
      <w:r w:rsidR="008805C7">
        <w:t>%</w:t>
      </w:r>
      <w:r>
        <w:t xml:space="preserve"> para el presente año, esto debido a que la región centroamericana estuvo limitada por las estrictas medidas de mitigación del C</w:t>
      </w:r>
      <w:r w:rsidR="008805C7">
        <w:t>ovid</w:t>
      </w:r>
      <w:r>
        <w:t>-19 en la mayoría de los países, junto con una fuerte caída en las remesas</w:t>
      </w:r>
      <w:r w:rsidR="008805C7">
        <w:t xml:space="preserve"> familiares</w:t>
      </w:r>
      <w:r>
        <w:t xml:space="preserve">, </w:t>
      </w:r>
      <w:r w:rsidR="008805C7">
        <w:t>el estancamiento</w:t>
      </w:r>
      <w:r>
        <w:t xml:space="preserve"> del turismo y los precios bajos de los productos agrícolas con relación al </w:t>
      </w:r>
      <w:r w:rsidR="008805C7">
        <w:t xml:space="preserve">año </w:t>
      </w:r>
      <w:r>
        <w:t>2019.</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t>La Comisión Económica para América Latina y el Caribe</w:t>
      </w:r>
      <w:r w:rsidR="00D93AD4">
        <w:t xml:space="preserve"> (CEPAL)</w:t>
      </w:r>
      <w:r>
        <w:t>, actualizó sus proyecciones a la baja con respecto a las realizadas en abril de 2020, en su informe especial de C</w:t>
      </w:r>
      <w:r w:rsidR="00D93AD4">
        <w:t>ovid</w:t>
      </w:r>
      <w:r>
        <w:t>-19 No. 5; esto debido a la incertidumbre con respecto a la meta de crecimiento de China, a la proyección de la contracción de 6.5% en el crecimiento económico de E</w:t>
      </w:r>
      <w:r w:rsidR="00D93AD4">
        <w:t>stados Unidos</w:t>
      </w:r>
      <w:r>
        <w:t xml:space="preserve"> por parte del Sistema de la Reserva Federal y una reducción de 8.7% del PIB en la Zona del Euro, por parte del Banco Central Europeo. La proyección del crecimiento económico para Guatemala es de -4.1%.</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t xml:space="preserve">En cuanto a la previsión de crecimiento económico anual del Banco de Guatemala para el 2020, se ubica entre -1.5% y -3.5%, esto debido principalmente al deterioro de la demanda interna, de la cual se estima una contracción de 2.2%, como consecuencia de la disminución del consumo privado por la suspensión de contratos de trabajo y el cese de labores de algunas empresas. Asimismo, </w:t>
      </w:r>
      <w:r w:rsidR="000A6D5E">
        <w:t xml:space="preserve">influyeron </w:t>
      </w:r>
      <w:r>
        <w:t xml:space="preserve">la contracción de las remesas familiares, </w:t>
      </w:r>
      <w:r w:rsidR="000A6D5E">
        <w:t xml:space="preserve">la </w:t>
      </w:r>
      <w:r>
        <w:t xml:space="preserve">desaceleración del crédito al consumo y </w:t>
      </w:r>
      <w:r w:rsidR="000A6D5E">
        <w:t xml:space="preserve">la </w:t>
      </w:r>
      <w:r>
        <w:t>disminución en la inversión.</w:t>
      </w:r>
    </w:p>
    <w:p w:rsidR="00DB0F04" w:rsidRDefault="00DB0F04" w:rsidP="00DB0F04">
      <w:pPr>
        <w:autoSpaceDE w:val="0"/>
        <w:autoSpaceDN w:val="0"/>
        <w:adjustRightInd w:val="0"/>
        <w:jc w:val="both"/>
      </w:pPr>
    </w:p>
    <w:p w:rsidR="00DB0F04" w:rsidRPr="00997716" w:rsidRDefault="00786C40" w:rsidP="00DB0F04">
      <w:pPr>
        <w:autoSpaceDE w:val="0"/>
        <w:autoSpaceDN w:val="0"/>
        <w:adjustRightInd w:val="0"/>
        <w:jc w:val="both"/>
      </w:pPr>
      <w:r>
        <w:t>Con</w:t>
      </w:r>
      <w:r w:rsidR="00DB0F04">
        <w:t xml:space="preserve"> relación </w:t>
      </w:r>
      <w:r>
        <w:t>a</w:t>
      </w:r>
      <w:r w:rsidR="00DB0F04">
        <w:t xml:space="preserve">l sector externo </w:t>
      </w:r>
      <w:r>
        <w:t>en</w:t>
      </w:r>
      <w:r w:rsidR="00DB0F04">
        <w:t xml:space="preserve"> 2020, las exportaciones FOB acumuladas a junio muestran una disminución absoluta de US$79.2 millones, debido a una variación relativa en el volumen de -5.5% y de -6.6% en el precio medio. </w:t>
      </w:r>
      <w:r>
        <w:t>Esta</w:t>
      </w:r>
      <w:r w:rsidR="00DB0F04">
        <w:t xml:space="preserve"> disminución </w:t>
      </w:r>
      <w:r>
        <w:t>s</w:t>
      </w:r>
      <w:r w:rsidR="00DB0F04">
        <w:t xml:space="preserve">e debe en lo particular a una disminución en el </w:t>
      </w:r>
      <w:r w:rsidR="00927D15">
        <w:t xml:space="preserve"> </w:t>
      </w:r>
      <w:r w:rsidR="00DB0F04">
        <w:t xml:space="preserve">volumen exportado de </w:t>
      </w:r>
      <w:r w:rsidR="00927D15">
        <w:t xml:space="preserve"> </w:t>
      </w:r>
      <w:r w:rsidR="00DB0F04">
        <w:t>productos de artículos de vestuario (-25.6%), café (-5.1%), cardamomo (-9.9</w:t>
      </w:r>
      <w:r>
        <w:t>%</w:t>
      </w:r>
      <w:r w:rsidR="00DB0F04">
        <w:t xml:space="preserve">) y grasas y aceites comestibles (-22.1%). Por el lado de las importaciones CIF acumuladas a junio, </w:t>
      </w:r>
      <w:r>
        <w:t>se</w:t>
      </w:r>
      <w:r w:rsidR="00DB0F04">
        <w:t xml:space="preserve"> registr</w:t>
      </w:r>
      <w:r>
        <w:t>ó</w:t>
      </w:r>
      <w:r w:rsidR="00DB0F04">
        <w:t xml:space="preserve"> una disminución de US$1,004.3 millones, derivado de una variación relativa en el volumen de -3.6% y de -7% en el precio medio. En lo particular, </w:t>
      </w:r>
      <w:r>
        <w:t>esta</w:t>
      </w:r>
      <w:r w:rsidR="00DB0F04">
        <w:t xml:space="preserve"> disminución </w:t>
      </w:r>
      <w:r>
        <w:t xml:space="preserve">se </w:t>
      </w:r>
      <w:r w:rsidR="00DB0F04">
        <w:t xml:space="preserve">explica, además de una fuerte baja en la mayoría de los productos </w:t>
      </w:r>
      <w:r w:rsidR="00927D15">
        <w:t xml:space="preserve"> </w:t>
      </w:r>
      <w:r w:rsidR="00DB0F04">
        <w:t xml:space="preserve">de </w:t>
      </w:r>
      <w:r w:rsidR="00927D15">
        <w:t xml:space="preserve"> </w:t>
      </w:r>
      <w:r w:rsidR="00DB0F04">
        <w:t xml:space="preserve">importación, </w:t>
      </w:r>
      <w:r w:rsidR="00927D15">
        <w:t xml:space="preserve"> </w:t>
      </w:r>
      <w:r w:rsidR="00DB0F04">
        <w:t>por</w:t>
      </w:r>
      <w:r w:rsidR="00927D15">
        <w:t xml:space="preserve"> </w:t>
      </w:r>
      <w:r w:rsidR="00DB0F04">
        <w:t xml:space="preserve"> una baja </w:t>
      </w:r>
      <w:r w:rsidR="00927D15">
        <w:t xml:space="preserve"> </w:t>
      </w:r>
      <w:r w:rsidR="00DB0F04">
        <w:t>relativa en los</w:t>
      </w:r>
      <w:r w:rsidR="00927D15">
        <w:t xml:space="preserve"> </w:t>
      </w:r>
      <w:r w:rsidR="00DB0F04">
        <w:t xml:space="preserve"> precios de los </w:t>
      </w:r>
      <w:r w:rsidR="00927D15">
        <w:t xml:space="preserve"> </w:t>
      </w:r>
      <w:r w:rsidR="00DB0F04">
        <w:t xml:space="preserve">bienes de </w:t>
      </w:r>
      <w:r w:rsidR="00927D15">
        <w:t xml:space="preserve"> </w:t>
      </w:r>
      <w:r w:rsidR="00DB0F04">
        <w:t>consumo (-10.1%), las materias primas y productos intermedios (-8.4%), y en los combustibles y lubricantes (-25.0%).</w:t>
      </w:r>
    </w:p>
    <w:tbl>
      <w:tblPr>
        <w:tblStyle w:val="Tablaconcuadrcula"/>
        <w:tblpPr w:leftFromText="141" w:rightFromText="141" w:vertAnchor="text" w:horzAnchor="margin" w:tblpXSpec="center" w:tblpY="13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130"/>
        <w:gridCol w:w="4130"/>
      </w:tblGrid>
      <w:tr w:rsidR="00DB0F04" w:rsidTr="00D454CC">
        <w:trPr>
          <w:trHeight w:val="2705"/>
        </w:trPr>
        <w:tc>
          <w:tcPr>
            <w:tcW w:w="4127" w:type="dxa"/>
          </w:tcPr>
          <w:p w:rsidR="009D14BB" w:rsidRDefault="00DB0F04" w:rsidP="00D454CC">
            <w:pPr>
              <w:pStyle w:val="Epgrafe"/>
              <w:keepNext/>
              <w:spacing w:after="0"/>
              <w:jc w:val="center"/>
              <w:rPr>
                <w:rFonts w:ascii="Times New Roman" w:hAnsi="Times New Roman" w:cs="Times New Roman"/>
                <w:b/>
                <w:bCs/>
                <w:i w:val="0"/>
                <w:iCs w:val="0"/>
                <w:color w:val="000000" w:themeColor="text1"/>
                <w:sz w:val="24"/>
                <w:szCs w:val="24"/>
              </w:rPr>
            </w:pPr>
            <w:r w:rsidRPr="002F6BEA">
              <w:rPr>
                <w:rFonts w:ascii="Times New Roman" w:hAnsi="Times New Roman" w:cs="Times New Roman"/>
                <w:b/>
                <w:bCs/>
                <w:i w:val="0"/>
                <w:iCs w:val="0"/>
                <w:color w:val="000000" w:themeColor="text1"/>
                <w:sz w:val="24"/>
                <w:szCs w:val="24"/>
              </w:rPr>
              <w:t>Gráfic</w:t>
            </w:r>
            <w:r w:rsidR="009D14BB">
              <w:rPr>
                <w:rFonts w:ascii="Times New Roman" w:hAnsi="Times New Roman" w:cs="Times New Roman"/>
                <w:b/>
                <w:bCs/>
                <w:i w:val="0"/>
                <w:iCs w:val="0"/>
                <w:color w:val="000000" w:themeColor="text1"/>
                <w:sz w:val="24"/>
                <w:szCs w:val="24"/>
              </w:rPr>
              <w:t>a</w:t>
            </w:r>
            <w:r w:rsidRPr="002F6BEA">
              <w:rPr>
                <w:rFonts w:ascii="Times New Roman" w:hAnsi="Times New Roman" w:cs="Times New Roman"/>
                <w:b/>
                <w:bCs/>
                <w:i w:val="0"/>
                <w:iCs w:val="0"/>
                <w:color w:val="000000" w:themeColor="text1"/>
                <w:sz w:val="24"/>
                <w:szCs w:val="24"/>
              </w:rPr>
              <w:t xml:space="preserve"> </w:t>
            </w:r>
            <w:r w:rsidR="009D14BB">
              <w:rPr>
                <w:rFonts w:ascii="Times New Roman" w:hAnsi="Times New Roman" w:cs="Times New Roman"/>
                <w:b/>
                <w:bCs/>
                <w:i w:val="0"/>
                <w:iCs w:val="0"/>
                <w:color w:val="000000" w:themeColor="text1"/>
                <w:sz w:val="24"/>
                <w:szCs w:val="24"/>
              </w:rPr>
              <w:t>15</w:t>
            </w:r>
          </w:p>
          <w:p w:rsidR="00DB0F04" w:rsidRDefault="00DB0F04" w:rsidP="00D454CC">
            <w:pPr>
              <w:pStyle w:val="Epgrafe"/>
              <w:keepNext/>
              <w:spacing w:after="0"/>
              <w:jc w:val="center"/>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 xml:space="preserve">Tasa </w:t>
            </w:r>
            <w:r w:rsidR="009D14BB">
              <w:rPr>
                <w:rFonts w:ascii="Times New Roman" w:hAnsi="Times New Roman" w:cs="Times New Roman"/>
                <w:b/>
                <w:bCs/>
                <w:i w:val="0"/>
                <w:iCs w:val="0"/>
                <w:color w:val="000000" w:themeColor="text1"/>
                <w:sz w:val="24"/>
                <w:szCs w:val="24"/>
              </w:rPr>
              <w:t>I</w:t>
            </w:r>
            <w:r>
              <w:rPr>
                <w:rFonts w:ascii="Times New Roman" w:hAnsi="Times New Roman" w:cs="Times New Roman"/>
                <w:b/>
                <w:bCs/>
                <w:i w:val="0"/>
                <w:iCs w:val="0"/>
                <w:color w:val="000000" w:themeColor="text1"/>
                <w:sz w:val="24"/>
                <w:szCs w:val="24"/>
              </w:rPr>
              <w:t xml:space="preserve">nteranual de </w:t>
            </w:r>
            <w:r w:rsidR="009D14BB">
              <w:rPr>
                <w:rFonts w:ascii="Times New Roman" w:hAnsi="Times New Roman" w:cs="Times New Roman"/>
                <w:b/>
                <w:bCs/>
                <w:i w:val="0"/>
                <w:iCs w:val="0"/>
                <w:color w:val="000000" w:themeColor="text1"/>
                <w:sz w:val="24"/>
                <w:szCs w:val="24"/>
              </w:rPr>
              <w:t>E</w:t>
            </w:r>
            <w:r>
              <w:rPr>
                <w:rFonts w:ascii="Times New Roman" w:hAnsi="Times New Roman" w:cs="Times New Roman"/>
                <w:b/>
                <w:bCs/>
                <w:i w:val="0"/>
                <w:iCs w:val="0"/>
                <w:color w:val="000000" w:themeColor="text1"/>
                <w:sz w:val="24"/>
                <w:szCs w:val="24"/>
              </w:rPr>
              <w:t xml:space="preserve">xportaciones e </w:t>
            </w:r>
            <w:r w:rsidR="009D14BB">
              <w:rPr>
                <w:rFonts w:ascii="Times New Roman" w:hAnsi="Times New Roman" w:cs="Times New Roman"/>
                <w:b/>
                <w:bCs/>
                <w:i w:val="0"/>
                <w:iCs w:val="0"/>
                <w:color w:val="000000" w:themeColor="text1"/>
                <w:sz w:val="24"/>
                <w:szCs w:val="24"/>
              </w:rPr>
              <w:t>I</w:t>
            </w:r>
            <w:r>
              <w:rPr>
                <w:rFonts w:ascii="Times New Roman" w:hAnsi="Times New Roman" w:cs="Times New Roman"/>
                <w:b/>
                <w:bCs/>
                <w:i w:val="0"/>
                <w:iCs w:val="0"/>
                <w:color w:val="000000" w:themeColor="text1"/>
                <w:sz w:val="24"/>
                <w:szCs w:val="24"/>
              </w:rPr>
              <w:t>mportaciones</w:t>
            </w:r>
            <w:r w:rsidR="000D1BCB">
              <w:rPr>
                <w:rFonts w:ascii="Times New Roman" w:hAnsi="Times New Roman" w:cs="Times New Roman"/>
                <w:b/>
                <w:bCs/>
                <w:i w:val="0"/>
                <w:iCs w:val="0"/>
                <w:color w:val="000000" w:themeColor="text1"/>
                <w:sz w:val="24"/>
                <w:szCs w:val="24"/>
              </w:rPr>
              <w:t xml:space="preserve"> en 2020</w:t>
            </w:r>
          </w:p>
          <w:p w:rsidR="00DB0F04" w:rsidRPr="009D14BB" w:rsidRDefault="009D14BB" w:rsidP="00D454CC">
            <w:pPr>
              <w:jc w:val="center"/>
              <w:rPr>
                <w:b/>
                <w:bCs/>
                <w:szCs w:val="20"/>
              </w:rPr>
            </w:pPr>
            <w:r w:rsidRPr="009D14BB">
              <w:rPr>
                <w:b/>
                <w:bCs/>
                <w:szCs w:val="20"/>
                <w:lang w:val="es-GT"/>
              </w:rPr>
              <w:t>(</w:t>
            </w:r>
            <w:r w:rsidR="00DB0F04" w:rsidRPr="009D14BB">
              <w:rPr>
                <w:b/>
                <w:bCs/>
                <w:szCs w:val="20"/>
              </w:rPr>
              <w:t xml:space="preserve">En </w:t>
            </w:r>
            <w:r w:rsidR="00786C40" w:rsidRPr="009D14BB">
              <w:rPr>
                <w:b/>
                <w:bCs/>
                <w:szCs w:val="20"/>
              </w:rPr>
              <w:t>P</w:t>
            </w:r>
            <w:r w:rsidR="00DB0F04" w:rsidRPr="009D14BB">
              <w:rPr>
                <w:b/>
                <w:bCs/>
                <w:szCs w:val="20"/>
              </w:rPr>
              <w:t>orcentaje</w:t>
            </w:r>
            <w:r w:rsidR="00786C40" w:rsidRPr="009D14BB">
              <w:rPr>
                <w:b/>
                <w:bCs/>
                <w:szCs w:val="20"/>
              </w:rPr>
              <w:t>s</w:t>
            </w:r>
            <w:r w:rsidRPr="009D14BB">
              <w:rPr>
                <w:b/>
                <w:bCs/>
                <w:szCs w:val="20"/>
              </w:rPr>
              <w:t>)</w:t>
            </w:r>
          </w:p>
          <w:p w:rsidR="00DB0F04" w:rsidRDefault="00DB0F04" w:rsidP="00D454CC">
            <w:pPr>
              <w:autoSpaceDE w:val="0"/>
              <w:autoSpaceDN w:val="0"/>
              <w:adjustRightInd w:val="0"/>
              <w:jc w:val="both"/>
            </w:pPr>
            <w:r>
              <w:rPr>
                <w:noProof/>
                <w:lang w:val="es-GT" w:eastAsia="es-GT"/>
              </w:rPr>
              <w:drawing>
                <wp:inline distT="0" distB="0" distL="0" distR="0" wp14:anchorId="48BDFDD9" wp14:editId="3BC058D5">
                  <wp:extent cx="2519680" cy="2413000"/>
                  <wp:effectExtent l="0" t="0" r="13970" b="25400"/>
                  <wp:docPr id="29" name="Gráfico 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6E3A1536-1DD8-40E8-9628-33A85D1B24D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tc>
        <w:tc>
          <w:tcPr>
            <w:tcW w:w="4127" w:type="dxa"/>
          </w:tcPr>
          <w:p w:rsidR="009D14BB" w:rsidRDefault="00DB0F04" w:rsidP="00D454CC">
            <w:pPr>
              <w:pStyle w:val="Epgrafe"/>
              <w:keepNext/>
              <w:spacing w:after="0"/>
              <w:jc w:val="center"/>
              <w:rPr>
                <w:rFonts w:ascii="Times New Roman" w:hAnsi="Times New Roman" w:cs="Times New Roman"/>
                <w:b/>
                <w:bCs/>
                <w:i w:val="0"/>
                <w:iCs w:val="0"/>
                <w:color w:val="000000" w:themeColor="text1"/>
                <w:sz w:val="24"/>
                <w:szCs w:val="24"/>
              </w:rPr>
            </w:pPr>
            <w:r w:rsidRPr="002F6BEA">
              <w:rPr>
                <w:rFonts w:ascii="Times New Roman" w:hAnsi="Times New Roman" w:cs="Times New Roman"/>
                <w:b/>
                <w:bCs/>
                <w:i w:val="0"/>
                <w:iCs w:val="0"/>
                <w:color w:val="000000" w:themeColor="text1"/>
                <w:sz w:val="24"/>
                <w:szCs w:val="24"/>
              </w:rPr>
              <w:t>Gráfic</w:t>
            </w:r>
            <w:r w:rsidR="009D14BB">
              <w:rPr>
                <w:rFonts w:ascii="Times New Roman" w:hAnsi="Times New Roman" w:cs="Times New Roman"/>
                <w:b/>
                <w:bCs/>
                <w:i w:val="0"/>
                <w:iCs w:val="0"/>
                <w:color w:val="000000" w:themeColor="text1"/>
                <w:sz w:val="24"/>
                <w:szCs w:val="24"/>
              </w:rPr>
              <w:t>a 16</w:t>
            </w:r>
          </w:p>
          <w:p w:rsidR="00DB0F04" w:rsidRDefault="00DB0F04" w:rsidP="00D454CC">
            <w:pPr>
              <w:pStyle w:val="Epgrafe"/>
              <w:keepNext/>
              <w:spacing w:after="0"/>
              <w:jc w:val="center"/>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 xml:space="preserve">Tasa </w:t>
            </w:r>
            <w:r w:rsidR="009D14BB">
              <w:rPr>
                <w:rFonts w:ascii="Times New Roman" w:hAnsi="Times New Roman" w:cs="Times New Roman"/>
                <w:b/>
                <w:bCs/>
                <w:i w:val="0"/>
                <w:iCs w:val="0"/>
                <w:color w:val="000000" w:themeColor="text1"/>
                <w:sz w:val="24"/>
                <w:szCs w:val="24"/>
              </w:rPr>
              <w:t>I</w:t>
            </w:r>
            <w:r>
              <w:rPr>
                <w:rFonts w:ascii="Times New Roman" w:hAnsi="Times New Roman" w:cs="Times New Roman"/>
                <w:b/>
                <w:bCs/>
                <w:i w:val="0"/>
                <w:iCs w:val="0"/>
                <w:color w:val="000000" w:themeColor="text1"/>
                <w:sz w:val="24"/>
                <w:szCs w:val="24"/>
              </w:rPr>
              <w:t xml:space="preserve">nteranual de </w:t>
            </w:r>
            <w:r w:rsidR="009D14BB">
              <w:rPr>
                <w:rFonts w:ascii="Times New Roman" w:hAnsi="Times New Roman" w:cs="Times New Roman"/>
                <w:b/>
                <w:bCs/>
                <w:i w:val="0"/>
                <w:iCs w:val="0"/>
                <w:color w:val="000000" w:themeColor="text1"/>
                <w:sz w:val="24"/>
                <w:szCs w:val="24"/>
              </w:rPr>
              <w:t>R</w:t>
            </w:r>
            <w:r>
              <w:rPr>
                <w:rFonts w:ascii="Times New Roman" w:hAnsi="Times New Roman" w:cs="Times New Roman"/>
                <w:b/>
                <w:bCs/>
                <w:i w:val="0"/>
                <w:iCs w:val="0"/>
                <w:color w:val="000000" w:themeColor="text1"/>
                <w:sz w:val="24"/>
                <w:szCs w:val="24"/>
              </w:rPr>
              <w:t xml:space="preserve">emesas </w:t>
            </w:r>
            <w:r w:rsidR="009D14BB">
              <w:rPr>
                <w:rFonts w:ascii="Times New Roman" w:hAnsi="Times New Roman" w:cs="Times New Roman"/>
                <w:b/>
                <w:bCs/>
                <w:i w:val="0"/>
                <w:iCs w:val="0"/>
                <w:color w:val="000000" w:themeColor="text1"/>
                <w:sz w:val="24"/>
                <w:szCs w:val="24"/>
              </w:rPr>
              <w:t>Familiares</w:t>
            </w:r>
            <w:r>
              <w:rPr>
                <w:rFonts w:ascii="Times New Roman" w:hAnsi="Times New Roman" w:cs="Times New Roman"/>
                <w:b/>
                <w:bCs/>
                <w:i w:val="0"/>
                <w:iCs w:val="0"/>
                <w:color w:val="000000" w:themeColor="text1"/>
                <w:sz w:val="24"/>
                <w:szCs w:val="24"/>
              </w:rPr>
              <w:t xml:space="preserve"> en 2020</w:t>
            </w:r>
          </w:p>
          <w:p w:rsidR="00DB0F04" w:rsidRPr="009D14BB" w:rsidRDefault="009D14BB" w:rsidP="00D454CC">
            <w:pPr>
              <w:jc w:val="center"/>
              <w:rPr>
                <w:b/>
                <w:bCs/>
                <w:szCs w:val="20"/>
              </w:rPr>
            </w:pPr>
            <w:r w:rsidRPr="009D14BB">
              <w:rPr>
                <w:b/>
                <w:bCs/>
                <w:szCs w:val="20"/>
              </w:rPr>
              <w:t>(</w:t>
            </w:r>
            <w:r w:rsidR="00DB0F04" w:rsidRPr="009D14BB">
              <w:rPr>
                <w:b/>
                <w:bCs/>
                <w:szCs w:val="20"/>
              </w:rPr>
              <w:t xml:space="preserve">En </w:t>
            </w:r>
            <w:r w:rsidR="00786C40" w:rsidRPr="009D14BB">
              <w:rPr>
                <w:b/>
                <w:bCs/>
                <w:szCs w:val="20"/>
              </w:rPr>
              <w:t>P</w:t>
            </w:r>
            <w:r w:rsidR="00DB0F04" w:rsidRPr="009D14BB">
              <w:rPr>
                <w:b/>
                <w:bCs/>
                <w:szCs w:val="20"/>
              </w:rPr>
              <w:t>orcentaje</w:t>
            </w:r>
            <w:r w:rsidR="00786C40" w:rsidRPr="009D14BB">
              <w:rPr>
                <w:b/>
                <w:bCs/>
                <w:szCs w:val="20"/>
              </w:rPr>
              <w:t>s</w:t>
            </w:r>
            <w:r w:rsidRPr="009D14BB">
              <w:rPr>
                <w:b/>
                <w:bCs/>
                <w:szCs w:val="20"/>
              </w:rPr>
              <w:t>)</w:t>
            </w:r>
          </w:p>
          <w:p w:rsidR="00DB0F04" w:rsidRDefault="00DB0F04" w:rsidP="00D454CC">
            <w:pPr>
              <w:autoSpaceDE w:val="0"/>
              <w:autoSpaceDN w:val="0"/>
              <w:adjustRightInd w:val="0"/>
              <w:jc w:val="both"/>
            </w:pPr>
            <w:r>
              <w:rPr>
                <w:noProof/>
                <w:lang w:val="es-GT" w:eastAsia="es-GT"/>
              </w:rPr>
              <w:drawing>
                <wp:inline distT="0" distB="0" distL="0" distR="0" wp14:anchorId="5D1CA58A" wp14:editId="2F0787E2">
                  <wp:extent cx="2516429" cy="2414016"/>
                  <wp:effectExtent l="0" t="0" r="17780" b="24765"/>
                  <wp:docPr id="30" name="Gráfico 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F44B36DD-2B74-49D6-9E0E-36719A4993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tc>
      </w:tr>
      <w:tr w:rsidR="00DB0F04" w:rsidTr="00D454CC">
        <w:trPr>
          <w:trHeight w:val="188"/>
        </w:trPr>
        <w:tc>
          <w:tcPr>
            <w:tcW w:w="8255" w:type="dxa"/>
            <w:gridSpan w:val="2"/>
          </w:tcPr>
          <w:p w:rsidR="00DB0F04" w:rsidRPr="00997716" w:rsidRDefault="00DB0F04" w:rsidP="00036E4C">
            <w:pPr>
              <w:pStyle w:val="NormalWeb"/>
              <w:spacing w:before="0" w:beforeAutospacing="0" w:after="0" w:afterAutospacing="0"/>
              <w:rPr>
                <w:sz w:val="16"/>
                <w:szCs w:val="16"/>
              </w:rPr>
            </w:pPr>
            <w:r w:rsidRPr="00036E4C">
              <w:rPr>
                <w:sz w:val="18"/>
                <w:szCs w:val="16"/>
              </w:rPr>
              <w:t xml:space="preserve">Fuente: </w:t>
            </w:r>
            <w:r w:rsidR="00786C40" w:rsidRPr="00036E4C">
              <w:rPr>
                <w:sz w:val="18"/>
                <w:szCs w:val="16"/>
              </w:rPr>
              <w:t>Ministerio de Finanzas Públicas</w:t>
            </w:r>
            <w:r w:rsidRPr="00036E4C">
              <w:rPr>
                <w:sz w:val="18"/>
                <w:szCs w:val="16"/>
              </w:rPr>
              <w:t xml:space="preserve"> con información de</w:t>
            </w:r>
            <w:r w:rsidR="00786C40" w:rsidRPr="00036E4C">
              <w:rPr>
                <w:sz w:val="18"/>
                <w:szCs w:val="16"/>
              </w:rPr>
              <w:t>l</w:t>
            </w:r>
            <w:r w:rsidRPr="00036E4C">
              <w:rPr>
                <w:sz w:val="18"/>
                <w:szCs w:val="16"/>
              </w:rPr>
              <w:t xml:space="preserve"> B</w:t>
            </w:r>
            <w:r w:rsidR="00036E4C" w:rsidRPr="00036E4C">
              <w:rPr>
                <w:sz w:val="18"/>
                <w:szCs w:val="16"/>
              </w:rPr>
              <w:t>ANGUAT</w:t>
            </w:r>
            <w:r w:rsidR="00786C40" w:rsidRPr="00036E4C">
              <w:rPr>
                <w:sz w:val="18"/>
                <w:szCs w:val="16"/>
              </w:rPr>
              <w:t>.</w:t>
            </w:r>
            <w:r w:rsidRPr="00036E4C">
              <w:rPr>
                <w:sz w:val="18"/>
                <w:szCs w:val="16"/>
              </w:rPr>
              <w:t xml:space="preserve"> </w:t>
            </w:r>
          </w:p>
        </w:tc>
      </w:tr>
    </w:tbl>
    <w:p w:rsidR="00786C40" w:rsidRDefault="00786C40" w:rsidP="00DB0F04">
      <w:pPr>
        <w:autoSpaceDE w:val="0"/>
        <w:autoSpaceDN w:val="0"/>
        <w:adjustRightInd w:val="0"/>
        <w:jc w:val="both"/>
      </w:pPr>
    </w:p>
    <w:p w:rsidR="00DB0F04" w:rsidRDefault="00DB0F04" w:rsidP="00DB0F04">
      <w:pPr>
        <w:autoSpaceDE w:val="0"/>
        <w:autoSpaceDN w:val="0"/>
        <w:adjustRightInd w:val="0"/>
        <w:jc w:val="both"/>
      </w:pPr>
      <w:r w:rsidRPr="008B7DD8">
        <w:t xml:space="preserve">Para </w:t>
      </w:r>
      <w:r>
        <w:t>el cierre de 2020, las exportaciones</w:t>
      </w:r>
      <w:r w:rsidRPr="008B7DD8">
        <w:t xml:space="preserve"> podría</w:t>
      </w:r>
      <w:r>
        <w:t>n</w:t>
      </w:r>
      <w:r w:rsidRPr="008B7DD8">
        <w:t xml:space="preserve"> tener una contracción de 1</w:t>
      </w:r>
      <w:r>
        <w:t>1</w:t>
      </w:r>
      <w:r w:rsidRPr="008B7DD8">
        <w:t>.</w:t>
      </w:r>
      <w:r>
        <w:t>5</w:t>
      </w:r>
      <w:r w:rsidRPr="008B7DD8">
        <w:t xml:space="preserve">%, derivado </w:t>
      </w:r>
      <w:r w:rsidR="00786C40">
        <w:t>de</w:t>
      </w:r>
      <w:r w:rsidRPr="008B7DD8">
        <w:t xml:space="preserve"> la caída de la demanda externa</w:t>
      </w:r>
      <w:r w:rsidR="00786C40">
        <w:t>. P</w:t>
      </w:r>
      <w:r>
        <w:t xml:space="preserve">ara </w:t>
      </w:r>
      <w:r w:rsidR="00786C40">
        <w:t>el presente</w:t>
      </w:r>
      <w:r>
        <w:t xml:space="preserve"> año la Organización Mundial del Comercio</w:t>
      </w:r>
      <w:r w:rsidR="00786C40">
        <w:t xml:space="preserve"> (OMC)</w:t>
      </w:r>
      <w:r>
        <w:t xml:space="preserve"> estima que el volumen del comercio mundial disminu</w:t>
      </w:r>
      <w:r w:rsidR="00786C40">
        <w:t>irá en</w:t>
      </w:r>
      <w:r>
        <w:t xml:space="preserve"> 11.9%</w:t>
      </w:r>
      <w:r w:rsidR="00786C40">
        <w:t>,</w:t>
      </w:r>
      <w:r>
        <w:t xml:space="preserve"> con respecto </w:t>
      </w:r>
      <w:r w:rsidR="00786C40">
        <w:t>a</w:t>
      </w:r>
      <w:r>
        <w:t>l año anterior</w:t>
      </w:r>
      <w:r w:rsidR="00786C40">
        <w:t>;</w:t>
      </w:r>
      <w:r>
        <w:t xml:space="preserve"> además de</w:t>
      </w:r>
      <w:r w:rsidRPr="008B7DD8">
        <w:t xml:space="preserve"> los diferentes impedimentos logísticos para poder exportar, así como la incertidumbre de la reapertura comercial total. La tasa de crecimiento de las importaciones se estima en -</w:t>
      </w:r>
      <w:r>
        <w:t>10.5</w:t>
      </w:r>
      <w:r w:rsidRPr="008B7DD8">
        <w:t>% para el presente año</w:t>
      </w:r>
      <w:r>
        <w:t xml:space="preserve">, debido a la disminución de la demanda interna y la disminución de los precios de los commodities, </w:t>
      </w:r>
      <w:r w:rsidR="00786C40">
        <w:t xml:space="preserve">ya </w:t>
      </w:r>
      <w:r>
        <w:t>que ambos han generado una presión a la baja en la inflación externa.</w:t>
      </w:r>
    </w:p>
    <w:p w:rsidR="00DB0F04" w:rsidRDefault="00DB0F04" w:rsidP="00DB0F04">
      <w:pPr>
        <w:autoSpaceDE w:val="0"/>
        <w:autoSpaceDN w:val="0"/>
        <w:adjustRightInd w:val="0"/>
        <w:jc w:val="both"/>
      </w:pPr>
    </w:p>
    <w:p w:rsidR="001442F5" w:rsidRDefault="00DB0F04" w:rsidP="00DB0F04">
      <w:pPr>
        <w:pStyle w:val="Epgrafe"/>
        <w:keepNext/>
        <w:spacing w:after="0"/>
        <w:jc w:val="center"/>
        <w:rPr>
          <w:rFonts w:ascii="Times New Roman" w:hAnsi="Times New Roman" w:cs="Times New Roman"/>
          <w:b/>
          <w:bCs/>
          <w:i w:val="0"/>
          <w:iCs w:val="0"/>
          <w:color w:val="000000" w:themeColor="text1"/>
          <w:sz w:val="24"/>
          <w:szCs w:val="24"/>
        </w:rPr>
      </w:pPr>
      <w:r w:rsidRPr="008463F4">
        <w:rPr>
          <w:rFonts w:ascii="Times New Roman" w:hAnsi="Times New Roman" w:cs="Times New Roman"/>
          <w:b/>
          <w:bCs/>
          <w:i w:val="0"/>
          <w:iCs w:val="0"/>
          <w:color w:val="000000" w:themeColor="text1"/>
          <w:sz w:val="24"/>
          <w:szCs w:val="24"/>
        </w:rPr>
        <w:t>Gráfic</w:t>
      </w:r>
      <w:r w:rsidR="001442F5">
        <w:rPr>
          <w:rFonts w:ascii="Times New Roman" w:hAnsi="Times New Roman" w:cs="Times New Roman"/>
          <w:b/>
          <w:bCs/>
          <w:i w:val="0"/>
          <w:iCs w:val="0"/>
          <w:color w:val="000000" w:themeColor="text1"/>
          <w:sz w:val="24"/>
          <w:szCs w:val="24"/>
        </w:rPr>
        <w:t>a 17</w:t>
      </w:r>
    </w:p>
    <w:p w:rsidR="00DB0F04" w:rsidRDefault="00DB0F04" w:rsidP="00DB0F04">
      <w:pPr>
        <w:pStyle w:val="Epgrafe"/>
        <w:keepNext/>
        <w:spacing w:after="0"/>
        <w:jc w:val="center"/>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 xml:space="preserve">Perspectivas de </w:t>
      </w:r>
      <w:r w:rsidR="001442F5">
        <w:rPr>
          <w:rFonts w:ascii="Times New Roman" w:hAnsi="Times New Roman" w:cs="Times New Roman"/>
          <w:b/>
          <w:bCs/>
          <w:i w:val="0"/>
          <w:iCs w:val="0"/>
          <w:color w:val="000000" w:themeColor="text1"/>
          <w:sz w:val="24"/>
          <w:szCs w:val="24"/>
        </w:rPr>
        <w:t>C</w:t>
      </w:r>
      <w:r>
        <w:rPr>
          <w:rFonts w:ascii="Times New Roman" w:hAnsi="Times New Roman" w:cs="Times New Roman"/>
          <w:b/>
          <w:bCs/>
          <w:i w:val="0"/>
          <w:iCs w:val="0"/>
          <w:color w:val="000000" w:themeColor="text1"/>
          <w:sz w:val="24"/>
          <w:szCs w:val="24"/>
        </w:rPr>
        <w:t xml:space="preserve">ierre </w:t>
      </w:r>
      <w:r w:rsidR="001442F5">
        <w:rPr>
          <w:rFonts w:ascii="Times New Roman" w:hAnsi="Times New Roman" w:cs="Times New Roman"/>
          <w:b/>
          <w:bCs/>
          <w:i w:val="0"/>
          <w:iCs w:val="0"/>
          <w:color w:val="000000" w:themeColor="text1"/>
          <w:sz w:val="24"/>
          <w:szCs w:val="24"/>
        </w:rPr>
        <w:t>de</w:t>
      </w:r>
      <w:r>
        <w:rPr>
          <w:rFonts w:ascii="Times New Roman" w:hAnsi="Times New Roman" w:cs="Times New Roman"/>
          <w:b/>
          <w:bCs/>
          <w:i w:val="0"/>
          <w:iCs w:val="0"/>
          <w:color w:val="000000" w:themeColor="text1"/>
          <w:sz w:val="24"/>
          <w:szCs w:val="24"/>
        </w:rPr>
        <w:t xml:space="preserve"> las </w:t>
      </w:r>
      <w:r w:rsidR="001442F5">
        <w:rPr>
          <w:rFonts w:ascii="Times New Roman" w:hAnsi="Times New Roman" w:cs="Times New Roman"/>
          <w:b/>
          <w:bCs/>
          <w:i w:val="0"/>
          <w:iCs w:val="0"/>
          <w:color w:val="000000" w:themeColor="text1"/>
          <w:sz w:val="24"/>
          <w:szCs w:val="24"/>
        </w:rPr>
        <w:t>P</w:t>
      </w:r>
      <w:r>
        <w:rPr>
          <w:rFonts w:ascii="Times New Roman" w:hAnsi="Times New Roman" w:cs="Times New Roman"/>
          <w:b/>
          <w:bCs/>
          <w:i w:val="0"/>
          <w:iCs w:val="0"/>
          <w:color w:val="000000" w:themeColor="text1"/>
          <w:sz w:val="24"/>
          <w:szCs w:val="24"/>
        </w:rPr>
        <w:t xml:space="preserve">rincipales </w:t>
      </w:r>
      <w:r w:rsidR="001442F5">
        <w:rPr>
          <w:rFonts w:ascii="Times New Roman" w:hAnsi="Times New Roman" w:cs="Times New Roman"/>
          <w:b/>
          <w:bCs/>
          <w:i w:val="0"/>
          <w:iCs w:val="0"/>
          <w:color w:val="000000" w:themeColor="text1"/>
          <w:sz w:val="24"/>
          <w:szCs w:val="24"/>
        </w:rPr>
        <w:t>V</w:t>
      </w:r>
      <w:r>
        <w:rPr>
          <w:rFonts w:ascii="Times New Roman" w:hAnsi="Times New Roman" w:cs="Times New Roman"/>
          <w:b/>
          <w:bCs/>
          <w:i w:val="0"/>
          <w:iCs w:val="0"/>
          <w:color w:val="000000" w:themeColor="text1"/>
          <w:sz w:val="24"/>
          <w:szCs w:val="24"/>
        </w:rPr>
        <w:t xml:space="preserve">ariables </w:t>
      </w:r>
      <w:r w:rsidR="001442F5">
        <w:rPr>
          <w:rFonts w:ascii="Times New Roman" w:hAnsi="Times New Roman" w:cs="Times New Roman"/>
          <w:b/>
          <w:bCs/>
          <w:i w:val="0"/>
          <w:iCs w:val="0"/>
          <w:color w:val="000000" w:themeColor="text1"/>
          <w:sz w:val="24"/>
          <w:szCs w:val="24"/>
        </w:rPr>
        <w:t>M</w:t>
      </w:r>
      <w:r>
        <w:rPr>
          <w:rFonts w:ascii="Times New Roman" w:hAnsi="Times New Roman" w:cs="Times New Roman"/>
          <w:b/>
          <w:bCs/>
          <w:i w:val="0"/>
          <w:iCs w:val="0"/>
          <w:color w:val="000000" w:themeColor="text1"/>
          <w:sz w:val="24"/>
          <w:szCs w:val="24"/>
        </w:rPr>
        <w:t>acroeconómicas</w:t>
      </w:r>
    </w:p>
    <w:p w:rsidR="00DB0F04" w:rsidRDefault="001442F5" w:rsidP="00DB0F04">
      <w:pPr>
        <w:jc w:val="center"/>
        <w:rPr>
          <w:b/>
          <w:bCs/>
        </w:rPr>
      </w:pPr>
      <w:r>
        <w:rPr>
          <w:b/>
          <w:bCs/>
        </w:rPr>
        <w:t>(</w:t>
      </w:r>
      <w:r w:rsidR="00DB0F04" w:rsidRPr="00957EBA">
        <w:rPr>
          <w:b/>
          <w:bCs/>
        </w:rPr>
        <w:t xml:space="preserve">En </w:t>
      </w:r>
      <w:r>
        <w:rPr>
          <w:b/>
          <w:bCs/>
        </w:rPr>
        <w:t>P</w:t>
      </w:r>
      <w:r w:rsidR="00DB0F04" w:rsidRPr="00957EBA">
        <w:rPr>
          <w:b/>
          <w:bCs/>
        </w:rPr>
        <w:t>orcentaje</w:t>
      </w:r>
      <w:r w:rsidR="00786C40">
        <w:rPr>
          <w:b/>
          <w:bCs/>
        </w:rPr>
        <w:t>s</w:t>
      </w:r>
      <w:r>
        <w:rPr>
          <w:b/>
          <w:bCs/>
        </w:rPr>
        <w:t>)</w:t>
      </w:r>
    </w:p>
    <w:p w:rsidR="00DB0F04" w:rsidRPr="008B7DD8" w:rsidRDefault="00DB0F04" w:rsidP="00DB0F04">
      <w:pPr>
        <w:autoSpaceDE w:val="0"/>
        <w:autoSpaceDN w:val="0"/>
        <w:adjustRightInd w:val="0"/>
        <w:jc w:val="center"/>
      </w:pPr>
      <w:r>
        <w:rPr>
          <w:noProof/>
          <w:lang w:val="es-GT" w:eastAsia="es-GT"/>
        </w:rPr>
        <w:drawing>
          <wp:inline distT="0" distB="0" distL="0" distR="0" wp14:anchorId="4EF4C064" wp14:editId="1E85AD9F">
            <wp:extent cx="5520519" cy="2524835"/>
            <wp:effectExtent l="0" t="0" r="23495" b="27940"/>
            <wp:docPr id="31" name="Gráfico 3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31EE7681-1D7B-450D-A022-83530CFFBE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786C40" w:rsidRPr="00046E3F" w:rsidRDefault="00786C40" w:rsidP="00786C40">
      <w:pPr>
        <w:jc w:val="both"/>
        <w:rPr>
          <w:sz w:val="18"/>
          <w:lang w:val="es-MX"/>
        </w:rPr>
      </w:pPr>
      <w:r>
        <w:rPr>
          <w:sz w:val="18"/>
          <w:lang w:val="es-MX"/>
        </w:rPr>
        <w:t xml:space="preserve">   </w:t>
      </w:r>
      <w:r w:rsidRPr="00046E3F">
        <w:rPr>
          <w:sz w:val="18"/>
          <w:lang w:val="es-MX"/>
        </w:rPr>
        <w:t xml:space="preserve">Fuente: </w:t>
      </w:r>
      <w:r w:rsidR="00036E4C">
        <w:rPr>
          <w:sz w:val="18"/>
          <w:lang w:val="es-MX"/>
        </w:rPr>
        <w:t>Ministerio de Finanzas Públicas con información del BANGUAT.</w:t>
      </w:r>
    </w:p>
    <w:p w:rsidR="00DB0F04" w:rsidRPr="00786C40" w:rsidRDefault="00DB0F04" w:rsidP="00DB0F04">
      <w:pPr>
        <w:autoSpaceDE w:val="0"/>
        <w:autoSpaceDN w:val="0"/>
        <w:adjustRightInd w:val="0"/>
        <w:jc w:val="both"/>
        <w:rPr>
          <w:lang w:val="es-MX"/>
        </w:rPr>
      </w:pPr>
    </w:p>
    <w:p w:rsidR="00786C40" w:rsidRDefault="00786C40" w:rsidP="00DB0F04">
      <w:pPr>
        <w:autoSpaceDE w:val="0"/>
        <w:autoSpaceDN w:val="0"/>
        <w:adjustRightInd w:val="0"/>
        <w:jc w:val="both"/>
      </w:pPr>
    </w:p>
    <w:p w:rsidR="00DB0F04" w:rsidRDefault="00DB0F04" w:rsidP="00DB0F04">
      <w:pPr>
        <w:autoSpaceDE w:val="0"/>
        <w:autoSpaceDN w:val="0"/>
        <w:adjustRightInd w:val="0"/>
        <w:jc w:val="both"/>
      </w:pPr>
      <w:r>
        <w:t xml:space="preserve">Las remesas familiares acumuladas a junio de 2020, </w:t>
      </w:r>
      <w:r w:rsidR="00970B4F">
        <w:t>presentan</w:t>
      </w:r>
      <w:r>
        <w:t xml:space="preserve"> una disminución absoluta de US$46.7 millones con respecto el año anterior</w:t>
      </w:r>
      <w:r w:rsidR="00970B4F">
        <w:t>: L</w:t>
      </w:r>
      <w:r>
        <w:t xml:space="preserve">os fuertes efectos negativos de la pandemia </w:t>
      </w:r>
      <w:r w:rsidR="00970B4F">
        <w:t xml:space="preserve">del Covid-19 </w:t>
      </w:r>
      <w:r>
        <w:t>en el entorno internacional</w:t>
      </w:r>
      <w:r w:rsidR="00970B4F">
        <w:t>,</w:t>
      </w:r>
      <w:r>
        <w:t xml:space="preserve"> causaron que las remesas tuvieran un mínimo en la tasa interanual de -20.2% en abril</w:t>
      </w:r>
      <w:r w:rsidR="00970B4F">
        <w:t>;</w:t>
      </w:r>
      <w:r>
        <w:t xml:space="preserve"> sin embargo, debido al fuerte aumento en el envío de remesas a inicios del año y la recuperación </w:t>
      </w:r>
      <w:r w:rsidR="00970B4F">
        <w:t>a</w:t>
      </w:r>
      <w:r>
        <w:t xml:space="preserve"> junio</w:t>
      </w:r>
      <w:r w:rsidR="00970B4F">
        <w:t xml:space="preserve"> de 2020</w:t>
      </w:r>
      <w:r>
        <w:t>, explican la poca brecha en las remesas familiares de este año, con respecto el año anterior.</w:t>
      </w:r>
    </w:p>
    <w:p w:rsidR="00DB0F04" w:rsidRDefault="00DB0F04" w:rsidP="00DB0F04">
      <w:pPr>
        <w:autoSpaceDE w:val="0"/>
        <w:autoSpaceDN w:val="0"/>
        <w:adjustRightInd w:val="0"/>
        <w:jc w:val="both"/>
      </w:pPr>
    </w:p>
    <w:p w:rsidR="00DB0F04" w:rsidRDefault="00DB0F04" w:rsidP="00DB0F04">
      <w:pPr>
        <w:ind w:right="49"/>
        <w:jc w:val="both"/>
        <w:rPr>
          <w:lang w:val="es-MX"/>
        </w:rPr>
      </w:pPr>
      <w:r w:rsidRPr="00FE76BD">
        <w:rPr>
          <w:lang w:val="es-MX"/>
        </w:rPr>
        <w:t>El ritmo inflacionario de enero a mayo de 2020 estuvo abajo de la meta establecida por el Banco de Guatemala</w:t>
      </w:r>
      <w:r w:rsidR="00970B4F">
        <w:rPr>
          <w:lang w:val="es-MX"/>
        </w:rPr>
        <w:t>. E</w:t>
      </w:r>
      <w:r w:rsidRPr="00FE76BD">
        <w:rPr>
          <w:lang w:val="es-MX"/>
        </w:rPr>
        <w:t>n mayo se situó en 1.8%</w:t>
      </w:r>
      <w:r w:rsidR="00970B4F">
        <w:rPr>
          <w:lang w:val="es-MX"/>
        </w:rPr>
        <w:t>;</w:t>
      </w:r>
      <w:r w:rsidRPr="00FE76BD">
        <w:rPr>
          <w:lang w:val="es-MX"/>
        </w:rPr>
        <w:t xml:space="preserve"> posteriormente en junio hubo una recuperación y la inflación interanual se ubicó en 2.4%, aún debajo de la meta. </w:t>
      </w:r>
      <w:r>
        <w:rPr>
          <w:lang w:val="es-MX"/>
        </w:rPr>
        <w:t>La baja inflación de inicios de año se debe a choques temporales de la oferta en el último trimestre de 20</w:t>
      </w:r>
      <w:r w:rsidR="00970B4F">
        <w:rPr>
          <w:lang w:val="es-MX"/>
        </w:rPr>
        <w:t>19</w:t>
      </w:r>
      <w:r>
        <w:rPr>
          <w:lang w:val="es-MX"/>
        </w:rPr>
        <w:t>, que afectaron a los componentes de inflación: alimentos y bebidas no alcohólicas, hortalizas</w:t>
      </w:r>
      <w:r w:rsidR="00970B4F">
        <w:rPr>
          <w:lang w:val="es-MX"/>
        </w:rPr>
        <w:t>,</w:t>
      </w:r>
      <w:r>
        <w:rPr>
          <w:lang w:val="es-MX"/>
        </w:rPr>
        <w:t xml:space="preserve"> legumbres y levemente pan y cereales. Posteriormente, después del inicio de la emergencia mundial por </w:t>
      </w:r>
      <w:r w:rsidR="00970B4F">
        <w:rPr>
          <w:lang w:val="es-MX"/>
        </w:rPr>
        <w:t xml:space="preserve">el </w:t>
      </w:r>
      <w:r>
        <w:rPr>
          <w:lang w:val="es-MX"/>
        </w:rPr>
        <w:t>C</w:t>
      </w:r>
      <w:r w:rsidR="00970B4F">
        <w:rPr>
          <w:lang w:val="es-MX"/>
        </w:rPr>
        <w:t>ovid</w:t>
      </w:r>
      <w:r>
        <w:rPr>
          <w:lang w:val="es-MX"/>
        </w:rPr>
        <w:t>-19, la inflación se registró a la baja debido a la disminución en los precios de transporte, agua, electricidad, gasto y otros combustibles relacionados a la fuerte baja de los precios internacionales del petróleo y sus derivados.</w:t>
      </w:r>
    </w:p>
    <w:p w:rsidR="00DB0F04" w:rsidRDefault="00DB0F04" w:rsidP="00DB0F04">
      <w:pPr>
        <w:ind w:right="49"/>
        <w:jc w:val="both"/>
        <w:rPr>
          <w:lang w:val="es-MX"/>
        </w:rPr>
      </w:pPr>
    </w:p>
    <w:p w:rsidR="00491F04" w:rsidRDefault="00DB0F04" w:rsidP="00DB0F04">
      <w:pPr>
        <w:pStyle w:val="Epgrafe"/>
        <w:keepNext/>
        <w:spacing w:after="0"/>
        <w:jc w:val="center"/>
        <w:rPr>
          <w:rFonts w:ascii="Times New Roman" w:hAnsi="Times New Roman" w:cs="Times New Roman"/>
          <w:b/>
          <w:bCs/>
          <w:i w:val="0"/>
          <w:iCs w:val="0"/>
          <w:color w:val="000000" w:themeColor="text1"/>
          <w:sz w:val="24"/>
          <w:szCs w:val="24"/>
        </w:rPr>
      </w:pPr>
      <w:r w:rsidRPr="00C4461F">
        <w:rPr>
          <w:rFonts w:ascii="Times New Roman" w:hAnsi="Times New Roman" w:cs="Times New Roman"/>
          <w:b/>
          <w:bCs/>
          <w:i w:val="0"/>
          <w:iCs w:val="0"/>
          <w:color w:val="000000" w:themeColor="text1"/>
          <w:sz w:val="24"/>
          <w:szCs w:val="24"/>
        </w:rPr>
        <w:t>Gráfic</w:t>
      </w:r>
      <w:r w:rsidR="00491F04">
        <w:rPr>
          <w:rFonts w:ascii="Times New Roman" w:hAnsi="Times New Roman" w:cs="Times New Roman"/>
          <w:b/>
          <w:bCs/>
          <w:i w:val="0"/>
          <w:iCs w:val="0"/>
          <w:color w:val="000000" w:themeColor="text1"/>
          <w:sz w:val="24"/>
          <w:szCs w:val="24"/>
        </w:rPr>
        <w:t>a 18</w:t>
      </w:r>
    </w:p>
    <w:p w:rsidR="00DB0F04" w:rsidRDefault="00DB0F04" w:rsidP="00DB0F04">
      <w:pPr>
        <w:pStyle w:val="Epgrafe"/>
        <w:keepNext/>
        <w:spacing w:after="0"/>
        <w:jc w:val="center"/>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 xml:space="preserve">Inflación </w:t>
      </w:r>
      <w:r w:rsidR="00491F04">
        <w:rPr>
          <w:rFonts w:ascii="Times New Roman" w:hAnsi="Times New Roman" w:cs="Times New Roman"/>
          <w:b/>
          <w:bCs/>
          <w:i w:val="0"/>
          <w:iCs w:val="0"/>
          <w:color w:val="000000" w:themeColor="text1"/>
          <w:sz w:val="24"/>
          <w:szCs w:val="24"/>
        </w:rPr>
        <w:t>I</w:t>
      </w:r>
      <w:r>
        <w:rPr>
          <w:rFonts w:ascii="Times New Roman" w:hAnsi="Times New Roman" w:cs="Times New Roman"/>
          <w:b/>
          <w:bCs/>
          <w:i w:val="0"/>
          <w:iCs w:val="0"/>
          <w:color w:val="000000" w:themeColor="text1"/>
          <w:sz w:val="24"/>
          <w:szCs w:val="24"/>
        </w:rPr>
        <w:t>nteranual en 2020</w:t>
      </w:r>
    </w:p>
    <w:p w:rsidR="00DB0F04" w:rsidRPr="00957EBA" w:rsidRDefault="00491F04" w:rsidP="00DB0F04">
      <w:pPr>
        <w:jc w:val="center"/>
        <w:rPr>
          <w:b/>
          <w:bCs/>
        </w:rPr>
      </w:pPr>
      <w:r>
        <w:rPr>
          <w:b/>
          <w:bCs/>
        </w:rPr>
        <w:t>(</w:t>
      </w:r>
      <w:r w:rsidR="00DB0F04" w:rsidRPr="00957EBA">
        <w:rPr>
          <w:b/>
          <w:bCs/>
        </w:rPr>
        <w:t xml:space="preserve">En </w:t>
      </w:r>
      <w:r w:rsidR="00970B4F">
        <w:rPr>
          <w:b/>
          <w:bCs/>
        </w:rPr>
        <w:t>P</w:t>
      </w:r>
      <w:r w:rsidR="00DB0F04" w:rsidRPr="00957EBA">
        <w:rPr>
          <w:b/>
          <w:bCs/>
        </w:rPr>
        <w:t>orcentaje</w:t>
      </w:r>
      <w:r w:rsidR="00970B4F">
        <w:rPr>
          <w:b/>
          <w:bCs/>
        </w:rPr>
        <w:t>s</w:t>
      </w:r>
      <w:r>
        <w:rPr>
          <w:b/>
          <w:bCs/>
        </w:rPr>
        <w:t>)</w:t>
      </w:r>
    </w:p>
    <w:p w:rsidR="00DB0F04" w:rsidRPr="00F44808" w:rsidRDefault="00DB0F04" w:rsidP="00DB0F04">
      <w:pPr>
        <w:autoSpaceDE w:val="0"/>
        <w:autoSpaceDN w:val="0"/>
        <w:adjustRightInd w:val="0"/>
        <w:jc w:val="center"/>
        <w:rPr>
          <w:b/>
          <w:lang w:val="es-MX"/>
        </w:rPr>
      </w:pPr>
      <w:r>
        <w:rPr>
          <w:noProof/>
          <w:lang w:val="es-GT" w:eastAsia="es-GT"/>
        </w:rPr>
        <w:drawing>
          <wp:inline distT="0" distB="0" distL="0" distR="0" wp14:anchorId="096278D1" wp14:editId="21C1AB6A">
            <wp:extent cx="5547815" cy="2524836"/>
            <wp:effectExtent l="0" t="0" r="15240" b="27940"/>
            <wp:docPr id="32" name="Gráfico 1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A70A152-6C87-4FCE-BE18-069B1F030D0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667EB" w:rsidRPr="00046E3F" w:rsidRDefault="001667EB" w:rsidP="001667EB">
      <w:pPr>
        <w:jc w:val="both"/>
        <w:rPr>
          <w:sz w:val="18"/>
          <w:lang w:val="es-MX"/>
        </w:rPr>
      </w:pPr>
      <w:r>
        <w:rPr>
          <w:sz w:val="18"/>
          <w:lang w:val="es-MX"/>
        </w:rPr>
        <w:t xml:space="preserve">   </w:t>
      </w:r>
      <w:r w:rsidRPr="00046E3F">
        <w:rPr>
          <w:sz w:val="18"/>
          <w:lang w:val="es-MX"/>
        </w:rPr>
        <w:t xml:space="preserve">Fuente: </w:t>
      </w:r>
      <w:r>
        <w:rPr>
          <w:sz w:val="18"/>
          <w:lang w:val="es-MX"/>
        </w:rPr>
        <w:t>Ministerio de Finanzas Públicas con información del BANGUAT.</w:t>
      </w:r>
    </w:p>
    <w:p w:rsidR="00DB0F04" w:rsidRDefault="00DB0F04" w:rsidP="00DB0F04">
      <w:pPr>
        <w:autoSpaceDE w:val="0"/>
        <w:autoSpaceDN w:val="0"/>
        <w:adjustRightInd w:val="0"/>
        <w:jc w:val="both"/>
        <w:rPr>
          <w:b/>
          <w:lang w:val="es-MX"/>
        </w:rPr>
      </w:pPr>
    </w:p>
    <w:p w:rsidR="00491F04" w:rsidRPr="001667EB" w:rsidRDefault="00491F04" w:rsidP="00DB0F04">
      <w:pPr>
        <w:autoSpaceDE w:val="0"/>
        <w:autoSpaceDN w:val="0"/>
        <w:adjustRightInd w:val="0"/>
        <w:jc w:val="both"/>
        <w:rPr>
          <w:b/>
          <w:lang w:val="es-MX"/>
        </w:rPr>
      </w:pPr>
    </w:p>
    <w:p w:rsidR="00DB0F04" w:rsidRDefault="00DB0F04" w:rsidP="00DB0F04">
      <w:pPr>
        <w:ind w:right="49"/>
        <w:jc w:val="both"/>
      </w:pPr>
      <w:r w:rsidRPr="00537726">
        <w:rPr>
          <w:lang w:val="es-MX"/>
        </w:rPr>
        <w:t>El precio spot promedio de enero a junio de 2020</w:t>
      </w:r>
      <w:r w:rsidR="00375658">
        <w:rPr>
          <w:lang w:val="es-MX"/>
        </w:rPr>
        <w:t>,</w:t>
      </w:r>
      <w:r w:rsidRPr="00537726">
        <w:rPr>
          <w:lang w:val="es-MX"/>
        </w:rPr>
        <w:t xml:space="preserve"> del barril de petróleo</w:t>
      </w:r>
      <w:r w:rsidR="00375658">
        <w:rPr>
          <w:lang w:val="es-MX"/>
        </w:rPr>
        <w:t>,</w:t>
      </w:r>
      <w:r w:rsidRPr="00537726">
        <w:rPr>
          <w:lang w:val="es-MX"/>
        </w:rPr>
        <w:t xml:space="preserve"> fue de US$37.4, un precio menor en 34.8% con respecto al promedio de los mismos meses en 2019. En enero de 2020</w:t>
      </w:r>
      <w:r w:rsidR="00375658">
        <w:rPr>
          <w:lang w:val="es-MX"/>
        </w:rPr>
        <w:t>,</w:t>
      </w:r>
      <w:r w:rsidRPr="00537726">
        <w:rPr>
          <w:lang w:val="es-MX"/>
        </w:rPr>
        <w:t xml:space="preserve"> </w:t>
      </w:r>
      <w:r w:rsidRPr="002E7D39">
        <w:t>el Banco Mundial pronosticaba una pequeña disminución del precio promedio del petróleo crudo</w:t>
      </w:r>
      <w:r>
        <w:t>,</w:t>
      </w:r>
      <w:r w:rsidRPr="002E7D39">
        <w:t xml:space="preserve"> </w:t>
      </w:r>
      <w:r>
        <w:t>c</w:t>
      </w:r>
      <w:r w:rsidRPr="002E7D39">
        <w:t>on la expectativa de que Estados Unidos continuara incrementando su capacidad instalada para la producción y almacenamiento</w:t>
      </w:r>
      <w:r>
        <w:t>.</w:t>
      </w:r>
      <w:r w:rsidRPr="002E7D39">
        <w:t xml:space="preserve"> </w:t>
      </w:r>
      <w:r>
        <w:t>S</w:t>
      </w:r>
      <w:r w:rsidRPr="002E7D39">
        <w:t>in embargo, la expansión de la pandemia del C</w:t>
      </w:r>
      <w:r w:rsidR="00375658">
        <w:t>ovid</w:t>
      </w:r>
      <w:r w:rsidRPr="002E7D39">
        <w:t>-19 y el rápido deterioro de la perspectiva económica mundial en el primer trimestre de 2020</w:t>
      </w:r>
      <w:r w:rsidR="00375658">
        <w:t>,</w:t>
      </w:r>
      <w:r w:rsidRPr="002E7D39">
        <w:t xml:space="preserve"> ocasionaron una fuerte volatilidad en los mercados del crudo de petróleo, </w:t>
      </w:r>
      <w:r>
        <w:t xml:space="preserve">y </w:t>
      </w:r>
      <w:r w:rsidRPr="002E7D39">
        <w:t xml:space="preserve">por no lograrse acuerdos entre los miembros de la OPEP, los precios cayeron en marzo y </w:t>
      </w:r>
      <w:r w:rsidR="00375658">
        <w:t>meses subsiguientes</w:t>
      </w:r>
      <w:r>
        <w:t>. Posteriormente</w:t>
      </w:r>
      <w:r w:rsidR="00375658">
        <w:t>,</w:t>
      </w:r>
      <w:r>
        <w:t xml:space="preserve"> </w:t>
      </w:r>
      <w:r w:rsidRPr="002E7D39">
        <w:t>el 20 de abril</w:t>
      </w:r>
      <w:r w:rsidR="00375658">
        <w:t xml:space="preserve"> de 2020,</w:t>
      </w:r>
      <w:r w:rsidRPr="002E7D39">
        <w:t xml:space="preserve"> los precios futuros de la bolsa de valores de Nueva York (NYMEX) se cotizaron negativos, llegando hasta -US$40/bbl.</w:t>
      </w:r>
      <w:r>
        <w:t xml:space="preserve"> y </w:t>
      </w:r>
      <w:r w:rsidR="00375658">
        <w:t xml:space="preserve">a </w:t>
      </w:r>
      <w:r>
        <w:t>partir de estos sucesos, la OPEP y los otros países productores de petróleo</w:t>
      </w:r>
      <w:r w:rsidR="00375658">
        <w:t>,</w:t>
      </w:r>
      <w:r>
        <w:t xml:space="preserve"> lograron acuerdos para la reducción de la producción, </w:t>
      </w:r>
      <w:r w:rsidR="00375658">
        <w:t xml:space="preserve">lo que </w:t>
      </w:r>
      <w:r>
        <w:t>aunado a una leve recuperación de la demanda, ha provocado que los precios aumenten, de tal manera que en junio</w:t>
      </w:r>
      <w:r w:rsidR="00375658">
        <w:t xml:space="preserve"> de 2020</w:t>
      </w:r>
      <w:r>
        <w:t xml:space="preserve"> el precio spot se registró en US$38.31/bbl.</w:t>
      </w:r>
    </w:p>
    <w:p w:rsidR="00DB0F04" w:rsidRDefault="00DB0F04" w:rsidP="00DB0F04">
      <w:pPr>
        <w:ind w:right="49"/>
        <w:jc w:val="both"/>
      </w:pPr>
    </w:p>
    <w:p w:rsidR="00DB0F04" w:rsidRDefault="00DB0F04" w:rsidP="00DB0F04">
      <w:pPr>
        <w:ind w:right="49"/>
        <w:jc w:val="both"/>
        <w:rPr>
          <w:lang w:val="es-MX"/>
        </w:rPr>
      </w:pPr>
      <w:r w:rsidRPr="00FE76BD">
        <w:rPr>
          <w:lang w:val="es-MX"/>
        </w:rPr>
        <w:t>A</w:t>
      </w:r>
      <w:r>
        <w:rPr>
          <w:lang w:val="es-MX"/>
        </w:rPr>
        <w:t xml:space="preserve"> </w:t>
      </w:r>
      <w:r w:rsidRPr="00FE76BD">
        <w:rPr>
          <w:lang w:val="es-MX"/>
        </w:rPr>
        <w:t>junio de 2020</w:t>
      </w:r>
      <w:r w:rsidR="00A9439F">
        <w:rPr>
          <w:lang w:val="es-MX"/>
        </w:rPr>
        <w:t>,</w:t>
      </w:r>
      <w:r w:rsidRPr="00FE76BD">
        <w:rPr>
          <w:lang w:val="es-MX"/>
        </w:rPr>
        <w:t xml:space="preserve"> a pesar de los efectos negativos mundiales del C</w:t>
      </w:r>
      <w:r w:rsidR="00A9439F">
        <w:rPr>
          <w:lang w:val="es-MX"/>
        </w:rPr>
        <w:t>ovid</w:t>
      </w:r>
      <w:r w:rsidRPr="00FE76BD">
        <w:rPr>
          <w:lang w:val="es-MX"/>
        </w:rPr>
        <w:t xml:space="preserve">-19, como lo es el movimiento de capitales derivado de la incertidumbre de los inversionistas y las bajas en las tasas de interés, el tipo de cambio </w:t>
      </w:r>
      <w:r>
        <w:rPr>
          <w:lang w:val="es-MX"/>
        </w:rPr>
        <w:t xml:space="preserve">de referencia </w:t>
      </w:r>
      <w:r w:rsidRPr="00FE76BD">
        <w:rPr>
          <w:lang w:val="es-MX"/>
        </w:rPr>
        <w:t>se ha mantenido estable, con excepción de marzo</w:t>
      </w:r>
      <w:r w:rsidR="00A9439F">
        <w:rPr>
          <w:lang w:val="es-MX"/>
        </w:rPr>
        <w:t>,</w:t>
      </w:r>
      <w:r w:rsidRPr="00FE76BD">
        <w:rPr>
          <w:lang w:val="es-MX"/>
        </w:rPr>
        <w:t xml:space="preserve"> en el </w:t>
      </w:r>
      <w:r w:rsidR="00A9439F">
        <w:rPr>
          <w:lang w:val="es-MX"/>
        </w:rPr>
        <w:t>que</w:t>
      </w:r>
      <w:r w:rsidRPr="00FE76BD">
        <w:rPr>
          <w:lang w:val="es-MX"/>
        </w:rPr>
        <w:t xml:space="preserve"> se registró </w:t>
      </w:r>
      <w:r>
        <w:rPr>
          <w:lang w:val="es-MX"/>
        </w:rPr>
        <w:t>una mayor volatilidad</w:t>
      </w:r>
      <w:r w:rsidRPr="00FE76BD">
        <w:rPr>
          <w:lang w:val="es-MX"/>
        </w:rPr>
        <w:t>, debi</w:t>
      </w:r>
      <w:r w:rsidR="00A9439F">
        <w:rPr>
          <w:lang w:val="es-MX"/>
        </w:rPr>
        <w:t>do</w:t>
      </w:r>
      <w:r w:rsidRPr="00FE76BD">
        <w:rPr>
          <w:lang w:val="es-MX"/>
        </w:rPr>
        <w:t xml:space="preserve"> a una fuerte depreciación que se </w:t>
      </w:r>
      <w:r w:rsidR="00A9439F">
        <w:rPr>
          <w:lang w:val="es-MX"/>
        </w:rPr>
        <w:t>produjo</w:t>
      </w:r>
      <w:r w:rsidRPr="00FE76BD">
        <w:rPr>
          <w:lang w:val="es-MX"/>
        </w:rPr>
        <w:t xml:space="preserve"> en las últimas semanas de dicho mes, en las cuales el tipo de cambio de referencia alcanzo los Q</w:t>
      </w:r>
      <w:r w:rsidR="00A9439F">
        <w:rPr>
          <w:lang w:val="es-MX"/>
        </w:rPr>
        <w:t>.</w:t>
      </w:r>
      <w:r w:rsidRPr="00FE76BD">
        <w:rPr>
          <w:lang w:val="es-MX"/>
        </w:rPr>
        <w:t>7.92 x US$1.00.</w:t>
      </w:r>
      <w:r>
        <w:rPr>
          <w:lang w:val="es-MX"/>
        </w:rPr>
        <w:t xml:space="preserve"> </w:t>
      </w:r>
      <w:r w:rsidRPr="00FE76BD">
        <w:rPr>
          <w:lang w:val="es-MX"/>
        </w:rPr>
        <w:t>Sin embargo, por la participación del Banco de Guatemala a través de la regla de participación y una participación excepcional (acumulación de reservas) en este mes</w:t>
      </w:r>
      <w:r w:rsidR="00A9439F">
        <w:rPr>
          <w:lang w:val="es-MX"/>
        </w:rPr>
        <w:t>,</w:t>
      </w:r>
      <w:r w:rsidRPr="00FE76BD">
        <w:rPr>
          <w:lang w:val="es-MX"/>
        </w:rPr>
        <w:t xml:space="preserve"> para poder ofertar una cantidad mayor para estabilizar la depreciación causada por la alta volatilidad</w:t>
      </w:r>
      <w:r>
        <w:rPr>
          <w:lang w:val="es-MX"/>
        </w:rPr>
        <w:t>,</w:t>
      </w:r>
      <w:r w:rsidRPr="00FE76BD">
        <w:rPr>
          <w:lang w:val="es-MX"/>
        </w:rPr>
        <w:t xml:space="preserve"> se ha logrado mantener estable el tipo de cambio en el presente año</w:t>
      </w:r>
      <w:r>
        <w:rPr>
          <w:lang w:val="es-MX"/>
        </w:rPr>
        <w:t>.</w:t>
      </w:r>
    </w:p>
    <w:p w:rsidR="00DB0F04" w:rsidRDefault="00DB0F04" w:rsidP="00DB0F04">
      <w:pPr>
        <w:autoSpaceDE w:val="0"/>
        <w:autoSpaceDN w:val="0"/>
        <w:adjustRightInd w:val="0"/>
        <w:jc w:val="both"/>
        <w:rPr>
          <w:b/>
          <w:lang w:val="es-MX"/>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4A0" w:firstRow="1" w:lastRow="0" w:firstColumn="1" w:lastColumn="0" w:noHBand="0" w:noVBand="1"/>
      </w:tblPr>
      <w:tblGrid>
        <w:gridCol w:w="4651"/>
        <w:gridCol w:w="4561"/>
      </w:tblGrid>
      <w:tr w:rsidR="00DB0F04" w:rsidTr="00D454CC">
        <w:tc>
          <w:tcPr>
            <w:tcW w:w="4414" w:type="dxa"/>
            <w:shd w:val="clear" w:color="auto" w:fill="auto"/>
          </w:tcPr>
          <w:p w:rsidR="00475459" w:rsidRDefault="00DB0F04" w:rsidP="00D454CC">
            <w:pPr>
              <w:pStyle w:val="Epgrafe"/>
              <w:keepNext/>
              <w:spacing w:after="0"/>
              <w:jc w:val="center"/>
              <w:rPr>
                <w:rFonts w:ascii="Times New Roman" w:hAnsi="Times New Roman" w:cs="Times New Roman"/>
                <w:b/>
                <w:bCs/>
                <w:i w:val="0"/>
                <w:iCs w:val="0"/>
                <w:color w:val="000000" w:themeColor="text1"/>
                <w:sz w:val="24"/>
                <w:szCs w:val="24"/>
              </w:rPr>
            </w:pPr>
            <w:r w:rsidRPr="0008610E">
              <w:rPr>
                <w:rFonts w:ascii="Times New Roman" w:hAnsi="Times New Roman" w:cs="Times New Roman"/>
                <w:b/>
                <w:bCs/>
                <w:i w:val="0"/>
                <w:iCs w:val="0"/>
                <w:color w:val="000000" w:themeColor="text1"/>
                <w:sz w:val="24"/>
                <w:szCs w:val="24"/>
              </w:rPr>
              <w:lastRenderedPageBreak/>
              <w:t>Gráfic</w:t>
            </w:r>
            <w:r w:rsidR="00475459">
              <w:rPr>
                <w:rFonts w:ascii="Times New Roman" w:hAnsi="Times New Roman" w:cs="Times New Roman"/>
                <w:b/>
                <w:bCs/>
                <w:i w:val="0"/>
                <w:iCs w:val="0"/>
                <w:color w:val="000000" w:themeColor="text1"/>
                <w:sz w:val="24"/>
                <w:szCs w:val="24"/>
              </w:rPr>
              <w:t>a 19</w:t>
            </w:r>
          </w:p>
          <w:p w:rsidR="00DB0F04" w:rsidRDefault="00DB0F04" w:rsidP="00D454CC">
            <w:pPr>
              <w:pStyle w:val="Epgrafe"/>
              <w:keepNext/>
              <w:spacing w:after="0"/>
              <w:jc w:val="center"/>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 xml:space="preserve">Precio </w:t>
            </w:r>
            <w:r w:rsidR="00475459">
              <w:rPr>
                <w:rFonts w:ascii="Times New Roman" w:hAnsi="Times New Roman" w:cs="Times New Roman"/>
                <w:b/>
                <w:bCs/>
                <w:i w:val="0"/>
                <w:iCs w:val="0"/>
                <w:color w:val="000000" w:themeColor="text1"/>
                <w:sz w:val="24"/>
                <w:szCs w:val="24"/>
              </w:rPr>
              <w:t>S</w:t>
            </w:r>
            <w:r>
              <w:rPr>
                <w:rFonts w:ascii="Times New Roman" w:hAnsi="Times New Roman" w:cs="Times New Roman"/>
                <w:b/>
                <w:bCs/>
                <w:i w:val="0"/>
                <w:iCs w:val="0"/>
                <w:color w:val="000000" w:themeColor="text1"/>
                <w:sz w:val="24"/>
                <w:szCs w:val="24"/>
              </w:rPr>
              <w:t xml:space="preserve">pot del </w:t>
            </w:r>
            <w:r w:rsidR="00475459">
              <w:rPr>
                <w:rFonts w:ascii="Times New Roman" w:hAnsi="Times New Roman" w:cs="Times New Roman"/>
                <w:b/>
                <w:bCs/>
                <w:i w:val="0"/>
                <w:iCs w:val="0"/>
                <w:color w:val="000000" w:themeColor="text1"/>
                <w:sz w:val="24"/>
                <w:szCs w:val="24"/>
              </w:rPr>
              <w:t>B</w:t>
            </w:r>
            <w:r>
              <w:rPr>
                <w:rFonts w:ascii="Times New Roman" w:hAnsi="Times New Roman" w:cs="Times New Roman"/>
                <w:b/>
                <w:bCs/>
                <w:i w:val="0"/>
                <w:iCs w:val="0"/>
                <w:color w:val="000000" w:themeColor="text1"/>
                <w:sz w:val="24"/>
                <w:szCs w:val="24"/>
              </w:rPr>
              <w:t xml:space="preserve">arril de </w:t>
            </w:r>
            <w:r w:rsidR="00475459">
              <w:rPr>
                <w:rFonts w:ascii="Times New Roman" w:hAnsi="Times New Roman" w:cs="Times New Roman"/>
                <w:b/>
                <w:bCs/>
                <w:i w:val="0"/>
                <w:iCs w:val="0"/>
                <w:color w:val="000000" w:themeColor="text1"/>
                <w:sz w:val="24"/>
                <w:szCs w:val="24"/>
              </w:rPr>
              <w:t>P</w:t>
            </w:r>
            <w:r>
              <w:rPr>
                <w:rFonts w:ascii="Times New Roman" w:hAnsi="Times New Roman" w:cs="Times New Roman"/>
                <w:b/>
                <w:bCs/>
                <w:i w:val="0"/>
                <w:iCs w:val="0"/>
                <w:color w:val="000000" w:themeColor="text1"/>
                <w:sz w:val="24"/>
                <w:szCs w:val="24"/>
              </w:rPr>
              <w:t>etróleo WTI</w:t>
            </w:r>
          </w:p>
          <w:p w:rsidR="00DB0F04" w:rsidRPr="00957EBA" w:rsidRDefault="00475459" w:rsidP="00D454CC">
            <w:pPr>
              <w:jc w:val="center"/>
              <w:rPr>
                <w:b/>
                <w:bCs/>
              </w:rPr>
            </w:pPr>
            <w:r>
              <w:rPr>
                <w:b/>
                <w:bCs/>
              </w:rPr>
              <w:t>(</w:t>
            </w:r>
            <w:r w:rsidR="00DB0F04" w:rsidRPr="00957EBA">
              <w:rPr>
                <w:b/>
                <w:bCs/>
              </w:rPr>
              <w:t xml:space="preserve">En </w:t>
            </w:r>
            <w:r w:rsidR="00A9439F">
              <w:rPr>
                <w:b/>
                <w:bCs/>
              </w:rPr>
              <w:t>P</w:t>
            </w:r>
            <w:r w:rsidR="00DB0F04" w:rsidRPr="00957EBA">
              <w:rPr>
                <w:b/>
                <w:bCs/>
              </w:rPr>
              <w:t>orcentaje</w:t>
            </w:r>
            <w:r w:rsidR="00A9439F">
              <w:rPr>
                <w:b/>
                <w:bCs/>
              </w:rPr>
              <w:t>s</w:t>
            </w:r>
            <w:r>
              <w:rPr>
                <w:b/>
                <w:bCs/>
              </w:rPr>
              <w:t>)</w:t>
            </w:r>
          </w:p>
          <w:p w:rsidR="00DB0F04" w:rsidRDefault="00DB0F04" w:rsidP="00D454CC">
            <w:pPr>
              <w:ind w:right="49"/>
              <w:jc w:val="both"/>
              <w:rPr>
                <w:lang w:val="es-MX"/>
              </w:rPr>
            </w:pPr>
            <w:r>
              <w:rPr>
                <w:noProof/>
                <w:lang w:val="es-GT" w:eastAsia="es-GT"/>
              </w:rPr>
              <w:drawing>
                <wp:inline distT="0" distB="0" distL="0" distR="0" wp14:anchorId="1DD9D1E9" wp14:editId="4856874C">
                  <wp:extent cx="2838734" cy="2968388"/>
                  <wp:effectExtent l="0" t="0" r="19050" b="22860"/>
                  <wp:docPr id="33" name="Gráfico 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1F8A56B5-C524-4349-ABF4-22DC3E9709C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c>
          <w:tcPr>
            <w:tcW w:w="4414" w:type="dxa"/>
            <w:shd w:val="clear" w:color="auto" w:fill="auto"/>
          </w:tcPr>
          <w:p w:rsidR="00475459" w:rsidRDefault="00DB0F04" w:rsidP="00D454CC">
            <w:pPr>
              <w:pStyle w:val="Epgrafe"/>
              <w:keepNext/>
              <w:spacing w:after="0"/>
              <w:jc w:val="center"/>
              <w:rPr>
                <w:rFonts w:ascii="Times New Roman" w:hAnsi="Times New Roman" w:cs="Times New Roman"/>
                <w:b/>
                <w:bCs/>
                <w:i w:val="0"/>
                <w:iCs w:val="0"/>
                <w:color w:val="000000" w:themeColor="text1"/>
                <w:sz w:val="24"/>
                <w:szCs w:val="24"/>
              </w:rPr>
            </w:pPr>
            <w:r w:rsidRPr="0008610E">
              <w:rPr>
                <w:rFonts w:ascii="Times New Roman" w:hAnsi="Times New Roman" w:cs="Times New Roman"/>
                <w:b/>
                <w:bCs/>
                <w:i w:val="0"/>
                <w:iCs w:val="0"/>
                <w:color w:val="000000" w:themeColor="text1"/>
                <w:sz w:val="24"/>
                <w:szCs w:val="24"/>
              </w:rPr>
              <w:t>Gráfic</w:t>
            </w:r>
            <w:r w:rsidR="00475459">
              <w:rPr>
                <w:rFonts w:ascii="Times New Roman" w:hAnsi="Times New Roman" w:cs="Times New Roman"/>
                <w:b/>
                <w:bCs/>
                <w:i w:val="0"/>
                <w:iCs w:val="0"/>
                <w:color w:val="000000" w:themeColor="text1"/>
                <w:sz w:val="24"/>
                <w:szCs w:val="24"/>
              </w:rPr>
              <w:t>a 20</w:t>
            </w:r>
          </w:p>
          <w:p w:rsidR="00DB0F04" w:rsidRDefault="00DB0F04" w:rsidP="00D454CC">
            <w:pPr>
              <w:pStyle w:val="Epgrafe"/>
              <w:keepNext/>
              <w:spacing w:after="0"/>
              <w:jc w:val="center"/>
              <w:rPr>
                <w:rFonts w:ascii="Times New Roman" w:hAnsi="Times New Roman" w:cs="Times New Roman"/>
                <w:b/>
                <w:bCs/>
                <w:i w:val="0"/>
                <w:iCs w:val="0"/>
                <w:color w:val="000000" w:themeColor="text1"/>
                <w:sz w:val="24"/>
                <w:szCs w:val="24"/>
              </w:rPr>
            </w:pPr>
            <w:r>
              <w:rPr>
                <w:rFonts w:ascii="Times New Roman" w:hAnsi="Times New Roman" w:cs="Times New Roman"/>
                <w:b/>
                <w:bCs/>
                <w:i w:val="0"/>
                <w:iCs w:val="0"/>
                <w:color w:val="000000" w:themeColor="text1"/>
                <w:sz w:val="24"/>
                <w:szCs w:val="24"/>
              </w:rPr>
              <w:t xml:space="preserve">Tipo de </w:t>
            </w:r>
            <w:r w:rsidR="00475459">
              <w:rPr>
                <w:rFonts w:ascii="Times New Roman" w:hAnsi="Times New Roman" w:cs="Times New Roman"/>
                <w:b/>
                <w:bCs/>
                <w:i w:val="0"/>
                <w:iCs w:val="0"/>
                <w:color w:val="000000" w:themeColor="text1"/>
                <w:sz w:val="24"/>
                <w:szCs w:val="24"/>
              </w:rPr>
              <w:t>C</w:t>
            </w:r>
            <w:r>
              <w:rPr>
                <w:rFonts w:ascii="Times New Roman" w:hAnsi="Times New Roman" w:cs="Times New Roman"/>
                <w:b/>
                <w:bCs/>
                <w:i w:val="0"/>
                <w:iCs w:val="0"/>
                <w:color w:val="000000" w:themeColor="text1"/>
                <w:sz w:val="24"/>
                <w:szCs w:val="24"/>
              </w:rPr>
              <w:t xml:space="preserve">ambio de </w:t>
            </w:r>
            <w:r w:rsidR="00475459">
              <w:rPr>
                <w:rFonts w:ascii="Times New Roman" w:hAnsi="Times New Roman" w:cs="Times New Roman"/>
                <w:b/>
                <w:bCs/>
                <w:i w:val="0"/>
                <w:iCs w:val="0"/>
                <w:color w:val="000000" w:themeColor="text1"/>
                <w:sz w:val="24"/>
                <w:szCs w:val="24"/>
              </w:rPr>
              <w:t>R</w:t>
            </w:r>
            <w:r>
              <w:rPr>
                <w:rFonts w:ascii="Times New Roman" w:hAnsi="Times New Roman" w:cs="Times New Roman"/>
                <w:b/>
                <w:bCs/>
                <w:i w:val="0"/>
                <w:iCs w:val="0"/>
                <w:color w:val="000000" w:themeColor="text1"/>
                <w:sz w:val="24"/>
                <w:szCs w:val="24"/>
              </w:rPr>
              <w:t>eferencia en 2020</w:t>
            </w:r>
          </w:p>
          <w:p w:rsidR="00DB0F04" w:rsidRPr="00957EBA" w:rsidRDefault="00475459" w:rsidP="00D454CC">
            <w:pPr>
              <w:jc w:val="center"/>
              <w:rPr>
                <w:b/>
                <w:bCs/>
              </w:rPr>
            </w:pPr>
            <w:r>
              <w:rPr>
                <w:b/>
                <w:bCs/>
                <w:lang w:val="es-GT"/>
              </w:rPr>
              <w:t>(</w:t>
            </w:r>
            <w:r w:rsidR="00DB0F04" w:rsidRPr="00957EBA">
              <w:rPr>
                <w:b/>
                <w:bCs/>
              </w:rPr>
              <w:t xml:space="preserve">En </w:t>
            </w:r>
            <w:r w:rsidR="00A9439F">
              <w:rPr>
                <w:b/>
                <w:bCs/>
              </w:rPr>
              <w:t>P</w:t>
            </w:r>
            <w:r w:rsidR="00DB0F04" w:rsidRPr="00957EBA">
              <w:rPr>
                <w:b/>
                <w:bCs/>
              </w:rPr>
              <w:t>orcentaje</w:t>
            </w:r>
            <w:r w:rsidR="00A9439F">
              <w:rPr>
                <w:b/>
                <w:bCs/>
              </w:rPr>
              <w:t>s</w:t>
            </w:r>
            <w:r>
              <w:rPr>
                <w:b/>
                <w:bCs/>
              </w:rPr>
              <w:t>)</w:t>
            </w:r>
          </w:p>
          <w:p w:rsidR="00DB0F04" w:rsidRDefault="00DB0F04" w:rsidP="00D454CC">
            <w:pPr>
              <w:ind w:right="49"/>
              <w:jc w:val="both"/>
              <w:rPr>
                <w:lang w:val="es-MX"/>
              </w:rPr>
            </w:pPr>
            <w:r>
              <w:rPr>
                <w:noProof/>
                <w:lang w:val="es-GT" w:eastAsia="es-GT"/>
              </w:rPr>
              <w:drawing>
                <wp:inline distT="0" distB="0" distL="0" distR="0" wp14:anchorId="3A915C88" wp14:editId="759792C9">
                  <wp:extent cx="2784143" cy="2941093"/>
                  <wp:effectExtent l="0" t="0" r="16510" b="12065"/>
                  <wp:docPr id="34" name="Gráfico 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a16="http://schemas.microsoft.com/office/drawing/2014/main" id="{43D51C0A-1D06-4166-9963-2567F7C49A3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rsidR="00A9439F" w:rsidRPr="00046E3F" w:rsidRDefault="00A9439F" w:rsidP="00A9439F">
      <w:pPr>
        <w:jc w:val="both"/>
        <w:rPr>
          <w:sz w:val="18"/>
          <w:lang w:val="es-MX"/>
        </w:rPr>
      </w:pPr>
      <w:r w:rsidRPr="00046E3F">
        <w:rPr>
          <w:sz w:val="18"/>
          <w:lang w:val="es-MX"/>
        </w:rPr>
        <w:t xml:space="preserve">Fuente: </w:t>
      </w:r>
      <w:r>
        <w:rPr>
          <w:sz w:val="18"/>
          <w:lang w:val="es-MX"/>
        </w:rPr>
        <w:t>Ministerio de Finanzas Públicas con información del BANGUAT.</w:t>
      </w:r>
    </w:p>
    <w:p w:rsidR="00DB0F04" w:rsidRDefault="00DB0F04" w:rsidP="00DB0F04">
      <w:pPr>
        <w:autoSpaceDE w:val="0"/>
        <w:autoSpaceDN w:val="0"/>
        <w:adjustRightInd w:val="0"/>
        <w:jc w:val="both"/>
        <w:rPr>
          <w:b/>
          <w:lang w:val="es-MX"/>
        </w:rPr>
      </w:pPr>
    </w:p>
    <w:p w:rsidR="00DB0F04" w:rsidRDefault="00DB0F04" w:rsidP="00DB0F04">
      <w:pPr>
        <w:autoSpaceDE w:val="0"/>
        <w:autoSpaceDN w:val="0"/>
        <w:adjustRightInd w:val="0"/>
        <w:jc w:val="both"/>
        <w:rPr>
          <w:b/>
        </w:rPr>
      </w:pPr>
    </w:p>
    <w:p w:rsidR="00DB0F04" w:rsidRDefault="00A9439F" w:rsidP="00F073BE">
      <w:pPr>
        <w:pStyle w:val="Prrafodelista"/>
        <w:numPr>
          <w:ilvl w:val="0"/>
          <w:numId w:val="9"/>
        </w:numPr>
        <w:autoSpaceDE w:val="0"/>
        <w:autoSpaceDN w:val="0"/>
        <w:adjustRightInd w:val="0"/>
        <w:contextualSpacing/>
        <w:jc w:val="both"/>
        <w:rPr>
          <w:b/>
        </w:rPr>
      </w:pPr>
      <w:r>
        <w:rPr>
          <w:b/>
        </w:rPr>
        <w:t xml:space="preserve">Ingresos </w:t>
      </w:r>
      <w:r w:rsidR="006911F9">
        <w:rPr>
          <w:b/>
        </w:rPr>
        <w:t>totales y</w:t>
      </w:r>
      <w:r w:rsidR="004F6E04" w:rsidRPr="006911F9">
        <w:rPr>
          <w:b/>
          <w:color w:val="000000" w:themeColor="text1"/>
        </w:rPr>
        <w:t xml:space="preserve"> </w:t>
      </w:r>
      <w:r w:rsidRPr="006911F9">
        <w:rPr>
          <w:b/>
          <w:color w:val="000000" w:themeColor="text1"/>
        </w:rPr>
        <w:t>tributarios</w:t>
      </w:r>
    </w:p>
    <w:p w:rsidR="00DB0F04" w:rsidRDefault="00DB0F04" w:rsidP="00DB0F04">
      <w:pPr>
        <w:autoSpaceDE w:val="0"/>
        <w:autoSpaceDN w:val="0"/>
        <w:adjustRightInd w:val="0"/>
        <w:jc w:val="both"/>
      </w:pPr>
    </w:p>
    <w:p w:rsidR="006911F9" w:rsidRDefault="006911F9" w:rsidP="006911F9">
      <w:pPr>
        <w:autoSpaceDE w:val="0"/>
        <w:autoSpaceDN w:val="0"/>
        <w:adjustRightInd w:val="0"/>
        <w:jc w:val="both"/>
      </w:pPr>
      <w:r>
        <w:t>Los ingresos más importantes que percibe el gobierno provienen de las fuentes tributarias (</w:t>
      </w:r>
      <w:r w:rsidR="00A14A1B">
        <w:t>59.4</w:t>
      </w:r>
      <w:r>
        <w:t>%), la negociación de bonos del tesoro (</w:t>
      </w:r>
      <w:r w:rsidR="00A14A1B">
        <w:t>27.9</w:t>
      </w:r>
      <w:r>
        <w:t>%)</w:t>
      </w:r>
      <w:r w:rsidR="00A14A1B">
        <w:t>, préstamos externos (5.3%)</w:t>
      </w:r>
      <w:r>
        <w:t xml:space="preserve"> e ingresos no tributarios (4.</w:t>
      </w:r>
      <w:r w:rsidR="00A14A1B">
        <w:t>2</w:t>
      </w:r>
      <w:r>
        <w:t>%).</w:t>
      </w:r>
    </w:p>
    <w:p w:rsidR="006911F9" w:rsidRDefault="006911F9" w:rsidP="006911F9">
      <w:pPr>
        <w:autoSpaceDE w:val="0"/>
        <w:autoSpaceDN w:val="0"/>
        <w:adjustRightInd w:val="0"/>
        <w:jc w:val="both"/>
      </w:pPr>
    </w:p>
    <w:p w:rsidR="006911F9" w:rsidRDefault="006911F9" w:rsidP="006911F9">
      <w:pPr>
        <w:autoSpaceDE w:val="0"/>
        <w:autoSpaceDN w:val="0"/>
        <w:adjustRightInd w:val="0"/>
        <w:jc w:val="both"/>
      </w:pPr>
      <w:r>
        <w:t>Al 30 de junio de 20</w:t>
      </w:r>
      <w:r w:rsidR="00C271A8">
        <w:t>20</w:t>
      </w:r>
      <w:r>
        <w:t xml:space="preserve">, se observa que los ingresos totales del gobierno central crecen un </w:t>
      </w:r>
      <w:r w:rsidR="003962E6">
        <w:t>22.9</w:t>
      </w:r>
      <w:r>
        <w:t xml:space="preserve">% respecto del mismo periodo del año anterior, debido a que el monto </w:t>
      </w:r>
      <w:r w:rsidR="003962E6">
        <w:t>vigente</w:t>
      </w:r>
      <w:r>
        <w:t xml:space="preserve"> de </w:t>
      </w:r>
      <w:r w:rsidR="003962E6">
        <w:t>préstamos externos</w:t>
      </w:r>
      <w:r>
        <w:t xml:space="preserve"> reportan un crecimiento interanual de </w:t>
      </w:r>
      <w:r w:rsidR="003962E6">
        <w:t>260.7</w:t>
      </w:r>
      <w:r>
        <w:t xml:space="preserve">%, mientras que la negociación de bonos del tesoro crece un </w:t>
      </w:r>
      <w:r w:rsidR="003962E6">
        <w:t>111.5</w:t>
      </w:r>
      <w:r>
        <w:t>%</w:t>
      </w:r>
      <w:r w:rsidR="003962E6">
        <w:t>, derivado del endeudamiento público que ha sido necesario contratar para atender la emergencia suscitada por la pandemia del Covid-19.</w:t>
      </w:r>
    </w:p>
    <w:p w:rsidR="006911F9" w:rsidRDefault="006911F9" w:rsidP="006911F9">
      <w:pPr>
        <w:autoSpaceDE w:val="0"/>
        <w:autoSpaceDN w:val="0"/>
        <w:adjustRightInd w:val="0"/>
        <w:jc w:val="both"/>
      </w:pPr>
    </w:p>
    <w:p w:rsidR="006911F9" w:rsidRDefault="006911F9" w:rsidP="006911F9">
      <w:pPr>
        <w:autoSpaceDE w:val="0"/>
        <w:autoSpaceDN w:val="0"/>
        <w:adjustRightInd w:val="0"/>
        <w:jc w:val="both"/>
      </w:pPr>
      <w:r>
        <w:t>Por su parte, el resto de ingresos (</w:t>
      </w:r>
      <w:r w:rsidR="003962E6">
        <w:t xml:space="preserve">tributarios, </w:t>
      </w:r>
      <w:r>
        <w:t>no tributarios</w:t>
      </w:r>
      <w:r w:rsidR="003962E6">
        <w:t>,</w:t>
      </w:r>
      <w:r>
        <w:t xml:space="preserve"> transferencias</w:t>
      </w:r>
      <w:r w:rsidR="003962E6">
        <w:t xml:space="preserve"> y uso de caja</w:t>
      </w:r>
      <w:r>
        <w:t xml:space="preserve">) reportan un ritmo </w:t>
      </w:r>
      <w:r w:rsidR="003962E6">
        <w:t>más o menos estable</w:t>
      </w:r>
      <w:r>
        <w:t>.</w:t>
      </w:r>
    </w:p>
    <w:p w:rsidR="006911F9" w:rsidRDefault="006911F9"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287D56" w:rsidRDefault="00287D56" w:rsidP="00DB0F04">
      <w:pPr>
        <w:autoSpaceDE w:val="0"/>
        <w:autoSpaceDN w:val="0"/>
        <w:adjustRightInd w:val="0"/>
        <w:jc w:val="both"/>
      </w:pPr>
    </w:p>
    <w:p w:rsidR="00B2076C" w:rsidRDefault="00B2076C" w:rsidP="00DB0F04">
      <w:pPr>
        <w:autoSpaceDE w:val="0"/>
        <w:autoSpaceDN w:val="0"/>
        <w:adjustRightInd w:val="0"/>
        <w:jc w:val="both"/>
      </w:pPr>
    </w:p>
    <w:p w:rsidR="006911F9" w:rsidRPr="00287D56" w:rsidRDefault="006911F9" w:rsidP="006911F9">
      <w:pPr>
        <w:jc w:val="center"/>
        <w:rPr>
          <w:b/>
          <w:lang w:val="es-MX"/>
        </w:rPr>
      </w:pPr>
      <w:r w:rsidRPr="00287D56">
        <w:rPr>
          <w:b/>
          <w:lang w:val="es-MX"/>
        </w:rPr>
        <w:t>Cuadro 1</w:t>
      </w:r>
      <w:r w:rsidR="00287D56">
        <w:rPr>
          <w:b/>
          <w:lang w:val="es-MX"/>
        </w:rPr>
        <w:t>9</w:t>
      </w:r>
    </w:p>
    <w:p w:rsidR="006911F9" w:rsidRPr="00287D56" w:rsidRDefault="006911F9" w:rsidP="006911F9">
      <w:pPr>
        <w:jc w:val="center"/>
        <w:rPr>
          <w:b/>
          <w:lang w:val="es-MX"/>
        </w:rPr>
      </w:pPr>
      <w:r w:rsidRPr="00287D56">
        <w:rPr>
          <w:b/>
          <w:lang w:val="es-MX"/>
        </w:rPr>
        <w:t>Presupuesto Asignado y Estimación de Ingresos Totales</w:t>
      </w:r>
    </w:p>
    <w:p w:rsidR="006911F9" w:rsidRPr="00287D56" w:rsidRDefault="006911F9" w:rsidP="006911F9">
      <w:pPr>
        <w:jc w:val="center"/>
        <w:rPr>
          <w:b/>
          <w:lang w:val="es-MX"/>
        </w:rPr>
      </w:pPr>
      <w:r w:rsidRPr="00287D56">
        <w:rPr>
          <w:b/>
          <w:lang w:val="es-MX"/>
        </w:rPr>
        <w:t>Ejercicio Fiscal 20</w:t>
      </w:r>
      <w:r w:rsidR="007025EA" w:rsidRPr="00287D56">
        <w:rPr>
          <w:b/>
          <w:lang w:val="es-MX"/>
        </w:rPr>
        <w:t>20</w:t>
      </w:r>
    </w:p>
    <w:p w:rsidR="006911F9" w:rsidRPr="00287D56" w:rsidRDefault="006911F9" w:rsidP="006911F9">
      <w:pPr>
        <w:pStyle w:val="Prrafodelista"/>
        <w:jc w:val="center"/>
        <w:rPr>
          <w:b/>
          <w:lang w:val="es-MX"/>
        </w:rPr>
      </w:pPr>
      <w:r w:rsidRPr="00287D56">
        <w:rPr>
          <w:b/>
          <w:lang w:val="es-MX"/>
        </w:rPr>
        <w:t>(Cifras en Millones de Quetzales)</w:t>
      </w:r>
    </w:p>
    <w:tbl>
      <w:tblPr>
        <w:tblW w:w="7938" w:type="dxa"/>
        <w:tblInd w:w="779" w:type="dxa"/>
        <w:tblCellMar>
          <w:left w:w="70" w:type="dxa"/>
          <w:right w:w="70" w:type="dxa"/>
        </w:tblCellMar>
        <w:tblLook w:val="04A0" w:firstRow="1" w:lastRow="0" w:firstColumn="1" w:lastColumn="0" w:noHBand="0" w:noVBand="1"/>
      </w:tblPr>
      <w:tblGrid>
        <w:gridCol w:w="3827"/>
        <w:gridCol w:w="2127"/>
        <w:gridCol w:w="1984"/>
      </w:tblGrid>
      <w:tr w:rsidR="006911F9" w:rsidRPr="0048016A" w:rsidTr="00AF5E1C">
        <w:trPr>
          <w:trHeight w:val="330"/>
        </w:trPr>
        <w:tc>
          <w:tcPr>
            <w:tcW w:w="3827" w:type="dxa"/>
            <w:tcBorders>
              <w:top w:val="single" w:sz="8" w:space="0" w:color="auto"/>
              <w:left w:val="single" w:sz="8" w:space="0" w:color="auto"/>
              <w:bottom w:val="single" w:sz="8" w:space="0" w:color="auto"/>
              <w:right w:val="single" w:sz="8" w:space="0" w:color="auto"/>
            </w:tcBorders>
            <w:shd w:val="clear" w:color="000000" w:fill="366092"/>
            <w:noWrap/>
            <w:vAlign w:val="center"/>
            <w:hideMark/>
          </w:tcPr>
          <w:p w:rsidR="006911F9" w:rsidRPr="00AF5E1C" w:rsidRDefault="006911F9" w:rsidP="007025EA">
            <w:pPr>
              <w:jc w:val="center"/>
              <w:rPr>
                <w:b/>
                <w:bCs/>
                <w:color w:val="FFFFFF"/>
                <w:lang w:val="es-GT" w:eastAsia="es-GT"/>
              </w:rPr>
            </w:pPr>
            <w:r w:rsidRPr="00AF5E1C">
              <w:rPr>
                <w:b/>
                <w:bCs/>
                <w:color w:val="FFFFFF"/>
                <w:lang w:val="es-GT" w:eastAsia="es-GT"/>
              </w:rPr>
              <w:t>Concepto</w:t>
            </w:r>
          </w:p>
        </w:tc>
        <w:tc>
          <w:tcPr>
            <w:tcW w:w="2127" w:type="dxa"/>
            <w:tcBorders>
              <w:top w:val="single" w:sz="8" w:space="0" w:color="auto"/>
              <w:left w:val="nil"/>
              <w:bottom w:val="single" w:sz="8" w:space="0" w:color="auto"/>
              <w:right w:val="single" w:sz="8" w:space="0" w:color="auto"/>
            </w:tcBorders>
            <w:shd w:val="clear" w:color="000000" w:fill="366092"/>
            <w:noWrap/>
            <w:vAlign w:val="center"/>
            <w:hideMark/>
          </w:tcPr>
          <w:p w:rsidR="006911F9" w:rsidRPr="00AF5E1C" w:rsidRDefault="006911F9" w:rsidP="007025EA">
            <w:pPr>
              <w:jc w:val="center"/>
              <w:rPr>
                <w:b/>
                <w:bCs/>
                <w:color w:val="FFFFFF"/>
                <w:lang w:val="es-GT" w:eastAsia="es-GT"/>
              </w:rPr>
            </w:pPr>
            <w:r w:rsidRPr="00AF5E1C">
              <w:rPr>
                <w:b/>
                <w:bCs/>
                <w:color w:val="FFFFFF"/>
                <w:lang w:val="es-GT" w:eastAsia="es-GT"/>
              </w:rPr>
              <w:t>Presupuesto</w:t>
            </w:r>
          </w:p>
        </w:tc>
        <w:tc>
          <w:tcPr>
            <w:tcW w:w="1984" w:type="dxa"/>
            <w:tcBorders>
              <w:top w:val="single" w:sz="8" w:space="0" w:color="auto"/>
              <w:left w:val="nil"/>
              <w:bottom w:val="single" w:sz="8" w:space="0" w:color="auto"/>
              <w:right w:val="single" w:sz="8" w:space="0" w:color="auto"/>
            </w:tcBorders>
            <w:shd w:val="clear" w:color="000000" w:fill="366092"/>
            <w:noWrap/>
            <w:vAlign w:val="center"/>
            <w:hideMark/>
          </w:tcPr>
          <w:p w:rsidR="006911F9" w:rsidRPr="00AF5E1C" w:rsidRDefault="006911F9" w:rsidP="007025EA">
            <w:pPr>
              <w:jc w:val="center"/>
              <w:rPr>
                <w:b/>
                <w:bCs/>
                <w:color w:val="FFFFFF"/>
                <w:lang w:val="es-GT" w:eastAsia="es-GT"/>
              </w:rPr>
            </w:pPr>
            <w:r w:rsidRPr="00AF5E1C">
              <w:rPr>
                <w:b/>
                <w:bCs/>
                <w:color w:val="FFFFFF"/>
                <w:lang w:val="es-GT" w:eastAsia="es-GT"/>
              </w:rPr>
              <w:t>Estimación</w:t>
            </w:r>
          </w:p>
        </w:tc>
      </w:tr>
      <w:tr w:rsidR="007025EA" w:rsidRPr="0048016A" w:rsidTr="00AF5E1C">
        <w:trPr>
          <w:trHeight w:val="315"/>
        </w:trPr>
        <w:tc>
          <w:tcPr>
            <w:tcW w:w="3827" w:type="dxa"/>
            <w:tcBorders>
              <w:top w:val="nil"/>
              <w:left w:val="single" w:sz="8" w:space="0" w:color="auto"/>
              <w:bottom w:val="nil"/>
              <w:right w:val="single" w:sz="8" w:space="0" w:color="auto"/>
            </w:tcBorders>
            <w:shd w:val="clear" w:color="auto" w:fill="auto"/>
            <w:noWrap/>
            <w:vAlign w:val="center"/>
            <w:hideMark/>
          </w:tcPr>
          <w:p w:rsidR="007025EA" w:rsidRPr="00AF5E1C" w:rsidRDefault="007025EA" w:rsidP="007025EA">
            <w:pPr>
              <w:jc w:val="center"/>
              <w:rPr>
                <w:b/>
                <w:bCs/>
                <w:sz w:val="22"/>
                <w:szCs w:val="20"/>
                <w:lang w:val="es-GT" w:eastAsia="es-GT"/>
              </w:rPr>
            </w:pPr>
            <w:r w:rsidRPr="00AF5E1C">
              <w:rPr>
                <w:b/>
                <w:bCs/>
                <w:sz w:val="22"/>
                <w:szCs w:val="20"/>
                <w:lang w:val="es-GT" w:eastAsia="es-GT"/>
              </w:rPr>
              <w:t>Total</w:t>
            </w:r>
          </w:p>
        </w:tc>
        <w:tc>
          <w:tcPr>
            <w:tcW w:w="2127" w:type="dxa"/>
            <w:tcBorders>
              <w:top w:val="nil"/>
              <w:left w:val="nil"/>
              <w:bottom w:val="nil"/>
              <w:right w:val="single" w:sz="8" w:space="0" w:color="auto"/>
            </w:tcBorders>
            <w:shd w:val="clear" w:color="auto" w:fill="auto"/>
            <w:noWrap/>
            <w:vAlign w:val="center"/>
            <w:hideMark/>
          </w:tcPr>
          <w:p w:rsidR="007025EA" w:rsidRPr="00AF5E1C" w:rsidRDefault="007025EA">
            <w:pPr>
              <w:jc w:val="right"/>
              <w:rPr>
                <w:b/>
                <w:bCs/>
                <w:sz w:val="22"/>
                <w:szCs w:val="20"/>
              </w:rPr>
            </w:pPr>
            <w:r w:rsidRPr="00AF5E1C">
              <w:rPr>
                <w:b/>
                <w:bCs/>
                <w:sz w:val="22"/>
                <w:szCs w:val="20"/>
              </w:rPr>
              <w:t>107,760.7</w:t>
            </w:r>
          </w:p>
        </w:tc>
        <w:tc>
          <w:tcPr>
            <w:tcW w:w="1984" w:type="dxa"/>
            <w:tcBorders>
              <w:top w:val="nil"/>
              <w:left w:val="nil"/>
              <w:bottom w:val="nil"/>
              <w:right w:val="single" w:sz="8" w:space="0" w:color="auto"/>
            </w:tcBorders>
            <w:shd w:val="clear" w:color="auto" w:fill="auto"/>
            <w:noWrap/>
            <w:vAlign w:val="center"/>
            <w:hideMark/>
          </w:tcPr>
          <w:p w:rsidR="007025EA" w:rsidRPr="00AF5E1C" w:rsidRDefault="007025EA">
            <w:pPr>
              <w:jc w:val="right"/>
              <w:rPr>
                <w:b/>
                <w:bCs/>
                <w:sz w:val="22"/>
                <w:szCs w:val="20"/>
              </w:rPr>
            </w:pPr>
            <w:r w:rsidRPr="00AF5E1C">
              <w:rPr>
                <w:b/>
                <w:bCs/>
                <w:sz w:val="22"/>
                <w:szCs w:val="20"/>
              </w:rPr>
              <w:t>97,671.3</w:t>
            </w:r>
          </w:p>
        </w:tc>
      </w:tr>
      <w:tr w:rsidR="007025EA" w:rsidRPr="0048016A" w:rsidTr="00AF5E1C">
        <w:trPr>
          <w:trHeight w:val="315"/>
        </w:trPr>
        <w:tc>
          <w:tcPr>
            <w:tcW w:w="3827" w:type="dxa"/>
            <w:tcBorders>
              <w:top w:val="nil"/>
              <w:left w:val="single" w:sz="8" w:space="0" w:color="auto"/>
              <w:bottom w:val="nil"/>
              <w:right w:val="single" w:sz="8" w:space="0" w:color="auto"/>
            </w:tcBorders>
            <w:shd w:val="clear" w:color="auto" w:fill="auto"/>
            <w:noWrap/>
            <w:vAlign w:val="center"/>
            <w:hideMark/>
          </w:tcPr>
          <w:p w:rsidR="007025EA" w:rsidRPr="00AF5E1C" w:rsidRDefault="007025EA" w:rsidP="007025EA">
            <w:pPr>
              <w:rPr>
                <w:sz w:val="22"/>
                <w:szCs w:val="20"/>
                <w:lang w:val="es-GT" w:eastAsia="es-GT"/>
              </w:rPr>
            </w:pPr>
            <w:r w:rsidRPr="00AF5E1C">
              <w:rPr>
                <w:sz w:val="22"/>
                <w:szCs w:val="20"/>
                <w:lang w:val="es-GT" w:eastAsia="es-GT"/>
              </w:rPr>
              <w:t>Ingresos Tributarios</w:t>
            </w:r>
          </w:p>
        </w:tc>
        <w:tc>
          <w:tcPr>
            <w:tcW w:w="2127"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64,027.7</w:t>
            </w:r>
          </w:p>
        </w:tc>
        <w:tc>
          <w:tcPr>
            <w:tcW w:w="1984"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57,107.8</w:t>
            </w:r>
          </w:p>
        </w:tc>
      </w:tr>
      <w:tr w:rsidR="007025EA" w:rsidRPr="0048016A" w:rsidTr="00AF5E1C">
        <w:trPr>
          <w:trHeight w:val="315"/>
        </w:trPr>
        <w:tc>
          <w:tcPr>
            <w:tcW w:w="3827" w:type="dxa"/>
            <w:tcBorders>
              <w:top w:val="nil"/>
              <w:left w:val="single" w:sz="8" w:space="0" w:color="auto"/>
              <w:bottom w:val="nil"/>
              <w:right w:val="single" w:sz="8" w:space="0" w:color="auto"/>
            </w:tcBorders>
            <w:shd w:val="clear" w:color="auto" w:fill="auto"/>
            <w:noWrap/>
            <w:vAlign w:val="center"/>
            <w:hideMark/>
          </w:tcPr>
          <w:p w:rsidR="007025EA" w:rsidRPr="00AF5E1C" w:rsidRDefault="007025EA" w:rsidP="007025EA">
            <w:pPr>
              <w:rPr>
                <w:sz w:val="22"/>
                <w:szCs w:val="20"/>
                <w:lang w:val="es-GT" w:eastAsia="es-GT"/>
              </w:rPr>
            </w:pPr>
            <w:r w:rsidRPr="00AF5E1C">
              <w:rPr>
                <w:sz w:val="22"/>
                <w:szCs w:val="20"/>
                <w:lang w:val="es-GT" w:eastAsia="es-GT"/>
              </w:rPr>
              <w:t>Ingresos No Tributarios</w:t>
            </w:r>
          </w:p>
        </w:tc>
        <w:tc>
          <w:tcPr>
            <w:tcW w:w="2127"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4,557.6</w:t>
            </w:r>
          </w:p>
        </w:tc>
        <w:tc>
          <w:tcPr>
            <w:tcW w:w="1984"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3,858.6</w:t>
            </w:r>
          </w:p>
        </w:tc>
      </w:tr>
      <w:tr w:rsidR="007025EA" w:rsidRPr="0048016A" w:rsidTr="00AF5E1C">
        <w:trPr>
          <w:trHeight w:val="315"/>
        </w:trPr>
        <w:tc>
          <w:tcPr>
            <w:tcW w:w="3827" w:type="dxa"/>
            <w:tcBorders>
              <w:top w:val="nil"/>
              <w:left w:val="single" w:sz="8" w:space="0" w:color="auto"/>
              <w:bottom w:val="nil"/>
              <w:right w:val="single" w:sz="8" w:space="0" w:color="auto"/>
            </w:tcBorders>
            <w:shd w:val="clear" w:color="auto" w:fill="auto"/>
            <w:noWrap/>
            <w:vAlign w:val="center"/>
            <w:hideMark/>
          </w:tcPr>
          <w:p w:rsidR="007025EA" w:rsidRPr="00AF5E1C" w:rsidRDefault="007025EA" w:rsidP="007025EA">
            <w:pPr>
              <w:rPr>
                <w:sz w:val="22"/>
                <w:szCs w:val="20"/>
                <w:lang w:val="es-GT" w:eastAsia="es-GT"/>
              </w:rPr>
            </w:pPr>
            <w:r w:rsidRPr="00AF5E1C">
              <w:rPr>
                <w:sz w:val="22"/>
                <w:szCs w:val="20"/>
                <w:lang w:val="es-GT" w:eastAsia="es-GT"/>
              </w:rPr>
              <w:t>Ingresos de Capital</w:t>
            </w:r>
          </w:p>
        </w:tc>
        <w:tc>
          <w:tcPr>
            <w:tcW w:w="2127"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3.4</w:t>
            </w:r>
          </w:p>
        </w:tc>
        <w:tc>
          <w:tcPr>
            <w:tcW w:w="1984"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3.7</w:t>
            </w:r>
          </w:p>
        </w:tc>
      </w:tr>
      <w:tr w:rsidR="007025EA" w:rsidRPr="0048016A" w:rsidTr="00AF5E1C">
        <w:trPr>
          <w:trHeight w:val="315"/>
        </w:trPr>
        <w:tc>
          <w:tcPr>
            <w:tcW w:w="3827" w:type="dxa"/>
            <w:tcBorders>
              <w:top w:val="nil"/>
              <w:left w:val="single" w:sz="8" w:space="0" w:color="auto"/>
              <w:bottom w:val="nil"/>
              <w:right w:val="single" w:sz="8" w:space="0" w:color="auto"/>
            </w:tcBorders>
            <w:shd w:val="clear" w:color="auto" w:fill="auto"/>
            <w:noWrap/>
            <w:vAlign w:val="center"/>
            <w:hideMark/>
          </w:tcPr>
          <w:p w:rsidR="007025EA" w:rsidRPr="00AF5E1C" w:rsidRDefault="007025EA" w:rsidP="007025EA">
            <w:pPr>
              <w:rPr>
                <w:sz w:val="22"/>
                <w:szCs w:val="20"/>
                <w:lang w:val="es-GT" w:eastAsia="es-GT"/>
              </w:rPr>
            </w:pPr>
            <w:r w:rsidRPr="00AF5E1C">
              <w:rPr>
                <w:sz w:val="22"/>
                <w:szCs w:val="20"/>
                <w:lang w:val="es-GT" w:eastAsia="es-GT"/>
              </w:rPr>
              <w:t>Desembolsos de Préstamos</w:t>
            </w:r>
          </w:p>
        </w:tc>
        <w:tc>
          <w:tcPr>
            <w:tcW w:w="2127"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5,744.1</w:t>
            </w:r>
          </w:p>
        </w:tc>
        <w:tc>
          <w:tcPr>
            <w:tcW w:w="1984"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4,234.6</w:t>
            </w:r>
          </w:p>
        </w:tc>
      </w:tr>
      <w:tr w:rsidR="007025EA" w:rsidRPr="0048016A" w:rsidTr="00AF5E1C">
        <w:trPr>
          <w:trHeight w:val="315"/>
        </w:trPr>
        <w:tc>
          <w:tcPr>
            <w:tcW w:w="3827" w:type="dxa"/>
            <w:tcBorders>
              <w:top w:val="nil"/>
              <w:left w:val="single" w:sz="8" w:space="0" w:color="auto"/>
              <w:bottom w:val="nil"/>
              <w:right w:val="single" w:sz="8" w:space="0" w:color="auto"/>
            </w:tcBorders>
            <w:shd w:val="clear" w:color="auto" w:fill="auto"/>
            <w:noWrap/>
            <w:vAlign w:val="center"/>
            <w:hideMark/>
          </w:tcPr>
          <w:p w:rsidR="007025EA" w:rsidRPr="00AF5E1C" w:rsidRDefault="007025EA" w:rsidP="007025EA">
            <w:pPr>
              <w:rPr>
                <w:sz w:val="22"/>
                <w:szCs w:val="20"/>
                <w:lang w:val="es-GT" w:eastAsia="es-GT"/>
              </w:rPr>
            </w:pPr>
            <w:r w:rsidRPr="00AF5E1C">
              <w:rPr>
                <w:sz w:val="22"/>
                <w:szCs w:val="20"/>
                <w:lang w:val="es-GT" w:eastAsia="es-GT"/>
              </w:rPr>
              <w:t>Negociación de Bonos*</w:t>
            </w:r>
          </w:p>
        </w:tc>
        <w:tc>
          <w:tcPr>
            <w:tcW w:w="2127"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30,047.9</w:t>
            </w:r>
          </w:p>
        </w:tc>
        <w:tc>
          <w:tcPr>
            <w:tcW w:w="1984" w:type="dxa"/>
            <w:tcBorders>
              <w:top w:val="nil"/>
              <w:left w:val="nil"/>
              <w:bottom w:val="nil"/>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30,047.9</w:t>
            </w:r>
          </w:p>
        </w:tc>
      </w:tr>
      <w:tr w:rsidR="007025EA" w:rsidRPr="0048016A" w:rsidTr="00AF5E1C">
        <w:trPr>
          <w:trHeight w:val="315"/>
        </w:trPr>
        <w:tc>
          <w:tcPr>
            <w:tcW w:w="3827" w:type="dxa"/>
            <w:tcBorders>
              <w:top w:val="nil"/>
              <w:left w:val="single" w:sz="8" w:space="0" w:color="auto"/>
              <w:bottom w:val="nil"/>
              <w:right w:val="single" w:sz="8" w:space="0" w:color="auto"/>
            </w:tcBorders>
            <w:shd w:val="clear" w:color="auto" w:fill="auto"/>
            <w:noWrap/>
            <w:vAlign w:val="center"/>
            <w:hideMark/>
          </w:tcPr>
          <w:p w:rsidR="007025EA" w:rsidRPr="00AF5E1C" w:rsidRDefault="007025EA" w:rsidP="007025EA">
            <w:pPr>
              <w:rPr>
                <w:sz w:val="22"/>
                <w:szCs w:val="20"/>
                <w:lang w:val="es-GT" w:eastAsia="es-GT"/>
              </w:rPr>
            </w:pPr>
            <w:r w:rsidRPr="00AF5E1C">
              <w:rPr>
                <w:sz w:val="22"/>
                <w:szCs w:val="20"/>
                <w:lang w:val="es-GT" w:eastAsia="es-GT"/>
              </w:rPr>
              <w:t>Prima de Colocación de Bonos</w:t>
            </w:r>
          </w:p>
        </w:tc>
        <w:tc>
          <w:tcPr>
            <w:tcW w:w="2127" w:type="dxa"/>
            <w:tcBorders>
              <w:top w:val="nil"/>
              <w:left w:val="nil"/>
              <w:bottom w:val="nil"/>
              <w:right w:val="single" w:sz="8" w:space="0" w:color="auto"/>
            </w:tcBorders>
            <w:shd w:val="clear" w:color="auto" w:fill="auto"/>
            <w:noWrap/>
            <w:hideMark/>
          </w:tcPr>
          <w:p w:rsidR="007025EA" w:rsidRPr="00AF5E1C" w:rsidRDefault="007025EA">
            <w:pPr>
              <w:jc w:val="right"/>
              <w:rPr>
                <w:sz w:val="22"/>
                <w:szCs w:val="20"/>
              </w:rPr>
            </w:pPr>
            <w:r w:rsidRPr="00AF5E1C">
              <w:rPr>
                <w:sz w:val="22"/>
                <w:szCs w:val="20"/>
              </w:rPr>
              <w:t>0.0</w:t>
            </w:r>
          </w:p>
        </w:tc>
        <w:tc>
          <w:tcPr>
            <w:tcW w:w="1984" w:type="dxa"/>
            <w:tcBorders>
              <w:top w:val="nil"/>
              <w:left w:val="nil"/>
              <w:bottom w:val="nil"/>
              <w:right w:val="single" w:sz="8" w:space="0" w:color="auto"/>
            </w:tcBorders>
            <w:shd w:val="clear" w:color="auto" w:fill="auto"/>
            <w:noWrap/>
            <w:hideMark/>
          </w:tcPr>
          <w:p w:rsidR="007025EA" w:rsidRPr="00AF5E1C" w:rsidRDefault="007025EA">
            <w:pPr>
              <w:jc w:val="right"/>
              <w:rPr>
                <w:sz w:val="22"/>
                <w:szCs w:val="20"/>
              </w:rPr>
            </w:pPr>
            <w:r w:rsidRPr="00AF5E1C">
              <w:rPr>
                <w:sz w:val="22"/>
                <w:szCs w:val="20"/>
              </w:rPr>
              <w:t>1,195.2</w:t>
            </w:r>
          </w:p>
        </w:tc>
      </w:tr>
      <w:tr w:rsidR="007025EA" w:rsidRPr="0048016A" w:rsidTr="00AF5E1C">
        <w:trPr>
          <w:trHeight w:val="330"/>
        </w:trPr>
        <w:tc>
          <w:tcPr>
            <w:tcW w:w="3827" w:type="dxa"/>
            <w:tcBorders>
              <w:top w:val="nil"/>
              <w:left w:val="single" w:sz="8" w:space="0" w:color="auto"/>
              <w:bottom w:val="single" w:sz="8" w:space="0" w:color="auto"/>
              <w:right w:val="single" w:sz="8" w:space="0" w:color="auto"/>
            </w:tcBorders>
            <w:shd w:val="clear" w:color="auto" w:fill="auto"/>
            <w:noWrap/>
            <w:vAlign w:val="center"/>
            <w:hideMark/>
          </w:tcPr>
          <w:p w:rsidR="007025EA" w:rsidRPr="00AF5E1C" w:rsidRDefault="007025EA" w:rsidP="007025EA">
            <w:pPr>
              <w:rPr>
                <w:sz w:val="22"/>
                <w:szCs w:val="20"/>
                <w:lang w:val="es-GT" w:eastAsia="es-GT"/>
              </w:rPr>
            </w:pPr>
            <w:r w:rsidRPr="00AF5E1C">
              <w:rPr>
                <w:sz w:val="22"/>
                <w:szCs w:val="20"/>
                <w:lang w:val="es-GT" w:eastAsia="es-GT"/>
              </w:rPr>
              <w:t>Uso de Recursos de Caja</w:t>
            </w:r>
          </w:p>
        </w:tc>
        <w:tc>
          <w:tcPr>
            <w:tcW w:w="2127" w:type="dxa"/>
            <w:tcBorders>
              <w:top w:val="nil"/>
              <w:left w:val="nil"/>
              <w:bottom w:val="single" w:sz="8" w:space="0" w:color="auto"/>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3,380.0</w:t>
            </w:r>
          </w:p>
        </w:tc>
        <w:tc>
          <w:tcPr>
            <w:tcW w:w="1984" w:type="dxa"/>
            <w:tcBorders>
              <w:top w:val="nil"/>
              <w:left w:val="nil"/>
              <w:bottom w:val="single" w:sz="8" w:space="0" w:color="auto"/>
              <w:right w:val="single" w:sz="8" w:space="0" w:color="auto"/>
            </w:tcBorders>
            <w:shd w:val="clear" w:color="auto" w:fill="auto"/>
            <w:noWrap/>
            <w:vAlign w:val="center"/>
            <w:hideMark/>
          </w:tcPr>
          <w:p w:rsidR="007025EA" w:rsidRPr="00AF5E1C" w:rsidRDefault="007025EA">
            <w:pPr>
              <w:jc w:val="right"/>
              <w:rPr>
                <w:sz w:val="22"/>
                <w:szCs w:val="20"/>
              </w:rPr>
            </w:pPr>
            <w:r w:rsidRPr="00AF5E1C">
              <w:rPr>
                <w:sz w:val="22"/>
                <w:szCs w:val="20"/>
              </w:rPr>
              <w:t>1,223.4</w:t>
            </w:r>
          </w:p>
        </w:tc>
      </w:tr>
    </w:tbl>
    <w:p w:rsidR="006911F9" w:rsidRPr="0048016A" w:rsidRDefault="006911F9" w:rsidP="006911F9">
      <w:pPr>
        <w:pStyle w:val="Prrafodelista"/>
        <w:autoSpaceDE w:val="0"/>
        <w:autoSpaceDN w:val="0"/>
        <w:adjustRightInd w:val="0"/>
        <w:ind w:left="709"/>
        <w:jc w:val="both"/>
        <w:rPr>
          <w:sz w:val="18"/>
        </w:rPr>
      </w:pPr>
      <w:r w:rsidRPr="0048016A">
        <w:rPr>
          <w:sz w:val="18"/>
        </w:rPr>
        <w:t>* Incluye colocación de Eurobonos.</w:t>
      </w:r>
    </w:p>
    <w:p w:rsidR="006911F9" w:rsidRDefault="006911F9" w:rsidP="006911F9">
      <w:pPr>
        <w:autoSpaceDE w:val="0"/>
        <w:autoSpaceDN w:val="0"/>
        <w:adjustRightInd w:val="0"/>
        <w:jc w:val="both"/>
      </w:pPr>
      <w:r w:rsidRPr="0048016A">
        <w:rPr>
          <w:sz w:val="18"/>
          <w:lang w:val="es-MX"/>
        </w:rPr>
        <w:t xml:space="preserve">                   Fuente: Ministerio de Finanzas Públicas.</w:t>
      </w:r>
    </w:p>
    <w:p w:rsidR="006911F9" w:rsidRDefault="006911F9" w:rsidP="00DB0F04">
      <w:pPr>
        <w:autoSpaceDE w:val="0"/>
        <w:autoSpaceDN w:val="0"/>
        <w:adjustRightInd w:val="0"/>
        <w:jc w:val="both"/>
      </w:pPr>
    </w:p>
    <w:p w:rsidR="006911F9" w:rsidRDefault="006911F9" w:rsidP="00DB0F04">
      <w:pPr>
        <w:autoSpaceDE w:val="0"/>
        <w:autoSpaceDN w:val="0"/>
        <w:adjustRightInd w:val="0"/>
        <w:jc w:val="both"/>
      </w:pPr>
    </w:p>
    <w:p w:rsidR="00DB0F04" w:rsidRPr="0015079C" w:rsidRDefault="00DB0F04" w:rsidP="00DB0F04">
      <w:pPr>
        <w:autoSpaceDE w:val="0"/>
        <w:autoSpaceDN w:val="0"/>
        <w:adjustRightInd w:val="0"/>
        <w:jc w:val="both"/>
      </w:pPr>
      <w:r>
        <w:t xml:space="preserve">Cifras preliminares de </w:t>
      </w:r>
      <w:r w:rsidRPr="0015079C">
        <w:t>recaudación tributaria acumulada a junio</w:t>
      </w:r>
      <w:r w:rsidR="00FA502D">
        <w:t xml:space="preserve"> de 2020,</w:t>
      </w:r>
      <w:r w:rsidRPr="0015079C">
        <w:t xml:space="preserve"> presenta una brecha negativa de Q</w:t>
      </w:r>
      <w:r w:rsidR="00FA502D">
        <w:t>.</w:t>
      </w:r>
      <w:r w:rsidRPr="0015079C">
        <w:t>2,</w:t>
      </w:r>
      <w:r>
        <w:t>701.6</w:t>
      </w:r>
      <w:r w:rsidRPr="0015079C">
        <w:t xml:space="preserve"> millones</w:t>
      </w:r>
      <w:r w:rsidR="00FA502D">
        <w:t>, con</w:t>
      </w:r>
      <w:r w:rsidRPr="0015079C">
        <w:t xml:space="preserve"> respecto a la meta de</w:t>
      </w:r>
      <w:r w:rsidR="00FA502D">
        <w:t>l</w:t>
      </w:r>
      <w:r w:rsidRPr="0015079C">
        <w:t xml:space="preserve"> presupuesto</w:t>
      </w:r>
      <w:r w:rsidR="00FA502D">
        <w:t>. D</w:t>
      </w:r>
      <w:r w:rsidRPr="0015079C">
        <w:t>icha caída está influenciada por impuestos como el</w:t>
      </w:r>
      <w:r>
        <w:t xml:space="preserve"> </w:t>
      </w:r>
      <w:r w:rsidRPr="0015079C">
        <w:t xml:space="preserve">sobre la renta, el </w:t>
      </w:r>
      <w:r>
        <w:t>i</w:t>
      </w:r>
      <w:r w:rsidRPr="0015079C">
        <w:t xml:space="preserve">mpuesto de solidaridad, el </w:t>
      </w:r>
      <w:r>
        <w:t>i</w:t>
      </w:r>
      <w:r w:rsidRPr="0015079C">
        <w:t>mpuesto al valor agregado, los derechos arancelarios, derivados del petróleo</w:t>
      </w:r>
      <w:r>
        <w:t>,</w:t>
      </w:r>
      <w:r w:rsidRPr="0015079C">
        <w:t xml:space="preserve"> entre otros</w:t>
      </w:r>
      <w:r w:rsidR="00FA502D">
        <w:t>. E</w:t>
      </w:r>
      <w:r w:rsidRPr="0015079C">
        <w:t xml:space="preserve">sta caída en gran medida es ocasionada por los efectos de la pandemia </w:t>
      </w:r>
      <w:r w:rsidR="00FA502D">
        <w:t xml:space="preserve">del </w:t>
      </w:r>
      <w:r w:rsidRPr="0015079C">
        <w:t>C</w:t>
      </w:r>
      <w:r w:rsidR="00FA502D">
        <w:t>ovid</w:t>
      </w:r>
      <w:r w:rsidRPr="0015079C">
        <w:t>-19 y las disposiciones presidenciales que han sido fundamentales para contrarrestar un gran número de casos positivos.</w:t>
      </w:r>
    </w:p>
    <w:p w:rsidR="00DB0F04" w:rsidRPr="00287D56" w:rsidRDefault="00DB0F04" w:rsidP="00DB0F04">
      <w:pPr>
        <w:autoSpaceDE w:val="0"/>
        <w:autoSpaceDN w:val="0"/>
        <w:adjustRightInd w:val="0"/>
        <w:jc w:val="both"/>
        <w:rPr>
          <w:sz w:val="32"/>
        </w:rPr>
      </w:pPr>
    </w:p>
    <w:p w:rsidR="00DB0F04" w:rsidRPr="0015079C" w:rsidRDefault="00DB0F04" w:rsidP="00DB0F04">
      <w:pPr>
        <w:autoSpaceDE w:val="0"/>
        <w:autoSpaceDN w:val="0"/>
        <w:adjustRightInd w:val="0"/>
        <w:jc w:val="both"/>
      </w:pPr>
      <w:r w:rsidRPr="0015079C">
        <w:t xml:space="preserve">Dentro de las principales acciones que se han establecido en materia tributaria </w:t>
      </w:r>
      <w:r>
        <w:t xml:space="preserve">a junio </w:t>
      </w:r>
      <w:r w:rsidR="00FA502D">
        <w:t xml:space="preserve">de 2020, </w:t>
      </w:r>
      <w:r w:rsidRPr="0015079C">
        <w:t xml:space="preserve">sobresalen la aprobación del Decreto </w:t>
      </w:r>
      <w:r w:rsidR="00FA502D">
        <w:t xml:space="preserve">No. </w:t>
      </w:r>
      <w:r w:rsidRPr="0015079C">
        <w:t>12-2020</w:t>
      </w:r>
      <w:r w:rsidR="00FA502D">
        <w:t xml:space="preserve"> por parte del Congreso de la República de Guatemala,</w:t>
      </w:r>
      <w:r w:rsidRPr="0015079C">
        <w:t xml:space="preserve"> en el cual se permite diferir el pago del impuesto de solidaridad del segundo trimestre hasta el mes de septiembre</w:t>
      </w:r>
      <w:r w:rsidR="00FA502D">
        <w:t>;</w:t>
      </w:r>
      <w:r w:rsidRPr="0015079C">
        <w:t xml:space="preserve"> la </w:t>
      </w:r>
      <w:r w:rsidR="00FA502D">
        <w:t>R</w:t>
      </w:r>
      <w:r w:rsidRPr="0015079C">
        <w:t xml:space="preserve">esolución </w:t>
      </w:r>
      <w:r w:rsidR="00FA502D">
        <w:t xml:space="preserve">No. </w:t>
      </w:r>
      <w:r w:rsidRPr="0015079C">
        <w:t>SAT</w:t>
      </w:r>
      <w:r w:rsidR="00FA502D">
        <w:t>-</w:t>
      </w:r>
      <w:r w:rsidRPr="0015079C">
        <w:t>280-2020 que permitió el diferimiento del pago de impuestos del mes de marzo para la primera quincena de abril</w:t>
      </w:r>
      <w:r w:rsidR="00FA502D">
        <w:t>;</w:t>
      </w:r>
      <w:r w:rsidRPr="0015079C">
        <w:t xml:space="preserve"> y recientemente la aprobación del Decreto </w:t>
      </w:r>
      <w:r w:rsidR="00FA502D">
        <w:t xml:space="preserve">No. </w:t>
      </w:r>
      <w:r w:rsidRPr="0015079C">
        <w:t xml:space="preserve">24-2020 que permite diferir el pago del impuesto de circulación de vehículos para </w:t>
      </w:r>
      <w:r w:rsidR="00FA502D">
        <w:t xml:space="preserve">agosto, septiembre y </w:t>
      </w:r>
      <w:r w:rsidRPr="0015079C">
        <w:t>octubre</w:t>
      </w:r>
      <w:r w:rsidR="00FA502D">
        <w:t xml:space="preserve"> de 2020</w:t>
      </w:r>
      <w:r w:rsidRPr="0015079C">
        <w:t>.</w:t>
      </w:r>
    </w:p>
    <w:p w:rsidR="00DB0F04" w:rsidRPr="00287D56" w:rsidRDefault="00DB0F04" w:rsidP="00DB0F04">
      <w:pPr>
        <w:autoSpaceDE w:val="0"/>
        <w:autoSpaceDN w:val="0"/>
        <w:adjustRightInd w:val="0"/>
        <w:jc w:val="both"/>
        <w:rPr>
          <w:sz w:val="32"/>
        </w:rPr>
      </w:pPr>
    </w:p>
    <w:p w:rsidR="00DB0F04" w:rsidRPr="0015079C" w:rsidRDefault="00DB0F04" w:rsidP="00DB0F04">
      <w:pPr>
        <w:autoSpaceDE w:val="0"/>
        <w:autoSpaceDN w:val="0"/>
        <w:adjustRightInd w:val="0"/>
        <w:jc w:val="both"/>
      </w:pPr>
      <w:r w:rsidRPr="0015079C">
        <w:t>De manera interanual</w:t>
      </w:r>
      <w:r w:rsidR="00C62395">
        <w:t>,</w:t>
      </w:r>
      <w:r w:rsidRPr="0015079C">
        <w:t xml:space="preserve"> la recaudación tributaria acumulada a junio</w:t>
      </w:r>
      <w:r w:rsidR="00C62395">
        <w:t xml:space="preserve"> de 2020 </w:t>
      </w:r>
      <w:r w:rsidRPr="0015079C">
        <w:t>tiene una brecha negativa de Q</w:t>
      </w:r>
      <w:r w:rsidR="00C62395">
        <w:t>.</w:t>
      </w:r>
      <w:r w:rsidRPr="0015079C">
        <w:t>1,59</w:t>
      </w:r>
      <w:r>
        <w:t xml:space="preserve">7.3 </w:t>
      </w:r>
      <w:r w:rsidRPr="0015079C">
        <w:t>millones</w:t>
      </w:r>
      <w:r w:rsidR="00C62395">
        <w:t>. C</w:t>
      </w:r>
      <w:r w:rsidRPr="0015079C">
        <w:t>on relación al año anterior se observan resultados positivos únicamente en impuestos como el ISO, cemento y regalía</w:t>
      </w:r>
      <w:r w:rsidR="00C62395">
        <w:t>s e hidrocarburos compartibles.</w:t>
      </w:r>
    </w:p>
    <w:p w:rsidR="00DB0F04" w:rsidRPr="0015079C" w:rsidRDefault="00DB0F04" w:rsidP="00DB0F04">
      <w:pPr>
        <w:autoSpaceDE w:val="0"/>
        <w:autoSpaceDN w:val="0"/>
        <w:adjustRightInd w:val="0"/>
        <w:jc w:val="both"/>
      </w:pPr>
    </w:p>
    <w:p w:rsidR="00DB0F04" w:rsidRDefault="00DB0F04" w:rsidP="00DB0F04">
      <w:pPr>
        <w:autoSpaceDE w:val="0"/>
        <w:autoSpaceDN w:val="0"/>
        <w:adjustRightInd w:val="0"/>
        <w:jc w:val="center"/>
        <w:rPr>
          <w:b/>
          <w:bCs/>
        </w:rPr>
      </w:pPr>
    </w:p>
    <w:p w:rsidR="00B2076C" w:rsidRDefault="00B2076C" w:rsidP="00DB0F04">
      <w:pPr>
        <w:autoSpaceDE w:val="0"/>
        <w:autoSpaceDN w:val="0"/>
        <w:adjustRightInd w:val="0"/>
        <w:jc w:val="center"/>
        <w:rPr>
          <w:b/>
          <w:bCs/>
        </w:rPr>
      </w:pPr>
    </w:p>
    <w:p w:rsidR="00B2076C" w:rsidRDefault="00B2076C" w:rsidP="00DB0F04">
      <w:pPr>
        <w:autoSpaceDE w:val="0"/>
        <w:autoSpaceDN w:val="0"/>
        <w:adjustRightInd w:val="0"/>
        <w:jc w:val="center"/>
        <w:rPr>
          <w:b/>
          <w:bCs/>
        </w:rPr>
      </w:pPr>
    </w:p>
    <w:p w:rsidR="00B2076C" w:rsidRDefault="00B2076C" w:rsidP="00DB0F04">
      <w:pPr>
        <w:autoSpaceDE w:val="0"/>
        <w:autoSpaceDN w:val="0"/>
        <w:adjustRightInd w:val="0"/>
        <w:jc w:val="center"/>
        <w:rPr>
          <w:b/>
          <w:bCs/>
        </w:rPr>
      </w:pPr>
    </w:p>
    <w:p w:rsidR="00B2076C" w:rsidRDefault="00B2076C" w:rsidP="00DB0F04">
      <w:pPr>
        <w:autoSpaceDE w:val="0"/>
        <w:autoSpaceDN w:val="0"/>
        <w:adjustRightInd w:val="0"/>
        <w:jc w:val="center"/>
        <w:rPr>
          <w:b/>
          <w:bCs/>
        </w:rPr>
      </w:pPr>
    </w:p>
    <w:p w:rsidR="00B2076C" w:rsidRDefault="00B2076C" w:rsidP="00DB0F04">
      <w:pPr>
        <w:autoSpaceDE w:val="0"/>
        <w:autoSpaceDN w:val="0"/>
        <w:adjustRightInd w:val="0"/>
        <w:jc w:val="center"/>
        <w:rPr>
          <w:b/>
          <w:bCs/>
        </w:rPr>
      </w:pPr>
    </w:p>
    <w:p w:rsidR="00DB0F04" w:rsidRDefault="00DB0F04" w:rsidP="00DB0F04">
      <w:pPr>
        <w:autoSpaceDE w:val="0"/>
        <w:autoSpaceDN w:val="0"/>
        <w:adjustRightInd w:val="0"/>
        <w:jc w:val="center"/>
        <w:rPr>
          <w:b/>
          <w:bCs/>
        </w:rPr>
      </w:pPr>
    </w:p>
    <w:p w:rsidR="00287D56" w:rsidRDefault="00DB0F04" w:rsidP="00DB0F04">
      <w:pPr>
        <w:autoSpaceDE w:val="0"/>
        <w:autoSpaceDN w:val="0"/>
        <w:adjustRightInd w:val="0"/>
        <w:jc w:val="center"/>
        <w:rPr>
          <w:b/>
          <w:bCs/>
          <w:color w:val="000000" w:themeColor="text1"/>
        </w:rPr>
      </w:pPr>
      <w:r w:rsidRPr="00AD0A32">
        <w:rPr>
          <w:b/>
          <w:bCs/>
          <w:color w:val="000000" w:themeColor="text1"/>
        </w:rPr>
        <w:lastRenderedPageBreak/>
        <w:t>Gráfic</w:t>
      </w:r>
      <w:r w:rsidR="00287D56">
        <w:rPr>
          <w:b/>
          <w:bCs/>
          <w:color w:val="000000" w:themeColor="text1"/>
        </w:rPr>
        <w:t>a 21</w:t>
      </w:r>
    </w:p>
    <w:p w:rsidR="00DB0F04" w:rsidRPr="0015079C" w:rsidRDefault="00DB0F04" w:rsidP="00DB0F04">
      <w:pPr>
        <w:autoSpaceDE w:val="0"/>
        <w:autoSpaceDN w:val="0"/>
        <w:adjustRightInd w:val="0"/>
        <w:jc w:val="center"/>
        <w:rPr>
          <w:b/>
          <w:bCs/>
        </w:rPr>
      </w:pPr>
      <w:r w:rsidRPr="00AD0A32">
        <w:rPr>
          <w:b/>
          <w:bCs/>
        </w:rPr>
        <w:t>Brecha</w:t>
      </w:r>
      <w:r>
        <w:rPr>
          <w:b/>
          <w:bCs/>
        </w:rPr>
        <w:t xml:space="preserve"> de </w:t>
      </w:r>
      <w:r w:rsidRPr="0015079C">
        <w:rPr>
          <w:b/>
          <w:bCs/>
        </w:rPr>
        <w:t>Recaudación Tributaria Acumulada</w:t>
      </w:r>
    </w:p>
    <w:p w:rsidR="00DB0F04" w:rsidRDefault="00287D56" w:rsidP="00DB0F04">
      <w:pPr>
        <w:autoSpaceDE w:val="0"/>
        <w:autoSpaceDN w:val="0"/>
        <w:adjustRightInd w:val="0"/>
        <w:jc w:val="center"/>
        <w:rPr>
          <w:b/>
          <w:bCs/>
        </w:rPr>
      </w:pPr>
      <w:r>
        <w:rPr>
          <w:b/>
          <w:bCs/>
        </w:rPr>
        <w:t xml:space="preserve">(En </w:t>
      </w:r>
      <w:r w:rsidR="00DB0F04" w:rsidRPr="0015079C">
        <w:rPr>
          <w:b/>
          <w:bCs/>
        </w:rPr>
        <w:t xml:space="preserve">Millones de </w:t>
      </w:r>
      <w:r w:rsidR="00C62395">
        <w:rPr>
          <w:b/>
          <w:bCs/>
        </w:rPr>
        <w:t>Q</w:t>
      </w:r>
      <w:r w:rsidR="00DB0F04" w:rsidRPr="0015079C">
        <w:rPr>
          <w:b/>
          <w:bCs/>
        </w:rPr>
        <w:t>uetzales</w:t>
      </w:r>
      <w:r>
        <w:rPr>
          <w:b/>
          <w:bCs/>
        </w:rPr>
        <w:t>)</w:t>
      </w:r>
    </w:p>
    <w:p w:rsidR="00DB0F04" w:rsidRPr="0015079C" w:rsidRDefault="00DB0F04" w:rsidP="00DB0F04">
      <w:pPr>
        <w:autoSpaceDE w:val="0"/>
        <w:autoSpaceDN w:val="0"/>
        <w:adjustRightInd w:val="0"/>
        <w:jc w:val="center"/>
        <w:rPr>
          <w:b/>
          <w:bCs/>
        </w:rPr>
      </w:pPr>
      <w:r>
        <w:rPr>
          <w:noProof/>
          <w:lang w:val="es-GT" w:eastAsia="es-GT"/>
        </w:rPr>
        <w:drawing>
          <wp:inline distT="0" distB="0" distL="0" distR="0" wp14:anchorId="52E730DD" wp14:editId="0A4A7444">
            <wp:extent cx="5349922" cy="2838734"/>
            <wp:effectExtent l="0" t="0" r="22225" b="1905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62395" w:rsidRPr="00046E3F" w:rsidRDefault="00C62395" w:rsidP="00C62395">
      <w:pPr>
        <w:jc w:val="both"/>
        <w:rPr>
          <w:sz w:val="18"/>
          <w:lang w:val="es-MX"/>
        </w:rPr>
      </w:pPr>
      <w:r>
        <w:rPr>
          <w:sz w:val="18"/>
          <w:lang w:val="es-MX"/>
        </w:rPr>
        <w:t xml:space="preserve">       </w:t>
      </w:r>
      <w:r w:rsidRPr="00046E3F">
        <w:rPr>
          <w:sz w:val="18"/>
          <w:lang w:val="es-MX"/>
        </w:rPr>
        <w:t xml:space="preserve">Fuente: </w:t>
      </w:r>
      <w:r>
        <w:rPr>
          <w:sz w:val="18"/>
          <w:lang w:val="es-MX"/>
        </w:rPr>
        <w:t>Ministerio de Finanzas Públicas.</w:t>
      </w:r>
    </w:p>
    <w:p w:rsidR="00DB0F04" w:rsidRPr="00DA1A8B" w:rsidRDefault="00DB0F04" w:rsidP="00DB0F04">
      <w:pPr>
        <w:autoSpaceDE w:val="0"/>
        <w:autoSpaceDN w:val="0"/>
        <w:adjustRightInd w:val="0"/>
        <w:jc w:val="both"/>
      </w:pPr>
    </w:p>
    <w:p w:rsidR="00DB0F04" w:rsidRDefault="00DB0F04" w:rsidP="00DB0F04">
      <w:pPr>
        <w:autoSpaceDE w:val="0"/>
        <w:autoSpaceDN w:val="0"/>
        <w:adjustRightInd w:val="0"/>
        <w:jc w:val="both"/>
      </w:pPr>
      <w:r>
        <w:t>Según la O</w:t>
      </w:r>
      <w:r w:rsidRPr="0015079C">
        <w:t xml:space="preserve">rganización </w:t>
      </w:r>
      <w:r>
        <w:t>Mundial del C</w:t>
      </w:r>
      <w:r w:rsidRPr="0015079C">
        <w:t>omercio</w:t>
      </w:r>
      <w:r w:rsidR="00797B32">
        <w:t xml:space="preserve"> (OMC)</w:t>
      </w:r>
      <w:r w:rsidRPr="0015079C">
        <w:t xml:space="preserve">, las relaciones comerciales del mundo pueden tener una caída en torno a dos dígitos </w:t>
      </w:r>
      <w:r w:rsidR="00797B32">
        <w:t>como</w:t>
      </w:r>
      <w:r w:rsidRPr="0015079C">
        <w:t xml:space="preserve"> producto de las medidas que han tomado los </w:t>
      </w:r>
      <w:r w:rsidR="00797B32">
        <w:t>países</w:t>
      </w:r>
      <w:r w:rsidRPr="0015079C">
        <w:t xml:space="preserve"> para garantizar un mejor control de la pandemia, a pesar de que algunos países dan pasos para la apertura de sus economías y de las relaciones comerciales entre países</w:t>
      </w:r>
      <w:r w:rsidR="00797B32">
        <w:t>, situación que</w:t>
      </w:r>
      <w:r w:rsidRPr="0015079C">
        <w:t xml:space="preserve"> se está realizando de manera lenta y mesurada</w:t>
      </w:r>
      <w:r w:rsidR="00797B32">
        <w:t>,</w:t>
      </w:r>
      <w:r w:rsidRPr="0015079C">
        <w:t xml:space="preserve"> lo cual pone en riesgo las economías pequeñas como la de Guatemala</w:t>
      </w:r>
      <w:r w:rsidR="00797B32">
        <w:t>. A</w:t>
      </w:r>
      <w:r>
        <w:t xml:space="preserve"> junio</w:t>
      </w:r>
      <w:r w:rsidR="00797B32">
        <w:t xml:space="preserve"> de 2020,</w:t>
      </w:r>
      <w:r w:rsidRPr="0015079C">
        <w:t xml:space="preserve"> según datos del </w:t>
      </w:r>
      <w:r>
        <w:t>B</w:t>
      </w:r>
      <w:r w:rsidRPr="0015079C">
        <w:t>anco de Guatemala</w:t>
      </w:r>
      <w:r w:rsidR="00797B32">
        <w:t>,</w:t>
      </w:r>
      <w:r w:rsidRPr="0015079C">
        <w:t xml:space="preserve"> las importaciones gravadas tienen una caída del </w:t>
      </w:r>
      <w:r>
        <w:t>9.5</w:t>
      </w:r>
      <w:r w:rsidRPr="0015079C">
        <w:t>%</w:t>
      </w:r>
      <w:r w:rsidR="00797B32">
        <w:t>,</w:t>
      </w:r>
      <w:r w:rsidRPr="0015079C">
        <w:t xml:space="preserve"> </w:t>
      </w:r>
      <w:r w:rsidR="00797B32">
        <w:t xml:space="preserve">con </w:t>
      </w:r>
      <w:r w:rsidRPr="0015079C">
        <w:t>respecto a lo observado en 2019</w:t>
      </w:r>
      <w:r w:rsidR="00797B32">
        <w:t>, y</w:t>
      </w:r>
      <w:r w:rsidRPr="0015079C">
        <w:t xml:space="preserve"> se prevé que las importaciones a finales de 2020</w:t>
      </w:r>
      <w:r w:rsidR="00797B32">
        <w:t>,</w:t>
      </w:r>
      <w:r w:rsidRPr="0015079C">
        <w:t xml:space="preserve"> se sitúen en una caída de dos dígitos.</w:t>
      </w:r>
    </w:p>
    <w:p w:rsidR="00DB0F04" w:rsidRDefault="00DB0F04" w:rsidP="00DB0F04">
      <w:pPr>
        <w:autoSpaceDE w:val="0"/>
        <w:autoSpaceDN w:val="0"/>
        <w:adjustRightInd w:val="0"/>
        <w:jc w:val="both"/>
        <w:rPr>
          <w:b/>
          <w:bCs/>
        </w:rPr>
      </w:pPr>
    </w:p>
    <w:p w:rsidR="00DB0F04" w:rsidRPr="00FC1FFC" w:rsidRDefault="00DB0F04" w:rsidP="00DB0F04">
      <w:pPr>
        <w:autoSpaceDE w:val="0"/>
        <w:autoSpaceDN w:val="0"/>
        <w:adjustRightInd w:val="0"/>
        <w:jc w:val="both"/>
        <w:rPr>
          <w:b/>
          <w:bCs/>
        </w:rPr>
      </w:pPr>
      <w:r w:rsidRPr="00D454CC">
        <w:rPr>
          <w:b/>
          <w:bCs/>
        </w:rPr>
        <w:t>La recaudación mensual</w:t>
      </w:r>
    </w:p>
    <w:p w:rsidR="00DB0F04" w:rsidRPr="0015079C" w:rsidRDefault="00DB0F04" w:rsidP="00DB0F04">
      <w:pPr>
        <w:autoSpaceDE w:val="0"/>
        <w:autoSpaceDN w:val="0"/>
        <w:adjustRightInd w:val="0"/>
        <w:jc w:val="both"/>
      </w:pPr>
    </w:p>
    <w:p w:rsidR="00DB0F04" w:rsidRDefault="00DB0F04" w:rsidP="00DB0F04">
      <w:pPr>
        <w:autoSpaceDE w:val="0"/>
        <w:autoSpaceDN w:val="0"/>
        <w:adjustRightInd w:val="0"/>
        <w:jc w:val="both"/>
      </w:pPr>
      <w:r w:rsidRPr="0015079C">
        <w:t xml:space="preserve">La recaudación </w:t>
      </w:r>
      <w:r w:rsidR="00193D2C">
        <w:t>correspondiente al</w:t>
      </w:r>
      <w:r w:rsidRPr="0015079C">
        <w:t xml:space="preserve"> mes de junio</w:t>
      </w:r>
      <w:r w:rsidR="00D454CC">
        <w:t xml:space="preserve"> de 2020</w:t>
      </w:r>
      <w:r w:rsidRPr="0015079C">
        <w:t xml:space="preserve"> se situó en Q</w:t>
      </w:r>
      <w:r w:rsidR="00D454CC">
        <w:t>.</w:t>
      </w:r>
      <w:r w:rsidRPr="0015079C">
        <w:t>3,53</w:t>
      </w:r>
      <w:r>
        <w:t xml:space="preserve">1.8 </w:t>
      </w:r>
      <w:r w:rsidRPr="0015079C">
        <w:t>millones</w:t>
      </w:r>
      <w:r w:rsidR="00D454CC">
        <w:t>. No</w:t>
      </w:r>
      <w:r w:rsidRPr="0015079C">
        <w:t xml:space="preserve"> se recaudaron Q</w:t>
      </w:r>
      <w:r w:rsidR="00D454CC">
        <w:t>.</w:t>
      </w:r>
      <w:r w:rsidRPr="0015079C">
        <w:t>8</w:t>
      </w:r>
      <w:r>
        <w:t>81.6</w:t>
      </w:r>
      <w:r w:rsidRPr="0015079C">
        <w:t xml:space="preserve"> millones</w:t>
      </w:r>
      <w:r w:rsidR="00D454CC">
        <w:t>,</w:t>
      </w:r>
      <w:r w:rsidRPr="0015079C">
        <w:t xml:space="preserve"> respecto </w:t>
      </w:r>
      <w:r w:rsidR="00D454CC">
        <w:t>de</w:t>
      </w:r>
      <w:r w:rsidRPr="0015079C">
        <w:t xml:space="preserve"> la meta de</w:t>
      </w:r>
      <w:r w:rsidR="00D454CC">
        <w:t>l</w:t>
      </w:r>
      <w:r w:rsidRPr="0015079C">
        <w:t xml:space="preserve"> presupuesto</w:t>
      </w:r>
      <w:r w:rsidR="00193D2C">
        <w:t>;</w:t>
      </w:r>
      <w:r w:rsidRPr="0015079C">
        <w:t xml:space="preserve"> los únicos impuestos que superaron la meta mensual fueron el impuesto </w:t>
      </w:r>
      <w:r>
        <w:t>de solidaridad</w:t>
      </w:r>
      <w:r w:rsidRPr="0015079C">
        <w:t xml:space="preserve"> y el de bebidas</w:t>
      </w:r>
      <w:r w:rsidR="00193D2C">
        <w:t>;</w:t>
      </w:r>
      <w:r w:rsidRPr="0015079C">
        <w:t xml:space="preserve"> el resto de los impuestos no alcanzaron la meta siendo el impuesto sobre la renta, el IVA total y los derivados del petróleo los que mayor brecha negativa generaron.</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rsidRPr="00FC1FFC">
        <w:t>Es importante destacar que el impuesto al valor agregado y el impuesto sobre la renta son los más importantes dentro de la recaudación</w:t>
      </w:r>
      <w:r w:rsidR="00193D2C">
        <w:t xml:space="preserve"> tributaria. D</w:t>
      </w:r>
      <w:r w:rsidRPr="00FC1FFC">
        <w:t xml:space="preserve">ichos impuestos </w:t>
      </w:r>
      <w:r>
        <w:t xml:space="preserve">en junio </w:t>
      </w:r>
      <w:r w:rsidRPr="00FC1FFC">
        <w:t>gener</w:t>
      </w:r>
      <w:r>
        <w:t xml:space="preserve">aron </w:t>
      </w:r>
      <w:r w:rsidRPr="00FC1FFC">
        <w:t>una brecha negativa de Q</w:t>
      </w:r>
      <w:r w:rsidR="00193D2C">
        <w:t>.</w:t>
      </w:r>
      <w:r w:rsidRPr="00FC1FFC">
        <w:t>626.8 millones</w:t>
      </w:r>
      <w:r w:rsidR="00193D2C">
        <w:t>;</w:t>
      </w:r>
      <w:r w:rsidRPr="00FC1FFC">
        <w:t xml:space="preserve"> del total de esta brecha</w:t>
      </w:r>
      <w:r w:rsidR="00193D2C">
        <w:t>,</w:t>
      </w:r>
      <w:r w:rsidRPr="00FC1FFC">
        <w:t xml:space="preserve"> por IVA doméstico se han dejado de recaudar Q</w:t>
      </w:r>
      <w:r w:rsidR="00193D2C">
        <w:t>.</w:t>
      </w:r>
      <w:r w:rsidRPr="00FC1FFC">
        <w:t>226.1 millones y por IVA asociado al comercio</w:t>
      </w:r>
      <w:r w:rsidR="00193D2C">
        <w:t xml:space="preserve"> exterior</w:t>
      </w:r>
      <w:r w:rsidRPr="00FC1FFC">
        <w:t xml:space="preserve"> Q</w:t>
      </w:r>
      <w:r w:rsidR="00193D2C">
        <w:t>.</w:t>
      </w:r>
      <w:r w:rsidRPr="00FC1FFC">
        <w:t>211.9 millones</w:t>
      </w:r>
      <w:r w:rsidR="00193D2C">
        <w:t>. D</w:t>
      </w:r>
      <w:r w:rsidRPr="00FC1FFC">
        <w:t>e manera interanual el IVA total tiene una caída de 12.8%</w:t>
      </w:r>
      <w:r w:rsidR="00193D2C">
        <w:t>,</w:t>
      </w:r>
      <w:r w:rsidRPr="00FC1FFC">
        <w:t xml:space="preserve"> monto inferior al observado a la misma fecha en 2019</w:t>
      </w:r>
      <w:r w:rsidR="00193D2C">
        <w:t>,</w:t>
      </w:r>
      <w:r w:rsidRPr="00FC1FFC">
        <w:t xml:space="preserve"> </w:t>
      </w:r>
      <w:r>
        <w:t xml:space="preserve">en la cual se observó un crecimiento de </w:t>
      </w:r>
      <w:r w:rsidR="00193D2C">
        <w:t>1.8%. E</w:t>
      </w:r>
      <w:r w:rsidRPr="00FC1FFC">
        <w:t>l IVA asociado al consumo interno cae de manera interanual en 12.4%, monto menor al observado en 2019 (crecimiento de 4.9%) y el IVA asociado al comercio exterior cae en 13.1%</w:t>
      </w:r>
      <w:r w:rsidR="00193D2C">
        <w:t>, con</w:t>
      </w:r>
      <w:r w:rsidRPr="00FC1FFC">
        <w:t xml:space="preserve"> respecto a 2019.</w:t>
      </w:r>
    </w:p>
    <w:p w:rsidR="009C6250" w:rsidRDefault="00DB0F04" w:rsidP="00DB0F04">
      <w:pPr>
        <w:autoSpaceDE w:val="0"/>
        <w:autoSpaceDN w:val="0"/>
        <w:adjustRightInd w:val="0"/>
        <w:jc w:val="center"/>
        <w:rPr>
          <w:b/>
          <w:bCs/>
          <w:color w:val="000000" w:themeColor="text1"/>
        </w:rPr>
      </w:pPr>
      <w:r w:rsidRPr="0008610E">
        <w:rPr>
          <w:b/>
          <w:bCs/>
          <w:color w:val="000000" w:themeColor="text1"/>
        </w:rPr>
        <w:lastRenderedPageBreak/>
        <w:t>Gráfic</w:t>
      </w:r>
      <w:r w:rsidR="009C6250">
        <w:rPr>
          <w:b/>
          <w:bCs/>
          <w:color w:val="000000" w:themeColor="text1"/>
        </w:rPr>
        <w:t>a 22</w:t>
      </w:r>
    </w:p>
    <w:p w:rsidR="00DB0F04" w:rsidRPr="007F52C8" w:rsidRDefault="00DB0F04" w:rsidP="00DB0F04">
      <w:pPr>
        <w:autoSpaceDE w:val="0"/>
        <w:autoSpaceDN w:val="0"/>
        <w:adjustRightInd w:val="0"/>
        <w:jc w:val="center"/>
        <w:rPr>
          <w:b/>
          <w:bCs/>
        </w:rPr>
      </w:pPr>
      <w:r w:rsidRPr="007F52C8">
        <w:rPr>
          <w:b/>
          <w:bCs/>
        </w:rPr>
        <w:t>Recaudación Tributaria Mensual</w:t>
      </w:r>
    </w:p>
    <w:p w:rsidR="00DB0F04" w:rsidRPr="007F52C8" w:rsidRDefault="00946F2A" w:rsidP="00DB0F04">
      <w:pPr>
        <w:autoSpaceDE w:val="0"/>
        <w:autoSpaceDN w:val="0"/>
        <w:adjustRightInd w:val="0"/>
        <w:jc w:val="center"/>
        <w:rPr>
          <w:b/>
          <w:bCs/>
        </w:rPr>
      </w:pPr>
      <w:r>
        <w:rPr>
          <w:b/>
          <w:bCs/>
        </w:rPr>
        <w:t>O</w:t>
      </w:r>
      <w:r w:rsidR="00DB0F04" w:rsidRPr="007F52C8">
        <w:rPr>
          <w:b/>
          <w:bCs/>
        </w:rPr>
        <w:t>bservada</w:t>
      </w:r>
      <w:r>
        <w:rPr>
          <w:b/>
          <w:bCs/>
        </w:rPr>
        <w:t xml:space="preserve"> </w:t>
      </w:r>
      <w:r w:rsidR="00DB0F04" w:rsidRPr="007F52C8">
        <w:rPr>
          <w:b/>
          <w:bCs/>
        </w:rPr>
        <w:t>-</w:t>
      </w:r>
      <w:r>
        <w:rPr>
          <w:b/>
          <w:bCs/>
        </w:rPr>
        <w:t xml:space="preserve"> </w:t>
      </w:r>
      <w:r w:rsidR="00DB0F04" w:rsidRPr="007F52C8">
        <w:rPr>
          <w:b/>
          <w:bCs/>
        </w:rPr>
        <w:t xml:space="preserve">Meta </w:t>
      </w:r>
      <w:r>
        <w:rPr>
          <w:b/>
          <w:bCs/>
        </w:rPr>
        <w:t xml:space="preserve">del </w:t>
      </w:r>
      <w:r w:rsidR="00DB0F04" w:rsidRPr="007F52C8">
        <w:rPr>
          <w:b/>
          <w:bCs/>
        </w:rPr>
        <w:t>Presupuesto</w:t>
      </w:r>
    </w:p>
    <w:p w:rsidR="00DB0F04" w:rsidRPr="007F52C8" w:rsidRDefault="009C6250" w:rsidP="00DB0F04">
      <w:pPr>
        <w:autoSpaceDE w:val="0"/>
        <w:autoSpaceDN w:val="0"/>
        <w:adjustRightInd w:val="0"/>
        <w:jc w:val="center"/>
        <w:rPr>
          <w:b/>
          <w:bCs/>
        </w:rPr>
      </w:pPr>
      <w:r>
        <w:rPr>
          <w:b/>
          <w:bCs/>
        </w:rPr>
        <w:t xml:space="preserve">(En </w:t>
      </w:r>
      <w:r w:rsidR="00DB0F04" w:rsidRPr="007F52C8">
        <w:rPr>
          <w:b/>
          <w:bCs/>
        </w:rPr>
        <w:t xml:space="preserve">Millones de </w:t>
      </w:r>
      <w:r w:rsidR="00946F2A">
        <w:rPr>
          <w:b/>
          <w:bCs/>
        </w:rPr>
        <w:t>Q</w:t>
      </w:r>
      <w:r w:rsidR="00DB0F04" w:rsidRPr="007F52C8">
        <w:rPr>
          <w:b/>
          <w:bCs/>
        </w:rPr>
        <w:t>uetzales</w:t>
      </w:r>
      <w:r>
        <w:rPr>
          <w:b/>
          <w:bCs/>
        </w:rPr>
        <w:t>)</w:t>
      </w:r>
    </w:p>
    <w:p w:rsidR="00DB0F04" w:rsidRPr="0015079C" w:rsidRDefault="00DB0F04" w:rsidP="00DB0F04">
      <w:pPr>
        <w:autoSpaceDE w:val="0"/>
        <w:autoSpaceDN w:val="0"/>
        <w:adjustRightInd w:val="0"/>
        <w:jc w:val="center"/>
      </w:pPr>
      <w:r w:rsidRPr="00A3011A">
        <w:rPr>
          <w:b/>
          <w:noProof/>
          <w:sz w:val="20"/>
          <w:lang w:val="es-GT" w:eastAsia="es-GT"/>
        </w:rPr>
        <w:drawing>
          <wp:inline distT="0" distB="0" distL="0" distR="0" wp14:anchorId="655B1058" wp14:editId="718EF049">
            <wp:extent cx="5254388" cy="2995684"/>
            <wp:effectExtent l="0" t="0" r="22860" b="14605"/>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46F2A" w:rsidRPr="00046E3F" w:rsidRDefault="00FA7825" w:rsidP="00946F2A">
      <w:pPr>
        <w:jc w:val="both"/>
        <w:rPr>
          <w:sz w:val="18"/>
          <w:lang w:val="es-MX"/>
        </w:rPr>
      </w:pPr>
      <w:r>
        <w:rPr>
          <w:sz w:val="18"/>
          <w:lang w:val="es-MX"/>
        </w:rPr>
        <w:t xml:space="preserve"> </w:t>
      </w:r>
      <w:r w:rsidR="00946F2A">
        <w:rPr>
          <w:sz w:val="18"/>
          <w:lang w:val="es-MX"/>
        </w:rPr>
        <w:t xml:space="preserve">       </w:t>
      </w:r>
      <w:r w:rsidR="00946F2A" w:rsidRPr="00046E3F">
        <w:rPr>
          <w:sz w:val="18"/>
          <w:lang w:val="es-MX"/>
        </w:rPr>
        <w:t xml:space="preserve">Fuente: </w:t>
      </w:r>
      <w:r w:rsidR="00946F2A">
        <w:rPr>
          <w:sz w:val="18"/>
          <w:lang w:val="es-MX"/>
        </w:rPr>
        <w:t>Ministerio de Finanzas Públicas.</w:t>
      </w:r>
    </w:p>
    <w:p w:rsidR="00DB0F04" w:rsidRPr="00946F2A" w:rsidRDefault="00DB0F04" w:rsidP="00DB0F04">
      <w:pPr>
        <w:autoSpaceDE w:val="0"/>
        <w:autoSpaceDN w:val="0"/>
        <w:adjustRightInd w:val="0"/>
        <w:jc w:val="both"/>
        <w:rPr>
          <w:lang w:val="es-MX"/>
        </w:rPr>
      </w:pPr>
    </w:p>
    <w:p w:rsidR="00DB0F04" w:rsidRDefault="00DB0F04" w:rsidP="00DB0F04">
      <w:pPr>
        <w:autoSpaceDE w:val="0"/>
        <w:autoSpaceDN w:val="0"/>
        <w:adjustRightInd w:val="0"/>
        <w:rPr>
          <w:b/>
          <w:bCs/>
        </w:rPr>
      </w:pPr>
      <w:r w:rsidRPr="007F52C8">
        <w:rPr>
          <w:b/>
          <w:bCs/>
        </w:rPr>
        <w:t>Los demás impuestos</w:t>
      </w:r>
    </w:p>
    <w:p w:rsidR="00DB0F04" w:rsidRPr="007F52C8" w:rsidRDefault="00DB0F04" w:rsidP="00DB0F04">
      <w:pPr>
        <w:autoSpaceDE w:val="0"/>
        <w:autoSpaceDN w:val="0"/>
        <w:adjustRightInd w:val="0"/>
        <w:rPr>
          <w:b/>
          <w:bCs/>
        </w:rPr>
      </w:pPr>
    </w:p>
    <w:p w:rsidR="00DB0F04" w:rsidRDefault="00DB0F04" w:rsidP="00DB0F04">
      <w:pPr>
        <w:autoSpaceDE w:val="0"/>
        <w:autoSpaceDN w:val="0"/>
        <w:adjustRightInd w:val="0"/>
        <w:jc w:val="both"/>
      </w:pPr>
      <w:r w:rsidRPr="0015079C">
        <w:t>De los demás impuestos acumulados al 30 de junio</w:t>
      </w:r>
      <w:r w:rsidR="00273A93">
        <w:t xml:space="preserve"> de 2020</w:t>
      </w:r>
      <w:r w:rsidRPr="0015079C">
        <w:t>, destacan el</w:t>
      </w:r>
      <w:r>
        <w:t xml:space="preserve"> impuesto a la distribución de</w:t>
      </w:r>
      <w:r w:rsidRPr="0015079C">
        <w:t xml:space="preserve"> bebidas y el de cemento que superan la meta de</w:t>
      </w:r>
      <w:r w:rsidR="00273A93">
        <w:t>l</w:t>
      </w:r>
      <w:r w:rsidRPr="0015079C">
        <w:t xml:space="preserve"> presupuesto</w:t>
      </w:r>
      <w:r w:rsidR="00273A93">
        <w:t>;</w:t>
      </w:r>
      <w:r w:rsidRPr="0015079C">
        <w:t xml:space="preserve"> el resto no lograron alcanzar la meta de</w:t>
      </w:r>
      <w:r w:rsidR="00273A93">
        <w:t>l</w:t>
      </w:r>
      <w:r w:rsidRPr="0015079C">
        <w:t xml:space="preserve"> presupuesto.</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rsidRPr="007F52C8">
        <w:t>De manera general la recaudación tributaria se ve afectada por diversos factores dentro de los cuales se pueden mencionar la caída en las remesas familiares</w:t>
      </w:r>
      <w:r w:rsidR="00273A93">
        <w:t>,</w:t>
      </w:r>
      <w:r w:rsidRPr="007F52C8">
        <w:t xml:space="preserve"> las cuales a junio</w:t>
      </w:r>
      <w:r w:rsidR="00273A93">
        <w:t xml:space="preserve"> de 2020</w:t>
      </w:r>
      <w:r w:rsidRPr="007F52C8">
        <w:t xml:space="preserve"> tienen una caída de 0.9%</w:t>
      </w:r>
      <w:r w:rsidR="00273A93">
        <w:t>,</w:t>
      </w:r>
      <w:r w:rsidRPr="007F52C8">
        <w:t xml:space="preserve"> contrario a lo observado en 2019</w:t>
      </w:r>
      <w:r w:rsidR="00273A93">
        <w:t>,</w:t>
      </w:r>
      <w:r w:rsidRPr="007F52C8">
        <w:t xml:space="preserve"> cuando crec</w:t>
      </w:r>
      <w:r w:rsidR="00273A93">
        <w:t>ieron</w:t>
      </w:r>
      <w:r w:rsidRPr="007F52C8">
        <w:t xml:space="preserve"> en 12%</w:t>
      </w:r>
      <w:r w:rsidR="00273A93">
        <w:t>. L</w:t>
      </w:r>
      <w:r w:rsidRPr="007F52C8">
        <w:t xml:space="preserve">as importaciones gravadas </w:t>
      </w:r>
      <w:r>
        <w:t>a junio</w:t>
      </w:r>
      <w:r w:rsidRPr="007F52C8">
        <w:t xml:space="preserve"> que caen a </w:t>
      </w:r>
      <w:r>
        <w:t>9.5</w:t>
      </w:r>
      <w:r w:rsidRPr="007F52C8">
        <w:t>%</w:t>
      </w:r>
      <w:r w:rsidR="00273A93">
        <w:t>;</w:t>
      </w:r>
      <w:r w:rsidRPr="007F52C8">
        <w:t xml:space="preserve"> el consumo de combustibles que a mayo tiene una caída de 11.4%</w:t>
      </w:r>
      <w:r>
        <w:t xml:space="preserve">, </w:t>
      </w:r>
      <w:r w:rsidRPr="0015079C">
        <w:t>aunado a estos factores también es preciso indicar que factores como la</w:t>
      </w:r>
      <w:r>
        <w:t>s</w:t>
      </w:r>
      <w:r w:rsidRPr="0015079C">
        <w:t xml:space="preserve"> </w:t>
      </w:r>
      <w:r>
        <w:t>resoluciones de la Corte de Constitucionalidad</w:t>
      </w:r>
      <w:r w:rsidR="00273A93">
        <w:t>,</w:t>
      </w:r>
      <w:r>
        <w:t xml:space="preserve"> que recientemente resolvió </w:t>
      </w:r>
      <w:r w:rsidRPr="0015079C">
        <w:t>suspen</w:t>
      </w:r>
      <w:r>
        <w:t xml:space="preserve">der </w:t>
      </w:r>
      <w:r w:rsidRPr="0015079C">
        <w:t xml:space="preserve">la licencia de la mina </w:t>
      </w:r>
      <w:r w:rsidR="00273A93">
        <w:t>E</w:t>
      </w:r>
      <w:r w:rsidRPr="0015079C">
        <w:t xml:space="preserve">l </w:t>
      </w:r>
      <w:r w:rsidR="00273A93">
        <w:t>T</w:t>
      </w:r>
      <w:r w:rsidRPr="0015079C">
        <w:t>ambor</w:t>
      </w:r>
      <w:r>
        <w:t xml:space="preserve">, contribuyen </w:t>
      </w:r>
      <w:r w:rsidR="00273A93">
        <w:t>a</w:t>
      </w:r>
      <w:r>
        <w:t>l deterioro en la recaudación tributaria</w:t>
      </w:r>
      <w:r w:rsidR="00273A93">
        <w:t>. S</w:t>
      </w:r>
      <w:r>
        <w:t xml:space="preserve">e espera que a finales del ejercicio fiscal 2020 la brecha negativa </w:t>
      </w:r>
      <w:r w:rsidR="00273A93">
        <w:t>oscile</w:t>
      </w:r>
      <w:r>
        <w:t xml:space="preserve"> los</w:t>
      </w:r>
      <w:r w:rsidRPr="0015079C">
        <w:t xml:space="preserve"> Q</w:t>
      </w:r>
      <w:r w:rsidR="00273A93">
        <w:t>.</w:t>
      </w:r>
      <w:r w:rsidRPr="0015079C">
        <w:t>6,</w:t>
      </w:r>
      <w:r>
        <w:t xml:space="preserve">919.9 </w:t>
      </w:r>
      <w:r w:rsidRPr="0015079C">
        <w:t>millones</w:t>
      </w:r>
      <w:r w:rsidR="00273A93">
        <w:t>,</w:t>
      </w:r>
      <w:r w:rsidRPr="0015079C">
        <w:t xml:space="preserve"> respecto </w:t>
      </w:r>
      <w:r w:rsidR="00273A93">
        <w:t>de</w:t>
      </w:r>
      <w:r w:rsidRPr="0015079C">
        <w:t xml:space="preserve"> la meta de</w:t>
      </w:r>
      <w:r w:rsidR="00273A93">
        <w:t>l</w:t>
      </w:r>
      <w:r w:rsidRPr="0015079C">
        <w:t xml:space="preserve"> presupuesto.</w:t>
      </w:r>
    </w:p>
    <w:p w:rsidR="00DB0F04" w:rsidRDefault="00DB0F04" w:rsidP="00DB0F04">
      <w:pPr>
        <w:autoSpaceDE w:val="0"/>
        <w:autoSpaceDN w:val="0"/>
        <w:adjustRightInd w:val="0"/>
        <w:jc w:val="both"/>
      </w:pPr>
    </w:p>
    <w:p w:rsidR="00DB0F04" w:rsidRPr="00686E63" w:rsidRDefault="00DB0F04" w:rsidP="00DB0F04">
      <w:pPr>
        <w:autoSpaceDE w:val="0"/>
        <w:autoSpaceDN w:val="0"/>
        <w:adjustRightInd w:val="0"/>
        <w:rPr>
          <w:b/>
          <w:bCs/>
        </w:rPr>
      </w:pPr>
      <w:bookmarkStart w:id="26" w:name="_Toc16155033"/>
      <w:r w:rsidRPr="00686E63">
        <w:rPr>
          <w:b/>
          <w:bCs/>
        </w:rPr>
        <w:t>Perspectivas de Cierre 20</w:t>
      </w:r>
      <w:bookmarkEnd w:id="26"/>
      <w:r w:rsidRPr="00686E63">
        <w:rPr>
          <w:b/>
          <w:bCs/>
        </w:rPr>
        <w:t>20</w:t>
      </w:r>
    </w:p>
    <w:p w:rsidR="00DB0F04" w:rsidRPr="002B72F6" w:rsidRDefault="00DB0F04" w:rsidP="00DB0F04">
      <w:pPr>
        <w:jc w:val="both"/>
      </w:pPr>
    </w:p>
    <w:p w:rsidR="00DB0F04" w:rsidRPr="00686E63" w:rsidRDefault="00DB0F04" w:rsidP="00DB0F04">
      <w:pPr>
        <w:jc w:val="both"/>
      </w:pPr>
      <w:r w:rsidRPr="00686E63">
        <w:t>Tomando en consideración los escenarios macroeconómicos actualizados para 2020, así como la estimación de recaudación tributaria revisada conjuntamente con la Superintendencia de Administración Tributaria (SAT)</w:t>
      </w:r>
      <w:r w:rsidR="006434BE">
        <w:t>,</w:t>
      </w:r>
      <w:r w:rsidRPr="00686E63">
        <w:t xml:space="preserve"> </w:t>
      </w:r>
      <w:r>
        <w:t xml:space="preserve">es </w:t>
      </w:r>
      <w:r w:rsidRPr="00686E63">
        <w:t xml:space="preserve">posible </w:t>
      </w:r>
      <w:r>
        <w:t xml:space="preserve">que el </w:t>
      </w:r>
      <w:r w:rsidRPr="00686E63">
        <w:t xml:space="preserve">cierre de las cuentas fiscales </w:t>
      </w:r>
      <w:r>
        <w:t>alcancen</w:t>
      </w:r>
      <w:r w:rsidRPr="00686E63">
        <w:t xml:space="preserve"> un monto de Q</w:t>
      </w:r>
      <w:r w:rsidR="006434BE">
        <w:t>.</w:t>
      </w:r>
      <w:r w:rsidRPr="00686E63">
        <w:t>57,107.84 millones, lo cual representa un grado de ejecución del presupuesto vigente de 89.2%</w:t>
      </w:r>
      <w:r w:rsidR="006434BE">
        <w:t>,</w:t>
      </w:r>
      <w:r w:rsidRPr="00686E63">
        <w:t xml:space="preserve"> y con relación a la ejecución observada en 2019</w:t>
      </w:r>
      <w:r w:rsidR="006434BE">
        <w:t>,</w:t>
      </w:r>
      <w:r w:rsidRPr="00686E63">
        <w:t xml:space="preserve"> se </w:t>
      </w:r>
      <w:r w:rsidR="006434BE">
        <w:t>podría tener una caída de 8.8%.</w:t>
      </w:r>
    </w:p>
    <w:p w:rsidR="00DB0F04" w:rsidRPr="00686E63" w:rsidRDefault="00DB0F04" w:rsidP="00DB0F04">
      <w:pPr>
        <w:jc w:val="both"/>
      </w:pPr>
    </w:p>
    <w:p w:rsidR="00DB0F04" w:rsidRDefault="00DB0F04" w:rsidP="00DB0F04">
      <w:pPr>
        <w:jc w:val="both"/>
      </w:pPr>
      <w:r w:rsidRPr="00686E63">
        <w:t>De conformidad al desempeño mostrado por la S</w:t>
      </w:r>
      <w:r w:rsidR="006434BE">
        <w:t>uperintendencia de Administración Tributaria (S</w:t>
      </w:r>
      <w:r w:rsidRPr="00686E63">
        <w:t>AT</w:t>
      </w:r>
      <w:r w:rsidR="006434BE">
        <w:t>)</w:t>
      </w:r>
      <w:r w:rsidRPr="00686E63">
        <w:t xml:space="preserve"> a junio </w:t>
      </w:r>
      <w:r w:rsidR="006434BE">
        <w:t xml:space="preserve">de </w:t>
      </w:r>
      <w:r w:rsidRPr="00686E63">
        <w:t>2020</w:t>
      </w:r>
      <w:r w:rsidR="006434BE">
        <w:t>,</w:t>
      </w:r>
      <w:r w:rsidRPr="00686E63">
        <w:t xml:space="preserve"> el escenario de cierre del ejercicio fiscal no es tan alentador</w:t>
      </w:r>
      <w:r w:rsidR="006434BE">
        <w:t>;</w:t>
      </w:r>
      <w:r w:rsidRPr="00686E63">
        <w:t xml:space="preserve"> en términos generales</w:t>
      </w:r>
      <w:r w:rsidR="006434BE">
        <w:t>,</w:t>
      </w:r>
      <w:r w:rsidRPr="00686E63">
        <w:t xml:space="preserve"> se espera una brecha negativa cercana a Q</w:t>
      </w:r>
      <w:r w:rsidR="006434BE">
        <w:t>.</w:t>
      </w:r>
      <w:r w:rsidRPr="00686E63">
        <w:t>6,919.9 millones</w:t>
      </w:r>
      <w:r w:rsidR="006434BE">
        <w:t>,</w:t>
      </w:r>
      <w:r w:rsidRPr="00686E63">
        <w:t xml:space="preserve"> respecto </w:t>
      </w:r>
      <w:r w:rsidR="006434BE">
        <w:t>de</w:t>
      </w:r>
      <w:r w:rsidRPr="00686E63">
        <w:t xml:space="preserve"> la meta de</w:t>
      </w:r>
      <w:r w:rsidR="006434BE">
        <w:t>l</w:t>
      </w:r>
      <w:r w:rsidRPr="00686E63">
        <w:t xml:space="preserve"> presupuesto</w:t>
      </w:r>
      <w:r w:rsidR="006434BE">
        <w:t>,</w:t>
      </w:r>
      <w:r w:rsidRPr="00686E63">
        <w:t xml:space="preserve"> siendo el IVA de importaciones el que más aporta a esta brecha (Q</w:t>
      </w:r>
      <w:r w:rsidR="006434BE">
        <w:t>.</w:t>
      </w:r>
      <w:r w:rsidRPr="00686E63">
        <w:t>2,</w:t>
      </w:r>
      <w:r>
        <w:t>3</w:t>
      </w:r>
      <w:r w:rsidRPr="00686E63">
        <w:t>18.5 millones). Por lo</w:t>
      </w:r>
      <w:r w:rsidR="006434BE">
        <w:t xml:space="preserve"> tanto, </w:t>
      </w:r>
      <w:r w:rsidRPr="00686E63">
        <w:t>se espera una caída interanual de la recaudación al final del año de 8.8%, monto menor que el crecimiento observado en 2019 (6.4%).</w:t>
      </w:r>
    </w:p>
    <w:p w:rsidR="00DB0F04" w:rsidRDefault="00DB0F04" w:rsidP="00DB0F04">
      <w:pPr>
        <w:jc w:val="both"/>
      </w:pPr>
    </w:p>
    <w:p w:rsidR="000562A1" w:rsidRPr="000562A1" w:rsidRDefault="000562A1" w:rsidP="00DB0F04">
      <w:pPr>
        <w:jc w:val="both"/>
        <w:rPr>
          <w:sz w:val="14"/>
        </w:rPr>
      </w:pPr>
    </w:p>
    <w:p w:rsidR="000562A1" w:rsidRDefault="00DB0F04" w:rsidP="00DB0F04">
      <w:pPr>
        <w:autoSpaceDE w:val="0"/>
        <w:autoSpaceDN w:val="0"/>
        <w:adjustRightInd w:val="0"/>
        <w:jc w:val="center"/>
        <w:rPr>
          <w:b/>
          <w:bCs/>
          <w:color w:val="000000" w:themeColor="text1"/>
        </w:rPr>
      </w:pPr>
      <w:r w:rsidRPr="0008610E">
        <w:rPr>
          <w:b/>
          <w:bCs/>
          <w:color w:val="000000" w:themeColor="text1"/>
        </w:rPr>
        <w:t>Gráfic</w:t>
      </w:r>
      <w:r w:rsidR="000562A1">
        <w:rPr>
          <w:b/>
          <w:bCs/>
          <w:color w:val="000000" w:themeColor="text1"/>
        </w:rPr>
        <w:t>a 23</w:t>
      </w:r>
    </w:p>
    <w:p w:rsidR="00DB0F04" w:rsidRPr="007F52C8" w:rsidRDefault="00DB0F04" w:rsidP="00DB0F04">
      <w:pPr>
        <w:autoSpaceDE w:val="0"/>
        <w:autoSpaceDN w:val="0"/>
        <w:adjustRightInd w:val="0"/>
        <w:jc w:val="center"/>
        <w:rPr>
          <w:b/>
          <w:bCs/>
        </w:rPr>
      </w:pPr>
      <w:r w:rsidRPr="007F52C8">
        <w:rPr>
          <w:b/>
          <w:bCs/>
        </w:rPr>
        <w:t>Recaudación Tributaria</w:t>
      </w:r>
    </w:p>
    <w:p w:rsidR="00DB0F04" w:rsidRPr="007F52C8" w:rsidRDefault="000562A1" w:rsidP="00DB0F04">
      <w:pPr>
        <w:autoSpaceDE w:val="0"/>
        <w:autoSpaceDN w:val="0"/>
        <w:adjustRightInd w:val="0"/>
        <w:jc w:val="center"/>
        <w:rPr>
          <w:b/>
          <w:bCs/>
        </w:rPr>
      </w:pPr>
      <w:r>
        <w:rPr>
          <w:b/>
          <w:bCs/>
        </w:rPr>
        <w:t xml:space="preserve">(En </w:t>
      </w:r>
      <w:r w:rsidR="00DB0F04" w:rsidRPr="007F52C8">
        <w:rPr>
          <w:b/>
          <w:bCs/>
        </w:rPr>
        <w:t xml:space="preserve">Millones de </w:t>
      </w:r>
      <w:r w:rsidR="006434BE">
        <w:rPr>
          <w:b/>
          <w:bCs/>
        </w:rPr>
        <w:t>Q</w:t>
      </w:r>
      <w:r w:rsidR="00DB0F04" w:rsidRPr="007F52C8">
        <w:rPr>
          <w:b/>
          <w:bCs/>
        </w:rPr>
        <w:t>uetzales</w:t>
      </w:r>
      <w:r>
        <w:rPr>
          <w:b/>
          <w:bCs/>
        </w:rPr>
        <w:t>)</w:t>
      </w:r>
    </w:p>
    <w:p w:rsidR="00DB0F04" w:rsidRDefault="00DB0F04" w:rsidP="00DB0F04">
      <w:pPr>
        <w:jc w:val="center"/>
      </w:pPr>
      <w:r>
        <w:rPr>
          <w:b/>
          <w:noProof/>
          <w:lang w:val="es-GT" w:eastAsia="es-GT"/>
        </w:rPr>
        <w:drawing>
          <wp:inline distT="0" distB="0" distL="0" distR="0" wp14:anchorId="13A50514" wp14:editId="3CC07A9A">
            <wp:extent cx="5227092" cy="3214048"/>
            <wp:effectExtent l="0" t="0" r="12065" b="24765"/>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6434BE" w:rsidRPr="00046E3F" w:rsidRDefault="006434BE" w:rsidP="006434BE">
      <w:pPr>
        <w:jc w:val="both"/>
        <w:rPr>
          <w:sz w:val="18"/>
          <w:lang w:val="es-MX"/>
        </w:rPr>
      </w:pPr>
      <w:r>
        <w:rPr>
          <w:sz w:val="18"/>
          <w:lang w:val="es-MX"/>
        </w:rPr>
        <w:t xml:space="preserve">         </w:t>
      </w:r>
      <w:r w:rsidRPr="00046E3F">
        <w:rPr>
          <w:sz w:val="18"/>
          <w:lang w:val="es-MX"/>
        </w:rPr>
        <w:t xml:space="preserve">Fuente: </w:t>
      </w:r>
      <w:r>
        <w:rPr>
          <w:sz w:val="18"/>
          <w:lang w:val="es-MX"/>
        </w:rPr>
        <w:t>Ministerio de Finanzas Públicas.</w:t>
      </w:r>
    </w:p>
    <w:p w:rsidR="00DB0F04" w:rsidRPr="006434BE" w:rsidRDefault="00DB0F04" w:rsidP="00DB0F04">
      <w:pPr>
        <w:jc w:val="center"/>
        <w:rPr>
          <w:lang w:val="es-MX"/>
        </w:rPr>
      </w:pPr>
    </w:p>
    <w:p w:rsidR="00DB0F04" w:rsidRPr="00686E63" w:rsidRDefault="00DB0F04" w:rsidP="00DB0F04">
      <w:pPr>
        <w:jc w:val="both"/>
      </w:pPr>
      <w:r w:rsidRPr="00686E63">
        <w:t>Aspectos relevantes que pueden garantizar el cumplimiento de la carga tributaria del 9.82%</w:t>
      </w:r>
      <w:r w:rsidR="00437110">
        <w:t>,</w:t>
      </w:r>
      <w:r w:rsidRPr="00686E63">
        <w:t xml:space="preserve"> son la apertura de la economía de manera gradual</w:t>
      </w:r>
      <w:r w:rsidR="00437110">
        <w:t>,</w:t>
      </w:r>
      <w:r w:rsidRPr="00686E63">
        <w:t xml:space="preserve"> garantizando la vida humana, la mejora en la valoración de </w:t>
      </w:r>
      <w:r w:rsidR="00437110">
        <w:t xml:space="preserve">las </w:t>
      </w:r>
      <w:r w:rsidRPr="00686E63">
        <w:t>mercancías en las aduanas, una mayor eficiencia en los principales puertos del país, una mejora en los planes internos de la SAT mediante la implementación de planes de fiscalización</w:t>
      </w:r>
      <w:r w:rsidR="00437110">
        <w:t>,</w:t>
      </w:r>
      <w:r w:rsidRPr="00686E63">
        <w:t xml:space="preserve"> y mejoras en la matriz de la percepción de riesgo</w:t>
      </w:r>
      <w:r>
        <w:t>.</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rsidRPr="008608C0">
        <w:t xml:space="preserve">La estimación de la recaudación prevista </w:t>
      </w:r>
      <w:r>
        <w:t xml:space="preserve">para el ejercicio fiscal 2020 asciende a </w:t>
      </w:r>
      <w:r w:rsidRPr="008608C0">
        <w:t>Q</w:t>
      </w:r>
      <w:r w:rsidR="00437110">
        <w:t>.</w:t>
      </w:r>
      <w:r>
        <w:t xml:space="preserve">57,107.8 millones, </w:t>
      </w:r>
      <w:r w:rsidR="00F9525A">
        <w:t xml:space="preserve">la cual </w:t>
      </w:r>
      <w:r>
        <w:t>es inferior a la estimación de</w:t>
      </w:r>
      <w:r w:rsidR="00F9525A">
        <w:t>l</w:t>
      </w:r>
      <w:r>
        <w:t xml:space="preserve"> presupuesto </w:t>
      </w:r>
      <w:r w:rsidRPr="008608C0">
        <w:t>en Q</w:t>
      </w:r>
      <w:r w:rsidR="00F9525A">
        <w:t>.</w:t>
      </w:r>
      <w:r>
        <w:t>6,919.9 millones</w:t>
      </w:r>
      <w:r w:rsidR="00F9525A">
        <w:t>. E</w:t>
      </w:r>
      <w:r>
        <w:t xml:space="preserve">l ajuste se realizó en todos los impuestos </w:t>
      </w:r>
      <w:r w:rsidRPr="008608C0">
        <w:t>como se puede observar a continuación</w:t>
      </w:r>
      <w:r>
        <w:t>, dicha reducción obedece a aspectos relacionados con una merma en impuestos asociados al comercio exterior y principalmente al IVA asociado al consumo interno</w:t>
      </w:r>
      <w:r w:rsidR="00AE1AAD">
        <w:t>,</w:t>
      </w:r>
      <w:r>
        <w:t xml:space="preserve"> esto derivado de la pandemia </w:t>
      </w:r>
      <w:r w:rsidR="00AE1AAD">
        <w:t>del Covid</w:t>
      </w:r>
      <w:r>
        <w:t>-19.</w:t>
      </w:r>
    </w:p>
    <w:p w:rsidR="00DB0F04" w:rsidRDefault="00DB0F04" w:rsidP="00DB0F04">
      <w:pPr>
        <w:autoSpaceDE w:val="0"/>
        <w:autoSpaceDN w:val="0"/>
        <w:adjustRightInd w:val="0"/>
        <w:jc w:val="both"/>
      </w:pPr>
    </w:p>
    <w:p w:rsidR="000562A1" w:rsidRDefault="000562A1" w:rsidP="00DB0F04">
      <w:pPr>
        <w:autoSpaceDE w:val="0"/>
        <w:autoSpaceDN w:val="0"/>
        <w:adjustRightInd w:val="0"/>
        <w:jc w:val="both"/>
      </w:pPr>
    </w:p>
    <w:p w:rsidR="000562A1" w:rsidRDefault="000562A1" w:rsidP="00DB0F04">
      <w:pPr>
        <w:autoSpaceDE w:val="0"/>
        <w:autoSpaceDN w:val="0"/>
        <w:adjustRightInd w:val="0"/>
        <w:jc w:val="both"/>
      </w:pPr>
    </w:p>
    <w:p w:rsidR="000562A1" w:rsidRDefault="000562A1" w:rsidP="00DB0F04">
      <w:pPr>
        <w:autoSpaceDE w:val="0"/>
        <w:autoSpaceDN w:val="0"/>
        <w:adjustRightInd w:val="0"/>
        <w:jc w:val="both"/>
      </w:pPr>
    </w:p>
    <w:p w:rsidR="00776AC5" w:rsidRDefault="00776AC5" w:rsidP="00DB0F04">
      <w:pPr>
        <w:autoSpaceDE w:val="0"/>
        <w:autoSpaceDN w:val="0"/>
        <w:adjustRightInd w:val="0"/>
        <w:jc w:val="center"/>
        <w:rPr>
          <w:b/>
        </w:rPr>
      </w:pPr>
      <w:r>
        <w:rPr>
          <w:b/>
        </w:rPr>
        <w:t>Cuadro 20</w:t>
      </w:r>
    </w:p>
    <w:p w:rsidR="00DB0F04" w:rsidRPr="00F874C3" w:rsidRDefault="00DB0F04" w:rsidP="00DB0F04">
      <w:pPr>
        <w:autoSpaceDE w:val="0"/>
        <w:autoSpaceDN w:val="0"/>
        <w:adjustRightInd w:val="0"/>
        <w:jc w:val="center"/>
        <w:rPr>
          <w:b/>
        </w:rPr>
      </w:pPr>
      <w:r w:rsidRPr="00F874C3">
        <w:rPr>
          <w:b/>
        </w:rPr>
        <w:t>Presupuesto</w:t>
      </w:r>
      <w:r w:rsidR="00414EF8">
        <w:rPr>
          <w:b/>
        </w:rPr>
        <w:t xml:space="preserve"> Asignado</w:t>
      </w:r>
      <w:r w:rsidRPr="00F874C3">
        <w:rPr>
          <w:b/>
        </w:rPr>
        <w:t xml:space="preserve"> y Estimación de Ingresos Tributarios 20</w:t>
      </w:r>
      <w:r>
        <w:rPr>
          <w:b/>
        </w:rPr>
        <w:t>20</w:t>
      </w:r>
    </w:p>
    <w:p w:rsidR="00DB0F04" w:rsidRDefault="00AE1AAD" w:rsidP="00DB0F04">
      <w:pPr>
        <w:autoSpaceDE w:val="0"/>
        <w:autoSpaceDN w:val="0"/>
        <w:adjustRightInd w:val="0"/>
        <w:jc w:val="center"/>
        <w:rPr>
          <w:b/>
        </w:rPr>
      </w:pPr>
      <w:r>
        <w:rPr>
          <w:b/>
        </w:rPr>
        <w:t>(</w:t>
      </w:r>
      <w:r w:rsidR="00776AC5">
        <w:rPr>
          <w:b/>
        </w:rPr>
        <w:t xml:space="preserve">En </w:t>
      </w:r>
      <w:r w:rsidR="00DB0F04" w:rsidRPr="00F874C3">
        <w:rPr>
          <w:b/>
        </w:rPr>
        <w:t xml:space="preserve">Millones de </w:t>
      </w:r>
      <w:r>
        <w:rPr>
          <w:b/>
        </w:rPr>
        <w:t>Q</w:t>
      </w:r>
      <w:r w:rsidR="00DB0F04" w:rsidRPr="00F874C3">
        <w:rPr>
          <w:b/>
        </w:rPr>
        <w:t>uetzales</w:t>
      </w:r>
      <w:r>
        <w:rPr>
          <w:b/>
        </w:rPr>
        <w:t>)</w:t>
      </w:r>
    </w:p>
    <w:tbl>
      <w:tblPr>
        <w:tblW w:w="8945" w:type="dxa"/>
        <w:jc w:val="center"/>
        <w:tblCellMar>
          <w:left w:w="70" w:type="dxa"/>
          <w:right w:w="70" w:type="dxa"/>
        </w:tblCellMar>
        <w:tblLook w:val="04A0" w:firstRow="1" w:lastRow="0" w:firstColumn="1" w:lastColumn="0" w:noHBand="0" w:noVBand="1"/>
      </w:tblPr>
      <w:tblGrid>
        <w:gridCol w:w="4566"/>
        <w:gridCol w:w="2111"/>
        <w:gridCol w:w="2268"/>
      </w:tblGrid>
      <w:tr w:rsidR="00DB0F04" w:rsidRPr="00AE1AAD" w:rsidTr="00AE1AAD">
        <w:trPr>
          <w:trHeight w:val="339"/>
          <w:jc w:val="center"/>
        </w:trPr>
        <w:tc>
          <w:tcPr>
            <w:tcW w:w="4566" w:type="dxa"/>
            <w:tcBorders>
              <w:top w:val="single" w:sz="8" w:space="0" w:color="auto"/>
              <w:left w:val="single" w:sz="8" w:space="0" w:color="auto"/>
              <w:bottom w:val="single" w:sz="12" w:space="0" w:color="auto"/>
              <w:right w:val="single" w:sz="8" w:space="0" w:color="auto"/>
            </w:tcBorders>
            <w:shd w:val="clear" w:color="000000" w:fill="0070C0"/>
            <w:noWrap/>
            <w:vAlign w:val="center"/>
            <w:hideMark/>
          </w:tcPr>
          <w:p w:rsidR="00DB0F04" w:rsidRPr="0032643F" w:rsidRDefault="00DB0F04" w:rsidP="00D454CC">
            <w:pPr>
              <w:jc w:val="center"/>
              <w:rPr>
                <w:b/>
                <w:bCs/>
                <w:color w:val="FFFFFF"/>
                <w:lang w:eastAsia="es-GT"/>
              </w:rPr>
            </w:pPr>
            <w:r w:rsidRPr="0032643F">
              <w:rPr>
                <w:b/>
                <w:bCs/>
                <w:color w:val="FFFFFF"/>
                <w:lang w:eastAsia="es-GT"/>
              </w:rPr>
              <w:t>Concepto</w:t>
            </w:r>
          </w:p>
        </w:tc>
        <w:tc>
          <w:tcPr>
            <w:tcW w:w="2111" w:type="dxa"/>
            <w:tcBorders>
              <w:top w:val="single" w:sz="8" w:space="0" w:color="auto"/>
              <w:left w:val="nil"/>
              <w:bottom w:val="single" w:sz="12" w:space="0" w:color="auto"/>
              <w:right w:val="single" w:sz="8" w:space="0" w:color="auto"/>
            </w:tcBorders>
            <w:shd w:val="clear" w:color="000000" w:fill="0070C0"/>
            <w:noWrap/>
            <w:vAlign w:val="center"/>
            <w:hideMark/>
          </w:tcPr>
          <w:p w:rsidR="00DB0F04" w:rsidRPr="0032643F" w:rsidRDefault="00DB0F04" w:rsidP="00D454CC">
            <w:pPr>
              <w:jc w:val="center"/>
              <w:rPr>
                <w:b/>
                <w:bCs/>
                <w:color w:val="FFFFFF"/>
                <w:lang w:eastAsia="es-GT"/>
              </w:rPr>
            </w:pPr>
            <w:r w:rsidRPr="0032643F">
              <w:rPr>
                <w:b/>
                <w:bCs/>
                <w:color w:val="FFFFFF"/>
                <w:lang w:eastAsia="es-GT"/>
              </w:rPr>
              <w:t>Presupuesto</w:t>
            </w:r>
          </w:p>
        </w:tc>
        <w:tc>
          <w:tcPr>
            <w:tcW w:w="2268" w:type="dxa"/>
            <w:tcBorders>
              <w:top w:val="single" w:sz="8" w:space="0" w:color="auto"/>
              <w:left w:val="nil"/>
              <w:bottom w:val="single" w:sz="12" w:space="0" w:color="auto"/>
              <w:right w:val="single" w:sz="8" w:space="0" w:color="auto"/>
            </w:tcBorders>
            <w:shd w:val="clear" w:color="000000" w:fill="0070C0"/>
            <w:noWrap/>
            <w:vAlign w:val="center"/>
            <w:hideMark/>
          </w:tcPr>
          <w:p w:rsidR="00DB0F04" w:rsidRPr="0032643F" w:rsidRDefault="00DB0F04" w:rsidP="00D454CC">
            <w:pPr>
              <w:jc w:val="center"/>
              <w:rPr>
                <w:b/>
                <w:bCs/>
                <w:color w:val="FFFFFF"/>
                <w:lang w:eastAsia="es-GT"/>
              </w:rPr>
            </w:pPr>
            <w:r w:rsidRPr="0032643F">
              <w:rPr>
                <w:b/>
                <w:bCs/>
                <w:color w:val="FFFFFF"/>
                <w:lang w:eastAsia="es-GT"/>
              </w:rPr>
              <w:t>Estimación</w:t>
            </w:r>
          </w:p>
        </w:tc>
      </w:tr>
      <w:tr w:rsidR="00DB0F04" w:rsidRPr="00F874C3" w:rsidTr="00AE1AAD">
        <w:trPr>
          <w:trHeight w:val="326"/>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100" w:firstLine="201"/>
              <w:rPr>
                <w:b/>
                <w:bCs/>
                <w:color w:val="000000"/>
                <w:sz w:val="20"/>
                <w:lang w:eastAsia="es-GT"/>
              </w:rPr>
            </w:pPr>
            <w:r w:rsidRPr="00F874C3">
              <w:rPr>
                <w:b/>
                <w:bCs/>
                <w:color w:val="000000"/>
                <w:sz w:val="20"/>
                <w:lang w:eastAsia="es-GT"/>
              </w:rPr>
              <w:t>Ingresos Tributarios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b/>
                <w:bCs/>
                <w:color w:val="000000"/>
                <w:sz w:val="20"/>
                <w:lang w:eastAsia="es-GT"/>
              </w:rPr>
            </w:pPr>
            <w:r w:rsidRPr="00F874C3">
              <w:rPr>
                <w:b/>
                <w:bCs/>
                <w:color w:val="000000"/>
                <w:sz w:val="20"/>
                <w:lang w:eastAsia="es-GT"/>
              </w:rPr>
              <w:t>64,027.7</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b/>
                <w:bCs/>
                <w:color w:val="000000"/>
                <w:sz w:val="20"/>
                <w:lang w:eastAsia="es-GT"/>
              </w:rPr>
            </w:pPr>
            <w:r>
              <w:rPr>
                <w:b/>
                <w:bCs/>
                <w:color w:val="000000"/>
                <w:sz w:val="20"/>
                <w:lang w:eastAsia="es-GT"/>
              </w:rPr>
              <w:t>57,107.8</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100" w:firstLine="201"/>
              <w:rPr>
                <w:b/>
                <w:bCs/>
                <w:color w:val="000000"/>
                <w:sz w:val="20"/>
                <w:lang w:eastAsia="es-GT"/>
              </w:rPr>
            </w:pPr>
            <w:r w:rsidRPr="00F874C3">
              <w:rPr>
                <w:b/>
                <w:bCs/>
                <w:color w:val="000000"/>
                <w:sz w:val="20"/>
                <w:lang w:eastAsia="es-GT"/>
              </w:rPr>
              <w:t>Impuestos Directos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b/>
                <w:bCs/>
                <w:color w:val="000000"/>
                <w:sz w:val="20"/>
                <w:lang w:eastAsia="es-GT"/>
              </w:rPr>
            </w:pPr>
            <w:r>
              <w:rPr>
                <w:b/>
                <w:bCs/>
                <w:color w:val="000000"/>
                <w:sz w:val="20"/>
                <w:lang w:eastAsia="es-GT"/>
              </w:rPr>
              <w:t>22,24</w:t>
            </w:r>
            <w:r w:rsidRPr="00F874C3">
              <w:rPr>
                <w:b/>
                <w:bCs/>
                <w:color w:val="000000"/>
                <w:sz w:val="20"/>
                <w:lang w:eastAsia="es-GT"/>
              </w:rPr>
              <w:t>4.4</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b/>
                <w:bCs/>
                <w:color w:val="000000"/>
                <w:sz w:val="20"/>
                <w:lang w:eastAsia="es-GT"/>
              </w:rPr>
            </w:pPr>
            <w:r w:rsidRPr="00F874C3">
              <w:rPr>
                <w:b/>
                <w:bCs/>
                <w:color w:val="000000"/>
                <w:sz w:val="20"/>
                <w:lang w:eastAsia="es-GT"/>
              </w:rPr>
              <w:t>21,</w:t>
            </w:r>
            <w:r>
              <w:rPr>
                <w:b/>
                <w:bCs/>
                <w:color w:val="000000"/>
                <w:sz w:val="20"/>
                <w:lang w:eastAsia="es-GT"/>
              </w:rPr>
              <w:t>038.0</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Impuesto sobre la renta</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16,257.1</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16,</w:t>
            </w:r>
            <w:r>
              <w:rPr>
                <w:color w:val="000000"/>
                <w:sz w:val="20"/>
                <w:lang w:eastAsia="es-GT"/>
              </w:rPr>
              <w:t>207.2</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Impuesto a la propiedad y otros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27.9</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3</w:t>
            </w:r>
            <w:r>
              <w:rPr>
                <w:color w:val="000000"/>
                <w:sz w:val="20"/>
                <w:lang w:eastAsia="es-GT"/>
              </w:rPr>
              <w:t>1.7</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Impuesto de solidaridad</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5,019.3</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4,</w:t>
            </w:r>
            <w:r>
              <w:rPr>
                <w:color w:val="000000"/>
                <w:sz w:val="20"/>
                <w:lang w:eastAsia="es-GT"/>
              </w:rPr>
              <w:t>799.1</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Otros directos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940</w:t>
            </w:r>
            <w:r w:rsidRPr="00F874C3">
              <w:rPr>
                <w:color w:val="000000"/>
                <w:sz w:val="20"/>
                <w:lang w:eastAsia="es-GT"/>
              </w:rPr>
              <w:t>.0</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0.0</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100" w:firstLine="201"/>
              <w:rPr>
                <w:b/>
                <w:bCs/>
                <w:color w:val="000000"/>
                <w:sz w:val="20"/>
                <w:lang w:eastAsia="es-GT"/>
              </w:rPr>
            </w:pPr>
            <w:r w:rsidRPr="00F874C3">
              <w:rPr>
                <w:b/>
                <w:bCs/>
                <w:color w:val="000000"/>
                <w:sz w:val="20"/>
                <w:lang w:eastAsia="es-GT"/>
              </w:rPr>
              <w:t>Impuestos Indirectos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b/>
                <w:bCs/>
                <w:color w:val="000000"/>
                <w:sz w:val="20"/>
                <w:lang w:eastAsia="es-GT"/>
              </w:rPr>
            </w:pPr>
            <w:r>
              <w:rPr>
                <w:b/>
                <w:bCs/>
                <w:color w:val="000000"/>
                <w:sz w:val="20"/>
                <w:lang w:eastAsia="es-GT"/>
              </w:rPr>
              <w:t>41,78</w:t>
            </w:r>
            <w:r w:rsidRPr="00F874C3">
              <w:rPr>
                <w:b/>
                <w:bCs/>
                <w:color w:val="000000"/>
                <w:sz w:val="20"/>
                <w:lang w:eastAsia="es-GT"/>
              </w:rPr>
              <w:t>3.</w:t>
            </w:r>
            <w:r>
              <w:rPr>
                <w:b/>
                <w:bCs/>
                <w:color w:val="000000"/>
                <w:sz w:val="20"/>
                <w:lang w:eastAsia="es-GT"/>
              </w:rPr>
              <w:t>4</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515ACB">
            <w:pPr>
              <w:jc w:val="center"/>
              <w:rPr>
                <w:b/>
                <w:bCs/>
                <w:color w:val="000000"/>
                <w:sz w:val="20"/>
                <w:lang w:eastAsia="es-GT"/>
              </w:rPr>
            </w:pPr>
            <w:r w:rsidRPr="00F874C3">
              <w:rPr>
                <w:b/>
                <w:bCs/>
                <w:color w:val="000000"/>
                <w:sz w:val="20"/>
                <w:lang w:eastAsia="es-GT"/>
              </w:rPr>
              <w:t>3</w:t>
            </w:r>
            <w:r w:rsidR="00515ACB">
              <w:rPr>
                <w:b/>
                <w:bCs/>
                <w:color w:val="000000"/>
                <w:sz w:val="20"/>
                <w:lang w:eastAsia="es-GT"/>
              </w:rPr>
              <w:t>6</w:t>
            </w:r>
            <w:r w:rsidRPr="00F874C3">
              <w:rPr>
                <w:b/>
                <w:bCs/>
                <w:color w:val="000000"/>
                <w:sz w:val="20"/>
                <w:lang w:eastAsia="es-GT"/>
              </w:rPr>
              <w:t>,</w:t>
            </w:r>
            <w:r>
              <w:rPr>
                <w:b/>
                <w:bCs/>
                <w:color w:val="000000"/>
                <w:sz w:val="20"/>
                <w:lang w:eastAsia="es-GT"/>
              </w:rPr>
              <w:t>069.8</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Impuesto al valor agregado</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31,069.9</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2</w:t>
            </w:r>
            <w:r>
              <w:rPr>
                <w:color w:val="000000"/>
                <w:sz w:val="20"/>
                <w:lang w:eastAsia="es-GT"/>
              </w:rPr>
              <w:t>7</w:t>
            </w:r>
            <w:r w:rsidRPr="00F874C3">
              <w:rPr>
                <w:color w:val="000000"/>
                <w:sz w:val="20"/>
                <w:lang w:eastAsia="es-GT"/>
              </w:rPr>
              <w:t>,</w:t>
            </w:r>
            <w:r>
              <w:rPr>
                <w:color w:val="000000"/>
                <w:sz w:val="20"/>
                <w:lang w:eastAsia="es-GT"/>
              </w:rPr>
              <w:t>356.7</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300" w:firstLine="600"/>
              <w:rPr>
                <w:color w:val="000000"/>
                <w:sz w:val="20"/>
                <w:lang w:eastAsia="es-GT"/>
              </w:rPr>
            </w:pPr>
            <w:r w:rsidRPr="00F874C3">
              <w:rPr>
                <w:color w:val="000000"/>
                <w:sz w:val="20"/>
                <w:lang w:eastAsia="es-GT"/>
              </w:rPr>
              <w:t>Doméstico</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15,441.9</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1</w:t>
            </w:r>
            <w:r>
              <w:rPr>
                <w:color w:val="000000"/>
                <w:sz w:val="20"/>
                <w:lang w:eastAsia="es-GT"/>
              </w:rPr>
              <w:t>4</w:t>
            </w:r>
            <w:r w:rsidRPr="00F874C3">
              <w:rPr>
                <w:color w:val="000000"/>
                <w:sz w:val="20"/>
                <w:lang w:eastAsia="es-GT"/>
              </w:rPr>
              <w:t>,</w:t>
            </w:r>
            <w:r>
              <w:rPr>
                <w:color w:val="000000"/>
                <w:sz w:val="20"/>
                <w:lang w:eastAsia="es-GT"/>
              </w:rPr>
              <w:t>047.2</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300" w:firstLine="600"/>
              <w:rPr>
                <w:color w:val="000000"/>
                <w:sz w:val="20"/>
                <w:lang w:eastAsia="es-GT"/>
              </w:rPr>
            </w:pPr>
            <w:r w:rsidRPr="00F874C3">
              <w:rPr>
                <w:color w:val="000000"/>
                <w:sz w:val="20"/>
                <w:lang w:eastAsia="es-GT"/>
              </w:rPr>
              <w:t>Importaciones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15,628.0</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1</w:t>
            </w:r>
            <w:r>
              <w:rPr>
                <w:color w:val="000000"/>
                <w:sz w:val="20"/>
                <w:lang w:eastAsia="es-GT"/>
              </w:rPr>
              <w:t>3</w:t>
            </w:r>
            <w:r w:rsidRPr="00F874C3">
              <w:rPr>
                <w:color w:val="000000"/>
                <w:sz w:val="20"/>
                <w:lang w:eastAsia="es-GT"/>
              </w:rPr>
              <w:t>,</w:t>
            </w:r>
            <w:r>
              <w:rPr>
                <w:color w:val="000000"/>
                <w:sz w:val="20"/>
                <w:lang w:eastAsia="es-GT"/>
              </w:rPr>
              <w:t>309.5</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AE1AAD">
            <w:pPr>
              <w:ind w:firstLineChars="200" w:firstLine="400"/>
              <w:rPr>
                <w:color w:val="000000"/>
                <w:sz w:val="20"/>
                <w:lang w:eastAsia="es-GT"/>
              </w:rPr>
            </w:pPr>
            <w:r w:rsidRPr="00F874C3">
              <w:rPr>
                <w:color w:val="000000"/>
                <w:sz w:val="20"/>
                <w:lang w:eastAsia="es-GT"/>
              </w:rPr>
              <w:t xml:space="preserve">Derechos </w:t>
            </w:r>
            <w:r w:rsidR="00AE1AAD">
              <w:rPr>
                <w:color w:val="000000"/>
                <w:sz w:val="20"/>
                <w:lang w:eastAsia="es-GT"/>
              </w:rPr>
              <w:t>a</w:t>
            </w:r>
            <w:r w:rsidRPr="00F874C3">
              <w:rPr>
                <w:color w:val="000000"/>
                <w:sz w:val="20"/>
                <w:lang w:eastAsia="es-GT"/>
              </w:rPr>
              <w:t>rancelarios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2,708.6</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2,</w:t>
            </w:r>
            <w:r>
              <w:rPr>
                <w:color w:val="000000"/>
                <w:sz w:val="20"/>
                <w:lang w:eastAsia="es-GT"/>
              </w:rPr>
              <w:t>377.7</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Petróleo</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3,514.6</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2</w:t>
            </w:r>
            <w:r w:rsidRPr="00F874C3">
              <w:rPr>
                <w:color w:val="000000"/>
                <w:sz w:val="20"/>
                <w:lang w:eastAsia="es-GT"/>
              </w:rPr>
              <w:t>,</w:t>
            </w:r>
            <w:r>
              <w:rPr>
                <w:color w:val="000000"/>
                <w:sz w:val="20"/>
                <w:lang w:eastAsia="es-GT"/>
              </w:rPr>
              <w:t>693.1</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AE1AAD">
            <w:pPr>
              <w:ind w:firstLineChars="200" w:firstLine="400"/>
              <w:rPr>
                <w:color w:val="000000"/>
                <w:sz w:val="20"/>
                <w:lang w:eastAsia="es-GT"/>
              </w:rPr>
            </w:pPr>
            <w:r w:rsidRPr="00F874C3">
              <w:rPr>
                <w:color w:val="000000"/>
                <w:sz w:val="20"/>
                <w:lang w:eastAsia="es-GT"/>
              </w:rPr>
              <w:t xml:space="preserve">Timbres </w:t>
            </w:r>
            <w:r w:rsidR="00AE1AAD">
              <w:rPr>
                <w:color w:val="000000"/>
                <w:sz w:val="20"/>
                <w:lang w:eastAsia="es-GT"/>
              </w:rPr>
              <w:t>f</w:t>
            </w:r>
            <w:r w:rsidRPr="00F874C3">
              <w:rPr>
                <w:color w:val="000000"/>
                <w:sz w:val="20"/>
                <w:lang w:eastAsia="es-GT"/>
              </w:rPr>
              <w:t>iscales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498.3</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393.0</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Vehículos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914.8</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910.1</w:t>
            </w:r>
          </w:p>
        </w:tc>
      </w:tr>
      <w:tr w:rsidR="00DB0F04" w:rsidRPr="00F874C3" w:rsidTr="00AE1AAD">
        <w:trPr>
          <w:trHeight w:val="326"/>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IPRIMA</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1,048.0</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831.0</w:t>
            </w:r>
          </w:p>
        </w:tc>
      </w:tr>
      <w:tr w:rsidR="00DB0F04" w:rsidRPr="00F874C3" w:rsidTr="00AE1AAD">
        <w:trPr>
          <w:trHeight w:val="339"/>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Regalías e hidrocarburos petroleros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225.4</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111.9</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Salidas del país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333.4</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109.9</w:t>
            </w:r>
          </w:p>
        </w:tc>
      </w:tr>
      <w:tr w:rsidR="00DB0F04" w:rsidRPr="00F874C3" w:rsidTr="00AE1AAD">
        <w:trPr>
          <w:trHeight w:val="326"/>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Impuestos específicos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1,177.3</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1,147.7</w:t>
            </w:r>
          </w:p>
        </w:tc>
      </w:tr>
      <w:tr w:rsidR="00DB0F04" w:rsidRPr="00F874C3" w:rsidTr="00AE1AAD">
        <w:trPr>
          <w:trHeight w:val="326"/>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300" w:firstLine="600"/>
              <w:rPr>
                <w:color w:val="000000"/>
                <w:sz w:val="20"/>
                <w:lang w:eastAsia="es-GT"/>
              </w:rPr>
            </w:pPr>
            <w:r w:rsidRPr="00F874C3">
              <w:rPr>
                <w:color w:val="000000"/>
                <w:sz w:val="20"/>
                <w:lang w:eastAsia="es-GT"/>
              </w:rPr>
              <w:t>Alcoholes y bebidas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820.4</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850.0</w:t>
            </w:r>
          </w:p>
        </w:tc>
      </w:tr>
      <w:tr w:rsidR="00DB0F04" w:rsidRPr="00F874C3" w:rsidTr="00AE1AAD">
        <w:trPr>
          <w:trHeight w:val="314"/>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300" w:firstLine="600"/>
              <w:rPr>
                <w:color w:val="000000"/>
                <w:sz w:val="20"/>
                <w:lang w:eastAsia="es-GT"/>
              </w:rPr>
            </w:pPr>
            <w:r w:rsidRPr="00F874C3">
              <w:rPr>
                <w:color w:val="000000"/>
                <w:sz w:val="20"/>
                <w:lang w:eastAsia="es-GT"/>
              </w:rPr>
              <w:t>Tabacos</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356.9</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297.7</w:t>
            </w:r>
          </w:p>
        </w:tc>
      </w:tr>
      <w:tr w:rsidR="00DB0F04" w:rsidRPr="00F874C3" w:rsidTr="00AE1AAD">
        <w:trPr>
          <w:trHeight w:val="326"/>
          <w:jc w:val="center"/>
        </w:trPr>
        <w:tc>
          <w:tcPr>
            <w:tcW w:w="4566" w:type="dxa"/>
            <w:tcBorders>
              <w:top w:val="nil"/>
              <w:left w:val="single" w:sz="8" w:space="0" w:color="auto"/>
              <w:bottom w:val="nil"/>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Distribución de cemento</w:t>
            </w:r>
          </w:p>
        </w:tc>
        <w:tc>
          <w:tcPr>
            <w:tcW w:w="2111"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124.6</w:t>
            </w:r>
          </w:p>
        </w:tc>
        <w:tc>
          <w:tcPr>
            <w:tcW w:w="2268" w:type="dxa"/>
            <w:tcBorders>
              <w:top w:val="nil"/>
              <w:left w:val="nil"/>
              <w:bottom w:val="nil"/>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131.4</w:t>
            </w:r>
          </w:p>
        </w:tc>
      </w:tr>
      <w:tr w:rsidR="00DB0F04" w:rsidRPr="00F874C3" w:rsidTr="00AE1AAD">
        <w:trPr>
          <w:trHeight w:val="326"/>
          <w:jc w:val="center"/>
        </w:trPr>
        <w:tc>
          <w:tcPr>
            <w:tcW w:w="4566" w:type="dxa"/>
            <w:tcBorders>
              <w:top w:val="nil"/>
              <w:left w:val="single" w:sz="8" w:space="0" w:color="auto"/>
              <w:bottom w:val="single" w:sz="8" w:space="0" w:color="auto"/>
              <w:right w:val="single" w:sz="8" w:space="0" w:color="auto"/>
            </w:tcBorders>
            <w:shd w:val="clear" w:color="auto" w:fill="auto"/>
            <w:noWrap/>
            <w:vAlign w:val="center"/>
            <w:hideMark/>
          </w:tcPr>
          <w:p w:rsidR="00DB0F04" w:rsidRPr="00F874C3" w:rsidRDefault="00DB0F04" w:rsidP="00D454CC">
            <w:pPr>
              <w:ind w:firstLineChars="200" w:firstLine="400"/>
              <w:rPr>
                <w:color w:val="000000"/>
                <w:sz w:val="20"/>
                <w:lang w:eastAsia="es-GT"/>
              </w:rPr>
            </w:pPr>
            <w:r w:rsidRPr="00F874C3">
              <w:rPr>
                <w:color w:val="000000"/>
                <w:sz w:val="20"/>
                <w:lang w:eastAsia="es-GT"/>
              </w:rPr>
              <w:t>Otros indirectos</w:t>
            </w:r>
          </w:p>
        </w:tc>
        <w:tc>
          <w:tcPr>
            <w:tcW w:w="2111" w:type="dxa"/>
            <w:tcBorders>
              <w:top w:val="nil"/>
              <w:left w:val="nil"/>
              <w:bottom w:val="single" w:sz="8" w:space="0" w:color="auto"/>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Pr>
                <w:color w:val="000000"/>
                <w:sz w:val="20"/>
                <w:lang w:eastAsia="es-GT"/>
              </w:rPr>
              <w:t>168.5</w:t>
            </w:r>
          </w:p>
        </w:tc>
        <w:tc>
          <w:tcPr>
            <w:tcW w:w="2268" w:type="dxa"/>
            <w:tcBorders>
              <w:top w:val="nil"/>
              <w:left w:val="nil"/>
              <w:bottom w:val="single" w:sz="8" w:space="0" w:color="auto"/>
              <w:right w:val="single" w:sz="8" w:space="0" w:color="auto"/>
            </w:tcBorders>
            <w:shd w:val="clear" w:color="auto" w:fill="auto"/>
            <w:noWrap/>
            <w:vAlign w:val="center"/>
            <w:hideMark/>
          </w:tcPr>
          <w:p w:rsidR="00DB0F04" w:rsidRPr="00F874C3" w:rsidRDefault="00DB0F04" w:rsidP="00D454CC">
            <w:pPr>
              <w:jc w:val="center"/>
              <w:rPr>
                <w:color w:val="000000"/>
                <w:sz w:val="20"/>
                <w:lang w:eastAsia="es-GT"/>
              </w:rPr>
            </w:pPr>
            <w:r w:rsidRPr="00F874C3">
              <w:rPr>
                <w:color w:val="000000"/>
                <w:sz w:val="20"/>
                <w:lang w:eastAsia="es-GT"/>
              </w:rPr>
              <w:t>7.</w:t>
            </w:r>
            <w:r>
              <w:rPr>
                <w:color w:val="000000"/>
                <w:sz w:val="20"/>
                <w:lang w:eastAsia="es-GT"/>
              </w:rPr>
              <w:t>3</w:t>
            </w:r>
          </w:p>
        </w:tc>
      </w:tr>
    </w:tbl>
    <w:p w:rsidR="00AE1AAD" w:rsidRPr="00046E3F" w:rsidRDefault="00AE1AAD" w:rsidP="00AE1AAD">
      <w:pPr>
        <w:jc w:val="both"/>
        <w:rPr>
          <w:sz w:val="18"/>
          <w:lang w:val="es-MX"/>
        </w:rPr>
      </w:pPr>
      <w:r>
        <w:rPr>
          <w:sz w:val="18"/>
          <w:lang w:val="es-MX"/>
        </w:rPr>
        <w:t xml:space="preserve"> </w:t>
      </w:r>
      <w:r w:rsidRPr="00046E3F">
        <w:rPr>
          <w:sz w:val="18"/>
          <w:lang w:val="es-MX"/>
        </w:rPr>
        <w:t xml:space="preserve">Fuente: </w:t>
      </w:r>
      <w:r>
        <w:rPr>
          <w:sz w:val="18"/>
          <w:lang w:val="es-MX"/>
        </w:rPr>
        <w:t>Ministerio de Finanzas Públicas.</w:t>
      </w:r>
    </w:p>
    <w:p w:rsidR="00DB0F04" w:rsidRDefault="00DB0F04" w:rsidP="00DB0F04">
      <w:pPr>
        <w:pStyle w:val="Prrafodelista"/>
        <w:rPr>
          <w:sz w:val="16"/>
        </w:rPr>
      </w:pPr>
    </w:p>
    <w:p w:rsidR="00AE1AAD" w:rsidRDefault="00AE1AAD" w:rsidP="00DB0F04">
      <w:pPr>
        <w:pStyle w:val="Prrafodelista"/>
        <w:rPr>
          <w:sz w:val="16"/>
        </w:rPr>
      </w:pPr>
    </w:p>
    <w:p w:rsidR="00AE1AAD" w:rsidRDefault="00AE1AAD" w:rsidP="00DB0F04">
      <w:pPr>
        <w:pStyle w:val="Prrafodelista"/>
        <w:rPr>
          <w:sz w:val="16"/>
        </w:rPr>
      </w:pPr>
    </w:p>
    <w:p w:rsidR="00DB0F04" w:rsidRDefault="00DB0F04" w:rsidP="00F073BE">
      <w:pPr>
        <w:pStyle w:val="Prrafodelista"/>
        <w:numPr>
          <w:ilvl w:val="0"/>
          <w:numId w:val="9"/>
        </w:numPr>
        <w:autoSpaceDE w:val="0"/>
        <w:autoSpaceDN w:val="0"/>
        <w:adjustRightInd w:val="0"/>
        <w:contextualSpacing/>
        <w:jc w:val="both"/>
        <w:rPr>
          <w:b/>
        </w:rPr>
      </w:pPr>
      <w:r>
        <w:rPr>
          <w:b/>
        </w:rPr>
        <w:t>Gasto C</w:t>
      </w:r>
      <w:r w:rsidRPr="009A2D43">
        <w:rPr>
          <w:b/>
        </w:rPr>
        <w:t xml:space="preserve">orriente y de </w:t>
      </w:r>
      <w:r>
        <w:rPr>
          <w:b/>
        </w:rPr>
        <w:t>C</w:t>
      </w:r>
      <w:r w:rsidR="001D7324">
        <w:rPr>
          <w:b/>
        </w:rPr>
        <w:t>apital</w:t>
      </w:r>
    </w:p>
    <w:p w:rsidR="00DB0F04" w:rsidRDefault="00DB0F04" w:rsidP="00DB0F04">
      <w:pPr>
        <w:autoSpaceDE w:val="0"/>
        <w:autoSpaceDN w:val="0"/>
        <w:adjustRightInd w:val="0"/>
        <w:jc w:val="both"/>
        <w:rPr>
          <w:b/>
        </w:rPr>
      </w:pPr>
    </w:p>
    <w:p w:rsidR="00DB0F04" w:rsidRPr="00CC2D37" w:rsidRDefault="00DB0F04" w:rsidP="00DB0F04">
      <w:pPr>
        <w:jc w:val="both"/>
      </w:pPr>
      <w:r w:rsidRPr="00CC2D37">
        <w:t>El Proyecto de Presupuesto General de Ingresos y Egresos del Estado para el Ejercicio Fiscal 2020 no fue aprobado en el término que establece la Constitución Política de la República de Guatemala</w:t>
      </w:r>
      <w:r w:rsidR="001D7324">
        <w:t>;</w:t>
      </w:r>
      <w:r w:rsidRPr="00CC2D37">
        <w:t xml:space="preserve"> por lo tanto, entró </w:t>
      </w:r>
      <w:r w:rsidR="001D7324">
        <w:t>a regir</w:t>
      </w:r>
      <w:r w:rsidRPr="00CC2D37">
        <w:t xml:space="preserve"> el presupuesto </w:t>
      </w:r>
      <w:r w:rsidR="001D7324">
        <w:t xml:space="preserve">en vigencia </w:t>
      </w:r>
      <w:r w:rsidRPr="00CC2D37">
        <w:t xml:space="preserve">del ejercicio fiscal 2019, </w:t>
      </w:r>
      <w:r w:rsidR="001D7324">
        <w:t>el</w:t>
      </w:r>
      <w:r w:rsidRPr="00CC2D37">
        <w:t xml:space="preserve"> cual ascendió a Q</w:t>
      </w:r>
      <w:r w:rsidR="001D7324">
        <w:t>.</w:t>
      </w:r>
      <w:r w:rsidRPr="00CC2D37">
        <w:t xml:space="preserve">87,715.0 millones. De esa cuenta, el gasto fue moderado en los primeros meses del año, </w:t>
      </w:r>
      <w:r w:rsidR="00775C1C">
        <w:t>considerando</w:t>
      </w:r>
      <w:r w:rsidRPr="00CC2D37">
        <w:t xml:space="preserve"> que las entidades se encontraban en proceso de hacer las readecuaciones presupuestarias acorde a </w:t>
      </w:r>
      <w:r w:rsidR="00775C1C">
        <w:t>sus</w:t>
      </w:r>
      <w:r w:rsidRPr="00CC2D37">
        <w:t xml:space="preserve"> necesidades y objetivos planteados para el año, contrario a lo observado en 2019, ya que las entidades en los primeros meses mostraron una ejecución bastante dinámica</w:t>
      </w:r>
      <w:r w:rsidR="00775C1C">
        <w:t>. A</w:t>
      </w:r>
      <w:r w:rsidRPr="00CC2D37">
        <w:t>dicionalmente se tuvieron gastos extraordinarios, com</w:t>
      </w:r>
      <w:r>
        <w:t>o el aporte al Tribunal Supremo</w:t>
      </w:r>
      <w:r w:rsidRPr="00CC2D37">
        <w:t xml:space="preserve"> Electoral para el financiamiento de las Elecciones Generales y los gastos del Ministerio de Educación.</w:t>
      </w:r>
    </w:p>
    <w:p w:rsidR="00DB0F04" w:rsidRDefault="00DB0F04" w:rsidP="00DB0F04">
      <w:pPr>
        <w:jc w:val="both"/>
      </w:pPr>
    </w:p>
    <w:p w:rsidR="00776AC5" w:rsidRPr="00776AC5" w:rsidRDefault="00776AC5" w:rsidP="00DB0F04">
      <w:pPr>
        <w:jc w:val="both"/>
        <w:rPr>
          <w:sz w:val="28"/>
        </w:rPr>
      </w:pPr>
    </w:p>
    <w:p w:rsidR="00DB0F04" w:rsidRPr="00CC2D37" w:rsidRDefault="00DB0F04" w:rsidP="00DB0F04">
      <w:pPr>
        <w:jc w:val="both"/>
      </w:pPr>
      <w:r w:rsidRPr="00CC2D37">
        <w:t>As</w:t>
      </w:r>
      <w:r w:rsidR="00314F6E">
        <w:t>i</w:t>
      </w:r>
      <w:r w:rsidRPr="00CC2D37">
        <w:t xml:space="preserve">mismo, una ejecución moderada es congruente con el primer año de una nueva administración </w:t>
      </w:r>
      <w:r w:rsidR="00314F6E">
        <w:t>de gobierno</w:t>
      </w:r>
      <w:r w:rsidRPr="00CC2D37">
        <w:t xml:space="preserve">, ya que se </w:t>
      </w:r>
      <w:r w:rsidR="00AB1506">
        <w:t>manifiesta</w:t>
      </w:r>
      <w:r w:rsidRPr="00CC2D37">
        <w:t xml:space="preserve"> un proceso de adaptación de las nuevas autoridades y funcionarios al quehacer de la administración pública.</w:t>
      </w:r>
    </w:p>
    <w:p w:rsidR="00DB0F04" w:rsidRPr="00776AC5" w:rsidRDefault="00DB0F04" w:rsidP="00DB0F04">
      <w:pPr>
        <w:jc w:val="both"/>
        <w:rPr>
          <w:sz w:val="32"/>
        </w:rPr>
      </w:pPr>
    </w:p>
    <w:p w:rsidR="00DB0F04" w:rsidRPr="00CC2D37" w:rsidRDefault="00DB0F04" w:rsidP="00DB0F04">
      <w:pPr>
        <w:jc w:val="both"/>
      </w:pPr>
      <w:r w:rsidRPr="00CC2D37">
        <w:t>La dinámica en la ejecución de</w:t>
      </w:r>
      <w:r w:rsidR="00CC1EAC">
        <w:t>l</w:t>
      </w:r>
      <w:r w:rsidRPr="00CC2D37">
        <w:t xml:space="preserve"> gasto público a partir de marzo</w:t>
      </w:r>
      <w:r w:rsidR="00CC1EAC">
        <w:t xml:space="preserve"> de 2020,</w:t>
      </w:r>
      <w:r w:rsidRPr="00CC2D37">
        <w:t xml:space="preserve"> estuvo marcada por la declaratoria del Estado de Calamidad Pública en todo el territorio nacional</w:t>
      </w:r>
      <w:r w:rsidR="00CC1EAC">
        <w:t>,</w:t>
      </w:r>
      <w:r w:rsidRPr="00CC2D37">
        <w:t xml:space="preserve"> como consecuencia de la emergencia sanitaria ocasionada por la </w:t>
      </w:r>
      <w:r w:rsidR="00CC1EAC">
        <w:t>pandemia del Covid</w:t>
      </w:r>
      <w:r w:rsidRPr="00CC2D37">
        <w:t>-19, lo cual desencaden</w:t>
      </w:r>
      <w:r w:rsidR="00CC1EAC">
        <w:t>ó</w:t>
      </w:r>
      <w:r w:rsidRPr="00CC2D37">
        <w:t xml:space="preserve"> también una emergencia económica por las restricciones de movilidad y de las actividades productivas no esenciales</w:t>
      </w:r>
      <w:r w:rsidR="00CC1EAC">
        <w:t>. D</w:t>
      </w:r>
      <w:r w:rsidRPr="00CC2D37">
        <w:t>e esa cuenta</w:t>
      </w:r>
      <w:r w:rsidR="00CC1EAC">
        <w:t>,</w:t>
      </w:r>
      <w:r w:rsidRPr="00CC2D37">
        <w:t xml:space="preserve"> fue necesario llevar al Congreso de la República una serie de ampliaciones presupuestarias que no se tenían contempladas en un principio, las cuales respondían a la coyuntura de la pandemia. En adición a ello, se debían hacer ampliaciones presupuestarias que respondieran a las necesidades de las entidades</w:t>
      </w:r>
      <w:r w:rsidR="00CC1EAC">
        <w:t xml:space="preserve"> públicas</w:t>
      </w:r>
      <w:r w:rsidRPr="00CC2D37">
        <w:t>, ya que se debía atender también parte del servicio de la deuda pública que no estaba cubierto y la atención de los compromisos adquiridos en 2019</w:t>
      </w:r>
      <w:r w:rsidR="00CC1EAC">
        <w:t>,</w:t>
      </w:r>
      <w:r w:rsidRPr="00CC2D37">
        <w:t xml:space="preserve"> en cuanto a pactos colectivos</w:t>
      </w:r>
      <w:r w:rsidR="00CC1EAC">
        <w:t xml:space="preserve"> se refiere</w:t>
      </w:r>
      <w:r w:rsidRPr="00CC2D37">
        <w:t>.</w:t>
      </w:r>
    </w:p>
    <w:p w:rsidR="00DB0F04" w:rsidRPr="00776AC5" w:rsidRDefault="00DB0F04" w:rsidP="00DB0F04">
      <w:pPr>
        <w:jc w:val="both"/>
        <w:rPr>
          <w:sz w:val="32"/>
          <w:highlight w:val="yellow"/>
        </w:rPr>
      </w:pPr>
    </w:p>
    <w:p w:rsidR="00DB0F04" w:rsidRPr="00CC2D37" w:rsidRDefault="00DB0F04" w:rsidP="00DB0F04">
      <w:pPr>
        <w:jc w:val="both"/>
      </w:pPr>
      <w:r w:rsidRPr="00CC2D37">
        <w:t xml:space="preserve">El ritmo de ejecución del gasto público a abril </w:t>
      </w:r>
      <w:r w:rsidR="00CC1EAC">
        <w:t xml:space="preserve">de 2020, </w:t>
      </w:r>
      <w:r w:rsidRPr="00CC2D37">
        <w:t>se desaceleró significativamente</w:t>
      </w:r>
      <w:r w:rsidR="00090253">
        <w:t>;</w:t>
      </w:r>
      <w:r w:rsidRPr="00CC2D37">
        <w:t xml:space="preserve"> el crecimiento interanual fue negativo </w:t>
      </w:r>
      <w:r w:rsidR="00614986">
        <w:t xml:space="preserve">en </w:t>
      </w:r>
      <w:r w:rsidRPr="00CC2D37">
        <w:t xml:space="preserve">el orden de 1.6%, esto se debió a que las entidades de gobierno estaban volcadas casi en su totalidad al diseño de las </w:t>
      </w:r>
      <w:r w:rsidR="00614986">
        <w:t>estructuras</w:t>
      </w:r>
      <w:r w:rsidR="0078132F">
        <w:t xml:space="preserve"> presupuestarias</w:t>
      </w:r>
      <w:r w:rsidRPr="00CC2D37">
        <w:t xml:space="preserve"> </w:t>
      </w:r>
      <w:r w:rsidR="00614986">
        <w:t>en</w:t>
      </w:r>
      <w:r w:rsidRPr="00CC2D37">
        <w:t xml:space="preserve"> el programa 94 “Atención por </w:t>
      </w:r>
      <w:r w:rsidR="00614986">
        <w:t>D</w:t>
      </w:r>
      <w:r w:rsidRPr="00CC2D37">
        <w:t xml:space="preserve">esastres </w:t>
      </w:r>
      <w:r w:rsidR="00614986">
        <w:t>N</w:t>
      </w:r>
      <w:r w:rsidRPr="00CC2D37">
        <w:t xml:space="preserve">aturales y Calamidades Públicas” y </w:t>
      </w:r>
      <w:r w:rsidR="00614986">
        <w:t xml:space="preserve">el </w:t>
      </w:r>
      <w:r w:rsidRPr="00CC2D37">
        <w:t>subprograma 09 “Estado de Calamidad Pública por Emergencia C</w:t>
      </w:r>
      <w:r w:rsidR="00614986">
        <w:t>ovid</w:t>
      </w:r>
      <w:r w:rsidRPr="00CC2D37">
        <w:t xml:space="preserve">-19 (DG 5-2020)”, el cual sería implementado para la atención de las necesidades sanitarias y económicas causadas por la </w:t>
      </w:r>
      <w:r w:rsidR="00614986">
        <w:t>pandemia del Covid</w:t>
      </w:r>
      <w:r w:rsidRPr="00CC2D37">
        <w:t>-19. Por ello, en abril</w:t>
      </w:r>
      <w:r w:rsidR="00614986">
        <w:t xml:space="preserve"> de 2020</w:t>
      </w:r>
      <w:r w:rsidRPr="00CC2D37">
        <w:t xml:space="preserve"> las ampliaciones presupuestarias aprobadas ascendieron a Q</w:t>
      </w:r>
      <w:r w:rsidR="00614986">
        <w:t>.</w:t>
      </w:r>
      <w:r w:rsidRPr="00CC2D37">
        <w:t>14,867.9 millones.</w:t>
      </w:r>
    </w:p>
    <w:p w:rsidR="00DB0F04" w:rsidRPr="00776AC5" w:rsidRDefault="00DB0F04" w:rsidP="00DB0F04">
      <w:pPr>
        <w:autoSpaceDE w:val="0"/>
        <w:autoSpaceDN w:val="0"/>
        <w:adjustRightInd w:val="0"/>
        <w:jc w:val="both"/>
        <w:rPr>
          <w:sz w:val="32"/>
          <w:highlight w:val="yellow"/>
        </w:rPr>
      </w:pPr>
    </w:p>
    <w:p w:rsidR="00DB0F04" w:rsidRPr="00CC2D37" w:rsidRDefault="00DB0F04" w:rsidP="00DB0F04">
      <w:pPr>
        <w:jc w:val="both"/>
      </w:pPr>
      <w:r w:rsidRPr="00CC2D37">
        <w:t>A partir de mayo</w:t>
      </w:r>
      <w:r w:rsidR="000157AE">
        <w:t xml:space="preserve"> de este año</w:t>
      </w:r>
      <w:r w:rsidRPr="00CC2D37">
        <w:t>, como se tenía previsto, el dinamismo en el gasto público empezó a repuntar</w:t>
      </w:r>
      <w:r w:rsidR="000157AE">
        <w:t>;</w:t>
      </w:r>
      <w:r w:rsidRPr="00CC2D37">
        <w:t xml:space="preserve"> ya habían sido </w:t>
      </w:r>
      <w:r w:rsidR="000157AE">
        <w:t>operadas en el</w:t>
      </w:r>
      <w:r w:rsidRPr="00CC2D37">
        <w:t xml:space="preserve"> sistema la mayoría de las ampliaciones presupuestarias aprobadas por el Congreso de la República; para junio </w:t>
      </w:r>
      <w:r w:rsidR="000157AE">
        <w:t>é</w:t>
      </w:r>
      <w:r w:rsidRPr="00CC2D37">
        <w:t>stas ascendieron a Q</w:t>
      </w:r>
      <w:r w:rsidR="000157AE">
        <w:t>.</w:t>
      </w:r>
      <w:r w:rsidRPr="00CC2D37">
        <w:t>20,045.7 millones, de las cuales el 71.3% corresponden a las ampliaciones para atender la emergencia sanitaria y económica causada por la pandemia</w:t>
      </w:r>
      <w:r w:rsidR="000157AE">
        <w:t>;</w:t>
      </w:r>
      <w:r w:rsidRPr="00CC2D37">
        <w:t xml:space="preserve"> de esa cuenta</w:t>
      </w:r>
      <w:r w:rsidR="000157AE">
        <w:t>,</w:t>
      </w:r>
      <w:r w:rsidRPr="00CC2D37">
        <w:t xml:space="preserve"> se registró un presupuesto</w:t>
      </w:r>
      <w:r w:rsidR="000157AE">
        <w:t xml:space="preserve"> vigente </w:t>
      </w:r>
      <w:r w:rsidRPr="00CC2D37">
        <w:t>que ascendió a Q</w:t>
      </w:r>
      <w:r w:rsidR="000157AE">
        <w:t>.</w:t>
      </w:r>
      <w:r w:rsidRPr="00CC2D37">
        <w:t>107,760.7 millones.</w:t>
      </w:r>
    </w:p>
    <w:p w:rsidR="00DB0F04" w:rsidRPr="00776AC5" w:rsidRDefault="00DB0F04" w:rsidP="00DB0F04">
      <w:pPr>
        <w:autoSpaceDE w:val="0"/>
        <w:autoSpaceDN w:val="0"/>
        <w:adjustRightInd w:val="0"/>
        <w:jc w:val="both"/>
        <w:rPr>
          <w:sz w:val="32"/>
          <w:highlight w:val="yellow"/>
        </w:rPr>
      </w:pPr>
    </w:p>
    <w:p w:rsidR="00DB0F04" w:rsidRPr="00CC2D37" w:rsidRDefault="00DB0F04" w:rsidP="00DB0F04">
      <w:pPr>
        <w:autoSpaceDE w:val="0"/>
        <w:autoSpaceDN w:val="0"/>
        <w:adjustRightInd w:val="0"/>
        <w:jc w:val="both"/>
      </w:pPr>
      <w:r w:rsidRPr="00CC2D37">
        <w:t xml:space="preserve">A nivel de </w:t>
      </w:r>
      <w:r w:rsidR="002F4175">
        <w:t>componente</w:t>
      </w:r>
      <w:r w:rsidRPr="00CC2D37">
        <w:t xml:space="preserve"> de </w:t>
      </w:r>
      <w:r w:rsidR="002C3647">
        <w:t xml:space="preserve">la </w:t>
      </w:r>
      <w:r w:rsidRPr="00CC2D37">
        <w:t>cuenta económica, el mayor crecimiento interanual a junio</w:t>
      </w:r>
      <w:r w:rsidR="002C3647">
        <w:t xml:space="preserve"> de 2020</w:t>
      </w:r>
      <w:r w:rsidRPr="00CC2D37">
        <w:t xml:space="preserve"> se reporta en los gastos de capital</w:t>
      </w:r>
      <w:r w:rsidR="002C3647">
        <w:t>, específicamente</w:t>
      </w:r>
      <w:r w:rsidRPr="00CC2D37">
        <w:t xml:space="preserve"> en el rubro de inversión financiera con Q</w:t>
      </w:r>
      <w:r w:rsidR="002C3647">
        <w:t>.</w:t>
      </w:r>
      <w:r w:rsidRPr="00CC2D37">
        <w:t xml:space="preserve">1,447.1 millones, ya que en el 2019 este rubro de gasto no reportaba ejecución. En el presente ejercicio fiscal, este monto corresponde al traslado de recursos </w:t>
      </w:r>
      <w:r w:rsidR="002C3647">
        <w:t>para el</w:t>
      </w:r>
      <w:r>
        <w:t xml:space="preserve"> “</w:t>
      </w:r>
      <w:r w:rsidRPr="00CC2D37">
        <w:t>Fondo de Capital de Trabajo</w:t>
      </w:r>
      <w:r>
        <w:t xml:space="preserve">” correspondiente al programa </w:t>
      </w:r>
      <w:r w:rsidR="00D425FF">
        <w:t>de</w:t>
      </w:r>
      <w:r>
        <w:t xml:space="preserve"> atención a la emergencia del </w:t>
      </w:r>
      <w:r w:rsidR="00D425FF">
        <w:t>Covid</w:t>
      </w:r>
      <w:r>
        <w:t>-19, mismo</w:t>
      </w:r>
      <w:r w:rsidRPr="00CC2D37">
        <w:t xml:space="preserve"> que se canaliza a través del Cré</w:t>
      </w:r>
      <w:r>
        <w:t xml:space="preserve">dito Hipotecario Nacional (CHN), </w:t>
      </w:r>
      <w:r w:rsidRPr="00CC2D37">
        <w:t>el cual busca apoyar a las empresas con créditos blandos por un monto máximo de Q</w:t>
      </w:r>
      <w:r w:rsidR="00D425FF">
        <w:t>.</w:t>
      </w:r>
      <w:r w:rsidRPr="00CC2D37">
        <w:t>250,000.00 para mantener la capacidad productiva y la continuidad en las operaciones de</w:t>
      </w:r>
      <w:r w:rsidR="00D425FF">
        <w:t>l</w:t>
      </w:r>
      <w:r w:rsidRPr="00CC2D37">
        <w:t xml:space="preserve"> negocio</w:t>
      </w:r>
      <w:r>
        <w:t>. E</w:t>
      </w:r>
      <w:r w:rsidRPr="00CC2D37">
        <w:t xml:space="preserve">s importante señalar que la ejecución del rubro corresponde al traslado de recursos hacia el CHN y no al otorgamiento de </w:t>
      </w:r>
      <w:r w:rsidR="00D425FF">
        <w:t xml:space="preserve">los </w:t>
      </w:r>
      <w:r w:rsidRPr="00CC2D37">
        <w:t>créditos como tal</w:t>
      </w:r>
      <w:r w:rsidR="00D425FF">
        <w:t>, objetivo último de ese programa</w:t>
      </w:r>
      <w:r w:rsidRPr="00CC2D37">
        <w:t>.</w:t>
      </w:r>
    </w:p>
    <w:p w:rsidR="00DB0F04" w:rsidRPr="00776AC5" w:rsidRDefault="00DB0F04" w:rsidP="00DB0F04">
      <w:pPr>
        <w:autoSpaceDE w:val="0"/>
        <w:autoSpaceDN w:val="0"/>
        <w:adjustRightInd w:val="0"/>
        <w:jc w:val="both"/>
        <w:rPr>
          <w:sz w:val="28"/>
        </w:rPr>
      </w:pPr>
    </w:p>
    <w:p w:rsidR="00776AC5" w:rsidRDefault="00776AC5" w:rsidP="00DB0F04">
      <w:pPr>
        <w:autoSpaceDE w:val="0"/>
        <w:autoSpaceDN w:val="0"/>
        <w:adjustRightInd w:val="0"/>
        <w:jc w:val="both"/>
      </w:pPr>
    </w:p>
    <w:p w:rsidR="00776AC5" w:rsidRDefault="00776AC5" w:rsidP="00DB0F04">
      <w:pPr>
        <w:autoSpaceDE w:val="0"/>
        <w:autoSpaceDN w:val="0"/>
        <w:adjustRightInd w:val="0"/>
        <w:jc w:val="both"/>
      </w:pPr>
    </w:p>
    <w:p w:rsidR="00DB0F04" w:rsidRPr="00CC2D37" w:rsidRDefault="00DB0F04" w:rsidP="00DB0F04">
      <w:pPr>
        <w:autoSpaceDE w:val="0"/>
        <w:autoSpaceDN w:val="0"/>
        <w:adjustRightInd w:val="0"/>
        <w:jc w:val="both"/>
      </w:pPr>
      <w:r w:rsidRPr="00CC2D37">
        <w:t>Por su parte, las transferencias corrientes reportan un crecimiento interanual de 17.7%, equivalente a Q</w:t>
      </w:r>
      <w:r w:rsidR="00B05F7C">
        <w:t>.</w:t>
      </w:r>
      <w:r w:rsidRPr="00CC2D37">
        <w:t xml:space="preserve">1,388.8 millones, como resultado de una mayor ejecución en las transferencias a personas individuales, las cuales </w:t>
      </w:r>
      <w:r w:rsidR="00B05F7C">
        <w:t>derivan</w:t>
      </w:r>
      <w:r w:rsidRPr="00CC2D37">
        <w:t xml:space="preserve"> principalmente del Bono Familia y el Fondo de Protección del Empleo</w:t>
      </w:r>
      <w:r w:rsidR="00B05F7C">
        <w:t>, los cuales</w:t>
      </w:r>
      <w:r w:rsidRPr="00CC2D37">
        <w:t xml:space="preserve"> se cre</w:t>
      </w:r>
      <w:r>
        <w:t>aron</w:t>
      </w:r>
      <w:r w:rsidRPr="00CC2D37">
        <w:t xml:space="preserve"> de manera única y temporal en este año para apoyar económicamente a las empresas y las familias por los efectos del </w:t>
      </w:r>
      <w:r w:rsidR="00B05F7C">
        <w:t>Covid</w:t>
      </w:r>
      <w:r w:rsidRPr="00CC2D37">
        <w:t>-19. En el pago de las remuneraciones se reporta un crecimiento interanual de 9.9% y una ejecución mayor en Q</w:t>
      </w:r>
      <w:r w:rsidR="00B05F7C">
        <w:t>.</w:t>
      </w:r>
      <w:r w:rsidRPr="00CC2D37">
        <w:t xml:space="preserve">1,123.2 millones, como resultado del incremento salarial por los compromisos adquiridos en los pactos colectivos negociados el año </w:t>
      </w:r>
      <w:r w:rsidR="00B05F7C">
        <w:t>anterior</w:t>
      </w:r>
      <w:r w:rsidRPr="00CC2D37">
        <w:t>.</w:t>
      </w:r>
    </w:p>
    <w:p w:rsidR="00DB0F04" w:rsidRPr="00265D05" w:rsidRDefault="00DB0F04" w:rsidP="00DB0F04">
      <w:pPr>
        <w:autoSpaceDE w:val="0"/>
        <w:autoSpaceDN w:val="0"/>
        <w:adjustRightInd w:val="0"/>
        <w:jc w:val="both"/>
        <w:rPr>
          <w:sz w:val="28"/>
        </w:rPr>
      </w:pPr>
    </w:p>
    <w:p w:rsidR="00DB0F04" w:rsidRDefault="00DB0F04" w:rsidP="00DB0F04">
      <w:pPr>
        <w:autoSpaceDE w:val="0"/>
        <w:autoSpaceDN w:val="0"/>
        <w:adjustRightInd w:val="0"/>
        <w:jc w:val="both"/>
      </w:pPr>
      <w:r w:rsidRPr="00CC2D37">
        <w:t xml:space="preserve">El pago de intereses también reporta un aumento </w:t>
      </w:r>
      <w:r w:rsidR="00034967">
        <w:t xml:space="preserve">con </w:t>
      </w:r>
      <w:r w:rsidRPr="00CC2D37">
        <w:t>respecto al año previo, siendo el crecimiento interanual de 4.5%, equivalente a Q</w:t>
      </w:r>
      <w:r w:rsidR="00034967">
        <w:t>.</w:t>
      </w:r>
      <w:r w:rsidRPr="00CC2D37">
        <w:t xml:space="preserve">208.0 millones, explicado casi en su totalidad por los bonos colocados en el mercado internacional. Respecto </w:t>
      </w:r>
      <w:r w:rsidR="00034967">
        <w:t>de</w:t>
      </w:r>
      <w:r w:rsidRPr="00CC2D37">
        <w:t xml:space="preserve"> las prestaciones a la seguridad social</w:t>
      </w:r>
      <w:r w:rsidR="00034967">
        <w:t>,</w:t>
      </w:r>
      <w:r w:rsidRPr="00CC2D37">
        <w:t xml:space="preserve"> se reporta un crecimiento leve de 1.2%, equivalente a Q</w:t>
      </w:r>
      <w:r w:rsidR="00034967">
        <w:t>.</w:t>
      </w:r>
      <w:r w:rsidRPr="00CC2D37">
        <w:t xml:space="preserve">29.3 millones. El resto de los rubros reportan una menor ejecución respecto </w:t>
      </w:r>
      <w:r w:rsidR="00034967">
        <w:t>del</w:t>
      </w:r>
      <w:r w:rsidRPr="00CC2D37">
        <w:t xml:space="preserve"> año </w:t>
      </w:r>
      <w:r w:rsidR="00034967">
        <w:t>anterior</w:t>
      </w:r>
      <w:r w:rsidRPr="00CC2D37">
        <w:t>, siendo las caídas más importantes la</w:t>
      </w:r>
      <w:r w:rsidR="00034967">
        <w:t>s</w:t>
      </w:r>
      <w:r w:rsidRPr="00CC2D37">
        <w:t xml:space="preserve"> reportada</w:t>
      </w:r>
      <w:r w:rsidR="00034967">
        <w:t>s</w:t>
      </w:r>
      <w:r w:rsidRPr="00CC2D37">
        <w:t xml:space="preserve"> en los bienes y servicios (-3.8%, equivalente a Q</w:t>
      </w:r>
      <w:r w:rsidR="00034967">
        <w:t>.</w:t>
      </w:r>
      <w:r w:rsidRPr="00CC2D37">
        <w:t>128.4 millones) y la inversión real directa (-34.4%, equivalente a Q</w:t>
      </w:r>
      <w:r w:rsidR="00034967">
        <w:t>.</w:t>
      </w:r>
      <w:r w:rsidRPr="00CC2D37">
        <w:t>705.7 millones).</w:t>
      </w:r>
    </w:p>
    <w:p w:rsidR="00DB0F04" w:rsidRPr="00265D05" w:rsidRDefault="00DB0F04" w:rsidP="00DB0F04">
      <w:pPr>
        <w:autoSpaceDE w:val="0"/>
        <w:autoSpaceDN w:val="0"/>
        <w:adjustRightInd w:val="0"/>
        <w:jc w:val="both"/>
        <w:rPr>
          <w:sz w:val="28"/>
        </w:rPr>
      </w:pPr>
    </w:p>
    <w:p w:rsidR="00DB0F04" w:rsidRPr="0065214C" w:rsidRDefault="00DB0F04" w:rsidP="00DB0F04">
      <w:pPr>
        <w:autoSpaceDE w:val="0"/>
        <w:autoSpaceDN w:val="0"/>
        <w:adjustRightInd w:val="0"/>
        <w:jc w:val="both"/>
      </w:pPr>
      <w:r w:rsidRPr="0065214C">
        <w:t>En el caso de los bienes y servicios</w:t>
      </w:r>
      <w:r w:rsidR="002701B9">
        <w:t>,</w:t>
      </w:r>
      <w:r w:rsidRPr="0065214C">
        <w:t xml:space="preserve"> todas las</w:t>
      </w:r>
      <w:r>
        <w:t xml:space="preserve"> </w:t>
      </w:r>
      <w:r w:rsidRPr="0065214C">
        <w:t>entidades reportan una menor ejecución, a</w:t>
      </w:r>
      <w:r>
        <w:t xml:space="preserve"> </w:t>
      </w:r>
      <w:r w:rsidRPr="0065214C">
        <w:t xml:space="preserve">excepción de </w:t>
      </w:r>
      <w:r w:rsidR="002701B9">
        <w:t xml:space="preserve">los Ministerios de </w:t>
      </w:r>
      <w:r w:rsidRPr="0065214C">
        <w:t xml:space="preserve">Gobernación y </w:t>
      </w:r>
      <w:r w:rsidR="002701B9">
        <w:t xml:space="preserve">de </w:t>
      </w:r>
      <w:r w:rsidRPr="0065214C">
        <w:t>Comunicaciones,</w:t>
      </w:r>
      <w:r>
        <w:t xml:space="preserve"> </w:t>
      </w:r>
      <w:r w:rsidRPr="0065214C">
        <w:t>Infraestructura y Vivienda</w:t>
      </w:r>
      <w:r w:rsidR="002701B9">
        <w:t>,</w:t>
      </w:r>
      <w:r w:rsidRPr="0065214C">
        <w:t xml:space="preserve"> que </w:t>
      </w:r>
      <w:r w:rsidR="00464AEB">
        <w:t>registran</w:t>
      </w:r>
      <w:r w:rsidRPr="0065214C">
        <w:t xml:space="preserve"> un</w:t>
      </w:r>
      <w:r>
        <w:t xml:space="preserve"> </w:t>
      </w:r>
      <w:r w:rsidRPr="0065214C">
        <w:t>crecimiento de 8.9% y 67.2%, respectivamente.</w:t>
      </w:r>
      <w:r>
        <w:t xml:space="preserve"> </w:t>
      </w:r>
      <w:r w:rsidRPr="0065214C">
        <w:t xml:space="preserve">Respecto </w:t>
      </w:r>
      <w:r w:rsidR="00464AEB">
        <w:t>de</w:t>
      </w:r>
      <w:r w:rsidRPr="0065214C">
        <w:t xml:space="preserve"> la inversión real directa, su caída está</w:t>
      </w:r>
      <w:r>
        <w:t xml:space="preserve"> </w:t>
      </w:r>
      <w:r w:rsidRPr="0065214C">
        <w:t>asociada a una menor ejecución por parte de</w:t>
      </w:r>
      <w:r w:rsidR="00464AEB">
        <w:t xml:space="preserve">l Ministerio de </w:t>
      </w:r>
      <w:r w:rsidRPr="0065214C">
        <w:t>Comunicaciones, Infraestructura y Vivienda,</w:t>
      </w:r>
      <w:r>
        <w:t xml:space="preserve"> </w:t>
      </w:r>
      <w:r w:rsidRPr="0065214C">
        <w:t>siendo la principal entidad responsable de este</w:t>
      </w:r>
      <w:r>
        <w:t xml:space="preserve"> </w:t>
      </w:r>
      <w:r w:rsidR="00464AEB">
        <w:t>componente</w:t>
      </w:r>
      <w:r w:rsidRPr="0065214C">
        <w:t>.</w:t>
      </w:r>
    </w:p>
    <w:p w:rsidR="00DB0F04" w:rsidRPr="00265D05" w:rsidRDefault="00DB0F04" w:rsidP="00DB0F04">
      <w:pPr>
        <w:autoSpaceDE w:val="0"/>
        <w:autoSpaceDN w:val="0"/>
        <w:adjustRightInd w:val="0"/>
        <w:jc w:val="both"/>
        <w:rPr>
          <w:sz w:val="28"/>
        </w:rPr>
      </w:pPr>
    </w:p>
    <w:p w:rsidR="00DB0F04" w:rsidRDefault="00DB0F04" w:rsidP="00DB0F04">
      <w:pPr>
        <w:autoSpaceDE w:val="0"/>
        <w:autoSpaceDN w:val="0"/>
        <w:adjustRightInd w:val="0"/>
        <w:jc w:val="both"/>
      </w:pPr>
      <w:r w:rsidRPr="00CC2D37">
        <w:t>La ejecución de</w:t>
      </w:r>
      <w:r w:rsidR="00F2320E">
        <w:t>l</w:t>
      </w:r>
      <w:r w:rsidRPr="00CC2D37">
        <w:t xml:space="preserve"> gasto público, incluyendo las amortizaciones de la deuda pública, a junio</w:t>
      </w:r>
      <w:r w:rsidR="00F2320E">
        <w:t xml:space="preserve"> de 2020</w:t>
      </w:r>
      <w:r w:rsidRPr="00CC2D37">
        <w:t xml:space="preserve"> se ubicó en Q</w:t>
      </w:r>
      <w:r w:rsidR="00F2320E">
        <w:t>.</w:t>
      </w:r>
      <w:r w:rsidRPr="00CC2D37">
        <w:t>41,296.2 millones, con un crecimiento de 9.0%, equivalente a Q</w:t>
      </w:r>
      <w:r w:rsidR="00F2320E">
        <w:t>.</w:t>
      </w:r>
      <w:r w:rsidRPr="00CC2D37">
        <w:t>3,406.2 millones</w:t>
      </w:r>
      <w:r w:rsidR="00F2320E">
        <w:t>,</w:t>
      </w:r>
      <w:r w:rsidRPr="00CC2D37">
        <w:t xml:space="preserve"> más que lo ejecutado en el mismo mes del año </w:t>
      </w:r>
      <w:r w:rsidR="00F2320E">
        <w:t>2019</w:t>
      </w:r>
      <w:r w:rsidRPr="00CC2D37">
        <w:t>.</w:t>
      </w:r>
      <w:r>
        <w:t xml:space="preserve"> El </w:t>
      </w:r>
      <w:r w:rsidRPr="00D7341F">
        <w:t xml:space="preserve">grado de ejecución presupuestaria </w:t>
      </w:r>
      <w:r>
        <w:t xml:space="preserve">fue </w:t>
      </w:r>
      <w:r w:rsidRPr="00D7341F">
        <w:t xml:space="preserve">de 38.3%, </w:t>
      </w:r>
      <w:r w:rsidR="00F2320E">
        <w:t>el cual</w:t>
      </w:r>
      <w:r w:rsidRPr="00D7341F">
        <w:t xml:space="preserve"> se encuentra por </w:t>
      </w:r>
      <w:r w:rsidR="00F2320E">
        <w:t>de</w:t>
      </w:r>
      <w:r w:rsidRPr="00D7341F">
        <w:t>bajo de la ejecución promedio de los últimos 5 años (41.8%)</w:t>
      </w:r>
      <w:r w:rsidR="00F2320E">
        <w:t>,</w:t>
      </w:r>
      <w:r w:rsidRPr="00D7341F">
        <w:t xml:space="preserve"> y es inferior a la reportada en cada uno de los 5 años previos (2015</w:t>
      </w:r>
      <w:r w:rsidR="00F2320E">
        <w:t xml:space="preserve"> a </w:t>
      </w:r>
      <w:r w:rsidRPr="00D7341F">
        <w:t>2019)</w:t>
      </w:r>
      <w:r w:rsidR="00F2320E">
        <w:t>, a</w:t>
      </w:r>
      <w:r w:rsidRPr="00D7341F">
        <w:t>unque es importante tener presente que hay un efecto en la ejecución</w:t>
      </w:r>
      <w:r w:rsidR="00F2320E">
        <w:t>,</w:t>
      </w:r>
      <w:r w:rsidRPr="00D7341F">
        <w:t xml:space="preserve"> dado el alto monto en las ampliaciones presupuestarias registradas </w:t>
      </w:r>
      <w:r w:rsidR="00F2320E">
        <w:t>a</w:t>
      </w:r>
      <w:r w:rsidRPr="00D7341F">
        <w:t xml:space="preserve"> la fecha. Al sustraer las ampliaciones presupuestarias y la ejecución derivada de la emergencia del </w:t>
      </w:r>
      <w:r w:rsidR="00F2320E">
        <w:t>Covid</w:t>
      </w:r>
      <w:r w:rsidRPr="00D7341F">
        <w:t>-19, la ejecución aumenta</w:t>
      </w:r>
      <w:r w:rsidR="00F2320E">
        <w:t xml:space="preserve"> en</w:t>
      </w:r>
      <w:r w:rsidRPr="00D7341F">
        <w:t xml:space="preserve"> 1.5%, hasta ubicarse en 39.8%. Junio</w:t>
      </w:r>
      <w:r w:rsidR="00F2320E">
        <w:t xml:space="preserve"> de 2020</w:t>
      </w:r>
      <w:r w:rsidRPr="00D7341F">
        <w:t xml:space="preserve"> ha sido el mes con la ejecución más alta del 2020, siendo de Q</w:t>
      </w:r>
      <w:r w:rsidR="00F2320E">
        <w:t>.</w:t>
      </w:r>
      <w:r w:rsidRPr="00D7341F">
        <w:t xml:space="preserve">8,971.4 millones. Hay que tomar en consideración que, al ser el primer año de una nueva administración </w:t>
      </w:r>
      <w:r w:rsidR="00F2320E">
        <w:t>de gobierno</w:t>
      </w:r>
      <w:r w:rsidRPr="00D7341F">
        <w:t>, la ejecución es más lenta, pero dada las necesidades de</w:t>
      </w:r>
      <w:r w:rsidR="00F2320E">
        <w:t>l</w:t>
      </w:r>
      <w:r w:rsidRPr="00D7341F">
        <w:t xml:space="preserve"> gasto por la coyuntura, este año habrá una excepción en el comportamiento histórico.</w:t>
      </w:r>
    </w:p>
    <w:p w:rsidR="00DB0F04" w:rsidRPr="00265D05" w:rsidRDefault="00DB0F04" w:rsidP="00DB0F04">
      <w:pPr>
        <w:autoSpaceDE w:val="0"/>
        <w:autoSpaceDN w:val="0"/>
        <w:adjustRightInd w:val="0"/>
        <w:jc w:val="both"/>
        <w:rPr>
          <w:sz w:val="28"/>
        </w:rPr>
      </w:pPr>
    </w:p>
    <w:p w:rsidR="00DB0F04" w:rsidRDefault="00DB0F04" w:rsidP="00DB0F04">
      <w:pPr>
        <w:autoSpaceDE w:val="0"/>
        <w:autoSpaceDN w:val="0"/>
        <w:adjustRightInd w:val="0"/>
        <w:jc w:val="both"/>
      </w:pPr>
      <w:r w:rsidRPr="00CC2D37">
        <w:t>Se prevé que durante 2020 este comportamiento se acelere conforme avancen los meses, posicionándose por encima de lo observado en el año anterior</w:t>
      </w:r>
      <w:r w:rsidR="00221E17">
        <w:t>;</w:t>
      </w:r>
      <w:r w:rsidRPr="00CC2D37">
        <w:t xml:space="preserve"> </w:t>
      </w:r>
      <w:r>
        <w:t>por lo que</w:t>
      </w:r>
      <w:r w:rsidR="00221E17">
        <w:t>,</w:t>
      </w:r>
      <w:r>
        <w:t xml:space="preserve"> al cierre del año se espera un crecimiento interanual cercano al</w:t>
      </w:r>
      <w:bookmarkStart w:id="27" w:name="_Toc16158419"/>
      <w:r w:rsidR="00221E17">
        <w:t xml:space="preserve"> 18% en el gasto público total.</w:t>
      </w:r>
    </w:p>
    <w:p w:rsidR="00DB0F04" w:rsidRDefault="00DB0F04"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Default="00B2076C" w:rsidP="00DB0F04">
      <w:pPr>
        <w:autoSpaceDE w:val="0"/>
        <w:autoSpaceDN w:val="0"/>
        <w:adjustRightInd w:val="0"/>
        <w:jc w:val="both"/>
      </w:pPr>
    </w:p>
    <w:p w:rsidR="00B2076C" w:rsidRPr="00957EBA" w:rsidRDefault="00B2076C" w:rsidP="00DB0F04">
      <w:pPr>
        <w:autoSpaceDE w:val="0"/>
        <w:autoSpaceDN w:val="0"/>
        <w:adjustRightInd w:val="0"/>
        <w:jc w:val="both"/>
      </w:pPr>
    </w:p>
    <w:p w:rsidR="00265D05" w:rsidRDefault="00DB0F04" w:rsidP="00221E17">
      <w:pPr>
        <w:pStyle w:val="Epgrafe"/>
        <w:keepNext/>
        <w:tabs>
          <w:tab w:val="left" w:pos="2385"/>
          <w:tab w:val="center" w:pos="4419"/>
        </w:tabs>
        <w:spacing w:after="0"/>
        <w:jc w:val="center"/>
        <w:rPr>
          <w:rFonts w:ascii="Times New Roman" w:hAnsi="Times New Roman" w:cs="Times New Roman"/>
          <w:b/>
          <w:i w:val="0"/>
          <w:color w:val="auto"/>
          <w:sz w:val="24"/>
          <w:szCs w:val="24"/>
        </w:rPr>
      </w:pPr>
      <w:r w:rsidRPr="00221E17">
        <w:rPr>
          <w:rFonts w:ascii="Times New Roman" w:hAnsi="Times New Roman" w:cs="Times New Roman"/>
          <w:b/>
          <w:i w:val="0"/>
          <w:color w:val="auto"/>
          <w:sz w:val="24"/>
          <w:szCs w:val="24"/>
        </w:rPr>
        <w:t xml:space="preserve">Gráfica </w:t>
      </w:r>
      <w:r w:rsidR="00265D05">
        <w:rPr>
          <w:rFonts w:ascii="Times New Roman" w:hAnsi="Times New Roman" w:cs="Times New Roman"/>
          <w:b/>
          <w:i w:val="0"/>
          <w:color w:val="auto"/>
          <w:sz w:val="24"/>
          <w:szCs w:val="24"/>
        </w:rPr>
        <w:t>24</w:t>
      </w:r>
    </w:p>
    <w:p w:rsidR="00DB0F04" w:rsidRPr="00221E17" w:rsidRDefault="00DB0F04" w:rsidP="00221E17">
      <w:pPr>
        <w:pStyle w:val="Epgrafe"/>
        <w:keepNext/>
        <w:tabs>
          <w:tab w:val="left" w:pos="2385"/>
          <w:tab w:val="center" w:pos="4419"/>
        </w:tabs>
        <w:spacing w:after="0"/>
        <w:jc w:val="center"/>
        <w:rPr>
          <w:rFonts w:ascii="Times New Roman" w:hAnsi="Times New Roman" w:cs="Times New Roman"/>
          <w:b/>
          <w:i w:val="0"/>
          <w:color w:val="auto"/>
          <w:sz w:val="24"/>
          <w:szCs w:val="24"/>
        </w:rPr>
      </w:pPr>
      <w:r w:rsidRPr="00221E17">
        <w:rPr>
          <w:rFonts w:ascii="Times New Roman" w:hAnsi="Times New Roman" w:cs="Times New Roman"/>
          <w:b/>
          <w:i w:val="0"/>
          <w:color w:val="auto"/>
          <w:sz w:val="24"/>
          <w:szCs w:val="24"/>
        </w:rPr>
        <w:t>Ritmo de Ejecución del Gasto</w:t>
      </w:r>
      <w:bookmarkEnd w:id="27"/>
      <w:r w:rsidRPr="00221E17">
        <w:rPr>
          <w:rFonts w:ascii="Times New Roman" w:hAnsi="Times New Roman" w:cs="Times New Roman"/>
          <w:b/>
          <w:i w:val="0"/>
          <w:color w:val="auto"/>
          <w:sz w:val="24"/>
          <w:szCs w:val="24"/>
        </w:rPr>
        <w:t xml:space="preserve"> 2020</w:t>
      </w:r>
    </w:p>
    <w:p w:rsidR="00DB0F04" w:rsidRDefault="00DB0F04" w:rsidP="00221E17">
      <w:pPr>
        <w:autoSpaceDE w:val="0"/>
        <w:autoSpaceDN w:val="0"/>
        <w:adjustRightInd w:val="0"/>
        <w:jc w:val="center"/>
        <w:rPr>
          <w:b/>
        </w:rPr>
      </w:pPr>
      <w:r w:rsidRPr="00221E17">
        <w:rPr>
          <w:b/>
        </w:rPr>
        <w:t>Variación Interanual*</w:t>
      </w:r>
    </w:p>
    <w:p w:rsidR="00DB0F04" w:rsidRDefault="00265D05" w:rsidP="00265D05">
      <w:pPr>
        <w:jc w:val="center"/>
        <w:rPr>
          <w:highlight w:val="yellow"/>
        </w:rPr>
      </w:pPr>
      <w:r w:rsidRPr="00C3194D">
        <w:rPr>
          <w:noProof/>
          <w:color w:val="FF7C80"/>
          <w:lang w:val="es-GT" w:eastAsia="es-GT"/>
        </w:rPr>
        <w:drawing>
          <wp:anchor distT="0" distB="0" distL="114300" distR="114300" simplePos="0" relativeHeight="251663360" behindDoc="0" locked="0" layoutInCell="1" allowOverlap="1" wp14:anchorId="502413FD" wp14:editId="131FA79B">
            <wp:simplePos x="0" y="0"/>
            <wp:positionH relativeFrom="column">
              <wp:posOffset>475615</wp:posOffset>
            </wp:positionH>
            <wp:positionV relativeFrom="paragraph">
              <wp:posOffset>290830</wp:posOffset>
            </wp:positionV>
            <wp:extent cx="5199380" cy="3097530"/>
            <wp:effectExtent l="38100" t="57150" r="39370" b="45720"/>
            <wp:wrapSquare wrapText="bothSides"/>
            <wp:docPr id="44"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r>
        <w:rPr>
          <w:b/>
          <w:bCs/>
        </w:rPr>
        <w:t>(</w:t>
      </w:r>
      <w:r w:rsidRPr="00221E17">
        <w:rPr>
          <w:b/>
          <w:bCs/>
        </w:rPr>
        <w:t>En Porcentajes</w:t>
      </w:r>
      <w:r>
        <w:rPr>
          <w:b/>
          <w:bCs/>
        </w:rPr>
        <w:t>)</w:t>
      </w: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265D05" w:rsidRDefault="00265D05" w:rsidP="00DB0F04">
      <w:pPr>
        <w:autoSpaceDE w:val="0"/>
        <w:autoSpaceDN w:val="0"/>
        <w:adjustRightInd w:val="0"/>
        <w:jc w:val="both"/>
        <w:rPr>
          <w:highlight w:val="yellow"/>
        </w:rPr>
      </w:pPr>
    </w:p>
    <w:p w:rsidR="00265D05" w:rsidRDefault="00265D05" w:rsidP="00DB0F04">
      <w:pPr>
        <w:autoSpaceDE w:val="0"/>
        <w:autoSpaceDN w:val="0"/>
        <w:adjustRightInd w:val="0"/>
        <w:jc w:val="both"/>
        <w:rPr>
          <w:highlight w:val="yellow"/>
        </w:rPr>
      </w:pPr>
    </w:p>
    <w:p w:rsidR="00265D05" w:rsidRDefault="00265D05"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Default="00DB0F04" w:rsidP="00DB0F04">
      <w:pPr>
        <w:autoSpaceDE w:val="0"/>
        <w:autoSpaceDN w:val="0"/>
        <w:adjustRightInd w:val="0"/>
        <w:jc w:val="both"/>
        <w:rPr>
          <w:highlight w:val="yellow"/>
        </w:rPr>
      </w:pPr>
    </w:p>
    <w:p w:rsidR="00DB0F04" w:rsidRPr="00221E17" w:rsidRDefault="00221E17" w:rsidP="00DB0F04">
      <w:pPr>
        <w:pStyle w:val="Sinespaciado"/>
        <w:framePr w:hSpace="141" w:wrap="around" w:vAnchor="text" w:hAnchor="page" w:x="1645" w:y="21"/>
        <w:ind w:firstLine="708"/>
        <w:suppressOverlap/>
        <w:jc w:val="both"/>
        <w:rPr>
          <w:rFonts w:ascii="Times New Roman" w:hAnsi="Times New Roman"/>
          <w:sz w:val="18"/>
          <w:szCs w:val="18"/>
        </w:rPr>
      </w:pPr>
      <w:r>
        <w:rPr>
          <w:rFonts w:ascii="Times New Roman" w:hAnsi="Times New Roman"/>
          <w:sz w:val="18"/>
          <w:szCs w:val="18"/>
        </w:rPr>
        <w:t xml:space="preserve">  </w:t>
      </w:r>
      <w:r w:rsidR="00DB0F04" w:rsidRPr="00221E17">
        <w:rPr>
          <w:rFonts w:ascii="Times New Roman" w:hAnsi="Times New Roman"/>
          <w:sz w:val="18"/>
          <w:szCs w:val="18"/>
        </w:rPr>
        <w:t>*Incluye amortizaciones de la deuda pública</w:t>
      </w:r>
    </w:p>
    <w:p w:rsidR="00221E17" w:rsidRPr="00265D05" w:rsidRDefault="00221E17" w:rsidP="00265D05">
      <w:pPr>
        <w:framePr w:hSpace="141" w:wrap="around" w:vAnchor="text" w:hAnchor="page" w:x="1645" w:y="21"/>
        <w:suppressOverlap/>
        <w:jc w:val="both"/>
        <w:rPr>
          <w:sz w:val="18"/>
          <w:szCs w:val="18"/>
          <w:lang w:val="es-MX"/>
        </w:rPr>
      </w:pPr>
      <w:r w:rsidRPr="00221E17">
        <w:rPr>
          <w:sz w:val="18"/>
          <w:szCs w:val="18"/>
          <w:lang w:val="es-MX"/>
        </w:rPr>
        <w:t xml:space="preserve">              </w:t>
      </w:r>
      <w:r>
        <w:rPr>
          <w:sz w:val="18"/>
          <w:szCs w:val="18"/>
          <w:lang w:val="es-MX"/>
        </w:rPr>
        <w:t xml:space="preserve">  </w:t>
      </w:r>
      <w:r w:rsidRPr="00221E17">
        <w:rPr>
          <w:sz w:val="18"/>
          <w:szCs w:val="18"/>
          <w:lang w:val="es-MX"/>
        </w:rPr>
        <w:t xml:space="preserve">   Fuente: Ministerio de Finanzas Públicas.</w:t>
      </w:r>
    </w:p>
    <w:p w:rsidR="00DB0F04" w:rsidRDefault="00DB0F04" w:rsidP="00DB0F04">
      <w:pPr>
        <w:autoSpaceDE w:val="0"/>
        <w:autoSpaceDN w:val="0"/>
        <w:adjustRightInd w:val="0"/>
        <w:jc w:val="both"/>
      </w:pPr>
    </w:p>
    <w:p w:rsidR="00265D05" w:rsidRDefault="00265D05" w:rsidP="00DB0F04">
      <w:pPr>
        <w:autoSpaceDE w:val="0"/>
        <w:autoSpaceDN w:val="0"/>
        <w:adjustRightInd w:val="0"/>
        <w:jc w:val="both"/>
      </w:pPr>
    </w:p>
    <w:p w:rsidR="00265D05" w:rsidRDefault="00265D05" w:rsidP="00DB0F04">
      <w:pPr>
        <w:autoSpaceDE w:val="0"/>
        <w:autoSpaceDN w:val="0"/>
        <w:adjustRightInd w:val="0"/>
        <w:jc w:val="both"/>
      </w:pPr>
    </w:p>
    <w:p w:rsidR="00DB0F04" w:rsidRPr="00EE1EB1" w:rsidRDefault="00DB0F04" w:rsidP="00DB0F04">
      <w:pPr>
        <w:autoSpaceDE w:val="0"/>
        <w:autoSpaceDN w:val="0"/>
        <w:adjustRightInd w:val="0"/>
        <w:jc w:val="both"/>
        <w:rPr>
          <w:highlight w:val="yellow"/>
        </w:rPr>
      </w:pPr>
      <w:r w:rsidRPr="00EE1EB1">
        <w:t>Una parte importante del comportamiento del</w:t>
      </w:r>
      <w:r>
        <w:t xml:space="preserve"> </w:t>
      </w:r>
      <w:r w:rsidRPr="00EE1EB1">
        <w:t>gasto público</w:t>
      </w:r>
      <w:r>
        <w:t xml:space="preserve"> en el resto del año</w:t>
      </w:r>
      <w:r w:rsidR="00F86AA5">
        <w:t>,</w:t>
      </w:r>
      <w:r w:rsidRPr="00EE1EB1">
        <w:t xml:space="preserve"> estará influenciada por el gasto</w:t>
      </w:r>
      <w:r>
        <w:t xml:space="preserve"> </w:t>
      </w:r>
      <w:r w:rsidRPr="00EE1EB1">
        <w:t>destinado para la atención de la emergencia</w:t>
      </w:r>
      <w:r>
        <w:t xml:space="preserve"> </w:t>
      </w:r>
      <w:r w:rsidRPr="00EE1EB1">
        <w:t>sanitaria y económica ocasionada por la</w:t>
      </w:r>
      <w:r>
        <w:t xml:space="preserve"> </w:t>
      </w:r>
      <w:r w:rsidRPr="00EE1EB1">
        <w:t xml:space="preserve">pandemia </w:t>
      </w:r>
      <w:r w:rsidR="00F86AA5">
        <w:t>del Covid</w:t>
      </w:r>
      <w:r w:rsidRPr="00EE1EB1">
        <w:t>-19</w:t>
      </w:r>
      <w:r w:rsidR="00F86AA5">
        <w:t>;</w:t>
      </w:r>
      <w:r w:rsidRPr="00EE1EB1">
        <w:t xml:space="preserve"> hasta la fecha la</w:t>
      </w:r>
      <w:r>
        <w:t xml:space="preserve"> </w:t>
      </w:r>
      <w:r w:rsidRPr="00EE1EB1">
        <w:t>ejecución del programa 94 que está</w:t>
      </w:r>
      <w:r>
        <w:t xml:space="preserve"> </w:t>
      </w:r>
      <w:r w:rsidRPr="00EE1EB1">
        <w:t>relacionado a las actividades que realizan las</w:t>
      </w:r>
      <w:r>
        <w:t xml:space="preserve"> </w:t>
      </w:r>
      <w:r w:rsidRPr="00EE1EB1">
        <w:t>entidades para darle atención a las necesidades</w:t>
      </w:r>
      <w:r>
        <w:t xml:space="preserve"> </w:t>
      </w:r>
      <w:r w:rsidRPr="00EE1EB1">
        <w:t>de la población guatemalteca por el C</w:t>
      </w:r>
      <w:r w:rsidR="00F86AA5">
        <w:t>ovid</w:t>
      </w:r>
      <w:r>
        <w:t>-</w:t>
      </w:r>
      <w:r w:rsidRPr="00EE1EB1">
        <w:t>19</w:t>
      </w:r>
      <w:r w:rsidR="00F86AA5">
        <w:t>,</w:t>
      </w:r>
      <w:r w:rsidRPr="00EE1EB1">
        <w:t xml:space="preserve"> representa el 10</w:t>
      </w:r>
      <w:r w:rsidR="00B46C5F">
        <w:t>.0</w:t>
      </w:r>
      <w:r w:rsidRPr="00EE1EB1">
        <w:t>% del gasto público total.</w:t>
      </w:r>
    </w:p>
    <w:p w:rsidR="00DB0F04" w:rsidRDefault="00DB0F04" w:rsidP="00DB0F04">
      <w:pPr>
        <w:rPr>
          <w:noProof/>
          <w:lang w:eastAsia="es-GT"/>
        </w:rPr>
      </w:pPr>
    </w:p>
    <w:p w:rsidR="00265D05" w:rsidRDefault="00265D05" w:rsidP="00DB0F04">
      <w:pPr>
        <w:rPr>
          <w:noProof/>
          <w:lang w:eastAsia="es-GT"/>
        </w:rPr>
      </w:pPr>
    </w:p>
    <w:p w:rsidR="00265D05" w:rsidRDefault="00265D05" w:rsidP="00DB0F04">
      <w:pPr>
        <w:rPr>
          <w:noProof/>
          <w:lang w:eastAsia="es-GT"/>
        </w:rPr>
      </w:pPr>
    </w:p>
    <w:p w:rsidR="00265D05" w:rsidRDefault="00265D05" w:rsidP="00DB0F04">
      <w:pPr>
        <w:rPr>
          <w:noProof/>
          <w:lang w:eastAsia="es-GT"/>
        </w:rPr>
      </w:pPr>
    </w:p>
    <w:p w:rsidR="00265D05" w:rsidRDefault="00265D05" w:rsidP="00DB0F04">
      <w:pPr>
        <w:rPr>
          <w:noProof/>
          <w:lang w:eastAsia="es-GT"/>
        </w:rPr>
      </w:pPr>
    </w:p>
    <w:p w:rsidR="00265D05" w:rsidRDefault="00265D05" w:rsidP="00DB0F04">
      <w:pPr>
        <w:rPr>
          <w:noProof/>
          <w:lang w:eastAsia="es-GT"/>
        </w:rPr>
      </w:pPr>
    </w:p>
    <w:p w:rsidR="00265D05" w:rsidRDefault="00265D05" w:rsidP="00DB0F04">
      <w:pPr>
        <w:rPr>
          <w:noProof/>
          <w:lang w:eastAsia="es-GT"/>
        </w:rPr>
      </w:pPr>
    </w:p>
    <w:p w:rsidR="00265D05" w:rsidRDefault="00265D05" w:rsidP="00DB0F04">
      <w:pPr>
        <w:rPr>
          <w:noProof/>
          <w:lang w:eastAsia="es-GT"/>
        </w:rPr>
      </w:pPr>
    </w:p>
    <w:p w:rsidR="00265D05" w:rsidRDefault="00265D05" w:rsidP="00DB0F04">
      <w:pPr>
        <w:rPr>
          <w:noProof/>
          <w:lang w:eastAsia="es-GT"/>
        </w:rPr>
      </w:pPr>
    </w:p>
    <w:p w:rsidR="00265D05" w:rsidRDefault="00265D05" w:rsidP="00DB0F04">
      <w:pPr>
        <w:rPr>
          <w:noProof/>
          <w:lang w:eastAsia="es-GT"/>
        </w:rPr>
      </w:pPr>
    </w:p>
    <w:p w:rsidR="00265D05" w:rsidRDefault="00265D05" w:rsidP="00DB0F04">
      <w:pPr>
        <w:rPr>
          <w:noProof/>
          <w:lang w:eastAsia="es-GT"/>
        </w:rPr>
      </w:pPr>
    </w:p>
    <w:p w:rsidR="00DB0F04" w:rsidRDefault="00DB0F04" w:rsidP="00DB0F04">
      <w:pPr>
        <w:rPr>
          <w:sz w:val="16"/>
        </w:rPr>
      </w:pPr>
    </w:p>
    <w:p w:rsidR="00406CD9" w:rsidRDefault="00406CD9" w:rsidP="00DB0F04">
      <w:pPr>
        <w:rPr>
          <w:sz w:val="16"/>
        </w:rPr>
      </w:pPr>
    </w:p>
    <w:p w:rsidR="00265D05" w:rsidRPr="008527D2" w:rsidRDefault="00265D05" w:rsidP="00406CD9">
      <w:pPr>
        <w:pStyle w:val="Epgrafe"/>
        <w:keepNext/>
        <w:tabs>
          <w:tab w:val="left" w:pos="2385"/>
          <w:tab w:val="center" w:pos="4419"/>
        </w:tabs>
        <w:spacing w:after="0"/>
        <w:jc w:val="center"/>
        <w:rPr>
          <w:rFonts w:ascii="Times New Roman" w:hAnsi="Times New Roman" w:cs="Times New Roman"/>
          <w:b/>
          <w:i w:val="0"/>
          <w:color w:val="auto"/>
          <w:sz w:val="24"/>
          <w:szCs w:val="24"/>
        </w:rPr>
      </w:pPr>
      <w:r w:rsidRPr="008527D2">
        <w:rPr>
          <w:rFonts w:ascii="Times New Roman" w:hAnsi="Times New Roman" w:cs="Times New Roman"/>
          <w:b/>
          <w:i w:val="0"/>
          <w:color w:val="auto"/>
          <w:sz w:val="24"/>
          <w:szCs w:val="24"/>
        </w:rPr>
        <w:lastRenderedPageBreak/>
        <w:t>Cuadro 21</w:t>
      </w:r>
    </w:p>
    <w:p w:rsidR="008527D2" w:rsidRPr="008527D2" w:rsidRDefault="008527D2" w:rsidP="008527D2">
      <w:pPr>
        <w:jc w:val="center"/>
        <w:rPr>
          <w:b/>
          <w:lang w:val="es-MX"/>
        </w:rPr>
      </w:pPr>
      <w:r w:rsidRPr="008527D2">
        <w:rPr>
          <w:b/>
          <w:lang w:val="es-MX"/>
        </w:rPr>
        <w:t>Presupuesto Asignado y Estimación de Egresos</w:t>
      </w:r>
    </w:p>
    <w:p w:rsidR="008527D2" w:rsidRPr="008527D2" w:rsidRDefault="008527D2" w:rsidP="008527D2">
      <w:pPr>
        <w:jc w:val="center"/>
        <w:rPr>
          <w:b/>
          <w:lang w:val="es-MX"/>
        </w:rPr>
      </w:pPr>
      <w:r w:rsidRPr="008527D2">
        <w:rPr>
          <w:b/>
          <w:lang w:val="es-MX"/>
        </w:rPr>
        <w:t>Ejercicio Fiscal 20</w:t>
      </w:r>
      <w:r>
        <w:rPr>
          <w:b/>
          <w:lang w:val="es-MX"/>
        </w:rPr>
        <w:t>20</w:t>
      </w:r>
    </w:p>
    <w:p w:rsidR="008527D2" w:rsidRPr="008527D2" w:rsidRDefault="008527D2" w:rsidP="008527D2">
      <w:pPr>
        <w:pStyle w:val="Epgrafe"/>
        <w:keepNext/>
        <w:tabs>
          <w:tab w:val="left" w:pos="2385"/>
          <w:tab w:val="center" w:pos="4419"/>
        </w:tabs>
        <w:spacing w:after="0"/>
        <w:jc w:val="center"/>
        <w:rPr>
          <w:rFonts w:ascii="Times New Roman" w:hAnsi="Times New Roman" w:cs="Times New Roman"/>
          <w:b/>
          <w:i w:val="0"/>
          <w:sz w:val="24"/>
          <w:szCs w:val="24"/>
          <w:lang w:val="es-MX"/>
        </w:rPr>
      </w:pPr>
      <w:r w:rsidRPr="008527D2">
        <w:rPr>
          <w:rFonts w:ascii="Times New Roman" w:hAnsi="Times New Roman" w:cs="Times New Roman"/>
          <w:b/>
          <w:i w:val="0"/>
          <w:sz w:val="24"/>
          <w:szCs w:val="24"/>
          <w:lang w:val="es-MX"/>
        </w:rPr>
        <w:t>(Cifras en Millones de Quetzales)</w:t>
      </w:r>
    </w:p>
    <w:tbl>
      <w:tblPr>
        <w:tblW w:w="9087" w:type="dxa"/>
        <w:tblInd w:w="55" w:type="dxa"/>
        <w:tblCellMar>
          <w:left w:w="70" w:type="dxa"/>
          <w:right w:w="70" w:type="dxa"/>
        </w:tblCellMar>
        <w:tblLook w:val="04A0" w:firstRow="1" w:lastRow="0" w:firstColumn="1" w:lastColumn="0" w:noHBand="0" w:noVBand="1"/>
      </w:tblPr>
      <w:tblGrid>
        <w:gridCol w:w="5118"/>
        <w:gridCol w:w="1985"/>
        <w:gridCol w:w="1984"/>
      </w:tblGrid>
      <w:tr w:rsidR="00406CD9" w:rsidRPr="00406CD9" w:rsidTr="00FA7825">
        <w:trPr>
          <w:trHeight w:val="330"/>
        </w:trPr>
        <w:tc>
          <w:tcPr>
            <w:tcW w:w="5118" w:type="dxa"/>
            <w:vMerge w:val="restart"/>
            <w:tcBorders>
              <w:top w:val="single" w:sz="8" w:space="0" w:color="auto"/>
              <w:left w:val="single" w:sz="8" w:space="0" w:color="auto"/>
              <w:bottom w:val="single" w:sz="8" w:space="0" w:color="000000"/>
              <w:right w:val="single" w:sz="8" w:space="0" w:color="auto"/>
            </w:tcBorders>
            <w:shd w:val="clear" w:color="000000" w:fill="366092"/>
            <w:vAlign w:val="center"/>
            <w:hideMark/>
          </w:tcPr>
          <w:p w:rsidR="00406CD9" w:rsidRPr="00265D05" w:rsidRDefault="00406CD9" w:rsidP="00406CD9">
            <w:pPr>
              <w:jc w:val="center"/>
              <w:rPr>
                <w:b/>
                <w:bCs/>
                <w:color w:val="FFFFFF"/>
                <w:lang w:val="es-GT" w:eastAsia="es-GT"/>
              </w:rPr>
            </w:pPr>
            <w:r w:rsidRPr="00265D05">
              <w:rPr>
                <w:b/>
                <w:bCs/>
                <w:color w:val="FFFFFF"/>
                <w:lang w:val="es-GT" w:eastAsia="es-GT"/>
              </w:rPr>
              <w:t>Descripción</w:t>
            </w:r>
          </w:p>
        </w:tc>
        <w:tc>
          <w:tcPr>
            <w:tcW w:w="3969" w:type="dxa"/>
            <w:gridSpan w:val="2"/>
            <w:tcBorders>
              <w:top w:val="single" w:sz="8" w:space="0" w:color="auto"/>
              <w:left w:val="nil"/>
              <w:bottom w:val="single" w:sz="8" w:space="0" w:color="auto"/>
              <w:right w:val="single" w:sz="8" w:space="0" w:color="000000"/>
            </w:tcBorders>
            <w:shd w:val="clear" w:color="000000" w:fill="366092"/>
            <w:noWrap/>
            <w:vAlign w:val="center"/>
            <w:hideMark/>
          </w:tcPr>
          <w:p w:rsidR="00406CD9" w:rsidRPr="00265D05" w:rsidRDefault="00406CD9" w:rsidP="00FA7825">
            <w:pPr>
              <w:jc w:val="center"/>
              <w:rPr>
                <w:b/>
                <w:bCs/>
                <w:color w:val="FFFFFF"/>
                <w:lang w:val="es-GT" w:eastAsia="es-GT"/>
              </w:rPr>
            </w:pPr>
            <w:r w:rsidRPr="00265D05">
              <w:rPr>
                <w:b/>
                <w:bCs/>
                <w:color w:val="FFFFFF"/>
                <w:lang w:val="es-GT" w:eastAsia="es-GT"/>
              </w:rPr>
              <w:t>2020</w:t>
            </w:r>
          </w:p>
        </w:tc>
      </w:tr>
      <w:tr w:rsidR="00406CD9" w:rsidRPr="00406CD9" w:rsidTr="00FA7825">
        <w:trPr>
          <w:trHeight w:val="330"/>
        </w:trPr>
        <w:tc>
          <w:tcPr>
            <w:tcW w:w="5118" w:type="dxa"/>
            <w:vMerge/>
            <w:tcBorders>
              <w:top w:val="single" w:sz="8" w:space="0" w:color="auto"/>
              <w:left w:val="single" w:sz="8" w:space="0" w:color="auto"/>
              <w:bottom w:val="single" w:sz="8" w:space="0" w:color="000000"/>
              <w:right w:val="single" w:sz="8" w:space="0" w:color="auto"/>
            </w:tcBorders>
            <w:vAlign w:val="center"/>
            <w:hideMark/>
          </w:tcPr>
          <w:p w:rsidR="00406CD9" w:rsidRPr="00265D05" w:rsidRDefault="00406CD9" w:rsidP="00406CD9">
            <w:pPr>
              <w:rPr>
                <w:b/>
                <w:bCs/>
                <w:color w:val="FFFFFF"/>
                <w:lang w:val="es-GT" w:eastAsia="es-GT"/>
              </w:rPr>
            </w:pPr>
          </w:p>
        </w:tc>
        <w:tc>
          <w:tcPr>
            <w:tcW w:w="1985" w:type="dxa"/>
            <w:tcBorders>
              <w:top w:val="nil"/>
              <w:left w:val="single" w:sz="8" w:space="0" w:color="auto"/>
              <w:bottom w:val="single" w:sz="8" w:space="0" w:color="auto"/>
              <w:right w:val="single" w:sz="8" w:space="0" w:color="auto"/>
            </w:tcBorders>
            <w:shd w:val="clear" w:color="000000" w:fill="366092"/>
            <w:noWrap/>
            <w:vAlign w:val="center"/>
            <w:hideMark/>
          </w:tcPr>
          <w:p w:rsidR="00406CD9" w:rsidRPr="00265D05" w:rsidRDefault="00406CD9" w:rsidP="00FA7825">
            <w:pPr>
              <w:jc w:val="center"/>
              <w:rPr>
                <w:b/>
                <w:bCs/>
                <w:color w:val="FFFFFF"/>
                <w:lang w:val="es-GT" w:eastAsia="es-GT"/>
              </w:rPr>
            </w:pPr>
            <w:r w:rsidRPr="00265D05">
              <w:rPr>
                <w:b/>
                <w:bCs/>
                <w:color w:val="FFFFFF"/>
                <w:lang w:val="es-GT" w:eastAsia="es-GT"/>
              </w:rPr>
              <w:t>Presupuesto</w:t>
            </w:r>
          </w:p>
        </w:tc>
        <w:tc>
          <w:tcPr>
            <w:tcW w:w="1984" w:type="dxa"/>
            <w:tcBorders>
              <w:top w:val="nil"/>
              <w:left w:val="nil"/>
              <w:bottom w:val="single" w:sz="8" w:space="0" w:color="auto"/>
              <w:right w:val="single" w:sz="8" w:space="0" w:color="auto"/>
            </w:tcBorders>
            <w:shd w:val="clear" w:color="000000" w:fill="366092"/>
            <w:noWrap/>
            <w:vAlign w:val="center"/>
            <w:hideMark/>
          </w:tcPr>
          <w:p w:rsidR="00406CD9" w:rsidRPr="00265D05" w:rsidRDefault="00406CD9" w:rsidP="00FA7825">
            <w:pPr>
              <w:jc w:val="center"/>
              <w:rPr>
                <w:b/>
                <w:bCs/>
                <w:color w:val="FFFFFF"/>
                <w:lang w:val="es-GT" w:eastAsia="es-GT"/>
              </w:rPr>
            </w:pPr>
            <w:r w:rsidRPr="00265D05">
              <w:rPr>
                <w:b/>
                <w:bCs/>
                <w:color w:val="FFFFFF"/>
                <w:lang w:val="es-GT" w:eastAsia="es-GT"/>
              </w:rPr>
              <w:t>Estimación</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rPr>
                <w:b/>
                <w:bCs/>
                <w:sz w:val="20"/>
                <w:szCs w:val="20"/>
                <w:lang w:val="es-GT" w:eastAsia="es-GT"/>
              </w:rPr>
            </w:pPr>
            <w:r w:rsidRPr="00406CD9">
              <w:rPr>
                <w:b/>
                <w:bCs/>
                <w:sz w:val="20"/>
                <w:szCs w:val="20"/>
                <w:lang w:val="es-GT" w:eastAsia="es-GT"/>
              </w:rPr>
              <w:t>Gastos Totales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b/>
                <w:bCs/>
                <w:sz w:val="20"/>
                <w:szCs w:val="20"/>
                <w:lang w:val="es-GT" w:eastAsia="es-GT"/>
              </w:rPr>
            </w:pPr>
            <w:r w:rsidRPr="00406CD9">
              <w:rPr>
                <w:b/>
                <w:bCs/>
                <w:sz w:val="20"/>
                <w:szCs w:val="20"/>
                <w:lang w:val="es-GT" w:eastAsia="es-GT"/>
              </w:rPr>
              <w:t>103,641.4</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b/>
                <w:bCs/>
                <w:sz w:val="20"/>
                <w:szCs w:val="20"/>
                <w:lang w:val="es-GT" w:eastAsia="es-GT"/>
              </w:rPr>
            </w:pPr>
            <w:r w:rsidRPr="00406CD9">
              <w:rPr>
                <w:b/>
                <w:bCs/>
                <w:sz w:val="20"/>
                <w:szCs w:val="20"/>
                <w:lang w:val="es-GT" w:eastAsia="es-GT"/>
              </w:rPr>
              <w:t>93,890.7</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100" w:firstLine="201"/>
              <w:rPr>
                <w:b/>
                <w:bCs/>
                <w:sz w:val="20"/>
                <w:szCs w:val="20"/>
                <w:lang w:val="es-GT" w:eastAsia="es-GT"/>
              </w:rPr>
            </w:pPr>
            <w:r w:rsidRPr="00406CD9">
              <w:rPr>
                <w:b/>
                <w:bCs/>
                <w:sz w:val="20"/>
                <w:szCs w:val="20"/>
                <w:lang w:val="es-GT" w:eastAsia="es-GT"/>
              </w:rPr>
              <w:t>Gastos Corrientes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b/>
                <w:bCs/>
                <w:sz w:val="20"/>
                <w:szCs w:val="20"/>
                <w:lang w:val="es-GT" w:eastAsia="es-GT"/>
              </w:rPr>
            </w:pPr>
            <w:r w:rsidRPr="00406CD9">
              <w:rPr>
                <w:b/>
                <w:bCs/>
                <w:sz w:val="20"/>
                <w:szCs w:val="20"/>
                <w:lang w:val="es-GT" w:eastAsia="es-GT"/>
              </w:rPr>
              <w:t>82,238.6</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b/>
                <w:bCs/>
                <w:sz w:val="20"/>
                <w:szCs w:val="20"/>
                <w:lang w:val="es-GT" w:eastAsia="es-GT"/>
              </w:rPr>
            </w:pPr>
            <w:r w:rsidRPr="00406CD9">
              <w:rPr>
                <w:b/>
                <w:bCs/>
                <w:sz w:val="20"/>
                <w:szCs w:val="20"/>
                <w:lang w:val="es-GT" w:eastAsia="es-GT"/>
              </w:rPr>
              <w:t>75,540.9</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Remuneraciones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28,758.4</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27,540.3</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 xml:space="preserve">Bienes y Servicios </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14,124.4</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9,958.4</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 xml:space="preserve">Impuestos </w:t>
            </w:r>
            <w:r>
              <w:rPr>
                <w:sz w:val="20"/>
                <w:szCs w:val="20"/>
                <w:lang w:val="es-GT" w:eastAsia="es-GT"/>
              </w:rPr>
              <w:t>P</w:t>
            </w:r>
            <w:r w:rsidRPr="00406CD9">
              <w:rPr>
                <w:sz w:val="20"/>
                <w:szCs w:val="20"/>
                <w:lang w:val="es-GT" w:eastAsia="es-GT"/>
              </w:rPr>
              <w:t xml:space="preserve">agados por </w:t>
            </w:r>
            <w:r>
              <w:rPr>
                <w:sz w:val="20"/>
                <w:szCs w:val="20"/>
                <w:lang w:val="es-GT" w:eastAsia="es-GT"/>
              </w:rPr>
              <w:t>D</w:t>
            </w:r>
            <w:r w:rsidRPr="00406CD9">
              <w:rPr>
                <w:sz w:val="20"/>
                <w:szCs w:val="20"/>
                <w:lang w:val="es-GT" w:eastAsia="es-GT"/>
              </w:rPr>
              <w:t>ependencias del Estado</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23.3</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8.8</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Descuentos y Bonificaciones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82.0</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97.9</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Prestaciones a la Seguridad Social</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5,262.9</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5,513.2</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Intereses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10,491.7</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10,591.9</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300" w:firstLine="600"/>
              <w:rPr>
                <w:sz w:val="20"/>
                <w:szCs w:val="20"/>
                <w:lang w:val="es-GT" w:eastAsia="es-GT"/>
              </w:rPr>
            </w:pPr>
            <w:r w:rsidRPr="00406CD9">
              <w:rPr>
                <w:sz w:val="20"/>
                <w:szCs w:val="20"/>
                <w:lang w:val="es-GT" w:eastAsia="es-GT"/>
              </w:rPr>
              <w:t xml:space="preserve">Deuda </w:t>
            </w:r>
            <w:r>
              <w:rPr>
                <w:sz w:val="20"/>
                <w:szCs w:val="20"/>
                <w:lang w:val="es-GT" w:eastAsia="es-GT"/>
              </w:rPr>
              <w:t>I</w:t>
            </w:r>
            <w:r w:rsidRPr="00406CD9">
              <w:rPr>
                <w:sz w:val="20"/>
                <w:szCs w:val="20"/>
                <w:lang w:val="es-GT" w:eastAsia="es-GT"/>
              </w:rPr>
              <w:t xml:space="preserve">nterna </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6,197.0</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6,958.6</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300" w:firstLine="600"/>
              <w:rPr>
                <w:sz w:val="20"/>
                <w:szCs w:val="20"/>
                <w:lang w:val="es-GT" w:eastAsia="es-GT"/>
              </w:rPr>
            </w:pPr>
            <w:r w:rsidRPr="00406CD9">
              <w:rPr>
                <w:sz w:val="20"/>
                <w:szCs w:val="20"/>
                <w:lang w:val="es-GT" w:eastAsia="es-GT"/>
              </w:rPr>
              <w:t xml:space="preserve">Deuda </w:t>
            </w:r>
            <w:r>
              <w:rPr>
                <w:sz w:val="20"/>
                <w:szCs w:val="20"/>
                <w:lang w:val="es-GT" w:eastAsia="es-GT"/>
              </w:rPr>
              <w:t>E</w:t>
            </w:r>
            <w:r w:rsidRPr="00406CD9">
              <w:rPr>
                <w:sz w:val="20"/>
                <w:szCs w:val="20"/>
                <w:lang w:val="es-GT" w:eastAsia="es-GT"/>
              </w:rPr>
              <w:t>xterna</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4,294.6</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3,633.3</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400" w:firstLine="800"/>
              <w:rPr>
                <w:sz w:val="20"/>
                <w:szCs w:val="20"/>
                <w:lang w:val="es-GT" w:eastAsia="es-GT"/>
              </w:rPr>
            </w:pPr>
            <w:r w:rsidRPr="00406CD9">
              <w:rPr>
                <w:sz w:val="20"/>
                <w:szCs w:val="20"/>
                <w:lang w:val="es-GT" w:eastAsia="es-GT"/>
              </w:rPr>
              <w:t>Préstamos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1,623.4</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1,643.9</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400" w:firstLine="800"/>
              <w:rPr>
                <w:sz w:val="20"/>
                <w:szCs w:val="20"/>
                <w:lang w:val="es-GT" w:eastAsia="es-GT"/>
              </w:rPr>
            </w:pPr>
            <w:r w:rsidRPr="00406CD9">
              <w:rPr>
                <w:sz w:val="20"/>
                <w:szCs w:val="20"/>
                <w:lang w:val="es-GT" w:eastAsia="es-GT"/>
              </w:rPr>
              <w:t>Bonos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2,671.2</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1,989.4</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Arrendamiento de Tierra y Terrenos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0.4</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0.5</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Derechos Sobre Bienes Intangibles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65.3</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48.0</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Transferencias</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23,430.4</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21,782.0</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100" w:firstLine="201"/>
              <w:rPr>
                <w:b/>
                <w:bCs/>
                <w:sz w:val="20"/>
                <w:szCs w:val="20"/>
                <w:lang w:val="es-GT" w:eastAsia="es-GT"/>
              </w:rPr>
            </w:pPr>
            <w:r w:rsidRPr="00406CD9">
              <w:rPr>
                <w:b/>
                <w:bCs/>
                <w:sz w:val="20"/>
                <w:szCs w:val="20"/>
                <w:lang w:val="es-GT" w:eastAsia="es-GT"/>
              </w:rPr>
              <w:t>Gastos de Capital</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b/>
                <w:bCs/>
                <w:sz w:val="20"/>
                <w:szCs w:val="20"/>
                <w:lang w:val="es-GT" w:eastAsia="es-GT"/>
              </w:rPr>
            </w:pPr>
            <w:r w:rsidRPr="00406CD9">
              <w:rPr>
                <w:b/>
                <w:bCs/>
                <w:sz w:val="20"/>
                <w:szCs w:val="20"/>
                <w:lang w:val="es-GT" w:eastAsia="es-GT"/>
              </w:rPr>
              <w:t>21,402.7</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b/>
                <w:bCs/>
                <w:sz w:val="20"/>
                <w:szCs w:val="20"/>
                <w:lang w:val="es-GT" w:eastAsia="es-GT"/>
              </w:rPr>
            </w:pPr>
            <w:r w:rsidRPr="00406CD9">
              <w:rPr>
                <w:b/>
                <w:bCs/>
                <w:sz w:val="20"/>
                <w:szCs w:val="20"/>
                <w:lang w:val="es-GT" w:eastAsia="es-GT"/>
              </w:rPr>
              <w:t>18,349.8</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Inversión Real Directa</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5,221.5</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3,637.0</w:t>
            </w:r>
          </w:p>
        </w:tc>
      </w:tr>
      <w:tr w:rsidR="00406CD9" w:rsidRPr="00406CD9" w:rsidTr="00406CD9">
        <w:trPr>
          <w:trHeight w:val="315"/>
        </w:trPr>
        <w:tc>
          <w:tcPr>
            <w:tcW w:w="5118" w:type="dxa"/>
            <w:tcBorders>
              <w:top w:val="nil"/>
              <w:left w:val="single" w:sz="8" w:space="0" w:color="auto"/>
              <w:bottom w:val="nil"/>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Inversión Financiera</w:t>
            </w:r>
          </w:p>
        </w:tc>
        <w:tc>
          <w:tcPr>
            <w:tcW w:w="1985"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3,530.4</w:t>
            </w:r>
          </w:p>
        </w:tc>
        <w:tc>
          <w:tcPr>
            <w:tcW w:w="1984" w:type="dxa"/>
            <w:tcBorders>
              <w:top w:val="nil"/>
              <w:left w:val="nil"/>
              <w:bottom w:val="nil"/>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3,505.6</w:t>
            </w:r>
          </w:p>
        </w:tc>
      </w:tr>
      <w:tr w:rsidR="00406CD9" w:rsidRPr="00406CD9" w:rsidTr="00406CD9">
        <w:trPr>
          <w:trHeight w:val="330"/>
        </w:trPr>
        <w:tc>
          <w:tcPr>
            <w:tcW w:w="5118" w:type="dxa"/>
            <w:tcBorders>
              <w:top w:val="nil"/>
              <w:left w:val="single" w:sz="8" w:space="0" w:color="auto"/>
              <w:bottom w:val="single" w:sz="8" w:space="0" w:color="auto"/>
              <w:right w:val="single" w:sz="8" w:space="0" w:color="auto"/>
            </w:tcBorders>
            <w:shd w:val="clear" w:color="auto" w:fill="auto"/>
            <w:noWrap/>
            <w:vAlign w:val="bottom"/>
            <w:hideMark/>
          </w:tcPr>
          <w:p w:rsidR="00406CD9" w:rsidRPr="00406CD9" w:rsidRDefault="00406CD9" w:rsidP="00406CD9">
            <w:pPr>
              <w:ind w:firstLineChars="200" w:firstLine="400"/>
              <w:rPr>
                <w:sz w:val="20"/>
                <w:szCs w:val="20"/>
                <w:lang w:val="es-GT" w:eastAsia="es-GT"/>
              </w:rPr>
            </w:pPr>
            <w:r w:rsidRPr="00406CD9">
              <w:rPr>
                <w:sz w:val="20"/>
                <w:szCs w:val="20"/>
                <w:lang w:val="es-GT" w:eastAsia="es-GT"/>
              </w:rPr>
              <w:t>Transferencias</w:t>
            </w:r>
          </w:p>
        </w:tc>
        <w:tc>
          <w:tcPr>
            <w:tcW w:w="1985" w:type="dxa"/>
            <w:tcBorders>
              <w:top w:val="nil"/>
              <w:left w:val="nil"/>
              <w:bottom w:val="single" w:sz="8" w:space="0" w:color="auto"/>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12,650.9</w:t>
            </w:r>
          </w:p>
        </w:tc>
        <w:tc>
          <w:tcPr>
            <w:tcW w:w="1984" w:type="dxa"/>
            <w:tcBorders>
              <w:top w:val="nil"/>
              <w:left w:val="nil"/>
              <w:bottom w:val="single" w:sz="8" w:space="0" w:color="auto"/>
              <w:right w:val="single" w:sz="8" w:space="0" w:color="auto"/>
            </w:tcBorders>
            <w:shd w:val="clear" w:color="auto" w:fill="auto"/>
            <w:noWrap/>
            <w:vAlign w:val="bottom"/>
            <w:hideMark/>
          </w:tcPr>
          <w:p w:rsidR="00406CD9" w:rsidRPr="00406CD9" w:rsidRDefault="00406CD9" w:rsidP="00406CD9">
            <w:pPr>
              <w:jc w:val="right"/>
              <w:rPr>
                <w:sz w:val="20"/>
                <w:szCs w:val="20"/>
                <w:lang w:val="es-GT" w:eastAsia="es-GT"/>
              </w:rPr>
            </w:pPr>
            <w:r w:rsidRPr="00406CD9">
              <w:rPr>
                <w:sz w:val="20"/>
                <w:szCs w:val="20"/>
                <w:lang w:val="es-GT" w:eastAsia="es-GT"/>
              </w:rPr>
              <w:t>11,207.2</w:t>
            </w:r>
          </w:p>
        </w:tc>
      </w:tr>
    </w:tbl>
    <w:p w:rsidR="006C0B88" w:rsidRDefault="00406CD9" w:rsidP="00DB0F04">
      <w:pPr>
        <w:rPr>
          <w:sz w:val="16"/>
        </w:rPr>
      </w:pPr>
      <w:r w:rsidRPr="004F6E04">
        <w:rPr>
          <w:sz w:val="18"/>
        </w:rPr>
        <w:t>Fuente: Ministerio de Finanzas Públicas</w:t>
      </w:r>
      <w:r>
        <w:rPr>
          <w:sz w:val="18"/>
        </w:rPr>
        <w:t>.</w:t>
      </w:r>
    </w:p>
    <w:p w:rsidR="00406CD9" w:rsidRDefault="00406CD9" w:rsidP="00DB0F04">
      <w:pPr>
        <w:rPr>
          <w:sz w:val="16"/>
        </w:rPr>
      </w:pPr>
    </w:p>
    <w:p w:rsidR="00406CD9" w:rsidRDefault="00406CD9" w:rsidP="00DB0F04">
      <w:pPr>
        <w:rPr>
          <w:sz w:val="16"/>
        </w:rPr>
      </w:pPr>
    </w:p>
    <w:p w:rsidR="006C0B88" w:rsidRDefault="006C0B88" w:rsidP="00DB0F04">
      <w:pPr>
        <w:rPr>
          <w:sz w:val="16"/>
        </w:rPr>
      </w:pPr>
    </w:p>
    <w:p w:rsidR="00DB0F04" w:rsidRDefault="00DB0F04" w:rsidP="00F073BE">
      <w:pPr>
        <w:pStyle w:val="Prrafodelista"/>
        <w:numPr>
          <w:ilvl w:val="0"/>
          <w:numId w:val="9"/>
        </w:numPr>
        <w:autoSpaceDE w:val="0"/>
        <w:autoSpaceDN w:val="0"/>
        <w:adjustRightInd w:val="0"/>
        <w:contextualSpacing/>
        <w:jc w:val="both"/>
        <w:rPr>
          <w:b/>
        </w:rPr>
      </w:pPr>
      <w:r w:rsidRPr="009A2D43">
        <w:rPr>
          <w:b/>
        </w:rPr>
        <w:t>Gasto Institucional</w:t>
      </w:r>
    </w:p>
    <w:p w:rsidR="00DB0F04" w:rsidRDefault="00DB0F04" w:rsidP="00DB0F04">
      <w:pPr>
        <w:autoSpaceDE w:val="0"/>
        <w:autoSpaceDN w:val="0"/>
        <w:adjustRightInd w:val="0"/>
        <w:jc w:val="both"/>
        <w:rPr>
          <w:b/>
        </w:rPr>
      </w:pPr>
    </w:p>
    <w:p w:rsidR="00DB0F04" w:rsidRDefault="00DB0F04" w:rsidP="00DB0F04">
      <w:pPr>
        <w:autoSpaceDE w:val="0"/>
        <w:autoSpaceDN w:val="0"/>
        <w:adjustRightInd w:val="0"/>
        <w:jc w:val="both"/>
      </w:pPr>
      <w:r w:rsidRPr="00695D33">
        <w:t xml:space="preserve">Respecto </w:t>
      </w:r>
      <w:r w:rsidR="00BD20C7">
        <w:t>de</w:t>
      </w:r>
      <w:r w:rsidRPr="00695D33">
        <w:t xml:space="preserve"> la capacidad de ejecución de las entidades</w:t>
      </w:r>
      <w:r w:rsidR="004F6E04">
        <w:t xml:space="preserve"> públicas</w:t>
      </w:r>
      <w:r w:rsidRPr="00695D33">
        <w:t xml:space="preserve">, se observa que al </w:t>
      </w:r>
      <w:r w:rsidR="004F6E04">
        <w:t>30</w:t>
      </w:r>
      <w:r w:rsidRPr="00695D33">
        <w:t xml:space="preserve"> de junio</w:t>
      </w:r>
      <w:r w:rsidR="006C0B88">
        <w:t xml:space="preserve"> de 2020,</w:t>
      </w:r>
      <w:r>
        <w:t xml:space="preserve"> </w:t>
      </w:r>
      <w:r w:rsidRPr="0065214C">
        <w:t>el mayor nivel de ejecución</w:t>
      </w:r>
      <w:r>
        <w:t xml:space="preserve"> lo reporta</w:t>
      </w:r>
      <w:r w:rsidRPr="0065214C">
        <w:t xml:space="preserve"> la P</w:t>
      </w:r>
      <w:r w:rsidR="006C0B88">
        <w:t>rocuraduría General de la Nación</w:t>
      </w:r>
      <w:r w:rsidRPr="0065214C">
        <w:t xml:space="preserve"> (49.0%), </w:t>
      </w:r>
      <w:r w:rsidR="006C0B88">
        <w:t xml:space="preserve">Ministerio de </w:t>
      </w:r>
      <w:r w:rsidRPr="0065214C">
        <w:t>Educación (45.1%), Servicio</w:t>
      </w:r>
      <w:r w:rsidR="004F6E04">
        <w:t>s</w:t>
      </w:r>
      <w:r w:rsidRPr="0065214C">
        <w:t xml:space="preserve"> de la Deuda Pública (43.6%), Obligaciones</w:t>
      </w:r>
      <w:r w:rsidR="006C0B88">
        <w:t xml:space="preserve"> del Estado a Cargo del Tesoro</w:t>
      </w:r>
      <w:r w:rsidRPr="0065214C">
        <w:t xml:space="preserve"> (40.7%), Presidencia</w:t>
      </w:r>
      <w:r w:rsidR="006C0B88">
        <w:t xml:space="preserve"> de la República</w:t>
      </w:r>
      <w:r w:rsidRPr="0065214C">
        <w:t xml:space="preserve"> (40.4%) y </w:t>
      </w:r>
      <w:r w:rsidR="006C0B88">
        <w:t xml:space="preserve">Ministerio de </w:t>
      </w:r>
      <w:r w:rsidRPr="0065214C">
        <w:t>Trabajo y Previsión Social (39.1%)</w:t>
      </w:r>
      <w:r w:rsidR="006C0B88">
        <w:t>;</w:t>
      </w:r>
      <w:r w:rsidRPr="0065214C">
        <w:t xml:space="preserve"> todas estas entidades se encuentran por arriba de la ejecución </w:t>
      </w:r>
      <w:r w:rsidR="006C0B88">
        <w:t xml:space="preserve">promedio </w:t>
      </w:r>
      <w:r w:rsidRPr="0065214C">
        <w:t>total.</w:t>
      </w:r>
    </w:p>
    <w:p w:rsidR="00DB0F04" w:rsidRDefault="00DB0F04" w:rsidP="00DB0F04">
      <w:pPr>
        <w:autoSpaceDE w:val="0"/>
        <w:autoSpaceDN w:val="0"/>
        <w:adjustRightInd w:val="0"/>
        <w:jc w:val="both"/>
      </w:pPr>
    </w:p>
    <w:p w:rsidR="00DB0F04" w:rsidRPr="001E5AA3" w:rsidRDefault="00DB0F04" w:rsidP="00DB0F04">
      <w:pPr>
        <w:autoSpaceDE w:val="0"/>
        <w:autoSpaceDN w:val="0"/>
        <w:adjustRightInd w:val="0"/>
        <w:jc w:val="both"/>
      </w:pPr>
      <w:r w:rsidRPr="000420E4">
        <w:t xml:space="preserve">Al desglosar los programas por entidad (ver </w:t>
      </w:r>
      <w:r w:rsidR="000420E4">
        <w:t>A</w:t>
      </w:r>
      <w:r w:rsidRPr="000420E4">
        <w:t xml:space="preserve">nexo), se observa que dentro de </w:t>
      </w:r>
      <w:r w:rsidR="000420E4">
        <w:t>éstas</w:t>
      </w:r>
      <w:r w:rsidRPr="000420E4">
        <w:t xml:space="preserve"> se </w:t>
      </w:r>
      <w:r w:rsidR="000420E4">
        <w:t>priorizan</w:t>
      </w:r>
      <w:r w:rsidRPr="000420E4">
        <w:t xml:space="preserve"> los programas de alto impacto y en este año en particular</w:t>
      </w:r>
      <w:r w:rsidR="000420E4">
        <w:t>,</w:t>
      </w:r>
      <w:r w:rsidRPr="000420E4">
        <w:t xml:space="preserve"> se da</w:t>
      </w:r>
      <w:r>
        <w:t xml:space="preserve"> seguimiento especial al </w:t>
      </w:r>
      <w:r w:rsidRPr="001E5AA3">
        <w:t xml:space="preserve">programa 94 “Atención por </w:t>
      </w:r>
      <w:r w:rsidR="000420E4">
        <w:t>D</w:t>
      </w:r>
      <w:r w:rsidRPr="001E5AA3">
        <w:t xml:space="preserve">esastres </w:t>
      </w:r>
      <w:r w:rsidR="000420E4">
        <w:t>N</w:t>
      </w:r>
      <w:r w:rsidRPr="001E5AA3">
        <w:t>aturales y Calamidades Públicas” y subprograma 09 “Estado de Calamidad Pública por Emergencia C</w:t>
      </w:r>
      <w:r w:rsidR="000420E4">
        <w:t>ovid</w:t>
      </w:r>
      <w:r w:rsidRPr="001E5AA3">
        <w:t>-19 (DG 5-2020)”</w:t>
      </w:r>
      <w:r>
        <w:t>.</w:t>
      </w:r>
    </w:p>
    <w:p w:rsidR="00DB0F04" w:rsidRPr="0065214C" w:rsidRDefault="00DB0F04" w:rsidP="00DB0F04">
      <w:pPr>
        <w:autoSpaceDE w:val="0"/>
        <w:autoSpaceDN w:val="0"/>
        <w:adjustRightInd w:val="0"/>
        <w:jc w:val="both"/>
      </w:pPr>
    </w:p>
    <w:p w:rsidR="00DB0F04" w:rsidRPr="0065214C" w:rsidRDefault="00DB0F04" w:rsidP="00DB0F04">
      <w:pPr>
        <w:autoSpaceDE w:val="0"/>
        <w:autoSpaceDN w:val="0"/>
        <w:adjustRightInd w:val="0"/>
        <w:jc w:val="both"/>
      </w:pPr>
      <w:r w:rsidRPr="0065214C">
        <w:lastRenderedPageBreak/>
        <w:t xml:space="preserve">En </w:t>
      </w:r>
      <w:r w:rsidR="000420E4">
        <w:t xml:space="preserve">el Ministerio de </w:t>
      </w:r>
      <w:r w:rsidRPr="0065214C">
        <w:t>Educación</w:t>
      </w:r>
      <w:r w:rsidR="000420E4">
        <w:t>,</w:t>
      </w:r>
      <w:r w:rsidRPr="0065214C">
        <w:t xml:space="preserve"> el programa de apoyo para el consumo adecuado de alimentos reporta el mayor nivel de ejecución con 74.3%, a pesar de la suspensión de clases en los centros educativos privados y públicos</w:t>
      </w:r>
      <w:r w:rsidR="000420E4">
        <w:t>;</w:t>
      </w:r>
      <w:r w:rsidRPr="0065214C">
        <w:t xml:space="preserve"> en estos últimos se continuó con el programa de alimentación escolar</w:t>
      </w:r>
      <w:r w:rsidR="000420E4">
        <w:t xml:space="preserve"> y</w:t>
      </w:r>
      <w:r w:rsidRPr="0065214C">
        <w:t xml:space="preserve"> de esa cuenta se facult</w:t>
      </w:r>
      <w:r w:rsidR="000420E4">
        <w:t>ó</w:t>
      </w:r>
      <w:r w:rsidRPr="0065214C">
        <w:t xml:space="preserve"> a las Organizaciones de Padres de Familia (OPF) a adquirir alimentos</w:t>
      </w:r>
      <w:r w:rsidR="000420E4">
        <w:t>,</w:t>
      </w:r>
      <w:r w:rsidRPr="0065214C">
        <w:t xml:space="preserve"> y en los casos en los que los centros educativos no cuent</w:t>
      </w:r>
      <w:r w:rsidR="000420E4">
        <w:t>a</w:t>
      </w:r>
      <w:r w:rsidRPr="0065214C">
        <w:t>n con una OPF, las direcciones departamentales s</w:t>
      </w:r>
      <w:r w:rsidR="000420E4">
        <w:t>on</w:t>
      </w:r>
      <w:r w:rsidRPr="0065214C">
        <w:t xml:space="preserve"> las encargadas de la compra y distribución de los alimentos. </w:t>
      </w:r>
      <w:r>
        <w:t>L</w:t>
      </w:r>
      <w:r w:rsidRPr="0065214C">
        <w:t>a ejecución alta de este programa es muy relevante, dado que muchos niños dependen de la alimentación escolar para su subsistencia y con el cierre de escuelas su nutrición pod</w:t>
      </w:r>
      <w:r w:rsidR="000420E4">
        <w:t>r</w:t>
      </w:r>
      <w:r w:rsidRPr="0065214C">
        <w:t xml:space="preserve">ía verse comprometida. Le siguen los programas de educación escolar preprimaria y primaria con </w:t>
      </w:r>
      <w:r w:rsidR="000420E4">
        <w:t>48.2% y 42.9%, respectivamente.</w:t>
      </w:r>
    </w:p>
    <w:p w:rsidR="00DB0F04" w:rsidRPr="0065214C" w:rsidRDefault="00DB0F04" w:rsidP="00DB0F04">
      <w:pPr>
        <w:autoSpaceDE w:val="0"/>
        <w:autoSpaceDN w:val="0"/>
        <w:adjustRightInd w:val="0"/>
        <w:jc w:val="both"/>
      </w:pPr>
    </w:p>
    <w:p w:rsidR="00DB0F04" w:rsidRPr="0065214C" w:rsidRDefault="00DB0F04" w:rsidP="00DB0F04">
      <w:pPr>
        <w:autoSpaceDE w:val="0"/>
        <w:autoSpaceDN w:val="0"/>
        <w:adjustRightInd w:val="0"/>
        <w:jc w:val="both"/>
      </w:pPr>
      <w:r w:rsidRPr="0065214C">
        <w:t xml:space="preserve">En </w:t>
      </w:r>
      <w:r w:rsidR="000420E4">
        <w:t xml:space="preserve">el Ministerio de </w:t>
      </w:r>
      <w:r w:rsidRPr="0065214C">
        <w:t>Salud Pública y Asistencia Social, los programas que reportan el mayor nivel de ejecución son el fomento de la salud y medicina preventiva con 44.1%, mientras que el programa que reportaba la ejecución más baja se encuentra relacionado a las intervenciones para la atención de la emergencia C</w:t>
      </w:r>
      <w:r w:rsidR="00922A41">
        <w:t>ovid</w:t>
      </w:r>
      <w:r w:rsidRPr="0065214C">
        <w:t xml:space="preserve">-19, únicamente con 8.0%, esto se ha debido a diferentes factores, entre los cuales resalta el cambio de </w:t>
      </w:r>
      <w:r w:rsidR="00922A41">
        <w:t xml:space="preserve">las </w:t>
      </w:r>
      <w:r w:rsidRPr="0065214C">
        <w:t>altas autoridades en la entidad y problemas en los procesos de compra de insumos y equipo de p</w:t>
      </w:r>
      <w:r w:rsidR="00922A41">
        <w:t>rotección para personal médico y de enfermería.</w:t>
      </w:r>
    </w:p>
    <w:p w:rsidR="00DB0F04" w:rsidRPr="0065214C" w:rsidRDefault="00DB0F04" w:rsidP="00DB0F04">
      <w:pPr>
        <w:autoSpaceDE w:val="0"/>
        <w:autoSpaceDN w:val="0"/>
        <w:adjustRightInd w:val="0"/>
        <w:jc w:val="both"/>
      </w:pPr>
    </w:p>
    <w:p w:rsidR="00DB0F04" w:rsidRDefault="00DB0F04" w:rsidP="00DB0F04">
      <w:pPr>
        <w:autoSpaceDE w:val="0"/>
        <w:autoSpaceDN w:val="0"/>
        <w:adjustRightInd w:val="0"/>
        <w:jc w:val="both"/>
      </w:pPr>
      <w:r w:rsidRPr="0065214C">
        <w:t xml:space="preserve">Por su parte, </w:t>
      </w:r>
      <w:r w:rsidR="00922A41">
        <w:t xml:space="preserve">el Ministerio de </w:t>
      </w:r>
      <w:r w:rsidRPr="0065214C">
        <w:t>Gobernación reporta una ejecución de 37.8%, siendo los programas de servicios de custodia y rehabilitación de privados de libertad y los servicios de seguridad a las personas y su patrimonio</w:t>
      </w:r>
      <w:r w:rsidR="00922A41">
        <w:t>,</w:t>
      </w:r>
      <w:r w:rsidRPr="0065214C">
        <w:t xml:space="preserve"> los que reportan los mayores niveles de ejecución con 41.0% y 39.1%, respectivamente. En lo que respecta a</w:t>
      </w:r>
      <w:r w:rsidR="00922A41">
        <w:t xml:space="preserve">l Ministerio de </w:t>
      </w:r>
      <w:r w:rsidRPr="0065214C">
        <w:t xml:space="preserve">Comunicaciones, Infraestructura y Vivienda, </w:t>
      </w:r>
      <w:r w:rsidR="00922A41">
        <w:t xml:space="preserve">se </w:t>
      </w:r>
      <w:r w:rsidRPr="0065214C">
        <w:t>reporta un menor dinamismo que el observado en los años previos, con una ejecución de 31.3%, siendo el programa del desarrollo de la infraestructura vial el que lidera la ejecución institucional con 36.2%. La baja ejecución de esta entidad afecta a la inversión real directa</w:t>
      </w:r>
      <w:r w:rsidR="00922A41">
        <w:t>;</w:t>
      </w:r>
      <w:r w:rsidRPr="0065214C">
        <w:t xml:space="preserve"> de esa cuenta </w:t>
      </w:r>
      <w:r w:rsidR="00922A41">
        <w:t xml:space="preserve">que </w:t>
      </w:r>
      <w:r w:rsidRPr="0065214C">
        <w:t>este rubro report</w:t>
      </w:r>
      <w:r>
        <w:t>a Q</w:t>
      </w:r>
      <w:r w:rsidR="00922A41">
        <w:t>.</w:t>
      </w:r>
      <w:r>
        <w:t>705.7 millones menos que lo ejecutad</w:t>
      </w:r>
      <w:r w:rsidRPr="0065214C">
        <w:t>o en 2019.</w:t>
      </w:r>
    </w:p>
    <w:p w:rsidR="00DB0F04" w:rsidRDefault="00DB0F04" w:rsidP="00DB0F04">
      <w:pPr>
        <w:autoSpaceDE w:val="0"/>
        <w:autoSpaceDN w:val="0"/>
        <w:adjustRightInd w:val="0"/>
        <w:jc w:val="both"/>
      </w:pPr>
    </w:p>
    <w:p w:rsidR="00DB0F04" w:rsidRPr="00C91DE7" w:rsidRDefault="00DB0F04" w:rsidP="00DB0F04">
      <w:pPr>
        <w:autoSpaceDE w:val="0"/>
        <w:autoSpaceDN w:val="0"/>
        <w:adjustRightInd w:val="0"/>
        <w:jc w:val="both"/>
      </w:pPr>
      <w:r w:rsidRPr="00C91DE7">
        <w:t xml:space="preserve">Por su parte, cuatro entidades resaltan </w:t>
      </w:r>
      <w:r w:rsidR="00286C0A">
        <w:t xml:space="preserve">con </w:t>
      </w:r>
      <w:r w:rsidRPr="00C91DE7">
        <w:t>respecto</w:t>
      </w:r>
      <w:r>
        <w:t xml:space="preserve"> </w:t>
      </w:r>
      <w:r w:rsidRPr="00C91DE7">
        <w:t>al resto de las entidades</w:t>
      </w:r>
      <w:r w:rsidR="00286C0A">
        <w:t>,</w:t>
      </w:r>
      <w:r w:rsidRPr="00C91DE7">
        <w:t xml:space="preserve"> por encontrarse muy por</w:t>
      </w:r>
      <w:r>
        <w:t xml:space="preserve"> </w:t>
      </w:r>
      <w:r w:rsidRPr="00C91DE7">
        <w:t xml:space="preserve">debajo de la ejecución </w:t>
      </w:r>
      <w:r w:rsidR="00286C0A">
        <w:t xml:space="preserve">promedio </w:t>
      </w:r>
      <w:r w:rsidRPr="00C91DE7">
        <w:t>institucional total, siendo</w:t>
      </w:r>
      <w:r>
        <w:t xml:space="preserve"> </w:t>
      </w:r>
      <w:r w:rsidRPr="00C91DE7">
        <w:t>el caso de</w:t>
      </w:r>
      <w:r w:rsidR="00B66AD2">
        <w:t xml:space="preserve"> los Ministerios de</w:t>
      </w:r>
      <w:r w:rsidRPr="00C91DE7">
        <w:t xml:space="preserve"> Agricultura</w:t>
      </w:r>
      <w:r w:rsidR="00B66AD2">
        <w:t>, Ganadería y Alimentación</w:t>
      </w:r>
      <w:r w:rsidRPr="00C91DE7">
        <w:t xml:space="preserve"> (19.6%), </w:t>
      </w:r>
      <w:r w:rsidR="00B66AD2">
        <w:t xml:space="preserve">de </w:t>
      </w:r>
      <w:r w:rsidRPr="00C91DE7">
        <w:t>Economía</w:t>
      </w:r>
      <w:r>
        <w:t xml:space="preserve"> </w:t>
      </w:r>
      <w:r w:rsidRPr="00C91DE7">
        <w:t>(22.1%),</w:t>
      </w:r>
      <w:r w:rsidR="00B66AD2">
        <w:t xml:space="preserve"> de</w:t>
      </w:r>
      <w:r w:rsidRPr="00C91DE7">
        <w:t xml:space="preserve"> Cultura y Deportes (22.9%) y</w:t>
      </w:r>
      <w:r>
        <w:t xml:space="preserve"> </w:t>
      </w:r>
      <w:r w:rsidR="00B66AD2">
        <w:t xml:space="preserve">de </w:t>
      </w:r>
      <w:r w:rsidRPr="00C91DE7">
        <w:t>Desarrollo Social (27.6%). En el caso de tres de</w:t>
      </w:r>
      <w:r>
        <w:t xml:space="preserve"> </w:t>
      </w:r>
      <w:r w:rsidRPr="00C91DE7">
        <w:t>estas entidades, reportan un aumento bastante</w:t>
      </w:r>
      <w:r>
        <w:t xml:space="preserve"> </w:t>
      </w:r>
      <w:r w:rsidRPr="00C91DE7">
        <w:t>significativo en su presupuesto</w:t>
      </w:r>
      <w:r w:rsidR="00B66AD2">
        <w:t xml:space="preserve"> vigente</w:t>
      </w:r>
      <w:r w:rsidRPr="00C91DE7">
        <w:t>, ya que tienen a</w:t>
      </w:r>
      <w:r>
        <w:t xml:space="preserve"> </w:t>
      </w:r>
      <w:r w:rsidRPr="00C91DE7">
        <w:t>su cargo la ejecución de actividades para la</w:t>
      </w:r>
      <w:r>
        <w:t xml:space="preserve"> </w:t>
      </w:r>
      <w:r w:rsidRPr="00C91DE7">
        <w:t>atención de la emergencia del C</w:t>
      </w:r>
      <w:r w:rsidR="00B66AD2">
        <w:t>ovid</w:t>
      </w:r>
      <w:r w:rsidRPr="00C91DE7">
        <w:t>-19, y por</w:t>
      </w:r>
      <w:r>
        <w:t xml:space="preserve"> </w:t>
      </w:r>
      <w:r w:rsidRPr="00C91DE7">
        <w:t>este efecto su ejecución se percibe baja</w:t>
      </w:r>
      <w:r w:rsidR="00B66AD2">
        <w:t>. En</w:t>
      </w:r>
      <w:r w:rsidRPr="009D7B8D">
        <w:t xml:space="preserve"> el Ministerio de Desarrollo Social y el Ministerio de Economía, la ampliación presupuestaria aprobada fue seis y siete veces el presupuesto inicial de la entidad, respectivamente. </w:t>
      </w:r>
      <w:r>
        <w:t>D</w:t>
      </w:r>
      <w:r w:rsidRPr="00C91DE7">
        <w:t>ada la importancia del programa para el</w:t>
      </w:r>
      <w:r>
        <w:t xml:space="preserve"> </w:t>
      </w:r>
      <w:r w:rsidR="00B66AD2">
        <w:t xml:space="preserve">Organismo </w:t>
      </w:r>
      <w:r w:rsidRPr="00C91DE7">
        <w:t>Ejecutivo, se espera que los niveles de ejecución</w:t>
      </w:r>
      <w:r>
        <w:t xml:space="preserve"> </w:t>
      </w:r>
      <w:r w:rsidRPr="00C91DE7">
        <w:t>se</w:t>
      </w:r>
      <w:r w:rsidR="00B66AD2">
        <w:t xml:space="preserve"> aceleren</w:t>
      </w:r>
      <w:r>
        <w:t xml:space="preserve"> en el segundo semestre del año</w:t>
      </w:r>
      <w:r w:rsidRPr="00C91DE7">
        <w:t>.</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t xml:space="preserve">El Ministerio de </w:t>
      </w:r>
      <w:r w:rsidRPr="00C91DE7">
        <w:t>Economía, tiene a su cargo el programa Bono de</w:t>
      </w:r>
      <w:r>
        <w:t xml:space="preserve"> </w:t>
      </w:r>
      <w:r w:rsidRPr="00C91DE7">
        <w:t>Protección de Empleo y Préstamos para las</w:t>
      </w:r>
      <w:r>
        <w:t xml:space="preserve"> </w:t>
      </w:r>
      <w:r w:rsidRPr="00C91DE7">
        <w:t>Mipymes</w:t>
      </w:r>
      <w:r w:rsidR="00FE4287">
        <w:t>;</w:t>
      </w:r>
      <w:r>
        <w:t xml:space="preserve"> el Ministerio de </w:t>
      </w:r>
      <w:r w:rsidRPr="00C91DE7">
        <w:t>Desarrollo Social tiene a su cargo el</w:t>
      </w:r>
      <w:r>
        <w:t xml:space="preserve"> </w:t>
      </w:r>
      <w:r w:rsidRPr="00C91DE7">
        <w:t xml:space="preserve">programa de Bono Familia, </w:t>
      </w:r>
      <w:r w:rsidR="00FE4287">
        <w:t>A</w:t>
      </w:r>
      <w:r w:rsidRPr="00C91DE7">
        <w:t>limento</w:t>
      </w:r>
      <w:r w:rsidR="00FE4287">
        <w:t>s</w:t>
      </w:r>
      <w:r w:rsidRPr="00C91DE7">
        <w:t xml:space="preserve"> para</w:t>
      </w:r>
      <w:r>
        <w:t xml:space="preserve"> </w:t>
      </w:r>
      <w:r w:rsidRPr="00C91DE7">
        <w:t>personas y otras transferencias a personas</w:t>
      </w:r>
      <w:r>
        <w:t xml:space="preserve"> </w:t>
      </w:r>
      <w:r w:rsidRPr="00C91DE7">
        <w:t xml:space="preserve">individuales y </w:t>
      </w:r>
      <w:r>
        <w:t xml:space="preserve">el Ministerio de </w:t>
      </w:r>
      <w:r w:rsidRPr="00C91DE7">
        <w:t>Agricultura</w:t>
      </w:r>
      <w:r>
        <w:t>, Ganadería y Alimentación</w:t>
      </w:r>
      <w:r w:rsidRPr="00C91DE7">
        <w:t xml:space="preserve"> tiene a su cargo la</w:t>
      </w:r>
      <w:r>
        <w:t xml:space="preserve"> </w:t>
      </w:r>
      <w:r w:rsidRPr="00C91DE7">
        <w:t xml:space="preserve">entrega de </w:t>
      </w:r>
      <w:r w:rsidR="00DE6BA9">
        <w:t>B</w:t>
      </w:r>
      <w:r w:rsidRPr="00C91DE7">
        <w:t>olsa</w:t>
      </w:r>
      <w:r w:rsidR="00DE6BA9">
        <w:t>s</w:t>
      </w:r>
      <w:r w:rsidRPr="00C91DE7">
        <w:t xml:space="preserve"> de </w:t>
      </w:r>
      <w:r w:rsidR="00DE6BA9">
        <w:t>A</w:t>
      </w:r>
      <w:r w:rsidRPr="00C91DE7">
        <w:t>limentos en el área rural y</w:t>
      </w:r>
      <w:r>
        <w:t xml:space="preserve"> apoyo a los agricultores.</w:t>
      </w:r>
    </w:p>
    <w:p w:rsidR="00DB0F04" w:rsidRDefault="00DB0F04" w:rsidP="00DB0F04">
      <w:pPr>
        <w:autoSpaceDE w:val="0"/>
        <w:autoSpaceDN w:val="0"/>
        <w:adjustRightInd w:val="0"/>
        <w:jc w:val="both"/>
      </w:pPr>
    </w:p>
    <w:p w:rsidR="00AF19D7" w:rsidRDefault="00AF19D7" w:rsidP="00DB0F04">
      <w:pPr>
        <w:autoSpaceDE w:val="0"/>
        <w:autoSpaceDN w:val="0"/>
        <w:adjustRightInd w:val="0"/>
        <w:jc w:val="both"/>
      </w:pPr>
    </w:p>
    <w:p w:rsidR="00AF19D7" w:rsidRDefault="00AF19D7" w:rsidP="00DB0F04">
      <w:pPr>
        <w:autoSpaceDE w:val="0"/>
        <w:autoSpaceDN w:val="0"/>
        <w:adjustRightInd w:val="0"/>
        <w:jc w:val="both"/>
      </w:pPr>
    </w:p>
    <w:p w:rsidR="00DB0F04" w:rsidRDefault="00DB0F04" w:rsidP="00DB0F04">
      <w:pPr>
        <w:autoSpaceDE w:val="0"/>
        <w:autoSpaceDN w:val="0"/>
        <w:adjustRightInd w:val="0"/>
        <w:jc w:val="both"/>
      </w:pPr>
      <w:r w:rsidRPr="00C91DE7">
        <w:t xml:space="preserve">En cuanto a </w:t>
      </w:r>
      <w:r w:rsidR="00DE6BA9">
        <w:t xml:space="preserve">su </w:t>
      </w:r>
      <w:r w:rsidRPr="00C91DE7">
        <w:t>crecimiento interanual</w:t>
      </w:r>
      <w:r w:rsidR="00DE6BA9">
        <w:t>,</w:t>
      </w:r>
      <w:r w:rsidRPr="00C91DE7">
        <w:t xml:space="preserve"> reportan</w:t>
      </w:r>
      <w:r>
        <w:t xml:space="preserve"> </w:t>
      </w:r>
      <w:r w:rsidRPr="00C91DE7">
        <w:t>avances importantes el Ministerio de Desarrollo</w:t>
      </w:r>
      <w:r>
        <w:t xml:space="preserve"> </w:t>
      </w:r>
      <w:r w:rsidRPr="00C91DE7">
        <w:t>Social (412.5%) y</w:t>
      </w:r>
      <w:r w:rsidR="00DE6BA9">
        <w:t xml:space="preserve"> de</w:t>
      </w:r>
      <w:r w:rsidRPr="00C91DE7">
        <w:t xml:space="preserve"> Economía (242.2%),</w:t>
      </w:r>
      <w:r>
        <w:t xml:space="preserve"> </w:t>
      </w:r>
      <w:r w:rsidRPr="00C91DE7">
        <w:t>derivado precisamente de la ejecución de las</w:t>
      </w:r>
      <w:r>
        <w:t xml:space="preserve"> </w:t>
      </w:r>
      <w:r w:rsidRPr="00C91DE7">
        <w:t>actividades para la atención del C</w:t>
      </w:r>
      <w:r w:rsidR="00DE6BA9">
        <w:t>ovid</w:t>
      </w:r>
      <w:r w:rsidRPr="00C91DE7">
        <w:t>-19,</w:t>
      </w:r>
      <w:r>
        <w:t xml:space="preserve"> </w:t>
      </w:r>
      <w:r w:rsidRPr="00C91DE7">
        <w:t>actividades que no se tuvieron contempladas en</w:t>
      </w:r>
      <w:r>
        <w:t xml:space="preserve"> </w:t>
      </w:r>
      <w:r w:rsidRPr="00C91DE7">
        <w:t>el año previo.</w:t>
      </w:r>
    </w:p>
    <w:p w:rsidR="00DB0F04" w:rsidRPr="00C91DE7" w:rsidRDefault="00DB0F04" w:rsidP="00DB0F04">
      <w:pPr>
        <w:autoSpaceDE w:val="0"/>
        <w:autoSpaceDN w:val="0"/>
        <w:adjustRightInd w:val="0"/>
        <w:jc w:val="both"/>
      </w:pPr>
    </w:p>
    <w:p w:rsidR="00DB0F04" w:rsidRDefault="00DB0F04" w:rsidP="00DB0F04">
      <w:pPr>
        <w:autoSpaceDE w:val="0"/>
        <w:autoSpaceDN w:val="0"/>
        <w:adjustRightInd w:val="0"/>
        <w:jc w:val="both"/>
      </w:pPr>
      <w:r w:rsidRPr="00C91DE7">
        <w:t xml:space="preserve">Ocho entidades reportan retrocesos respecto </w:t>
      </w:r>
      <w:r w:rsidR="00DE6BA9">
        <w:t>de</w:t>
      </w:r>
      <w:r>
        <w:t xml:space="preserve"> 2019</w:t>
      </w:r>
      <w:r w:rsidR="00DE6BA9">
        <w:t>;</w:t>
      </w:r>
      <w:r w:rsidRPr="00C91DE7">
        <w:t xml:space="preserve"> entre las caídas más importantes se</w:t>
      </w:r>
      <w:r>
        <w:t xml:space="preserve"> </w:t>
      </w:r>
      <w:r w:rsidRPr="00C91DE7">
        <w:t>encuentra</w:t>
      </w:r>
      <w:r w:rsidR="00DE6BA9">
        <w:t xml:space="preserve">n los Ministerios de </w:t>
      </w:r>
      <w:r w:rsidRPr="00C91DE7">
        <w:t>Agricultura</w:t>
      </w:r>
      <w:r w:rsidR="00DE6BA9">
        <w:t>, Ganadería y Alimentación</w:t>
      </w:r>
      <w:r w:rsidRPr="00C91DE7">
        <w:t xml:space="preserve"> (-40.3%), </w:t>
      </w:r>
      <w:r w:rsidR="00DE6BA9">
        <w:t xml:space="preserve">de </w:t>
      </w:r>
      <w:r w:rsidRPr="00C91DE7">
        <w:t>Cultura y</w:t>
      </w:r>
      <w:r>
        <w:t xml:space="preserve"> </w:t>
      </w:r>
      <w:r w:rsidRPr="00C91DE7">
        <w:t>Deportes (-30.2%), Presidencia</w:t>
      </w:r>
      <w:r w:rsidR="00DE6BA9">
        <w:t xml:space="preserve"> de la República</w:t>
      </w:r>
      <w:r w:rsidRPr="00C91DE7">
        <w:t xml:space="preserve"> (-15.5%) y</w:t>
      </w:r>
      <w:r>
        <w:t xml:space="preserve"> </w:t>
      </w:r>
      <w:r w:rsidR="00DE6BA9">
        <w:t xml:space="preserve">de </w:t>
      </w:r>
      <w:r w:rsidRPr="00C91DE7">
        <w:t>Comunicaciones</w:t>
      </w:r>
      <w:r w:rsidR="00DE6BA9">
        <w:t>, Infraestructura y Vivienda</w:t>
      </w:r>
      <w:r w:rsidRPr="00C91DE7">
        <w:t xml:space="preserve"> (-12.0%).</w:t>
      </w:r>
      <w:r w:rsidRPr="00C91DE7">
        <w:cr/>
      </w:r>
    </w:p>
    <w:p w:rsidR="00DB0F04" w:rsidRDefault="00DB0F04" w:rsidP="00DB0F04">
      <w:pPr>
        <w:autoSpaceDE w:val="0"/>
        <w:autoSpaceDN w:val="0"/>
        <w:adjustRightInd w:val="0"/>
        <w:jc w:val="both"/>
      </w:pPr>
    </w:p>
    <w:p w:rsidR="00AF19D7" w:rsidRDefault="00AF19D7" w:rsidP="00885718">
      <w:pPr>
        <w:pStyle w:val="Epgrafe"/>
        <w:keepNext/>
        <w:tabs>
          <w:tab w:val="left" w:pos="2385"/>
          <w:tab w:val="center" w:pos="4419"/>
        </w:tabs>
        <w:spacing w:after="0"/>
        <w:jc w:val="center"/>
        <w:rPr>
          <w:rFonts w:ascii="Times New Roman" w:hAnsi="Times New Roman" w:cs="Times New Roman"/>
          <w:b/>
          <w:i w:val="0"/>
          <w:color w:val="auto"/>
          <w:sz w:val="24"/>
          <w:szCs w:val="24"/>
        </w:rPr>
      </w:pPr>
      <w:r>
        <w:rPr>
          <w:rFonts w:ascii="Times New Roman" w:hAnsi="Times New Roman" w:cs="Times New Roman"/>
          <w:b/>
          <w:i w:val="0"/>
          <w:color w:val="auto"/>
          <w:sz w:val="24"/>
          <w:szCs w:val="24"/>
        </w:rPr>
        <w:t>Cuadro 22</w:t>
      </w:r>
    </w:p>
    <w:p w:rsidR="00885718" w:rsidRPr="00221E17" w:rsidRDefault="008527D2" w:rsidP="00885718">
      <w:pPr>
        <w:pStyle w:val="Epgrafe"/>
        <w:keepNext/>
        <w:tabs>
          <w:tab w:val="left" w:pos="2385"/>
          <w:tab w:val="center" w:pos="4419"/>
        </w:tabs>
        <w:spacing w:after="0"/>
        <w:jc w:val="center"/>
        <w:rPr>
          <w:rFonts w:ascii="Times New Roman" w:hAnsi="Times New Roman" w:cs="Times New Roman"/>
          <w:b/>
          <w:i w:val="0"/>
          <w:color w:val="auto"/>
          <w:sz w:val="24"/>
          <w:szCs w:val="24"/>
        </w:rPr>
      </w:pPr>
      <w:r>
        <w:rPr>
          <w:rFonts w:ascii="Times New Roman" w:hAnsi="Times New Roman" w:cs="Times New Roman"/>
          <w:b/>
          <w:i w:val="0"/>
          <w:color w:val="auto"/>
          <w:sz w:val="24"/>
          <w:szCs w:val="24"/>
        </w:rPr>
        <w:t>Presupuesto y Estimación de Gasto por Entidad</w:t>
      </w:r>
    </w:p>
    <w:p w:rsidR="00AF19D7" w:rsidRDefault="008527D2" w:rsidP="00885718">
      <w:pPr>
        <w:jc w:val="center"/>
        <w:rPr>
          <w:b/>
          <w:bCs/>
          <w:lang w:val="es-GT"/>
        </w:rPr>
      </w:pPr>
      <w:r>
        <w:rPr>
          <w:b/>
        </w:rPr>
        <w:t xml:space="preserve">Ejercicio </w:t>
      </w:r>
      <w:r w:rsidR="00FA7825">
        <w:rPr>
          <w:b/>
        </w:rPr>
        <w:t>F</w:t>
      </w:r>
      <w:r>
        <w:rPr>
          <w:b/>
        </w:rPr>
        <w:t>iscal 2020</w:t>
      </w:r>
    </w:p>
    <w:p w:rsidR="00885718" w:rsidRPr="00221E17" w:rsidRDefault="00AF19D7" w:rsidP="00885718">
      <w:pPr>
        <w:jc w:val="center"/>
        <w:rPr>
          <w:b/>
          <w:bCs/>
        </w:rPr>
      </w:pPr>
      <w:r>
        <w:rPr>
          <w:b/>
          <w:bCs/>
        </w:rPr>
        <w:t>(</w:t>
      </w:r>
      <w:r w:rsidR="008527D2">
        <w:rPr>
          <w:b/>
          <w:bCs/>
        </w:rPr>
        <w:t>Cifras en Millones de Quetzales</w:t>
      </w:r>
      <w:r>
        <w:rPr>
          <w:b/>
          <w:bCs/>
        </w:rPr>
        <w:t>)</w:t>
      </w:r>
    </w:p>
    <w:tbl>
      <w:tblPr>
        <w:tblW w:w="8946" w:type="dxa"/>
        <w:tblInd w:w="55" w:type="dxa"/>
        <w:tblCellMar>
          <w:left w:w="70" w:type="dxa"/>
          <w:right w:w="70" w:type="dxa"/>
        </w:tblCellMar>
        <w:tblLook w:val="04A0" w:firstRow="1" w:lastRow="0" w:firstColumn="1" w:lastColumn="0" w:noHBand="0" w:noVBand="1"/>
      </w:tblPr>
      <w:tblGrid>
        <w:gridCol w:w="4410"/>
        <w:gridCol w:w="1417"/>
        <w:gridCol w:w="1276"/>
        <w:gridCol w:w="1843"/>
      </w:tblGrid>
      <w:tr w:rsidR="00885718" w:rsidRPr="007962FF" w:rsidTr="00885718">
        <w:trPr>
          <w:trHeight w:val="360"/>
        </w:trPr>
        <w:tc>
          <w:tcPr>
            <w:tcW w:w="4410" w:type="dxa"/>
            <w:vMerge w:val="restart"/>
            <w:tcBorders>
              <w:top w:val="single" w:sz="8" w:space="0" w:color="auto"/>
              <w:left w:val="single" w:sz="8" w:space="0" w:color="auto"/>
              <w:bottom w:val="nil"/>
              <w:right w:val="nil"/>
            </w:tcBorders>
            <w:shd w:val="clear" w:color="000000" w:fill="366092"/>
            <w:noWrap/>
            <w:vAlign w:val="center"/>
            <w:hideMark/>
          </w:tcPr>
          <w:p w:rsidR="00885718" w:rsidRPr="00FA7825" w:rsidRDefault="00885718" w:rsidP="00885718">
            <w:pPr>
              <w:jc w:val="center"/>
              <w:rPr>
                <w:b/>
                <w:bCs/>
                <w:color w:val="FFFFFF"/>
                <w:sz w:val="22"/>
                <w:lang w:val="es-GT" w:eastAsia="es-GT"/>
              </w:rPr>
            </w:pPr>
            <w:r w:rsidRPr="00FA7825">
              <w:rPr>
                <w:b/>
                <w:bCs/>
                <w:color w:val="FFFFFF"/>
                <w:sz w:val="22"/>
                <w:lang w:val="es-GT" w:eastAsia="es-GT"/>
              </w:rPr>
              <w:t>Entidad</w:t>
            </w:r>
          </w:p>
        </w:tc>
        <w:tc>
          <w:tcPr>
            <w:tcW w:w="2693" w:type="dxa"/>
            <w:gridSpan w:val="2"/>
            <w:tcBorders>
              <w:top w:val="single" w:sz="8" w:space="0" w:color="auto"/>
              <w:left w:val="nil"/>
              <w:bottom w:val="nil"/>
              <w:right w:val="nil"/>
            </w:tcBorders>
            <w:shd w:val="clear" w:color="000000" w:fill="366092"/>
            <w:noWrap/>
            <w:vAlign w:val="center"/>
            <w:hideMark/>
          </w:tcPr>
          <w:p w:rsidR="00885718" w:rsidRPr="00FA7825" w:rsidRDefault="00885718" w:rsidP="00885718">
            <w:pPr>
              <w:jc w:val="center"/>
              <w:rPr>
                <w:b/>
                <w:bCs/>
                <w:color w:val="FFFFFF"/>
                <w:sz w:val="22"/>
                <w:lang w:val="es-GT" w:eastAsia="es-GT"/>
              </w:rPr>
            </w:pPr>
            <w:r w:rsidRPr="00FA7825">
              <w:rPr>
                <w:b/>
                <w:bCs/>
                <w:color w:val="FFFFFF"/>
                <w:sz w:val="22"/>
                <w:lang w:val="es-GT" w:eastAsia="es-GT"/>
              </w:rPr>
              <w:t>Presupuesto</w:t>
            </w:r>
          </w:p>
        </w:tc>
        <w:tc>
          <w:tcPr>
            <w:tcW w:w="1843" w:type="dxa"/>
            <w:vMerge w:val="restart"/>
            <w:tcBorders>
              <w:top w:val="single" w:sz="8" w:space="0" w:color="auto"/>
              <w:left w:val="nil"/>
              <w:bottom w:val="nil"/>
              <w:right w:val="single" w:sz="8" w:space="0" w:color="auto"/>
            </w:tcBorders>
            <w:shd w:val="clear" w:color="000000" w:fill="366092"/>
            <w:vAlign w:val="center"/>
            <w:hideMark/>
          </w:tcPr>
          <w:p w:rsidR="00885718" w:rsidRPr="007962FF" w:rsidRDefault="00885718" w:rsidP="00E2162D">
            <w:pPr>
              <w:jc w:val="center"/>
              <w:rPr>
                <w:b/>
                <w:bCs/>
                <w:color w:val="FFFFFF"/>
                <w:lang w:val="es-GT" w:eastAsia="es-GT"/>
              </w:rPr>
            </w:pPr>
            <w:r w:rsidRPr="00FA7825">
              <w:rPr>
                <w:b/>
                <w:bCs/>
                <w:color w:val="FFFFFF"/>
                <w:sz w:val="22"/>
                <w:lang w:val="es-GT" w:eastAsia="es-GT"/>
              </w:rPr>
              <w:t xml:space="preserve">Estimación de </w:t>
            </w:r>
            <w:r w:rsidR="00E2162D">
              <w:rPr>
                <w:b/>
                <w:bCs/>
                <w:color w:val="FFFFFF"/>
                <w:sz w:val="22"/>
                <w:lang w:val="es-GT" w:eastAsia="es-GT"/>
              </w:rPr>
              <w:t>C</w:t>
            </w:r>
            <w:r w:rsidRPr="00FA7825">
              <w:rPr>
                <w:b/>
                <w:bCs/>
                <w:color w:val="FFFFFF"/>
                <w:sz w:val="22"/>
                <w:lang w:val="es-GT" w:eastAsia="es-GT"/>
              </w:rPr>
              <w:t>ierre 2020</w:t>
            </w:r>
          </w:p>
        </w:tc>
      </w:tr>
      <w:tr w:rsidR="00885718" w:rsidRPr="00885718" w:rsidTr="00885718">
        <w:trPr>
          <w:trHeight w:val="420"/>
        </w:trPr>
        <w:tc>
          <w:tcPr>
            <w:tcW w:w="4410" w:type="dxa"/>
            <w:vMerge/>
            <w:tcBorders>
              <w:top w:val="single" w:sz="8" w:space="0" w:color="auto"/>
              <w:left w:val="single" w:sz="8" w:space="0" w:color="auto"/>
              <w:bottom w:val="nil"/>
              <w:right w:val="nil"/>
            </w:tcBorders>
            <w:vAlign w:val="center"/>
            <w:hideMark/>
          </w:tcPr>
          <w:p w:rsidR="00885718" w:rsidRPr="00FA7825" w:rsidRDefault="00885718" w:rsidP="00885718">
            <w:pPr>
              <w:rPr>
                <w:b/>
                <w:bCs/>
                <w:color w:val="FFFFFF"/>
                <w:sz w:val="22"/>
                <w:lang w:val="es-GT" w:eastAsia="es-GT"/>
              </w:rPr>
            </w:pPr>
          </w:p>
        </w:tc>
        <w:tc>
          <w:tcPr>
            <w:tcW w:w="1417" w:type="dxa"/>
            <w:tcBorders>
              <w:top w:val="nil"/>
              <w:left w:val="nil"/>
              <w:bottom w:val="nil"/>
              <w:right w:val="nil"/>
            </w:tcBorders>
            <w:shd w:val="clear" w:color="000000" w:fill="366092"/>
            <w:noWrap/>
            <w:vAlign w:val="center"/>
            <w:hideMark/>
          </w:tcPr>
          <w:p w:rsidR="00885718" w:rsidRPr="00FA7825" w:rsidRDefault="00885718" w:rsidP="00885718">
            <w:pPr>
              <w:jc w:val="center"/>
              <w:rPr>
                <w:b/>
                <w:bCs/>
                <w:color w:val="FFFFFF"/>
                <w:sz w:val="22"/>
                <w:lang w:val="es-GT" w:eastAsia="es-GT"/>
              </w:rPr>
            </w:pPr>
            <w:r w:rsidRPr="00FA7825">
              <w:rPr>
                <w:b/>
                <w:bCs/>
                <w:color w:val="FFFFFF"/>
                <w:sz w:val="22"/>
                <w:lang w:val="es-GT" w:eastAsia="es-GT"/>
              </w:rPr>
              <w:t>Inicial</w:t>
            </w:r>
          </w:p>
        </w:tc>
        <w:tc>
          <w:tcPr>
            <w:tcW w:w="1276" w:type="dxa"/>
            <w:tcBorders>
              <w:top w:val="nil"/>
              <w:left w:val="nil"/>
              <w:bottom w:val="nil"/>
              <w:right w:val="nil"/>
            </w:tcBorders>
            <w:shd w:val="clear" w:color="000000" w:fill="366092"/>
            <w:noWrap/>
            <w:vAlign w:val="center"/>
            <w:hideMark/>
          </w:tcPr>
          <w:p w:rsidR="00885718" w:rsidRPr="00FA7825" w:rsidRDefault="00885718" w:rsidP="00885718">
            <w:pPr>
              <w:jc w:val="center"/>
              <w:rPr>
                <w:b/>
                <w:bCs/>
                <w:color w:val="FFFFFF"/>
                <w:sz w:val="22"/>
                <w:lang w:val="es-GT" w:eastAsia="es-GT"/>
              </w:rPr>
            </w:pPr>
            <w:r w:rsidRPr="00FA7825">
              <w:rPr>
                <w:b/>
                <w:bCs/>
                <w:color w:val="FFFFFF"/>
                <w:sz w:val="22"/>
                <w:lang w:val="es-GT" w:eastAsia="es-GT"/>
              </w:rPr>
              <w:t>Vigente</w:t>
            </w:r>
          </w:p>
        </w:tc>
        <w:tc>
          <w:tcPr>
            <w:tcW w:w="1843" w:type="dxa"/>
            <w:vMerge/>
            <w:tcBorders>
              <w:top w:val="single" w:sz="8" w:space="0" w:color="auto"/>
              <w:left w:val="nil"/>
              <w:bottom w:val="nil"/>
              <w:right w:val="single" w:sz="8" w:space="0" w:color="auto"/>
            </w:tcBorders>
            <w:vAlign w:val="center"/>
            <w:hideMark/>
          </w:tcPr>
          <w:p w:rsidR="00885718" w:rsidRPr="00885718" w:rsidRDefault="00885718" w:rsidP="00885718">
            <w:pPr>
              <w:rPr>
                <w:b/>
                <w:bCs/>
                <w:color w:val="FFFFFF"/>
                <w:lang w:val="es-GT" w:eastAsia="es-GT"/>
              </w:rPr>
            </w:pPr>
          </w:p>
        </w:tc>
      </w:tr>
      <w:tr w:rsidR="00885718" w:rsidRPr="00885718" w:rsidTr="00885718">
        <w:trPr>
          <w:trHeight w:val="315"/>
        </w:trPr>
        <w:tc>
          <w:tcPr>
            <w:tcW w:w="4410" w:type="dxa"/>
            <w:tcBorders>
              <w:top w:val="nil"/>
              <w:left w:val="single" w:sz="8" w:space="0" w:color="auto"/>
              <w:bottom w:val="nil"/>
              <w:right w:val="nil"/>
            </w:tcBorders>
            <w:shd w:val="clear" w:color="000000" w:fill="D8E4BC"/>
            <w:noWrap/>
            <w:vAlign w:val="bottom"/>
            <w:hideMark/>
          </w:tcPr>
          <w:p w:rsidR="00885718" w:rsidRPr="00885718" w:rsidRDefault="00885718" w:rsidP="00885718">
            <w:pPr>
              <w:jc w:val="center"/>
              <w:rPr>
                <w:b/>
                <w:bCs/>
                <w:sz w:val="20"/>
                <w:szCs w:val="20"/>
                <w:lang w:val="es-GT" w:eastAsia="es-GT"/>
              </w:rPr>
            </w:pPr>
            <w:r w:rsidRPr="00885718">
              <w:rPr>
                <w:b/>
                <w:bCs/>
                <w:sz w:val="20"/>
                <w:szCs w:val="20"/>
                <w:lang w:val="es-GT" w:eastAsia="es-GT"/>
              </w:rPr>
              <w:t>Total</w:t>
            </w:r>
          </w:p>
        </w:tc>
        <w:tc>
          <w:tcPr>
            <w:tcW w:w="1417" w:type="dxa"/>
            <w:tcBorders>
              <w:top w:val="nil"/>
              <w:left w:val="nil"/>
              <w:bottom w:val="nil"/>
              <w:right w:val="nil"/>
            </w:tcBorders>
            <w:shd w:val="clear" w:color="000000" w:fill="D8E4BC"/>
            <w:noWrap/>
            <w:vAlign w:val="bottom"/>
            <w:hideMark/>
          </w:tcPr>
          <w:p w:rsidR="00885718" w:rsidRPr="00885718" w:rsidRDefault="00885718" w:rsidP="00885718">
            <w:pPr>
              <w:jc w:val="center"/>
              <w:rPr>
                <w:b/>
                <w:bCs/>
                <w:sz w:val="20"/>
                <w:szCs w:val="20"/>
                <w:lang w:val="es-GT" w:eastAsia="es-GT"/>
              </w:rPr>
            </w:pPr>
            <w:r w:rsidRPr="00885718">
              <w:rPr>
                <w:b/>
                <w:bCs/>
                <w:sz w:val="20"/>
                <w:szCs w:val="20"/>
                <w:lang w:val="es-GT" w:eastAsia="es-GT"/>
              </w:rPr>
              <w:t>87,715.1</w:t>
            </w:r>
          </w:p>
        </w:tc>
        <w:tc>
          <w:tcPr>
            <w:tcW w:w="1276" w:type="dxa"/>
            <w:tcBorders>
              <w:top w:val="nil"/>
              <w:left w:val="nil"/>
              <w:bottom w:val="nil"/>
              <w:right w:val="nil"/>
            </w:tcBorders>
            <w:shd w:val="clear" w:color="000000" w:fill="D8E4BC"/>
            <w:noWrap/>
            <w:vAlign w:val="bottom"/>
            <w:hideMark/>
          </w:tcPr>
          <w:p w:rsidR="00885718" w:rsidRPr="00885718" w:rsidRDefault="00885718" w:rsidP="00885718">
            <w:pPr>
              <w:jc w:val="center"/>
              <w:rPr>
                <w:b/>
                <w:bCs/>
                <w:sz w:val="20"/>
                <w:szCs w:val="20"/>
                <w:lang w:val="es-GT" w:eastAsia="es-GT"/>
              </w:rPr>
            </w:pPr>
            <w:r w:rsidRPr="00885718">
              <w:rPr>
                <w:b/>
                <w:bCs/>
                <w:sz w:val="20"/>
                <w:szCs w:val="20"/>
                <w:lang w:val="es-GT" w:eastAsia="es-GT"/>
              </w:rPr>
              <w:t>107,760.7</w:t>
            </w:r>
          </w:p>
        </w:tc>
        <w:tc>
          <w:tcPr>
            <w:tcW w:w="1843" w:type="dxa"/>
            <w:tcBorders>
              <w:top w:val="nil"/>
              <w:left w:val="nil"/>
              <w:bottom w:val="nil"/>
              <w:right w:val="single" w:sz="8" w:space="0" w:color="auto"/>
            </w:tcBorders>
            <w:shd w:val="clear" w:color="000000" w:fill="D8E4BC"/>
            <w:noWrap/>
            <w:vAlign w:val="bottom"/>
            <w:hideMark/>
          </w:tcPr>
          <w:p w:rsidR="00885718" w:rsidRPr="00885718" w:rsidRDefault="00885718" w:rsidP="00885718">
            <w:pPr>
              <w:jc w:val="center"/>
              <w:rPr>
                <w:b/>
                <w:bCs/>
                <w:sz w:val="20"/>
                <w:szCs w:val="20"/>
                <w:lang w:val="es-GT" w:eastAsia="es-GT"/>
              </w:rPr>
            </w:pPr>
            <w:r w:rsidRPr="00885718">
              <w:rPr>
                <w:b/>
                <w:bCs/>
                <w:sz w:val="20"/>
                <w:szCs w:val="20"/>
                <w:lang w:val="es-GT" w:eastAsia="es-GT"/>
              </w:rPr>
              <w:t>97,671.2</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Presidencia de la República</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231.0</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231.0</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209.4</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Relaciones Exteriores</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577.7</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597.7</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512.0</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Gobernación</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5,344.8</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6,024.8</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5,344.8</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Defensa Nacional</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2,627.7</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2,646.5</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2,391.2</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Finanzas Públicas</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381.2</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374.0</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314.7</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 xml:space="preserve">Educación </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16,530.6</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17,783.5</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17,072.2</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Salud Pública y Asistencia Social</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8,197.2</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9,963.2</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8,867.2</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Trabajo y Previsión Social</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752.2</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802.2</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691.3</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Economía</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403.4</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2,803.4</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2,383.9</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Agricultura, Ganadería y Alimentación</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1,365.4</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1,765.4</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1,500.6</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Comunicaciones, Infraestructura y Vivienda</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6,053.4</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6,781.6</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4,916.7</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Energía y Minas</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81.0</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88.2</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78.1</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Cultura y Deportes</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623.0</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623.0</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464.1</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Secretarías y Otras Dependencias del Ejecutivo</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1,526.7</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1,520.5</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1,262.6</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Ambiente y Recursos Naturales</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127.3</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142.3</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105.0</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Obligaciones del Estado a Cargo del Tesoro</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28,205.2</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33,361.1</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30,305.7</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Servicios de la Deuda Pública</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13,411.0</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14,611.0</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14,372.4</w:t>
            </w:r>
          </w:p>
        </w:tc>
      </w:tr>
      <w:tr w:rsidR="00885718" w:rsidRPr="00885718" w:rsidTr="00885718">
        <w:trPr>
          <w:trHeight w:val="315"/>
        </w:trPr>
        <w:tc>
          <w:tcPr>
            <w:tcW w:w="4410" w:type="dxa"/>
            <w:tcBorders>
              <w:top w:val="nil"/>
              <w:left w:val="single" w:sz="8" w:space="0" w:color="auto"/>
              <w:bottom w:val="nil"/>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Desarrollo Social</w:t>
            </w:r>
          </w:p>
        </w:tc>
        <w:tc>
          <w:tcPr>
            <w:tcW w:w="1417"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1,159.1</w:t>
            </w:r>
          </w:p>
        </w:tc>
        <w:tc>
          <w:tcPr>
            <w:tcW w:w="1276" w:type="dxa"/>
            <w:tcBorders>
              <w:top w:val="nil"/>
              <w:left w:val="nil"/>
              <w:bottom w:val="nil"/>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7,519.1</w:t>
            </w:r>
          </w:p>
        </w:tc>
        <w:tc>
          <w:tcPr>
            <w:tcW w:w="1843" w:type="dxa"/>
            <w:tcBorders>
              <w:top w:val="nil"/>
              <w:left w:val="nil"/>
              <w:bottom w:val="nil"/>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6,767.2</w:t>
            </w:r>
          </w:p>
        </w:tc>
      </w:tr>
      <w:tr w:rsidR="00885718" w:rsidRPr="00885718" w:rsidTr="00885718">
        <w:trPr>
          <w:trHeight w:val="330"/>
        </w:trPr>
        <w:tc>
          <w:tcPr>
            <w:tcW w:w="4410" w:type="dxa"/>
            <w:tcBorders>
              <w:top w:val="nil"/>
              <w:left w:val="single" w:sz="8" w:space="0" w:color="auto"/>
              <w:bottom w:val="single" w:sz="8" w:space="0" w:color="auto"/>
              <w:right w:val="nil"/>
            </w:tcBorders>
            <w:shd w:val="clear" w:color="auto" w:fill="auto"/>
            <w:noWrap/>
            <w:vAlign w:val="bottom"/>
            <w:hideMark/>
          </w:tcPr>
          <w:p w:rsidR="00885718" w:rsidRPr="00885718" w:rsidRDefault="00885718" w:rsidP="00885718">
            <w:pPr>
              <w:rPr>
                <w:sz w:val="20"/>
                <w:szCs w:val="20"/>
                <w:lang w:val="es-GT" w:eastAsia="es-GT"/>
              </w:rPr>
            </w:pPr>
            <w:r w:rsidRPr="00885718">
              <w:rPr>
                <w:sz w:val="20"/>
                <w:szCs w:val="20"/>
                <w:lang w:val="es-GT" w:eastAsia="es-GT"/>
              </w:rPr>
              <w:t>Procuraduría General de la Nación</w:t>
            </w:r>
          </w:p>
        </w:tc>
        <w:tc>
          <w:tcPr>
            <w:tcW w:w="1417" w:type="dxa"/>
            <w:tcBorders>
              <w:top w:val="nil"/>
              <w:left w:val="nil"/>
              <w:bottom w:val="single" w:sz="8" w:space="0" w:color="auto"/>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117.3</w:t>
            </w:r>
          </w:p>
        </w:tc>
        <w:tc>
          <w:tcPr>
            <w:tcW w:w="1276" w:type="dxa"/>
            <w:tcBorders>
              <w:top w:val="nil"/>
              <w:left w:val="nil"/>
              <w:bottom w:val="single" w:sz="8" w:space="0" w:color="auto"/>
              <w:right w:val="nil"/>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122.3</w:t>
            </w:r>
          </w:p>
        </w:tc>
        <w:tc>
          <w:tcPr>
            <w:tcW w:w="1843" w:type="dxa"/>
            <w:tcBorders>
              <w:top w:val="nil"/>
              <w:left w:val="nil"/>
              <w:bottom w:val="single" w:sz="8" w:space="0" w:color="auto"/>
              <w:right w:val="single" w:sz="8" w:space="0" w:color="auto"/>
            </w:tcBorders>
            <w:shd w:val="clear" w:color="auto" w:fill="auto"/>
            <w:noWrap/>
            <w:vAlign w:val="bottom"/>
            <w:hideMark/>
          </w:tcPr>
          <w:p w:rsidR="00885718" w:rsidRPr="00885718" w:rsidRDefault="00885718" w:rsidP="00885718">
            <w:pPr>
              <w:jc w:val="center"/>
              <w:rPr>
                <w:color w:val="000000"/>
                <w:sz w:val="20"/>
                <w:szCs w:val="20"/>
                <w:lang w:val="es-GT" w:eastAsia="es-GT"/>
              </w:rPr>
            </w:pPr>
            <w:r w:rsidRPr="00885718">
              <w:rPr>
                <w:color w:val="000000"/>
                <w:sz w:val="20"/>
                <w:szCs w:val="20"/>
                <w:lang w:val="es-GT" w:eastAsia="es-GT"/>
              </w:rPr>
              <w:t>112.2</w:t>
            </w:r>
          </w:p>
        </w:tc>
      </w:tr>
    </w:tbl>
    <w:p w:rsidR="00885718" w:rsidRDefault="00885718" w:rsidP="00885718">
      <w:pPr>
        <w:autoSpaceDE w:val="0"/>
        <w:autoSpaceDN w:val="0"/>
        <w:adjustRightInd w:val="0"/>
        <w:jc w:val="both"/>
        <w:rPr>
          <w:sz w:val="16"/>
        </w:rPr>
      </w:pPr>
      <w:r w:rsidRPr="004F6E04">
        <w:rPr>
          <w:sz w:val="18"/>
        </w:rPr>
        <w:t>Fuente: Ministerio de Finanzas Públicas.</w:t>
      </w:r>
    </w:p>
    <w:p w:rsidR="00885718" w:rsidRDefault="00885718" w:rsidP="00DB0F04">
      <w:pPr>
        <w:autoSpaceDE w:val="0"/>
        <w:autoSpaceDN w:val="0"/>
        <w:adjustRightInd w:val="0"/>
        <w:jc w:val="both"/>
      </w:pPr>
    </w:p>
    <w:p w:rsidR="00885718" w:rsidRDefault="00885718" w:rsidP="00DB0F04">
      <w:pPr>
        <w:autoSpaceDE w:val="0"/>
        <w:autoSpaceDN w:val="0"/>
        <w:adjustRightInd w:val="0"/>
        <w:jc w:val="both"/>
      </w:pPr>
    </w:p>
    <w:p w:rsidR="00AF19D7" w:rsidRDefault="00AF19D7" w:rsidP="00DB0F04">
      <w:pPr>
        <w:autoSpaceDE w:val="0"/>
        <w:autoSpaceDN w:val="0"/>
        <w:adjustRightInd w:val="0"/>
        <w:jc w:val="both"/>
      </w:pPr>
    </w:p>
    <w:p w:rsidR="00AF19D7" w:rsidRDefault="00AF19D7" w:rsidP="00DB0F04">
      <w:pPr>
        <w:autoSpaceDE w:val="0"/>
        <w:autoSpaceDN w:val="0"/>
        <w:adjustRightInd w:val="0"/>
        <w:jc w:val="both"/>
      </w:pPr>
    </w:p>
    <w:p w:rsidR="00AF19D7" w:rsidRPr="00641C41" w:rsidRDefault="00AF19D7" w:rsidP="00DB0F04">
      <w:pPr>
        <w:autoSpaceDE w:val="0"/>
        <w:autoSpaceDN w:val="0"/>
        <w:adjustRightInd w:val="0"/>
        <w:jc w:val="both"/>
        <w:rPr>
          <w:sz w:val="28"/>
        </w:rPr>
      </w:pPr>
    </w:p>
    <w:p w:rsidR="00DB0F04" w:rsidRPr="009A69F8" w:rsidRDefault="00DB0F04" w:rsidP="00DB0F04">
      <w:pPr>
        <w:jc w:val="both"/>
      </w:pPr>
      <w:r w:rsidRPr="009A69F8">
        <w:t>La ejecución de las actividades derivadas de la emergencia del C</w:t>
      </w:r>
      <w:r w:rsidR="00DE6BA9">
        <w:t>ovid</w:t>
      </w:r>
      <w:r w:rsidRPr="009A69F8">
        <w:t>-19 reporta a junio</w:t>
      </w:r>
      <w:r w:rsidR="00DE6BA9">
        <w:t xml:space="preserve"> de 2020</w:t>
      </w:r>
      <w:r w:rsidRPr="009A69F8">
        <w:t xml:space="preserve"> una ejecución de Q</w:t>
      </w:r>
      <w:r w:rsidR="00DE6BA9">
        <w:t>.</w:t>
      </w:r>
      <w:r w:rsidRPr="009A69F8">
        <w:t xml:space="preserve">4,124.2 millones, con un nivel de 28.8%, reportando un </w:t>
      </w:r>
      <w:r w:rsidR="00DE6BA9">
        <w:t>incremento</w:t>
      </w:r>
      <w:r w:rsidRPr="009A69F8">
        <w:t xml:space="preserve"> de Q</w:t>
      </w:r>
      <w:r w:rsidR="00DE6BA9">
        <w:t>.</w:t>
      </w:r>
      <w:r w:rsidRPr="009A69F8">
        <w:t xml:space="preserve">1,951.0 millones </w:t>
      </w:r>
      <w:r w:rsidR="00DE6BA9">
        <w:t xml:space="preserve">con </w:t>
      </w:r>
      <w:r w:rsidRPr="009A69F8">
        <w:t>respecto a mayo. Las actividades que reportan el mayor dinamismo son: el bono para familias y bono de asistencia para personas afectadas por la crisis a cargo de</w:t>
      </w:r>
      <w:r w:rsidR="00DE6BA9">
        <w:t xml:space="preserve">l Ministerio de </w:t>
      </w:r>
      <w:r w:rsidRPr="009A69F8">
        <w:t>Desarrollo Social con una ejecución de Q</w:t>
      </w:r>
      <w:r w:rsidR="00DE6BA9">
        <w:t>.</w:t>
      </w:r>
      <w:r w:rsidRPr="009A69F8">
        <w:t>1,685.9 millones y Q</w:t>
      </w:r>
      <w:r w:rsidR="00DE6BA9">
        <w:t>.</w:t>
      </w:r>
      <w:r w:rsidRPr="009A69F8">
        <w:t>65.0 millones</w:t>
      </w:r>
      <w:r w:rsidR="00DE6BA9">
        <w:t>,</w:t>
      </w:r>
      <w:r w:rsidRPr="009A69F8">
        <w:t xml:space="preserve"> respectivamente. Seguido del fondo para capital de trabajo, del cual se realizó la transferencia de recursos por Q</w:t>
      </w:r>
      <w:r w:rsidR="00DE6BA9">
        <w:t>.</w:t>
      </w:r>
      <w:r w:rsidRPr="009A69F8">
        <w:t>1,450.0 millones hacia el Crédito Hipotecario Nacional (CHN) para iniciar con la ejecución de los préstamos correspondientes y el fondo de protección de empleo a cargo de</w:t>
      </w:r>
      <w:r w:rsidR="00DE6BA9">
        <w:t>l Ministerio de</w:t>
      </w:r>
      <w:r w:rsidRPr="009A69F8">
        <w:t xml:space="preserve"> Economía con una ejecución de Q</w:t>
      </w:r>
      <w:r w:rsidR="00DE6BA9">
        <w:t>.</w:t>
      </w:r>
      <w:r w:rsidRPr="009A69F8">
        <w:t>506.5 millones.</w:t>
      </w:r>
    </w:p>
    <w:p w:rsidR="00DB0F04" w:rsidRPr="00641C41" w:rsidRDefault="00DB0F04" w:rsidP="00DB0F04">
      <w:pPr>
        <w:jc w:val="both"/>
        <w:rPr>
          <w:sz w:val="28"/>
        </w:rPr>
      </w:pPr>
    </w:p>
    <w:p w:rsidR="00DB0F04" w:rsidRPr="009A69F8" w:rsidRDefault="00DB0F04" w:rsidP="00DB0F04">
      <w:pPr>
        <w:jc w:val="both"/>
      </w:pPr>
      <w:r w:rsidRPr="009A69F8">
        <w:t xml:space="preserve">Respecto </w:t>
      </w:r>
      <w:r w:rsidR="00C76B18">
        <w:t>de</w:t>
      </w:r>
      <w:r w:rsidRPr="009A69F8">
        <w:t xml:space="preserve"> los Q</w:t>
      </w:r>
      <w:r w:rsidR="00C76B18">
        <w:t>.</w:t>
      </w:r>
      <w:r w:rsidRPr="009A69F8">
        <w:t>270</w:t>
      </w:r>
      <w:r w:rsidR="00C76B18">
        <w:t>.0</w:t>
      </w:r>
      <w:r w:rsidRPr="009A69F8">
        <w:t xml:space="preserve"> millones contemplados en el Decreto</w:t>
      </w:r>
      <w:r w:rsidR="00C76B18">
        <w:t xml:space="preserve"> No.</w:t>
      </w:r>
      <w:r w:rsidRPr="009A69F8">
        <w:t xml:space="preserve"> 13-2020 como aporte al Instituto Nacional de Electrificación (INDE) para consumidores de energía eléctrica hasta 300 kw/h, este ya </w:t>
      </w:r>
      <w:r w:rsidR="00C76B18">
        <w:t>fue trasladado a la institución en su totalidad.</w:t>
      </w:r>
    </w:p>
    <w:p w:rsidR="00DB0F04" w:rsidRPr="00641C41" w:rsidRDefault="00DB0F04" w:rsidP="00DB0F04">
      <w:pPr>
        <w:jc w:val="both"/>
        <w:rPr>
          <w:sz w:val="28"/>
        </w:rPr>
      </w:pPr>
    </w:p>
    <w:p w:rsidR="00DB0F04" w:rsidRPr="009A69F8" w:rsidRDefault="00DB0F04" w:rsidP="00DB0F04">
      <w:pPr>
        <w:jc w:val="both"/>
      </w:pPr>
      <w:r w:rsidRPr="009A69F8">
        <w:t>Por su parte, actividades importantes como la compra de insumos diversos por parte de</w:t>
      </w:r>
      <w:r w:rsidR="00C76B18">
        <w:t>l Ministerio de</w:t>
      </w:r>
      <w:r w:rsidRPr="009A69F8">
        <w:t xml:space="preserve"> Salud Pública y Asistencia Social</w:t>
      </w:r>
      <w:r w:rsidR="00C76B18">
        <w:t>,</w:t>
      </w:r>
      <w:r w:rsidRPr="009A69F8">
        <w:t xml:space="preserve"> reportan una baja ejecución, únicamente de Q</w:t>
      </w:r>
      <w:r w:rsidR="00C76B18">
        <w:t>.</w:t>
      </w:r>
      <w:r w:rsidRPr="009A69F8">
        <w:t>136.2 millones (8.0%)</w:t>
      </w:r>
      <w:r w:rsidR="00C76B18">
        <w:t>;</w:t>
      </w:r>
      <w:r w:rsidRPr="009A69F8">
        <w:t xml:space="preserve"> el aporte para el adulto mayor </w:t>
      </w:r>
      <w:r w:rsidR="00C76B18">
        <w:t>tuvo</w:t>
      </w:r>
      <w:r w:rsidRPr="009A69F8">
        <w:t xml:space="preserve"> una ampliación para aumentar la cobertura, pero a junio</w:t>
      </w:r>
      <w:r w:rsidR="00C76B18">
        <w:t xml:space="preserve"> de 2020</w:t>
      </w:r>
      <w:r w:rsidRPr="009A69F8">
        <w:t xml:space="preserve"> </w:t>
      </w:r>
      <w:r w:rsidR="00C76B18">
        <w:t xml:space="preserve">se </w:t>
      </w:r>
      <w:r w:rsidRPr="009A69F8">
        <w:t>reporta una ejecución únicamente de Q</w:t>
      </w:r>
      <w:r w:rsidR="00C76B18">
        <w:t>.</w:t>
      </w:r>
      <w:r w:rsidRPr="009A69F8">
        <w:t xml:space="preserve">2.6 millones y respecto </w:t>
      </w:r>
      <w:r w:rsidR="00C76B18">
        <w:t>de</w:t>
      </w:r>
      <w:r w:rsidRPr="009A69F8">
        <w:t xml:space="preserve"> otras intervenciones a cargo de diversas entidades</w:t>
      </w:r>
      <w:r w:rsidR="00C76B18">
        <w:t>, se</w:t>
      </w:r>
      <w:r w:rsidRPr="009A69F8">
        <w:t xml:space="preserve"> reporta una ejecución de Q</w:t>
      </w:r>
      <w:r w:rsidR="00C76B18">
        <w:t>.</w:t>
      </w:r>
      <w:r w:rsidRPr="009A69F8">
        <w:t>8.0 millones.</w:t>
      </w:r>
    </w:p>
    <w:p w:rsidR="00DB0F04" w:rsidRPr="00641C41" w:rsidRDefault="00DB0F04" w:rsidP="00DB0F04">
      <w:pPr>
        <w:jc w:val="both"/>
        <w:rPr>
          <w:sz w:val="28"/>
        </w:rPr>
      </w:pPr>
    </w:p>
    <w:p w:rsidR="00DB0F04" w:rsidRPr="009A69F8" w:rsidRDefault="00DB0F04" w:rsidP="00DB0F04">
      <w:pPr>
        <w:jc w:val="both"/>
      </w:pPr>
      <w:r w:rsidRPr="009A69F8">
        <w:t>Por último, en cuatro actividades relacionadas a la emergencia para la atención de los efectos del C</w:t>
      </w:r>
      <w:r w:rsidR="00FA4814">
        <w:t>ovid</w:t>
      </w:r>
      <w:r w:rsidRPr="009A69F8">
        <w:t xml:space="preserve">-19 la ejecución es nula, como es el caso de la bolsa de alimentos para el área urbana y </w:t>
      </w:r>
      <w:r w:rsidR="00FA4814">
        <w:t xml:space="preserve">para el área </w:t>
      </w:r>
      <w:r w:rsidRPr="009A69F8">
        <w:t>rural, a cargo de</w:t>
      </w:r>
      <w:r w:rsidR="00FA4814">
        <w:t xml:space="preserve"> los Ministerio de</w:t>
      </w:r>
      <w:r w:rsidRPr="009A69F8">
        <w:t xml:space="preserve"> Desarrollo Social y </w:t>
      </w:r>
      <w:r w:rsidR="00FA4814">
        <w:t xml:space="preserve">de </w:t>
      </w:r>
      <w:r w:rsidRPr="009A69F8">
        <w:t>Agricultura,</w:t>
      </w:r>
      <w:r w:rsidR="00FA4814">
        <w:t xml:space="preserve"> Ganadería y Alimentación,</w:t>
      </w:r>
      <w:r w:rsidRPr="009A69F8">
        <w:t xml:space="preserve"> respectivamente; el fondo para las micro, pequeñas y medianas empresas, creado para otorgar créditos que se colocar</w:t>
      </w:r>
      <w:r w:rsidR="00FA4814">
        <w:t>á</w:t>
      </w:r>
      <w:r w:rsidRPr="009A69F8">
        <w:t>n con tasas de interés preferenciales, a fin de fomentar el emprendimiento de los pequeños y medianos empresarios a cargo de</w:t>
      </w:r>
      <w:r w:rsidR="00FA4814">
        <w:t>l Ministerio de</w:t>
      </w:r>
      <w:r w:rsidRPr="009A69F8">
        <w:t xml:space="preserve"> Economía; y el apoyo a la agricultura campesina a cargo de</w:t>
      </w:r>
      <w:r w:rsidR="00FA4814">
        <w:t>l Ministerio de</w:t>
      </w:r>
      <w:r w:rsidRPr="009A69F8">
        <w:t xml:space="preserve"> Agricultura, Ganadería y Alimentación.</w:t>
      </w:r>
    </w:p>
    <w:p w:rsidR="00DB0F04" w:rsidRPr="00641C41" w:rsidRDefault="00DB0F04" w:rsidP="00DB0F04">
      <w:pPr>
        <w:jc w:val="both"/>
        <w:rPr>
          <w:sz w:val="28"/>
        </w:rPr>
      </w:pPr>
    </w:p>
    <w:p w:rsidR="00DB0F04" w:rsidRDefault="00DB0F04" w:rsidP="00DB0F04">
      <w:pPr>
        <w:autoSpaceDE w:val="0"/>
        <w:autoSpaceDN w:val="0"/>
        <w:adjustRightInd w:val="0"/>
        <w:jc w:val="both"/>
      </w:pPr>
      <w:r w:rsidRPr="009A69F8">
        <w:t>La estimación de cierre para el presente ejercicio fiscal se ubicaría en Q</w:t>
      </w:r>
      <w:r w:rsidR="00C21E2E">
        <w:t>.</w:t>
      </w:r>
      <w:r>
        <w:t>97</w:t>
      </w:r>
      <w:r w:rsidRPr="009A69F8">
        <w:t>,</w:t>
      </w:r>
      <w:r>
        <w:t>671</w:t>
      </w:r>
      <w:r w:rsidRPr="009A69F8">
        <w:t>.</w:t>
      </w:r>
      <w:r>
        <w:t>2</w:t>
      </w:r>
      <w:r w:rsidRPr="009A69F8">
        <w:t xml:space="preserve"> millones, alcanzando una ejecución de</w:t>
      </w:r>
      <w:r w:rsidR="00C21E2E">
        <w:t>l</w:t>
      </w:r>
      <w:r w:rsidRPr="009A69F8">
        <w:t xml:space="preserve"> 9</w:t>
      </w:r>
      <w:r>
        <w:t>0</w:t>
      </w:r>
      <w:r w:rsidRPr="009A69F8">
        <w:t>.</w:t>
      </w:r>
      <w:r>
        <w:t>6</w:t>
      </w:r>
      <w:r w:rsidRPr="009A69F8">
        <w:t>%.</w:t>
      </w:r>
    </w:p>
    <w:p w:rsidR="00DB0F04" w:rsidRPr="00641C41" w:rsidRDefault="00DB0F04" w:rsidP="00DB0F04">
      <w:pPr>
        <w:autoSpaceDE w:val="0"/>
        <w:autoSpaceDN w:val="0"/>
        <w:adjustRightInd w:val="0"/>
        <w:jc w:val="both"/>
        <w:rPr>
          <w:sz w:val="28"/>
        </w:rPr>
      </w:pPr>
    </w:p>
    <w:p w:rsidR="00AF19D7" w:rsidRPr="00641C41" w:rsidRDefault="00AF19D7" w:rsidP="00DB0F04">
      <w:pPr>
        <w:autoSpaceDE w:val="0"/>
        <w:autoSpaceDN w:val="0"/>
        <w:adjustRightInd w:val="0"/>
        <w:jc w:val="both"/>
        <w:rPr>
          <w:sz w:val="28"/>
        </w:rPr>
      </w:pPr>
    </w:p>
    <w:p w:rsidR="00DB0F04" w:rsidRDefault="00DB0F04" w:rsidP="00F073BE">
      <w:pPr>
        <w:pStyle w:val="Prrafodelista"/>
        <w:numPr>
          <w:ilvl w:val="0"/>
          <w:numId w:val="9"/>
        </w:numPr>
        <w:autoSpaceDE w:val="0"/>
        <w:autoSpaceDN w:val="0"/>
        <w:adjustRightInd w:val="0"/>
        <w:contextualSpacing/>
        <w:jc w:val="both"/>
        <w:rPr>
          <w:b/>
        </w:rPr>
      </w:pPr>
      <w:r>
        <w:rPr>
          <w:b/>
        </w:rPr>
        <w:t>Gasto por Finalidad</w:t>
      </w:r>
    </w:p>
    <w:p w:rsidR="00DB0F04" w:rsidRDefault="00DB0F04" w:rsidP="00DB0F04">
      <w:pPr>
        <w:autoSpaceDE w:val="0"/>
        <w:autoSpaceDN w:val="0"/>
        <w:adjustRightInd w:val="0"/>
        <w:jc w:val="both"/>
        <w:rPr>
          <w:b/>
        </w:rPr>
      </w:pPr>
    </w:p>
    <w:p w:rsidR="00DB0F04" w:rsidRDefault="00DB0F04" w:rsidP="00DB0F04">
      <w:pPr>
        <w:autoSpaceDE w:val="0"/>
        <w:autoSpaceDN w:val="0"/>
        <w:adjustRightInd w:val="0"/>
        <w:jc w:val="both"/>
      </w:pPr>
      <w:r>
        <w:t xml:space="preserve">La finalidad del gasto, permite visualizar el gasto público de acuerdo a la naturaleza de los servicios públicos que las entidades que conforman la Administración Central prestan a la ciudadanía. Los gastos se encuentran clasificados por finalidad para determinar objetivos generales de la política de gobierno y la ejecución que se muestra en los diferentes rubros da cuenta de </w:t>
      </w:r>
      <w:r w:rsidR="00F77A33">
        <w:t>su</w:t>
      </w:r>
      <w:r>
        <w:t xml:space="preserve"> priorización.</w:t>
      </w:r>
    </w:p>
    <w:p w:rsidR="00DB0F04" w:rsidRDefault="00DB0F04" w:rsidP="00DB0F04">
      <w:pPr>
        <w:autoSpaceDE w:val="0"/>
        <w:autoSpaceDN w:val="0"/>
        <w:adjustRightInd w:val="0"/>
        <w:jc w:val="both"/>
      </w:pPr>
    </w:p>
    <w:p w:rsidR="000D54D4" w:rsidRDefault="000D54D4" w:rsidP="00DB0F04">
      <w:pPr>
        <w:autoSpaceDE w:val="0"/>
        <w:autoSpaceDN w:val="0"/>
        <w:adjustRightInd w:val="0"/>
        <w:jc w:val="both"/>
      </w:pPr>
    </w:p>
    <w:p w:rsidR="000D54D4" w:rsidRPr="000D54D4" w:rsidRDefault="000D54D4" w:rsidP="00DB0F04">
      <w:pPr>
        <w:autoSpaceDE w:val="0"/>
        <w:autoSpaceDN w:val="0"/>
        <w:adjustRightInd w:val="0"/>
        <w:jc w:val="both"/>
        <w:rPr>
          <w:sz w:val="28"/>
        </w:rPr>
      </w:pPr>
    </w:p>
    <w:p w:rsidR="00DB0F04" w:rsidRDefault="00DB0F04" w:rsidP="00DB0F04">
      <w:pPr>
        <w:jc w:val="both"/>
      </w:pPr>
      <w:r w:rsidRPr="009669B7">
        <w:t>La estimación de cierre de</w:t>
      </w:r>
      <w:r w:rsidR="00F77A33">
        <w:t>l</w:t>
      </w:r>
      <w:r w:rsidRPr="009669B7">
        <w:t xml:space="preserve"> año</w:t>
      </w:r>
      <w:r w:rsidR="00F77A33">
        <w:t xml:space="preserve"> 2020</w:t>
      </w:r>
      <w:r w:rsidRPr="009669B7">
        <w:t xml:space="preserve"> da cuenta que la mayoría de finalidades reportan una ejecución superior al </w:t>
      </w:r>
      <w:r>
        <w:t>75</w:t>
      </w:r>
      <w:r w:rsidR="00F77A33">
        <w:t>.0</w:t>
      </w:r>
      <w:r w:rsidRPr="009669B7">
        <w:t>%</w:t>
      </w:r>
      <w:r w:rsidR="00F77A33">
        <w:t>. D</w:t>
      </w:r>
      <w:r>
        <w:t>urante el presente ejercicio fiscal cobr</w:t>
      </w:r>
      <w:r w:rsidR="00F77A33">
        <w:t>ó</w:t>
      </w:r>
      <w:r>
        <w:t xml:space="preserve"> relevancia la finalidad “Atención a Desastres y Gestión de Riesgos” ya que en esta finalidad se concentran los esfuerzos de la Administración Central por dar respuesta a los efectos negativos tanto sanitarios como económicos causados por la pandemia </w:t>
      </w:r>
      <w:r w:rsidR="00F77A33">
        <w:t>del Covid</w:t>
      </w:r>
      <w:r>
        <w:t>-19</w:t>
      </w:r>
      <w:r w:rsidR="00F77A33">
        <w:t>;</w:t>
      </w:r>
      <w:r>
        <w:t xml:space="preserve"> de esa cuenta</w:t>
      </w:r>
      <w:r w:rsidR="00F77A33">
        <w:t>,</w:t>
      </w:r>
      <w:r>
        <w:t xml:space="preserve"> dicha finalidad pas</w:t>
      </w:r>
      <w:r w:rsidR="00F77A33">
        <w:t>ó</w:t>
      </w:r>
      <w:r>
        <w:t xml:space="preserve"> de tener un presupuesto inicial de Q</w:t>
      </w:r>
      <w:r w:rsidR="00F77A33">
        <w:t>.</w:t>
      </w:r>
      <w:r>
        <w:t>600.4 millones a Q</w:t>
      </w:r>
      <w:r w:rsidR="00F77A33">
        <w:t>.</w:t>
      </w:r>
      <w:r>
        <w:t>14,870.2 millones, aunque a junio</w:t>
      </w:r>
      <w:r w:rsidR="00F77A33">
        <w:t xml:space="preserve"> de 2020</w:t>
      </w:r>
      <w:r>
        <w:t xml:space="preserve"> únicamente reportaba una ejecución de</w:t>
      </w:r>
      <w:r w:rsidR="00F77A33">
        <w:t>l</w:t>
      </w:r>
      <w:r>
        <w:t xml:space="preserve"> 28.6%</w:t>
      </w:r>
      <w:r w:rsidR="00F77A33">
        <w:t>. S</w:t>
      </w:r>
      <w:r>
        <w:t xml:space="preserve">e espera que para el segundo semestre del año la ejecución en esta finalidad sea más dinámica, dado que a junio prácticamente se contaba con dos meses de ejecución del Programa 94 </w:t>
      </w:r>
      <w:r w:rsidRPr="00003BA5">
        <w:t>“Atención por desastres naturales y Calamidades Públicas” y subprograma 09 “Estado de Calamidad Pública por Emergencia C</w:t>
      </w:r>
      <w:r w:rsidR="00F77A33">
        <w:t>ovid</w:t>
      </w:r>
      <w:r w:rsidRPr="00003BA5">
        <w:t>-19 (DG 5-2020)”.</w:t>
      </w:r>
    </w:p>
    <w:p w:rsidR="00094BD4" w:rsidRPr="00003BA5" w:rsidRDefault="00094BD4" w:rsidP="00DB0F04">
      <w:pPr>
        <w:jc w:val="both"/>
      </w:pPr>
    </w:p>
    <w:p w:rsidR="00DB0F04" w:rsidRDefault="00DB0F04" w:rsidP="00DB0F04">
      <w:pPr>
        <w:autoSpaceDE w:val="0"/>
        <w:autoSpaceDN w:val="0"/>
        <w:adjustRightInd w:val="0"/>
        <w:jc w:val="both"/>
      </w:pPr>
      <w:r>
        <w:t>Por su parte, las</w:t>
      </w:r>
      <w:r w:rsidRPr="009669B7">
        <w:t xml:space="preserve"> finalidades encargadas de brindar los servicios básicos a la población se encuentran liderando la ejecución </w:t>
      </w:r>
      <w:r>
        <w:t>a junio</w:t>
      </w:r>
      <w:r w:rsidR="00F77A33">
        <w:t xml:space="preserve"> de 2020</w:t>
      </w:r>
      <w:r>
        <w:t>, tal es el caso de Educación (43.5%), Protección Social (42.3%), Urbanización y Servicios Comunitarios (42.2%) y Orden Público y Seguridad Ciudadana (40.0%). Mientras la finalidad relacionada a las Transacciones de la Deuda Pública es la que encabeza el nivel de ejecución (43.6%) y aunque no está relacionada a la prestación de servicios públicos, es muy importante dado que demuestra el compromiso del Gobierno de Guatemala por hacer frente a sus compromisos de pagos de deuda pública, lo cual le da credibilidad ante sus acreedores nacionales e internacionales.</w:t>
      </w:r>
    </w:p>
    <w:p w:rsidR="00DB0F04" w:rsidRPr="000D54D4" w:rsidRDefault="00DB0F04" w:rsidP="00DB0F04">
      <w:pPr>
        <w:autoSpaceDE w:val="0"/>
        <w:autoSpaceDN w:val="0"/>
        <w:adjustRightInd w:val="0"/>
        <w:jc w:val="both"/>
        <w:rPr>
          <w:sz w:val="28"/>
        </w:rPr>
      </w:pPr>
    </w:p>
    <w:p w:rsidR="00DB0F04" w:rsidRDefault="00DB0F04" w:rsidP="00DB0F04">
      <w:pPr>
        <w:autoSpaceDE w:val="0"/>
        <w:autoSpaceDN w:val="0"/>
        <w:adjustRightInd w:val="0"/>
        <w:jc w:val="both"/>
      </w:pPr>
      <w:r w:rsidRPr="009669B7">
        <w:t xml:space="preserve">Mientras que las finalidades que </w:t>
      </w:r>
      <w:r>
        <w:t>reportan una ejecución baja son: Protección Ambiental (21.2%) y Asuntos Económicos (30.2%).</w:t>
      </w:r>
    </w:p>
    <w:p w:rsidR="00DB0F04" w:rsidRPr="000D54D4" w:rsidRDefault="00DB0F04" w:rsidP="00DB0F04">
      <w:pPr>
        <w:autoSpaceDE w:val="0"/>
        <w:autoSpaceDN w:val="0"/>
        <w:adjustRightInd w:val="0"/>
        <w:jc w:val="both"/>
        <w:rPr>
          <w:sz w:val="28"/>
        </w:rPr>
      </w:pPr>
    </w:p>
    <w:p w:rsidR="00DB0F04" w:rsidRDefault="00DB0F04" w:rsidP="00DB0F04">
      <w:pPr>
        <w:autoSpaceDE w:val="0"/>
        <w:autoSpaceDN w:val="0"/>
        <w:adjustRightInd w:val="0"/>
        <w:jc w:val="both"/>
      </w:pPr>
      <w:r>
        <w:t>En ese sentido, se puede observar que la finalidad que tiene una mayor importancia en el presupuesto es Educación (Q</w:t>
      </w:r>
      <w:r w:rsidR="00F77A33">
        <w:t>.</w:t>
      </w:r>
      <w:r>
        <w:t>21,346.8 millones)</w:t>
      </w:r>
      <w:r w:rsidR="00F77A33">
        <w:t>,</w:t>
      </w:r>
      <w:r>
        <w:t xml:space="preserve"> representando cerca del 19.8% del monto total del presupuesto de 2020</w:t>
      </w:r>
      <w:r w:rsidR="00F77A33">
        <w:t>,</w:t>
      </w:r>
      <w:r>
        <w:t xml:space="preserve"> y al finalizar el año se espera que la ejecución en esta finalidad se encuentre por arriba del 90</w:t>
      </w:r>
      <w:r w:rsidR="00F77A33">
        <w:t>.0</w:t>
      </w:r>
      <w:r>
        <w:t>%. Asimismo, la Atención de Desastres y Gestión de Riesgos es la segunda finalidad por importancia</w:t>
      </w:r>
      <w:r w:rsidR="00F77A33">
        <w:t>,</w:t>
      </w:r>
      <w:r>
        <w:t xml:space="preserve"> respecto </w:t>
      </w:r>
      <w:r w:rsidR="00F77A33">
        <w:t>del</w:t>
      </w:r>
      <w:r>
        <w:t xml:space="preserve"> presupuesto, representando el 13.8% del monto total del presupuesto</w:t>
      </w:r>
      <w:r w:rsidR="00F77A33">
        <w:t>;</w:t>
      </w:r>
      <w:r>
        <w:t xml:space="preserve"> no obstante, hay que tener en cuenta que varias de las actividades contempladas dentro del programa 94 son de carácter único y temporal</w:t>
      </w:r>
      <w:r w:rsidR="00F77A33">
        <w:t>;</w:t>
      </w:r>
      <w:r>
        <w:t xml:space="preserve"> por ello se espera que para 2021 esta finalidad tenga un presupuesto más acorde a su asignación </w:t>
      </w:r>
      <w:r w:rsidR="00F77A33">
        <w:t xml:space="preserve">y ejecución </w:t>
      </w:r>
      <w:r>
        <w:t>histórica</w:t>
      </w:r>
      <w:r w:rsidR="00F77A33">
        <w:t>s</w:t>
      </w:r>
      <w:r>
        <w:t>.</w:t>
      </w:r>
    </w:p>
    <w:p w:rsidR="00DB0F04" w:rsidRPr="000D54D4" w:rsidRDefault="00DB0F04" w:rsidP="00DB0F04">
      <w:pPr>
        <w:autoSpaceDE w:val="0"/>
        <w:autoSpaceDN w:val="0"/>
        <w:adjustRightInd w:val="0"/>
        <w:jc w:val="both"/>
        <w:rPr>
          <w:sz w:val="28"/>
        </w:rPr>
      </w:pPr>
    </w:p>
    <w:p w:rsidR="00DB0F04" w:rsidRDefault="00DB0F04" w:rsidP="00DB0F04">
      <w:pPr>
        <w:autoSpaceDE w:val="0"/>
        <w:autoSpaceDN w:val="0"/>
        <w:adjustRightInd w:val="0"/>
        <w:jc w:val="both"/>
      </w:pPr>
      <w:r>
        <w:t xml:space="preserve">Por su parte, la finalidad de </w:t>
      </w:r>
      <w:r w:rsidR="00F77A33">
        <w:t>O</w:t>
      </w:r>
      <w:r>
        <w:t xml:space="preserve">rden </w:t>
      </w:r>
      <w:r w:rsidR="00F77A33">
        <w:t>P</w:t>
      </w:r>
      <w:r>
        <w:t xml:space="preserve">úblico y </w:t>
      </w:r>
      <w:r w:rsidR="00F77A33">
        <w:t>S</w:t>
      </w:r>
      <w:r>
        <w:t xml:space="preserve">eguridad </w:t>
      </w:r>
      <w:r w:rsidR="00F77A33">
        <w:t>C</w:t>
      </w:r>
      <w:r>
        <w:t>iudadana, tiene una asignación de Q</w:t>
      </w:r>
      <w:r w:rsidR="00F77A33">
        <w:t>.</w:t>
      </w:r>
      <w:r>
        <w:t>11,412.4 millones, equivalente</w:t>
      </w:r>
      <w:r w:rsidR="00F77A33">
        <w:t>s</w:t>
      </w:r>
      <w:r>
        <w:t xml:space="preserve"> al 10.6% del presupuesto, mostrando también la prioridad del gobierno en fortalecer la seguridad y la justicia. Al finalizar el año se espera que esta finalidad reporte una ejecución superior al 90</w:t>
      </w:r>
      <w:r w:rsidR="00F77A33">
        <w:t>.0</w:t>
      </w:r>
      <w:r>
        <w:t>%.</w:t>
      </w:r>
    </w:p>
    <w:p w:rsidR="00DB0F04" w:rsidRPr="000D54D4" w:rsidRDefault="00DB0F04" w:rsidP="00DB0F04">
      <w:pPr>
        <w:autoSpaceDE w:val="0"/>
        <w:autoSpaceDN w:val="0"/>
        <w:adjustRightInd w:val="0"/>
        <w:jc w:val="both"/>
        <w:rPr>
          <w:sz w:val="28"/>
        </w:rPr>
      </w:pPr>
    </w:p>
    <w:p w:rsidR="00DB0F04" w:rsidRDefault="00DB0F04" w:rsidP="00DB0F04">
      <w:pPr>
        <w:autoSpaceDE w:val="0"/>
        <w:autoSpaceDN w:val="0"/>
        <w:adjustRightInd w:val="0"/>
        <w:jc w:val="both"/>
      </w:pPr>
      <w:r>
        <w:t xml:space="preserve">Respecto </w:t>
      </w:r>
      <w:r w:rsidR="00F77A33">
        <w:t>de</w:t>
      </w:r>
      <w:r>
        <w:t xml:space="preserve"> las finalidades relacionadas a </w:t>
      </w:r>
      <w:r w:rsidRPr="004E60C9">
        <w:t>la Protección Ambiental y la</w:t>
      </w:r>
      <w:r>
        <w:t>s</w:t>
      </w:r>
      <w:r w:rsidRPr="004E60C9">
        <w:t xml:space="preserve"> A</w:t>
      </w:r>
      <w:r>
        <w:t>ctividades Deportivas, Recreativas, Cultura y Religión</w:t>
      </w:r>
      <w:r w:rsidR="00F77A33">
        <w:t>,</w:t>
      </w:r>
      <w:r>
        <w:t xml:space="preserve"> dado el bajo nivel de dinamismo en el comportamiento de la ejecución a junio</w:t>
      </w:r>
      <w:r w:rsidR="00F77A33">
        <w:t xml:space="preserve"> de 2020</w:t>
      </w:r>
      <w:r>
        <w:t>, se espera que sean las finalidades que reporten niveles de ejecución por debajo del 80</w:t>
      </w:r>
      <w:r w:rsidR="00F77A33">
        <w:t>.0</w:t>
      </w:r>
      <w:r>
        <w:t>%.</w:t>
      </w:r>
    </w:p>
    <w:p w:rsidR="008F51F0" w:rsidRDefault="008F51F0" w:rsidP="00DB0F04">
      <w:pPr>
        <w:autoSpaceDE w:val="0"/>
        <w:autoSpaceDN w:val="0"/>
        <w:adjustRightInd w:val="0"/>
        <w:jc w:val="both"/>
        <w:rPr>
          <w:sz w:val="16"/>
        </w:rPr>
      </w:pPr>
    </w:p>
    <w:p w:rsidR="008F51F0" w:rsidRDefault="008F51F0" w:rsidP="00DB0F04">
      <w:pPr>
        <w:autoSpaceDE w:val="0"/>
        <w:autoSpaceDN w:val="0"/>
        <w:adjustRightInd w:val="0"/>
        <w:jc w:val="both"/>
        <w:rPr>
          <w:sz w:val="16"/>
        </w:rPr>
      </w:pPr>
    </w:p>
    <w:p w:rsidR="008F51F0" w:rsidRDefault="008F51F0" w:rsidP="00DB0F04">
      <w:pPr>
        <w:autoSpaceDE w:val="0"/>
        <w:autoSpaceDN w:val="0"/>
        <w:adjustRightInd w:val="0"/>
        <w:jc w:val="both"/>
        <w:rPr>
          <w:sz w:val="16"/>
        </w:rPr>
      </w:pPr>
    </w:p>
    <w:p w:rsidR="000817BB" w:rsidRDefault="00AF5E1C" w:rsidP="00C7496E">
      <w:pPr>
        <w:pStyle w:val="Epgrafe"/>
        <w:keepNext/>
        <w:tabs>
          <w:tab w:val="left" w:pos="2385"/>
          <w:tab w:val="center" w:pos="4419"/>
        </w:tabs>
        <w:spacing w:after="0"/>
        <w:jc w:val="center"/>
        <w:rPr>
          <w:rFonts w:ascii="Times New Roman" w:hAnsi="Times New Roman" w:cs="Times New Roman"/>
          <w:b/>
          <w:i w:val="0"/>
          <w:color w:val="auto"/>
          <w:sz w:val="24"/>
          <w:szCs w:val="24"/>
        </w:rPr>
      </w:pPr>
      <w:r>
        <w:rPr>
          <w:rFonts w:ascii="Times New Roman" w:hAnsi="Times New Roman" w:cs="Times New Roman"/>
          <w:b/>
          <w:i w:val="0"/>
          <w:color w:val="auto"/>
          <w:sz w:val="24"/>
          <w:szCs w:val="24"/>
        </w:rPr>
        <w:lastRenderedPageBreak/>
        <w:t>Cuadro 23</w:t>
      </w:r>
    </w:p>
    <w:p w:rsidR="00C7496E" w:rsidRPr="00221E17" w:rsidRDefault="009B6C2F" w:rsidP="00C7496E">
      <w:pPr>
        <w:pStyle w:val="Epgrafe"/>
        <w:keepNext/>
        <w:tabs>
          <w:tab w:val="left" w:pos="2385"/>
          <w:tab w:val="center" w:pos="4419"/>
        </w:tabs>
        <w:spacing w:after="0"/>
        <w:jc w:val="center"/>
        <w:rPr>
          <w:rFonts w:ascii="Times New Roman" w:hAnsi="Times New Roman" w:cs="Times New Roman"/>
          <w:b/>
          <w:i w:val="0"/>
          <w:color w:val="auto"/>
          <w:sz w:val="24"/>
          <w:szCs w:val="24"/>
        </w:rPr>
      </w:pPr>
      <w:r>
        <w:rPr>
          <w:rFonts w:ascii="Times New Roman" w:hAnsi="Times New Roman" w:cs="Times New Roman"/>
          <w:b/>
          <w:i w:val="0"/>
          <w:color w:val="auto"/>
          <w:sz w:val="24"/>
          <w:szCs w:val="24"/>
        </w:rPr>
        <w:t>Presupuesto y Estimación de Gasto por Finalidad</w:t>
      </w:r>
    </w:p>
    <w:p w:rsidR="000817BB" w:rsidRDefault="009B6C2F" w:rsidP="00C7496E">
      <w:pPr>
        <w:jc w:val="center"/>
        <w:rPr>
          <w:b/>
          <w:bCs/>
          <w:lang w:val="es-GT"/>
        </w:rPr>
      </w:pPr>
      <w:r>
        <w:rPr>
          <w:b/>
        </w:rPr>
        <w:t>Ejercicio Fiscal 2020</w:t>
      </w:r>
    </w:p>
    <w:p w:rsidR="00C7496E" w:rsidRPr="00221E17" w:rsidRDefault="000817BB" w:rsidP="00C7496E">
      <w:pPr>
        <w:jc w:val="center"/>
        <w:rPr>
          <w:b/>
          <w:bCs/>
        </w:rPr>
      </w:pPr>
      <w:r>
        <w:rPr>
          <w:b/>
          <w:bCs/>
        </w:rPr>
        <w:t>(</w:t>
      </w:r>
      <w:r w:rsidR="009B6C2F">
        <w:rPr>
          <w:b/>
          <w:bCs/>
        </w:rPr>
        <w:t>Cifras en Millones de Quetzales)</w:t>
      </w:r>
    </w:p>
    <w:tbl>
      <w:tblPr>
        <w:tblW w:w="9214" w:type="dxa"/>
        <w:tblInd w:w="-72" w:type="dxa"/>
        <w:tblCellMar>
          <w:left w:w="70" w:type="dxa"/>
          <w:right w:w="70" w:type="dxa"/>
        </w:tblCellMar>
        <w:tblLook w:val="04A0" w:firstRow="1" w:lastRow="0" w:firstColumn="1" w:lastColumn="0" w:noHBand="0" w:noVBand="1"/>
      </w:tblPr>
      <w:tblGrid>
        <w:gridCol w:w="4678"/>
        <w:gridCol w:w="1560"/>
        <w:gridCol w:w="1417"/>
        <w:gridCol w:w="1559"/>
      </w:tblGrid>
      <w:tr w:rsidR="00C7496E" w:rsidRPr="00C7496E" w:rsidTr="00C7496E">
        <w:trPr>
          <w:trHeight w:val="630"/>
        </w:trPr>
        <w:tc>
          <w:tcPr>
            <w:tcW w:w="4678" w:type="dxa"/>
            <w:tcBorders>
              <w:top w:val="single" w:sz="8" w:space="0" w:color="auto"/>
              <w:left w:val="single" w:sz="8" w:space="0" w:color="auto"/>
              <w:bottom w:val="nil"/>
              <w:right w:val="single" w:sz="4" w:space="0" w:color="auto"/>
            </w:tcBorders>
            <w:shd w:val="clear" w:color="000000" w:fill="366092"/>
            <w:noWrap/>
            <w:vAlign w:val="center"/>
            <w:hideMark/>
          </w:tcPr>
          <w:p w:rsidR="00C7496E" w:rsidRPr="00C7496E" w:rsidRDefault="00C7496E" w:rsidP="00C7496E">
            <w:pPr>
              <w:jc w:val="center"/>
              <w:rPr>
                <w:b/>
                <w:bCs/>
                <w:color w:val="FFFFFF"/>
                <w:sz w:val="22"/>
                <w:lang w:val="es-GT" w:eastAsia="es-GT"/>
              </w:rPr>
            </w:pPr>
            <w:r w:rsidRPr="00C7496E">
              <w:rPr>
                <w:b/>
                <w:bCs/>
                <w:color w:val="FFFFFF"/>
                <w:sz w:val="22"/>
                <w:lang w:val="es-GT" w:eastAsia="es-GT"/>
              </w:rPr>
              <w:t>Finalidad</w:t>
            </w:r>
          </w:p>
        </w:tc>
        <w:tc>
          <w:tcPr>
            <w:tcW w:w="1560" w:type="dxa"/>
            <w:tcBorders>
              <w:top w:val="single" w:sz="8" w:space="0" w:color="auto"/>
              <w:left w:val="nil"/>
              <w:bottom w:val="nil"/>
              <w:right w:val="single" w:sz="4" w:space="0" w:color="auto"/>
            </w:tcBorders>
            <w:shd w:val="clear" w:color="000000" w:fill="366092"/>
            <w:noWrap/>
            <w:vAlign w:val="center"/>
            <w:hideMark/>
          </w:tcPr>
          <w:p w:rsidR="00C7496E" w:rsidRPr="00C7496E" w:rsidRDefault="00C7496E" w:rsidP="00C7496E">
            <w:pPr>
              <w:jc w:val="center"/>
              <w:rPr>
                <w:b/>
                <w:bCs/>
                <w:color w:val="FFFFFF"/>
                <w:sz w:val="22"/>
                <w:lang w:val="es-GT" w:eastAsia="es-GT"/>
              </w:rPr>
            </w:pPr>
            <w:r w:rsidRPr="00C7496E">
              <w:rPr>
                <w:b/>
                <w:bCs/>
                <w:color w:val="FFFFFF"/>
                <w:sz w:val="22"/>
                <w:lang w:val="es-GT" w:eastAsia="es-GT"/>
              </w:rPr>
              <w:t>Vigente</w:t>
            </w:r>
          </w:p>
        </w:tc>
        <w:tc>
          <w:tcPr>
            <w:tcW w:w="1417" w:type="dxa"/>
            <w:tcBorders>
              <w:top w:val="single" w:sz="8" w:space="0" w:color="auto"/>
              <w:left w:val="nil"/>
              <w:bottom w:val="nil"/>
              <w:right w:val="single" w:sz="4" w:space="0" w:color="auto"/>
            </w:tcBorders>
            <w:shd w:val="clear" w:color="000000" w:fill="366092"/>
            <w:vAlign w:val="center"/>
            <w:hideMark/>
          </w:tcPr>
          <w:p w:rsidR="00C7496E" w:rsidRPr="00C7496E" w:rsidRDefault="00C7496E" w:rsidP="00C7496E">
            <w:pPr>
              <w:jc w:val="center"/>
              <w:rPr>
                <w:b/>
                <w:bCs/>
                <w:color w:val="FFFFFF"/>
                <w:sz w:val="22"/>
                <w:lang w:val="es-GT" w:eastAsia="es-GT"/>
              </w:rPr>
            </w:pPr>
            <w:r w:rsidRPr="00C7496E">
              <w:rPr>
                <w:b/>
                <w:bCs/>
                <w:color w:val="FFFFFF"/>
                <w:sz w:val="22"/>
                <w:lang w:val="es-GT" w:eastAsia="es-GT"/>
              </w:rPr>
              <w:t>Ejecutado</w:t>
            </w:r>
          </w:p>
        </w:tc>
        <w:tc>
          <w:tcPr>
            <w:tcW w:w="1559" w:type="dxa"/>
            <w:tcBorders>
              <w:top w:val="single" w:sz="8" w:space="0" w:color="auto"/>
              <w:left w:val="nil"/>
              <w:bottom w:val="nil"/>
              <w:right w:val="single" w:sz="8" w:space="0" w:color="auto"/>
            </w:tcBorders>
            <w:shd w:val="clear" w:color="000000" w:fill="366092"/>
            <w:vAlign w:val="center"/>
            <w:hideMark/>
          </w:tcPr>
          <w:p w:rsidR="00C7496E" w:rsidRPr="00C7496E" w:rsidRDefault="00C7496E" w:rsidP="00E2162D">
            <w:pPr>
              <w:jc w:val="center"/>
              <w:rPr>
                <w:b/>
                <w:bCs/>
                <w:color w:val="FFFFFF"/>
                <w:sz w:val="22"/>
                <w:lang w:val="es-GT" w:eastAsia="es-GT"/>
              </w:rPr>
            </w:pPr>
            <w:r w:rsidRPr="00C7496E">
              <w:rPr>
                <w:b/>
                <w:bCs/>
                <w:color w:val="FFFFFF"/>
                <w:sz w:val="22"/>
                <w:lang w:val="es-GT" w:eastAsia="es-GT"/>
              </w:rPr>
              <w:t xml:space="preserve">Estimación de </w:t>
            </w:r>
            <w:r w:rsidR="00E2162D">
              <w:rPr>
                <w:b/>
                <w:bCs/>
                <w:color w:val="FFFFFF"/>
                <w:sz w:val="22"/>
                <w:lang w:val="es-GT" w:eastAsia="es-GT"/>
              </w:rPr>
              <w:t>C</w:t>
            </w:r>
            <w:r w:rsidRPr="00C7496E">
              <w:rPr>
                <w:b/>
                <w:bCs/>
                <w:color w:val="FFFFFF"/>
                <w:sz w:val="22"/>
                <w:lang w:val="es-GT" w:eastAsia="es-GT"/>
              </w:rPr>
              <w:t>ierre 2020</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000000" w:fill="D8E4BC"/>
            <w:noWrap/>
            <w:vAlign w:val="bottom"/>
            <w:hideMark/>
          </w:tcPr>
          <w:p w:rsidR="00C7496E" w:rsidRPr="00C7496E" w:rsidRDefault="00C7496E" w:rsidP="00C7496E">
            <w:pPr>
              <w:jc w:val="center"/>
              <w:rPr>
                <w:b/>
                <w:bCs/>
                <w:sz w:val="20"/>
                <w:szCs w:val="20"/>
                <w:lang w:val="es-GT" w:eastAsia="es-GT"/>
              </w:rPr>
            </w:pPr>
            <w:r w:rsidRPr="00C7496E">
              <w:rPr>
                <w:b/>
                <w:bCs/>
                <w:sz w:val="20"/>
                <w:szCs w:val="20"/>
                <w:lang w:val="es-GT" w:eastAsia="es-GT"/>
              </w:rPr>
              <w:t>Total</w:t>
            </w:r>
          </w:p>
        </w:tc>
        <w:tc>
          <w:tcPr>
            <w:tcW w:w="1560" w:type="dxa"/>
            <w:tcBorders>
              <w:top w:val="nil"/>
              <w:left w:val="nil"/>
              <w:bottom w:val="nil"/>
              <w:right w:val="single" w:sz="4" w:space="0" w:color="auto"/>
            </w:tcBorders>
            <w:shd w:val="clear" w:color="000000" w:fill="D8E4BC"/>
            <w:noWrap/>
            <w:vAlign w:val="bottom"/>
            <w:hideMark/>
          </w:tcPr>
          <w:p w:rsidR="00C7496E" w:rsidRPr="00C7496E" w:rsidRDefault="00C7496E" w:rsidP="00C7496E">
            <w:pPr>
              <w:jc w:val="center"/>
              <w:rPr>
                <w:b/>
                <w:bCs/>
                <w:sz w:val="20"/>
                <w:szCs w:val="20"/>
                <w:lang w:val="es-GT" w:eastAsia="es-GT"/>
              </w:rPr>
            </w:pPr>
            <w:r w:rsidRPr="00C7496E">
              <w:rPr>
                <w:b/>
                <w:bCs/>
                <w:sz w:val="20"/>
                <w:szCs w:val="20"/>
                <w:lang w:val="es-GT" w:eastAsia="es-GT"/>
              </w:rPr>
              <w:t>107,760.7</w:t>
            </w:r>
          </w:p>
        </w:tc>
        <w:tc>
          <w:tcPr>
            <w:tcW w:w="1417" w:type="dxa"/>
            <w:tcBorders>
              <w:top w:val="nil"/>
              <w:left w:val="nil"/>
              <w:bottom w:val="nil"/>
              <w:right w:val="single" w:sz="4" w:space="0" w:color="auto"/>
            </w:tcBorders>
            <w:shd w:val="clear" w:color="000000" w:fill="D8E4BC"/>
            <w:noWrap/>
            <w:vAlign w:val="bottom"/>
            <w:hideMark/>
          </w:tcPr>
          <w:p w:rsidR="00C7496E" w:rsidRPr="00C7496E" w:rsidRDefault="00C7496E" w:rsidP="00C7496E">
            <w:pPr>
              <w:jc w:val="center"/>
              <w:rPr>
                <w:b/>
                <w:bCs/>
                <w:sz w:val="20"/>
                <w:szCs w:val="20"/>
                <w:lang w:val="es-GT" w:eastAsia="es-GT"/>
              </w:rPr>
            </w:pPr>
            <w:r w:rsidRPr="00C7496E">
              <w:rPr>
                <w:b/>
                <w:bCs/>
                <w:sz w:val="20"/>
                <w:szCs w:val="20"/>
                <w:lang w:val="es-GT" w:eastAsia="es-GT"/>
              </w:rPr>
              <w:t>41,296.2</w:t>
            </w:r>
          </w:p>
        </w:tc>
        <w:tc>
          <w:tcPr>
            <w:tcW w:w="1559" w:type="dxa"/>
            <w:tcBorders>
              <w:top w:val="nil"/>
              <w:left w:val="nil"/>
              <w:bottom w:val="nil"/>
              <w:right w:val="single" w:sz="8" w:space="0" w:color="auto"/>
            </w:tcBorders>
            <w:shd w:val="clear" w:color="000000" w:fill="D8E4BC"/>
            <w:noWrap/>
            <w:vAlign w:val="bottom"/>
            <w:hideMark/>
          </w:tcPr>
          <w:p w:rsidR="00C7496E" w:rsidRPr="00C7496E" w:rsidRDefault="00C7496E" w:rsidP="00C7496E">
            <w:pPr>
              <w:jc w:val="center"/>
              <w:rPr>
                <w:b/>
                <w:bCs/>
                <w:sz w:val="20"/>
                <w:szCs w:val="20"/>
                <w:lang w:val="es-GT" w:eastAsia="es-GT"/>
              </w:rPr>
            </w:pPr>
            <w:r w:rsidRPr="00C7496E">
              <w:rPr>
                <w:b/>
                <w:bCs/>
                <w:sz w:val="20"/>
                <w:szCs w:val="20"/>
                <w:lang w:val="es-GT" w:eastAsia="es-GT"/>
              </w:rPr>
              <w:t>97,671.2</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S</w:t>
            </w:r>
            <w:r>
              <w:rPr>
                <w:sz w:val="20"/>
                <w:szCs w:val="20"/>
                <w:lang w:val="es-GT" w:eastAsia="es-GT"/>
              </w:rPr>
              <w:t>ervicios Públicos Generales</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5,789.3</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1,963.3</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4,920.9</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D</w:t>
            </w:r>
            <w:r>
              <w:rPr>
                <w:sz w:val="20"/>
                <w:szCs w:val="20"/>
                <w:lang w:val="es-GT" w:eastAsia="es-GT"/>
              </w:rPr>
              <w:t>efensa</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1,836.8</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671.3</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1,678.3</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O</w:t>
            </w:r>
            <w:r>
              <w:rPr>
                <w:sz w:val="20"/>
                <w:szCs w:val="20"/>
                <w:lang w:val="es-GT" w:eastAsia="es-GT"/>
              </w:rPr>
              <w:t>rden Público y Seguridad</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11,412.4</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4,565.1</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10,624.9</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A</w:t>
            </w:r>
            <w:r>
              <w:rPr>
                <w:sz w:val="20"/>
                <w:szCs w:val="20"/>
                <w:lang w:val="es-GT" w:eastAsia="es-GT"/>
              </w:rPr>
              <w:t>tención a Desastres y Gestión de Riesgos</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14,870.2</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4,259.8</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11,970.5</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A</w:t>
            </w:r>
            <w:r>
              <w:rPr>
                <w:sz w:val="20"/>
                <w:szCs w:val="20"/>
                <w:lang w:val="es-GT" w:eastAsia="es-GT"/>
              </w:rPr>
              <w:t>suntos Económicos</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8,493.4</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2,565.7</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6,981.6</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P</w:t>
            </w:r>
            <w:r>
              <w:rPr>
                <w:sz w:val="20"/>
                <w:szCs w:val="20"/>
                <w:lang w:val="es-GT" w:eastAsia="es-GT"/>
              </w:rPr>
              <w:t>rotección Ambiental</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1,749.3</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370.4</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1,339.4</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U</w:t>
            </w:r>
            <w:r>
              <w:rPr>
                <w:sz w:val="20"/>
                <w:szCs w:val="20"/>
                <w:lang w:val="es-GT" w:eastAsia="es-GT"/>
              </w:rPr>
              <w:t>rbanización y Servicios Comunitarios</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9,454.2</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3,988.4</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8,922.7</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S</w:t>
            </w:r>
            <w:r>
              <w:rPr>
                <w:sz w:val="20"/>
                <w:szCs w:val="20"/>
                <w:lang w:val="es-GT" w:eastAsia="es-GT"/>
              </w:rPr>
              <w:t>alud</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8,196.3</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3,134.4</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7,511.3</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A</w:t>
            </w:r>
            <w:r>
              <w:rPr>
                <w:sz w:val="20"/>
                <w:szCs w:val="20"/>
                <w:lang w:val="es-GT" w:eastAsia="es-GT"/>
              </w:rPr>
              <w:t>ctividades Deportivas, Recreativas, Cultura y Religión</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1,229.7</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411.6</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957.9</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E</w:t>
            </w:r>
            <w:r>
              <w:rPr>
                <w:sz w:val="20"/>
                <w:szCs w:val="20"/>
                <w:lang w:val="es-GT" w:eastAsia="es-GT"/>
              </w:rPr>
              <w:t>ducación</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21,346.8</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9,289.5</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20,012.9</w:t>
            </w:r>
          </w:p>
        </w:tc>
      </w:tr>
      <w:tr w:rsidR="00C7496E" w:rsidRPr="00C7496E" w:rsidTr="00C7496E">
        <w:trPr>
          <w:trHeight w:val="315"/>
        </w:trPr>
        <w:tc>
          <w:tcPr>
            <w:tcW w:w="4678" w:type="dxa"/>
            <w:tcBorders>
              <w:top w:val="nil"/>
              <w:left w:val="single" w:sz="8" w:space="0" w:color="auto"/>
              <w:bottom w:val="nil"/>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P</w:t>
            </w:r>
            <w:r>
              <w:rPr>
                <w:sz w:val="20"/>
                <w:szCs w:val="20"/>
                <w:lang w:val="es-GT" w:eastAsia="es-GT"/>
              </w:rPr>
              <w:t>rotección Social</w:t>
            </w:r>
          </w:p>
        </w:tc>
        <w:tc>
          <w:tcPr>
            <w:tcW w:w="1560"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8,771.3</w:t>
            </w:r>
          </w:p>
        </w:tc>
        <w:tc>
          <w:tcPr>
            <w:tcW w:w="1417" w:type="dxa"/>
            <w:tcBorders>
              <w:top w:val="nil"/>
              <w:left w:val="nil"/>
              <w:bottom w:val="nil"/>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3,707.0</w:t>
            </w:r>
          </w:p>
        </w:tc>
        <w:tc>
          <w:tcPr>
            <w:tcW w:w="1559" w:type="dxa"/>
            <w:tcBorders>
              <w:top w:val="nil"/>
              <w:left w:val="nil"/>
              <w:bottom w:val="nil"/>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8,378.3</w:t>
            </w:r>
          </w:p>
        </w:tc>
      </w:tr>
      <w:tr w:rsidR="00C7496E" w:rsidRPr="00C7496E" w:rsidTr="00C7496E">
        <w:trPr>
          <w:trHeight w:val="330"/>
        </w:trPr>
        <w:tc>
          <w:tcPr>
            <w:tcW w:w="4678" w:type="dxa"/>
            <w:tcBorders>
              <w:top w:val="nil"/>
              <w:left w:val="single" w:sz="8" w:space="0" w:color="auto"/>
              <w:bottom w:val="single" w:sz="8" w:space="0" w:color="auto"/>
              <w:right w:val="single" w:sz="4" w:space="0" w:color="auto"/>
            </w:tcBorders>
            <w:shd w:val="clear" w:color="auto" w:fill="auto"/>
            <w:noWrap/>
            <w:vAlign w:val="bottom"/>
            <w:hideMark/>
          </w:tcPr>
          <w:p w:rsidR="00C7496E" w:rsidRPr="00C7496E" w:rsidRDefault="00C7496E" w:rsidP="00C7496E">
            <w:pPr>
              <w:rPr>
                <w:sz w:val="20"/>
                <w:szCs w:val="20"/>
                <w:lang w:val="es-GT" w:eastAsia="es-GT"/>
              </w:rPr>
            </w:pPr>
            <w:r w:rsidRPr="00C7496E">
              <w:rPr>
                <w:sz w:val="20"/>
                <w:szCs w:val="20"/>
                <w:lang w:val="es-GT" w:eastAsia="es-GT"/>
              </w:rPr>
              <w:t>T</w:t>
            </w:r>
            <w:r>
              <w:rPr>
                <w:sz w:val="20"/>
                <w:szCs w:val="20"/>
                <w:lang w:val="es-GT" w:eastAsia="es-GT"/>
              </w:rPr>
              <w:t>ransacciones de la deuda Pública</w:t>
            </w:r>
          </w:p>
        </w:tc>
        <w:tc>
          <w:tcPr>
            <w:tcW w:w="1560" w:type="dxa"/>
            <w:tcBorders>
              <w:top w:val="nil"/>
              <w:left w:val="nil"/>
              <w:bottom w:val="single" w:sz="8" w:space="0" w:color="auto"/>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14,611.0</w:t>
            </w:r>
          </w:p>
        </w:tc>
        <w:tc>
          <w:tcPr>
            <w:tcW w:w="1417" w:type="dxa"/>
            <w:tcBorders>
              <w:top w:val="nil"/>
              <w:left w:val="nil"/>
              <w:bottom w:val="single" w:sz="8" w:space="0" w:color="auto"/>
              <w:right w:val="single" w:sz="4"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6,369.9</w:t>
            </w:r>
          </w:p>
        </w:tc>
        <w:tc>
          <w:tcPr>
            <w:tcW w:w="1559" w:type="dxa"/>
            <w:tcBorders>
              <w:top w:val="nil"/>
              <w:left w:val="nil"/>
              <w:bottom w:val="single" w:sz="8" w:space="0" w:color="auto"/>
              <w:right w:val="single" w:sz="8" w:space="0" w:color="auto"/>
            </w:tcBorders>
            <w:shd w:val="clear" w:color="auto" w:fill="auto"/>
            <w:noWrap/>
            <w:vAlign w:val="bottom"/>
            <w:hideMark/>
          </w:tcPr>
          <w:p w:rsidR="00C7496E" w:rsidRPr="00C7496E" w:rsidRDefault="00C7496E" w:rsidP="00C7496E">
            <w:pPr>
              <w:jc w:val="center"/>
              <w:rPr>
                <w:color w:val="000000"/>
                <w:sz w:val="20"/>
                <w:szCs w:val="20"/>
                <w:lang w:val="es-GT" w:eastAsia="es-GT"/>
              </w:rPr>
            </w:pPr>
            <w:r w:rsidRPr="00C7496E">
              <w:rPr>
                <w:color w:val="000000"/>
                <w:sz w:val="20"/>
                <w:szCs w:val="20"/>
                <w:lang w:val="es-GT" w:eastAsia="es-GT"/>
              </w:rPr>
              <w:t>14,372.4</w:t>
            </w:r>
          </w:p>
        </w:tc>
      </w:tr>
    </w:tbl>
    <w:p w:rsidR="00C7496E" w:rsidRDefault="00C7496E" w:rsidP="00E2162D">
      <w:pPr>
        <w:autoSpaceDE w:val="0"/>
        <w:autoSpaceDN w:val="0"/>
        <w:adjustRightInd w:val="0"/>
        <w:ind w:left="-142"/>
        <w:jc w:val="both"/>
        <w:rPr>
          <w:b/>
        </w:rPr>
      </w:pPr>
      <w:r w:rsidRPr="004F6E04">
        <w:rPr>
          <w:sz w:val="18"/>
        </w:rPr>
        <w:t>Fuente: Ministerio de Finanzas Públicas</w:t>
      </w:r>
      <w:r>
        <w:rPr>
          <w:sz w:val="18"/>
        </w:rPr>
        <w:t>.</w:t>
      </w:r>
    </w:p>
    <w:p w:rsidR="00C7496E" w:rsidRDefault="00C7496E" w:rsidP="00DB0F04">
      <w:pPr>
        <w:autoSpaceDE w:val="0"/>
        <w:autoSpaceDN w:val="0"/>
        <w:adjustRightInd w:val="0"/>
        <w:jc w:val="both"/>
        <w:rPr>
          <w:b/>
        </w:rPr>
      </w:pPr>
    </w:p>
    <w:p w:rsidR="008F51F0" w:rsidRDefault="008F51F0" w:rsidP="00DB0F04">
      <w:pPr>
        <w:autoSpaceDE w:val="0"/>
        <w:autoSpaceDN w:val="0"/>
        <w:adjustRightInd w:val="0"/>
        <w:jc w:val="both"/>
        <w:rPr>
          <w:b/>
        </w:rPr>
      </w:pPr>
    </w:p>
    <w:p w:rsidR="00DB0F04" w:rsidRDefault="00DB0F04" w:rsidP="00F073BE">
      <w:pPr>
        <w:pStyle w:val="Prrafodelista"/>
        <w:numPr>
          <w:ilvl w:val="0"/>
          <w:numId w:val="9"/>
        </w:numPr>
        <w:autoSpaceDE w:val="0"/>
        <w:autoSpaceDN w:val="0"/>
        <w:adjustRightInd w:val="0"/>
        <w:contextualSpacing/>
        <w:jc w:val="both"/>
        <w:rPr>
          <w:b/>
        </w:rPr>
      </w:pPr>
      <w:r w:rsidRPr="009A2D43">
        <w:rPr>
          <w:b/>
        </w:rPr>
        <w:t>Déficit Fiscal</w:t>
      </w:r>
      <w:r>
        <w:rPr>
          <w:b/>
        </w:rPr>
        <w:t xml:space="preserve"> y su financiamiento</w:t>
      </w:r>
    </w:p>
    <w:p w:rsidR="00DB0F04" w:rsidRDefault="00DB0F04" w:rsidP="00DB0F04">
      <w:pPr>
        <w:autoSpaceDE w:val="0"/>
        <w:autoSpaceDN w:val="0"/>
        <w:adjustRightInd w:val="0"/>
        <w:jc w:val="both"/>
        <w:rPr>
          <w:b/>
        </w:rPr>
      </w:pPr>
    </w:p>
    <w:p w:rsidR="00DB0F04" w:rsidRDefault="00DB0F04" w:rsidP="00DB0F04">
      <w:pPr>
        <w:autoSpaceDE w:val="0"/>
        <w:autoSpaceDN w:val="0"/>
        <w:adjustRightInd w:val="0"/>
        <w:jc w:val="both"/>
      </w:pPr>
      <w:r>
        <w:t>Dad</w:t>
      </w:r>
      <w:r w:rsidR="00181958">
        <w:t>o</w:t>
      </w:r>
      <w:r>
        <w:t xml:space="preserve"> la dinámica de ingresos y gastos, e</w:t>
      </w:r>
      <w:r w:rsidRPr="00264476">
        <w:t>l déficit</w:t>
      </w:r>
      <w:r>
        <w:t xml:space="preserve"> a junio</w:t>
      </w:r>
      <w:r w:rsidR="00181958">
        <w:t xml:space="preserve"> de 2020</w:t>
      </w:r>
      <w:r>
        <w:t xml:space="preserve"> se ubica en Q</w:t>
      </w:r>
      <w:r w:rsidR="00181958">
        <w:t>.</w:t>
      </w:r>
      <w:r>
        <w:t xml:space="preserve">9,425.8 millones (-1.6% del PIB), </w:t>
      </w:r>
      <w:r w:rsidR="00181958">
        <w:t xml:space="preserve">y </w:t>
      </w:r>
      <w:r w:rsidRPr="00264476">
        <w:t>se tiene contemplado</w:t>
      </w:r>
      <w:r>
        <w:t xml:space="preserve"> que el déficit </w:t>
      </w:r>
      <w:r w:rsidRPr="00264476">
        <w:t xml:space="preserve">para el cierre del año </w:t>
      </w:r>
      <w:r>
        <w:t>sea</w:t>
      </w:r>
      <w:r w:rsidRPr="00264476">
        <w:t xml:space="preserve"> de </w:t>
      </w:r>
      <w:r>
        <w:t>5</w:t>
      </w:r>
      <w:r w:rsidRPr="00264476">
        <w:t>.</w:t>
      </w:r>
      <w:r>
        <w:t>7</w:t>
      </w:r>
      <w:r w:rsidRPr="00264476">
        <w:t>%</w:t>
      </w:r>
      <w:r>
        <w:t xml:space="preserve">, </w:t>
      </w:r>
      <w:r w:rsidRPr="006656F8">
        <w:t>siendo el nivel más alto de los últimos 20 años</w:t>
      </w:r>
      <w:r>
        <w:t xml:space="preserve">, derivado de la necesidad de aumentar el gasto público de manera sustancial para atender las necesidades de la población guatemalteca durante la pandemia </w:t>
      </w:r>
      <w:r w:rsidR="00181958">
        <w:t>de Covid</w:t>
      </w:r>
      <w:r>
        <w:t>-19, mientras que el presupuesto inicial daba cuenta de un déficit fiscal de 2.5%.</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rsidRPr="006656F8">
        <w:t>Se tiene previsto que el déficit fiscal contin</w:t>
      </w:r>
      <w:r w:rsidR="00181958">
        <w:t>úe</w:t>
      </w:r>
      <w:r w:rsidRPr="006656F8">
        <w:t xml:space="preserve"> ampliándose en los próximos meses</w:t>
      </w:r>
      <w:r w:rsidR="00181958">
        <w:t>:</w:t>
      </w:r>
      <w:r w:rsidRPr="006656F8">
        <w:t xml:space="preserve"> por una parte, la brecha negativa en la recaudación tributaria respecto </w:t>
      </w:r>
      <w:r w:rsidR="00181958">
        <w:t>de</w:t>
      </w:r>
      <w:r w:rsidRPr="006656F8">
        <w:t xml:space="preserve"> la meta considerada en el presupuesto continuará creciendo, derivado de la declaratoria de Estado de Calamidad Pública en todo el territorio nacional, lo </w:t>
      </w:r>
      <w:r>
        <w:t>cual ha afectado la economía por</w:t>
      </w:r>
      <w:r w:rsidRPr="006656F8">
        <w:t xml:space="preserve"> las restricciones en las actividades productivas no esenciales y de movilidad, dando como resultado una disminución en el pago de varios impuestos, asociados a las actividades económicas afectadas por las disposiciones así como los impuestos asociados al comercio exterior. Por otra parte, se espera a partir del segundo </w:t>
      </w:r>
      <w:r>
        <w:t>se</w:t>
      </w:r>
      <w:r w:rsidRPr="006656F8">
        <w:t>mestre del año</w:t>
      </w:r>
      <w:r w:rsidR="00181958">
        <w:t>,</w:t>
      </w:r>
      <w:r w:rsidRPr="006656F8">
        <w:t xml:space="preserve"> un gasto público más dinámico, dado que se están atendiendo las necesidades de la población guatemalteca por medio de</w:t>
      </w:r>
      <w:r>
        <w:t xml:space="preserve"> diferentes actividades concretadas en e</w:t>
      </w:r>
      <w:r w:rsidRPr="006656F8">
        <w:t>l programa 94 y subprograma 09 por</w:t>
      </w:r>
      <w:r>
        <w:t xml:space="preserve"> la emergencia </w:t>
      </w:r>
      <w:r w:rsidR="00181958">
        <w:t>del Covid</w:t>
      </w:r>
      <w:r>
        <w:t>-19</w:t>
      </w:r>
      <w:r w:rsidRPr="006656F8">
        <w:t>.</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t xml:space="preserve">Adicionalmente a la necesidad adicional de gasto por la pandemia, el </w:t>
      </w:r>
      <w:r w:rsidRPr="00264476">
        <w:t>déficit</w:t>
      </w:r>
      <w:r>
        <w:t xml:space="preserve"> estimado para el cierre del año</w:t>
      </w:r>
      <w:r w:rsidR="00001F68">
        <w:t xml:space="preserve"> 2020</w:t>
      </w:r>
      <w:r>
        <w:t xml:space="preserve"> considera el efectivo cumplimiento de</w:t>
      </w:r>
      <w:r w:rsidRPr="00264476">
        <w:t xml:space="preserve"> una serie de </w:t>
      </w:r>
      <w:r>
        <w:t xml:space="preserve">compromisos que no estaban contemplados, dado que el Presupuesto General de Ingresos y Egresos del Estado </w:t>
      </w:r>
      <w:r>
        <w:lastRenderedPageBreak/>
        <w:t xml:space="preserve">para el </w:t>
      </w:r>
      <w:r w:rsidR="00001F68">
        <w:t>E</w:t>
      </w:r>
      <w:r>
        <w:t xml:space="preserve">jercicio </w:t>
      </w:r>
      <w:r w:rsidR="00001F68">
        <w:t>F</w:t>
      </w:r>
      <w:r>
        <w:t>iscal 2020 no fue aprobado. En los primeros meses del a</w:t>
      </w:r>
      <w:r w:rsidRPr="006656F8">
        <w:t>ño se trabaj</w:t>
      </w:r>
      <w:r>
        <w:t>ó</w:t>
      </w:r>
      <w:r w:rsidRPr="006656F8">
        <w:t xml:space="preserve"> </w:t>
      </w:r>
      <w:r>
        <w:t xml:space="preserve">en </w:t>
      </w:r>
      <w:r w:rsidRPr="006656F8">
        <w:t>las ampliaciones presupuestarias</w:t>
      </w:r>
      <w:r>
        <w:t xml:space="preserve"> que darían viabilidad a la atención de los compromisos</w:t>
      </w:r>
      <w:r w:rsidRPr="006656F8">
        <w:t xml:space="preserve"> </w:t>
      </w:r>
      <w:r>
        <w:t xml:space="preserve">que no estaban cubiertos, </w:t>
      </w:r>
      <w:r w:rsidRPr="006656F8">
        <w:t>las ampliaciones tenían como destino el servicio de la deud</w:t>
      </w:r>
      <w:r>
        <w:t>a pública, apoyo presupuestario y</w:t>
      </w:r>
      <w:r w:rsidRPr="006656F8">
        <w:t xml:space="preserve"> atender los compromisos adquiridos en 2019</w:t>
      </w:r>
      <w:r w:rsidR="00001F68">
        <w:t>,</w:t>
      </w:r>
      <w:r w:rsidRPr="006656F8">
        <w:t xml:space="preserve"> e</w:t>
      </w:r>
      <w:r w:rsidR="00001F68">
        <w:t>n cuanto a aumentos salariales.</w:t>
      </w:r>
    </w:p>
    <w:p w:rsidR="00DB0F04" w:rsidRDefault="00DB0F04" w:rsidP="00DB0F04">
      <w:pPr>
        <w:autoSpaceDE w:val="0"/>
        <w:autoSpaceDN w:val="0"/>
        <w:adjustRightInd w:val="0"/>
        <w:jc w:val="both"/>
        <w:rPr>
          <w:b/>
        </w:rPr>
      </w:pPr>
    </w:p>
    <w:p w:rsidR="00DB0F04" w:rsidRPr="0067711A" w:rsidRDefault="00DB0F04" w:rsidP="00DB0F04">
      <w:pPr>
        <w:autoSpaceDE w:val="0"/>
        <w:autoSpaceDN w:val="0"/>
        <w:adjustRightInd w:val="0"/>
        <w:jc w:val="both"/>
      </w:pPr>
      <w:r w:rsidRPr="0067711A">
        <w:t xml:space="preserve">En cuanto al financiamiento del déficit de presupuesto, al cierre de junio </w:t>
      </w:r>
      <w:r w:rsidR="000E3B67">
        <w:t xml:space="preserve">de </w:t>
      </w:r>
      <w:r w:rsidRPr="0067711A">
        <w:t>2020</w:t>
      </w:r>
      <w:r w:rsidR="000E3B67">
        <w:t>,</w:t>
      </w:r>
      <w:r w:rsidRPr="0067711A">
        <w:t xml:space="preserve"> se obtuvo un flujo positivo en el endeudamiento externo neto por el equivalente a Q</w:t>
      </w:r>
      <w:r w:rsidR="000E3B67">
        <w:t>.</w:t>
      </w:r>
      <w:r w:rsidRPr="0067711A">
        <w:t>10,365.9 millones, dado que en el mes de abril fue colocado un Eurobono por US$1,200 millones. Adicionalmente, se han recibido desembolsos por Q</w:t>
      </w:r>
      <w:r w:rsidR="000E3B67">
        <w:t>.</w:t>
      </w:r>
      <w:r w:rsidRPr="0067711A">
        <w:t>2,661.9 millones, lo cual supera las amortizaciones de préstamos, las cuales se ubican en Q</w:t>
      </w:r>
      <w:r w:rsidR="000E3B67">
        <w:t>.</w:t>
      </w:r>
      <w:r w:rsidRPr="0067711A">
        <w:t>1,550.5 millones. En lo que respecta a la colocación de Bonos del Tesoro en el mercado interno, se han adjudicado Q</w:t>
      </w:r>
      <w:r w:rsidR="000E3B67">
        <w:t>.</w:t>
      </w:r>
      <w:r w:rsidRPr="0067711A">
        <w:t>16,136.1 millones.</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t xml:space="preserve">Por parte de </w:t>
      </w:r>
      <w:r w:rsidRPr="0067711A">
        <w:t>las condiciones financieras, se ha colocado a una tasa promedio de</w:t>
      </w:r>
      <w:r w:rsidR="000E3B67">
        <w:t>l</w:t>
      </w:r>
      <w:r w:rsidRPr="0067711A">
        <w:t xml:space="preserve"> 5.5% y un plazo medio de 14 años</w:t>
      </w:r>
      <w:r w:rsidR="000E3B67">
        <w:t>;</w:t>
      </w:r>
      <w:r w:rsidRPr="0067711A">
        <w:t xml:space="preserve"> además se tienen colocaciones de Q</w:t>
      </w:r>
      <w:r w:rsidR="000E3B67">
        <w:t>.</w:t>
      </w:r>
      <w:r w:rsidRPr="0067711A">
        <w:t xml:space="preserve">20.6 millones con pequeños inversionistas. Por lo anterior, aún está pendiente de colocarse, conforme lo autorizado por el Congreso de la República mediante los </w:t>
      </w:r>
      <w:r w:rsidR="000E3B67">
        <w:t>D</w:t>
      </w:r>
      <w:r w:rsidRPr="0067711A">
        <w:t>ecretos</w:t>
      </w:r>
      <w:r w:rsidR="000E3B67">
        <w:t xml:space="preserve"> Nos.</w:t>
      </w:r>
      <w:r w:rsidRPr="0067711A">
        <w:t xml:space="preserve"> 25-2018, 13-2020 y 20-2020, la cantidad de Q</w:t>
      </w:r>
      <w:r w:rsidR="000E3B67">
        <w:t>.</w:t>
      </w:r>
      <w:r w:rsidRPr="0067711A">
        <w:t xml:space="preserve">10,314.3 millones, es decir, el 28.9% del total de la emisión </w:t>
      </w:r>
      <w:r w:rsidR="000E3B67">
        <w:t xml:space="preserve">autorizada </w:t>
      </w:r>
      <w:r w:rsidRPr="0067711A">
        <w:t>para este año.</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p>
    <w:p w:rsidR="00DB0F04" w:rsidRPr="009A2D43" w:rsidRDefault="00DB0F04" w:rsidP="00F073BE">
      <w:pPr>
        <w:pStyle w:val="Prrafodelista"/>
        <w:numPr>
          <w:ilvl w:val="0"/>
          <w:numId w:val="9"/>
        </w:numPr>
        <w:autoSpaceDE w:val="0"/>
        <w:autoSpaceDN w:val="0"/>
        <w:adjustRightInd w:val="0"/>
        <w:contextualSpacing/>
        <w:jc w:val="both"/>
        <w:rPr>
          <w:b/>
        </w:rPr>
      </w:pPr>
      <w:r w:rsidRPr="009A2D43">
        <w:rPr>
          <w:b/>
        </w:rPr>
        <w:t xml:space="preserve">Deuda </w:t>
      </w:r>
      <w:r w:rsidR="000E3B67">
        <w:rPr>
          <w:b/>
        </w:rPr>
        <w:t>pública</w:t>
      </w:r>
    </w:p>
    <w:p w:rsidR="00DB0F04" w:rsidRDefault="00DB0F04" w:rsidP="00DB0F04">
      <w:pPr>
        <w:autoSpaceDE w:val="0"/>
        <w:autoSpaceDN w:val="0"/>
        <w:adjustRightInd w:val="0"/>
        <w:jc w:val="both"/>
      </w:pPr>
    </w:p>
    <w:p w:rsidR="00DB0F04" w:rsidRPr="00D77237" w:rsidRDefault="00DB0F04" w:rsidP="00DB0F04">
      <w:pPr>
        <w:autoSpaceDE w:val="0"/>
        <w:autoSpaceDN w:val="0"/>
        <w:adjustRightInd w:val="0"/>
        <w:jc w:val="both"/>
      </w:pPr>
      <w:r>
        <w:t>La deuda pública en 2019</w:t>
      </w:r>
      <w:r w:rsidRPr="00D77237">
        <w:t xml:space="preserve"> report</w:t>
      </w:r>
      <w:r w:rsidR="00BC265D">
        <w:t>ó</w:t>
      </w:r>
      <w:r w:rsidRPr="00D77237">
        <w:t xml:space="preserve"> un saldo de Q</w:t>
      </w:r>
      <w:r w:rsidR="00BC265D">
        <w:t>.</w:t>
      </w:r>
      <w:r w:rsidRPr="00D77237">
        <w:t>1</w:t>
      </w:r>
      <w:r>
        <w:t>57</w:t>
      </w:r>
      <w:r w:rsidRPr="00D77237">
        <w:t>,</w:t>
      </w:r>
      <w:r>
        <w:t>325</w:t>
      </w:r>
      <w:r w:rsidRPr="00D77237">
        <w:t>.</w:t>
      </w:r>
      <w:r>
        <w:t>9</w:t>
      </w:r>
      <w:r w:rsidRPr="00D77237">
        <w:t xml:space="preserve"> millones, de los cuales, por estructura de origen, el 5</w:t>
      </w:r>
      <w:r>
        <w:t>5</w:t>
      </w:r>
      <w:r w:rsidRPr="00D77237">
        <w:t>.4% correspondió a deuda interna y 4</w:t>
      </w:r>
      <w:r>
        <w:t>4</w:t>
      </w:r>
      <w:r w:rsidRPr="00D77237">
        <w:t xml:space="preserve">.6% a deuda externa. Respecto </w:t>
      </w:r>
      <w:r w:rsidR="00BC265D">
        <w:t>de</w:t>
      </w:r>
      <w:r w:rsidRPr="00D77237">
        <w:t xml:space="preserve"> la estructura por moneda, el 51</w:t>
      </w:r>
      <w:r>
        <w:t>.4</w:t>
      </w:r>
      <w:r w:rsidRPr="00D77237">
        <w:t xml:space="preserve">% correspondió a moneda nacional y </w:t>
      </w:r>
      <w:r w:rsidR="00BC265D">
        <w:t xml:space="preserve">el </w:t>
      </w:r>
      <w:r w:rsidRPr="00D77237">
        <w:t>4</w:t>
      </w:r>
      <w:r>
        <w:t>8</w:t>
      </w:r>
      <w:r w:rsidRPr="00D77237">
        <w:t>.</w:t>
      </w:r>
      <w:r>
        <w:t>6</w:t>
      </w:r>
      <w:r w:rsidR="00BC265D">
        <w:t>% a moneda extranjera.</w:t>
      </w:r>
    </w:p>
    <w:p w:rsidR="00DB0F04" w:rsidRPr="00D77237" w:rsidRDefault="00DB0F04" w:rsidP="00DB0F04">
      <w:pPr>
        <w:autoSpaceDE w:val="0"/>
        <w:autoSpaceDN w:val="0"/>
        <w:adjustRightInd w:val="0"/>
        <w:jc w:val="both"/>
      </w:pPr>
    </w:p>
    <w:p w:rsidR="00DB0F04" w:rsidRPr="00B44570" w:rsidRDefault="00DB0F04" w:rsidP="00DB0F04">
      <w:pPr>
        <w:autoSpaceDE w:val="0"/>
        <w:autoSpaceDN w:val="0"/>
        <w:adjustRightInd w:val="0"/>
        <w:jc w:val="both"/>
      </w:pPr>
      <w:r w:rsidRPr="00D77237">
        <w:t xml:space="preserve">De acuerdo a la estimación de cierre para </w:t>
      </w:r>
      <w:r w:rsidR="00216895">
        <w:t xml:space="preserve">el </w:t>
      </w:r>
      <w:r w:rsidRPr="00D77237">
        <w:t>20</w:t>
      </w:r>
      <w:r>
        <w:t>20</w:t>
      </w:r>
      <w:r w:rsidRPr="00D77237">
        <w:t>, se espera que el saldo de la d</w:t>
      </w:r>
      <w:r>
        <w:t>euda pública crezca en Q</w:t>
      </w:r>
      <w:r w:rsidR="00216895">
        <w:t>.</w:t>
      </w:r>
      <w:r>
        <w:t>31</w:t>
      </w:r>
      <w:r w:rsidRPr="00D77237">
        <w:t>,</w:t>
      </w:r>
      <w:r>
        <w:t>087.9</w:t>
      </w:r>
      <w:r w:rsidRPr="00D77237">
        <w:t xml:space="preserve"> millones (1</w:t>
      </w:r>
      <w:r>
        <w:t>9.8</w:t>
      </w:r>
      <w:r w:rsidRPr="00D77237">
        <w:t>%) y la estructura de origen de deuda se modifi</w:t>
      </w:r>
      <w:r w:rsidR="00216895">
        <w:t>que</w:t>
      </w:r>
      <w:r w:rsidRPr="00D77237">
        <w:t xml:space="preserve"> levemente </w:t>
      </w:r>
      <w:r>
        <w:t>aumentand</w:t>
      </w:r>
      <w:r w:rsidRPr="00D77237">
        <w:t>o e</w:t>
      </w:r>
      <w:r>
        <w:t>l porcentaje</w:t>
      </w:r>
      <w:r w:rsidRPr="00D77237">
        <w:t xml:space="preserve"> de deuda interna a 57</w:t>
      </w:r>
      <w:r>
        <w:t>.3</w:t>
      </w:r>
      <w:r w:rsidRPr="00D77237">
        <w:t xml:space="preserve">% y por moneda </w:t>
      </w:r>
      <w:r>
        <w:t>aumenta</w:t>
      </w:r>
      <w:r w:rsidRPr="00D77237">
        <w:t xml:space="preserve"> el porcentaje en moneda local a 5</w:t>
      </w:r>
      <w:r>
        <w:t>4</w:t>
      </w:r>
      <w:r w:rsidRPr="00D77237">
        <w:t>.</w:t>
      </w:r>
      <w:r>
        <w:t>0</w:t>
      </w:r>
      <w:r w:rsidRPr="00D77237">
        <w:t>%</w:t>
      </w:r>
      <w:r w:rsidR="00216895">
        <w:t>;</w:t>
      </w:r>
      <w:r w:rsidRPr="00D77237">
        <w:t xml:space="preserve"> esto se da como resultado del mayor financiamiento </w:t>
      </w:r>
      <w:r>
        <w:t>intern</w:t>
      </w:r>
      <w:r w:rsidRPr="00D77237">
        <w:t xml:space="preserve">o </w:t>
      </w:r>
      <w:r>
        <w:t xml:space="preserve">para el presente </w:t>
      </w:r>
      <w:r w:rsidRPr="00D77237">
        <w:t xml:space="preserve">año derivado </w:t>
      </w:r>
      <w:r>
        <w:t xml:space="preserve">de una ampliación en </w:t>
      </w:r>
      <w:r w:rsidRPr="00D77237">
        <w:t>la</w:t>
      </w:r>
      <w:r>
        <w:t xml:space="preserve"> </w:t>
      </w:r>
      <w:r w:rsidRPr="00D77237">
        <w:t xml:space="preserve">colocación </w:t>
      </w:r>
      <w:r>
        <w:t xml:space="preserve">interna aprobada por medio del Decreto </w:t>
      </w:r>
      <w:r w:rsidR="00216895">
        <w:t xml:space="preserve">No. </w:t>
      </w:r>
      <w:r>
        <w:t>13-2020, correspondiente a Q</w:t>
      </w:r>
      <w:r w:rsidR="00216895">
        <w:t>.</w:t>
      </w:r>
      <w:r>
        <w:t xml:space="preserve">11,000.0 millones, </w:t>
      </w:r>
      <w:r w:rsidRPr="00B44570">
        <w:t xml:space="preserve">los cuales están destinados en su totalidad </w:t>
      </w:r>
      <w:r w:rsidR="00216895">
        <w:t>par</w:t>
      </w:r>
      <w:r w:rsidRPr="00B44570">
        <w:t xml:space="preserve">a atender las actividades relacionadas a la atención de la emergencia </w:t>
      </w:r>
      <w:r w:rsidR="00216895">
        <w:t>del Covid</w:t>
      </w:r>
      <w:r w:rsidRPr="00B44570">
        <w:t>-19. Esta colocación es extraordinaria, ya que será adquirida por el Banco de Guatemala de conformidad con lo establecido en el artículo 133 de la Constitución Política de la República de Guatemala; dicho artículo establece que, con la finalidad de garantizar la estabilidad monetaria, cambiaria y crediticia del país, la Junta Monetaria no podrá autorizar que el Banco de Guatemala otorgue financiamiento directo o indirecto</w:t>
      </w:r>
      <w:r w:rsidR="00DF3909">
        <w:t>,</w:t>
      </w:r>
      <w:r w:rsidRPr="00B44570">
        <w:t xml:space="preserve"> garantía o aval al Estado. No obstante, se contempla un caso extraordinario, si se diera una catástrofe o desastres públicos el Banco de Guatemala podrá conceder financiamiento, siempre y cuando este sea aprobado por el Congreso de la República.</w:t>
      </w:r>
    </w:p>
    <w:p w:rsidR="00DB0F04" w:rsidRDefault="00DB0F04" w:rsidP="00DB0F04">
      <w:pPr>
        <w:autoSpaceDE w:val="0"/>
        <w:autoSpaceDN w:val="0"/>
        <w:adjustRightInd w:val="0"/>
        <w:jc w:val="both"/>
      </w:pPr>
    </w:p>
    <w:p w:rsidR="00DB0F04" w:rsidRDefault="00DB0F04" w:rsidP="00DB0F04">
      <w:pPr>
        <w:autoSpaceDE w:val="0"/>
        <w:autoSpaceDN w:val="0"/>
        <w:adjustRightInd w:val="0"/>
        <w:jc w:val="both"/>
      </w:pPr>
      <w:r>
        <w:t>As</w:t>
      </w:r>
      <w:r w:rsidR="00DF3909">
        <w:t>i</w:t>
      </w:r>
      <w:r>
        <w:t>mismo, se colocó un E</w:t>
      </w:r>
      <w:r w:rsidRPr="00D77237">
        <w:t>urobono en el mercado internacional de capitales</w:t>
      </w:r>
      <w:r>
        <w:t xml:space="preserve"> por </w:t>
      </w:r>
      <w:r w:rsidRPr="00D77237">
        <w:t>US$1,200 millones</w:t>
      </w:r>
      <w:r>
        <w:t>, por el equivalente a Q</w:t>
      </w:r>
      <w:r w:rsidR="00DF3909">
        <w:t>.</w:t>
      </w:r>
      <w:r>
        <w:t xml:space="preserve">9,267.2 millones, siendo esta la tercera vez que Guatemala </w:t>
      </w:r>
      <w:r>
        <w:lastRenderedPageBreak/>
        <w:t xml:space="preserve">realiza una colocación con un plazo de 30 años y </w:t>
      </w:r>
      <w:r w:rsidRPr="00B44570">
        <w:t xml:space="preserve">es la segunda vez que coloca más </w:t>
      </w:r>
      <w:r w:rsidR="00DF3909">
        <w:t xml:space="preserve">de </w:t>
      </w:r>
      <w:r w:rsidRPr="00B44570">
        <w:t>US$1,000 millones en una sola emisión; esta situación confirma la confianza de los inversionistas en los títulos que emite el país, derivado del amplio historial de estabilidad macroeconómica y por el cumplimiento de sus obligaciones de deuda</w:t>
      </w:r>
      <w:r w:rsidR="00DF3909">
        <w:t>,</w:t>
      </w:r>
      <w:r w:rsidRPr="00B44570">
        <w:t xml:space="preserve"> tanto en el mercado externo como en el mercado doméstico.</w:t>
      </w:r>
    </w:p>
    <w:p w:rsidR="00DB0F04" w:rsidRDefault="00DB0F04" w:rsidP="00DB0F04">
      <w:pPr>
        <w:autoSpaceDE w:val="0"/>
        <w:autoSpaceDN w:val="0"/>
        <w:adjustRightInd w:val="0"/>
        <w:jc w:val="both"/>
      </w:pPr>
    </w:p>
    <w:p w:rsidR="00DB0F04" w:rsidRDefault="00DF3909" w:rsidP="00DB0F04">
      <w:pPr>
        <w:autoSpaceDE w:val="0"/>
        <w:autoSpaceDN w:val="0"/>
        <w:adjustRightInd w:val="0"/>
        <w:jc w:val="both"/>
      </w:pPr>
      <w:r>
        <w:t>Con</w:t>
      </w:r>
      <w:r w:rsidR="00DB0F04" w:rsidRPr="00D77237">
        <w:t xml:space="preserve"> relación a la deuda respecto </w:t>
      </w:r>
      <w:r>
        <w:t>del</w:t>
      </w:r>
      <w:r w:rsidR="00DB0F04" w:rsidRPr="00D77237">
        <w:t xml:space="preserve"> PIB, se espera que 20</w:t>
      </w:r>
      <w:r w:rsidR="00DB0F04">
        <w:t>20 cierre con un nivel de 32</w:t>
      </w:r>
      <w:r w:rsidR="00DB0F04" w:rsidRPr="00D77237">
        <w:t>.</w:t>
      </w:r>
      <w:r w:rsidR="00DB0F04">
        <w:t>4</w:t>
      </w:r>
      <w:r w:rsidR="00DB0F04" w:rsidRPr="00D77237">
        <w:t xml:space="preserve">%, </w:t>
      </w:r>
      <w:r w:rsidR="00DB0F04">
        <w:t xml:space="preserve">a pesar de representar un salto importante de 5.8 puntos porcentuales respecto </w:t>
      </w:r>
      <w:r>
        <w:t>del</w:t>
      </w:r>
      <w:r w:rsidR="00DB0F04">
        <w:t xml:space="preserve"> cierre de 2019</w:t>
      </w:r>
      <w:r>
        <w:t>,</w:t>
      </w:r>
      <w:r w:rsidR="00DB0F04">
        <w:t xml:space="preserve"> correspondiente a 26.6%</w:t>
      </w:r>
      <w:r>
        <w:t>. E</w:t>
      </w:r>
      <w:r w:rsidR="00DB0F04" w:rsidRPr="00D77237">
        <w:t xml:space="preserve">l nivel de deuda pública </w:t>
      </w:r>
      <w:r>
        <w:t xml:space="preserve">con </w:t>
      </w:r>
      <w:r w:rsidR="00DB0F04" w:rsidRPr="00D77237">
        <w:t>respecto al PIB muestra que Guatemala a</w:t>
      </w:r>
      <w:r>
        <w:t>ú</w:t>
      </w:r>
      <w:r w:rsidR="00DB0F04" w:rsidRPr="00D77237">
        <w:t xml:space="preserve">n goza de </w:t>
      </w:r>
      <w:r>
        <w:t xml:space="preserve">un </w:t>
      </w:r>
      <w:r w:rsidR="00DB0F04" w:rsidRPr="00D77237">
        <w:t>margen de endeudamiento, de acuerdo a los lineamientos establecidos por organismos internacionales para países con las características de Guatemala (40</w:t>
      </w:r>
      <w:r>
        <w:t>.0</w:t>
      </w:r>
      <w:r w:rsidR="00DB0F04" w:rsidRPr="00D77237">
        <w:t>% del PIB).</w:t>
      </w:r>
    </w:p>
    <w:p w:rsidR="00DB0F04" w:rsidRDefault="00DB0F04" w:rsidP="00DB0F04">
      <w:pPr>
        <w:autoSpaceDE w:val="0"/>
        <w:autoSpaceDN w:val="0"/>
        <w:adjustRightInd w:val="0"/>
        <w:rPr>
          <w:b/>
        </w:rPr>
      </w:pPr>
    </w:p>
    <w:p w:rsidR="00DB0F04" w:rsidRDefault="00DB0F04" w:rsidP="00DB0F04">
      <w:pPr>
        <w:autoSpaceDE w:val="0"/>
        <w:autoSpaceDN w:val="0"/>
        <w:adjustRightInd w:val="0"/>
        <w:rPr>
          <w:b/>
        </w:rPr>
      </w:pPr>
    </w:p>
    <w:p w:rsidR="00394801" w:rsidRDefault="00394801" w:rsidP="00DB0F04">
      <w:pPr>
        <w:autoSpaceDE w:val="0"/>
        <w:autoSpaceDN w:val="0"/>
        <w:adjustRightInd w:val="0"/>
        <w:jc w:val="center"/>
        <w:rPr>
          <w:b/>
        </w:rPr>
      </w:pPr>
      <w:r>
        <w:rPr>
          <w:b/>
        </w:rPr>
        <w:t>Cuadro 24</w:t>
      </w:r>
    </w:p>
    <w:p w:rsidR="00DB0F04" w:rsidRPr="00FC1517" w:rsidRDefault="00DB0F04" w:rsidP="00DB0F04">
      <w:pPr>
        <w:autoSpaceDE w:val="0"/>
        <w:autoSpaceDN w:val="0"/>
        <w:adjustRightInd w:val="0"/>
        <w:jc w:val="center"/>
        <w:rPr>
          <w:b/>
        </w:rPr>
      </w:pPr>
      <w:r w:rsidRPr="00FC1517">
        <w:rPr>
          <w:b/>
        </w:rPr>
        <w:t>Saldo de la Deuda Pública por Origen y Moneda</w:t>
      </w:r>
    </w:p>
    <w:p w:rsidR="00DB0F04" w:rsidRDefault="00394801" w:rsidP="00DB0F04">
      <w:pPr>
        <w:autoSpaceDE w:val="0"/>
        <w:autoSpaceDN w:val="0"/>
        <w:adjustRightInd w:val="0"/>
        <w:jc w:val="center"/>
        <w:rPr>
          <w:b/>
        </w:rPr>
      </w:pPr>
      <w:r>
        <w:rPr>
          <w:b/>
        </w:rPr>
        <w:t xml:space="preserve">Observado en </w:t>
      </w:r>
      <w:r w:rsidR="00DB0F04" w:rsidRPr="005D101F">
        <w:rPr>
          <w:b/>
        </w:rPr>
        <w:t>2019</w:t>
      </w:r>
      <w:r>
        <w:rPr>
          <w:b/>
        </w:rPr>
        <w:t xml:space="preserve"> y Estimación de Cierre</w:t>
      </w:r>
      <w:r w:rsidR="00DB0F04" w:rsidRPr="005D101F">
        <w:rPr>
          <w:b/>
        </w:rPr>
        <w:t xml:space="preserve"> 2020</w:t>
      </w:r>
    </w:p>
    <w:p w:rsidR="00394801" w:rsidRPr="005D101F" w:rsidRDefault="00394801" w:rsidP="00DB0F04">
      <w:pPr>
        <w:autoSpaceDE w:val="0"/>
        <w:autoSpaceDN w:val="0"/>
        <w:adjustRightInd w:val="0"/>
        <w:jc w:val="center"/>
        <w:rPr>
          <w:b/>
        </w:rPr>
      </w:pPr>
      <w:r>
        <w:rPr>
          <w:b/>
        </w:rPr>
        <w:t>(Cifras en Porcentajes)</w:t>
      </w:r>
    </w:p>
    <w:tbl>
      <w:tblPr>
        <w:tblW w:w="7371" w:type="dxa"/>
        <w:tblInd w:w="921" w:type="dxa"/>
        <w:tblCellMar>
          <w:left w:w="70" w:type="dxa"/>
          <w:right w:w="70" w:type="dxa"/>
        </w:tblCellMar>
        <w:tblLook w:val="04A0" w:firstRow="1" w:lastRow="0" w:firstColumn="1" w:lastColumn="0" w:noHBand="0" w:noVBand="1"/>
      </w:tblPr>
      <w:tblGrid>
        <w:gridCol w:w="3434"/>
        <w:gridCol w:w="1952"/>
        <w:gridCol w:w="1985"/>
      </w:tblGrid>
      <w:tr w:rsidR="005830FB" w:rsidRPr="005D101F" w:rsidTr="007025EA">
        <w:trPr>
          <w:trHeight w:val="360"/>
        </w:trPr>
        <w:tc>
          <w:tcPr>
            <w:tcW w:w="3434" w:type="dxa"/>
            <w:tcBorders>
              <w:top w:val="nil"/>
              <w:left w:val="nil"/>
              <w:bottom w:val="nil"/>
              <w:right w:val="nil"/>
            </w:tcBorders>
            <w:shd w:val="clear" w:color="000000" w:fill="FFFFFF"/>
            <w:noWrap/>
            <w:vAlign w:val="bottom"/>
            <w:hideMark/>
          </w:tcPr>
          <w:p w:rsidR="005830FB" w:rsidRPr="005D101F" w:rsidRDefault="005830FB" w:rsidP="005D101F">
            <w:pPr>
              <w:rPr>
                <w:color w:val="000000"/>
                <w:sz w:val="22"/>
                <w:szCs w:val="22"/>
                <w:lang w:val="es-GT" w:eastAsia="es-GT"/>
              </w:rPr>
            </w:pPr>
            <w:r w:rsidRPr="005D101F">
              <w:rPr>
                <w:color w:val="000000"/>
                <w:sz w:val="22"/>
                <w:szCs w:val="22"/>
                <w:lang w:val="es-GT" w:eastAsia="es-GT"/>
              </w:rPr>
              <w:t> </w:t>
            </w:r>
          </w:p>
        </w:tc>
        <w:tc>
          <w:tcPr>
            <w:tcW w:w="1952" w:type="dxa"/>
            <w:vMerge w:val="restart"/>
            <w:tcBorders>
              <w:top w:val="single" w:sz="8" w:space="0" w:color="auto"/>
              <w:left w:val="single" w:sz="8" w:space="0" w:color="auto"/>
              <w:right w:val="single" w:sz="8" w:space="0" w:color="auto"/>
            </w:tcBorders>
            <w:shd w:val="clear" w:color="000000" w:fill="4F81BD"/>
            <w:noWrap/>
            <w:vAlign w:val="center"/>
            <w:hideMark/>
          </w:tcPr>
          <w:p w:rsidR="005830FB" w:rsidRPr="00CB03B8" w:rsidRDefault="005830FB" w:rsidP="005830FB">
            <w:pPr>
              <w:jc w:val="center"/>
              <w:rPr>
                <w:b/>
                <w:bCs/>
                <w:color w:val="FFFFFF"/>
                <w:sz w:val="22"/>
                <w:szCs w:val="22"/>
                <w:lang w:val="es-GT" w:eastAsia="es-GT"/>
              </w:rPr>
            </w:pPr>
            <w:r w:rsidRPr="00CB03B8">
              <w:rPr>
                <w:b/>
                <w:bCs/>
                <w:color w:val="FFFFFF"/>
                <w:sz w:val="22"/>
                <w:szCs w:val="22"/>
                <w:lang w:val="es-GT" w:eastAsia="es-GT"/>
              </w:rPr>
              <w:t>2019</w:t>
            </w:r>
          </w:p>
          <w:p w:rsidR="005830FB" w:rsidRPr="00CB03B8" w:rsidRDefault="005830FB" w:rsidP="005830FB">
            <w:pPr>
              <w:jc w:val="center"/>
              <w:rPr>
                <w:b/>
                <w:bCs/>
                <w:color w:val="FFFFFF"/>
                <w:sz w:val="22"/>
                <w:szCs w:val="22"/>
                <w:lang w:val="es-GT" w:eastAsia="es-GT"/>
              </w:rPr>
            </w:pPr>
            <w:r w:rsidRPr="00CB03B8">
              <w:rPr>
                <w:b/>
                <w:bCs/>
                <w:color w:val="FFFFFF"/>
                <w:sz w:val="22"/>
                <w:szCs w:val="22"/>
                <w:lang w:val="es-GT" w:eastAsia="es-GT"/>
              </w:rPr>
              <w:t>Observado</w:t>
            </w:r>
          </w:p>
        </w:tc>
        <w:tc>
          <w:tcPr>
            <w:tcW w:w="1985" w:type="dxa"/>
            <w:vMerge w:val="restart"/>
            <w:tcBorders>
              <w:top w:val="single" w:sz="8" w:space="0" w:color="auto"/>
              <w:left w:val="single" w:sz="4" w:space="0" w:color="auto"/>
              <w:right w:val="single" w:sz="8" w:space="0" w:color="auto"/>
            </w:tcBorders>
            <w:shd w:val="clear" w:color="000000" w:fill="4F81BD"/>
            <w:noWrap/>
            <w:vAlign w:val="center"/>
            <w:hideMark/>
          </w:tcPr>
          <w:p w:rsidR="005830FB" w:rsidRPr="00CB03B8" w:rsidRDefault="005830FB" w:rsidP="005830FB">
            <w:pPr>
              <w:jc w:val="center"/>
              <w:rPr>
                <w:b/>
                <w:bCs/>
                <w:color w:val="FFFFFF"/>
                <w:sz w:val="22"/>
                <w:szCs w:val="22"/>
                <w:lang w:val="es-GT" w:eastAsia="es-GT"/>
              </w:rPr>
            </w:pPr>
            <w:r w:rsidRPr="00CB03B8">
              <w:rPr>
                <w:b/>
                <w:bCs/>
                <w:color w:val="FFFFFF"/>
                <w:sz w:val="22"/>
                <w:szCs w:val="22"/>
                <w:lang w:val="es-GT" w:eastAsia="es-GT"/>
              </w:rPr>
              <w:t>2020</w:t>
            </w:r>
          </w:p>
          <w:p w:rsidR="005830FB" w:rsidRPr="00CB03B8" w:rsidRDefault="005830FB" w:rsidP="005830FB">
            <w:pPr>
              <w:jc w:val="center"/>
              <w:rPr>
                <w:b/>
                <w:bCs/>
                <w:color w:val="FFFFFF"/>
                <w:sz w:val="22"/>
                <w:szCs w:val="22"/>
                <w:lang w:val="es-GT" w:eastAsia="es-GT"/>
              </w:rPr>
            </w:pPr>
            <w:r w:rsidRPr="00CB03B8">
              <w:rPr>
                <w:b/>
                <w:bCs/>
                <w:color w:val="FFFFFF"/>
                <w:sz w:val="22"/>
                <w:szCs w:val="22"/>
                <w:lang w:val="es-GT" w:eastAsia="es-GT"/>
              </w:rPr>
              <w:t>Estimación</w:t>
            </w:r>
          </w:p>
        </w:tc>
      </w:tr>
      <w:tr w:rsidR="005830FB" w:rsidRPr="005D101F" w:rsidTr="007025EA">
        <w:trPr>
          <w:trHeight w:val="274"/>
        </w:trPr>
        <w:tc>
          <w:tcPr>
            <w:tcW w:w="3434" w:type="dxa"/>
            <w:tcBorders>
              <w:top w:val="nil"/>
              <w:left w:val="nil"/>
              <w:bottom w:val="nil"/>
              <w:right w:val="nil"/>
            </w:tcBorders>
            <w:shd w:val="clear" w:color="000000" w:fill="FFFFFF"/>
            <w:noWrap/>
            <w:vAlign w:val="bottom"/>
            <w:hideMark/>
          </w:tcPr>
          <w:p w:rsidR="005830FB" w:rsidRPr="005D101F" w:rsidRDefault="005830FB" w:rsidP="005D101F">
            <w:pPr>
              <w:rPr>
                <w:color w:val="000000"/>
                <w:sz w:val="22"/>
                <w:szCs w:val="22"/>
                <w:lang w:val="es-GT" w:eastAsia="es-GT"/>
              </w:rPr>
            </w:pPr>
            <w:r w:rsidRPr="005D101F">
              <w:rPr>
                <w:color w:val="000000"/>
                <w:sz w:val="22"/>
                <w:szCs w:val="22"/>
                <w:lang w:val="es-GT" w:eastAsia="es-GT"/>
              </w:rPr>
              <w:t> </w:t>
            </w:r>
          </w:p>
        </w:tc>
        <w:tc>
          <w:tcPr>
            <w:tcW w:w="1952" w:type="dxa"/>
            <w:vMerge/>
            <w:tcBorders>
              <w:left w:val="single" w:sz="8" w:space="0" w:color="auto"/>
              <w:bottom w:val="nil"/>
              <w:right w:val="single" w:sz="4" w:space="0" w:color="auto"/>
            </w:tcBorders>
            <w:shd w:val="clear" w:color="000000" w:fill="4F81BD"/>
            <w:noWrap/>
            <w:vAlign w:val="center"/>
            <w:hideMark/>
          </w:tcPr>
          <w:p w:rsidR="005830FB" w:rsidRPr="005D101F" w:rsidRDefault="005830FB" w:rsidP="005830FB">
            <w:pPr>
              <w:jc w:val="center"/>
              <w:rPr>
                <w:b/>
                <w:bCs/>
                <w:color w:val="FFFFFF"/>
                <w:sz w:val="22"/>
                <w:szCs w:val="22"/>
                <w:lang w:val="es-GT" w:eastAsia="es-GT"/>
              </w:rPr>
            </w:pPr>
          </w:p>
        </w:tc>
        <w:tc>
          <w:tcPr>
            <w:tcW w:w="1985" w:type="dxa"/>
            <w:vMerge/>
            <w:tcBorders>
              <w:left w:val="single" w:sz="4" w:space="0" w:color="auto"/>
              <w:bottom w:val="single" w:sz="8" w:space="0" w:color="auto"/>
              <w:right w:val="single" w:sz="8" w:space="0" w:color="auto"/>
            </w:tcBorders>
            <w:shd w:val="clear" w:color="000000" w:fill="4F81BD"/>
            <w:noWrap/>
            <w:vAlign w:val="center"/>
            <w:hideMark/>
          </w:tcPr>
          <w:p w:rsidR="005830FB" w:rsidRPr="005D101F" w:rsidRDefault="005830FB" w:rsidP="005830FB">
            <w:pPr>
              <w:jc w:val="center"/>
              <w:rPr>
                <w:b/>
                <w:bCs/>
                <w:color w:val="FFFFFF"/>
                <w:sz w:val="22"/>
                <w:szCs w:val="22"/>
                <w:lang w:val="es-GT" w:eastAsia="es-GT"/>
              </w:rPr>
            </w:pPr>
          </w:p>
        </w:tc>
      </w:tr>
      <w:tr w:rsidR="005D101F" w:rsidRPr="005D101F" w:rsidTr="005D101F">
        <w:trPr>
          <w:trHeight w:val="345"/>
        </w:trPr>
        <w:tc>
          <w:tcPr>
            <w:tcW w:w="3434" w:type="dxa"/>
            <w:tcBorders>
              <w:top w:val="single" w:sz="8" w:space="0" w:color="auto"/>
              <w:left w:val="single" w:sz="8" w:space="0" w:color="auto"/>
              <w:bottom w:val="nil"/>
              <w:right w:val="nil"/>
            </w:tcBorders>
            <w:shd w:val="clear" w:color="000000" w:fill="FFFFFF"/>
            <w:noWrap/>
            <w:vAlign w:val="bottom"/>
            <w:hideMark/>
          </w:tcPr>
          <w:p w:rsidR="005D101F" w:rsidRPr="00394801" w:rsidRDefault="005D101F" w:rsidP="005D101F">
            <w:pPr>
              <w:rPr>
                <w:b/>
                <w:bCs/>
                <w:color w:val="000000"/>
                <w:sz w:val="22"/>
                <w:szCs w:val="20"/>
                <w:lang w:val="es-GT" w:eastAsia="es-GT"/>
              </w:rPr>
            </w:pPr>
            <w:r w:rsidRPr="00394801">
              <w:rPr>
                <w:b/>
                <w:bCs/>
                <w:color w:val="000000"/>
                <w:sz w:val="22"/>
                <w:szCs w:val="20"/>
                <w:lang w:val="es-GT" w:eastAsia="es-GT"/>
              </w:rPr>
              <w:t>Saldo de Deuda Pública</w:t>
            </w:r>
          </w:p>
        </w:tc>
        <w:tc>
          <w:tcPr>
            <w:tcW w:w="1952" w:type="dxa"/>
            <w:tcBorders>
              <w:top w:val="single" w:sz="8" w:space="0" w:color="auto"/>
              <w:left w:val="single" w:sz="8" w:space="0" w:color="auto"/>
              <w:bottom w:val="nil"/>
              <w:right w:val="single" w:sz="8" w:space="0" w:color="auto"/>
            </w:tcBorders>
            <w:shd w:val="clear" w:color="000000" w:fill="FFFFFF"/>
            <w:noWrap/>
            <w:vAlign w:val="bottom"/>
            <w:hideMark/>
          </w:tcPr>
          <w:p w:rsidR="005D101F" w:rsidRPr="00394801" w:rsidRDefault="005D101F" w:rsidP="005D101F">
            <w:pPr>
              <w:jc w:val="right"/>
              <w:rPr>
                <w:b/>
                <w:bCs/>
                <w:color w:val="000000"/>
                <w:sz w:val="22"/>
                <w:szCs w:val="20"/>
                <w:lang w:val="es-GT" w:eastAsia="es-GT"/>
              </w:rPr>
            </w:pPr>
            <w:r w:rsidRPr="00394801">
              <w:rPr>
                <w:b/>
                <w:bCs/>
                <w:color w:val="000000"/>
                <w:sz w:val="22"/>
                <w:szCs w:val="20"/>
                <w:lang w:val="es-GT" w:eastAsia="es-GT"/>
              </w:rPr>
              <w:t>157,325.9</w:t>
            </w:r>
          </w:p>
        </w:tc>
        <w:tc>
          <w:tcPr>
            <w:tcW w:w="1985" w:type="dxa"/>
            <w:tcBorders>
              <w:top w:val="nil"/>
              <w:left w:val="single" w:sz="4" w:space="0" w:color="auto"/>
              <w:bottom w:val="nil"/>
              <w:right w:val="single" w:sz="8" w:space="0" w:color="auto"/>
            </w:tcBorders>
            <w:shd w:val="clear" w:color="000000" w:fill="FFFFFF"/>
            <w:noWrap/>
            <w:vAlign w:val="bottom"/>
            <w:hideMark/>
          </w:tcPr>
          <w:p w:rsidR="005D101F" w:rsidRPr="00394801" w:rsidRDefault="005D101F" w:rsidP="005D101F">
            <w:pPr>
              <w:jc w:val="right"/>
              <w:rPr>
                <w:b/>
                <w:bCs/>
                <w:color w:val="000000"/>
                <w:sz w:val="22"/>
                <w:szCs w:val="20"/>
                <w:lang w:val="es-GT" w:eastAsia="es-GT"/>
              </w:rPr>
            </w:pPr>
            <w:r w:rsidRPr="00394801">
              <w:rPr>
                <w:b/>
                <w:bCs/>
                <w:color w:val="000000"/>
                <w:sz w:val="22"/>
                <w:szCs w:val="20"/>
                <w:lang w:val="es-GT" w:eastAsia="es-GT"/>
              </w:rPr>
              <w:t>188,413.8</w:t>
            </w:r>
          </w:p>
        </w:tc>
      </w:tr>
      <w:tr w:rsidR="005D101F" w:rsidRPr="005D101F" w:rsidTr="005D101F">
        <w:trPr>
          <w:trHeight w:val="345"/>
        </w:trPr>
        <w:tc>
          <w:tcPr>
            <w:tcW w:w="3434" w:type="dxa"/>
            <w:tcBorders>
              <w:top w:val="nil"/>
              <w:left w:val="single" w:sz="8" w:space="0" w:color="auto"/>
              <w:bottom w:val="nil"/>
              <w:right w:val="nil"/>
            </w:tcBorders>
            <w:shd w:val="clear" w:color="000000" w:fill="FFFFFF"/>
            <w:noWrap/>
            <w:vAlign w:val="bottom"/>
            <w:hideMark/>
          </w:tcPr>
          <w:p w:rsidR="005D101F" w:rsidRPr="00394801" w:rsidRDefault="005830FB" w:rsidP="00394801">
            <w:pPr>
              <w:ind w:firstLineChars="100" w:firstLine="220"/>
              <w:rPr>
                <w:i/>
                <w:iCs/>
                <w:color w:val="000000"/>
                <w:sz w:val="22"/>
                <w:szCs w:val="20"/>
                <w:lang w:val="es-GT" w:eastAsia="es-GT"/>
              </w:rPr>
            </w:pPr>
            <w:r w:rsidRPr="00394801">
              <w:rPr>
                <w:i/>
                <w:iCs/>
                <w:color w:val="000000"/>
                <w:sz w:val="22"/>
                <w:szCs w:val="20"/>
                <w:lang w:val="es-GT" w:eastAsia="es-GT"/>
              </w:rPr>
              <w:t>R</w:t>
            </w:r>
            <w:r w:rsidR="005D101F" w:rsidRPr="00394801">
              <w:rPr>
                <w:i/>
                <w:iCs/>
                <w:color w:val="000000"/>
                <w:sz w:val="22"/>
                <w:szCs w:val="20"/>
                <w:lang w:val="es-GT" w:eastAsia="es-GT"/>
              </w:rPr>
              <w:t>elación</w:t>
            </w:r>
            <w:r w:rsidRPr="00394801">
              <w:rPr>
                <w:i/>
                <w:iCs/>
                <w:color w:val="000000"/>
                <w:sz w:val="22"/>
                <w:szCs w:val="20"/>
                <w:lang w:val="es-GT" w:eastAsia="es-GT"/>
              </w:rPr>
              <w:t xml:space="preserve"> D</w:t>
            </w:r>
            <w:r w:rsidR="005D101F" w:rsidRPr="00394801">
              <w:rPr>
                <w:i/>
                <w:iCs/>
                <w:color w:val="000000"/>
                <w:sz w:val="22"/>
                <w:szCs w:val="20"/>
                <w:lang w:val="es-GT" w:eastAsia="es-GT"/>
              </w:rPr>
              <w:t>euda PIB</w:t>
            </w:r>
          </w:p>
        </w:tc>
        <w:tc>
          <w:tcPr>
            <w:tcW w:w="1952" w:type="dxa"/>
            <w:tcBorders>
              <w:top w:val="nil"/>
              <w:left w:val="single" w:sz="8" w:space="0" w:color="auto"/>
              <w:bottom w:val="nil"/>
              <w:right w:val="single" w:sz="8" w:space="0" w:color="auto"/>
            </w:tcBorders>
            <w:shd w:val="clear" w:color="000000" w:fill="FFFFFF"/>
            <w:noWrap/>
            <w:vAlign w:val="bottom"/>
            <w:hideMark/>
          </w:tcPr>
          <w:p w:rsidR="005D101F" w:rsidRPr="00394801" w:rsidRDefault="005D101F" w:rsidP="005D101F">
            <w:pPr>
              <w:jc w:val="right"/>
              <w:rPr>
                <w:i/>
                <w:iCs/>
                <w:color w:val="000000"/>
                <w:sz w:val="22"/>
                <w:szCs w:val="20"/>
                <w:lang w:val="es-GT" w:eastAsia="es-GT"/>
              </w:rPr>
            </w:pPr>
            <w:r w:rsidRPr="00394801">
              <w:rPr>
                <w:i/>
                <w:iCs/>
                <w:color w:val="000000"/>
                <w:sz w:val="22"/>
                <w:szCs w:val="20"/>
                <w:lang w:val="es-GT" w:eastAsia="es-GT"/>
              </w:rPr>
              <w:t>26.6</w:t>
            </w:r>
          </w:p>
        </w:tc>
        <w:tc>
          <w:tcPr>
            <w:tcW w:w="1985" w:type="dxa"/>
            <w:tcBorders>
              <w:top w:val="nil"/>
              <w:left w:val="single" w:sz="4" w:space="0" w:color="auto"/>
              <w:bottom w:val="nil"/>
              <w:right w:val="single" w:sz="8" w:space="0" w:color="auto"/>
            </w:tcBorders>
            <w:shd w:val="clear" w:color="000000" w:fill="FFFFFF"/>
            <w:noWrap/>
            <w:vAlign w:val="bottom"/>
            <w:hideMark/>
          </w:tcPr>
          <w:p w:rsidR="005D101F" w:rsidRPr="00394801" w:rsidRDefault="005D101F" w:rsidP="005D101F">
            <w:pPr>
              <w:jc w:val="right"/>
              <w:rPr>
                <w:i/>
                <w:iCs/>
                <w:color w:val="000000"/>
                <w:sz w:val="22"/>
                <w:szCs w:val="20"/>
                <w:lang w:val="es-GT" w:eastAsia="es-GT"/>
              </w:rPr>
            </w:pPr>
            <w:r w:rsidRPr="00394801">
              <w:rPr>
                <w:i/>
                <w:iCs/>
                <w:color w:val="000000"/>
                <w:sz w:val="22"/>
                <w:szCs w:val="20"/>
                <w:lang w:val="es-GT" w:eastAsia="es-GT"/>
              </w:rPr>
              <w:t>32.4</w:t>
            </w:r>
          </w:p>
        </w:tc>
      </w:tr>
      <w:tr w:rsidR="005D101F" w:rsidRPr="005D101F" w:rsidTr="005D101F">
        <w:trPr>
          <w:trHeight w:val="345"/>
        </w:trPr>
        <w:tc>
          <w:tcPr>
            <w:tcW w:w="3434" w:type="dxa"/>
            <w:tcBorders>
              <w:top w:val="nil"/>
              <w:left w:val="single" w:sz="8" w:space="0" w:color="auto"/>
              <w:bottom w:val="nil"/>
              <w:right w:val="nil"/>
            </w:tcBorders>
            <w:shd w:val="clear" w:color="000000" w:fill="FFFFFF"/>
            <w:noWrap/>
            <w:vAlign w:val="bottom"/>
            <w:hideMark/>
          </w:tcPr>
          <w:p w:rsidR="005D101F" w:rsidRPr="00394801" w:rsidRDefault="005D101F" w:rsidP="005830FB">
            <w:pPr>
              <w:rPr>
                <w:color w:val="000000"/>
                <w:sz w:val="22"/>
                <w:szCs w:val="20"/>
                <w:lang w:val="es-GT" w:eastAsia="es-GT"/>
              </w:rPr>
            </w:pPr>
            <w:r w:rsidRPr="00394801">
              <w:rPr>
                <w:color w:val="000000"/>
                <w:sz w:val="22"/>
                <w:szCs w:val="20"/>
                <w:lang w:val="es-GT" w:eastAsia="es-GT"/>
              </w:rPr>
              <w:t xml:space="preserve">Estructura de la </w:t>
            </w:r>
            <w:r w:rsidR="005830FB" w:rsidRPr="00394801">
              <w:rPr>
                <w:color w:val="000000"/>
                <w:sz w:val="22"/>
                <w:szCs w:val="20"/>
                <w:lang w:val="es-GT" w:eastAsia="es-GT"/>
              </w:rPr>
              <w:t>D</w:t>
            </w:r>
            <w:r w:rsidRPr="00394801">
              <w:rPr>
                <w:color w:val="000000"/>
                <w:sz w:val="22"/>
                <w:szCs w:val="20"/>
                <w:lang w:val="es-GT" w:eastAsia="es-GT"/>
              </w:rPr>
              <w:t xml:space="preserve">euda por </w:t>
            </w:r>
            <w:r w:rsidR="005830FB" w:rsidRPr="00394801">
              <w:rPr>
                <w:color w:val="000000"/>
                <w:sz w:val="22"/>
                <w:szCs w:val="20"/>
                <w:lang w:val="es-GT" w:eastAsia="es-GT"/>
              </w:rPr>
              <w:t>O</w:t>
            </w:r>
            <w:r w:rsidRPr="00394801">
              <w:rPr>
                <w:color w:val="000000"/>
                <w:sz w:val="22"/>
                <w:szCs w:val="20"/>
                <w:lang w:val="es-GT" w:eastAsia="es-GT"/>
              </w:rPr>
              <w:t>rigen</w:t>
            </w:r>
          </w:p>
        </w:tc>
        <w:tc>
          <w:tcPr>
            <w:tcW w:w="1952" w:type="dxa"/>
            <w:tcBorders>
              <w:top w:val="nil"/>
              <w:left w:val="single" w:sz="8" w:space="0" w:color="auto"/>
              <w:bottom w:val="nil"/>
              <w:right w:val="single" w:sz="8" w:space="0" w:color="auto"/>
            </w:tcBorders>
            <w:shd w:val="clear" w:color="000000" w:fill="FFFFFF"/>
            <w:noWrap/>
            <w:vAlign w:val="bottom"/>
            <w:hideMark/>
          </w:tcPr>
          <w:p w:rsidR="005D101F" w:rsidRPr="00394801" w:rsidRDefault="005D101F" w:rsidP="005D101F">
            <w:pPr>
              <w:rPr>
                <w:color w:val="000000"/>
                <w:sz w:val="22"/>
                <w:szCs w:val="20"/>
                <w:lang w:val="es-GT" w:eastAsia="es-GT"/>
              </w:rPr>
            </w:pPr>
            <w:r w:rsidRPr="00394801">
              <w:rPr>
                <w:color w:val="000000"/>
                <w:sz w:val="22"/>
                <w:szCs w:val="20"/>
                <w:lang w:val="es-GT" w:eastAsia="es-GT"/>
              </w:rPr>
              <w:t> </w:t>
            </w:r>
          </w:p>
        </w:tc>
        <w:tc>
          <w:tcPr>
            <w:tcW w:w="1985" w:type="dxa"/>
            <w:tcBorders>
              <w:top w:val="nil"/>
              <w:left w:val="single" w:sz="4" w:space="0" w:color="auto"/>
              <w:bottom w:val="nil"/>
              <w:right w:val="single" w:sz="8" w:space="0" w:color="auto"/>
            </w:tcBorders>
            <w:shd w:val="clear" w:color="000000" w:fill="FFFFFF"/>
            <w:noWrap/>
            <w:vAlign w:val="bottom"/>
            <w:hideMark/>
          </w:tcPr>
          <w:p w:rsidR="005D101F" w:rsidRPr="00394801" w:rsidRDefault="005D101F" w:rsidP="005D101F">
            <w:pPr>
              <w:rPr>
                <w:color w:val="000000"/>
                <w:sz w:val="22"/>
                <w:szCs w:val="20"/>
                <w:lang w:val="es-GT" w:eastAsia="es-GT"/>
              </w:rPr>
            </w:pPr>
            <w:r w:rsidRPr="00394801">
              <w:rPr>
                <w:color w:val="000000"/>
                <w:sz w:val="22"/>
                <w:szCs w:val="20"/>
                <w:lang w:val="es-GT" w:eastAsia="es-GT"/>
              </w:rPr>
              <w:t> </w:t>
            </w:r>
          </w:p>
        </w:tc>
      </w:tr>
      <w:tr w:rsidR="005D101F" w:rsidRPr="005D101F" w:rsidTr="005D101F">
        <w:trPr>
          <w:trHeight w:val="345"/>
        </w:trPr>
        <w:tc>
          <w:tcPr>
            <w:tcW w:w="3434" w:type="dxa"/>
            <w:tcBorders>
              <w:top w:val="nil"/>
              <w:left w:val="single" w:sz="8" w:space="0" w:color="auto"/>
              <w:bottom w:val="nil"/>
              <w:right w:val="nil"/>
            </w:tcBorders>
            <w:shd w:val="clear" w:color="000000" w:fill="FFFFFF"/>
            <w:noWrap/>
            <w:vAlign w:val="bottom"/>
            <w:hideMark/>
          </w:tcPr>
          <w:p w:rsidR="005D101F" w:rsidRPr="00394801" w:rsidRDefault="005D101F" w:rsidP="00394801">
            <w:pPr>
              <w:ind w:firstLineChars="200" w:firstLine="440"/>
              <w:rPr>
                <w:color w:val="000000"/>
                <w:sz w:val="22"/>
                <w:szCs w:val="20"/>
                <w:lang w:val="es-GT" w:eastAsia="es-GT"/>
              </w:rPr>
            </w:pPr>
            <w:r w:rsidRPr="00394801">
              <w:rPr>
                <w:color w:val="000000"/>
                <w:sz w:val="22"/>
                <w:szCs w:val="20"/>
                <w:lang w:val="es-GT" w:eastAsia="es-GT"/>
              </w:rPr>
              <w:t>Interna</w:t>
            </w:r>
          </w:p>
        </w:tc>
        <w:tc>
          <w:tcPr>
            <w:tcW w:w="1952" w:type="dxa"/>
            <w:tcBorders>
              <w:top w:val="nil"/>
              <w:left w:val="single" w:sz="8" w:space="0" w:color="auto"/>
              <w:bottom w:val="nil"/>
              <w:right w:val="single" w:sz="8" w:space="0" w:color="auto"/>
            </w:tcBorders>
            <w:shd w:val="clear" w:color="000000" w:fill="FFFFFF"/>
            <w:noWrap/>
            <w:vAlign w:val="bottom"/>
            <w:hideMark/>
          </w:tcPr>
          <w:p w:rsidR="005D101F" w:rsidRPr="00394801" w:rsidRDefault="005D101F" w:rsidP="005D101F">
            <w:pPr>
              <w:jc w:val="right"/>
              <w:rPr>
                <w:color w:val="000000"/>
                <w:sz w:val="22"/>
                <w:szCs w:val="20"/>
                <w:lang w:val="es-GT" w:eastAsia="es-GT"/>
              </w:rPr>
            </w:pPr>
            <w:r w:rsidRPr="00394801">
              <w:rPr>
                <w:color w:val="000000"/>
                <w:sz w:val="22"/>
                <w:szCs w:val="20"/>
                <w:lang w:val="es-GT" w:eastAsia="es-GT"/>
              </w:rPr>
              <w:t>55.4</w:t>
            </w:r>
          </w:p>
        </w:tc>
        <w:tc>
          <w:tcPr>
            <w:tcW w:w="1985" w:type="dxa"/>
            <w:tcBorders>
              <w:top w:val="nil"/>
              <w:left w:val="single" w:sz="4" w:space="0" w:color="auto"/>
              <w:bottom w:val="nil"/>
              <w:right w:val="single" w:sz="8" w:space="0" w:color="auto"/>
            </w:tcBorders>
            <w:shd w:val="clear" w:color="000000" w:fill="FFFFFF"/>
            <w:noWrap/>
            <w:vAlign w:val="bottom"/>
            <w:hideMark/>
          </w:tcPr>
          <w:p w:rsidR="005D101F" w:rsidRPr="00394801" w:rsidRDefault="005D101F" w:rsidP="005D101F">
            <w:pPr>
              <w:jc w:val="right"/>
              <w:rPr>
                <w:color w:val="000000"/>
                <w:sz w:val="22"/>
                <w:szCs w:val="20"/>
                <w:lang w:val="es-GT" w:eastAsia="es-GT"/>
              </w:rPr>
            </w:pPr>
            <w:r w:rsidRPr="00394801">
              <w:rPr>
                <w:color w:val="000000"/>
                <w:sz w:val="22"/>
                <w:szCs w:val="20"/>
                <w:lang w:val="es-GT" w:eastAsia="es-GT"/>
              </w:rPr>
              <w:t>57.3</w:t>
            </w:r>
          </w:p>
        </w:tc>
      </w:tr>
      <w:tr w:rsidR="005D101F" w:rsidRPr="005D101F" w:rsidTr="005D101F">
        <w:trPr>
          <w:trHeight w:val="345"/>
        </w:trPr>
        <w:tc>
          <w:tcPr>
            <w:tcW w:w="3434" w:type="dxa"/>
            <w:tcBorders>
              <w:top w:val="nil"/>
              <w:left w:val="single" w:sz="8" w:space="0" w:color="auto"/>
              <w:bottom w:val="nil"/>
              <w:right w:val="nil"/>
            </w:tcBorders>
            <w:shd w:val="clear" w:color="000000" w:fill="FFFFFF"/>
            <w:noWrap/>
            <w:vAlign w:val="bottom"/>
            <w:hideMark/>
          </w:tcPr>
          <w:p w:rsidR="005D101F" w:rsidRPr="00394801" w:rsidRDefault="005D101F" w:rsidP="00394801">
            <w:pPr>
              <w:ind w:firstLineChars="200" w:firstLine="440"/>
              <w:rPr>
                <w:color w:val="000000"/>
                <w:sz w:val="22"/>
                <w:szCs w:val="20"/>
                <w:lang w:val="es-GT" w:eastAsia="es-GT"/>
              </w:rPr>
            </w:pPr>
            <w:r w:rsidRPr="00394801">
              <w:rPr>
                <w:color w:val="000000"/>
                <w:sz w:val="22"/>
                <w:szCs w:val="20"/>
                <w:lang w:val="es-GT" w:eastAsia="es-GT"/>
              </w:rPr>
              <w:t>Externa</w:t>
            </w:r>
          </w:p>
        </w:tc>
        <w:tc>
          <w:tcPr>
            <w:tcW w:w="1952" w:type="dxa"/>
            <w:tcBorders>
              <w:top w:val="nil"/>
              <w:left w:val="single" w:sz="8" w:space="0" w:color="auto"/>
              <w:bottom w:val="nil"/>
              <w:right w:val="single" w:sz="8" w:space="0" w:color="auto"/>
            </w:tcBorders>
            <w:shd w:val="clear" w:color="000000" w:fill="FFFFFF"/>
            <w:noWrap/>
            <w:vAlign w:val="bottom"/>
            <w:hideMark/>
          </w:tcPr>
          <w:p w:rsidR="005D101F" w:rsidRPr="00394801" w:rsidRDefault="005D101F" w:rsidP="005D101F">
            <w:pPr>
              <w:jc w:val="right"/>
              <w:rPr>
                <w:color w:val="000000"/>
                <w:sz w:val="22"/>
                <w:szCs w:val="20"/>
                <w:lang w:val="es-GT" w:eastAsia="es-GT"/>
              </w:rPr>
            </w:pPr>
            <w:r w:rsidRPr="00394801">
              <w:rPr>
                <w:color w:val="000000"/>
                <w:sz w:val="22"/>
                <w:szCs w:val="20"/>
                <w:lang w:val="es-GT" w:eastAsia="es-GT"/>
              </w:rPr>
              <w:t>44.6</w:t>
            </w:r>
          </w:p>
        </w:tc>
        <w:tc>
          <w:tcPr>
            <w:tcW w:w="1985" w:type="dxa"/>
            <w:tcBorders>
              <w:top w:val="nil"/>
              <w:left w:val="single" w:sz="4" w:space="0" w:color="auto"/>
              <w:bottom w:val="nil"/>
              <w:right w:val="single" w:sz="8" w:space="0" w:color="auto"/>
            </w:tcBorders>
            <w:shd w:val="clear" w:color="000000" w:fill="FFFFFF"/>
            <w:noWrap/>
            <w:vAlign w:val="bottom"/>
            <w:hideMark/>
          </w:tcPr>
          <w:p w:rsidR="005D101F" w:rsidRPr="00394801" w:rsidRDefault="005D101F" w:rsidP="005D101F">
            <w:pPr>
              <w:jc w:val="right"/>
              <w:rPr>
                <w:color w:val="000000"/>
                <w:sz w:val="22"/>
                <w:szCs w:val="20"/>
                <w:lang w:val="es-GT" w:eastAsia="es-GT"/>
              </w:rPr>
            </w:pPr>
            <w:r w:rsidRPr="00394801">
              <w:rPr>
                <w:color w:val="000000"/>
                <w:sz w:val="22"/>
                <w:szCs w:val="20"/>
                <w:lang w:val="es-GT" w:eastAsia="es-GT"/>
              </w:rPr>
              <w:t>42.7</w:t>
            </w:r>
          </w:p>
        </w:tc>
      </w:tr>
      <w:tr w:rsidR="005D101F" w:rsidRPr="005D101F" w:rsidTr="005D101F">
        <w:trPr>
          <w:trHeight w:val="345"/>
        </w:trPr>
        <w:tc>
          <w:tcPr>
            <w:tcW w:w="3434" w:type="dxa"/>
            <w:tcBorders>
              <w:top w:val="nil"/>
              <w:left w:val="single" w:sz="8" w:space="0" w:color="auto"/>
              <w:bottom w:val="nil"/>
              <w:right w:val="nil"/>
            </w:tcBorders>
            <w:shd w:val="clear" w:color="000000" w:fill="FFFFFF"/>
            <w:noWrap/>
            <w:vAlign w:val="bottom"/>
            <w:hideMark/>
          </w:tcPr>
          <w:p w:rsidR="005D101F" w:rsidRPr="00394801" w:rsidRDefault="005D101F" w:rsidP="00CB03B8">
            <w:pPr>
              <w:rPr>
                <w:color w:val="000000"/>
                <w:sz w:val="22"/>
                <w:szCs w:val="20"/>
                <w:lang w:val="es-GT" w:eastAsia="es-GT"/>
              </w:rPr>
            </w:pPr>
            <w:r w:rsidRPr="00394801">
              <w:rPr>
                <w:color w:val="000000"/>
                <w:sz w:val="22"/>
                <w:szCs w:val="20"/>
                <w:lang w:val="es-GT" w:eastAsia="es-GT"/>
              </w:rPr>
              <w:t xml:space="preserve">Estructura de la </w:t>
            </w:r>
            <w:r w:rsidR="005830FB" w:rsidRPr="00394801">
              <w:rPr>
                <w:color w:val="000000"/>
                <w:sz w:val="22"/>
                <w:szCs w:val="20"/>
                <w:lang w:val="es-GT" w:eastAsia="es-GT"/>
              </w:rPr>
              <w:t xml:space="preserve">Deuda </w:t>
            </w:r>
            <w:r w:rsidRPr="00394801">
              <w:rPr>
                <w:color w:val="000000"/>
                <w:sz w:val="22"/>
                <w:szCs w:val="20"/>
                <w:lang w:val="es-GT" w:eastAsia="es-GT"/>
              </w:rPr>
              <w:t>por Moneda</w:t>
            </w:r>
          </w:p>
        </w:tc>
        <w:tc>
          <w:tcPr>
            <w:tcW w:w="1952" w:type="dxa"/>
            <w:tcBorders>
              <w:top w:val="nil"/>
              <w:left w:val="single" w:sz="8" w:space="0" w:color="auto"/>
              <w:bottom w:val="nil"/>
              <w:right w:val="single" w:sz="8" w:space="0" w:color="auto"/>
            </w:tcBorders>
            <w:shd w:val="clear" w:color="000000" w:fill="FFFFFF"/>
            <w:noWrap/>
            <w:vAlign w:val="bottom"/>
            <w:hideMark/>
          </w:tcPr>
          <w:p w:rsidR="005D101F" w:rsidRPr="00394801" w:rsidRDefault="005D101F" w:rsidP="005D101F">
            <w:pPr>
              <w:rPr>
                <w:color w:val="000000"/>
                <w:sz w:val="22"/>
                <w:szCs w:val="20"/>
                <w:lang w:val="es-GT" w:eastAsia="es-GT"/>
              </w:rPr>
            </w:pPr>
            <w:r w:rsidRPr="00394801">
              <w:rPr>
                <w:color w:val="000000"/>
                <w:sz w:val="22"/>
                <w:szCs w:val="20"/>
                <w:lang w:val="es-GT" w:eastAsia="es-GT"/>
              </w:rPr>
              <w:t> </w:t>
            </w:r>
          </w:p>
        </w:tc>
        <w:tc>
          <w:tcPr>
            <w:tcW w:w="1985" w:type="dxa"/>
            <w:tcBorders>
              <w:top w:val="nil"/>
              <w:left w:val="single" w:sz="4" w:space="0" w:color="auto"/>
              <w:bottom w:val="nil"/>
              <w:right w:val="single" w:sz="8" w:space="0" w:color="auto"/>
            </w:tcBorders>
            <w:shd w:val="clear" w:color="000000" w:fill="FFFFFF"/>
            <w:noWrap/>
            <w:vAlign w:val="bottom"/>
            <w:hideMark/>
          </w:tcPr>
          <w:p w:rsidR="005D101F" w:rsidRPr="00394801" w:rsidRDefault="005D101F" w:rsidP="005D101F">
            <w:pPr>
              <w:rPr>
                <w:color w:val="000000"/>
                <w:sz w:val="22"/>
                <w:szCs w:val="20"/>
                <w:lang w:val="es-GT" w:eastAsia="es-GT"/>
              </w:rPr>
            </w:pPr>
            <w:r w:rsidRPr="00394801">
              <w:rPr>
                <w:color w:val="000000"/>
                <w:sz w:val="22"/>
                <w:szCs w:val="20"/>
                <w:lang w:val="es-GT" w:eastAsia="es-GT"/>
              </w:rPr>
              <w:t> </w:t>
            </w:r>
          </w:p>
        </w:tc>
      </w:tr>
      <w:tr w:rsidR="005D101F" w:rsidRPr="005D101F" w:rsidTr="005D101F">
        <w:trPr>
          <w:trHeight w:val="345"/>
        </w:trPr>
        <w:tc>
          <w:tcPr>
            <w:tcW w:w="3434" w:type="dxa"/>
            <w:tcBorders>
              <w:top w:val="nil"/>
              <w:left w:val="single" w:sz="8" w:space="0" w:color="auto"/>
              <w:bottom w:val="nil"/>
              <w:right w:val="nil"/>
            </w:tcBorders>
            <w:shd w:val="clear" w:color="000000" w:fill="FFFFFF"/>
            <w:noWrap/>
            <w:vAlign w:val="bottom"/>
            <w:hideMark/>
          </w:tcPr>
          <w:p w:rsidR="005D101F" w:rsidRPr="00394801" w:rsidRDefault="005D101F" w:rsidP="00394801">
            <w:pPr>
              <w:ind w:firstLineChars="200" w:firstLine="440"/>
              <w:rPr>
                <w:color w:val="000000"/>
                <w:sz w:val="22"/>
                <w:szCs w:val="20"/>
                <w:lang w:val="es-GT" w:eastAsia="es-GT"/>
              </w:rPr>
            </w:pPr>
            <w:r w:rsidRPr="00394801">
              <w:rPr>
                <w:color w:val="000000"/>
                <w:sz w:val="22"/>
                <w:szCs w:val="20"/>
                <w:lang w:val="es-GT" w:eastAsia="es-GT"/>
              </w:rPr>
              <w:t>Quetzales</w:t>
            </w:r>
          </w:p>
        </w:tc>
        <w:tc>
          <w:tcPr>
            <w:tcW w:w="1952" w:type="dxa"/>
            <w:tcBorders>
              <w:top w:val="nil"/>
              <w:left w:val="single" w:sz="8" w:space="0" w:color="auto"/>
              <w:bottom w:val="nil"/>
              <w:right w:val="single" w:sz="8" w:space="0" w:color="auto"/>
            </w:tcBorders>
            <w:shd w:val="clear" w:color="000000" w:fill="FFFFFF"/>
            <w:noWrap/>
            <w:vAlign w:val="bottom"/>
            <w:hideMark/>
          </w:tcPr>
          <w:p w:rsidR="005D101F" w:rsidRPr="00394801" w:rsidRDefault="005D101F" w:rsidP="005D101F">
            <w:pPr>
              <w:jc w:val="right"/>
              <w:rPr>
                <w:color w:val="000000"/>
                <w:sz w:val="22"/>
                <w:szCs w:val="20"/>
                <w:lang w:val="es-GT" w:eastAsia="es-GT"/>
              </w:rPr>
            </w:pPr>
            <w:r w:rsidRPr="00394801">
              <w:rPr>
                <w:color w:val="000000"/>
                <w:sz w:val="22"/>
                <w:szCs w:val="20"/>
                <w:lang w:val="es-GT" w:eastAsia="es-GT"/>
              </w:rPr>
              <w:t>51.4</w:t>
            </w:r>
          </w:p>
        </w:tc>
        <w:tc>
          <w:tcPr>
            <w:tcW w:w="1985" w:type="dxa"/>
            <w:tcBorders>
              <w:top w:val="nil"/>
              <w:left w:val="single" w:sz="4" w:space="0" w:color="auto"/>
              <w:bottom w:val="nil"/>
              <w:right w:val="single" w:sz="8" w:space="0" w:color="auto"/>
            </w:tcBorders>
            <w:shd w:val="clear" w:color="000000" w:fill="FFFFFF"/>
            <w:noWrap/>
            <w:vAlign w:val="bottom"/>
            <w:hideMark/>
          </w:tcPr>
          <w:p w:rsidR="005D101F" w:rsidRPr="00394801" w:rsidRDefault="005D101F" w:rsidP="005D101F">
            <w:pPr>
              <w:jc w:val="right"/>
              <w:rPr>
                <w:color w:val="000000"/>
                <w:sz w:val="22"/>
                <w:szCs w:val="20"/>
                <w:lang w:val="es-GT" w:eastAsia="es-GT"/>
              </w:rPr>
            </w:pPr>
            <w:r w:rsidRPr="00394801">
              <w:rPr>
                <w:color w:val="000000"/>
                <w:sz w:val="22"/>
                <w:szCs w:val="20"/>
                <w:lang w:val="es-GT" w:eastAsia="es-GT"/>
              </w:rPr>
              <w:t>54.0</w:t>
            </w:r>
          </w:p>
        </w:tc>
      </w:tr>
      <w:tr w:rsidR="005D101F" w:rsidRPr="005D101F" w:rsidTr="005D101F">
        <w:trPr>
          <w:trHeight w:val="345"/>
        </w:trPr>
        <w:tc>
          <w:tcPr>
            <w:tcW w:w="3434" w:type="dxa"/>
            <w:tcBorders>
              <w:top w:val="nil"/>
              <w:left w:val="single" w:sz="8" w:space="0" w:color="auto"/>
              <w:bottom w:val="single" w:sz="8" w:space="0" w:color="auto"/>
              <w:right w:val="nil"/>
            </w:tcBorders>
            <w:shd w:val="clear" w:color="000000" w:fill="FFFFFF"/>
            <w:noWrap/>
            <w:vAlign w:val="bottom"/>
            <w:hideMark/>
          </w:tcPr>
          <w:p w:rsidR="005D101F" w:rsidRPr="00394801" w:rsidRDefault="005D101F" w:rsidP="00394801">
            <w:pPr>
              <w:ind w:firstLineChars="200" w:firstLine="440"/>
              <w:rPr>
                <w:color w:val="000000"/>
                <w:sz w:val="22"/>
                <w:szCs w:val="20"/>
                <w:lang w:val="es-GT" w:eastAsia="es-GT"/>
              </w:rPr>
            </w:pPr>
            <w:r w:rsidRPr="00394801">
              <w:rPr>
                <w:color w:val="000000"/>
                <w:sz w:val="22"/>
                <w:szCs w:val="20"/>
                <w:lang w:val="es-GT" w:eastAsia="es-GT"/>
              </w:rPr>
              <w:t>Dólares</w:t>
            </w:r>
          </w:p>
        </w:tc>
        <w:tc>
          <w:tcPr>
            <w:tcW w:w="1952" w:type="dxa"/>
            <w:tcBorders>
              <w:top w:val="nil"/>
              <w:left w:val="single" w:sz="8" w:space="0" w:color="auto"/>
              <w:bottom w:val="single" w:sz="8" w:space="0" w:color="auto"/>
              <w:right w:val="single" w:sz="8" w:space="0" w:color="auto"/>
            </w:tcBorders>
            <w:shd w:val="clear" w:color="000000" w:fill="FFFFFF"/>
            <w:noWrap/>
            <w:vAlign w:val="bottom"/>
            <w:hideMark/>
          </w:tcPr>
          <w:p w:rsidR="005D101F" w:rsidRPr="00394801" w:rsidRDefault="005D101F" w:rsidP="005D101F">
            <w:pPr>
              <w:jc w:val="right"/>
              <w:rPr>
                <w:color w:val="000000"/>
                <w:sz w:val="22"/>
                <w:szCs w:val="20"/>
                <w:lang w:val="es-GT" w:eastAsia="es-GT"/>
              </w:rPr>
            </w:pPr>
            <w:r w:rsidRPr="00394801">
              <w:rPr>
                <w:color w:val="000000"/>
                <w:sz w:val="22"/>
                <w:szCs w:val="20"/>
                <w:lang w:val="es-GT" w:eastAsia="es-GT"/>
              </w:rPr>
              <w:t>48.6</w:t>
            </w:r>
          </w:p>
        </w:tc>
        <w:tc>
          <w:tcPr>
            <w:tcW w:w="1985" w:type="dxa"/>
            <w:tcBorders>
              <w:top w:val="nil"/>
              <w:left w:val="single" w:sz="4" w:space="0" w:color="auto"/>
              <w:bottom w:val="single" w:sz="8" w:space="0" w:color="auto"/>
              <w:right w:val="single" w:sz="8" w:space="0" w:color="auto"/>
            </w:tcBorders>
            <w:shd w:val="clear" w:color="000000" w:fill="FFFFFF"/>
            <w:noWrap/>
            <w:vAlign w:val="bottom"/>
            <w:hideMark/>
          </w:tcPr>
          <w:p w:rsidR="005D101F" w:rsidRPr="00394801" w:rsidRDefault="005D101F" w:rsidP="005D101F">
            <w:pPr>
              <w:jc w:val="right"/>
              <w:rPr>
                <w:color w:val="000000"/>
                <w:sz w:val="22"/>
                <w:szCs w:val="20"/>
                <w:lang w:val="es-GT" w:eastAsia="es-GT"/>
              </w:rPr>
            </w:pPr>
            <w:r w:rsidRPr="00394801">
              <w:rPr>
                <w:color w:val="000000"/>
                <w:sz w:val="22"/>
                <w:szCs w:val="20"/>
                <w:lang w:val="es-GT" w:eastAsia="es-GT"/>
              </w:rPr>
              <w:t>46.0</w:t>
            </w:r>
          </w:p>
        </w:tc>
      </w:tr>
    </w:tbl>
    <w:p w:rsidR="00DB0F04" w:rsidRPr="00394801" w:rsidRDefault="00394801" w:rsidP="00DB0F04">
      <w:pPr>
        <w:autoSpaceDE w:val="0"/>
        <w:autoSpaceDN w:val="0"/>
        <w:adjustRightInd w:val="0"/>
        <w:ind w:firstLine="708"/>
        <w:jc w:val="both"/>
        <w:rPr>
          <w:sz w:val="18"/>
        </w:rPr>
      </w:pPr>
      <w:r>
        <w:rPr>
          <w:sz w:val="18"/>
        </w:rPr>
        <w:t xml:space="preserve">   </w:t>
      </w:r>
      <w:r w:rsidR="00DB0F04" w:rsidRPr="00394801">
        <w:rPr>
          <w:sz w:val="18"/>
        </w:rPr>
        <w:t xml:space="preserve">Fuente: </w:t>
      </w:r>
      <w:r w:rsidR="005D101F" w:rsidRPr="00394801">
        <w:rPr>
          <w:sz w:val="18"/>
        </w:rPr>
        <w:t>Ministerio de Finanzas Públicas.</w:t>
      </w:r>
    </w:p>
    <w:p w:rsidR="00DB0F04" w:rsidRPr="00394801" w:rsidRDefault="00DB0F04" w:rsidP="00DB0F04">
      <w:pPr>
        <w:autoSpaceDE w:val="0"/>
        <w:autoSpaceDN w:val="0"/>
        <w:adjustRightInd w:val="0"/>
        <w:jc w:val="both"/>
        <w:rPr>
          <w:sz w:val="18"/>
        </w:rPr>
      </w:pPr>
    </w:p>
    <w:p w:rsidR="00DB0F04" w:rsidRDefault="00DB0F04" w:rsidP="00DB0F04">
      <w:pPr>
        <w:autoSpaceDE w:val="0"/>
        <w:autoSpaceDN w:val="0"/>
        <w:adjustRightInd w:val="0"/>
        <w:jc w:val="both"/>
        <w:rPr>
          <w:sz w:val="16"/>
        </w:rPr>
      </w:pPr>
    </w:p>
    <w:p w:rsidR="00DB0F04" w:rsidRDefault="00DB0F04" w:rsidP="00DB0F04">
      <w:pPr>
        <w:autoSpaceDE w:val="0"/>
        <w:autoSpaceDN w:val="0"/>
        <w:adjustRightInd w:val="0"/>
        <w:jc w:val="both"/>
        <w:rPr>
          <w:sz w:val="16"/>
        </w:rPr>
      </w:pPr>
    </w:p>
    <w:p w:rsidR="00DB0F04" w:rsidRDefault="00DB0F04" w:rsidP="00DB0F04">
      <w:pPr>
        <w:rPr>
          <w:sz w:val="16"/>
        </w:rPr>
      </w:pPr>
      <w:r>
        <w:rPr>
          <w:sz w:val="16"/>
        </w:rPr>
        <w:br w:type="page"/>
      </w:r>
    </w:p>
    <w:p w:rsidR="00A57870" w:rsidRPr="003C1FEE" w:rsidRDefault="00A57870" w:rsidP="00CC1383">
      <w:pPr>
        <w:jc w:val="both"/>
        <w:rPr>
          <w:noProof/>
          <w:lang w:val="es-MX"/>
        </w:rPr>
      </w:pPr>
    </w:p>
    <w:p w:rsidR="004B5DF5" w:rsidRPr="00FD5912" w:rsidRDefault="004B5DF5" w:rsidP="0059599D">
      <w:pPr>
        <w:pStyle w:val="Ttulo1"/>
        <w:numPr>
          <w:ilvl w:val="0"/>
          <w:numId w:val="2"/>
        </w:numPr>
        <w:tabs>
          <w:tab w:val="num" w:pos="0"/>
        </w:tabs>
        <w:suppressAutoHyphens/>
        <w:ind w:left="709"/>
      </w:pPr>
      <w:bookmarkStart w:id="28" w:name="_Toc494447094"/>
      <w:bookmarkStart w:id="29" w:name="_Toc51925258"/>
      <w:r w:rsidRPr="00FD5912">
        <w:t>Aspectos Relevantes de</w:t>
      </w:r>
      <w:r w:rsidR="00B20C2F" w:rsidRPr="00FD5912">
        <w:t>l Primer Semestre</w:t>
      </w:r>
      <w:r w:rsidRPr="00FD5912">
        <w:t xml:space="preserve"> 20</w:t>
      </w:r>
      <w:r w:rsidR="00A57870" w:rsidRPr="00FD5912">
        <w:t>20</w:t>
      </w:r>
      <w:bookmarkEnd w:id="28"/>
      <w:r w:rsidR="009340C5" w:rsidRPr="00FD5912">
        <w:t xml:space="preserve"> y su </w:t>
      </w:r>
      <w:r w:rsidR="000D2458" w:rsidRPr="00FD5912">
        <w:t>c</w:t>
      </w:r>
      <w:r w:rsidR="009340C5" w:rsidRPr="00FD5912">
        <w:t xml:space="preserve">ontinuidad </w:t>
      </w:r>
      <w:r w:rsidR="00EA1931" w:rsidRPr="00FD5912">
        <w:t>para</w:t>
      </w:r>
      <w:r w:rsidR="009340C5" w:rsidRPr="00FD5912">
        <w:t xml:space="preserve"> </w:t>
      </w:r>
      <w:r w:rsidR="000D2458" w:rsidRPr="00FD5912">
        <w:t>F</w:t>
      </w:r>
      <w:r w:rsidR="009340C5" w:rsidRPr="00FD5912">
        <w:t xml:space="preserve">in de </w:t>
      </w:r>
      <w:r w:rsidR="000D2458" w:rsidRPr="00FD5912">
        <w:t>A</w:t>
      </w:r>
      <w:r w:rsidR="009340C5" w:rsidRPr="00FD5912">
        <w:t>ño</w:t>
      </w:r>
      <w:bookmarkEnd w:id="29"/>
    </w:p>
    <w:p w:rsidR="004B5DF5" w:rsidRPr="003C1FEE" w:rsidRDefault="004B5DF5" w:rsidP="004B5DF5">
      <w:pPr>
        <w:jc w:val="both"/>
        <w:rPr>
          <w:highlight w:val="green"/>
        </w:rPr>
      </w:pPr>
    </w:p>
    <w:p w:rsidR="004B5DF5" w:rsidRPr="00D845D9" w:rsidRDefault="004B5DF5" w:rsidP="00F073BE">
      <w:pPr>
        <w:pStyle w:val="Ttulo2"/>
        <w:numPr>
          <w:ilvl w:val="1"/>
          <w:numId w:val="10"/>
        </w:numPr>
        <w:rPr>
          <w:rFonts w:ascii="Times New Roman" w:hAnsi="Times New Roman"/>
          <w:color w:val="auto"/>
          <w:sz w:val="24"/>
        </w:rPr>
      </w:pPr>
      <w:bookmarkStart w:id="30" w:name="_Toc51925259"/>
      <w:r w:rsidRPr="00D845D9">
        <w:rPr>
          <w:rFonts w:ascii="Times New Roman" w:hAnsi="Times New Roman"/>
          <w:color w:val="auto"/>
          <w:sz w:val="24"/>
        </w:rPr>
        <w:t xml:space="preserve">Logros </w:t>
      </w:r>
      <w:r w:rsidR="00EE1310">
        <w:rPr>
          <w:rFonts w:ascii="Times New Roman" w:hAnsi="Times New Roman"/>
          <w:color w:val="auto"/>
          <w:sz w:val="24"/>
        </w:rPr>
        <w:t>sobre</w:t>
      </w:r>
      <w:r w:rsidRPr="00D845D9">
        <w:rPr>
          <w:rFonts w:ascii="Times New Roman" w:hAnsi="Times New Roman"/>
          <w:color w:val="auto"/>
          <w:sz w:val="24"/>
        </w:rPr>
        <w:t xml:space="preserve"> Transparencia Fiscal</w:t>
      </w:r>
      <w:bookmarkEnd w:id="30"/>
    </w:p>
    <w:p w:rsidR="004B5DF5" w:rsidRPr="003C1FEE" w:rsidRDefault="004B5DF5" w:rsidP="004B5DF5">
      <w:pPr>
        <w:pStyle w:val="Prrafodelista"/>
        <w:ind w:left="284"/>
        <w:jc w:val="both"/>
        <w:rPr>
          <w:b/>
          <w:sz w:val="32"/>
        </w:rPr>
      </w:pPr>
    </w:p>
    <w:p w:rsidR="002E2D91" w:rsidRDefault="00EA1931" w:rsidP="00EA1931">
      <w:pPr>
        <w:jc w:val="both"/>
        <w:rPr>
          <w:lang w:val="es-ES_tradnl"/>
        </w:rPr>
      </w:pPr>
      <w:r w:rsidRPr="006D17DE">
        <w:rPr>
          <w:b/>
          <w:i/>
          <w:lang w:val="es-ES_tradnl"/>
        </w:rPr>
        <w:t>Cuarto Plan de Acción Nacional de Gobierno Abierto 2018-2020.</w:t>
      </w:r>
      <w:r w:rsidRPr="00CD0AF0">
        <w:rPr>
          <w:b/>
          <w:lang w:val="es-ES_tradnl"/>
        </w:rPr>
        <w:t xml:space="preserve"> </w:t>
      </w:r>
      <w:r w:rsidR="00D70208">
        <w:rPr>
          <w:lang w:val="es-ES_tradnl"/>
        </w:rPr>
        <w:t>E</w:t>
      </w:r>
      <w:r w:rsidR="008624DF">
        <w:rPr>
          <w:lang w:val="es-ES_tradnl"/>
        </w:rPr>
        <w:t>ste Plan inició</w:t>
      </w:r>
      <w:r w:rsidR="00D70208">
        <w:rPr>
          <w:lang w:val="es-ES_tradnl"/>
        </w:rPr>
        <w:t xml:space="preserve"> su vigencia a partir del </w:t>
      </w:r>
      <w:r w:rsidR="002E2D91">
        <w:rPr>
          <w:lang w:val="es-ES_tradnl"/>
        </w:rPr>
        <w:t xml:space="preserve">1 de diciembre de 2018 y </w:t>
      </w:r>
      <w:r w:rsidR="00D70208">
        <w:rPr>
          <w:lang w:val="es-ES_tradnl"/>
        </w:rPr>
        <w:t>finalizó el</w:t>
      </w:r>
      <w:r w:rsidR="00673DBE">
        <w:rPr>
          <w:lang w:val="es-ES_tradnl"/>
        </w:rPr>
        <w:t xml:space="preserve"> 3</w:t>
      </w:r>
      <w:r w:rsidR="00D70208">
        <w:rPr>
          <w:lang w:val="es-ES_tradnl"/>
        </w:rPr>
        <w:t>0</w:t>
      </w:r>
      <w:r w:rsidR="00673DBE">
        <w:rPr>
          <w:lang w:val="es-ES_tradnl"/>
        </w:rPr>
        <w:t xml:space="preserve"> de</w:t>
      </w:r>
      <w:r w:rsidR="002E2D91">
        <w:rPr>
          <w:lang w:val="es-ES_tradnl"/>
        </w:rPr>
        <w:t xml:space="preserve"> </w:t>
      </w:r>
      <w:r w:rsidR="0038239E">
        <w:rPr>
          <w:lang w:val="es-ES_tradnl"/>
        </w:rPr>
        <w:t>agosto</w:t>
      </w:r>
      <w:r w:rsidR="002E2D91">
        <w:rPr>
          <w:lang w:val="es-ES_tradnl"/>
        </w:rPr>
        <w:t xml:space="preserve"> de 2020.</w:t>
      </w:r>
      <w:r w:rsidR="00661659">
        <w:rPr>
          <w:lang w:val="es-ES_tradnl"/>
        </w:rPr>
        <w:t xml:space="preserve"> Durante ese período de tiempo</w:t>
      </w:r>
      <w:r w:rsidR="00AA2FE4">
        <w:rPr>
          <w:lang w:val="es-ES_tradnl"/>
        </w:rPr>
        <w:t>,</w:t>
      </w:r>
      <w:r w:rsidR="00661659">
        <w:rPr>
          <w:lang w:val="es-ES_tradnl"/>
        </w:rPr>
        <w:t xml:space="preserve"> las entidades públicas directamente responsables de compromisos e hitos</w:t>
      </w:r>
      <w:r w:rsidR="003C332C">
        <w:rPr>
          <w:lang w:val="es-ES_tradnl"/>
        </w:rPr>
        <w:t>,</w:t>
      </w:r>
      <w:r w:rsidR="00661659">
        <w:rPr>
          <w:lang w:val="es-ES_tradnl"/>
        </w:rPr>
        <w:t xml:space="preserve"> </w:t>
      </w:r>
      <w:r w:rsidR="00670EBA">
        <w:rPr>
          <w:lang w:val="es-ES_tradnl"/>
        </w:rPr>
        <w:t>diseñaron</w:t>
      </w:r>
      <w:r w:rsidR="00AA2FE4">
        <w:rPr>
          <w:lang w:val="es-ES_tradnl"/>
        </w:rPr>
        <w:t xml:space="preserve"> e implementaron acciones, procesos, sistemas, normas y herramientas</w:t>
      </w:r>
      <w:r w:rsidR="00670EBA">
        <w:rPr>
          <w:lang w:val="es-ES_tradnl"/>
        </w:rPr>
        <w:t>,</w:t>
      </w:r>
      <w:r w:rsidR="00AA2FE4">
        <w:rPr>
          <w:lang w:val="es-ES_tradnl"/>
        </w:rPr>
        <w:t xml:space="preserve"> con el propósito de </w:t>
      </w:r>
      <w:r w:rsidR="00861769">
        <w:rPr>
          <w:lang w:val="es-ES_tradnl"/>
        </w:rPr>
        <w:t>lograr un alto porcentaje de cumplimiento</w:t>
      </w:r>
      <w:r w:rsidR="003C332C">
        <w:rPr>
          <w:lang w:val="es-ES_tradnl"/>
        </w:rPr>
        <w:t xml:space="preserve">. Desafortunadamente, la </w:t>
      </w:r>
      <w:r w:rsidR="00670EBA">
        <w:rPr>
          <w:lang w:val="es-ES_tradnl"/>
        </w:rPr>
        <w:t>emergencia</w:t>
      </w:r>
      <w:r w:rsidR="009D6854">
        <w:rPr>
          <w:lang w:val="es-ES_tradnl"/>
        </w:rPr>
        <w:t xml:space="preserve"> y calamidad pública</w:t>
      </w:r>
      <w:r w:rsidR="00670EBA">
        <w:rPr>
          <w:lang w:val="es-ES_tradnl"/>
        </w:rPr>
        <w:t xml:space="preserve"> </w:t>
      </w:r>
      <w:r w:rsidR="00B9245D">
        <w:rPr>
          <w:lang w:val="es-ES_tradnl"/>
        </w:rPr>
        <w:t>declarada</w:t>
      </w:r>
      <w:r w:rsidR="00670EBA">
        <w:rPr>
          <w:lang w:val="es-ES_tradnl"/>
        </w:rPr>
        <w:t xml:space="preserve"> por la </w:t>
      </w:r>
      <w:r w:rsidR="003C332C">
        <w:rPr>
          <w:lang w:val="es-ES_tradnl"/>
        </w:rPr>
        <w:t xml:space="preserve">pandemia </w:t>
      </w:r>
      <w:r w:rsidR="00670EBA">
        <w:rPr>
          <w:lang w:val="es-ES_tradnl"/>
        </w:rPr>
        <w:t>del</w:t>
      </w:r>
      <w:r w:rsidR="003C332C">
        <w:rPr>
          <w:lang w:val="es-ES_tradnl"/>
        </w:rPr>
        <w:t xml:space="preserve"> Covid-19 afectó seriamente el buen desempeño que se había alcanzado hasta diciembre de 2019. Desde </w:t>
      </w:r>
      <w:r w:rsidR="008624DF">
        <w:rPr>
          <w:lang w:val="es-ES_tradnl"/>
        </w:rPr>
        <w:t>el primer trimestre</w:t>
      </w:r>
      <w:r w:rsidR="003C332C">
        <w:rPr>
          <w:lang w:val="es-ES_tradnl"/>
        </w:rPr>
        <w:t xml:space="preserve"> de 2020, varias entidades públicas debieron implementar acciones prioritarias para contrarrestar los efectos de la </w:t>
      </w:r>
      <w:r w:rsidR="00B9245D">
        <w:rPr>
          <w:lang w:val="es-ES_tradnl"/>
        </w:rPr>
        <w:t xml:space="preserve">referida </w:t>
      </w:r>
      <w:r w:rsidR="003C332C">
        <w:rPr>
          <w:lang w:val="es-ES_tradnl"/>
        </w:rPr>
        <w:t>pandemia, situación que en algunos casos implicó desviar esfuerzos y recursos que previamente se habían programado para</w:t>
      </w:r>
      <w:r w:rsidR="009D6854">
        <w:rPr>
          <w:lang w:val="es-ES_tradnl"/>
        </w:rPr>
        <w:t xml:space="preserve"> lograr</w:t>
      </w:r>
      <w:r w:rsidR="003C332C">
        <w:rPr>
          <w:lang w:val="es-ES_tradnl"/>
        </w:rPr>
        <w:t xml:space="preserve"> el adecuado cumplimiento de los compromisos </w:t>
      </w:r>
      <w:r w:rsidR="009D6854">
        <w:rPr>
          <w:lang w:val="es-ES_tradnl"/>
        </w:rPr>
        <w:t xml:space="preserve">y metas </w:t>
      </w:r>
      <w:r w:rsidR="003C332C">
        <w:rPr>
          <w:lang w:val="es-ES_tradnl"/>
        </w:rPr>
        <w:t>del citado Plan de Gobierno Abierto.</w:t>
      </w:r>
    </w:p>
    <w:p w:rsidR="002E2D91" w:rsidRDefault="002E2D91" w:rsidP="00EA1931">
      <w:pPr>
        <w:jc w:val="both"/>
        <w:rPr>
          <w:lang w:val="es-ES_tradnl"/>
        </w:rPr>
      </w:pPr>
    </w:p>
    <w:p w:rsidR="009D6854" w:rsidRDefault="009D6854" w:rsidP="00EA1931">
      <w:pPr>
        <w:jc w:val="both"/>
        <w:rPr>
          <w:lang w:val="es-ES_tradnl"/>
        </w:rPr>
      </w:pPr>
      <w:r>
        <w:rPr>
          <w:lang w:val="es-ES_tradnl"/>
        </w:rPr>
        <w:t xml:space="preserve">No obstante y considerando que los Planes de Gobierno Abierto se constituyen en compromisos adquiridos por el </w:t>
      </w:r>
      <w:r w:rsidR="00F2130D">
        <w:rPr>
          <w:lang w:val="es-ES_tradnl"/>
        </w:rPr>
        <w:t>Estado de Guatemala</w:t>
      </w:r>
      <w:r>
        <w:rPr>
          <w:lang w:val="es-ES_tradnl"/>
        </w:rPr>
        <w:t xml:space="preserve"> ante organizaciones de sociedad civil</w:t>
      </w:r>
      <w:r w:rsidR="00385AA1">
        <w:rPr>
          <w:lang w:val="es-ES_tradnl"/>
        </w:rPr>
        <w:t xml:space="preserve"> y comunidad internacional</w:t>
      </w:r>
      <w:r w:rsidR="005446B8">
        <w:rPr>
          <w:lang w:val="es-ES_tradnl"/>
        </w:rPr>
        <w:t>, mismas</w:t>
      </w:r>
      <w:r>
        <w:rPr>
          <w:lang w:val="es-ES_tradnl"/>
        </w:rPr>
        <w:t xml:space="preserve"> que han depositado su confianza en dich</w:t>
      </w:r>
      <w:r w:rsidR="00385AA1">
        <w:rPr>
          <w:lang w:val="es-ES_tradnl"/>
        </w:rPr>
        <w:t xml:space="preserve">a iniciativa internacional de transparencia, las entidades públicas redoblaron esfuerzos a manera de desarrollar paralelamente las actividades para la atención de la </w:t>
      </w:r>
      <w:r w:rsidR="00CE515A">
        <w:rPr>
          <w:lang w:val="es-ES_tradnl"/>
        </w:rPr>
        <w:t>suscitada</w:t>
      </w:r>
      <w:r w:rsidR="00385AA1">
        <w:rPr>
          <w:lang w:val="es-ES_tradnl"/>
        </w:rPr>
        <w:t xml:space="preserve"> </w:t>
      </w:r>
      <w:r w:rsidR="00CE515A">
        <w:rPr>
          <w:lang w:val="es-ES_tradnl"/>
        </w:rPr>
        <w:t>emergencia</w:t>
      </w:r>
      <w:r w:rsidR="00385AA1">
        <w:rPr>
          <w:lang w:val="es-ES_tradnl"/>
        </w:rPr>
        <w:t>, así como</w:t>
      </w:r>
      <w:r w:rsidR="00CE515A">
        <w:rPr>
          <w:lang w:val="es-ES_tradnl"/>
        </w:rPr>
        <w:t>,</w:t>
      </w:r>
      <w:r w:rsidR="00385AA1">
        <w:rPr>
          <w:lang w:val="es-ES_tradnl"/>
        </w:rPr>
        <w:t xml:space="preserve"> para </w:t>
      </w:r>
      <w:r w:rsidR="00CE515A">
        <w:rPr>
          <w:lang w:val="es-ES_tradnl"/>
        </w:rPr>
        <w:t>dar</w:t>
      </w:r>
      <w:r w:rsidR="00385AA1">
        <w:rPr>
          <w:lang w:val="es-ES_tradnl"/>
        </w:rPr>
        <w:t xml:space="preserve"> continuidad y seguimiento </w:t>
      </w:r>
      <w:r w:rsidR="00CE515A">
        <w:rPr>
          <w:lang w:val="es-ES_tradnl"/>
        </w:rPr>
        <w:t>a</w:t>
      </w:r>
      <w:r w:rsidR="00385AA1">
        <w:rPr>
          <w:lang w:val="es-ES_tradnl"/>
        </w:rPr>
        <w:t xml:space="preserve"> los compromisos </w:t>
      </w:r>
      <w:r w:rsidR="005446B8">
        <w:rPr>
          <w:lang w:val="es-ES_tradnl"/>
        </w:rPr>
        <w:t>acordados en el</w:t>
      </w:r>
      <w:r w:rsidR="00385AA1">
        <w:rPr>
          <w:lang w:val="es-ES_tradnl"/>
        </w:rPr>
        <w:t xml:space="preserve"> Cuarto Plan de Acción Nacional de Gobierno Abierto 2018-2020.</w:t>
      </w:r>
    </w:p>
    <w:p w:rsidR="009D6854" w:rsidRDefault="009D6854" w:rsidP="00EA1931">
      <w:pPr>
        <w:jc w:val="both"/>
        <w:rPr>
          <w:lang w:val="es-ES_tradnl"/>
        </w:rPr>
      </w:pPr>
    </w:p>
    <w:p w:rsidR="00EA1931" w:rsidRPr="00CD0AF0" w:rsidRDefault="00CE515A" w:rsidP="00EA1931">
      <w:pPr>
        <w:jc w:val="both"/>
        <w:rPr>
          <w:lang w:val="es-ES_tradnl"/>
        </w:rPr>
      </w:pPr>
      <w:r>
        <w:rPr>
          <w:lang w:val="es-ES_tradnl"/>
        </w:rPr>
        <w:t>Cuando se formuló el citado</w:t>
      </w:r>
      <w:r w:rsidR="00EC56BD">
        <w:rPr>
          <w:lang w:val="es-ES_tradnl"/>
        </w:rPr>
        <w:t xml:space="preserve"> Plan</w:t>
      </w:r>
      <w:r>
        <w:rPr>
          <w:lang w:val="es-ES_tradnl"/>
        </w:rPr>
        <w:t>,</w:t>
      </w:r>
      <w:r w:rsidR="00EC56BD">
        <w:rPr>
          <w:lang w:val="es-ES_tradnl"/>
        </w:rPr>
        <w:t xml:space="preserve"> </w:t>
      </w:r>
      <w:r w:rsidR="00EA1931" w:rsidRPr="00CD0AF0">
        <w:rPr>
          <w:lang w:val="es-ES_tradnl"/>
        </w:rPr>
        <w:t xml:space="preserve">se </w:t>
      </w:r>
      <w:r>
        <w:rPr>
          <w:lang w:val="es-ES_tradnl"/>
        </w:rPr>
        <w:t>realizaron</w:t>
      </w:r>
      <w:r w:rsidR="00EA1931" w:rsidRPr="00CD0AF0">
        <w:rPr>
          <w:lang w:val="es-ES_tradnl"/>
        </w:rPr>
        <w:t xml:space="preserve"> </w:t>
      </w:r>
      <w:r w:rsidR="00356F12">
        <w:rPr>
          <w:lang w:val="es-ES_tradnl"/>
        </w:rPr>
        <w:t xml:space="preserve">varias reuniones de trabajo </w:t>
      </w:r>
      <w:r w:rsidR="008C62B0">
        <w:rPr>
          <w:lang w:val="es-ES_tradnl"/>
        </w:rPr>
        <w:t>de</w:t>
      </w:r>
      <w:r w:rsidR="00356F12">
        <w:rPr>
          <w:lang w:val="es-ES_tradnl"/>
        </w:rPr>
        <w:t xml:space="preserve"> la Mesa de Gobierno Abierto (MGA) y seis</w:t>
      </w:r>
      <w:r w:rsidR="00EA1931" w:rsidRPr="00CD0AF0">
        <w:rPr>
          <w:lang w:val="es-ES_tradnl"/>
        </w:rPr>
        <w:t xml:space="preserve"> Foros</w:t>
      </w:r>
      <w:r>
        <w:rPr>
          <w:lang w:val="es-ES_tradnl"/>
        </w:rPr>
        <w:t xml:space="preserve"> Regionales</w:t>
      </w:r>
      <w:r w:rsidR="00EA1931" w:rsidRPr="00CD0AF0">
        <w:rPr>
          <w:lang w:val="es-ES_tradnl"/>
        </w:rPr>
        <w:t xml:space="preserve"> de Consulta Ciudadana en el interior del país, para conocer los requerimientos </w:t>
      </w:r>
      <w:r w:rsidR="00356F12">
        <w:rPr>
          <w:lang w:val="es-ES_tradnl"/>
        </w:rPr>
        <w:t xml:space="preserve">y sugerencias </w:t>
      </w:r>
      <w:r w:rsidR="00EA1931" w:rsidRPr="00CD0AF0">
        <w:rPr>
          <w:lang w:val="es-ES_tradnl"/>
        </w:rPr>
        <w:t xml:space="preserve">de la sociedad civil organizada o no, sobre </w:t>
      </w:r>
      <w:r w:rsidR="00902D65">
        <w:rPr>
          <w:lang w:val="es-ES_tradnl"/>
        </w:rPr>
        <w:t>aspectos de</w:t>
      </w:r>
      <w:r w:rsidR="00EA1931" w:rsidRPr="00CD0AF0">
        <w:rPr>
          <w:lang w:val="es-ES_tradnl"/>
        </w:rPr>
        <w:t xml:space="preserve"> Gobierno Abierto. </w:t>
      </w:r>
      <w:r w:rsidR="00902D65">
        <w:rPr>
          <w:lang w:val="es-ES_tradnl"/>
        </w:rPr>
        <w:t>Como p</w:t>
      </w:r>
      <w:r w:rsidR="00356F12">
        <w:rPr>
          <w:lang w:val="es-ES_tradnl"/>
        </w:rPr>
        <w:t xml:space="preserve">roducto de dichas acciones, se formularon y acordaron 24 compromisos </w:t>
      </w:r>
      <w:r w:rsidR="00AB513D">
        <w:rPr>
          <w:lang w:val="es-ES_tradnl"/>
        </w:rPr>
        <w:t>integrados por</w:t>
      </w:r>
      <w:r w:rsidR="00A87063">
        <w:rPr>
          <w:lang w:val="es-ES_tradnl"/>
        </w:rPr>
        <w:t xml:space="preserve"> 137 hitos o metas, </w:t>
      </w:r>
      <w:r w:rsidR="00AB513D">
        <w:rPr>
          <w:lang w:val="es-ES_tradnl"/>
        </w:rPr>
        <w:t xml:space="preserve">y </w:t>
      </w:r>
      <w:r w:rsidR="00A87063">
        <w:rPr>
          <w:lang w:val="es-ES_tradnl"/>
        </w:rPr>
        <w:t xml:space="preserve">agrupados en los </w:t>
      </w:r>
      <w:r w:rsidR="00EA1931" w:rsidRPr="00CD0AF0">
        <w:rPr>
          <w:lang w:val="es-ES_tradnl"/>
        </w:rPr>
        <w:t xml:space="preserve">12 </w:t>
      </w:r>
      <w:r w:rsidR="008C62B0">
        <w:rPr>
          <w:lang w:val="es-ES_tradnl"/>
        </w:rPr>
        <w:t>e</w:t>
      </w:r>
      <w:r w:rsidR="00EA1931" w:rsidRPr="00CD0AF0">
        <w:rPr>
          <w:lang w:val="es-ES_tradnl"/>
        </w:rPr>
        <w:t>jes</w:t>
      </w:r>
      <w:r w:rsidR="00A87063">
        <w:rPr>
          <w:lang w:val="es-ES_tradnl"/>
        </w:rPr>
        <w:t xml:space="preserve"> </w:t>
      </w:r>
      <w:r w:rsidR="008C62B0">
        <w:rPr>
          <w:lang w:val="es-ES_tradnl"/>
        </w:rPr>
        <w:t>t</w:t>
      </w:r>
      <w:r w:rsidR="00A87063">
        <w:rPr>
          <w:lang w:val="es-ES_tradnl"/>
        </w:rPr>
        <w:t>emáticos que a continuación se indican</w:t>
      </w:r>
      <w:r w:rsidR="00EA1931" w:rsidRPr="00CD0AF0">
        <w:rPr>
          <w:lang w:val="es-ES_tradnl"/>
        </w:rPr>
        <w:t>:</w:t>
      </w:r>
    </w:p>
    <w:p w:rsidR="00EA1931" w:rsidRPr="00CD0AF0" w:rsidRDefault="00EA1931" w:rsidP="00EA1931">
      <w:pPr>
        <w:jc w:val="both"/>
        <w:rPr>
          <w:lang w:val="es-ES_tradnl"/>
        </w:rPr>
      </w:pPr>
    </w:p>
    <w:p w:rsidR="00E14952" w:rsidRPr="00CD0AF0" w:rsidRDefault="00E14952" w:rsidP="00F073BE">
      <w:pPr>
        <w:pStyle w:val="Prrafodelista"/>
        <w:numPr>
          <w:ilvl w:val="0"/>
          <w:numId w:val="8"/>
        </w:numPr>
        <w:jc w:val="both"/>
        <w:rPr>
          <w:lang w:val="es-ES_tradnl"/>
        </w:rPr>
      </w:pPr>
      <w:r w:rsidRPr="00CD0AF0">
        <w:rPr>
          <w:lang w:val="es-ES_tradnl"/>
        </w:rPr>
        <w:t>Ambiente</w:t>
      </w:r>
      <w:r>
        <w:rPr>
          <w:lang w:val="es-ES_tradnl"/>
        </w:rPr>
        <w:t>,</w:t>
      </w:r>
      <w:r w:rsidRPr="00CD0AF0">
        <w:rPr>
          <w:lang w:val="es-ES_tradnl"/>
        </w:rPr>
        <w:t xml:space="preserve"> </w:t>
      </w:r>
      <w:r>
        <w:rPr>
          <w:lang w:val="es-ES_tradnl"/>
        </w:rPr>
        <w:t>R</w:t>
      </w:r>
      <w:r w:rsidRPr="00CD0AF0">
        <w:rPr>
          <w:lang w:val="es-ES_tradnl"/>
        </w:rPr>
        <w:t xml:space="preserve">ecursos </w:t>
      </w:r>
      <w:r>
        <w:rPr>
          <w:lang w:val="es-ES_tradnl"/>
        </w:rPr>
        <w:t>N</w:t>
      </w:r>
      <w:r w:rsidRPr="00CD0AF0">
        <w:rPr>
          <w:lang w:val="es-ES_tradnl"/>
        </w:rPr>
        <w:t>aturales</w:t>
      </w:r>
      <w:r>
        <w:rPr>
          <w:lang w:val="es-ES_tradnl"/>
        </w:rPr>
        <w:t xml:space="preserve"> y Gestión de Riesgo.</w:t>
      </w:r>
    </w:p>
    <w:p w:rsidR="00EA1931" w:rsidRPr="00CD0AF0" w:rsidRDefault="00EA1931" w:rsidP="00F073BE">
      <w:pPr>
        <w:pStyle w:val="Prrafodelista"/>
        <w:numPr>
          <w:ilvl w:val="0"/>
          <w:numId w:val="8"/>
        </w:numPr>
        <w:jc w:val="both"/>
        <w:rPr>
          <w:lang w:val="es-ES_tradnl"/>
        </w:rPr>
      </w:pPr>
      <w:r w:rsidRPr="00CD0AF0">
        <w:rPr>
          <w:lang w:val="es-ES_tradnl"/>
        </w:rPr>
        <w:t>Educación</w:t>
      </w:r>
      <w:r>
        <w:rPr>
          <w:lang w:val="es-ES_tradnl"/>
        </w:rPr>
        <w:t>.</w:t>
      </w:r>
    </w:p>
    <w:p w:rsidR="00E14952" w:rsidRPr="00CD0AF0" w:rsidRDefault="00E14952" w:rsidP="00F073BE">
      <w:pPr>
        <w:pStyle w:val="Prrafodelista"/>
        <w:numPr>
          <w:ilvl w:val="0"/>
          <w:numId w:val="8"/>
        </w:numPr>
        <w:jc w:val="both"/>
        <w:rPr>
          <w:lang w:val="es-ES_tradnl"/>
        </w:rPr>
      </w:pPr>
      <w:r w:rsidRPr="00CD0AF0">
        <w:rPr>
          <w:lang w:val="es-ES_tradnl"/>
        </w:rPr>
        <w:t xml:space="preserve">Fortalecimiento </w:t>
      </w:r>
      <w:r>
        <w:rPr>
          <w:lang w:val="es-ES_tradnl"/>
        </w:rPr>
        <w:t>I</w:t>
      </w:r>
      <w:r w:rsidRPr="00CD0AF0">
        <w:rPr>
          <w:lang w:val="es-ES_tradnl"/>
        </w:rPr>
        <w:t xml:space="preserve">nstitucional en </w:t>
      </w:r>
      <w:r>
        <w:rPr>
          <w:lang w:val="es-ES_tradnl"/>
        </w:rPr>
        <w:t>S</w:t>
      </w:r>
      <w:r w:rsidRPr="00CD0AF0">
        <w:rPr>
          <w:lang w:val="es-ES_tradnl"/>
        </w:rPr>
        <w:t>eguridad</w:t>
      </w:r>
      <w:r>
        <w:rPr>
          <w:lang w:val="es-ES_tradnl"/>
        </w:rPr>
        <w:t>.</w:t>
      </w:r>
    </w:p>
    <w:p w:rsidR="00E14952" w:rsidRPr="00CD0AF0" w:rsidRDefault="00E14952" w:rsidP="00F073BE">
      <w:pPr>
        <w:pStyle w:val="Prrafodelista"/>
        <w:numPr>
          <w:ilvl w:val="0"/>
          <w:numId w:val="8"/>
        </w:numPr>
        <w:jc w:val="both"/>
        <w:rPr>
          <w:lang w:val="es-ES_tradnl"/>
        </w:rPr>
      </w:pPr>
      <w:r w:rsidRPr="00CD0AF0">
        <w:rPr>
          <w:lang w:val="es-ES_tradnl"/>
        </w:rPr>
        <w:t xml:space="preserve">Gobierno </w:t>
      </w:r>
      <w:r>
        <w:rPr>
          <w:lang w:val="es-ES_tradnl"/>
        </w:rPr>
        <w:t>E</w:t>
      </w:r>
      <w:r w:rsidRPr="00CD0AF0">
        <w:rPr>
          <w:lang w:val="es-ES_tradnl"/>
        </w:rPr>
        <w:t xml:space="preserve">lectrónico y </w:t>
      </w:r>
      <w:r>
        <w:rPr>
          <w:lang w:val="es-ES_tradnl"/>
        </w:rPr>
        <w:t>S</w:t>
      </w:r>
      <w:r w:rsidRPr="00CD0AF0">
        <w:rPr>
          <w:lang w:val="es-ES_tradnl"/>
        </w:rPr>
        <w:t xml:space="preserve">ervicios </w:t>
      </w:r>
      <w:r>
        <w:rPr>
          <w:lang w:val="es-ES_tradnl"/>
        </w:rPr>
        <w:t>P</w:t>
      </w:r>
      <w:r w:rsidRPr="00CD0AF0">
        <w:rPr>
          <w:lang w:val="es-ES_tradnl"/>
        </w:rPr>
        <w:t xml:space="preserve">úblicos en </w:t>
      </w:r>
      <w:r>
        <w:rPr>
          <w:lang w:val="es-ES_tradnl"/>
        </w:rPr>
        <w:t>L</w:t>
      </w:r>
      <w:r w:rsidRPr="00CD0AF0">
        <w:rPr>
          <w:lang w:val="es-ES_tradnl"/>
        </w:rPr>
        <w:t>ínea</w:t>
      </w:r>
      <w:r>
        <w:rPr>
          <w:lang w:val="es-ES_tradnl"/>
        </w:rPr>
        <w:t>.</w:t>
      </w:r>
    </w:p>
    <w:p w:rsidR="00E14952" w:rsidRPr="00CD0AF0" w:rsidRDefault="00E14952" w:rsidP="00F073BE">
      <w:pPr>
        <w:pStyle w:val="Prrafodelista"/>
        <w:numPr>
          <w:ilvl w:val="0"/>
          <w:numId w:val="8"/>
        </w:numPr>
        <w:jc w:val="both"/>
        <w:rPr>
          <w:lang w:val="es-ES_tradnl"/>
        </w:rPr>
      </w:pPr>
      <w:r w:rsidRPr="00CD0AF0">
        <w:rPr>
          <w:lang w:val="es-ES_tradnl"/>
        </w:rPr>
        <w:t xml:space="preserve">Gobiernos </w:t>
      </w:r>
      <w:r>
        <w:rPr>
          <w:lang w:val="es-ES_tradnl"/>
        </w:rPr>
        <w:t>L</w:t>
      </w:r>
      <w:r w:rsidRPr="00CD0AF0">
        <w:rPr>
          <w:lang w:val="es-ES_tradnl"/>
        </w:rPr>
        <w:t>ocales</w:t>
      </w:r>
      <w:r>
        <w:rPr>
          <w:lang w:val="es-ES_tradnl"/>
        </w:rPr>
        <w:t>.</w:t>
      </w:r>
    </w:p>
    <w:p w:rsidR="00E14952" w:rsidRPr="00CD0AF0" w:rsidRDefault="00E14952" w:rsidP="00F073BE">
      <w:pPr>
        <w:pStyle w:val="Prrafodelista"/>
        <w:numPr>
          <w:ilvl w:val="0"/>
          <w:numId w:val="8"/>
        </w:numPr>
        <w:jc w:val="both"/>
        <w:rPr>
          <w:lang w:val="es-ES_tradnl"/>
        </w:rPr>
      </w:pPr>
      <w:r w:rsidRPr="00CD0AF0">
        <w:rPr>
          <w:lang w:val="es-ES_tradnl"/>
        </w:rPr>
        <w:t xml:space="preserve">Innovación en la </w:t>
      </w:r>
      <w:r>
        <w:rPr>
          <w:lang w:val="es-ES_tradnl"/>
        </w:rPr>
        <w:t>G</w:t>
      </w:r>
      <w:r w:rsidRPr="00CD0AF0">
        <w:rPr>
          <w:lang w:val="es-ES_tradnl"/>
        </w:rPr>
        <w:t xml:space="preserve">estión </w:t>
      </w:r>
      <w:r>
        <w:rPr>
          <w:lang w:val="es-ES_tradnl"/>
        </w:rPr>
        <w:t>P</w:t>
      </w:r>
      <w:r w:rsidRPr="00CD0AF0">
        <w:rPr>
          <w:lang w:val="es-ES_tradnl"/>
        </w:rPr>
        <w:t>ública</w:t>
      </w:r>
      <w:r>
        <w:rPr>
          <w:lang w:val="es-ES_tradnl"/>
        </w:rPr>
        <w:t>.</w:t>
      </w:r>
    </w:p>
    <w:p w:rsidR="00E14952" w:rsidRPr="00CD0AF0" w:rsidRDefault="00E14952" w:rsidP="00F073BE">
      <w:pPr>
        <w:pStyle w:val="Prrafodelista"/>
        <w:numPr>
          <w:ilvl w:val="0"/>
          <w:numId w:val="8"/>
        </w:numPr>
        <w:jc w:val="both"/>
        <w:rPr>
          <w:lang w:val="es-ES_tradnl"/>
        </w:rPr>
      </w:pPr>
      <w:r w:rsidRPr="00CD0AF0">
        <w:rPr>
          <w:lang w:val="es-ES_tradnl"/>
        </w:rPr>
        <w:t xml:space="preserve">Inversión y </w:t>
      </w:r>
      <w:r>
        <w:rPr>
          <w:lang w:val="es-ES_tradnl"/>
        </w:rPr>
        <w:t>E</w:t>
      </w:r>
      <w:r w:rsidRPr="00CD0AF0">
        <w:rPr>
          <w:lang w:val="es-ES_tradnl"/>
        </w:rPr>
        <w:t>mpleo</w:t>
      </w:r>
      <w:r>
        <w:rPr>
          <w:lang w:val="es-ES_tradnl"/>
        </w:rPr>
        <w:t>.</w:t>
      </w:r>
    </w:p>
    <w:p w:rsidR="00E14952" w:rsidRPr="00CD0AF0" w:rsidRDefault="00E14952" w:rsidP="00F073BE">
      <w:pPr>
        <w:pStyle w:val="Prrafodelista"/>
        <w:numPr>
          <w:ilvl w:val="0"/>
          <w:numId w:val="8"/>
        </w:numPr>
        <w:jc w:val="both"/>
        <w:rPr>
          <w:lang w:val="es-ES_tradnl"/>
        </w:rPr>
      </w:pPr>
      <w:r w:rsidRPr="00CD0AF0">
        <w:rPr>
          <w:lang w:val="es-ES_tradnl"/>
        </w:rPr>
        <w:t xml:space="preserve">Mecanismos de </w:t>
      </w:r>
      <w:r>
        <w:rPr>
          <w:lang w:val="es-ES_tradnl"/>
        </w:rPr>
        <w:t>T</w:t>
      </w:r>
      <w:r w:rsidRPr="00CD0AF0">
        <w:rPr>
          <w:lang w:val="es-ES_tradnl"/>
        </w:rPr>
        <w:t xml:space="preserve">ransparencia y </w:t>
      </w:r>
      <w:r>
        <w:rPr>
          <w:lang w:val="es-ES_tradnl"/>
        </w:rPr>
        <w:t>A</w:t>
      </w:r>
      <w:r w:rsidRPr="00CD0AF0">
        <w:rPr>
          <w:lang w:val="es-ES_tradnl"/>
        </w:rPr>
        <w:t>nticorrupción</w:t>
      </w:r>
      <w:r>
        <w:rPr>
          <w:lang w:val="es-ES_tradnl"/>
        </w:rPr>
        <w:t>.</w:t>
      </w:r>
    </w:p>
    <w:p w:rsidR="00E14952" w:rsidRPr="00CD0AF0" w:rsidRDefault="00E14952" w:rsidP="00F073BE">
      <w:pPr>
        <w:pStyle w:val="Prrafodelista"/>
        <w:numPr>
          <w:ilvl w:val="0"/>
          <w:numId w:val="8"/>
        </w:numPr>
        <w:jc w:val="both"/>
        <w:rPr>
          <w:lang w:val="es-ES_tradnl"/>
        </w:rPr>
      </w:pPr>
      <w:r w:rsidRPr="00CD0AF0">
        <w:rPr>
          <w:lang w:val="es-ES_tradnl"/>
        </w:rPr>
        <w:t xml:space="preserve">Protección e </w:t>
      </w:r>
      <w:r>
        <w:rPr>
          <w:lang w:val="es-ES_tradnl"/>
        </w:rPr>
        <w:t>I</w:t>
      </w:r>
      <w:r w:rsidRPr="00CD0AF0">
        <w:rPr>
          <w:lang w:val="es-ES_tradnl"/>
        </w:rPr>
        <w:t xml:space="preserve">nclusión </w:t>
      </w:r>
      <w:r>
        <w:rPr>
          <w:lang w:val="es-ES_tradnl"/>
        </w:rPr>
        <w:t>S</w:t>
      </w:r>
      <w:r w:rsidRPr="00CD0AF0">
        <w:rPr>
          <w:lang w:val="es-ES_tradnl"/>
        </w:rPr>
        <w:t>ocial</w:t>
      </w:r>
      <w:r>
        <w:rPr>
          <w:lang w:val="es-ES_tradnl"/>
        </w:rPr>
        <w:t>.</w:t>
      </w:r>
    </w:p>
    <w:p w:rsidR="00E14952" w:rsidRPr="00CD0AF0" w:rsidRDefault="00E14952" w:rsidP="00F073BE">
      <w:pPr>
        <w:pStyle w:val="Prrafodelista"/>
        <w:numPr>
          <w:ilvl w:val="0"/>
          <w:numId w:val="8"/>
        </w:numPr>
        <w:jc w:val="both"/>
        <w:rPr>
          <w:lang w:val="es-ES_tradnl"/>
        </w:rPr>
      </w:pPr>
      <w:r w:rsidRPr="00CD0AF0">
        <w:rPr>
          <w:lang w:val="es-ES_tradnl"/>
        </w:rPr>
        <w:t xml:space="preserve">Salud, </w:t>
      </w:r>
      <w:r>
        <w:rPr>
          <w:lang w:val="es-ES_tradnl"/>
        </w:rPr>
        <w:t>S</w:t>
      </w:r>
      <w:r w:rsidRPr="00CD0AF0">
        <w:rPr>
          <w:lang w:val="es-ES_tradnl"/>
        </w:rPr>
        <w:t xml:space="preserve">eguridad </w:t>
      </w:r>
      <w:r>
        <w:rPr>
          <w:lang w:val="es-ES_tradnl"/>
        </w:rPr>
        <w:t>A</w:t>
      </w:r>
      <w:r w:rsidRPr="00CD0AF0">
        <w:rPr>
          <w:lang w:val="es-ES_tradnl"/>
        </w:rPr>
        <w:t xml:space="preserve">limentaria y </w:t>
      </w:r>
      <w:r>
        <w:rPr>
          <w:lang w:val="es-ES_tradnl"/>
        </w:rPr>
        <w:t>N</w:t>
      </w:r>
      <w:r w:rsidRPr="00CD0AF0">
        <w:rPr>
          <w:lang w:val="es-ES_tradnl"/>
        </w:rPr>
        <w:t>utricional</w:t>
      </w:r>
      <w:r>
        <w:rPr>
          <w:lang w:val="es-ES_tradnl"/>
        </w:rPr>
        <w:t>.</w:t>
      </w:r>
    </w:p>
    <w:p w:rsidR="00E14952" w:rsidRDefault="00E14952" w:rsidP="00F073BE">
      <w:pPr>
        <w:pStyle w:val="Prrafodelista"/>
        <w:numPr>
          <w:ilvl w:val="0"/>
          <w:numId w:val="8"/>
        </w:numPr>
        <w:jc w:val="both"/>
        <w:rPr>
          <w:lang w:val="es-ES_tradnl"/>
        </w:rPr>
      </w:pPr>
      <w:r w:rsidRPr="00CD0AF0">
        <w:rPr>
          <w:lang w:val="es-ES_tradnl"/>
        </w:rPr>
        <w:t xml:space="preserve">Transparencia en los </w:t>
      </w:r>
      <w:r>
        <w:rPr>
          <w:lang w:val="es-ES_tradnl"/>
        </w:rPr>
        <w:t>P</w:t>
      </w:r>
      <w:r w:rsidRPr="00CD0AF0">
        <w:rPr>
          <w:lang w:val="es-ES_tradnl"/>
        </w:rPr>
        <w:t xml:space="preserve">rocesos </w:t>
      </w:r>
      <w:r>
        <w:rPr>
          <w:lang w:val="es-ES_tradnl"/>
        </w:rPr>
        <w:t>E</w:t>
      </w:r>
      <w:r w:rsidRPr="00CD0AF0">
        <w:rPr>
          <w:lang w:val="es-ES_tradnl"/>
        </w:rPr>
        <w:t>lectorales</w:t>
      </w:r>
      <w:r>
        <w:rPr>
          <w:lang w:val="es-ES_tradnl"/>
        </w:rPr>
        <w:t>.</w:t>
      </w:r>
    </w:p>
    <w:p w:rsidR="00E14952" w:rsidRPr="00CD0AF0" w:rsidRDefault="00E14952" w:rsidP="00F073BE">
      <w:pPr>
        <w:pStyle w:val="Prrafodelista"/>
        <w:numPr>
          <w:ilvl w:val="0"/>
          <w:numId w:val="8"/>
        </w:numPr>
        <w:jc w:val="both"/>
        <w:rPr>
          <w:lang w:val="es-ES_tradnl"/>
        </w:rPr>
      </w:pPr>
      <w:r w:rsidRPr="00CD0AF0">
        <w:rPr>
          <w:lang w:val="es-ES_tradnl"/>
        </w:rPr>
        <w:t xml:space="preserve">Transparencia </w:t>
      </w:r>
      <w:r>
        <w:rPr>
          <w:lang w:val="es-ES_tradnl"/>
        </w:rPr>
        <w:t>F</w:t>
      </w:r>
      <w:r w:rsidRPr="00CD0AF0">
        <w:rPr>
          <w:lang w:val="es-ES_tradnl"/>
        </w:rPr>
        <w:t xml:space="preserve">iscal, </w:t>
      </w:r>
      <w:r>
        <w:rPr>
          <w:lang w:val="es-ES_tradnl"/>
        </w:rPr>
        <w:t>C</w:t>
      </w:r>
      <w:r w:rsidRPr="00CD0AF0">
        <w:rPr>
          <w:lang w:val="es-ES_tradnl"/>
        </w:rPr>
        <w:t xml:space="preserve">ompras y </w:t>
      </w:r>
      <w:r>
        <w:rPr>
          <w:lang w:val="es-ES_tradnl"/>
        </w:rPr>
        <w:t>C</w:t>
      </w:r>
      <w:r w:rsidRPr="00CD0AF0">
        <w:rPr>
          <w:lang w:val="es-ES_tradnl"/>
        </w:rPr>
        <w:t xml:space="preserve">ontrataciones </w:t>
      </w:r>
      <w:r>
        <w:rPr>
          <w:lang w:val="es-ES_tradnl"/>
        </w:rPr>
        <w:t>P</w:t>
      </w:r>
      <w:r w:rsidRPr="00CD0AF0">
        <w:rPr>
          <w:lang w:val="es-ES_tradnl"/>
        </w:rPr>
        <w:t>úblicas</w:t>
      </w:r>
      <w:r>
        <w:rPr>
          <w:lang w:val="es-ES_tradnl"/>
        </w:rPr>
        <w:t>.</w:t>
      </w:r>
    </w:p>
    <w:p w:rsidR="00EA1931" w:rsidRPr="003C1FEE" w:rsidRDefault="00EA1931" w:rsidP="00EA1931">
      <w:pPr>
        <w:ind w:left="360"/>
        <w:jc w:val="both"/>
        <w:rPr>
          <w:sz w:val="22"/>
          <w:lang w:val="es-ES_tradnl"/>
        </w:rPr>
      </w:pPr>
    </w:p>
    <w:p w:rsidR="00E421CB" w:rsidRDefault="007E2526" w:rsidP="00EA1931">
      <w:pPr>
        <w:jc w:val="both"/>
        <w:rPr>
          <w:lang w:val="es-ES_tradnl"/>
        </w:rPr>
      </w:pPr>
      <w:r>
        <w:rPr>
          <w:lang w:val="es-ES_tradnl"/>
        </w:rPr>
        <w:lastRenderedPageBreak/>
        <w:t xml:space="preserve">Desde la vigencia del </w:t>
      </w:r>
      <w:r w:rsidR="00EA1931" w:rsidRPr="00CD0AF0">
        <w:rPr>
          <w:lang w:val="es-ES_tradnl"/>
        </w:rPr>
        <w:t>Cuarto Plan de Acción Nacional</w:t>
      </w:r>
      <w:r>
        <w:rPr>
          <w:lang w:val="es-ES_tradnl"/>
        </w:rPr>
        <w:t xml:space="preserve"> de Gobierno Abierto 2018-2020, las </w:t>
      </w:r>
      <w:r w:rsidR="00A026B5">
        <w:rPr>
          <w:lang w:val="es-ES_tradnl"/>
        </w:rPr>
        <w:t>entidades</w:t>
      </w:r>
      <w:r>
        <w:rPr>
          <w:lang w:val="es-ES_tradnl"/>
        </w:rPr>
        <w:t xml:space="preserve"> públicas planificar</w:t>
      </w:r>
      <w:r w:rsidR="00E421CB">
        <w:rPr>
          <w:lang w:val="es-ES_tradnl"/>
        </w:rPr>
        <w:t>on</w:t>
      </w:r>
      <w:r>
        <w:rPr>
          <w:lang w:val="es-ES_tradnl"/>
        </w:rPr>
        <w:t>, socializar</w:t>
      </w:r>
      <w:r w:rsidR="00E421CB">
        <w:rPr>
          <w:lang w:val="es-ES_tradnl"/>
        </w:rPr>
        <w:t>on</w:t>
      </w:r>
      <w:r>
        <w:rPr>
          <w:lang w:val="es-ES_tradnl"/>
        </w:rPr>
        <w:t xml:space="preserve"> e implementar</w:t>
      </w:r>
      <w:r w:rsidR="00E421CB">
        <w:rPr>
          <w:lang w:val="es-ES_tradnl"/>
        </w:rPr>
        <w:t>on</w:t>
      </w:r>
      <w:r>
        <w:rPr>
          <w:lang w:val="es-ES_tradnl"/>
        </w:rPr>
        <w:t xml:space="preserve"> acciones para el cumplimiento de sus compromisos</w:t>
      </w:r>
      <w:r w:rsidR="00E421CB">
        <w:rPr>
          <w:lang w:val="es-ES_tradnl"/>
        </w:rPr>
        <w:t xml:space="preserve"> e hitos</w:t>
      </w:r>
      <w:r w:rsidR="00276DE0">
        <w:rPr>
          <w:lang w:val="es-ES_tradnl"/>
        </w:rPr>
        <w:t xml:space="preserve">. En el caso particular del Ministerio de Finanzas Públicas, entidad responsable directa del cumplimiento de los tres compromisos que integran el </w:t>
      </w:r>
      <w:r w:rsidR="00E421CB">
        <w:rPr>
          <w:lang w:val="es-ES_tradnl"/>
        </w:rPr>
        <w:t>E</w:t>
      </w:r>
      <w:r w:rsidR="00276DE0">
        <w:rPr>
          <w:lang w:val="es-ES_tradnl"/>
        </w:rPr>
        <w:t xml:space="preserve">je de Transparencia Fiscal, Compras y Contrataciones Públicas, </w:t>
      </w:r>
      <w:r w:rsidR="00E421CB">
        <w:rPr>
          <w:lang w:val="es-ES_tradnl"/>
        </w:rPr>
        <w:t xml:space="preserve">se realizaron serios esfuerzos que permitieron alcanzar el 98.6% de cumplimiento, habiendo completado satisfactoriamente 10 de </w:t>
      </w:r>
      <w:r w:rsidR="00A026B5">
        <w:rPr>
          <w:lang w:val="es-ES_tradnl"/>
        </w:rPr>
        <w:t>los</w:t>
      </w:r>
      <w:r w:rsidR="00E421CB">
        <w:rPr>
          <w:lang w:val="es-ES_tradnl"/>
        </w:rPr>
        <w:t xml:space="preserve"> 11 hitos bajo su responsabilidad; solamente el hito relacionado con </w:t>
      </w:r>
      <w:r w:rsidR="00EE1310">
        <w:rPr>
          <w:lang w:val="es-ES_tradnl"/>
        </w:rPr>
        <w:t>la aplicación del</w:t>
      </w:r>
      <w:r w:rsidR="00E421CB">
        <w:rPr>
          <w:lang w:val="es-ES_tradnl"/>
        </w:rPr>
        <w:t xml:space="preserve"> estándar de datos abiertos en las contrataciones públicas quedó con </w:t>
      </w:r>
      <w:r w:rsidR="00A026B5">
        <w:rPr>
          <w:lang w:val="es-ES_tradnl"/>
        </w:rPr>
        <w:t xml:space="preserve">el </w:t>
      </w:r>
      <w:r w:rsidR="00E421CB">
        <w:rPr>
          <w:lang w:val="es-ES_tradnl"/>
        </w:rPr>
        <w:t xml:space="preserve">79.0% de avance, existiendo el </w:t>
      </w:r>
      <w:r w:rsidR="00A026B5">
        <w:rPr>
          <w:lang w:val="es-ES_tradnl"/>
        </w:rPr>
        <w:t xml:space="preserve">formal </w:t>
      </w:r>
      <w:r w:rsidR="00E421CB">
        <w:rPr>
          <w:lang w:val="es-ES_tradnl"/>
        </w:rPr>
        <w:t>compromiso de l</w:t>
      </w:r>
      <w:r w:rsidR="00500034">
        <w:rPr>
          <w:lang w:val="es-ES_tradnl"/>
        </w:rPr>
        <w:t>as autoridades superiores de pod</w:t>
      </w:r>
      <w:r w:rsidR="00E421CB">
        <w:rPr>
          <w:lang w:val="es-ES_tradnl"/>
        </w:rPr>
        <w:t xml:space="preserve">er completarlo al 100%, antes de finalizar el </w:t>
      </w:r>
      <w:r w:rsidR="0021580A">
        <w:rPr>
          <w:lang w:val="es-ES_tradnl"/>
        </w:rPr>
        <w:t xml:space="preserve">presente </w:t>
      </w:r>
      <w:r w:rsidR="00E421CB">
        <w:rPr>
          <w:lang w:val="es-ES_tradnl"/>
        </w:rPr>
        <w:t>ejercicio fiscal.</w:t>
      </w:r>
    </w:p>
    <w:p w:rsidR="00E421CB" w:rsidRDefault="00E421CB" w:rsidP="00EA1931">
      <w:pPr>
        <w:jc w:val="both"/>
        <w:rPr>
          <w:lang w:val="es-ES_tradnl"/>
        </w:rPr>
      </w:pPr>
    </w:p>
    <w:p w:rsidR="00BA4480" w:rsidRDefault="00A026B5" w:rsidP="00EA1931">
      <w:pPr>
        <w:jc w:val="both"/>
        <w:rPr>
          <w:lang w:val="es-ES_tradnl"/>
        </w:rPr>
      </w:pPr>
      <w:r>
        <w:rPr>
          <w:lang w:val="es-ES_tradnl"/>
        </w:rPr>
        <w:t>C</w:t>
      </w:r>
      <w:r w:rsidR="00BA4480">
        <w:rPr>
          <w:lang w:val="es-ES_tradnl"/>
        </w:rPr>
        <w:t>onsidera</w:t>
      </w:r>
      <w:r>
        <w:rPr>
          <w:lang w:val="es-ES_tradnl"/>
        </w:rPr>
        <w:t>ndo</w:t>
      </w:r>
      <w:r w:rsidR="00BA4480">
        <w:rPr>
          <w:lang w:val="es-ES_tradnl"/>
        </w:rPr>
        <w:t xml:space="preserve"> que el </w:t>
      </w:r>
      <w:r>
        <w:rPr>
          <w:lang w:val="es-ES_tradnl"/>
        </w:rPr>
        <w:t>citado</w:t>
      </w:r>
      <w:r w:rsidR="00BA4480">
        <w:rPr>
          <w:lang w:val="es-ES_tradnl"/>
        </w:rPr>
        <w:t xml:space="preserve"> Plan de Gobierno Abierto se constituye en un compromiso de Estado ante las organizaciones de sociedad civil</w:t>
      </w:r>
      <w:r>
        <w:rPr>
          <w:lang w:val="es-ES_tradnl"/>
        </w:rPr>
        <w:t>,</w:t>
      </w:r>
      <w:r w:rsidR="00D96286">
        <w:rPr>
          <w:lang w:val="es-ES_tradnl"/>
        </w:rPr>
        <w:t xml:space="preserve"> la Alianza para el Gobierno Abierto (OGP)</w:t>
      </w:r>
      <w:r>
        <w:rPr>
          <w:lang w:val="es-ES_tradnl"/>
        </w:rPr>
        <w:t xml:space="preserve"> y la comunidad internacional</w:t>
      </w:r>
      <w:r w:rsidR="00BA4480">
        <w:rPr>
          <w:lang w:val="es-ES_tradnl"/>
        </w:rPr>
        <w:t xml:space="preserve">, se estima que las instituciones públicas continuarán con </w:t>
      </w:r>
      <w:r w:rsidR="003D0EE1">
        <w:rPr>
          <w:lang w:val="es-ES_tradnl"/>
        </w:rPr>
        <w:t xml:space="preserve">el desarrollo normal para </w:t>
      </w:r>
      <w:r w:rsidR="00BA4480">
        <w:rPr>
          <w:lang w:val="es-ES_tradnl"/>
        </w:rPr>
        <w:t xml:space="preserve">la implementación de </w:t>
      </w:r>
      <w:r w:rsidR="00976CAC">
        <w:rPr>
          <w:lang w:val="es-ES_tradnl"/>
        </w:rPr>
        <w:t xml:space="preserve">las </w:t>
      </w:r>
      <w:r w:rsidR="00BA4480">
        <w:rPr>
          <w:lang w:val="es-ES_tradnl"/>
        </w:rPr>
        <w:t>acciones que les permita</w:t>
      </w:r>
      <w:r w:rsidR="008F5C7A">
        <w:rPr>
          <w:lang w:val="es-ES_tradnl"/>
        </w:rPr>
        <w:t>n</w:t>
      </w:r>
      <w:r w:rsidR="00BA4480">
        <w:rPr>
          <w:lang w:val="es-ES_tradnl"/>
        </w:rPr>
        <w:t xml:space="preserve"> alcanzar la totalidad del cumplimiento de cada uno de sus compromisos y metas</w:t>
      </w:r>
      <w:r>
        <w:rPr>
          <w:lang w:val="es-ES_tradnl"/>
        </w:rPr>
        <w:t>, para que el 82.6% logrado al 30 de agosto de 2020</w:t>
      </w:r>
      <w:r w:rsidR="00F16036">
        <w:rPr>
          <w:lang w:val="es-ES_tradnl"/>
        </w:rPr>
        <w:t>,</w:t>
      </w:r>
      <w:r>
        <w:rPr>
          <w:lang w:val="es-ES_tradnl"/>
        </w:rPr>
        <w:t xml:space="preserve"> cuando finalizó su vigencia, pueda ser superado y con la expectativa de concluir la totalidad de los compromisos e hitos acordados al momento de su formulación, entre las entidades públicas y las organizaciones de sociedad civil participantes.</w:t>
      </w:r>
    </w:p>
    <w:p w:rsidR="003D0EE1" w:rsidRPr="003C1FEE" w:rsidRDefault="003D0EE1" w:rsidP="00EA1931">
      <w:pPr>
        <w:jc w:val="both"/>
        <w:rPr>
          <w:sz w:val="22"/>
          <w:lang w:val="es-ES_tradnl"/>
        </w:rPr>
      </w:pPr>
    </w:p>
    <w:p w:rsidR="004B5DF5" w:rsidRPr="00D845D9" w:rsidRDefault="004B5DF5" w:rsidP="00F073BE">
      <w:pPr>
        <w:pStyle w:val="Ttulo2"/>
        <w:numPr>
          <w:ilvl w:val="1"/>
          <w:numId w:val="10"/>
        </w:numPr>
        <w:rPr>
          <w:rFonts w:ascii="Times New Roman" w:hAnsi="Times New Roman"/>
          <w:color w:val="auto"/>
          <w:sz w:val="24"/>
        </w:rPr>
      </w:pPr>
      <w:bookmarkStart w:id="31" w:name="_Toc51925260"/>
      <w:r w:rsidRPr="00D845D9">
        <w:rPr>
          <w:rFonts w:ascii="Times New Roman" w:hAnsi="Times New Roman"/>
          <w:color w:val="auto"/>
          <w:sz w:val="24"/>
        </w:rPr>
        <w:t xml:space="preserve">Compromisos </w:t>
      </w:r>
      <w:r w:rsidR="00227CBB">
        <w:rPr>
          <w:rFonts w:ascii="Times New Roman" w:hAnsi="Times New Roman"/>
          <w:color w:val="auto"/>
          <w:sz w:val="24"/>
        </w:rPr>
        <w:t xml:space="preserve">e </w:t>
      </w:r>
      <w:r w:rsidR="00F16036">
        <w:rPr>
          <w:rFonts w:ascii="Times New Roman" w:hAnsi="Times New Roman"/>
          <w:color w:val="auto"/>
          <w:sz w:val="24"/>
        </w:rPr>
        <w:t>h</w:t>
      </w:r>
      <w:r w:rsidR="00227CBB">
        <w:rPr>
          <w:rFonts w:ascii="Times New Roman" w:hAnsi="Times New Roman"/>
          <w:color w:val="auto"/>
          <w:sz w:val="24"/>
        </w:rPr>
        <w:t>itos</w:t>
      </w:r>
      <w:r w:rsidRPr="00D845D9">
        <w:rPr>
          <w:rFonts w:ascii="Times New Roman" w:hAnsi="Times New Roman"/>
          <w:color w:val="auto"/>
          <w:sz w:val="24"/>
        </w:rPr>
        <w:t xml:space="preserve"> a cargo del Ministerio de Finanzas Públicas</w:t>
      </w:r>
      <w:r w:rsidR="00877757">
        <w:rPr>
          <w:rFonts w:ascii="Times New Roman" w:hAnsi="Times New Roman"/>
          <w:color w:val="auto"/>
          <w:sz w:val="24"/>
        </w:rPr>
        <w:t xml:space="preserve"> en el Cuarto Plan de Acción Nacional de Gobierno Abierto 2018-2020</w:t>
      </w:r>
      <w:bookmarkEnd w:id="31"/>
    </w:p>
    <w:p w:rsidR="004B5DF5" w:rsidRPr="00877757" w:rsidRDefault="004B5DF5" w:rsidP="004B5DF5">
      <w:pPr>
        <w:jc w:val="both"/>
        <w:rPr>
          <w:rFonts w:eastAsia="Calibri"/>
          <w:b/>
        </w:rPr>
      </w:pPr>
    </w:p>
    <w:p w:rsidR="004B5DF5" w:rsidRPr="0069616A" w:rsidRDefault="004B5DF5" w:rsidP="00F073BE">
      <w:pPr>
        <w:pStyle w:val="Prrafodelista"/>
        <w:numPr>
          <w:ilvl w:val="0"/>
          <w:numId w:val="5"/>
        </w:numPr>
        <w:ind w:left="851" w:hanging="851"/>
        <w:contextualSpacing/>
        <w:jc w:val="both"/>
        <w:rPr>
          <w:rFonts w:eastAsia="Calibri"/>
          <w:b/>
          <w:lang w:val="es-MX"/>
        </w:rPr>
      </w:pPr>
      <w:r w:rsidRPr="0069616A">
        <w:rPr>
          <w:rFonts w:eastAsia="Calibri"/>
          <w:b/>
          <w:lang w:val="es-MX"/>
        </w:rPr>
        <w:t xml:space="preserve">Acciones para </w:t>
      </w:r>
      <w:r w:rsidR="003D0EE1">
        <w:rPr>
          <w:rFonts w:eastAsia="Calibri"/>
          <w:b/>
          <w:lang w:val="es-MX"/>
        </w:rPr>
        <w:t xml:space="preserve">seguir </w:t>
      </w:r>
      <w:r w:rsidRPr="0069616A">
        <w:rPr>
          <w:rFonts w:eastAsia="Calibri"/>
          <w:b/>
          <w:lang w:val="es-MX"/>
        </w:rPr>
        <w:t>avanza</w:t>
      </w:r>
      <w:r w:rsidR="003D0EE1">
        <w:rPr>
          <w:rFonts w:eastAsia="Calibri"/>
          <w:b/>
          <w:lang w:val="es-MX"/>
        </w:rPr>
        <w:t>ndo en la adopción de estándares internacionales de transparencia fiscal, compras y contrataciones</w:t>
      </w:r>
      <w:r w:rsidR="00C86C2A">
        <w:rPr>
          <w:rFonts w:eastAsia="Calibri"/>
          <w:b/>
          <w:lang w:val="es-MX"/>
        </w:rPr>
        <w:t xml:space="preserve"> públicas</w:t>
      </w:r>
      <w:r w:rsidR="00F16036">
        <w:rPr>
          <w:rFonts w:eastAsia="Calibri"/>
          <w:b/>
          <w:lang w:val="es-MX"/>
        </w:rPr>
        <w:t>.</w:t>
      </w:r>
    </w:p>
    <w:p w:rsidR="004B5DF5" w:rsidRPr="00CD0AF0" w:rsidRDefault="003D0EE1" w:rsidP="00F073BE">
      <w:pPr>
        <w:numPr>
          <w:ilvl w:val="1"/>
          <w:numId w:val="4"/>
        </w:numPr>
        <w:contextualSpacing/>
        <w:jc w:val="both"/>
        <w:rPr>
          <w:rFonts w:eastAsia="Calibri"/>
          <w:lang w:val="es-MX"/>
        </w:rPr>
      </w:pPr>
      <w:r>
        <w:rPr>
          <w:rFonts w:eastAsia="Calibri"/>
          <w:lang w:val="es-MX"/>
        </w:rPr>
        <w:t xml:space="preserve">Talleres de sensibilización y capacitación sobre el </w:t>
      </w:r>
      <w:r w:rsidR="00936464">
        <w:rPr>
          <w:rFonts w:eastAsia="Calibri"/>
          <w:lang w:val="es-MX"/>
        </w:rPr>
        <w:t xml:space="preserve">uso del </w:t>
      </w:r>
      <w:r>
        <w:rPr>
          <w:rFonts w:eastAsia="Calibri"/>
          <w:lang w:val="es-MX"/>
        </w:rPr>
        <w:t>módulo de Subasta Electrónica Inversa</w:t>
      </w:r>
      <w:r w:rsidR="00D96286">
        <w:rPr>
          <w:rFonts w:eastAsia="Calibri"/>
          <w:lang w:val="es-MX"/>
        </w:rPr>
        <w:t xml:space="preserve"> (SEI).</w:t>
      </w:r>
    </w:p>
    <w:p w:rsidR="004B5DF5" w:rsidRPr="00CD0AF0" w:rsidRDefault="003D0EE1" w:rsidP="00F073BE">
      <w:pPr>
        <w:numPr>
          <w:ilvl w:val="1"/>
          <w:numId w:val="4"/>
        </w:numPr>
        <w:contextualSpacing/>
        <w:jc w:val="both"/>
        <w:rPr>
          <w:rFonts w:eastAsia="Calibri"/>
          <w:lang w:val="es-MX"/>
        </w:rPr>
      </w:pPr>
      <w:r>
        <w:rPr>
          <w:rFonts w:eastAsia="Calibri"/>
          <w:lang w:val="es-MX"/>
        </w:rPr>
        <w:t xml:space="preserve">Propuesta de iniciativa de ley y reglamento para </w:t>
      </w:r>
      <w:r w:rsidR="00F16036">
        <w:rPr>
          <w:rFonts w:eastAsia="Calibri"/>
          <w:lang w:val="es-MX"/>
        </w:rPr>
        <w:t>el</w:t>
      </w:r>
      <w:r>
        <w:rPr>
          <w:rFonts w:eastAsia="Calibri"/>
          <w:lang w:val="es-MX"/>
        </w:rPr>
        <w:t xml:space="preserve"> registro de beneficiario final</w:t>
      </w:r>
      <w:r w:rsidR="00C86C2A">
        <w:rPr>
          <w:rFonts w:eastAsia="Calibri"/>
          <w:lang w:val="es-MX"/>
        </w:rPr>
        <w:t>,</w:t>
      </w:r>
      <w:r>
        <w:rPr>
          <w:rFonts w:eastAsia="Calibri"/>
          <w:lang w:val="es-MX"/>
        </w:rPr>
        <w:t xml:space="preserve"> según estándares del Foro Global de la OCDE y GAFILAT</w:t>
      </w:r>
      <w:r w:rsidR="00AA3B13">
        <w:rPr>
          <w:rFonts w:eastAsia="Calibri"/>
          <w:lang w:val="es-MX"/>
        </w:rPr>
        <w:t>.</w:t>
      </w:r>
    </w:p>
    <w:p w:rsidR="004B5DF5" w:rsidRPr="00CD0AF0" w:rsidRDefault="003D0EE1" w:rsidP="00F073BE">
      <w:pPr>
        <w:numPr>
          <w:ilvl w:val="1"/>
          <w:numId w:val="4"/>
        </w:numPr>
        <w:contextualSpacing/>
        <w:jc w:val="both"/>
        <w:rPr>
          <w:rFonts w:eastAsia="Calibri"/>
          <w:lang w:val="es-MX"/>
        </w:rPr>
      </w:pPr>
      <w:r>
        <w:rPr>
          <w:rFonts w:eastAsia="Calibri"/>
          <w:lang w:val="es-MX"/>
        </w:rPr>
        <w:t xml:space="preserve">Estándar de datos abiertos para las contrataciones </w:t>
      </w:r>
      <w:r w:rsidR="00F16036">
        <w:rPr>
          <w:rFonts w:eastAsia="Calibri"/>
          <w:lang w:val="es-MX"/>
        </w:rPr>
        <w:t>públicas</w:t>
      </w:r>
      <w:r w:rsidR="00AA3B13">
        <w:rPr>
          <w:rFonts w:eastAsia="Calibri"/>
          <w:lang w:val="es-MX"/>
        </w:rPr>
        <w:t>.</w:t>
      </w:r>
    </w:p>
    <w:p w:rsidR="004B5DF5" w:rsidRPr="00CD0AF0" w:rsidRDefault="003D0EE1" w:rsidP="00F073BE">
      <w:pPr>
        <w:numPr>
          <w:ilvl w:val="1"/>
          <w:numId w:val="4"/>
        </w:numPr>
        <w:contextualSpacing/>
        <w:jc w:val="both"/>
        <w:rPr>
          <w:rFonts w:eastAsia="Calibri"/>
          <w:lang w:val="es-MX"/>
        </w:rPr>
      </w:pPr>
      <w:r>
        <w:rPr>
          <w:rFonts w:eastAsia="Calibri"/>
          <w:lang w:val="es-MX"/>
        </w:rPr>
        <w:t>Publicación de las principales iniciativas y estándares internacionales de transparencia fiscal</w:t>
      </w:r>
      <w:r w:rsidR="00AA3B13">
        <w:rPr>
          <w:rFonts w:eastAsia="Calibri"/>
          <w:lang w:val="es-MX"/>
        </w:rPr>
        <w:t>.</w:t>
      </w:r>
    </w:p>
    <w:p w:rsidR="004B5DF5" w:rsidRPr="00CD0AF0" w:rsidRDefault="003D0EE1" w:rsidP="00F073BE">
      <w:pPr>
        <w:numPr>
          <w:ilvl w:val="1"/>
          <w:numId w:val="4"/>
        </w:numPr>
        <w:contextualSpacing/>
        <w:jc w:val="both"/>
        <w:rPr>
          <w:rFonts w:eastAsia="Calibri"/>
          <w:lang w:val="es-MX"/>
        </w:rPr>
      </w:pPr>
      <w:r>
        <w:rPr>
          <w:rFonts w:eastAsia="Calibri"/>
          <w:lang w:val="es-MX"/>
        </w:rPr>
        <w:t>Plan de Acción para implementar las recomendaciones de cada iniciativa</w:t>
      </w:r>
      <w:r w:rsidR="00ED52A9">
        <w:rPr>
          <w:rFonts w:eastAsia="Calibri"/>
          <w:lang w:val="es-MX"/>
        </w:rPr>
        <w:t xml:space="preserve"> y estándar internacional</w:t>
      </w:r>
      <w:r>
        <w:rPr>
          <w:rFonts w:eastAsia="Calibri"/>
          <w:lang w:val="es-MX"/>
        </w:rPr>
        <w:t xml:space="preserve"> de transparencia fiscal</w:t>
      </w:r>
      <w:r w:rsidR="00AA3B13">
        <w:rPr>
          <w:rFonts w:eastAsia="Calibri"/>
          <w:lang w:val="es-MX"/>
        </w:rPr>
        <w:t>.</w:t>
      </w:r>
    </w:p>
    <w:p w:rsidR="004B5DF5" w:rsidRPr="00CD0AF0" w:rsidRDefault="004B5DF5" w:rsidP="004B5DF5">
      <w:pPr>
        <w:ind w:left="1440"/>
        <w:contextualSpacing/>
        <w:jc w:val="both"/>
        <w:rPr>
          <w:rFonts w:eastAsia="Calibri"/>
          <w:lang w:val="es-MX"/>
        </w:rPr>
      </w:pPr>
    </w:p>
    <w:p w:rsidR="004B5DF5" w:rsidRPr="0069616A" w:rsidRDefault="004B5DF5" w:rsidP="00F073BE">
      <w:pPr>
        <w:pStyle w:val="Prrafodelista"/>
        <w:numPr>
          <w:ilvl w:val="0"/>
          <w:numId w:val="5"/>
        </w:numPr>
        <w:ind w:left="851" w:hanging="851"/>
        <w:contextualSpacing/>
        <w:jc w:val="both"/>
        <w:rPr>
          <w:rFonts w:eastAsia="Calibri"/>
          <w:b/>
          <w:lang w:val="es-MX"/>
        </w:rPr>
      </w:pPr>
      <w:r w:rsidRPr="0069616A">
        <w:rPr>
          <w:rFonts w:eastAsia="Calibri"/>
          <w:b/>
          <w:lang w:val="es-MX"/>
        </w:rPr>
        <w:t xml:space="preserve">Acciones para avanzar en </w:t>
      </w:r>
      <w:r w:rsidR="00C86C2A">
        <w:rPr>
          <w:rFonts w:eastAsia="Calibri"/>
          <w:b/>
          <w:lang w:val="es-MX"/>
        </w:rPr>
        <w:t>la presentación y disponibilidad de información presupuestaria</w:t>
      </w:r>
      <w:r w:rsidR="00737525">
        <w:rPr>
          <w:rFonts w:eastAsia="Calibri"/>
          <w:b/>
          <w:lang w:val="es-MX"/>
        </w:rPr>
        <w:t>.</w:t>
      </w:r>
    </w:p>
    <w:p w:rsidR="004B5DF5" w:rsidRPr="00CD0AF0" w:rsidRDefault="00C86C2A" w:rsidP="00F073BE">
      <w:pPr>
        <w:numPr>
          <w:ilvl w:val="0"/>
          <w:numId w:val="6"/>
        </w:numPr>
        <w:contextualSpacing/>
        <w:jc w:val="both"/>
        <w:rPr>
          <w:rFonts w:eastAsia="Calibri"/>
          <w:lang w:val="es-MX"/>
        </w:rPr>
      </w:pPr>
      <w:r>
        <w:rPr>
          <w:rFonts w:eastAsia="Calibri"/>
          <w:lang w:val="es-MX"/>
        </w:rPr>
        <w:t xml:space="preserve">Elaborar </w:t>
      </w:r>
      <w:r w:rsidR="00936464">
        <w:rPr>
          <w:rFonts w:eastAsia="Calibri"/>
          <w:lang w:val="es-MX"/>
        </w:rPr>
        <w:t xml:space="preserve">una </w:t>
      </w:r>
      <w:r>
        <w:rPr>
          <w:rFonts w:eastAsia="Calibri"/>
          <w:lang w:val="es-MX"/>
        </w:rPr>
        <w:t>hoja de ruta para presentar información presupuestaria a través de</w:t>
      </w:r>
      <w:r w:rsidR="00250267">
        <w:rPr>
          <w:rFonts w:eastAsia="Calibri"/>
          <w:lang w:val="es-MX"/>
        </w:rPr>
        <w:t xml:space="preserve"> un</w:t>
      </w:r>
      <w:r>
        <w:rPr>
          <w:rFonts w:eastAsia="Calibri"/>
          <w:lang w:val="es-MX"/>
        </w:rPr>
        <w:t xml:space="preserve"> Observatorio del Gasto Público</w:t>
      </w:r>
      <w:r w:rsidR="00AA3B13">
        <w:rPr>
          <w:rFonts w:eastAsia="Calibri"/>
          <w:lang w:val="es-MX"/>
        </w:rPr>
        <w:t>.</w:t>
      </w:r>
    </w:p>
    <w:p w:rsidR="00C86C2A" w:rsidRDefault="00C86C2A" w:rsidP="00F073BE">
      <w:pPr>
        <w:numPr>
          <w:ilvl w:val="0"/>
          <w:numId w:val="6"/>
        </w:numPr>
        <w:contextualSpacing/>
        <w:jc w:val="both"/>
        <w:rPr>
          <w:rFonts w:eastAsia="Calibri"/>
          <w:lang w:val="es-MX"/>
        </w:rPr>
      </w:pPr>
      <w:r>
        <w:rPr>
          <w:rFonts w:eastAsia="Calibri"/>
          <w:lang w:val="es-MX"/>
        </w:rPr>
        <w:t>Elaboración y publicación de informes para el monitoreo y seguimiento de la ejecución de préstamos externos</w:t>
      </w:r>
      <w:r w:rsidR="00250267">
        <w:rPr>
          <w:rFonts w:eastAsia="Calibri"/>
          <w:lang w:val="es-MX"/>
        </w:rPr>
        <w:t>.</w:t>
      </w:r>
    </w:p>
    <w:p w:rsidR="004B5DF5" w:rsidRPr="00CD0AF0" w:rsidRDefault="004B5DF5" w:rsidP="004B5DF5">
      <w:pPr>
        <w:ind w:left="1440"/>
        <w:contextualSpacing/>
        <w:jc w:val="both"/>
        <w:rPr>
          <w:rFonts w:eastAsia="Calibri"/>
          <w:lang w:val="es-MX"/>
        </w:rPr>
      </w:pPr>
    </w:p>
    <w:p w:rsidR="004B5DF5" w:rsidRPr="0069616A" w:rsidRDefault="004B5DF5" w:rsidP="00F073BE">
      <w:pPr>
        <w:pStyle w:val="Prrafodelista"/>
        <w:numPr>
          <w:ilvl w:val="0"/>
          <w:numId w:val="5"/>
        </w:numPr>
        <w:ind w:left="851" w:hanging="851"/>
        <w:contextualSpacing/>
        <w:jc w:val="both"/>
        <w:rPr>
          <w:rFonts w:eastAsia="Calibri"/>
          <w:b/>
          <w:lang w:val="es-MX"/>
        </w:rPr>
      </w:pPr>
      <w:r w:rsidRPr="0069616A">
        <w:rPr>
          <w:rFonts w:eastAsia="Calibri"/>
          <w:b/>
          <w:lang w:val="es-MX"/>
        </w:rPr>
        <w:t xml:space="preserve">Acciones para </w:t>
      </w:r>
      <w:r w:rsidR="00250267">
        <w:rPr>
          <w:rFonts w:eastAsia="Calibri"/>
          <w:b/>
          <w:lang w:val="es-MX"/>
        </w:rPr>
        <w:t>diseñar y desarrollar una herramienta informática que permita a las instituciones públicas proveer información de los beneficiarios de los bienes y servicios públicos, a través de la apertura de la meta física “persona”, con características de sexo, edad y etnia</w:t>
      </w:r>
      <w:r w:rsidR="00737525">
        <w:rPr>
          <w:rFonts w:eastAsia="Calibri"/>
          <w:b/>
          <w:lang w:val="es-MX"/>
        </w:rPr>
        <w:t>.</w:t>
      </w:r>
    </w:p>
    <w:p w:rsidR="004B5DF5" w:rsidRPr="00CD0AF0" w:rsidRDefault="00250267" w:rsidP="00F073BE">
      <w:pPr>
        <w:numPr>
          <w:ilvl w:val="0"/>
          <w:numId w:val="7"/>
        </w:numPr>
        <w:contextualSpacing/>
        <w:jc w:val="both"/>
        <w:rPr>
          <w:rFonts w:eastAsia="Calibri"/>
          <w:lang w:val="es-MX"/>
        </w:rPr>
      </w:pPr>
      <w:r>
        <w:rPr>
          <w:rFonts w:eastAsia="Calibri"/>
          <w:lang w:val="es-MX"/>
        </w:rPr>
        <w:lastRenderedPageBreak/>
        <w:t xml:space="preserve">Elaboración de un Plan de Trabajo para la provisión de </w:t>
      </w:r>
      <w:r w:rsidR="00D96286">
        <w:rPr>
          <w:rFonts w:eastAsia="Calibri"/>
          <w:lang w:val="es-MX"/>
        </w:rPr>
        <w:t>una</w:t>
      </w:r>
      <w:r>
        <w:rPr>
          <w:rFonts w:eastAsia="Calibri"/>
          <w:lang w:val="es-MX"/>
        </w:rPr>
        <w:t xml:space="preserve"> herramienta informática</w:t>
      </w:r>
      <w:r w:rsidR="00D96286">
        <w:rPr>
          <w:rFonts w:eastAsia="Calibri"/>
          <w:lang w:val="es-MX"/>
        </w:rPr>
        <w:t xml:space="preserve"> que brinde dicha información desagregada.</w:t>
      </w:r>
    </w:p>
    <w:p w:rsidR="004B5DF5" w:rsidRPr="00CD0AF0" w:rsidRDefault="00250267" w:rsidP="00F073BE">
      <w:pPr>
        <w:numPr>
          <w:ilvl w:val="0"/>
          <w:numId w:val="7"/>
        </w:numPr>
        <w:contextualSpacing/>
        <w:jc w:val="both"/>
        <w:rPr>
          <w:rFonts w:eastAsia="Calibri"/>
          <w:lang w:val="es-MX"/>
        </w:rPr>
      </w:pPr>
      <w:r>
        <w:rPr>
          <w:rFonts w:eastAsia="Calibri"/>
          <w:lang w:val="es-MX"/>
        </w:rPr>
        <w:t>Diseño y desarrollo de la herramienta informática</w:t>
      </w:r>
      <w:r w:rsidR="00AA3B13">
        <w:rPr>
          <w:rFonts w:eastAsia="Calibri"/>
          <w:lang w:val="es-MX"/>
        </w:rPr>
        <w:t>.</w:t>
      </w:r>
    </w:p>
    <w:p w:rsidR="004B5DF5" w:rsidRPr="00CD0AF0" w:rsidRDefault="00250267" w:rsidP="00F073BE">
      <w:pPr>
        <w:numPr>
          <w:ilvl w:val="0"/>
          <w:numId w:val="7"/>
        </w:numPr>
        <w:contextualSpacing/>
        <w:jc w:val="both"/>
        <w:rPr>
          <w:rFonts w:eastAsia="Calibri"/>
          <w:lang w:val="es-MX"/>
        </w:rPr>
      </w:pPr>
      <w:r>
        <w:rPr>
          <w:rFonts w:eastAsia="Calibri"/>
          <w:lang w:val="es-MX"/>
        </w:rPr>
        <w:t xml:space="preserve">Elaboración e implementación de un programa de capacitación y sensibilización sobre el uso y utilidad de </w:t>
      </w:r>
      <w:r w:rsidR="00D96286">
        <w:rPr>
          <w:rFonts w:eastAsia="Calibri"/>
          <w:lang w:val="es-MX"/>
        </w:rPr>
        <w:t>la</w:t>
      </w:r>
      <w:r>
        <w:rPr>
          <w:rFonts w:eastAsia="Calibri"/>
          <w:lang w:val="es-MX"/>
        </w:rPr>
        <w:t xml:space="preserve"> herramienta informática</w:t>
      </w:r>
      <w:r w:rsidR="00AA3B13">
        <w:rPr>
          <w:rFonts w:eastAsia="Calibri"/>
          <w:lang w:val="es-MX"/>
        </w:rPr>
        <w:t>.</w:t>
      </w:r>
    </w:p>
    <w:p w:rsidR="004B5DF5" w:rsidRPr="00CD0AF0" w:rsidRDefault="00FB44FD" w:rsidP="00F073BE">
      <w:pPr>
        <w:numPr>
          <w:ilvl w:val="0"/>
          <w:numId w:val="7"/>
        </w:numPr>
        <w:contextualSpacing/>
        <w:jc w:val="both"/>
        <w:rPr>
          <w:rFonts w:eastAsia="Calibri"/>
          <w:lang w:val="es-MX"/>
        </w:rPr>
      </w:pPr>
      <w:r>
        <w:rPr>
          <w:rFonts w:eastAsia="Calibri"/>
          <w:lang w:val="es-MX"/>
        </w:rPr>
        <w:t xml:space="preserve">Publicación de </w:t>
      </w:r>
      <w:r w:rsidR="00D96286">
        <w:rPr>
          <w:rFonts w:eastAsia="Calibri"/>
          <w:lang w:val="es-MX"/>
        </w:rPr>
        <w:t xml:space="preserve">la </w:t>
      </w:r>
      <w:r>
        <w:rPr>
          <w:rFonts w:eastAsia="Calibri"/>
          <w:lang w:val="es-MX"/>
        </w:rPr>
        <w:t>información que las instituciones públicas registren en la herramienta informática</w:t>
      </w:r>
      <w:r w:rsidR="00936464">
        <w:rPr>
          <w:rFonts w:eastAsia="Calibri"/>
          <w:lang w:val="es-MX"/>
        </w:rPr>
        <w:t xml:space="preserve"> puesta en funcionamiento.</w:t>
      </w:r>
    </w:p>
    <w:p w:rsidR="00DA6BDB" w:rsidRPr="00227CBB" w:rsidRDefault="00DA6BDB" w:rsidP="004B5DF5">
      <w:pPr>
        <w:jc w:val="both"/>
        <w:rPr>
          <w:rFonts w:eastAsia="Calibri"/>
          <w:sz w:val="22"/>
          <w:lang w:val="es-MX"/>
        </w:rPr>
      </w:pPr>
    </w:p>
    <w:p w:rsidR="002B5EF3" w:rsidRPr="00CF0C9B" w:rsidRDefault="002B5EF3" w:rsidP="002B5EF3">
      <w:pPr>
        <w:jc w:val="center"/>
        <w:rPr>
          <w:b/>
          <w:lang w:val="es-MX"/>
        </w:rPr>
      </w:pPr>
      <w:r w:rsidRPr="00CF0C9B">
        <w:rPr>
          <w:b/>
          <w:lang w:val="es-MX"/>
        </w:rPr>
        <w:t xml:space="preserve">Cuadro </w:t>
      </w:r>
      <w:r w:rsidR="00CF0C9B">
        <w:rPr>
          <w:b/>
          <w:lang w:val="es-MX"/>
        </w:rPr>
        <w:t>25</w:t>
      </w:r>
    </w:p>
    <w:p w:rsidR="00DA6BDB" w:rsidRPr="00CF0C9B" w:rsidRDefault="00DA6BDB" w:rsidP="00DA6BDB">
      <w:pPr>
        <w:tabs>
          <w:tab w:val="left" w:pos="0"/>
        </w:tabs>
        <w:spacing w:after="120" w:line="200" w:lineRule="exact"/>
        <w:ind w:right="91"/>
        <w:jc w:val="center"/>
        <w:rPr>
          <w:szCs w:val="20"/>
          <w:lang w:eastAsia="en-US"/>
        </w:rPr>
      </w:pPr>
      <w:r w:rsidRPr="00CF0C9B">
        <w:rPr>
          <w:b/>
        </w:rPr>
        <w:t>Situación de los Planes de Acción Nacional de Gobierno Abierto</w:t>
      </w:r>
    </w:p>
    <w:tbl>
      <w:tblPr>
        <w:tblStyle w:val="Tablaconcuadrcula1"/>
        <w:tblW w:w="9640" w:type="dxa"/>
        <w:tblInd w:w="-318" w:type="dxa"/>
        <w:tblBorders>
          <w:insideH w:val="none" w:sz="0" w:space="0" w:color="auto"/>
          <w:insideV w:val="none" w:sz="0" w:space="0" w:color="auto"/>
        </w:tblBorders>
        <w:tblLook w:val="04A0" w:firstRow="1" w:lastRow="0" w:firstColumn="1" w:lastColumn="0" w:noHBand="0" w:noVBand="1"/>
      </w:tblPr>
      <w:tblGrid>
        <w:gridCol w:w="2401"/>
        <w:gridCol w:w="2561"/>
        <w:gridCol w:w="2410"/>
        <w:gridCol w:w="2268"/>
      </w:tblGrid>
      <w:tr w:rsidR="00DA6BDB" w:rsidRPr="00C9779E" w:rsidTr="00E425C1">
        <w:tc>
          <w:tcPr>
            <w:tcW w:w="2401" w:type="dxa"/>
            <w:tcBorders>
              <w:top w:val="single" w:sz="4" w:space="0" w:color="auto"/>
              <w:bottom w:val="single" w:sz="4" w:space="0" w:color="auto"/>
              <w:right w:val="single" w:sz="4" w:space="0" w:color="auto"/>
            </w:tcBorders>
            <w:shd w:val="clear" w:color="auto" w:fill="99CCFF"/>
          </w:tcPr>
          <w:p w:rsidR="00DA6BDB" w:rsidRPr="00C9779E" w:rsidRDefault="00DA6BDB" w:rsidP="00E425C1">
            <w:pPr>
              <w:jc w:val="center"/>
              <w:rPr>
                <w:b/>
                <w:sz w:val="22"/>
                <w:szCs w:val="22"/>
              </w:rPr>
            </w:pPr>
            <w:r w:rsidRPr="00C9779E">
              <w:rPr>
                <w:b/>
                <w:sz w:val="22"/>
                <w:szCs w:val="22"/>
              </w:rPr>
              <w:t>1</w:t>
            </w:r>
            <w:r w:rsidRPr="00C9779E">
              <w:rPr>
                <w:b/>
                <w:sz w:val="22"/>
                <w:szCs w:val="22"/>
                <w:vertAlign w:val="superscript"/>
              </w:rPr>
              <w:t>er</w:t>
            </w:r>
            <w:r w:rsidRPr="00C9779E">
              <w:rPr>
                <w:b/>
                <w:sz w:val="22"/>
                <w:szCs w:val="22"/>
              </w:rPr>
              <w:t xml:space="preserve"> Plan 2012-2014</w:t>
            </w:r>
          </w:p>
        </w:tc>
        <w:tc>
          <w:tcPr>
            <w:tcW w:w="2561" w:type="dxa"/>
            <w:tcBorders>
              <w:top w:val="single" w:sz="4" w:space="0" w:color="auto"/>
              <w:left w:val="single" w:sz="4" w:space="0" w:color="auto"/>
              <w:bottom w:val="single" w:sz="4" w:space="0" w:color="auto"/>
              <w:right w:val="single" w:sz="4" w:space="0" w:color="auto"/>
            </w:tcBorders>
            <w:shd w:val="clear" w:color="auto" w:fill="99CCFF"/>
          </w:tcPr>
          <w:p w:rsidR="00DA6BDB" w:rsidRPr="00C9779E" w:rsidRDefault="00DA6BDB" w:rsidP="00E425C1">
            <w:pPr>
              <w:jc w:val="center"/>
              <w:rPr>
                <w:b/>
                <w:sz w:val="22"/>
                <w:szCs w:val="22"/>
              </w:rPr>
            </w:pPr>
            <w:r w:rsidRPr="00C9779E">
              <w:rPr>
                <w:b/>
                <w:sz w:val="22"/>
                <w:szCs w:val="22"/>
              </w:rPr>
              <w:t>2</w:t>
            </w:r>
            <w:r w:rsidRPr="00C9779E">
              <w:rPr>
                <w:b/>
                <w:sz w:val="22"/>
                <w:szCs w:val="22"/>
                <w:vertAlign w:val="superscript"/>
              </w:rPr>
              <w:t>do</w:t>
            </w:r>
            <w:r w:rsidRPr="00C9779E">
              <w:rPr>
                <w:b/>
                <w:sz w:val="22"/>
                <w:szCs w:val="22"/>
              </w:rPr>
              <w:t xml:space="preserve"> Plan 2014-2016</w:t>
            </w:r>
          </w:p>
        </w:tc>
        <w:tc>
          <w:tcPr>
            <w:tcW w:w="2410" w:type="dxa"/>
            <w:tcBorders>
              <w:top w:val="single" w:sz="4" w:space="0" w:color="auto"/>
              <w:left w:val="single" w:sz="4" w:space="0" w:color="auto"/>
              <w:bottom w:val="single" w:sz="4" w:space="0" w:color="auto"/>
              <w:right w:val="single" w:sz="4" w:space="0" w:color="auto"/>
            </w:tcBorders>
            <w:shd w:val="clear" w:color="auto" w:fill="99CCFF"/>
          </w:tcPr>
          <w:p w:rsidR="00DA6BDB" w:rsidRPr="00C9779E" w:rsidRDefault="00DA6BDB" w:rsidP="00E425C1">
            <w:pPr>
              <w:jc w:val="center"/>
              <w:rPr>
                <w:b/>
                <w:sz w:val="22"/>
                <w:szCs w:val="22"/>
              </w:rPr>
            </w:pPr>
            <w:r w:rsidRPr="00C9779E">
              <w:rPr>
                <w:b/>
                <w:sz w:val="22"/>
                <w:szCs w:val="22"/>
              </w:rPr>
              <w:t>3</w:t>
            </w:r>
            <w:r w:rsidRPr="00C9779E">
              <w:rPr>
                <w:b/>
                <w:sz w:val="22"/>
                <w:szCs w:val="22"/>
                <w:vertAlign w:val="superscript"/>
              </w:rPr>
              <w:t>er</w:t>
            </w:r>
            <w:r w:rsidRPr="00C9779E">
              <w:rPr>
                <w:b/>
                <w:sz w:val="22"/>
                <w:szCs w:val="22"/>
              </w:rPr>
              <w:t xml:space="preserve"> Plan 2016-2018</w:t>
            </w:r>
          </w:p>
        </w:tc>
        <w:tc>
          <w:tcPr>
            <w:tcW w:w="2268" w:type="dxa"/>
            <w:tcBorders>
              <w:top w:val="single" w:sz="4" w:space="0" w:color="auto"/>
              <w:left w:val="single" w:sz="4" w:space="0" w:color="auto"/>
              <w:bottom w:val="single" w:sz="4" w:space="0" w:color="auto"/>
            </w:tcBorders>
            <w:shd w:val="clear" w:color="auto" w:fill="99CCFF"/>
          </w:tcPr>
          <w:p w:rsidR="00DA6BDB" w:rsidRPr="00C9779E" w:rsidRDefault="00DA6BDB" w:rsidP="00E425C1">
            <w:pPr>
              <w:jc w:val="center"/>
              <w:rPr>
                <w:b/>
                <w:sz w:val="22"/>
                <w:szCs w:val="22"/>
              </w:rPr>
            </w:pPr>
            <w:r w:rsidRPr="00C9779E">
              <w:rPr>
                <w:b/>
                <w:sz w:val="22"/>
                <w:szCs w:val="22"/>
              </w:rPr>
              <w:t>4</w:t>
            </w:r>
            <w:r w:rsidRPr="00C9779E">
              <w:rPr>
                <w:b/>
                <w:sz w:val="22"/>
                <w:szCs w:val="22"/>
                <w:vertAlign w:val="superscript"/>
              </w:rPr>
              <w:t>to</w:t>
            </w:r>
            <w:r w:rsidRPr="00C9779E">
              <w:rPr>
                <w:b/>
                <w:sz w:val="22"/>
                <w:szCs w:val="22"/>
              </w:rPr>
              <w:t xml:space="preserve"> Plan 2018-2020</w:t>
            </w:r>
          </w:p>
        </w:tc>
      </w:tr>
      <w:tr w:rsidR="00DA6BDB" w:rsidRPr="00227CBB" w:rsidTr="00E425C1">
        <w:tc>
          <w:tcPr>
            <w:tcW w:w="2401" w:type="dxa"/>
            <w:tcBorders>
              <w:top w:val="single" w:sz="4" w:space="0" w:color="auto"/>
              <w:right w:val="single" w:sz="4" w:space="0" w:color="auto"/>
            </w:tcBorders>
          </w:tcPr>
          <w:p w:rsidR="00DA6BDB" w:rsidRPr="00227CBB" w:rsidRDefault="00DA6BDB" w:rsidP="00E425C1">
            <w:pPr>
              <w:rPr>
                <w:sz w:val="6"/>
                <w:szCs w:val="22"/>
              </w:rPr>
            </w:pPr>
          </w:p>
        </w:tc>
        <w:tc>
          <w:tcPr>
            <w:tcW w:w="2561" w:type="dxa"/>
            <w:tcBorders>
              <w:top w:val="single" w:sz="4" w:space="0" w:color="auto"/>
              <w:left w:val="single" w:sz="4" w:space="0" w:color="auto"/>
              <w:right w:val="single" w:sz="4" w:space="0" w:color="auto"/>
            </w:tcBorders>
          </w:tcPr>
          <w:p w:rsidR="00DA6BDB" w:rsidRPr="00227CBB" w:rsidRDefault="00DA6BDB" w:rsidP="00E425C1">
            <w:pPr>
              <w:rPr>
                <w:sz w:val="6"/>
                <w:szCs w:val="22"/>
              </w:rPr>
            </w:pPr>
          </w:p>
        </w:tc>
        <w:tc>
          <w:tcPr>
            <w:tcW w:w="2410" w:type="dxa"/>
            <w:tcBorders>
              <w:top w:val="single" w:sz="4" w:space="0" w:color="auto"/>
              <w:left w:val="single" w:sz="4" w:space="0" w:color="auto"/>
              <w:right w:val="single" w:sz="4" w:space="0" w:color="auto"/>
            </w:tcBorders>
          </w:tcPr>
          <w:p w:rsidR="00DA6BDB" w:rsidRPr="00227CBB" w:rsidRDefault="00DA6BDB" w:rsidP="00E425C1">
            <w:pPr>
              <w:rPr>
                <w:sz w:val="6"/>
                <w:szCs w:val="22"/>
              </w:rPr>
            </w:pPr>
          </w:p>
        </w:tc>
        <w:tc>
          <w:tcPr>
            <w:tcW w:w="2268" w:type="dxa"/>
            <w:tcBorders>
              <w:top w:val="single" w:sz="4" w:space="0" w:color="auto"/>
              <w:left w:val="single" w:sz="4" w:space="0" w:color="auto"/>
            </w:tcBorders>
          </w:tcPr>
          <w:p w:rsidR="00DA6BDB" w:rsidRPr="00227CBB" w:rsidRDefault="00DA6BDB" w:rsidP="00E425C1">
            <w:pPr>
              <w:rPr>
                <w:sz w:val="6"/>
                <w:szCs w:val="22"/>
              </w:rPr>
            </w:pPr>
          </w:p>
        </w:tc>
      </w:tr>
      <w:tr w:rsidR="00DA6BDB" w:rsidRPr="00C9779E" w:rsidTr="00E425C1">
        <w:tc>
          <w:tcPr>
            <w:tcW w:w="2401" w:type="dxa"/>
            <w:tcBorders>
              <w:right w:val="single" w:sz="4" w:space="0" w:color="auto"/>
            </w:tcBorders>
          </w:tcPr>
          <w:p w:rsidR="00DA6BDB" w:rsidRPr="00C9779E" w:rsidRDefault="00DA6BDB" w:rsidP="00E425C1">
            <w:pPr>
              <w:rPr>
                <w:sz w:val="22"/>
                <w:szCs w:val="22"/>
              </w:rPr>
            </w:pPr>
            <w:r w:rsidRPr="00C9779E">
              <w:rPr>
                <w:sz w:val="22"/>
                <w:szCs w:val="22"/>
              </w:rPr>
              <w:t>2 Ejes temáticos</w:t>
            </w:r>
          </w:p>
        </w:tc>
        <w:tc>
          <w:tcPr>
            <w:tcW w:w="2561"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5 Ejes temáticos</w:t>
            </w:r>
          </w:p>
        </w:tc>
        <w:tc>
          <w:tcPr>
            <w:tcW w:w="2410"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5 Ejes temáticos</w:t>
            </w:r>
          </w:p>
        </w:tc>
        <w:tc>
          <w:tcPr>
            <w:tcW w:w="2268" w:type="dxa"/>
            <w:tcBorders>
              <w:left w:val="single" w:sz="4" w:space="0" w:color="auto"/>
            </w:tcBorders>
          </w:tcPr>
          <w:p w:rsidR="00DA6BDB" w:rsidRPr="00C9779E" w:rsidRDefault="00DA6BDB" w:rsidP="00E425C1">
            <w:pPr>
              <w:rPr>
                <w:sz w:val="22"/>
                <w:szCs w:val="22"/>
              </w:rPr>
            </w:pPr>
            <w:r w:rsidRPr="00C9779E">
              <w:rPr>
                <w:sz w:val="22"/>
                <w:szCs w:val="22"/>
              </w:rPr>
              <w:t>12 Ejes temáticos</w:t>
            </w:r>
          </w:p>
        </w:tc>
      </w:tr>
      <w:tr w:rsidR="00DA6BDB" w:rsidRPr="00C9779E" w:rsidTr="00E425C1">
        <w:tc>
          <w:tcPr>
            <w:tcW w:w="2401" w:type="dxa"/>
            <w:tcBorders>
              <w:right w:val="single" w:sz="4" w:space="0" w:color="auto"/>
            </w:tcBorders>
          </w:tcPr>
          <w:p w:rsidR="00DA6BDB" w:rsidRPr="00C9779E" w:rsidRDefault="00DA6BDB" w:rsidP="006978B5">
            <w:pPr>
              <w:rPr>
                <w:sz w:val="22"/>
                <w:szCs w:val="22"/>
              </w:rPr>
            </w:pPr>
            <w:r w:rsidRPr="00C9779E">
              <w:rPr>
                <w:sz w:val="22"/>
                <w:szCs w:val="22"/>
              </w:rPr>
              <w:t>3 Compromisos (14 hitos o metas</w:t>
            </w:r>
            <w:r w:rsidR="006978B5">
              <w:rPr>
                <w:sz w:val="22"/>
                <w:szCs w:val="22"/>
              </w:rPr>
              <w:t>, todos de transparencia fiscal)</w:t>
            </w:r>
          </w:p>
        </w:tc>
        <w:tc>
          <w:tcPr>
            <w:tcW w:w="2561"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48 Compromisos</w:t>
            </w:r>
          </w:p>
        </w:tc>
        <w:tc>
          <w:tcPr>
            <w:tcW w:w="2410"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22 Compromisos</w:t>
            </w:r>
          </w:p>
        </w:tc>
        <w:tc>
          <w:tcPr>
            <w:tcW w:w="2268" w:type="dxa"/>
            <w:tcBorders>
              <w:left w:val="single" w:sz="4" w:space="0" w:color="auto"/>
            </w:tcBorders>
          </w:tcPr>
          <w:p w:rsidR="00DA6BDB" w:rsidRPr="00C9779E" w:rsidRDefault="00DA6BDB" w:rsidP="00E425C1">
            <w:pPr>
              <w:rPr>
                <w:sz w:val="22"/>
                <w:szCs w:val="22"/>
              </w:rPr>
            </w:pPr>
            <w:r w:rsidRPr="00C9779E">
              <w:rPr>
                <w:sz w:val="22"/>
                <w:szCs w:val="22"/>
              </w:rPr>
              <w:t>24 Compromisos</w:t>
            </w:r>
          </w:p>
        </w:tc>
      </w:tr>
      <w:tr w:rsidR="00DA6BDB" w:rsidRPr="00C9779E" w:rsidTr="00E425C1">
        <w:tc>
          <w:tcPr>
            <w:tcW w:w="2401" w:type="dxa"/>
            <w:tcBorders>
              <w:right w:val="single" w:sz="4" w:space="0" w:color="auto"/>
            </w:tcBorders>
          </w:tcPr>
          <w:p w:rsidR="00DA6BDB" w:rsidRPr="00C9779E" w:rsidRDefault="00DA6BDB" w:rsidP="00E425C1">
            <w:pPr>
              <w:rPr>
                <w:sz w:val="22"/>
                <w:szCs w:val="22"/>
              </w:rPr>
            </w:pPr>
          </w:p>
        </w:tc>
        <w:tc>
          <w:tcPr>
            <w:tcW w:w="2561" w:type="dxa"/>
            <w:tcBorders>
              <w:left w:val="single" w:sz="4" w:space="0" w:color="auto"/>
              <w:right w:val="single" w:sz="4" w:space="0" w:color="auto"/>
            </w:tcBorders>
          </w:tcPr>
          <w:p w:rsidR="00DA6BDB" w:rsidRPr="00C9779E" w:rsidRDefault="00DA6BDB" w:rsidP="006978B5">
            <w:pPr>
              <w:rPr>
                <w:sz w:val="22"/>
                <w:szCs w:val="22"/>
              </w:rPr>
            </w:pPr>
            <w:r w:rsidRPr="00C9779E">
              <w:rPr>
                <w:sz w:val="22"/>
                <w:szCs w:val="22"/>
              </w:rPr>
              <w:t xml:space="preserve">22 propuestos por entidades de </w:t>
            </w:r>
            <w:r w:rsidR="006978B5">
              <w:rPr>
                <w:sz w:val="22"/>
                <w:szCs w:val="22"/>
              </w:rPr>
              <w:t>g</w:t>
            </w:r>
            <w:r w:rsidRPr="00C9779E">
              <w:rPr>
                <w:sz w:val="22"/>
                <w:szCs w:val="22"/>
              </w:rPr>
              <w:t>obierno</w:t>
            </w:r>
          </w:p>
        </w:tc>
        <w:tc>
          <w:tcPr>
            <w:tcW w:w="2410" w:type="dxa"/>
            <w:tcBorders>
              <w:left w:val="single" w:sz="4" w:space="0" w:color="auto"/>
              <w:right w:val="single" w:sz="4" w:space="0" w:color="auto"/>
            </w:tcBorders>
          </w:tcPr>
          <w:p w:rsidR="00DA6BDB" w:rsidRPr="00C9779E" w:rsidRDefault="00DA6BDB" w:rsidP="006978B5">
            <w:pPr>
              <w:rPr>
                <w:sz w:val="22"/>
                <w:szCs w:val="22"/>
              </w:rPr>
            </w:pPr>
            <w:r w:rsidRPr="00C9779E">
              <w:rPr>
                <w:sz w:val="22"/>
                <w:szCs w:val="22"/>
              </w:rPr>
              <w:t xml:space="preserve">(7 de </w:t>
            </w:r>
            <w:r w:rsidR="006978B5">
              <w:rPr>
                <w:sz w:val="22"/>
                <w:szCs w:val="22"/>
              </w:rPr>
              <w:t>t</w:t>
            </w:r>
            <w:r w:rsidRPr="00C9779E">
              <w:rPr>
                <w:sz w:val="22"/>
                <w:szCs w:val="22"/>
              </w:rPr>
              <w:t xml:space="preserve">ransparencia </w:t>
            </w:r>
            <w:r w:rsidR="006978B5">
              <w:rPr>
                <w:sz w:val="22"/>
                <w:szCs w:val="22"/>
              </w:rPr>
              <w:t>f</w:t>
            </w:r>
            <w:r w:rsidRPr="00C9779E">
              <w:rPr>
                <w:sz w:val="22"/>
                <w:szCs w:val="22"/>
              </w:rPr>
              <w:t>iscal)</w:t>
            </w:r>
          </w:p>
        </w:tc>
        <w:tc>
          <w:tcPr>
            <w:tcW w:w="2268" w:type="dxa"/>
            <w:tcBorders>
              <w:left w:val="single" w:sz="4" w:space="0" w:color="auto"/>
            </w:tcBorders>
          </w:tcPr>
          <w:p w:rsidR="00DA6BDB" w:rsidRPr="00C9779E" w:rsidRDefault="00DA6BDB" w:rsidP="006978B5">
            <w:pPr>
              <w:rPr>
                <w:sz w:val="22"/>
                <w:szCs w:val="22"/>
              </w:rPr>
            </w:pPr>
            <w:r w:rsidRPr="00C9779E">
              <w:rPr>
                <w:sz w:val="22"/>
                <w:szCs w:val="22"/>
              </w:rPr>
              <w:t xml:space="preserve">(3 de </w:t>
            </w:r>
            <w:r w:rsidR="006978B5">
              <w:rPr>
                <w:sz w:val="22"/>
                <w:szCs w:val="22"/>
              </w:rPr>
              <w:t>t</w:t>
            </w:r>
            <w:r w:rsidRPr="00C9779E">
              <w:rPr>
                <w:sz w:val="22"/>
                <w:szCs w:val="22"/>
              </w:rPr>
              <w:t xml:space="preserve">ransparencia </w:t>
            </w:r>
            <w:r w:rsidR="006978B5">
              <w:rPr>
                <w:sz w:val="22"/>
                <w:szCs w:val="22"/>
              </w:rPr>
              <w:t>f</w:t>
            </w:r>
            <w:r w:rsidRPr="00C9779E">
              <w:rPr>
                <w:sz w:val="22"/>
                <w:szCs w:val="22"/>
              </w:rPr>
              <w:t>iscal)</w:t>
            </w:r>
          </w:p>
        </w:tc>
      </w:tr>
      <w:tr w:rsidR="00DA6BDB" w:rsidRPr="00C9779E" w:rsidTr="00E425C1">
        <w:tc>
          <w:tcPr>
            <w:tcW w:w="2401" w:type="dxa"/>
            <w:tcBorders>
              <w:right w:val="single" w:sz="4" w:space="0" w:color="auto"/>
            </w:tcBorders>
          </w:tcPr>
          <w:p w:rsidR="00DA6BDB" w:rsidRPr="00C9779E" w:rsidRDefault="00DA6BDB" w:rsidP="00E425C1">
            <w:pPr>
              <w:rPr>
                <w:sz w:val="22"/>
                <w:szCs w:val="22"/>
              </w:rPr>
            </w:pPr>
          </w:p>
        </w:tc>
        <w:tc>
          <w:tcPr>
            <w:tcW w:w="2561"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26 propuestos por OSC</w:t>
            </w:r>
          </w:p>
        </w:tc>
        <w:tc>
          <w:tcPr>
            <w:tcW w:w="2410" w:type="dxa"/>
            <w:tcBorders>
              <w:left w:val="single" w:sz="4" w:space="0" w:color="auto"/>
              <w:right w:val="single" w:sz="4" w:space="0" w:color="auto"/>
            </w:tcBorders>
          </w:tcPr>
          <w:p w:rsidR="00DA6BDB" w:rsidRPr="00C9779E" w:rsidRDefault="00DA6BDB" w:rsidP="00E425C1">
            <w:pPr>
              <w:rPr>
                <w:sz w:val="22"/>
                <w:szCs w:val="22"/>
              </w:rPr>
            </w:pPr>
          </w:p>
        </w:tc>
        <w:tc>
          <w:tcPr>
            <w:tcW w:w="2268" w:type="dxa"/>
            <w:tcBorders>
              <w:left w:val="single" w:sz="4" w:space="0" w:color="auto"/>
            </w:tcBorders>
          </w:tcPr>
          <w:p w:rsidR="00DA6BDB" w:rsidRPr="00C9779E" w:rsidRDefault="00DA6BDB" w:rsidP="00E425C1">
            <w:pPr>
              <w:rPr>
                <w:sz w:val="22"/>
                <w:szCs w:val="22"/>
              </w:rPr>
            </w:pPr>
          </w:p>
        </w:tc>
      </w:tr>
      <w:tr w:rsidR="00DA6BDB" w:rsidRPr="00C9779E" w:rsidTr="00E425C1">
        <w:tc>
          <w:tcPr>
            <w:tcW w:w="2401" w:type="dxa"/>
            <w:tcBorders>
              <w:right w:val="single" w:sz="4" w:space="0" w:color="auto"/>
            </w:tcBorders>
          </w:tcPr>
          <w:p w:rsidR="00DA6BDB" w:rsidRPr="00C9779E" w:rsidRDefault="00DA6BDB" w:rsidP="00E425C1">
            <w:pPr>
              <w:rPr>
                <w:sz w:val="22"/>
                <w:szCs w:val="22"/>
              </w:rPr>
            </w:pPr>
          </w:p>
        </w:tc>
        <w:tc>
          <w:tcPr>
            <w:tcW w:w="2561" w:type="dxa"/>
            <w:tcBorders>
              <w:left w:val="single" w:sz="4" w:space="0" w:color="auto"/>
              <w:right w:val="single" w:sz="4" w:space="0" w:color="auto"/>
            </w:tcBorders>
          </w:tcPr>
          <w:p w:rsidR="00DA6BDB" w:rsidRPr="00C9779E" w:rsidRDefault="00DA6BDB" w:rsidP="006978B5">
            <w:pPr>
              <w:rPr>
                <w:sz w:val="22"/>
                <w:szCs w:val="22"/>
              </w:rPr>
            </w:pPr>
            <w:r w:rsidRPr="00C9779E">
              <w:rPr>
                <w:sz w:val="22"/>
                <w:szCs w:val="22"/>
              </w:rPr>
              <w:t xml:space="preserve">(12 de </w:t>
            </w:r>
            <w:r w:rsidR="006978B5">
              <w:rPr>
                <w:sz w:val="22"/>
                <w:szCs w:val="22"/>
              </w:rPr>
              <w:t>t</w:t>
            </w:r>
            <w:r w:rsidRPr="00C9779E">
              <w:rPr>
                <w:sz w:val="22"/>
                <w:szCs w:val="22"/>
              </w:rPr>
              <w:t xml:space="preserve">ransparencia </w:t>
            </w:r>
            <w:r w:rsidR="006978B5">
              <w:rPr>
                <w:sz w:val="22"/>
                <w:szCs w:val="22"/>
              </w:rPr>
              <w:t>f</w:t>
            </w:r>
            <w:r w:rsidRPr="00C9779E">
              <w:rPr>
                <w:sz w:val="22"/>
                <w:szCs w:val="22"/>
              </w:rPr>
              <w:t>iscal)</w:t>
            </w:r>
          </w:p>
        </w:tc>
        <w:tc>
          <w:tcPr>
            <w:tcW w:w="2410"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3 Foros de Consulta Ciudadana en el interior</w:t>
            </w:r>
          </w:p>
        </w:tc>
        <w:tc>
          <w:tcPr>
            <w:tcW w:w="2268" w:type="dxa"/>
            <w:tcBorders>
              <w:left w:val="single" w:sz="4" w:space="0" w:color="auto"/>
            </w:tcBorders>
          </w:tcPr>
          <w:p w:rsidR="00DA6BDB" w:rsidRPr="00C9779E" w:rsidRDefault="00DA6BDB" w:rsidP="00E425C1">
            <w:pPr>
              <w:rPr>
                <w:sz w:val="22"/>
                <w:szCs w:val="22"/>
              </w:rPr>
            </w:pPr>
            <w:r w:rsidRPr="00C9779E">
              <w:rPr>
                <w:sz w:val="22"/>
                <w:szCs w:val="22"/>
              </w:rPr>
              <w:t>6 Foros</w:t>
            </w:r>
            <w:r w:rsidR="006978B5">
              <w:rPr>
                <w:sz w:val="22"/>
                <w:szCs w:val="22"/>
              </w:rPr>
              <w:t xml:space="preserve"> Regionales</w:t>
            </w:r>
            <w:r w:rsidRPr="00C9779E">
              <w:rPr>
                <w:sz w:val="22"/>
                <w:szCs w:val="22"/>
              </w:rPr>
              <w:t xml:space="preserve"> de Consulta Ciudadana</w:t>
            </w:r>
          </w:p>
        </w:tc>
      </w:tr>
      <w:tr w:rsidR="00DA6BDB" w:rsidRPr="00C9779E" w:rsidTr="00E425C1">
        <w:tc>
          <w:tcPr>
            <w:tcW w:w="2401" w:type="dxa"/>
            <w:tcBorders>
              <w:right w:val="single" w:sz="4" w:space="0" w:color="auto"/>
            </w:tcBorders>
          </w:tcPr>
          <w:p w:rsidR="00DA6BDB" w:rsidRPr="00C9779E" w:rsidRDefault="00DA6BDB" w:rsidP="00E425C1">
            <w:pPr>
              <w:rPr>
                <w:sz w:val="22"/>
                <w:szCs w:val="22"/>
              </w:rPr>
            </w:pPr>
          </w:p>
        </w:tc>
        <w:tc>
          <w:tcPr>
            <w:tcW w:w="2561" w:type="dxa"/>
            <w:tcBorders>
              <w:left w:val="single" w:sz="4" w:space="0" w:color="auto"/>
              <w:right w:val="single" w:sz="4" w:space="0" w:color="auto"/>
            </w:tcBorders>
          </w:tcPr>
          <w:p w:rsidR="00DA6BDB" w:rsidRPr="00C9779E" w:rsidRDefault="00DA6BDB" w:rsidP="00E425C1">
            <w:pPr>
              <w:rPr>
                <w:sz w:val="22"/>
                <w:szCs w:val="22"/>
              </w:rPr>
            </w:pPr>
          </w:p>
        </w:tc>
        <w:tc>
          <w:tcPr>
            <w:tcW w:w="2410"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Un comité técnico por cada eje temático</w:t>
            </w:r>
          </w:p>
        </w:tc>
        <w:tc>
          <w:tcPr>
            <w:tcW w:w="2268" w:type="dxa"/>
            <w:tcBorders>
              <w:left w:val="single" w:sz="4" w:space="0" w:color="auto"/>
            </w:tcBorders>
          </w:tcPr>
          <w:p w:rsidR="00DA6BDB" w:rsidRPr="00C9779E" w:rsidRDefault="00DA6BDB" w:rsidP="00E425C1">
            <w:pPr>
              <w:rPr>
                <w:sz w:val="22"/>
                <w:szCs w:val="22"/>
              </w:rPr>
            </w:pPr>
            <w:r w:rsidRPr="00C9779E">
              <w:rPr>
                <w:sz w:val="22"/>
                <w:szCs w:val="22"/>
              </w:rPr>
              <w:t>3 Rondas de Mesas de Trabajo</w:t>
            </w:r>
          </w:p>
          <w:p w:rsidR="00DA6BDB" w:rsidRPr="00C9779E" w:rsidRDefault="00DA6BDB" w:rsidP="00E425C1">
            <w:pPr>
              <w:rPr>
                <w:sz w:val="22"/>
                <w:szCs w:val="22"/>
              </w:rPr>
            </w:pPr>
          </w:p>
        </w:tc>
      </w:tr>
      <w:tr w:rsidR="00DA6BDB" w:rsidRPr="00C9779E" w:rsidTr="00E425C1">
        <w:tc>
          <w:tcPr>
            <w:tcW w:w="2401" w:type="dxa"/>
            <w:tcBorders>
              <w:right w:val="single" w:sz="4" w:space="0" w:color="auto"/>
            </w:tcBorders>
          </w:tcPr>
          <w:p w:rsidR="00DA6BDB" w:rsidRPr="00C9779E" w:rsidRDefault="00DA6BDB" w:rsidP="00E425C1">
            <w:pPr>
              <w:rPr>
                <w:sz w:val="22"/>
                <w:szCs w:val="22"/>
              </w:rPr>
            </w:pPr>
            <w:r w:rsidRPr="00C9779E">
              <w:rPr>
                <w:sz w:val="22"/>
                <w:szCs w:val="22"/>
              </w:rPr>
              <w:t>Propuestas solo del Gobierno</w:t>
            </w:r>
          </w:p>
        </w:tc>
        <w:tc>
          <w:tcPr>
            <w:tcW w:w="2561"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Coyuntura política de 2015</w:t>
            </w:r>
          </w:p>
        </w:tc>
        <w:tc>
          <w:tcPr>
            <w:tcW w:w="2410"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Existió autoevaluación por parte del Gobierno</w:t>
            </w:r>
          </w:p>
        </w:tc>
        <w:tc>
          <w:tcPr>
            <w:tcW w:w="2268" w:type="dxa"/>
            <w:tcBorders>
              <w:left w:val="single" w:sz="4" w:space="0" w:color="auto"/>
            </w:tcBorders>
          </w:tcPr>
          <w:p w:rsidR="00DA6BDB" w:rsidRPr="00C9779E" w:rsidRDefault="00DA6BDB" w:rsidP="006978B5">
            <w:pPr>
              <w:rPr>
                <w:sz w:val="22"/>
                <w:szCs w:val="22"/>
              </w:rPr>
            </w:pPr>
            <w:r w:rsidRPr="00C9779E">
              <w:rPr>
                <w:sz w:val="22"/>
                <w:szCs w:val="22"/>
              </w:rPr>
              <w:t xml:space="preserve">Revisión </w:t>
            </w:r>
            <w:r w:rsidR="006978B5">
              <w:rPr>
                <w:sz w:val="22"/>
                <w:szCs w:val="22"/>
              </w:rPr>
              <w:t>de</w:t>
            </w:r>
            <w:r w:rsidRPr="00C9779E">
              <w:rPr>
                <w:sz w:val="22"/>
                <w:szCs w:val="22"/>
              </w:rPr>
              <w:t xml:space="preserve"> la metodología propuesta por organizaciones de sociedad civil</w:t>
            </w:r>
          </w:p>
        </w:tc>
      </w:tr>
      <w:tr w:rsidR="00DA6BDB" w:rsidRPr="00C9779E" w:rsidTr="00E425C1">
        <w:tc>
          <w:tcPr>
            <w:tcW w:w="2401" w:type="dxa"/>
            <w:tcBorders>
              <w:right w:val="single" w:sz="4" w:space="0" w:color="auto"/>
            </w:tcBorders>
          </w:tcPr>
          <w:p w:rsidR="00DA6BDB" w:rsidRPr="00C9779E" w:rsidRDefault="00DA6BDB" w:rsidP="00E425C1">
            <w:pPr>
              <w:rPr>
                <w:sz w:val="22"/>
                <w:szCs w:val="22"/>
              </w:rPr>
            </w:pPr>
            <w:r w:rsidRPr="00C9779E">
              <w:rPr>
                <w:sz w:val="22"/>
                <w:szCs w:val="22"/>
              </w:rPr>
              <w:t>No participó sociedad civil</w:t>
            </w:r>
          </w:p>
        </w:tc>
        <w:tc>
          <w:tcPr>
            <w:tcW w:w="2561"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COPRET suspende funciones en 2015</w:t>
            </w:r>
          </w:p>
        </w:tc>
        <w:tc>
          <w:tcPr>
            <w:tcW w:w="2410" w:type="dxa"/>
            <w:tcBorders>
              <w:left w:val="single" w:sz="4" w:space="0" w:color="auto"/>
              <w:right w:val="single" w:sz="4" w:space="0" w:color="auto"/>
            </w:tcBorders>
          </w:tcPr>
          <w:p w:rsidR="00DA6BDB" w:rsidRPr="00C9779E" w:rsidRDefault="00DA6BDB" w:rsidP="00E425C1">
            <w:pPr>
              <w:rPr>
                <w:sz w:val="22"/>
                <w:szCs w:val="22"/>
              </w:rPr>
            </w:pPr>
            <w:r w:rsidRPr="00C9779E">
              <w:rPr>
                <w:sz w:val="22"/>
                <w:szCs w:val="22"/>
              </w:rPr>
              <w:t>Evaluación del MRI (es el investigador independiente)</w:t>
            </w:r>
          </w:p>
        </w:tc>
        <w:tc>
          <w:tcPr>
            <w:tcW w:w="2268" w:type="dxa"/>
            <w:tcBorders>
              <w:left w:val="single" w:sz="4" w:space="0" w:color="auto"/>
            </w:tcBorders>
          </w:tcPr>
          <w:p w:rsidR="00DA6BDB" w:rsidRPr="00C9779E" w:rsidRDefault="00DA6BDB" w:rsidP="00E425C1">
            <w:pPr>
              <w:rPr>
                <w:sz w:val="22"/>
                <w:szCs w:val="22"/>
              </w:rPr>
            </w:pPr>
            <w:r w:rsidRPr="00C9779E">
              <w:rPr>
                <w:sz w:val="22"/>
                <w:szCs w:val="22"/>
              </w:rPr>
              <w:t>Evaluación en línea</w:t>
            </w:r>
          </w:p>
        </w:tc>
      </w:tr>
      <w:tr w:rsidR="00DA6BDB" w:rsidRPr="00C9779E" w:rsidTr="00E425C1">
        <w:tc>
          <w:tcPr>
            <w:tcW w:w="2401" w:type="dxa"/>
            <w:tcBorders>
              <w:right w:val="single" w:sz="4" w:space="0" w:color="auto"/>
            </w:tcBorders>
          </w:tcPr>
          <w:p w:rsidR="00DA6BDB" w:rsidRPr="00C9779E" w:rsidRDefault="00DA6BDB" w:rsidP="00E425C1">
            <w:pPr>
              <w:rPr>
                <w:sz w:val="22"/>
                <w:szCs w:val="22"/>
              </w:rPr>
            </w:pPr>
            <w:r w:rsidRPr="00C9779E">
              <w:rPr>
                <w:sz w:val="22"/>
                <w:szCs w:val="22"/>
              </w:rPr>
              <w:t>COPRET no consultó con entidades públicas ni con sociedad civil</w:t>
            </w:r>
          </w:p>
        </w:tc>
        <w:tc>
          <w:tcPr>
            <w:tcW w:w="2561" w:type="dxa"/>
            <w:tcBorders>
              <w:left w:val="single" w:sz="4" w:space="0" w:color="auto"/>
              <w:right w:val="single" w:sz="4" w:space="0" w:color="auto"/>
            </w:tcBorders>
          </w:tcPr>
          <w:p w:rsidR="00DA6BDB" w:rsidRPr="00C9779E" w:rsidRDefault="00DA6BDB" w:rsidP="00E425C1">
            <w:pPr>
              <w:rPr>
                <w:sz w:val="22"/>
                <w:szCs w:val="22"/>
              </w:rPr>
            </w:pPr>
          </w:p>
        </w:tc>
        <w:tc>
          <w:tcPr>
            <w:tcW w:w="2410" w:type="dxa"/>
            <w:tcBorders>
              <w:left w:val="single" w:sz="4" w:space="0" w:color="auto"/>
              <w:right w:val="single" w:sz="4" w:space="0" w:color="auto"/>
            </w:tcBorders>
          </w:tcPr>
          <w:p w:rsidR="00DA6BDB" w:rsidRPr="00C9779E" w:rsidRDefault="00DA6BDB" w:rsidP="00E425C1">
            <w:pPr>
              <w:rPr>
                <w:sz w:val="22"/>
                <w:szCs w:val="22"/>
              </w:rPr>
            </w:pPr>
          </w:p>
        </w:tc>
        <w:tc>
          <w:tcPr>
            <w:tcW w:w="2268" w:type="dxa"/>
            <w:tcBorders>
              <w:left w:val="single" w:sz="4" w:space="0" w:color="auto"/>
            </w:tcBorders>
          </w:tcPr>
          <w:p w:rsidR="00DA6BDB" w:rsidRPr="00C9779E" w:rsidRDefault="00DA6BDB" w:rsidP="00E425C1">
            <w:pPr>
              <w:rPr>
                <w:sz w:val="22"/>
                <w:szCs w:val="22"/>
              </w:rPr>
            </w:pPr>
            <w:r w:rsidRPr="00C9779E">
              <w:rPr>
                <w:sz w:val="22"/>
                <w:szCs w:val="22"/>
              </w:rPr>
              <w:t>Revisión del Comité Técnico</w:t>
            </w:r>
          </w:p>
          <w:p w:rsidR="00DA6BDB" w:rsidRPr="00C9779E" w:rsidRDefault="00DA6BDB" w:rsidP="00E425C1">
            <w:pPr>
              <w:rPr>
                <w:sz w:val="22"/>
                <w:szCs w:val="22"/>
              </w:rPr>
            </w:pPr>
            <w:r w:rsidRPr="00C9779E">
              <w:rPr>
                <w:sz w:val="22"/>
                <w:szCs w:val="22"/>
              </w:rPr>
              <w:t>Revisión del Comité de Estilo</w:t>
            </w:r>
          </w:p>
          <w:p w:rsidR="00DA6BDB" w:rsidRPr="00C9779E" w:rsidRDefault="00DA6BDB" w:rsidP="00E425C1">
            <w:pPr>
              <w:rPr>
                <w:sz w:val="22"/>
                <w:szCs w:val="22"/>
              </w:rPr>
            </w:pPr>
            <w:r w:rsidRPr="00C9779E">
              <w:rPr>
                <w:sz w:val="22"/>
                <w:szCs w:val="22"/>
              </w:rPr>
              <w:t>Revisión de la OGP</w:t>
            </w:r>
          </w:p>
        </w:tc>
      </w:tr>
      <w:tr w:rsidR="005E22A4" w:rsidRPr="00C9779E" w:rsidTr="00E425C1">
        <w:tc>
          <w:tcPr>
            <w:tcW w:w="2401" w:type="dxa"/>
            <w:tcBorders>
              <w:right w:val="single" w:sz="4" w:space="0" w:color="auto"/>
            </w:tcBorders>
          </w:tcPr>
          <w:p w:rsidR="005E22A4" w:rsidRPr="00C9779E" w:rsidRDefault="005E22A4" w:rsidP="00E425C1">
            <w:pPr>
              <w:rPr>
                <w:sz w:val="22"/>
                <w:szCs w:val="22"/>
              </w:rPr>
            </w:pPr>
            <w:r w:rsidRPr="00C9779E">
              <w:rPr>
                <w:sz w:val="22"/>
                <w:szCs w:val="22"/>
              </w:rPr>
              <w:t>Contenido irrelevante para la sociedad civil</w:t>
            </w:r>
          </w:p>
        </w:tc>
        <w:tc>
          <w:tcPr>
            <w:tcW w:w="2561" w:type="dxa"/>
            <w:tcBorders>
              <w:left w:val="single" w:sz="4" w:space="0" w:color="auto"/>
              <w:right w:val="single" w:sz="4" w:space="0" w:color="auto"/>
            </w:tcBorders>
          </w:tcPr>
          <w:p w:rsidR="005E22A4" w:rsidRPr="00C9779E" w:rsidRDefault="005E22A4" w:rsidP="00E425C1">
            <w:pPr>
              <w:rPr>
                <w:sz w:val="22"/>
                <w:szCs w:val="22"/>
              </w:rPr>
            </w:pPr>
            <w:r w:rsidRPr="00C9779E">
              <w:rPr>
                <w:sz w:val="22"/>
                <w:szCs w:val="22"/>
              </w:rPr>
              <w:t>No existe evaluación oficial del Plan por parte del Gobierno</w:t>
            </w:r>
          </w:p>
        </w:tc>
        <w:tc>
          <w:tcPr>
            <w:tcW w:w="2410" w:type="dxa"/>
            <w:tcBorders>
              <w:left w:val="single" w:sz="4" w:space="0" w:color="auto"/>
              <w:right w:val="single" w:sz="4" w:space="0" w:color="auto"/>
            </w:tcBorders>
          </w:tcPr>
          <w:p w:rsidR="005E22A4" w:rsidRPr="00C9779E" w:rsidRDefault="005E22A4" w:rsidP="00E425C1">
            <w:pPr>
              <w:rPr>
                <w:sz w:val="22"/>
                <w:szCs w:val="22"/>
              </w:rPr>
            </w:pPr>
            <w:r w:rsidRPr="00C9779E">
              <w:rPr>
                <w:sz w:val="22"/>
                <w:szCs w:val="22"/>
              </w:rPr>
              <w:t>96.68% de avance en los compromisos de transparencia fiscal</w:t>
            </w:r>
          </w:p>
        </w:tc>
        <w:tc>
          <w:tcPr>
            <w:tcW w:w="2268" w:type="dxa"/>
            <w:tcBorders>
              <w:left w:val="single" w:sz="4" w:space="0" w:color="auto"/>
            </w:tcBorders>
          </w:tcPr>
          <w:p w:rsidR="005E22A4" w:rsidRPr="00C9779E" w:rsidRDefault="005E22A4" w:rsidP="005E22A4">
            <w:pPr>
              <w:rPr>
                <w:sz w:val="22"/>
                <w:szCs w:val="22"/>
              </w:rPr>
            </w:pPr>
            <w:r w:rsidRPr="00C9779E">
              <w:rPr>
                <w:sz w:val="22"/>
                <w:szCs w:val="22"/>
              </w:rPr>
              <w:t>9</w:t>
            </w:r>
            <w:r>
              <w:rPr>
                <w:sz w:val="22"/>
                <w:szCs w:val="22"/>
              </w:rPr>
              <w:t>8.6</w:t>
            </w:r>
            <w:r w:rsidRPr="00C9779E">
              <w:rPr>
                <w:sz w:val="22"/>
                <w:szCs w:val="22"/>
              </w:rPr>
              <w:t>% de avance en los compromisos de transparencia fiscal</w:t>
            </w:r>
            <w:r>
              <w:rPr>
                <w:sz w:val="22"/>
                <w:szCs w:val="22"/>
              </w:rPr>
              <w:t xml:space="preserve"> y</w:t>
            </w:r>
          </w:p>
        </w:tc>
      </w:tr>
      <w:tr w:rsidR="005E22A4" w:rsidRPr="00C9779E" w:rsidTr="00E425C1">
        <w:tc>
          <w:tcPr>
            <w:tcW w:w="2401" w:type="dxa"/>
            <w:tcBorders>
              <w:right w:val="single" w:sz="4" w:space="0" w:color="auto"/>
            </w:tcBorders>
          </w:tcPr>
          <w:p w:rsidR="005E22A4" w:rsidRPr="00C9779E" w:rsidRDefault="005E22A4" w:rsidP="00E425C1">
            <w:pPr>
              <w:rPr>
                <w:sz w:val="22"/>
                <w:szCs w:val="22"/>
              </w:rPr>
            </w:pPr>
            <w:r w:rsidRPr="00C9779E">
              <w:rPr>
                <w:sz w:val="22"/>
                <w:szCs w:val="22"/>
              </w:rPr>
              <w:t>Impacto Medio</w:t>
            </w:r>
          </w:p>
        </w:tc>
        <w:tc>
          <w:tcPr>
            <w:tcW w:w="2561" w:type="dxa"/>
            <w:tcBorders>
              <w:left w:val="single" w:sz="4" w:space="0" w:color="auto"/>
              <w:right w:val="single" w:sz="4" w:space="0" w:color="auto"/>
            </w:tcBorders>
          </w:tcPr>
          <w:p w:rsidR="005E22A4" w:rsidRPr="00C9779E" w:rsidRDefault="005E22A4" w:rsidP="00E425C1">
            <w:pPr>
              <w:rPr>
                <w:sz w:val="22"/>
                <w:szCs w:val="22"/>
              </w:rPr>
            </w:pPr>
          </w:p>
        </w:tc>
        <w:tc>
          <w:tcPr>
            <w:tcW w:w="2410" w:type="dxa"/>
            <w:tcBorders>
              <w:left w:val="single" w:sz="4" w:space="0" w:color="auto"/>
              <w:right w:val="single" w:sz="4" w:space="0" w:color="auto"/>
            </w:tcBorders>
          </w:tcPr>
          <w:p w:rsidR="005E22A4" w:rsidRPr="00C9779E" w:rsidRDefault="005E22A4" w:rsidP="00E425C1">
            <w:pPr>
              <w:rPr>
                <w:sz w:val="22"/>
                <w:szCs w:val="22"/>
              </w:rPr>
            </w:pPr>
            <w:r w:rsidRPr="00C9779E">
              <w:rPr>
                <w:sz w:val="22"/>
                <w:szCs w:val="22"/>
              </w:rPr>
              <w:t>90.22 % de avance global de todo el Plan</w:t>
            </w:r>
          </w:p>
        </w:tc>
        <w:tc>
          <w:tcPr>
            <w:tcW w:w="2268" w:type="dxa"/>
            <w:tcBorders>
              <w:left w:val="single" w:sz="4" w:space="0" w:color="auto"/>
            </w:tcBorders>
          </w:tcPr>
          <w:p w:rsidR="005E22A4" w:rsidRPr="00C9779E" w:rsidRDefault="005E22A4" w:rsidP="005E22A4">
            <w:pPr>
              <w:rPr>
                <w:sz w:val="22"/>
                <w:szCs w:val="22"/>
              </w:rPr>
            </w:pPr>
            <w:r>
              <w:rPr>
                <w:sz w:val="22"/>
                <w:szCs w:val="22"/>
              </w:rPr>
              <w:t>82.6</w:t>
            </w:r>
            <w:r w:rsidRPr="00C9779E">
              <w:rPr>
                <w:sz w:val="22"/>
                <w:szCs w:val="22"/>
              </w:rPr>
              <w:t>2 % de avance global de</w:t>
            </w:r>
            <w:r>
              <w:rPr>
                <w:sz w:val="22"/>
                <w:szCs w:val="22"/>
              </w:rPr>
              <w:t>l Cuarto</w:t>
            </w:r>
            <w:r w:rsidRPr="00C9779E">
              <w:rPr>
                <w:sz w:val="22"/>
                <w:szCs w:val="22"/>
              </w:rPr>
              <w:t xml:space="preserve"> Plan</w:t>
            </w:r>
          </w:p>
        </w:tc>
      </w:tr>
      <w:tr w:rsidR="005E22A4" w:rsidRPr="00227CBB" w:rsidTr="00E425C1">
        <w:tc>
          <w:tcPr>
            <w:tcW w:w="2401" w:type="dxa"/>
            <w:tcBorders>
              <w:right w:val="single" w:sz="4" w:space="0" w:color="auto"/>
            </w:tcBorders>
          </w:tcPr>
          <w:p w:rsidR="005E22A4" w:rsidRPr="00227CBB" w:rsidRDefault="005E22A4" w:rsidP="00E425C1">
            <w:pPr>
              <w:rPr>
                <w:sz w:val="6"/>
                <w:szCs w:val="22"/>
              </w:rPr>
            </w:pPr>
          </w:p>
        </w:tc>
        <w:tc>
          <w:tcPr>
            <w:tcW w:w="2561" w:type="dxa"/>
            <w:tcBorders>
              <w:left w:val="single" w:sz="4" w:space="0" w:color="auto"/>
              <w:right w:val="single" w:sz="4" w:space="0" w:color="auto"/>
            </w:tcBorders>
          </w:tcPr>
          <w:p w:rsidR="005E22A4" w:rsidRPr="00227CBB" w:rsidRDefault="005E22A4" w:rsidP="00E425C1">
            <w:pPr>
              <w:rPr>
                <w:sz w:val="6"/>
                <w:szCs w:val="22"/>
              </w:rPr>
            </w:pPr>
          </w:p>
        </w:tc>
        <w:tc>
          <w:tcPr>
            <w:tcW w:w="2410" w:type="dxa"/>
            <w:tcBorders>
              <w:left w:val="single" w:sz="4" w:space="0" w:color="auto"/>
              <w:right w:val="single" w:sz="4" w:space="0" w:color="auto"/>
            </w:tcBorders>
          </w:tcPr>
          <w:p w:rsidR="005E22A4" w:rsidRPr="00227CBB" w:rsidRDefault="005E22A4" w:rsidP="00E425C1">
            <w:pPr>
              <w:rPr>
                <w:sz w:val="6"/>
                <w:szCs w:val="22"/>
              </w:rPr>
            </w:pPr>
          </w:p>
        </w:tc>
        <w:tc>
          <w:tcPr>
            <w:tcW w:w="2268" w:type="dxa"/>
            <w:tcBorders>
              <w:left w:val="single" w:sz="4" w:space="0" w:color="auto"/>
            </w:tcBorders>
          </w:tcPr>
          <w:p w:rsidR="005E22A4" w:rsidRPr="00227CBB" w:rsidRDefault="005E22A4" w:rsidP="00E425C1">
            <w:pPr>
              <w:rPr>
                <w:sz w:val="6"/>
                <w:szCs w:val="22"/>
              </w:rPr>
            </w:pPr>
          </w:p>
        </w:tc>
      </w:tr>
      <w:tr w:rsidR="005E22A4" w:rsidRPr="00C9779E" w:rsidTr="00E425C1">
        <w:tc>
          <w:tcPr>
            <w:tcW w:w="2401" w:type="dxa"/>
            <w:tcBorders>
              <w:right w:val="single" w:sz="4" w:space="0" w:color="auto"/>
            </w:tcBorders>
          </w:tcPr>
          <w:p w:rsidR="005E22A4" w:rsidRPr="00C9779E" w:rsidRDefault="005E22A4" w:rsidP="00E425C1">
            <w:pPr>
              <w:rPr>
                <w:sz w:val="22"/>
                <w:szCs w:val="22"/>
              </w:rPr>
            </w:pPr>
            <w:r w:rsidRPr="00C9779E">
              <w:rPr>
                <w:sz w:val="22"/>
                <w:szCs w:val="22"/>
              </w:rPr>
              <w:t>Evaluación de 14 hitos (según MRI):</w:t>
            </w:r>
          </w:p>
        </w:tc>
        <w:tc>
          <w:tcPr>
            <w:tcW w:w="2561" w:type="dxa"/>
            <w:tcBorders>
              <w:left w:val="single" w:sz="4" w:space="0" w:color="auto"/>
              <w:right w:val="single" w:sz="4" w:space="0" w:color="auto"/>
            </w:tcBorders>
          </w:tcPr>
          <w:p w:rsidR="005E22A4" w:rsidRPr="00C9779E" w:rsidRDefault="005E22A4" w:rsidP="006978B5">
            <w:pPr>
              <w:rPr>
                <w:sz w:val="22"/>
                <w:szCs w:val="22"/>
              </w:rPr>
            </w:pPr>
            <w:r w:rsidRPr="00C9779E">
              <w:rPr>
                <w:sz w:val="22"/>
                <w:szCs w:val="22"/>
              </w:rPr>
              <w:t xml:space="preserve">MINFIN rescata sus compromisos de </w:t>
            </w:r>
            <w:r w:rsidR="006978B5">
              <w:rPr>
                <w:sz w:val="22"/>
                <w:szCs w:val="22"/>
              </w:rPr>
              <w:t>t</w:t>
            </w:r>
            <w:r w:rsidRPr="00C9779E">
              <w:rPr>
                <w:sz w:val="22"/>
                <w:szCs w:val="22"/>
              </w:rPr>
              <w:t xml:space="preserve">ransparencia </w:t>
            </w:r>
            <w:r w:rsidR="006978B5">
              <w:rPr>
                <w:sz w:val="22"/>
                <w:szCs w:val="22"/>
              </w:rPr>
              <w:t>f</w:t>
            </w:r>
            <w:r w:rsidRPr="00C9779E">
              <w:rPr>
                <w:sz w:val="22"/>
                <w:szCs w:val="22"/>
              </w:rPr>
              <w:t>iscal:</w:t>
            </w:r>
          </w:p>
        </w:tc>
        <w:tc>
          <w:tcPr>
            <w:tcW w:w="2410" w:type="dxa"/>
            <w:tcBorders>
              <w:left w:val="single" w:sz="4" w:space="0" w:color="auto"/>
              <w:right w:val="single" w:sz="4" w:space="0" w:color="auto"/>
            </w:tcBorders>
          </w:tcPr>
          <w:p w:rsidR="005E22A4" w:rsidRPr="00C9779E" w:rsidRDefault="005E22A4" w:rsidP="00E425C1">
            <w:pPr>
              <w:rPr>
                <w:sz w:val="22"/>
                <w:szCs w:val="22"/>
              </w:rPr>
            </w:pPr>
            <w:r w:rsidRPr="00C9779E">
              <w:rPr>
                <w:sz w:val="22"/>
                <w:szCs w:val="22"/>
              </w:rPr>
              <w:t>Informe Final en página de Gobierno Abierto para comentarios de la ciudadanía</w:t>
            </w:r>
          </w:p>
        </w:tc>
        <w:tc>
          <w:tcPr>
            <w:tcW w:w="2268" w:type="dxa"/>
            <w:tcBorders>
              <w:left w:val="single" w:sz="4" w:space="0" w:color="auto"/>
            </w:tcBorders>
          </w:tcPr>
          <w:p w:rsidR="005E22A4" w:rsidRPr="00C9779E" w:rsidRDefault="005E22A4" w:rsidP="00E425C1">
            <w:pPr>
              <w:rPr>
                <w:sz w:val="22"/>
                <w:szCs w:val="22"/>
              </w:rPr>
            </w:pPr>
            <w:r w:rsidRPr="00C9779E">
              <w:rPr>
                <w:sz w:val="22"/>
                <w:szCs w:val="22"/>
              </w:rPr>
              <w:t>20 de noviembre validación técnica por autoridades superiores de entidades públicas</w:t>
            </w:r>
          </w:p>
        </w:tc>
      </w:tr>
      <w:tr w:rsidR="005E22A4" w:rsidRPr="00C9779E" w:rsidTr="00E425C1">
        <w:tc>
          <w:tcPr>
            <w:tcW w:w="2401" w:type="dxa"/>
            <w:tcBorders>
              <w:right w:val="single" w:sz="4" w:space="0" w:color="auto"/>
            </w:tcBorders>
          </w:tcPr>
          <w:p w:rsidR="005E22A4" w:rsidRPr="00C9779E" w:rsidRDefault="005E22A4" w:rsidP="00E425C1">
            <w:pPr>
              <w:rPr>
                <w:sz w:val="22"/>
                <w:szCs w:val="22"/>
              </w:rPr>
            </w:pPr>
            <w:r w:rsidRPr="00C9779E">
              <w:rPr>
                <w:sz w:val="22"/>
                <w:szCs w:val="22"/>
              </w:rPr>
              <w:t>No iniciados</w:t>
            </w:r>
            <w:r w:rsidRPr="00C9779E">
              <w:rPr>
                <w:sz w:val="22"/>
                <w:szCs w:val="22"/>
              </w:rPr>
              <w:tab/>
              <w:t xml:space="preserve">  2</w:t>
            </w:r>
          </w:p>
          <w:p w:rsidR="005E22A4" w:rsidRPr="00C9779E" w:rsidRDefault="005E22A4" w:rsidP="00E425C1">
            <w:pPr>
              <w:rPr>
                <w:sz w:val="22"/>
                <w:szCs w:val="22"/>
              </w:rPr>
            </w:pPr>
            <w:r w:rsidRPr="00C9779E">
              <w:rPr>
                <w:sz w:val="22"/>
                <w:szCs w:val="22"/>
              </w:rPr>
              <w:t>Limitados</w:t>
            </w:r>
            <w:r w:rsidRPr="00C9779E">
              <w:rPr>
                <w:sz w:val="22"/>
                <w:szCs w:val="22"/>
              </w:rPr>
              <w:tab/>
              <w:t>10</w:t>
            </w:r>
          </w:p>
          <w:p w:rsidR="005E22A4" w:rsidRPr="00C9779E" w:rsidRDefault="005E22A4" w:rsidP="00E425C1">
            <w:pPr>
              <w:rPr>
                <w:sz w:val="22"/>
                <w:szCs w:val="22"/>
              </w:rPr>
            </w:pPr>
            <w:r w:rsidRPr="00C9779E">
              <w:rPr>
                <w:sz w:val="22"/>
                <w:szCs w:val="22"/>
              </w:rPr>
              <w:t>Sustantivos</w:t>
            </w:r>
            <w:r w:rsidRPr="00C9779E">
              <w:rPr>
                <w:sz w:val="22"/>
                <w:szCs w:val="22"/>
              </w:rPr>
              <w:tab/>
              <w:t xml:space="preserve">  2</w:t>
            </w:r>
          </w:p>
          <w:p w:rsidR="005E22A4" w:rsidRPr="00C9779E" w:rsidRDefault="005E22A4" w:rsidP="00E425C1">
            <w:pPr>
              <w:rPr>
                <w:sz w:val="22"/>
                <w:szCs w:val="22"/>
              </w:rPr>
            </w:pPr>
            <w:r w:rsidRPr="00C9779E">
              <w:rPr>
                <w:sz w:val="22"/>
                <w:szCs w:val="22"/>
              </w:rPr>
              <w:t>Completos</w:t>
            </w:r>
            <w:r w:rsidRPr="00C9779E">
              <w:rPr>
                <w:sz w:val="22"/>
                <w:szCs w:val="22"/>
              </w:rPr>
              <w:tab/>
              <w:t xml:space="preserve">  0</w:t>
            </w:r>
          </w:p>
        </w:tc>
        <w:tc>
          <w:tcPr>
            <w:tcW w:w="2561" w:type="dxa"/>
            <w:tcBorders>
              <w:left w:val="single" w:sz="4" w:space="0" w:color="auto"/>
              <w:right w:val="single" w:sz="4" w:space="0" w:color="auto"/>
            </w:tcBorders>
          </w:tcPr>
          <w:p w:rsidR="005E22A4" w:rsidRPr="00C9779E" w:rsidRDefault="005E22A4" w:rsidP="00E425C1">
            <w:pPr>
              <w:rPr>
                <w:sz w:val="22"/>
                <w:szCs w:val="22"/>
              </w:rPr>
            </w:pPr>
            <w:r w:rsidRPr="00C9779E">
              <w:rPr>
                <w:sz w:val="22"/>
                <w:szCs w:val="22"/>
              </w:rPr>
              <w:t>Iniciados</w:t>
            </w:r>
            <w:r w:rsidRPr="00C9779E">
              <w:rPr>
                <w:sz w:val="22"/>
                <w:szCs w:val="22"/>
              </w:rPr>
              <w:tab/>
              <w:t>2</w:t>
            </w:r>
          </w:p>
          <w:p w:rsidR="005E22A4" w:rsidRPr="00C9779E" w:rsidRDefault="005E22A4" w:rsidP="00E425C1">
            <w:pPr>
              <w:rPr>
                <w:sz w:val="22"/>
                <w:szCs w:val="22"/>
              </w:rPr>
            </w:pPr>
            <w:r w:rsidRPr="00C9779E">
              <w:rPr>
                <w:sz w:val="22"/>
                <w:szCs w:val="22"/>
              </w:rPr>
              <w:t>En curso</w:t>
            </w:r>
            <w:r w:rsidRPr="00C9779E">
              <w:rPr>
                <w:sz w:val="22"/>
                <w:szCs w:val="22"/>
              </w:rPr>
              <w:tab/>
              <w:t>5</w:t>
            </w:r>
          </w:p>
          <w:p w:rsidR="005E22A4" w:rsidRPr="00C9779E" w:rsidRDefault="005E22A4" w:rsidP="00E425C1">
            <w:pPr>
              <w:rPr>
                <w:sz w:val="22"/>
                <w:szCs w:val="22"/>
              </w:rPr>
            </w:pPr>
            <w:r w:rsidRPr="00C9779E">
              <w:rPr>
                <w:sz w:val="22"/>
                <w:szCs w:val="22"/>
              </w:rPr>
              <w:t>Sustanciales</w:t>
            </w:r>
            <w:r w:rsidRPr="00C9779E">
              <w:rPr>
                <w:sz w:val="22"/>
                <w:szCs w:val="22"/>
              </w:rPr>
              <w:tab/>
              <w:t>3</w:t>
            </w:r>
          </w:p>
          <w:p w:rsidR="005E22A4" w:rsidRPr="00C9779E" w:rsidRDefault="005E22A4" w:rsidP="00E425C1">
            <w:pPr>
              <w:rPr>
                <w:sz w:val="22"/>
                <w:szCs w:val="22"/>
              </w:rPr>
            </w:pPr>
            <w:r w:rsidRPr="00C9779E">
              <w:rPr>
                <w:sz w:val="22"/>
                <w:szCs w:val="22"/>
              </w:rPr>
              <w:t>Completos</w:t>
            </w:r>
            <w:r w:rsidRPr="00C9779E">
              <w:rPr>
                <w:sz w:val="22"/>
                <w:szCs w:val="22"/>
              </w:rPr>
              <w:tab/>
              <w:t>2</w:t>
            </w:r>
          </w:p>
        </w:tc>
        <w:tc>
          <w:tcPr>
            <w:tcW w:w="2410" w:type="dxa"/>
            <w:tcBorders>
              <w:left w:val="single" w:sz="4" w:space="0" w:color="auto"/>
              <w:right w:val="single" w:sz="4" w:space="0" w:color="auto"/>
            </w:tcBorders>
          </w:tcPr>
          <w:p w:rsidR="005E22A4" w:rsidRPr="00C9779E" w:rsidRDefault="005E22A4" w:rsidP="00E425C1">
            <w:pPr>
              <w:rPr>
                <w:sz w:val="22"/>
                <w:szCs w:val="22"/>
              </w:rPr>
            </w:pPr>
            <w:r w:rsidRPr="00C9779E">
              <w:rPr>
                <w:sz w:val="22"/>
                <w:szCs w:val="22"/>
              </w:rPr>
              <w:t>Buen ejercicio de co-creación entre el Gobierno y organizaciones de la sociedad civil</w:t>
            </w:r>
          </w:p>
        </w:tc>
        <w:tc>
          <w:tcPr>
            <w:tcW w:w="2268" w:type="dxa"/>
            <w:tcBorders>
              <w:left w:val="single" w:sz="4" w:space="0" w:color="auto"/>
            </w:tcBorders>
          </w:tcPr>
          <w:p w:rsidR="005E22A4" w:rsidRPr="00C9779E" w:rsidRDefault="005E22A4" w:rsidP="00E425C1">
            <w:pPr>
              <w:rPr>
                <w:sz w:val="22"/>
                <w:szCs w:val="22"/>
              </w:rPr>
            </w:pPr>
            <w:r w:rsidRPr="00C9779E">
              <w:rPr>
                <w:sz w:val="22"/>
                <w:szCs w:val="22"/>
              </w:rPr>
              <w:t>28 de noviembre lanzamiento oficial por parte del Presidente de la República</w:t>
            </w:r>
          </w:p>
        </w:tc>
      </w:tr>
    </w:tbl>
    <w:p w:rsidR="00910D4D" w:rsidRPr="008078F8" w:rsidRDefault="008078F8" w:rsidP="00F073BE">
      <w:pPr>
        <w:pStyle w:val="Ttulo2"/>
        <w:numPr>
          <w:ilvl w:val="1"/>
          <w:numId w:val="10"/>
        </w:numPr>
        <w:rPr>
          <w:rFonts w:ascii="Times New Roman" w:hAnsi="Times New Roman"/>
          <w:color w:val="auto"/>
          <w:sz w:val="24"/>
        </w:rPr>
      </w:pPr>
      <w:bookmarkStart w:id="32" w:name="_Toc51925261"/>
      <w:r>
        <w:rPr>
          <w:rFonts w:ascii="Times New Roman" w:hAnsi="Times New Roman"/>
          <w:color w:val="auto"/>
          <w:sz w:val="24"/>
        </w:rPr>
        <w:lastRenderedPageBreak/>
        <w:t xml:space="preserve">Otras </w:t>
      </w:r>
      <w:r w:rsidR="000D2458">
        <w:rPr>
          <w:rFonts w:ascii="Times New Roman" w:hAnsi="Times New Roman"/>
          <w:color w:val="auto"/>
          <w:sz w:val="24"/>
        </w:rPr>
        <w:t>A</w:t>
      </w:r>
      <w:r>
        <w:rPr>
          <w:rFonts w:ascii="Times New Roman" w:hAnsi="Times New Roman"/>
          <w:color w:val="auto"/>
          <w:sz w:val="24"/>
        </w:rPr>
        <w:t xml:space="preserve">cciones sobre </w:t>
      </w:r>
      <w:r w:rsidR="000D2458">
        <w:rPr>
          <w:rFonts w:ascii="Times New Roman" w:hAnsi="Times New Roman"/>
          <w:color w:val="auto"/>
          <w:sz w:val="24"/>
        </w:rPr>
        <w:t>T</w:t>
      </w:r>
      <w:r>
        <w:rPr>
          <w:rFonts w:ascii="Times New Roman" w:hAnsi="Times New Roman"/>
          <w:color w:val="auto"/>
          <w:sz w:val="24"/>
        </w:rPr>
        <w:t xml:space="preserve">ransparencia </w:t>
      </w:r>
      <w:r w:rsidR="000D2458">
        <w:rPr>
          <w:rFonts w:ascii="Times New Roman" w:hAnsi="Times New Roman"/>
          <w:color w:val="auto"/>
          <w:sz w:val="24"/>
        </w:rPr>
        <w:t>F</w:t>
      </w:r>
      <w:r>
        <w:rPr>
          <w:rFonts w:ascii="Times New Roman" w:hAnsi="Times New Roman"/>
          <w:color w:val="auto"/>
          <w:sz w:val="24"/>
        </w:rPr>
        <w:t>iscal</w:t>
      </w:r>
      <w:bookmarkEnd w:id="32"/>
    </w:p>
    <w:p w:rsidR="008078F8" w:rsidRDefault="008078F8" w:rsidP="004B5DF5">
      <w:pPr>
        <w:jc w:val="both"/>
        <w:rPr>
          <w:b/>
          <w:i/>
          <w:lang w:val="es-ES_tradnl"/>
        </w:rPr>
      </w:pPr>
    </w:p>
    <w:p w:rsidR="00731F06" w:rsidRDefault="004B5DF5" w:rsidP="004B5DF5">
      <w:pPr>
        <w:jc w:val="both"/>
        <w:rPr>
          <w:lang w:val="es-ES_tradnl"/>
        </w:rPr>
      </w:pPr>
      <w:r w:rsidRPr="006D17DE">
        <w:rPr>
          <w:b/>
          <w:i/>
          <w:lang w:val="es-ES_tradnl"/>
        </w:rPr>
        <w:t>Talleres de Presupuesto Abierto 20</w:t>
      </w:r>
      <w:r w:rsidR="00AA04AD">
        <w:rPr>
          <w:b/>
          <w:i/>
          <w:lang w:val="es-ES_tradnl"/>
        </w:rPr>
        <w:t>2</w:t>
      </w:r>
      <w:r w:rsidR="00F421DC">
        <w:rPr>
          <w:b/>
          <w:i/>
          <w:lang w:val="es-ES_tradnl"/>
        </w:rPr>
        <w:t>1</w:t>
      </w:r>
      <w:r w:rsidRPr="00CD0AF0">
        <w:rPr>
          <w:b/>
          <w:lang w:val="es-ES_tradnl"/>
        </w:rPr>
        <w:t>.</w:t>
      </w:r>
      <w:r w:rsidRPr="00CD0AF0">
        <w:rPr>
          <w:lang w:val="es-ES_tradnl"/>
        </w:rPr>
        <w:t xml:space="preserve"> </w:t>
      </w:r>
      <w:r w:rsidR="00F421DC">
        <w:rPr>
          <w:lang w:val="es-ES_tradnl"/>
        </w:rPr>
        <w:t>Desde el</w:t>
      </w:r>
      <w:r w:rsidR="00AA04AD">
        <w:rPr>
          <w:lang w:val="es-ES_tradnl"/>
        </w:rPr>
        <w:t xml:space="preserve"> año 2017</w:t>
      </w:r>
      <w:r w:rsidR="00F421DC">
        <w:rPr>
          <w:lang w:val="es-ES_tradnl"/>
        </w:rPr>
        <w:t xml:space="preserve"> se </w:t>
      </w:r>
      <w:r w:rsidR="00AA04AD">
        <w:rPr>
          <w:lang w:val="es-ES_tradnl"/>
        </w:rPr>
        <w:t xml:space="preserve">institucionalizaron los Talleres de Presupuesto Abierto </w:t>
      </w:r>
      <w:r w:rsidR="00F421DC">
        <w:rPr>
          <w:lang w:val="es-ES_tradnl"/>
        </w:rPr>
        <w:t>que se realizan como parte del</w:t>
      </w:r>
      <w:r w:rsidRPr="00CD0AF0">
        <w:rPr>
          <w:lang w:val="es-ES_tradnl"/>
        </w:rPr>
        <w:t xml:space="preserve"> proceso de formulación</w:t>
      </w:r>
      <w:r w:rsidR="00AA04AD">
        <w:rPr>
          <w:lang w:val="es-ES_tradnl"/>
        </w:rPr>
        <w:t xml:space="preserve"> presupuestaria. En ese sentido, </w:t>
      </w:r>
      <w:r w:rsidR="00F42501">
        <w:rPr>
          <w:lang w:val="es-ES_tradnl"/>
        </w:rPr>
        <w:t>durante el mes de ju</w:t>
      </w:r>
      <w:r w:rsidR="00F87073">
        <w:rPr>
          <w:lang w:val="es-ES_tradnl"/>
        </w:rPr>
        <w:t>l</w:t>
      </w:r>
      <w:r w:rsidR="00F42501">
        <w:rPr>
          <w:lang w:val="es-ES_tradnl"/>
        </w:rPr>
        <w:t>io de 20</w:t>
      </w:r>
      <w:r w:rsidR="00F87073">
        <w:rPr>
          <w:lang w:val="es-ES_tradnl"/>
        </w:rPr>
        <w:t>20</w:t>
      </w:r>
      <w:r w:rsidR="00976CAC">
        <w:rPr>
          <w:lang w:val="es-ES_tradnl"/>
        </w:rPr>
        <w:t>,</w:t>
      </w:r>
      <w:r w:rsidR="00AA04AD">
        <w:rPr>
          <w:lang w:val="es-ES_tradnl"/>
        </w:rPr>
        <w:t xml:space="preserve"> la formulación </w:t>
      </w:r>
      <w:r w:rsidRPr="00CD0AF0">
        <w:rPr>
          <w:lang w:val="es-ES_tradnl"/>
        </w:rPr>
        <w:t>del Proyecto de Presupuesto General de Ingresos y Egresos del Estado para el Ejercicio Fiscal 20</w:t>
      </w:r>
      <w:r w:rsidR="00AA04AD">
        <w:rPr>
          <w:lang w:val="es-ES_tradnl"/>
        </w:rPr>
        <w:t>2</w:t>
      </w:r>
      <w:r w:rsidR="00F87073">
        <w:rPr>
          <w:lang w:val="es-ES_tradnl"/>
        </w:rPr>
        <w:t>1</w:t>
      </w:r>
      <w:r w:rsidR="00AA04AD">
        <w:rPr>
          <w:lang w:val="es-ES_tradnl"/>
        </w:rPr>
        <w:t xml:space="preserve"> se abrió</w:t>
      </w:r>
      <w:r w:rsidRPr="00CD0AF0">
        <w:rPr>
          <w:lang w:val="es-ES_tradnl"/>
        </w:rPr>
        <w:t xml:space="preserve"> a la participación de organizaciones de sociedad civil, sector académico, tanques de pensamiento, observadores internacionales</w:t>
      </w:r>
      <w:r w:rsidR="00F87073">
        <w:rPr>
          <w:lang w:val="es-ES_tradnl"/>
        </w:rPr>
        <w:t>, periodistas</w:t>
      </w:r>
      <w:r w:rsidRPr="00CD0AF0">
        <w:rPr>
          <w:lang w:val="es-ES_tradnl"/>
        </w:rPr>
        <w:t xml:space="preserve"> y ciudadanos en general,</w:t>
      </w:r>
      <w:r w:rsidR="00F87073">
        <w:rPr>
          <w:lang w:val="es-ES_tradnl"/>
        </w:rPr>
        <w:t xml:space="preserve"> llevada a cabo por medio de reuniones virtuales o en línea,</w:t>
      </w:r>
      <w:r w:rsidRPr="00CD0AF0">
        <w:rPr>
          <w:lang w:val="es-ES_tradnl"/>
        </w:rPr>
        <w:t xml:space="preserve"> </w:t>
      </w:r>
      <w:r w:rsidR="00F87073">
        <w:rPr>
          <w:lang w:val="es-ES_tradnl"/>
        </w:rPr>
        <w:t>ante la imposibilidad de realizar reuniones presenciales por motivo de la pandemia del Covid-19</w:t>
      </w:r>
      <w:r w:rsidR="00203B17">
        <w:rPr>
          <w:lang w:val="es-ES_tradnl"/>
        </w:rPr>
        <w:t>.</w:t>
      </w:r>
      <w:r w:rsidR="001E22DF">
        <w:rPr>
          <w:lang w:val="es-ES_tradnl"/>
        </w:rPr>
        <w:t xml:space="preserve"> Para el efecto, se realizaron 6 Talleres Participativos </w:t>
      </w:r>
      <w:r w:rsidR="00731F06">
        <w:rPr>
          <w:lang w:val="es-ES_tradnl"/>
        </w:rPr>
        <w:t>(Macroeconómico y Fiscal; Red de Protección Social y Empleo; Salud Pública y Atención de Emergencias; Infraestructura Estratégica; Inversión Pública y Privada; y Seguridad Alimentaria y Combate a la Desnutrición), así como</w:t>
      </w:r>
      <w:r w:rsidR="001E22DF">
        <w:rPr>
          <w:lang w:val="es-ES_tradnl"/>
        </w:rPr>
        <w:t xml:space="preserve"> 3 Foros Públicos </w:t>
      </w:r>
      <w:r w:rsidR="00731F06">
        <w:rPr>
          <w:lang w:val="es-ES_tradnl"/>
        </w:rPr>
        <w:t>(Innovación y Gestión Post Covid-19; Auditoría Social y Transparencia; y Reactivación Económica)</w:t>
      </w:r>
      <w:r w:rsidR="00D63F9B">
        <w:rPr>
          <w:lang w:val="es-ES_tradnl"/>
        </w:rPr>
        <w:t>,</w:t>
      </w:r>
      <w:r w:rsidR="00731F06">
        <w:rPr>
          <w:lang w:val="es-ES_tradnl"/>
        </w:rPr>
        <w:t xml:space="preserve"> </w:t>
      </w:r>
      <w:r w:rsidR="001E22DF">
        <w:rPr>
          <w:lang w:val="es-ES_tradnl"/>
        </w:rPr>
        <w:t xml:space="preserve">en los que se </w:t>
      </w:r>
      <w:r w:rsidRPr="00CD0AF0">
        <w:rPr>
          <w:lang w:val="es-ES_tradnl"/>
        </w:rPr>
        <w:t>emitier</w:t>
      </w:r>
      <w:r w:rsidR="00731F06">
        <w:rPr>
          <w:lang w:val="es-ES_tradnl"/>
        </w:rPr>
        <w:t>o</w:t>
      </w:r>
      <w:r w:rsidRPr="00CD0AF0">
        <w:rPr>
          <w:lang w:val="es-ES_tradnl"/>
        </w:rPr>
        <w:t>n comentarios y recomendaciones</w:t>
      </w:r>
      <w:r w:rsidR="00731F06">
        <w:rPr>
          <w:lang w:val="es-ES_tradnl"/>
        </w:rPr>
        <w:t xml:space="preserve"> por parte de los participantes</w:t>
      </w:r>
      <w:r w:rsidR="00D63F9B">
        <w:rPr>
          <w:lang w:val="es-ES_tradnl"/>
        </w:rPr>
        <w:t xml:space="preserve"> que enriquecieron el proceso de formulación del proyecto de presupuesto.</w:t>
      </w:r>
    </w:p>
    <w:p w:rsidR="00731F06" w:rsidRDefault="00731F06" w:rsidP="004B5DF5">
      <w:pPr>
        <w:jc w:val="both"/>
        <w:rPr>
          <w:lang w:val="es-ES_tradnl"/>
        </w:rPr>
      </w:pPr>
    </w:p>
    <w:p w:rsidR="007C0FD1" w:rsidRDefault="007C0FD1" w:rsidP="004B5DF5">
      <w:pPr>
        <w:jc w:val="both"/>
        <w:rPr>
          <w:lang w:val="es-ES_tradnl"/>
        </w:rPr>
      </w:pPr>
      <w:r>
        <w:rPr>
          <w:lang w:val="es-ES_tradnl"/>
        </w:rPr>
        <w:t xml:space="preserve">Esta buena práctica que anualmente realiza el Ministerio de Finanzas Públicas en coordinación con el Banco de Guatemala (BANGUAT), </w:t>
      </w:r>
      <w:r w:rsidR="00AF1502">
        <w:rPr>
          <w:lang w:val="es-ES_tradnl"/>
        </w:rPr>
        <w:t xml:space="preserve">la </w:t>
      </w:r>
      <w:r>
        <w:rPr>
          <w:lang w:val="es-ES_tradnl"/>
        </w:rPr>
        <w:t xml:space="preserve">Superintendencia de Administración Tributaria (SAT) y </w:t>
      </w:r>
      <w:r w:rsidR="00AF1502">
        <w:rPr>
          <w:lang w:val="es-ES_tradnl"/>
        </w:rPr>
        <w:t xml:space="preserve">la </w:t>
      </w:r>
      <w:r>
        <w:rPr>
          <w:lang w:val="es-ES_tradnl"/>
        </w:rPr>
        <w:t>Secretaría de Planificación y Programación de la Presidencia (SEGEPLAN) durante el proceso de la formulación presupuestaria, fue posible implementarla debido a su institucionalización a</w:t>
      </w:r>
      <w:r w:rsidR="00B232D1">
        <w:rPr>
          <w:lang w:val="es-ES_tradnl"/>
        </w:rPr>
        <w:t>probada</w:t>
      </w:r>
      <w:r>
        <w:rPr>
          <w:lang w:val="es-ES_tradnl"/>
        </w:rPr>
        <w:t xml:space="preserve"> por medio del Acuerdo Ministerial No. 194-2017, </w:t>
      </w:r>
      <w:r w:rsidR="00AF1502">
        <w:rPr>
          <w:lang w:val="es-ES_tradnl"/>
        </w:rPr>
        <w:t>situación que contribuye directamente a la práctica del principio de participación ciudadana en la gestión pública, pilar fundamental de varias iniciativas internacionales de transparencia fiscal, tal es el caso de la Alianza para el Gobierno Abierto (OGP), Iniciativa Global para la Transparencia Fiscal (GIFT), entre otras.</w:t>
      </w:r>
    </w:p>
    <w:p w:rsidR="004B5DF5" w:rsidRDefault="004B5DF5" w:rsidP="004B5DF5">
      <w:pPr>
        <w:jc w:val="both"/>
        <w:rPr>
          <w:lang w:val="es-ES_tradnl"/>
        </w:rPr>
      </w:pPr>
    </w:p>
    <w:p w:rsidR="00164BE7" w:rsidRDefault="00164BE7" w:rsidP="004B5DF5">
      <w:pPr>
        <w:jc w:val="both"/>
        <w:rPr>
          <w:lang w:val="es-ES_tradnl"/>
        </w:rPr>
      </w:pPr>
    </w:p>
    <w:p w:rsidR="004B5DF5" w:rsidRPr="00120B63" w:rsidRDefault="00696863" w:rsidP="004B5DF5">
      <w:pPr>
        <w:jc w:val="both"/>
        <w:rPr>
          <w:lang w:val="es-ES_tradnl"/>
        </w:rPr>
      </w:pPr>
      <w:r w:rsidRPr="00120B63">
        <w:rPr>
          <w:b/>
          <w:i/>
          <w:lang w:val="es-ES_tradnl"/>
        </w:rPr>
        <w:t xml:space="preserve">Mejoramiento de los Portales de Información Presupuestaria </w:t>
      </w:r>
      <w:r w:rsidR="00872E00">
        <w:rPr>
          <w:b/>
          <w:i/>
          <w:lang w:val="es-ES_tradnl"/>
        </w:rPr>
        <w:t xml:space="preserve">y Financiera </w:t>
      </w:r>
      <w:r w:rsidRPr="00120B63">
        <w:rPr>
          <w:b/>
          <w:i/>
          <w:lang w:val="es-ES_tradnl"/>
        </w:rPr>
        <w:t>del Ministerio de Finanzas Públicas</w:t>
      </w:r>
      <w:r w:rsidR="004B5DF5" w:rsidRPr="00120B63">
        <w:rPr>
          <w:b/>
          <w:lang w:val="es-ES_tradnl"/>
        </w:rPr>
        <w:t>.</w:t>
      </w:r>
      <w:r w:rsidR="004B5DF5" w:rsidRPr="00120B63">
        <w:rPr>
          <w:lang w:val="es-ES_tradnl"/>
        </w:rPr>
        <w:t xml:space="preserve"> </w:t>
      </w:r>
      <w:r w:rsidR="00D84598" w:rsidRPr="00120B63">
        <w:rPr>
          <w:lang w:val="es-ES_tradnl"/>
        </w:rPr>
        <w:t>Como</w:t>
      </w:r>
      <w:r w:rsidRPr="00120B63">
        <w:rPr>
          <w:lang w:val="es-ES_tradnl"/>
        </w:rPr>
        <w:t xml:space="preserve"> </w:t>
      </w:r>
      <w:r w:rsidR="00D84598" w:rsidRPr="00120B63">
        <w:rPr>
          <w:lang w:val="es-ES_tradnl"/>
        </w:rPr>
        <w:t>parte del proceso de fortalecimiento</w:t>
      </w:r>
      <w:r w:rsidR="006F380D">
        <w:rPr>
          <w:lang w:val="es-ES_tradnl"/>
        </w:rPr>
        <w:t xml:space="preserve"> y modernización</w:t>
      </w:r>
      <w:r w:rsidR="00D84598" w:rsidRPr="00120B63">
        <w:rPr>
          <w:lang w:val="es-ES_tradnl"/>
        </w:rPr>
        <w:t xml:space="preserve"> institucional que anualmente se realiza en la institución, se lleva a cabo la revisión y evaluación de la información presupuestaria y financiera puesta a disposición de los usuarios en la página web institucional, a través de los distintos portales, entre los que destacan: Portal de Transparencia Fiscal, Portal de Datos Abiertos, </w:t>
      </w:r>
      <w:r w:rsidR="00D32A5A" w:rsidRPr="00120B63">
        <w:rPr>
          <w:lang w:val="es-ES_tradnl"/>
        </w:rPr>
        <w:t xml:space="preserve">Portal de </w:t>
      </w:r>
      <w:r w:rsidR="00696CB3" w:rsidRPr="00120B63">
        <w:rPr>
          <w:lang w:val="es-ES_tradnl"/>
        </w:rPr>
        <w:t>F</w:t>
      </w:r>
      <w:r w:rsidR="00D32A5A" w:rsidRPr="00120B63">
        <w:rPr>
          <w:lang w:val="es-ES_tradnl"/>
        </w:rPr>
        <w:t xml:space="preserve">ideicomisos, Portal de Gobiernos Locales, Portal de </w:t>
      </w:r>
      <w:r w:rsidR="006F380D">
        <w:rPr>
          <w:lang w:val="es-ES_tradnl"/>
        </w:rPr>
        <w:t>Bienes del Estado</w:t>
      </w:r>
      <w:r w:rsidR="00D32A5A" w:rsidRPr="00120B63">
        <w:rPr>
          <w:lang w:val="es-ES_tradnl"/>
        </w:rPr>
        <w:t xml:space="preserve"> y más recientemente, Observatorio del Presupuesto Público</w:t>
      </w:r>
      <w:r w:rsidR="00307204" w:rsidRPr="00120B63">
        <w:rPr>
          <w:lang w:val="es-ES_tradnl"/>
        </w:rPr>
        <w:t xml:space="preserve">, Portal de </w:t>
      </w:r>
      <w:r w:rsidR="006F380D">
        <w:rPr>
          <w:lang w:val="es-ES_tradnl"/>
        </w:rPr>
        <w:t>ONG</w:t>
      </w:r>
      <w:r w:rsidR="00D32A5A" w:rsidRPr="00120B63">
        <w:rPr>
          <w:lang w:val="es-ES_tradnl"/>
        </w:rPr>
        <w:t xml:space="preserve"> y Tablero de Control del Estado de Calamidad por </w:t>
      </w:r>
      <w:r w:rsidR="00696CB3" w:rsidRPr="00120B63">
        <w:rPr>
          <w:lang w:val="es-ES_tradnl"/>
        </w:rPr>
        <w:t>la Pandemia d</w:t>
      </w:r>
      <w:r w:rsidR="00D32A5A" w:rsidRPr="00120B63">
        <w:rPr>
          <w:lang w:val="es-ES_tradnl"/>
        </w:rPr>
        <w:t>el Covid-19.</w:t>
      </w:r>
      <w:r w:rsidR="00696CB3" w:rsidRPr="00120B63">
        <w:rPr>
          <w:lang w:val="es-ES_tradnl"/>
        </w:rPr>
        <w:t xml:space="preserve"> Estas actualizaciones se efectúan gracias a la revisión constante que realizan los técnicos informáticos, a</w:t>
      </w:r>
      <w:r w:rsidR="00307204" w:rsidRPr="00120B63">
        <w:rPr>
          <w:lang w:val="es-ES_tradnl"/>
        </w:rPr>
        <w:t>sí como a</w:t>
      </w:r>
      <w:r w:rsidR="00696CB3" w:rsidRPr="00120B63">
        <w:rPr>
          <w:lang w:val="es-ES_tradnl"/>
        </w:rPr>
        <w:t xml:space="preserve"> las sugerencias y recomendaciones formuladas en línea por los usuarios, y </w:t>
      </w:r>
      <w:r w:rsidR="00307204" w:rsidRPr="00120B63">
        <w:rPr>
          <w:lang w:val="es-ES_tradnl"/>
        </w:rPr>
        <w:t xml:space="preserve">también como </w:t>
      </w:r>
      <w:r w:rsidR="00696CB3" w:rsidRPr="00120B63">
        <w:rPr>
          <w:lang w:val="es-ES_tradnl"/>
        </w:rPr>
        <w:t>producto de las reuniones que se realizan en el seno del Comité de Usuarios de Datos Abiertos del Ministerio de Finanzas Públicas</w:t>
      </w:r>
      <w:r w:rsidR="00307204" w:rsidRPr="00120B63">
        <w:rPr>
          <w:lang w:val="es-ES_tradnl"/>
        </w:rPr>
        <w:t>, que se constituye en un espacio de participación y diálogo entre los equipos técnicos de la institución y distintas organizaciones de sociedad civil, tanques de pensamiento, centros de investigación, sector académico, periodistas y ciudadanos en general, organizados o no</w:t>
      </w:r>
      <w:r w:rsidR="004B5DF5" w:rsidRPr="00120B63">
        <w:rPr>
          <w:lang w:val="es-ES_tradnl"/>
        </w:rPr>
        <w:t>.</w:t>
      </w:r>
    </w:p>
    <w:p w:rsidR="004B5DF5" w:rsidRPr="00120B63" w:rsidRDefault="004B5DF5" w:rsidP="004B5DF5">
      <w:pPr>
        <w:jc w:val="both"/>
        <w:rPr>
          <w:lang w:val="es-ES_tradnl"/>
        </w:rPr>
      </w:pPr>
    </w:p>
    <w:p w:rsidR="004B5DF5" w:rsidRPr="00CD0AF0" w:rsidRDefault="004B5DF5" w:rsidP="004B5DF5">
      <w:pPr>
        <w:jc w:val="both"/>
        <w:rPr>
          <w:lang w:val="es-ES_tradnl"/>
        </w:rPr>
      </w:pPr>
      <w:r w:rsidRPr="00120B63">
        <w:rPr>
          <w:lang w:val="es-ES_tradnl"/>
        </w:rPr>
        <w:t xml:space="preserve">En </w:t>
      </w:r>
      <w:r w:rsidR="006F380D">
        <w:rPr>
          <w:lang w:val="es-ES_tradnl"/>
        </w:rPr>
        <w:t xml:space="preserve">el caso particular del Observatorio del Presupuesto Público, cabe mencionar que en el Cuarto Plan de Acción Nacional de Gobierno Abierto 2018-2020, se acordó con sociedad civil, formular una Hoja de Ruta </w:t>
      </w:r>
      <w:r w:rsidR="009F63E1">
        <w:rPr>
          <w:lang w:val="es-ES_tradnl"/>
        </w:rPr>
        <w:t>para definir</w:t>
      </w:r>
      <w:r w:rsidR="009C520A">
        <w:rPr>
          <w:lang w:val="es-ES_tradnl"/>
        </w:rPr>
        <w:t xml:space="preserve"> las principales fases o etapas </w:t>
      </w:r>
      <w:r w:rsidR="006F380D">
        <w:rPr>
          <w:lang w:val="es-ES_tradnl"/>
        </w:rPr>
        <w:t xml:space="preserve">para la </w:t>
      </w:r>
      <w:r w:rsidR="006F380D">
        <w:rPr>
          <w:lang w:val="es-ES_tradnl"/>
        </w:rPr>
        <w:lastRenderedPageBreak/>
        <w:t>conceptualización, diseño e implementación de un Observatorio del Gasto Público</w:t>
      </w:r>
      <w:r w:rsidR="009C520A">
        <w:rPr>
          <w:lang w:val="es-ES_tradnl"/>
        </w:rPr>
        <w:t>;</w:t>
      </w:r>
      <w:r w:rsidR="006F380D">
        <w:rPr>
          <w:lang w:val="es-ES_tradnl"/>
        </w:rPr>
        <w:t xml:space="preserve"> pero considerando la importancia y utilidad de la información que se precisa</w:t>
      </w:r>
      <w:r w:rsidR="009F63E1">
        <w:rPr>
          <w:lang w:val="es-ES_tradnl"/>
        </w:rPr>
        <w:t>ba</w:t>
      </w:r>
      <w:r w:rsidR="006F380D">
        <w:rPr>
          <w:lang w:val="es-ES_tradnl"/>
        </w:rPr>
        <w:t xml:space="preserve"> publicar, el Ministerio de Finanzas Públicas consideró oportuno acelerar dicho proceso a fin de ponerlo en funcionamiento</w:t>
      </w:r>
      <w:r w:rsidR="009C520A">
        <w:rPr>
          <w:lang w:val="es-ES_tradnl"/>
        </w:rPr>
        <w:t xml:space="preserve"> lo antes posible</w:t>
      </w:r>
      <w:r w:rsidR="006F380D">
        <w:rPr>
          <w:lang w:val="es-ES_tradnl"/>
        </w:rPr>
        <w:t>, con información no sol</w:t>
      </w:r>
      <w:r w:rsidR="00273ECB">
        <w:rPr>
          <w:lang w:val="es-ES_tradnl"/>
        </w:rPr>
        <w:t>amente</w:t>
      </w:r>
      <w:r w:rsidR="006F380D">
        <w:rPr>
          <w:lang w:val="es-ES_tradnl"/>
        </w:rPr>
        <w:t xml:space="preserve"> de los gastos, sino también de los ingresos de las entidades de la Administración Central</w:t>
      </w:r>
      <w:r w:rsidR="009C520A">
        <w:rPr>
          <w:lang w:val="es-ES_tradnl"/>
        </w:rPr>
        <w:t xml:space="preserve"> y </w:t>
      </w:r>
      <w:r w:rsidR="00273ECB">
        <w:rPr>
          <w:lang w:val="es-ES_tradnl"/>
        </w:rPr>
        <w:t>g</w:t>
      </w:r>
      <w:r w:rsidR="009C520A">
        <w:rPr>
          <w:lang w:val="es-ES_tradnl"/>
        </w:rPr>
        <w:t xml:space="preserve">obiernos </w:t>
      </w:r>
      <w:r w:rsidR="00273ECB">
        <w:rPr>
          <w:lang w:val="es-ES_tradnl"/>
        </w:rPr>
        <w:t>l</w:t>
      </w:r>
      <w:r w:rsidR="009C520A">
        <w:rPr>
          <w:lang w:val="es-ES_tradnl"/>
        </w:rPr>
        <w:t>ocales,</w:t>
      </w:r>
      <w:r w:rsidR="00273ECB">
        <w:rPr>
          <w:lang w:val="es-ES_tradnl"/>
        </w:rPr>
        <w:t xml:space="preserve"> mancomunidades y empresas públicas municipales,</w:t>
      </w:r>
      <w:r w:rsidR="009C520A">
        <w:rPr>
          <w:lang w:val="es-ES_tradnl"/>
        </w:rPr>
        <w:t xml:space="preserve"> estimando en un corto o mediano plazo, incorporar información presupuestaria de las entidades descentralizadas y autónomas</w:t>
      </w:r>
      <w:r w:rsidRPr="00120B63">
        <w:rPr>
          <w:lang w:val="es-ES_tradnl"/>
        </w:rPr>
        <w:t>.</w:t>
      </w:r>
      <w:r w:rsidR="009C520A">
        <w:rPr>
          <w:lang w:val="es-ES_tradnl"/>
        </w:rPr>
        <w:t xml:space="preserve"> Es así como se logró implementar y poner en funcionamiento el denominado Observatorio del Presupuesto Público, superando con creces las expectativas del compromiso asumido </w:t>
      </w:r>
      <w:r w:rsidR="001A6D78">
        <w:rPr>
          <w:lang w:val="es-ES_tradnl"/>
        </w:rPr>
        <w:t>al momento de formular</w:t>
      </w:r>
      <w:r w:rsidR="009C520A">
        <w:rPr>
          <w:lang w:val="es-ES_tradnl"/>
        </w:rPr>
        <w:t xml:space="preserve"> el Cuarto Plan de Acción Nacional de Gobierno Abierto 2018-2020.</w:t>
      </w:r>
    </w:p>
    <w:p w:rsidR="004B5DF5" w:rsidRDefault="004B5DF5" w:rsidP="004B5DF5">
      <w:pPr>
        <w:jc w:val="both"/>
        <w:rPr>
          <w:lang w:val="es-ES_tradnl"/>
        </w:rPr>
      </w:pPr>
    </w:p>
    <w:p w:rsidR="00164BE7" w:rsidRDefault="00164BE7" w:rsidP="004B5DF5">
      <w:pPr>
        <w:jc w:val="both"/>
        <w:rPr>
          <w:lang w:val="es-ES_tradnl"/>
        </w:rPr>
      </w:pPr>
    </w:p>
    <w:p w:rsidR="00D3038B" w:rsidRDefault="00935169" w:rsidP="004B5DF5">
      <w:pPr>
        <w:jc w:val="both"/>
        <w:rPr>
          <w:lang w:val="es-ES_tradnl"/>
        </w:rPr>
      </w:pPr>
      <w:r>
        <w:rPr>
          <w:b/>
          <w:i/>
          <w:lang w:val="es-ES_tradnl"/>
        </w:rPr>
        <w:t>Diseño del Sistema de Transferencias, Subsidios y Subvenciones (</w:t>
      </w:r>
      <w:r w:rsidR="00F42828">
        <w:rPr>
          <w:b/>
          <w:i/>
          <w:lang w:val="es-ES_tradnl"/>
        </w:rPr>
        <w:t>S</w:t>
      </w:r>
      <w:r>
        <w:rPr>
          <w:b/>
          <w:i/>
          <w:lang w:val="es-ES_tradnl"/>
        </w:rPr>
        <w:t>TSS)</w:t>
      </w:r>
      <w:r w:rsidR="004B5DF5" w:rsidRPr="00CD0AF0">
        <w:rPr>
          <w:lang w:val="es-ES_tradnl"/>
        </w:rPr>
        <w:t>.</w:t>
      </w:r>
      <w:r w:rsidR="006D17DE">
        <w:rPr>
          <w:lang w:val="es-ES_tradnl"/>
        </w:rPr>
        <w:t xml:space="preserve"> </w:t>
      </w:r>
      <w:r w:rsidR="00F42828">
        <w:rPr>
          <w:lang w:val="es-ES_tradnl"/>
        </w:rPr>
        <w:t xml:space="preserve">En </w:t>
      </w:r>
      <w:r>
        <w:rPr>
          <w:lang w:val="es-ES_tradnl"/>
        </w:rPr>
        <w:t>el Presupuesto General de Ingresos y Egresos del Estado de cada ejercicio fiscal, se programan asignaciones por concepto de transferencias corrientes y/o de capital a favor de entidades del sector privado y de organismos regionales e internacionales. De conformidad con la Ley Orgánica del Presupuesto, Decreto No. 101-97 del Congreso de la República, y del Reglamento de Manejo de Subsidios y Subvenciones, Acuerdo Gubernativo No. 55-2016,</w:t>
      </w:r>
      <w:r w:rsidR="00EE47A9">
        <w:rPr>
          <w:lang w:val="es-ES_tradnl"/>
        </w:rPr>
        <w:t xml:space="preserve"> </w:t>
      </w:r>
      <w:r w:rsidR="00F42828">
        <w:rPr>
          <w:lang w:val="es-ES_tradnl"/>
        </w:rPr>
        <w:t>y sus Reformas</w:t>
      </w:r>
      <w:r w:rsidR="00312D01">
        <w:rPr>
          <w:lang w:val="es-ES_tradnl"/>
        </w:rPr>
        <w:t>;</w:t>
      </w:r>
      <w:r>
        <w:rPr>
          <w:lang w:val="es-ES_tradnl"/>
        </w:rPr>
        <w:t xml:space="preserve"> tanto las entidades públicas otorgantes de los recursos, como las entidades receptoras de los mismos, deben presentar informes mensuales de avance físico y financiero</w:t>
      </w:r>
      <w:r w:rsidR="00B232D1">
        <w:rPr>
          <w:lang w:val="es-ES_tradnl"/>
        </w:rPr>
        <w:t>,</w:t>
      </w:r>
      <w:r>
        <w:rPr>
          <w:lang w:val="es-ES_tradnl"/>
        </w:rPr>
        <w:t xml:space="preserve"> destacando los objetivos, metas, resultados, indicadores, impactos y beneficiarios </w:t>
      </w:r>
      <w:r w:rsidR="00802A89">
        <w:rPr>
          <w:lang w:val="es-ES_tradnl"/>
        </w:rPr>
        <w:t>atendidos con</w:t>
      </w:r>
      <w:r>
        <w:rPr>
          <w:lang w:val="es-ES_tradnl"/>
        </w:rPr>
        <w:t xml:space="preserve"> </w:t>
      </w:r>
      <w:r w:rsidR="00EE47A9">
        <w:rPr>
          <w:lang w:val="es-ES_tradnl"/>
        </w:rPr>
        <w:t>las</w:t>
      </w:r>
      <w:r>
        <w:rPr>
          <w:lang w:val="es-ES_tradnl"/>
        </w:rPr>
        <w:t xml:space="preserve"> intervenciones públicas. En ese sentido, </w:t>
      </w:r>
      <w:r w:rsidR="00F42828">
        <w:rPr>
          <w:lang w:val="es-ES_tradnl"/>
        </w:rPr>
        <w:t>se</w:t>
      </w:r>
      <w:r>
        <w:rPr>
          <w:lang w:val="es-ES_tradnl"/>
        </w:rPr>
        <w:t xml:space="preserve"> diseñ</w:t>
      </w:r>
      <w:r w:rsidR="00F42828">
        <w:rPr>
          <w:lang w:val="es-ES_tradnl"/>
        </w:rPr>
        <w:t>ó</w:t>
      </w:r>
      <w:r>
        <w:rPr>
          <w:lang w:val="es-ES_tradnl"/>
        </w:rPr>
        <w:t xml:space="preserve"> e implement</w:t>
      </w:r>
      <w:r w:rsidR="00F42828">
        <w:rPr>
          <w:lang w:val="es-ES_tradnl"/>
        </w:rPr>
        <w:t>ó</w:t>
      </w:r>
      <w:r>
        <w:rPr>
          <w:lang w:val="es-ES_tradnl"/>
        </w:rPr>
        <w:t xml:space="preserve"> el Sistema de Transferencias, Subsidios y Subvenciones </w:t>
      </w:r>
      <w:r w:rsidR="00322B9E">
        <w:rPr>
          <w:lang w:val="es-ES_tradnl"/>
        </w:rPr>
        <w:t>(</w:t>
      </w:r>
      <w:r w:rsidR="00F42828">
        <w:rPr>
          <w:lang w:val="es-ES_tradnl"/>
        </w:rPr>
        <w:t>S</w:t>
      </w:r>
      <w:r w:rsidR="00322B9E">
        <w:rPr>
          <w:lang w:val="es-ES_tradnl"/>
        </w:rPr>
        <w:t xml:space="preserve">TSS) </w:t>
      </w:r>
      <w:r w:rsidR="00F42828">
        <w:rPr>
          <w:lang w:val="es-ES_tradnl"/>
        </w:rPr>
        <w:t xml:space="preserve">para que las entidades otorgantes y receptoras de recursos públicos procedan a registrar </w:t>
      </w:r>
      <w:r w:rsidR="00EE47A9">
        <w:rPr>
          <w:lang w:val="es-ES_tradnl"/>
        </w:rPr>
        <w:t>sus</w:t>
      </w:r>
      <w:r w:rsidR="00F42828">
        <w:rPr>
          <w:lang w:val="es-ES_tradnl"/>
        </w:rPr>
        <w:t xml:space="preserve"> informes de avance físic</w:t>
      </w:r>
      <w:r w:rsidR="00EE47A9">
        <w:rPr>
          <w:lang w:val="es-ES_tradnl"/>
        </w:rPr>
        <w:t>o</w:t>
      </w:r>
      <w:r w:rsidR="00F42828">
        <w:rPr>
          <w:lang w:val="es-ES_tradnl"/>
        </w:rPr>
        <w:t xml:space="preserve"> y financiero en forma mensual, de conformidad </w:t>
      </w:r>
      <w:r w:rsidR="00EE47A9">
        <w:rPr>
          <w:lang w:val="es-ES_tradnl"/>
        </w:rPr>
        <w:t>con</w:t>
      </w:r>
      <w:r w:rsidR="00F42828">
        <w:rPr>
          <w:lang w:val="es-ES_tradnl"/>
        </w:rPr>
        <w:t xml:space="preserve"> la normativa vigente. Además, </w:t>
      </w:r>
      <w:r w:rsidR="00B232D1">
        <w:rPr>
          <w:lang w:val="es-ES_tradnl"/>
        </w:rPr>
        <w:t xml:space="preserve">en 2020 </w:t>
      </w:r>
      <w:r w:rsidR="00F42828">
        <w:rPr>
          <w:lang w:val="es-ES_tradnl"/>
        </w:rPr>
        <w:t xml:space="preserve">se diseñó y desarrolló un </w:t>
      </w:r>
      <w:r w:rsidR="00596B82">
        <w:rPr>
          <w:lang w:val="es-ES_tradnl"/>
        </w:rPr>
        <w:t xml:space="preserve">Portal de ONG para facilitar a los ciudadanos en general, las consultas sobre la ejecución de </w:t>
      </w:r>
      <w:r w:rsidR="00EE47A9">
        <w:rPr>
          <w:lang w:val="es-ES_tradnl"/>
        </w:rPr>
        <w:t xml:space="preserve">los </w:t>
      </w:r>
      <w:r w:rsidR="00596B82">
        <w:rPr>
          <w:lang w:val="es-ES_tradnl"/>
        </w:rPr>
        <w:t>recursos públic</w:t>
      </w:r>
      <w:r w:rsidR="00EE47A9">
        <w:rPr>
          <w:lang w:val="es-ES_tradnl"/>
        </w:rPr>
        <w:t>o</w:t>
      </w:r>
      <w:r w:rsidR="00596B82">
        <w:rPr>
          <w:lang w:val="es-ES_tradnl"/>
        </w:rPr>
        <w:t>s por parte de entidades privadas e internacionales ejecutoras de los mismos.</w:t>
      </w:r>
    </w:p>
    <w:p w:rsidR="00D3038B" w:rsidRDefault="00D3038B" w:rsidP="004B5DF5">
      <w:pPr>
        <w:jc w:val="both"/>
        <w:rPr>
          <w:lang w:val="es-ES_tradnl"/>
        </w:rPr>
      </w:pPr>
    </w:p>
    <w:p w:rsidR="00164BE7" w:rsidRDefault="00164BE7" w:rsidP="004B5DF5">
      <w:pPr>
        <w:jc w:val="both"/>
        <w:rPr>
          <w:lang w:val="es-ES_tradnl"/>
        </w:rPr>
      </w:pPr>
    </w:p>
    <w:p w:rsidR="001C795D" w:rsidRDefault="004B5DF5" w:rsidP="004B5DF5">
      <w:pPr>
        <w:jc w:val="both"/>
        <w:rPr>
          <w:lang w:val="es-ES_tradnl"/>
        </w:rPr>
      </w:pPr>
      <w:r w:rsidRPr="006D17DE">
        <w:rPr>
          <w:b/>
          <w:i/>
          <w:lang w:val="es-ES_tradnl"/>
        </w:rPr>
        <w:t>Mejora en la calificación del Índice de Presupuesto Abierto (OBI por sus siglas en inglés).</w:t>
      </w:r>
      <w:r w:rsidRPr="00CD0AF0">
        <w:rPr>
          <w:lang w:val="es-ES_tradnl"/>
        </w:rPr>
        <w:t xml:space="preserve"> En la última evaluación de</w:t>
      </w:r>
      <w:r w:rsidR="00C96986">
        <w:rPr>
          <w:lang w:val="es-ES_tradnl"/>
        </w:rPr>
        <w:t>l Índice de Presupuesto Abierto (OBI), a cargo de</w:t>
      </w:r>
      <w:r w:rsidRPr="00CD0AF0">
        <w:rPr>
          <w:lang w:val="es-ES_tradnl"/>
        </w:rPr>
        <w:t xml:space="preserve"> la International Budget Partnership (IBP)</w:t>
      </w:r>
      <w:r w:rsidR="001C795D">
        <w:rPr>
          <w:lang w:val="es-ES_tradnl"/>
        </w:rPr>
        <w:t xml:space="preserve"> y su evaluador independiente en el país</w:t>
      </w:r>
      <w:r w:rsidRPr="00CD0AF0">
        <w:rPr>
          <w:lang w:val="es-ES_tradnl"/>
        </w:rPr>
        <w:t xml:space="preserve">, Guatemala obtuvo una calificación de </w:t>
      </w:r>
      <w:r w:rsidR="008D6D40">
        <w:rPr>
          <w:lang w:val="es-ES_tradnl"/>
        </w:rPr>
        <w:t>61</w:t>
      </w:r>
      <w:r w:rsidRPr="00CD0AF0">
        <w:rPr>
          <w:lang w:val="es-ES_tradnl"/>
        </w:rPr>
        <w:t xml:space="preserve"> puntos</w:t>
      </w:r>
      <w:r w:rsidR="008D6D40">
        <w:rPr>
          <w:lang w:val="es-ES_tradnl"/>
        </w:rPr>
        <w:t xml:space="preserve"> que la ubica en el grupo de países </w:t>
      </w:r>
      <w:r w:rsidR="00E40403">
        <w:rPr>
          <w:lang w:val="es-ES_tradnl"/>
        </w:rPr>
        <w:t>que proporcionan</w:t>
      </w:r>
      <w:r w:rsidR="008D6D40">
        <w:rPr>
          <w:lang w:val="es-ES_tradnl"/>
        </w:rPr>
        <w:t xml:space="preserve"> “información sustancial disponible”. </w:t>
      </w:r>
      <w:r w:rsidR="001C795D">
        <w:rPr>
          <w:lang w:val="es-ES_tradnl"/>
        </w:rPr>
        <w:t>En la más reciente evaluación</w:t>
      </w:r>
      <w:r w:rsidR="00696863">
        <w:rPr>
          <w:lang w:val="es-ES_tradnl"/>
        </w:rPr>
        <w:t>,</w:t>
      </w:r>
      <w:r w:rsidR="001C795D">
        <w:rPr>
          <w:lang w:val="es-ES_tradnl"/>
        </w:rPr>
        <w:t xml:space="preserve"> realizada a finales de 2019, cuyos resultados se dieron a conocer en abril de 2020, Guatemala continuó ascendiendo en su buen desempeño, habiendo alcanzado </w:t>
      </w:r>
      <w:r w:rsidR="00E40403">
        <w:rPr>
          <w:lang w:val="es-ES_tradnl"/>
        </w:rPr>
        <w:t xml:space="preserve">en esta ocasión </w:t>
      </w:r>
      <w:r w:rsidR="001C795D">
        <w:rPr>
          <w:lang w:val="es-ES_tradnl"/>
        </w:rPr>
        <w:t xml:space="preserve">una calificación de 65 puntos que la ubica en el tercer lugar a nivel de América </w:t>
      </w:r>
      <w:r w:rsidR="00E40403">
        <w:rPr>
          <w:lang w:val="es-ES_tradnl"/>
        </w:rPr>
        <w:t>L</w:t>
      </w:r>
      <w:r w:rsidR="001C795D">
        <w:rPr>
          <w:lang w:val="es-ES_tradnl"/>
        </w:rPr>
        <w:t xml:space="preserve">atina y en la posición 24 dentro del ranking mundial </w:t>
      </w:r>
      <w:r w:rsidR="005D183B">
        <w:rPr>
          <w:lang w:val="es-ES_tradnl"/>
        </w:rPr>
        <w:t>compuesto</w:t>
      </w:r>
      <w:r w:rsidR="00E40403">
        <w:rPr>
          <w:lang w:val="es-ES_tradnl"/>
        </w:rPr>
        <w:t xml:space="preserve"> por</w:t>
      </w:r>
      <w:r w:rsidR="001C795D">
        <w:rPr>
          <w:lang w:val="es-ES_tradnl"/>
        </w:rPr>
        <w:t xml:space="preserve"> 117 países.</w:t>
      </w:r>
    </w:p>
    <w:p w:rsidR="001C795D" w:rsidRDefault="001C795D" w:rsidP="004B5DF5">
      <w:pPr>
        <w:jc w:val="both"/>
        <w:rPr>
          <w:lang w:val="es-ES_tradnl"/>
        </w:rPr>
      </w:pPr>
    </w:p>
    <w:p w:rsidR="001C795D" w:rsidRDefault="00FC6FAC" w:rsidP="004B5DF5">
      <w:pPr>
        <w:jc w:val="both"/>
        <w:rPr>
          <w:lang w:val="es-ES_tradnl"/>
        </w:rPr>
      </w:pPr>
      <w:r>
        <w:rPr>
          <w:lang w:val="es-ES_tradnl"/>
        </w:rPr>
        <w:t>Estos resultados han sido posibles</w:t>
      </w:r>
      <w:r w:rsidR="00A4072F">
        <w:rPr>
          <w:lang w:val="es-ES_tradnl"/>
        </w:rPr>
        <w:t xml:space="preserve"> gracias a la dedicación y empeño puestos de manifiesto por las dependencias del Ministerio de Finanzas Públicas que tienen a su cargo </w:t>
      </w:r>
      <w:r w:rsidR="00A4072F" w:rsidRPr="00CD0AF0">
        <w:rPr>
          <w:lang w:val="es-ES_tradnl"/>
        </w:rPr>
        <w:t xml:space="preserve">la elaboración y publicación de los 8 documentos clave del ciclo presupuestario que evalúa el Índice de Presupuesto Abierto, </w:t>
      </w:r>
      <w:r w:rsidR="00A4072F">
        <w:rPr>
          <w:lang w:val="es-ES_tradnl"/>
        </w:rPr>
        <w:t>tomando en cuenta</w:t>
      </w:r>
      <w:r w:rsidR="00A4072F" w:rsidRPr="00CD0AF0">
        <w:rPr>
          <w:lang w:val="es-ES_tradnl"/>
        </w:rPr>
        <w:t xml:space="preserve"> los estándares y lineamientos contenidos en la Guía para la Transparencia en los Documentos Presupuestarios del Gobierno y en la Encuesta de Presupuesto Abierto, ambos emitidos por la International Budget Partnership (IBP).</w:t>
      </w:r>
      <w:r w:rsidR="00A4072F">
        <w:rPr>
          <w:lang w:val="es-ES_tradnl"/>
        </w:rPr>
        <w:t xml:space="preserve"> Estos ocho documentos presupuestarios son: </w:t>
      </w:r>
      <w:r w:rsidR="00A4072F" w:rsidRPr="00B730B7">
        <w:rPr>
          <w:lang w:val="es-ES_tradnl"/>
        </w:rPr>
        <w:t xml:space="preserve">1) Proyecto de Presupuesto del Ejecutivo </w:t>
      </w:r>
      <w:r w:rsidR="00A4072F">
        <w:rPr>
          <w:lang w:val="es-ES_tradnl"/>
        </w:rPr>
        <w:t>(</w:t>
      </w:r>
      <w:r w:rsidR="00A4072F" w:rsidRPr="00B730B7">
        <w:rPr>
          <w:lang w:val="es-ES_tradnl"/>
        </w:rPr>
        <w:t>EBP</w:t>
      </w:r>
      <w:r w:rsidR="00A4072F">
        <w:rPr>
          <w:lang w:val="es-ES_tradnl"/>
        </w:rPr>
        <w:t>)</w:t>
      </w:r>
      <w:r w:rsidR="00A4072F" w:rsidRPr="00B730B7">
        <w:rPr>
          <w:lang w:val="es-ES_tradnl"/>
        </w:rPr>
        <w:t xml:space="preserve">; 2) Documento Preliminar de Presupuesto </w:t>
      </w:r>
      <w:r w:rsidR="00A4072F">
        <w:rPr>
          <w:lang w:val="es-ES_tradnl"/>
        </w:rPr>
        <w:t>(</w:t>
      </w:r>
      <w:r w:rsidR="00A4072F" w:rsidRPr="00B730B7">
        <w:rPr>
          <w:lang w:val="es-ES_tradnl"/>
        </w:rPr>
        <w:t>PBS</w:t>
      </w:r>
      <w:r w:rsidR="00A4072F">
        <w:rPr>
          <w:lang w:val="es-ES_tradnl"/>
        </w:rPr>
        <w:t>)</w:t>
      </w:r>
      <w:r w:rsidR="00A4072F" w:rsidRPr="00B730B7">
        <w:rPr>
          <w:lang w:val="es-ES_tradnl"/>
        </w:rPr>
        <w:t xml:space="preserve">; 3) Presupuesto Aprobado </w:t>
      </w:r>
      <w:r w:rsidR="00A4072F">
        <w:rPr>
          <w:lang w:val="es-ES_tradnl"/>
        </w:rPr>
        <w:t>(</w:t>
      </w:r>
      <w:r w:rsidR="00A4072F" w:rsidRPr="00B730B7">
        <w:rPr>
          <w:lang w:val="es-ES_tradnl"/>
        </w:rPr>
        <w:t>EB</w:t>
      </w:r>
      <w:r w:rsidR="00A4072F">
        <w:rPr>
          <w:lang w:val="es-ES_tradnl"/>
        </w:rPr>
        <w:t>)</w:t>
      </w:r>
      <w:r w:rsidR="00A4072F" w:rsidRPr="00B730B7">
        <w:rPr>
          <w:lang w:val="es-ES_tradnl"/>
        </w:rPr>
        <w:t xml:space="preserve">; 4) Presupuesto </w:t>
      </w:r>
      <w:r w:rsidR="00A4072F" w:rsidRPr="00B730B7">
        <w:rPr>
          <w:lang w:val="es-ES_tradnl"/>
        </w:rPr>
        <w:lastRenderedPageBreak/>
        <w:t xml:space="preserve">Ciudadano </w:t>
      </w:r>
      <w:r w:rsidR="00A4072F">
        <w:rPr>
          <w:lang w:val="es-ES_tradnl"/>
        </w:rPr>
        <w:t>(</w:t>
      </w:r>
      <w:r w:rsidR="00A4072F" w:rsidRPr="00B730B7">
        <w:rPr>
          <w:lang w:val="es-ES_tradnl"/>
        </w:rPr>
        <w:t>CB</w:t>
      </w:r>
      <w:r w:rsidR="00A4072F">
        <w:rPr>
          <w:lang w:val="es-ES_tradnl"/>
        </w:rPr>
        <w:t>)</w:t>
      </w:r>
      <w:r w:rsidR="00A4072F" w:rsidRPr="00B730B7">
        <w:rPr>
          <w:lang w:val="es-ES_tradnl"/>
        </w:rPr>
        <w:t xml:space="preserve">; 5) Informes Entregados Durante el Año </w:t>
      </w:r>
      <w:r w:rsidR="00A4072F">
        <w:rPr>
          <w:lang w:val="es-ES_tradnl"/>
        </w:rPr>
        <w:t>(</w:t>
      </w:r>
      <w:r w:rsidR="00A4072F" w:rsidRPr="00B730B7">
        <w:rPr>
          <w:lang w:val="es-ES_tradnl"/>
        </w:rPr>
        <w:t>IYR</w:t>
      </w:r>
      <w:r w:rsidR="00A4072F">
        <w:rPr>
          <w:lang w:val="es-ES_tradnl"/>
        </w:rPr>
        <w:t>)</w:t>
      </w:r>
      <w:r w:rsidR="00A4072F" w:rsidRPr="00B730B7">
        <w:rPr>
          <w:lang w:val="es-ES_tradnl"/>
        </w:rPr>
        <w:t xml:space="preserve">; 6) Revisión de Mitad de Año </w:t>
      </w:r>
      <w:r w:rsidR="00A4072F">
        <w:rPr>
          <w:lang w:val="es-ES_tradnl"/>
        </w:rPr>
        <w:t>(</w:t>
      </w:r>
      <w:r w:rsidR="00A4072F" w:rsidRPr="00B730B7">
        <w:rPr>
          <w:lang w:val="es-ES_tradnl"/>
        </w:rPr>
        <w:t>MYR</w:t>
      </w:r>
      <w:r w:rsidR="00A4072F">
        <w:rPr>
          <w:lang w:val="es-ES_tradnl"/>
        </w:rPr>
        <w:t>)</w:t>
      </w:r>
      <w:r w:rsidR="00A4072F" w:rsidRPr="00B730B7">
        <w:rPr>
          <w:lang w:val="es-ES_tradnl"/>
        </w:rPr>
        <w:t xml:space="preserve">; 7) Informe de Fin de Año </w:t>
      </w:r>
      <w:r w:rsidR="00A4072F">
        <w:rPr>
          <w:lang w:val="es-ES_tradnl"/>
        </w:rPr>
        <w:t>(</w:t>
      </w:r>
      <w:r w:rsidR="00A4072F" w:rsidRPr="00B730B7">
        <w:rPr>
          <w:lang w:val="es-ES_tradnl"/>
        </w:rPr>
        <w:t>YER</w:t>
      </w:r>
      <w:r w:rsidR="00A4072F">
        <w:rPr>
          <w:lang w:val="es-ES_tradnl"/>
        </w:rPr>
        <w:t>)</w:t>
      </w:r>
      <w:r w:rsidR="00A4072F" w:rsidRPr="00B730B7">
        <w:rPr>
          <w:lang w:val="es-ES_tradnl"/>
        </w:rPr>
        <w:t xml:space="preserve">; y 8) Informe de Auditoría </w:t>
      </w:r>
      <w:r w:rsidR="00A4072F">
        <w:rPr>
          <w:lang w:val="es-ES_tradnl"/>
        </w:rPr>
        <w:t>(</w:t>
      </w:r>
      <w:r w:rsidR="00A4072F" w:rsidRPr="00B730B7">
        <w:rPr>
          <w:lang w:val="es-ES_tradnl"/>
        </w:rPr>
        <w:t>AR</w:t>
      </w:r>
      <w:r w:rsidR="00A4072F">
        <w:rPr>
          <w:lang w:val="es-ES_tradnl"/>
        </w:rPr>
        <w:t>).</w:t>
      </w:r>
    </w:p>
    <w:p w:rsidR="00A4072F" w:rsidRDefault="00A4072F" w:rsidP="004B5DF5">
      <w:pPr>
        <w:jc w:val="both"/>
        <w:rPr>
          <w:lang w:val="es-ES_tradnl"/>
        </w:rPr>
      </w:pPr>
    </w:p>
    <w:p w:rsidR="00B45BD0" w:rsidRDefault="00B45BD0" w:rsidP="004B5DF5">
      <w:pPr>
        <w:jc w:val="both"/>
        <w:rPr>
          <w:lang w:val="es-ES_tradnl"/>
        </w:rPr>
      </w:pPr>
      <w:r>
        <w:rPr>
          <w:lang w:val="es-ES_tradnl"/>
        </w:rPr>
        <w:t xml:space="preserve">Asimismo, ha influido </w:t>
      </w:r>
      <w:r w:rsidR="006C4F76">
        <w:rPr>
          <w:lang w:val="es-ES_tradnl"/>
        </w:rPr>
        <w:t>grandemente</w:t>
      </w:r>
      <w:r>
        <w:rPr>
          <w:lang w:val="es-ES_tradnl"/>
        </w:rPr>
        <w:t xml:space="preserve"> la institucionalización de este</w:t>
      </w:r>
      <w:r w:rsidR="004B5DF5" w:rsidRPr="00CD0AF0">
        <w:rPr>
          <w:lang w:val="es-ES_tradnl"/>
        </w:rPr>
        <w:t xml:space="preserve"> proceso mediante la emisión del Acuerdo Ministerial No. 194-2017, </w:t>
      </w:r>
      <w:r>
        <w:rPr>
          <w:lang w:val="es-ES_tradnl"/>
        </w:rPr>
        <w:t xml:space="preserve">que designa a las dependencias directamente responsables de la elaboración y publicación de los </w:t>
      </w:r>
      <w:r w:rsidR="00E60DEE">
        <w:rPr>
          <w:lang w:val="es-ES_tradnl"/>
        </w:rPr>
        <w:t>ocho</w:t>
      </w:r>
      <w:r>
        <w:rPr>
          <w:lang w:val="es-ES_tradnl"/>
        </w:rPr>
        <w:t xml:space="preserve"> documentos clave del ciclo presupuestario</w:t>
      </w:r>
      <w:r w:rsidR="006C4F76">
        <w:rPr>
          <w:lang w:val="es-ES_tradnl"/>
        </w:rPr>
        <w:t>, así como</w:t>
      </w:r>
      <w:r>
        <w:rPr>
          <w:lang w:val="es-ES_tradnl"/>
        </w:rPr>
        <w:t xml:space="preserve"> las fechas </w:t>
      </w:r>
      <w:r w:rsidR="006C4F76">
        <w:rPr>
          <w:lang w:val="es-ES_tradnl"/>
        </w:rPr>
        <w:t>límites</w:t>
      </w:r>
      <w:r>
        <w:rPr>
          <w:lang w:val="es-ES_tradnl"/>
        </w:rPr>
        <w:t xml:space="preserve"> en que </w:t>
      </w:r>
      <w:r w:rsidR="006C4F76">
        <w:rPr>
          <w:lang w:val="es-ES_tradnl"/>
        </w:rPr>
        <w:t xml:space="preserve">éstos </w:t>
      </w:r>
      <w:r>
        <w:rPr>
          <w:lang w:val="es-ES_tradnl"/>
        </w:rPr>
        <w:t xml:space="preserve">deben ser publicados en la página web institucional. Como etapa preparatoria para el proceso de la evaluación que se realiza cada dos años, el Ministerio de Finanzas Públicas </w:t>
      </w:r>
      <w:r w:rsidR="006C4F76">
        <w:rPr>
          <w:lang w:val="es-ES_tradnl"/>
        </w:rPr>
        <w:t xml:space="preserve">ha implementado la buena práctica de hacer un Informe de Autoevaluación, a través de un programa de simulación, sobre la revisión objetiva de los documentos que serán objeto de la </w:t>
      </w:r>
      <w:r w:rsidR="002207EF">
        <w:rPr>
          <w:lang w:val="es-ES_tradnl"/>
        </w:rPr>
        <w:t>próxima</w:t>
      </w:r>
      <w:r w:rsidR="006C4F76">
        <w:rPr>
          <w:lang w:val="es-ES_tradnl"/>
        </w:rPr>
        <w:t xml:space="preserve"> evaluación, lo que muestra una calificación tentativa por obtener, considerando la calidad y exhaustividad de la información presupuestaria que se produce y la fecha en que se publica.</w:t>
      </w:r>
    </w:p>
    <w:p w:rsidR="00B45BD0" w:rsidRDefault="00B45BD0" w:rsidP="004B5DF5">
      <w:pPr>
        <w:jc w:val="both"/>
        <w:rPr>
          <w:lang w:val="es-ES_tradnl"/>
        </w:rPr>
      </w:pPr>
    </w:p>
    <w:p w:rsidR="00B45BD0" w:rsidRDefault="00B45BD0" w:rsidP="004B5DF5">
      <w:pPr>
        <w:jc w:val="both"/>
        <w:rPr>
          <w:lang w:val="es-ES_tradnl"/>
        </w:rPr>
      </w:pPr>
    </w:p>
    <w:p w:rsidR="00ED72FA" w:rsidRPr="00ED72FA" w:rsidRDefault="009352CD" w:rsidP="00ED72FA">
      <w:pPr>
        <w:jc w:val="both"/>
        <w:rPr>
          <w:lang w:val="es-ES_tradnl"/>
        </w:rPr>
      </w:pPr>
      <w:r w:rsidRPr="002B005D">
        <w:rPr>
          <w:b/>
          <w:i/>
          <w:lang w:val="es-ES_tradnl"/>
        </w:rPr>
        <w:t xml:space="preserve">Análisis y </w:t>
      </w:r>
      <w:r w:rsidR="00B77826" w:rsidRPr="002B005D">
        <w:rPr>
          <w:b/>
          <w:i/>
          <w:lang w:val="es-ES_tradnl"/>
        </w:rPr>
        <w:t>Gestión de Riesgos Fiscales.</w:t>
      </w:r>
      <w:r w:rsidR="00B77826" w:rsidRPr="002B005D">
        <w:rPr>
          <w:lang w:val="es-ES_tradnl"/>
        </w:rPr>
        <w:t xml:space="preserve"> Por </w:t>
      </w:r>
      <w:r w:rsidR="005613AF" w:rsidRPr="002B005D">
        <w:rPr>
          <w:lang w:val="es-ES_tradnl"/>
        </w:rPr>
        <w:t>quinto</w:t>
      </w:r>
      <w:r w:rsidR="00B77826" w:rsidRPr="002B005D">
        <w:rPr>
          <w:lang w:val="es-ES_tradnl"/>
        </w:rPr>
        <w:t xml:space="preserve"> año consecutivo, en la etapa de formulación del Proyecto de Presupuesto General de Ingresos y Egresos del Estado, se incorpora un</w:t>
      </w:r>
      <w:r w:rsidRPr="002B005D">
        <w:rPr>
          <w:lang w:val="es-ES_tradnl"/>
        </w:rPr>
        <w:t>a separata o</w:t>
      </w:r>
      <w:r w:rsidR="00B77826" w:rsidRPr="002B005D">
        <w:rPr>
          <w:lang w:val="es-ES_tradnl"/>
        </w:rPr>
        <w:t xml:space="preserve"> informe ejecutivo sobre el análisis y gestión de </w:t>
      </w:r>
      <w:r w:rsidRPr="002B005D">
        <w:rPr>
          <w:lang w:val="es-ES_tradnl"/>
        </w:rPr>
        <w:t xml:space="preserve">los </w:t>
      </w:r>
      <w:r w:rsidR="00B77826" w:rsidRPr="002B005D">
        <w:rPr>
          <w:lang w:val="es-ES_tradnl"/>
        </w:rPr>
        <w:t>riesgos fiscales</w:t>
      </w:r>
      <w:r w:rsidR="00B77826" w:rsidRPr="00B77826">
        <w:rPr>
          <w:lang w:val="es-ES_tradnl"/>
        </w:rPr>
        <w:t xml:space="preserve"> </w:t>
      </w:r>
      <w:r w:rsidR="00ED72FA" w:rsidRPr="00ED72FA">
        <w:rPr>
          <w:lang w:val="es-ES_tradnl"/>
        </w:rPr>
        <w:t xml:space="preserve">que podrían tener un impacto en la evolución de las principales variables </w:t>
      </w:r>
      <w:r w:rsidR="00D15DEF">
        <w:rPr>
          <w:lang w:val="es-ES_tradnl"/>
        </w:rPr>
        <w:t xml:space="preserve">macroeconómicas y </w:t>
      </w:r>
      <w:r w:rsidR="00ED72FA" w:rsidRPr="00ED72FA">
        <w:rPr>
          <w:lang w:val="es-ES_tradnl"/>
        </w:rPr>
        <w:t>fiscales</w:t>
      </w:r>
      <w:r>
        <w:rPr>
          <w:lang w:val="es-ES_tradnl"/>
        </w:rPr>
        <w:t>,</w:t>
      </w:r>
      <w:r w:rsidR="00ED72FA" w:rsidRPr="00ED72FA">
        <w:rPr>
          <w:lang w:val="es-ES_tradnl"/>
        </w:rPr>
        <w:t xml:space="preserve"> y que</w:t>
      </w:r>
      <w:r>
        <w:rPr>
          <w:lang w:val="es-ES_tradnl"/>
        </w:rPr>
        <w:t xml:space="preserve"> adicionalmente</w:t>
      </w:r>
      <w:r w:rsidR="00ED72FA" w:rsidRPr="00ED72FA">
        <w:rPr>
          <w:lang w:val="es-ES_tradnl"/>
        </w:rPr>
        <w:t xml:space="preserve"> </w:t>
      </w:r>
      <w:r>
        <w:rPr>
          <w:lang w:val="es-ES_tradnl"/>
        </w:rPr>
        <w:t xml:space="preserve">podrían </w:t>
      </w:r>
      <w:r w:rsidR="00ED72FA" w:rsidRPr="00ED72FA">
        <w:rPr>
          <w:lang w:val="es-ES_tradnl"/>
        </w:rPr>
        <w:t>afectar la sostenibilidad de la deu</w:t>
      </w:r>
      <w:r>
        <w:rPr>
          <w:lang w:val="es-ES_tradnl"/>
        </w:rPr>
        <w:t xml:space="preserve">da pública en el mediano plazo. </w:t>
      </w:r>
      <w:r w:rsidR="00ED72FA" w:rsidRPr="00ED72FA">
        <w:rPr>
          <w:lang w:val="es-ES_tradnl"/>
        </w:rPr>
        <w:t xml:space="preserve">Dicho análisis tiene el objetivo de cumplir los compromisos que el país ha asumido en materia de transparencia fiscal, </w:t>
      </w:r>
      <w:r>
        <w:rPr>
          <w:lang w:val="es-ES_tradnl"/>
        </w:rPr>
        <w:t>según</w:t>
      </w:r>
      <w:r w:rsidR="00ED72FA" w:rsidRPr="00ED72FA">
        <w:rPr>
          <w:lang w:val="es-ES_tradnl"/>
        </w:rPr>
        <w:t xml:space="preserve"> las recomendaciones del</w:t>
      </w:r>
      <w:r>
        <w:rPr>
          <w:lang w:val="es-ES_tradnl"/>
        </w:rPr>
        <w:t xml:space="preserve"> Fondo Monetario Internacional</w:t>
      </w:r>
      <w:r w:rsidR="00ED72FA" w:rsidRPr="00ED72FA">
        <w:rPr>
          <w:lang w:val="es-ES_tradnl"/>
        </w:rPr>
        <w:t xml:space="preserve"> </w:t>
      </w:r>
      <w:r>
        <w:rPr>
          <w:lang w:val="es-ES_tradnl"/>
        </w:rPr>
        <w:t>(</w:t>
      </w:r>
      <w:r w:rsidR="00ED72FA" w:rsidRPr="00ED72FA">
        <w:rPr>
          <w:lang w:val="es-ES_tradnl"/>
        </w:rPr>
        <w:t>FMI</w:t>
      </w:r>
      <w:r>
        <w:rPr>
          <w:lang w:val="es-ES_tradnl"/>
        </w:rPr>
        <w:t>)</w:t>
      </w:r>
      <w:r w:rsidR="00ED72FA" w:rsidRPr="00ED72FA">
        <w:rPr>
          <w:lang w:val="es-ES_tradnl"/>
        </w:rPr>
        <w:t>,</w:t>
      </w:r>
      <w:r w:rsidR="00D15DEF">
        <w:rPr>
          <w:lang w:val="es-ES_tradnl"/>
        </w:rPr>
        <w:t xml:space="preserve"> de</w:t>
      </w:r>
      <w:r w:rsidR="00ED72FA" w:rsidRPr="00ED72FA">
        <w:rPr>
          <w:lang w:val="es-ES_tradnl"/>
        </w:rPr>
        <w:t xml:space="preserve"> </w:t>
      </w:r>
      <w:r>
        <w:rPr>
          <w:lang w:val="es-ES_tradnl"/>
        </w:rPr>
        <w:t>conform</w:t>
      </w:r>
      <w:r w:rsidR="00D15DEF">
        <w:rPr>
          <w:lang w:val="es-ES_tradnl"/>
        </w:rPr>
        <w:t>idad a</w:t>
      </w:r>
      <w:r w:rsidR="00ED72FA" w:rsidRPr="00ED72FA">
        <w:rPr>
          <w:lang w:val="es-ES_tradnl"/>
        </w:rPr>
        <w:t xml:space="preserve"> la evaluación formal sobre transparencia fiscal</w:t>
      </w:r>
      <w:r>
        <w:rPr>
          <w:lang w:val="es-ES_tradnl"/>
        </w:rPr>
        <w:t xml:space="preserve"> que realizó en el país</w:t>
      </w:r>
      <w:r w:rsidR="00D15DEF">
        <w:rPr>
          <w:lang w:val="es-ES_tradnl"/>
        </w:rPr>
        <w:t>,</w:t>
      </w:r>
      <w:r>
        <w:rPr>
          <w:lang w:val="es-ES_tradnl"/>
        </w:rPr>
        <w:t xml:space="preserve"> entre marzo y abril de</w:t>
      </w:r>
      <w:r w:rsidR="00ED72FA" w:rsidRPr="00ED72FA">
        <w:rPr>
          <w:lang w:val="es-ES_tradnl"/>
        </w:rPr>
        <w:t xml:space="preserve"> 2016. De esa cuenta desde el año 2017 se incluye como una separata </w:t>
      </w:r>
      <w:r w:rsidR="00444AFC">
        <w:rPr>
          <w:lang w:val="es-ES_tradnl"/>
        </w:rPr>
        <w:t>que integra el</w:t>
      </w:r>
      <w:r w:rsidR="00ED72FA" w:rsidRPr="00ED72FA">
        <w:rPr>
          <w:lang w:val="es-ES_tradnl"/>
        </w:rPr>
        <w:t xml:space="preserve"> Proyecto de Presupuesto</w:t>
      </w:r>
      <w:r w:rsidR="00444AFC">
        <w:rPr>
          <w:lang w:val="es-ES_tradnl"/>
        </w:rPr>
        <w:t xml:space="preserve"> General de Ingresos y Egresos del Estado,</w:t>
      </w:r>
      <w:r w:rsidR="00ED72FA" w:rsidRPr="00ED72FA">
        <w:rPr>
          <w:lang w:val="es-ES_tradnl"/>
        </w:rPr>
        <w:t xml:space="preserve"> </w:t>
      </w:r>
      <w:r w:rsidR="00444AFC">
        <w:rPr>
          <w:lang w:val="es-ES_tradnl"/>
        </w:rPr>
        <w:t>un</w:t>
      </w:r>
      <w:r w:rsidR="00ED72FA" w:rsidRPr="00ED72FA">
        <w:rPr>
          <w:lang w:val="es-ES_tradnl"/>
        </w:rPr>
        <w:t xml:space="preserve"> informe </w:t>
      </w:r>
      <w:r w:rsidR="00444AFC">
        <w:rPr>
          <w:lang w:val="es-ES_tradnl"/>
        </w:rPr>
        <w:t>sobre</w:t>
      </w:r>
      <w:r w:rsidR="00ED72FA" w:rsidRPr="00ED72FA">
        <w:rPr>
          <w:lang w:val="es-ES_tradnl"/>
        </w:rPr>
        <w:t xml:space="preserve"> los principales riesgos fiscales</w:t>
      </w:r>
      <w:r w:rsidR="00444AFC">
        <w:rPr>
          <w:lang w:val="es-ES_tradnl"/>
        </w:rPr>
        <w:t xml:space="preserve"> que pudieran afectar las finanzas del Estado</w:t>
      </w:r>
      <w:r w:rsidR="00ED72FA" w:rsidRPr="00ED72FA">
        <w:rPr>
          <w:lang w:val="es-ES_tradnl"/>
        </w:rPr>
        <w:t>.</w:t>
      </w:r>
    </w:p>
    <w:p w:rsidR="00ED72FA" w:rsidRPr="00ED72FA" w:rsidRDefault="00ED72FA" w:rsidP="00ED72FA">
      <w:pPr>
        <w:jc w:val="both"/>
        <w:rPr>
          <w:lang w:val="es-ES_tradnl"/>
        </w:rPr>
      </w:pPr>
    </w:p>
    <w:p w:rsidR="005A2DA4" w:rsidRDefault="00ED72FA" w:rsidP="00ED72FA">
      <w:pPr>
        <w:jc w:val="both"/>
        <w:rPr>
          <w:lang w:val="es-ES_tradnl"/>
        </w:rPr>
      </w:pPr>
      <w:r w:rsidRPr="00ED72FA">
        <w:rPr>
          <w:lang w:val="es-ES_tradnl"/>
        </w:rPr>
        <w:t xml:space="preserve">La inclusión del análisis </w:t>
      </w:r>
      <w:r w:rsidR="00583B3D">
        <w:rPr>
          <w:lang w:val="es-ES_tradnl"/>
        </w:rPr>
        <w:t xml:space="preserve">en </w:t>
      </w:r>
      <w:r w:rsidRPr="00ED72FA">
        <w:rPr>
          <w:lang w:val="es-ES_tradnl"/>
        </w:rPr>
        <w:t xml:space="preserve">la </w:t>
      </w:r>
      <w:r w:rsidR="00583B3D">
        <w:rPr>
          <w:lang w:val="es-ES_tradnl"/>
        </w:rPr>
        <w:t>g</w:t>
      </w:r>
      <w:r w:rsidRPr="00ED72FA">
        <w:rPr>
          <w:lang w:val="es-ES_tradnl"/>
        </w:rPr>
        <w:t xml:space="preserve">estión de </w:t>
      </w:r>
      <w:r w:rsidR="00583B3D">
        <w:rPr>
          <w:lang w:val="es-ES_tradnl"/>
        </w:rPr>
        <w:t>r</w:t>
      </w:r>
      <w:r w:rsidRPr="00ED72FA">
        <w:rPr>
          <w:lang w:val="es-ES_tradnl"/>
        </w:rPr>
        <w:t xml:space="preserve">iesgos </w:t>
      </w:r>
      <w:r w:rsidR="00583B3D">
        <w:rPr>
          <w:lang w:val="es-ES_tradnl"/>
        </w:rPr>
        <w:t>f</w:t>
      </w:r>
      <w:r w:rsidRPr="00ED72FA">
        <w:rPr>
          <w:lang w:val="es-ES_tradnl"/>
        </w:rPr>
        <w:t xml:space="preserve">iscales ha adquirido </w:t>
      </w:r>
      <w:r w:rsidR="00A8343F">
        <w:rPr>
          <w:lang w:val="es-ES_tradnl"/>
        </w:rPr>
        <w:t>vital</w:t>
      </w:r>
      <w:r w:rsidRPr="00ED72FA">
        <w:rPr>
          <w:lang w:val="es-ES_tradnl"/>
        </w:rPr>
        <w:t xml:space="preserve"> importancia durante los últimos años, pues el impacto de la globalización, de las incidencias del comercio internacional, la volatilidad de los mercados financieros, el creciente proteccionismo comercial liderado por las principales potencias económicas, la vulnerabilidad de las economías ante desastres climatológicos, los pasivos laborales, </w:t>
      </w:r>
      <w:r w:rsidR="005A2DA4">
        <w:rPr>
          <w:lang w:val="es-ES_tradnl"/>
        </w:rPr>
        <w:t xml:space="preserve">entre otros, </w:t>
      </w:r>
      <w:r w:rsidRPr="00ED72FA">
        <w:rPr>
          <w:lang w:val="es-ES_tradnl"/>
        </w:rPr>
        <w:t xml:space="preserve">son la muestra de una gama de variables que afectan las economías, </w:t>
      </w:r>
      <w:r w:rsidR="00583B3D">
        <w:rPr>
          <w:lang w:val="es-ES_tradnl"/>
        </w:rPr>
        <w:t xml:space="preserve">así como </w:t>
      </w:r>
      <w:r w:rsidRPr="00ED72FA">
        <w:rPr>
          <w:lang w:val="es-ES_tradnl"/>
        </w:rPr>
        <w:t>la evolución de las finanzas y la sostenibilidad de la deuda</w:t>
      </w:r>
      <w:r w:rsidR="00E02651">
        <w:rPr>
          <w:lang w:val="es-ES_tradnl"/>
        </w:rPr>
        <w:t xml:space="preserve"> pública</w:t>
      </w:r>
      <w:r w:rsidR="00583B3D">
        <w:rPr>
          <w:lang w:val="es-ES_tradnl"/>
        </w:rPr>
        <w:t>,</w:t>
      </w:r>
      <w:r w:rsidRPr="00ED72FA">
        <w:rPr>
          <w:lang w:val="es-ES_tradnl"/>
        </w:rPr>
        <w:t xml:space="preserve"> sobre todo en el mediano y largo plazos. Sobre esta visión, tal como lo indica la </w:t>
      </w:r>
      <w:r w:rsidR="005A2DA4">
        <w:rPr>
          <w:lang w:val="es-ES_tradnl"/>
        </w:rPr>
        <w:t xml:space="preserve">Organización para </w:t>
      </w:r>
      <w:r w:rsidR="00E02651">
        <w:rPr>
          <w:lang w:val="es-ES_tradnl"/>
        </w:rPr>
        <w:t>la Cooperación</w:t>
      </w:r>
      <w:r w:rsidR="005A2DA4">
        <w:rPr>
          <w:lang w:val="es-ES_tradnl"/>
        </w:rPr>
        <w:t xml:space="preserve"> y Desarrollo Económicos (OCDE)</w:t>
      </w:r>
      <w:r w:rsidRPr="00ED72FA">
        <w:rPr>
          <w:lang w:val="es-ES_tradnl"/>
        </w:rPr>
        <w:t>, es importante la evaluación del impacto de eventos que tienen el potencial de alterar los datos efectivos de las variables fiscales con relación a sus valores proyectados. Los riesgos fiscales pueden tener impactos significativos sobre el resultado fiscal, es decir</w:t>
      </w:r>
      <w:r w:rsidR="008C4344">
        <w:rPr>
          <w:lang w:val="es-ES_tradnl"/>
        </w:rPr>
        <w:t>,</w:t>
      </w:r>
      <w:r w:rsidRPr="00ED72FA">
        <w:rPr>
          <w:lang w:val="es-ES_tradnl"/>
        </w:rPr>
        <w:t xml:space="preserve"> el superávit o déficit del sector público, e impactar </w:t>
      </w:r>
      <w:r w:rsidR="008C4344">
        <w:rPr>
          <w:lang w:val="es-ES_tradnl"/>
        </w:rPr>
        <w:t xml:space="preserve">en </w:t>
      </w:r>
      <w:r w:rsidRPr="00ED72FA">
        <w:rPr>
          <w:lang w:val="es-ES_tradnl"/>
        </w:rPr>
        <w:t>las necesidades de financiamiento.</w:t>
      </w:r>
    </w:p>
    <w:p w:rsidR="005A2DA4" w:rsidRDefault="005A2DA4" w:rsidP="00ED72FA">
      <w:pPr>
        <w:jc w:val="both"/>
        <w:rPr>
          <w:lang w:val="es-ES_tradnl"/>
        </w:rPr>
      </w:pPr>
    </w:p>
    <w:p w:rsidR="00C563F6" w:rsidRDefault="00C563F6" w:rsidP="00ED72FA">
      <w:pPr>
        <w:jc w:val="both"/>
        <w:rPr>
          <w:lang w:val="es-ES_tradnl"/>
        </w:rPr>
      </w:pPr>
      <w:r w:rsidRPr="00C563F6">
        <w:rPr>
          <w:lang w:val="es-ES_tradnl"/>
        </w:rPr>
        <w:t>En este sentido</w:t>
      </w:r>
      <w:r>
        <w:rPr>
          <w:lang w:val="es-ES_tradnl"/>
        </w:rPr>
        <w:t>,</w:t>
      </w:r>
      <w:r w:rsidRPr="00C563F6">
        <w:rPr>
          <w:lang w:val="es-ES_tradnl"/>
        </w:rPr>
        <w:t xml:space="preserve"> el Ministerio de Finanzas Públicas ha avanzado durante los últimos años en la inclusión de este tipo de análisis ya que se ha considerado la importancia de un adecuado manejo </w:t>
      </w:r>
      <w:r>
        <w:rPr>
          <w:lang w:val="es-ES_tradnl"/>
        </w:rPr>
        <w:t>en</w:t>
      </w:r>
      <w:r w:rsidRPr="00C563F6">
        <w:rPr>
          <w:lang w:val="es-ES_tradnl"/>
        </w:rPr>
        <w:t xml:space="preserve"> la gestión de riesgos, </w:t>
      </w:r>
      <w:r>
        <w:rPr>
          <w:lang w:val="es-ES_tradnl"/>
        </w:rPr>
        <w:t>específicamente</w:t>
      </w:r>
      <w:r w:rsidRPr="00C563F6">
        <w:rPr>
          <w:lang w:val="es-ES_tradnl"/>
        </w:rPr>
        <w:t xml:space="preserve"> en la identificación de los riesgos fiscales, incluyendo la cuantificación de sus posibles impactos. Ello implica la inclusión de medidas de política orientadas a mitigar los </w:t>
      </w:r>
      <w:r>
        <w:rPr>
          <w:lang w:val="es-ES_tradnl"/>
        </w:rPr>
        <w:t>mismos</w:t>
      </w:r>
      <w:r w:rsidRPr="00C563F6">
        <w:rPr>
          <w:lang w:val="es-ES_tradnl"/>
        </w:rPr>
        <w:t xml:space="preserve"> y la creación de instrumentos orientados a facilitar la toma de decisiones y previsiones para cubrir sus potenciales costos o para aceptarlo</w:t>
      </w:r>
      <w:r>
        <w:rPr>
          <w:lang w:val="es-ES_tradnl"/>
        </w:rPr>
        <w:t>s</w:t>
      </w:r>
      <w:r w:rsidRPr="00C563F6">
        <w:rPr>
          <w:lang w:val="es-ES_tradnl"/>
        </w:rPr>
        <w:t xml:space="preserve"> y </w:t>
      </w:r>
      <w:r w:rsidRPr="00C563F6">
        <w:rPr>
          <w:lang w:val="es-ES_tradnl"/>
        </w:rPr>
        <w:lastRenderedPageBreak/>
        <w:t>acomodarlo</w:t>
      </w:r>
      <w:r>
        <w:rPr>
          <w:lang w:val="es-ES_tradnl"/>
        </w:rPr>
        <w:t>s</w:t>
      </w:r>
      <w:r w:rsidRPr="00C563F6">
        <w:rPr>
          <w:lang w:val="es-ES_tradnl"/>
        </w:rPr>
        <w:t>. La importancia radica en la identificación de medidas de mitigación de riesgos fiscales</w:t>
      </w:r>
      <w:r>
        <w:rPr>
          <w:lang w:val="es-ES_tradnl"/>
        </w:rPr>
        <w:t>,</w:t>
      </w:r>
      <w:r w:rsidRPr="00C563F6">
        <w:rPr>
          <w:lang w:val="es-ES_tradnl"/>
        </w:rPr>
        <w:t xml:space="preserve"> tales como</w:t>
      </w:r>
      <w:r>
        <w:rPr>
          <w:lang w:val="es-ES_tradnl"/>
        </w:rPr>
        <w:t>,</w:t>
      </w:r>
      <w:r w:rsidRPr="00C563F6">
        <w:rPr>
          <w:lang w:val="es-ES_tradnl"/>
        </w:rPr>
        <w:t xml:space="preserve"> controles directos o los límites de exposición, elaboración de estrategias para la gestión de riesgos financieros, regulaciones, y otras medidas y mecanismos para transferir</w:t>
      </w:r>
      <w:r>
        <w:rPr>
          <w:lang w:val="es-ES_tradnl"/>
        </w:rPr>
        <w:t>, mitigar</w:t>
      </w:r>
      <w:r w:rsidRPr="00C563F6">
        <w:rPr>
          <w:lang w:val="es-ES_tradnl"/>
        </w:rPr>
        <w:t xml:space="preserve"> o compartir </w:t>
      </w:r>
      <w:r>
        <w:rPr>
          <w:lang w:val="es-ES_tradnl"/>
        </w:rPr>
        <w:t>los</w:t>
      </w:r>
      <w:r w:rsidRPr="00C563F6">
        <w:rPr>
          <w:lang w:val="es-ES_tradnl"/>
        </w:rPr>
        <w:t xml:space="preserve"> riesgo</w:t>
      </w:r>
      <w:r>
        <w:rPr>
          <w:lang w:val="es-ES_tradnl"/>
        </w:rPr>
        <w:t>s.</w:t>
      </w:r>
    </w:p>
    <w:p w:rsidR="007E0FD4" w:rsidRDefault="007E0FD4" w:rsidP="004B5DF5">
      <w:pPr>
        <w:jc w:val="both"/>
        <w:rPr>
          <w:lang w:val="es-ES_tradnl"/>
        </w:rPr>
      </w:pPr>
    </w:p>
    <w:p w:rsidR="00B2597D" w:rsidRDefault="00B2597D" w:rsidP="00C87E7F">
      <w:pPr>
        <w:jc w:val="both"/>
        <w:rPr>
          <w:lang w:val="es-ES_tradnl"/>
        </w:rPr>
      </w:pPr>
    </w:p>
    <w:p w:rsidR="006F3C04" w:rsidRPr="006F3C04" w:rsidRDefault="006F3C04" w:rsidP="006F3C04">
      <w:pPr>
        <w:jc w:val="both"/>
        <w:rPr>
          <w:lang w:val="es-ES_tradnl"/>
        </w:rPr>
      </w:pPr>
      <w:r w:rsidRPr="008930FF">
        <w:rPr>
          <w:b/>
          <w:i/>
          <w:lang w:val="es-ES_tradnl"/>
        </w:rPr>
        <w:t>Programa de Reactivación Económica y Social 2021-2025.</w:t>
      </w:r>
      <w:r w:rsidRPr="008930FF">
        <w:rPr>
          <w:lang w:val="es-ES_tradnl"/>
        </w:rPr>
        <w:t xml:space="preserve"> </w:t>
      </w:r>
      <w:r w:rsidRPr="008930FF">
        <w:rPr>
          <w:lang w:val="es-ES_tradnl"/>
        </w:rPr>
        <w:t>Derivado de la crisis sanitaria</w:t>
      </w:r>
      <w:r w:rsidRPr="006F3C04">
        <w:rPr>
          <w:lang w:val="es-ES_tradnl"/>
        </w:rPr>
        <w:t xml:space="preserve"> provocada por la </w:t>
      </w:r>
      <w:r w:rsidR="00DA3B60">
        <w:rPr>
          <w:lang w:val="es-ES_tradnl"/>
        </w:rPr>
        <w:t xml:space="preserve">pandemia del </w:t>
      </w:r>
      <w:r w:rsidRPr="006F3C04">
        <w:rPr>
          <w:lang w:val="es-ES_tradnl"/>
        </w:rPr>
        <w:t>Covid-19, que ha afectado a</w:t>
      </w:r>
      <w:r w:rsidR="00DA3B60">
        <w:rPr>
          <w:lang w:val="es-ES_tradnl"/>
        </w:rPr>
        <w:t xml:space="preserve"> todo</w:t>
      </w:r>
      <w:r w:rsidRPr="006F3C04">
        <w:rPr>
          <w:lang w:val="es-ES_tradnl"/>
        </w:rPr>
        <w:t xml:space="preserve"> </w:t>
      </w:r>
      <w:r w:rsidR="004C5F49">
        <w:rPr>
          <w:lang w:val="es-ES_tradnl"/>
        </w:rPr>
        <w:t xml:space="preserve">el </w:t>
      </w:r>
      <w:r w:rsidRPr="006F3C04">
        <w:rPr>
          <w:lang w:val="es-ES_tradnl"/>
        </w:rPr>
        <w:t>planeta</w:t>
      </w:r>
      <w:r w:rsidR="00DA3B60">
        <w:rPr>
          <w:lang w:val="es-ES_tradnl"/>
        </w:rPr>
        <w:t xml:space="preserve"> principalmente</w:t>
      </w:r>
      <w:r w:rsidRPr="006F3C04">
        <w:rPr>
          <w:lang w:val="es-ES_tradnl"/>
        </w:rPr>
        <w:t xml:space="preserve"> en 2020, la economía a nivel mundial ha sufrido una considerable contracción, en virtud que los mercados se han desarrollado de forma irregular, aunado a las medidas de confinamiento que han debido adoptar los gobiernos, con el objetivo de salvaguardar la vida de los ciudadanos.</w:t>
      </w:r>
    </w:p>
    <w:p w:rsidR="006F3C04" w:rsidRDefault="006F3C04" w:rsidP="006F3C04">
      <w:pPr>
        <w:jc w:val="both"/>
        <w:rPr>
          <w:lang w:val="es-ES_tradnl"/>
        </w:rPr>
      </w:pPr>
      <w:r w:rsidRPr="006F3C04">
        <w:rPr>
          <w:lang w:val="es-ES_tradnl"/>
        </w:rPr>
        <w:t xml:space="preserve">De tal cuenta, </w:t>
      </w:r>
      <w:r w:rsidR="00DA3B60">
        <w:rPr>
          <w:lang w:val="es-ES_tradnl"/>
        </w:rPr>
        <w:t>varios o</w:t>
      </w:r>
      <w:r w:rsidRPr="006F3C04">
        <w:rPr>
          <w:lang w:val="es-ES_tradnl"/>
        </w:rPr>
        <w:t xml:space="preserve">rganismos </w:t>
      </w:r>
      <w:r w:rsidR="00DA3B60">
        <w:rPr>
          <w:lang w:val="es-ES_tradnl"/>
        </w:rPr>
        <w:t>i</w:t>
      </w:r>
      <w:r w:rsidRPr="006F3C04">
        <w:rPr>
          <w:lang w:val="es-ES_tradnl"/>
        </w:rPr>
        <w:t>nternacionales como el Fondo Monetario Internacional (FMI) y el Banco Mundial (BM), plantearon que para 2020 la economía se desaceleraría, en comparación con el ritmo reflejado en los últimos años, principalmente por la reducción en el volumen de las transacciones comerciales entre países, así como por la disminución en la producción y el confinamiento establecido</w:t>
      </w:r>
      <w:r>
        <w:rPr>
          <w:lang w:val="es-ES_tradnl"/>
        </w:rPr>
        <w:t>.</w:t>
      </w:r>
    </w:p>
    <w:p w:rsidR="006F3C04" w:rsidRDefault="006F3C04" w:rsidP="006F3C04">
      <w:pPr>
        <w:jc w:val="both"/>
        <w:rPr>
          <w:lang w:val="es-ES_tradnl"/>
        </w:rPr>
      </w:pPr>
    </w:p>
    <w:p w:rsidR="006F3C04" w:rsidRDefault="00FB7F99" w:rsidP="006F3C04">
      <w:pPr>
        <w:jc w:val="both"/>
        <w:rPr>
          <w:lang w:val="es-ES_tradnl"/>
        </w:rPr>
      </w:pPr>
      <w:r>
        <w:rPr>
          <w:lang w:val="es-ES_tradnl"/>
        </w:rPr>
        <w:t>En ese sentido, u</w:t>
      </w:r>
      <w:r w:rsidR="006F3C04" w:rsidRPr="006F3C04">
        <w:rPr>
          <w:lang w:val="es-ES_tradnl"/>
        </w:rPr>
        <w:t>no de los instrumentos para contrarrestar la desaceleración de la economía es</w:t>
      </w:r>
      <w:r>
        <w:rPr>
          <w:lang w:val="es-ES_tradnl"/>
        </w:rPr>
        <w:t xml:space="preserve"> el manejo prudente de</w:t>
      </w:r>
      <w:r w:rsidR="006F3C04" w:rsidRPr="006F3C04">
        <w:rPr>
          <w:lang w:val="es-ES_tradnl"/>
        </w:rPr>
        <w:t xml:space="preserve"> la política fiscal</w:t>
      </w:r>
      <w:r>
        <w:rPr>
          <w:lang w:val="es-ES_tradnl"/>
        </w:rPr>
        <w:t>;</w:t>
      </w:r>
      <w:r w:rsidR="006F3C04" w:rsidRPr="006F3C04">
        <w:rPr>
          <w:lang w:val="es-ES_tradnl"/>
        </w:rPr>
        <w:t xml:space="preserve"> por lo que</w:t>
      </w:r>
      <w:r>
        <w:rPr>
          <w:lang w:val="es-ES_tradnl"/>
        </w:rPr>
        <w:t>,</w:t>
      </w:r>
      <w:r w:rsidR="006F3C04" w:rsidRPr="006F3C04">
        <w:rPr>
          <w:lang w:val="es-ES_tradnl"/>
        </w:rPr>
        <w:t xml:space="preserve"> a través del gasto del sector público puede reconducir</w:t>
      </w:r>
      <w:r>
        <w:rPr>
          <w:lang w:val="es-ES_tradnl"/>
        </w:rPr>
        <w:t>se</w:t>
      </w:r>
      <w:r w:rsidR="006F3C04" w:rsidRPr="006F3C04">
        <w:rPr>
          <w:lang w:val="es-ES_tradnl"/>
        </w:rPr>
        <w:t xml:space="preserve"> la demanda agregada hasta </w:t>
      </w:r>
      <w:r>
        <w:rPr>
          <w:lang w:val="es-ES_tradnl"/>
        </w:rPr>
        <w:t>un</w:t>
      </w:r>
      <w:r w:rsidR="006F3C04" w:rsidRPr="006F3C04">
        <w:rPr>
          <w:lang w:val="es-ES_tradnl"/>
        </w:rPr>
        <w:t xml:space="preserve"> nivel que permita una producción sostenida de pleno empleo, cuando se está en una situación de contracción en el desarrollo de las actividades económicas.</w:t>
      </w:r>
      <w:r>
        <w:rPr>
          <w:lang w:val="es-ES_tradnl"/>
        </w:rPr>
        <w:t xml:space="preserve"> </w:t>
      </w:r>
      <w:r w:rsidR="006F3C04" w:rsidRPr="006F3C04">
        <w:rPr>
          <w:lang w:val="es-ES_tradnl"/>
        </w:rPr>
        <w:t xml:space="preserve">En función de lo anterior, para lograr la recuperación y reactivación de la economía, el Estado de Guatemala ha adoptado un papel activo para incentivar y dinamizar el desarrollo de la actividad económica, a través de una política fiscal expansiva por medio del presupuesto público. Es por ello que, con el objetivo de contrarrestar los efectos adversos del Covid-19, en el </w:t>
      </w:r>
      <w:r>
        <w:rPr>
          <w:lang w:val="es-ES_tradnl"/>
        </w:rPr>
        <w:t xml:space="preserve">año </w:t>
      </w:r>
      <w:r w:rsidR="006F3C04" w:rsidRPr="006F3C04">
        <w:rPr>
          <w:lang w:val="es-ES_tradnl"/>
        </w:rPr>
        <w:t>2020 se aprob</w:t>
      </w:r>
      <w:r>
        <w:rPr>
          <w:lang w:val="es-ES_tradnl"/>
        </w:rPr>
        <w:t>ó</w:t>
      </w:r>
      <w:r w:rsidR="006F3C04" w:rsidRPr="006F3C04">
        <w:rPr>
          <w:lang w:val="es-ES_tradnl"/>
        </w:rPr>
        <w:t xml:space="preserve"> una serie de programas enfocados </w:t>
      </w:r>
      <w:r>
        <w:rPr>
          <w:lang w:val="es-ES_tradnl"/>
        </w:rPr>
        <w:t>a</w:t>
      </w:r>
      <w:r w:rsidR="006F3C04" w:rsidRPr="006F3C04">
        <w:rPr>
          <w:lang w:val="es-ES_tradnl"/>
        </w:rPr>
        <w:t xml:space="preserve"> generar un estímulo fiscal para mitigar el impacto en la economía; tales como</w:t>
      </w:r>
      <w:r w:rsidR="00AF010C">
        <w:rPr>
          <w:lang w:val="es-ES_tradnl"/>
        </w:rPr>
        <w:t>:</w:t>
      </w:r>
      <w:r w:rsidR="006F3C04" w:rsidRPr="006F3C04">
        <w:rPr>
          <w:lang w:val="es-ES_tradnl"/>
        </w:rPr>
        <w:t xml:space="preserve"> dotar de alimentos y recursos </w:t>
      </w:r>
      <w:r>
        <w:rPr>
          <w:lang w:val="es-ES_tradnl"/>
        </w:rPr>
        <w:t>económicos</w:t>
      </w:r>
      <w:r w:rsidR="006F3C04" w:rsidRPr="006F3C04">
        <w:rPr>
          <w:lang w:val="es-ES_tradnl"/>
        </w:rPr>
        <w:t xml:space="preserve"> a las familias, principalmente aquellas en situación vulnerable, para satisfacer sus necesidades básicas</w:t>
      </w:r>
      <w:r>
        <w:rPr>
          <w:lang w:val="es-ES_tradnl"/>
        </w:rPr>
        <w:t>;</w:t>
      </w:r>
      <w:r w:rsidR="006F3C04" w:rsidRPr="006F3C04">
        <w:rPr>
          <w:lang w:val="es-ES_tradnl"/>
        </w:rPr>
        <w:t xml:space="preserve"> asimismo se facilitó el acceso a financiamiento en condiciones blandas a las micro, pequeñas y medianas empresas, permitiéndoles continuar con el desarrollo de sus actividades, contribuyendo así a </w:t>
      </w:r>
      <w:r>
        <w:rPr>
          <w:lang w:val="es-ES_tradnl"/>
        </w:rPr>
        <w:t>la conservación de</w:t>
      </w:r>
      <w:r w:rsidR="00AF010C">
        <w:rPr>
          <w:lang w:val="es-ES_tradnl"/>
        </w:rPr>
        <w:t>l</w:t>
      </w:r>
      <w:r>
        <w:rPr>
          <w:lang w:val="es-ES_tradnl"/>
        </w:rPr>
        <w:t xml:space="preserve"> empleo.</w:t>
      </w:r>
    </w:p>
    <w:p w:rsidR="00FB7F99" w:rsidRPr="006F3C04" w:rsidRDefault="00FB7F99" w:rsidP="006F3C04">
      <w:pPr>
        <w:jc w:val="both"/>
        <w:rPr>
          <w:lang w:val="es-ES_tradnl"/>
        </w:rPr>
      </w:pPr>
    </w:p>
    <w:p w:rsidR="00D23DA9" w:rsidRDefault="00FB7F99" w:rsidP="006F3C04">
      <w:pPr>
        <w:jc w:val="both"/>
        <w:rPr>
          <w:lang w:val="es-ES_tradnl"/>
        </w:rPr>
      </w:pPr>
      <w:r>
        <w:rPr>
          <w:lang w:val="es-ES_tradnl"/>
        </w:rPr>
        <w:t>Las</w:t>
      </w:r>
      <w:r w:rsidR="006F3C04" w:rsidRPr="006F3C04">
        <w:rPr>
          <w:lang w:val="es-ES_tradnl"/>
        </w:rPr>
        <w:t xml:space="preserve"> medidas de apoyo fueron aprobadas </w:t>
      </w:r>
      <w:r>
        <w:rPr>
          <w:lang w:val="es-ES_tradnl"/>
        </w:rPr>
        <w:t xml:space="preserve">por el Congreso de la República de Guatemala </w:t>
      </w:r>
      <w:r w:rsidR="008A0ECE">
        <w:rPr>
          <w:lang w:val="es-ES_tradnl"/>
        </w:rPr>
        <w:t>mediante la emisión</w:t>
      </w:r>
      <w:r w:rsidR="006F3C04" w:rsidRPr="006F3C04">
        <w:rPr>
          <w:lang w:val="es-ES_tradnl"/>
        </w:rPr>
        <w:t xml:space="preserve"> de</w:t>
      </w:r>
      <w:r>
        <w:rPr>
          <w:lang w:val="es-ES_tradnl"/>
        </w:rPr>
        <w:t>l</w:t>
      </w:r>
      <w:r w:rsidR="006F3C04" w:rsidRPr="006F3C04">
        <w:rPr>
          <w:lang w:val="es-ES_tradnl"/>
        </w:rPr>
        <w:t xml:space="preserve"> Decreto</w:t>
      </w:r>
      <w:r>
        <w:rPr>
          <w:lang w:val="es-ES_tradnl"/>
        </w:rPr>
        <w:t xml:space="preserve"> No. </w:t>
      </w:r>
      <w:r w:rsidR="006F3C04" w:rsidRPr="006F3C04">
        <w:rPr>
          <w:lang w:val="es-ES_tradnl"/>
        </w:rPr>
        <w:t xml:space="preserve">12-2020, Ley de Emergencia para Proteger a los Guatemaltecos de los efectos causados por la Pandemia </w:t>
      </w:r>
      <w:r>
        <w:rPr>
          <w:lang w:val="es-ES_tradnl"/>
        </w:rPr>
        <w:t>del</w:t>
      </w:r>
      <w:r w:rsidR="006F3C04" w:rsidRPr="006F3C04">
        <w:rPr>
          <w:lang w:val="es-ES_tradnl"/>
        </w:rPr>
        <w:t xml:space="preserve"> Covid-19; </w:t>
      </w:r>
      <w:r>
        <w:rPr>
          <w:lang w:val="es-ES_tradnl"/>
        </w:rPr>
        <w:t xml:space="preserve">Decreto No. </w:t>
      </w:r>
      <w:r w:rsidR="006F3C04" w:rsidRPr="006F3C04">
        <w:rPr>
          <w:lang w:val="es-ES_tradnl"/>
        </w:rPr>
        <w:t xml:space="preserve">13-2020, Ley de Rescate Económico a las Familias por los efectos causados por el Covid-19; y, </w:t>
      </w:r>
      <w:r>
        <w:rPr>
          <w:lang w:val="es-ES_tradnl"/>
        </w:rPr>
        <w:t xml:space="preserve">Decreto No. </w:t>
      </w:r>
      <w:r w:rsidR="006F3C04" w:rsidRPr="006F3C04">
        <w:rPr>
          <w:lang w:val="es-ES_tradnl"/>
        </w:rPr>
        <w:t>20-2020, Ampliación al Presupuesto General de Ingresos y Egresos del Estado para el Ejercicio Fiscal</w:t>
      </w:r>
      <w:r>
        <w:rPr>
          <w:lang w:val="es-ES_tradnl"/>
        </w:rPr>
        <w:t xml:space="preserve"> 2020, que contienen programas económicos y sociales, tales</w:t>
      </w:r>
      <w:r w:rsidR="00D23DA9">
        <w:rPr>
          <w:lang w:val="es-ES_tradnl"/>
        </w:rPr>
        <w:t xml:space="preserve"> como: Bono Familia; Crédito para Capital de Trabajo; Fondo para la Protección del Empleo; Infraestructura y Equipamiento de Hospitales; Programa de Apoyo Alimentario; Fondo para las Mipymes; Subsidio a la Tarifa Social de </w:t>
      </w:r>
      <w:r w:rsidR="00AE5638">
        <w:rPr>
          <w:lang w:val="es-ES_tradnl"/>
        </w:rPr>
        <w:t>E</w:t>
      </w:r>
      <w:r w:rsidR="00D23DA9">
        <w:rPr>
          <w:lang w:val="es-ES_tradnl"/>
        </w:rPr>
        <w:t xml:space="preserve">nergía </w:t>
      </w:r>
      <w:r w:rsidR="00AE5638">
        <w:rPr>
          <w:lang w:val="es-ES_tradnl"/>
        </w:rPr>
        <w:t>E</w:t>
      </w:r>
      <w:r w:rsidR="00D23DA9">
        <w:rPr>
          <w:lang w:val="es-ES_tradnl"/>
        </w:rPr>
        <w:t>léctrica; Fondo de Protección de Capitales; Programa de Aporte al Adulto Mayor; Programa de Agricultura Campesina; y Programa de Apoyo al Comercio Popular.</w:t>
      </w:r>
    </w:p>
    <w:p w:rsidR="00D23DA9" w:rsidRDefault="00D23DA9" w:rsidP="006F3C04">
      <w:pPr>
        <w:jc w:val="both"/>
        <w:rPr>
          <w:lang w:val="es-ES_tradnl"/>
        </w:rPr>
      </w:pPr>
    </w:p>
    <w:p w:rsidR="006F3C04" w:rsidRDefault="006F3C04" w:rsidP="006F3C04">
      <w:pPr>
        <w:jc w:val="both"/>
        <w:rPr>
          <w:lang w:val="es-ES_tradnl"/>
        </w:rPr>
      </w:pPr>
      <w:r w:rsidRPr="006F3C04">
        <w:rPr>
          <w:lang w:val="es-ES_tradnl"/>
        </w:rPr>
        <w:t xml:space="preserve">De esta cuenta, tras la implementación de políticas públicas que han permitido mitigar las consecuencias de la </w:t>
      </w:r>
      <w:r w:rsidR="008A0ECE">
        <w:rPr>
          <w:lang w:val="es-ES_tradnl"/>
        </w:rPr>
        <w:t>suscitada emergencia,</w:t>
      </w:r>
      <w:r w:rsidRPr="006F3C04">
        <w:rPr>
          <w:lang w:val="es-ES_tradnl"/>
        </w:rPr>
        <w:t xml:space="preserve"> es necesario reafirmar el proceso de recuperación y reactivación de la economía</w:t>
      </w:r>
      <w:r w:rsidR="008A0ECE">
        <w:rPr>
          <w:lang w:val="es-ES_tradnl"/>
        </w:rPr>
        <w:t>;</w:t>
      </w:r>
      <w:r w:rsidRPr="006F3C04">
        <w:rPr>
          <w:lang w:val="es-ES_tradnl"/>
        </w:rPr>
        <w:t xml:space="preserve"> por lo que, dentro del Proyecto de Presupuesto General de </w:t>
      </w:r>
      <w:r w:rsidRPr="006F3C04">
        <w:rPr>
          <w:lang w:val="es-ES_tradnl"/>
        </w:rPr>
        <w:lastRenderedPageBreak/>
        <w:t>Ingresos y Egresos del Estado para el Ejercicio Fiscal 2021 y Multianual 2021-2025, se contempla una serie de proyectos que contribuirán a dar el impulso que se requiere para retomar la senda de</w:t>
      </w:r>
      <w:r w:rsidR="008A0ECE">
        <w:rPr>
          <w:lang w:val="es-ES_tradnl"/>
        </w:rPr>
        <w:t>l</w:t>
      </w:r>
      <w:r w:rsidRPr="006F3C04">
        <w:rPr>
          <w:lang w:val="es-ES_tradnl"/>
        </w:rPr>
        <w:t xml:space="preserve"> crecimiento económico y social del país</w:t>
      </w:r>
      <w:r>
        <w:rPr>
          <w:lang w:val="es-ES_tradnl"/>
        </w:rPr>
        <w:t xml:space="preserve">. </w:t>
      </w:r>
      <w:r w:rsidRPr="006F3C04">
        <w:rPr>
          <w:lang w:val="es-ES_tradnl"/>
        </w:rPr>
        <w:t>En este sentido, es necesario reconocer que la pandemia confirmó el estancamiento que el país ha tenido en el desarrollo de infraestructura</w:t>
      </w:r>
      <w:r w:rsidR="008A0ECE">
        <w:rPr>
          <w:lang w:val="es-ES_tradnl"/>
        </w:rPr>
        <w:t>, principalmente hospitalaria</w:t>
      </w:r>
      <w:r w:rsidRPr="006F3C04">
        <w:rPr>
          <w:lang w:val="es-ES_tradnl"/>
        </w:rPr>
        <w:t xml:space="preserve">. Bajo este contexto, a partir del </w:t>
      </w:r>
      <w:r w:rsidR="008A0ECE">
        <w:rPr>
          <w:lang w:val="es-ES_tradnl"/>
        </w:rPr>
        <w:t>próximo e</w:t>
      </w:r>
      <w:r w:rsidRPr="006F3C04">
        <w:rPr>
          <w:lang w:val="es-ES_tradnl"/>
        </w:rPr>
        <w:t xml:space="preserve">jercicio </w:t>
      </w:r>
      <w:r w:rsidR="008A0ECE">
        <w:rPr>
          <w:lang w:val="es-ES_tradnl"/>
        </w:rPr>
        <w:t>f</w:t>
      </w:r>
      <w:r w:rsidRPr="006F3C04">
        <w:rPr>
          <w:lang w:val="es-ES_tradnl"/>
        </w:rPr>
        <w:t>iscal se plantea una serie de proyectos de inversión física y social, los cuales contribuirán a generar el impulso que requiere la economía nacional para recobrar el dinamismo y al mismo tiempo contribuir directamente a mejorar las condi</w:t>
      </w:r>
      <w:r w:rsidR="008A635D">
        <w:rPr>
          <w:lang w:val="es-ES_tradnl"/>
        </w:rPr>
        <w:t>ciones de vida de la población guatemalteca.</w:t>
      </w:r>
    </w:p>
    <w:p w:rsidR="006F3C04" w:rsidRDefault="006F3C04" w:rsidP="006F3C04">
      <w:pPr>
        <w:jc w:val="both"/>
        <w:rPr>
          <w:lang w:val="es-ES_tradnl"/>
        </w:rPr>
      </w:pPr>
    </w:p>
    <w:p w:rsidR="006F3C04" w:rsidRDefault="006F3C04" w:rsidP="006F3C04">
      <w:pPr>
        <w:jc w:val="both"/>
        <w:rPr>
          <w:lang w:val="es-ES_tradnl"/>
        </w:rPr>
      </w:pPr>
      <w:r w:rsidRPr="006F3C04">
        <w:rPr>
          <w:lang w:val="es-ES_tradnl"/>
        </w:rPr>
        <w:t>Finalmente, es importante indicar que para alcanzar de forma exitosa el proceso de recuperación y reactivación económica, es necesari</w:t>
      </w:r>
      <w:r w:rsidR="00B54881">
        <w:rPr>
          <w:lang w:val="es-ES_tradnl"/>
        </w:rPr>
        <w:t>o realizar</w:t>
      </w:r>
      <w:r w:rsidRPr="006F3C04">
        <w:rPr>
          <w:lang w:val="es-ES_tradnl"/>
        </w:rPr>
        <w:t xml:space="preserve"> </w:t>
      </w:r>
      <w:r w:rsidR="00B54881">
        <w:rPr>
          <w:lang w:val="es-ES_tradnl"/>
        </w:rPr>
        <w:t>una</w:t>
      </w:r>
      <w:r w:rsidRPr="006F3C04">
        <w:rPr>
          <w:lang w:val="es-ES_tradnl"/>
        </w:rPr>
        <w:t xml:space="preserve"> coordinación interinstitucional entre el Organismo Ejecutivo y </w:t>
      </w:r>
      <w:r w:rsidR="00B54881">
        <w:rPr>
          <w:lang w:val="es-ES_tradnl"/>
        </w:rPr>
        <w:t>el Congreso de la República de Guatemala</w:t>
      </w:r>
      <w:r w:rsidRPr="006F3C04">
        <w:rPr>
          <w:lang w:val="es-ES_tradnl"/>
        </w:rPr>
        <w:t xml:space="preserve">, así como </w:t>
      </w:r>
      <w:r w:rsidR="00B54881">
        <w:rPr>
          <w:lang w:val="es-ES_tradnl"/>
        </w:rPr>
        <w:t>con los gobiernos locales</w:t>
      </w:r>
      <w:r w:rsidRPr="006F3C04">
        <w:rPr>
          <w:lang w:val="es-ES_tradnl"/>
        </w:rPr>
        <w:t>, representado</w:t>
      </w:r>
      <w:r w:rsidR="008A635D">
        <w:rPr>
          <w:lang w:val="es-ES_tradnl"/>
        </w:rPr>
        <w:t>s</w:t>
      </w:r>
      <w:r w:rsidRPr="006F3C04">
        <w:rPr>
          <w:lang w:val="es-ES_tradnl"/>
        </w:rPr>
        <w:t xml:space="preserve"> </w:t>
      </w:r>
      <w:r w:rsidR="008A635D">
        <w:rPr>
          <w:lang w:val="es-ES_tradnl"/>
        </w:rPr>
        <w:t>por medio de</w:t>
      </w:r>
      <w:r w:rsidRPr="006F3C04">
        <w:rPr>
          <w:lang w:val="es-ES_tradnl"/>
        </w:rPr>
        <w:t xml:space="preserve"> las Municipalidades</w:t>
      </w:r>
      <w:r w:rsidR="00B54881">
        <w:rPr>
          <w:lang w:val="es-ES_tradnl"/>
        </w:rPr>
        <w:t>, mancomunidades y empresas públicas municipales</w:t>
      </w:r>
      <w:r w:rsidRPr="006F3C04">
        <w:rPr>
          <w:lang w:val="es-ES_tradnl"/>
        </w:rPr>
        <w:t>, sin olvidar la participación del sector privado</w:t>
      </w:r>
      <w:r w:rsidR="008A635D">
        <w:rPr>
          <w:lang w:val="es-ES_tradnl"/>
        </w:rPr>
        <w:t>,</w:t>
      </w:r>
      <w:r w:rsidR="00B54881">
        <w:rPr>
          <w:lang w:val="es-ES_tradnl"/>
        </w:rPr>
        <w:t xml:space="preserve"> organizaciones de sociedad civil</w:t>
      </w:r>
      <w:r w:rsidR="008A635D">
        <w:rPr>
          <w:lang w:val="es-ES_tradnl"/>
        </w:rPr>
        <w:t>, tanques de pensamiento, centros de investigación, sector académico, periodistas y ciudadanos en general, situación que contribuirá a la puesta en práctica de los principios de transparencia, participación ciudadana y colaboración</w:t>
      </w:r>
      <w:r w:rsidR="00833934">
        <w:rPr>
          <w:lang w:val="es-ES_tradnl"/>
        </w:rPr>
        <w:t>,</w:t>
      </w:r>
      <w:r w:rsidR="008A635D">
        <w:rPr>
          <w:lang w:val="es-ES_tradnl"/>
        </w:rPr>
        <w:t xml:space="preserve"> bajo los que se sustenta la Iniciativa de Gobierno Abierto, de la cual el Estado de Guatemala forma parte proactivamente y de manera muy exitosa.</w:t>
      </w:r>
    </w:p>
    <w:p w:rsidR="006F3C04" w:rsidRDefault="006F3C04" w:rsidP="006F3C04">
      <w:pPr>
        <w:jc w:val="both"/>
        <w:rPr>
          <w:lang w:val="es-ES_tradnl"/>
        </w:rPr>
      </w:pPr>
    </w:p>
    <w:p w:rsidR="00164BE7" w:rsidRDefault="00164BE7">
      <w:pPr>
        <w:rPr>
          <w:lang w:val="es-ES_tradnl"/>
        </w:rPr>
      </w:pPr>
      <w:r>
        <w:rPr>
          <w:lang w:val="es-ES_tradnl"/>
        </w:rPr>
        <w:br w:type="page"/>
      </w:r>
    </w:p>
    <w:p w:rsidR="00B2076C" w:rsidRDefault="00B2076C"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094BD4" w:rsidRDefault="00094BD4"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164BE7" w:rsidRDefault="00164BE7"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B2076C" w:rsidRDefault="00B2076C" w:rsidP="0069616A">
      <w:pPr>
        <w:autoSpaceDE w:val="0"/>
        <w:autoSpaceDN w:val="0"/>
        <w:adjustRightInd w:val="0"/>
        <w:jc w:val="both"/>
        <w:rPr>
          <w:sz w:val="16"/>
        </w:rPr>
      </w:pPr>
    </w:p>
    <w:p w:rsidR="0069616A" w:rsidRDefault="0069616A" w:rsidP="0069616A">
      <w:pPr>
        <w:autoSpaceDE w:val="0"/>
        <w:autoSpaceDN w:val="0"/>
        <w:adjustRightInd w:val="0"/>
        <w:jc w:val="both"/>
        <w:rPr>
          <w:sz w:val="16"/>
        </w:rPr>
      </w:pPr>
    </w:p>
    <w:p w:rsidR="0069616A" w:rsidRDefault="0069616A" w:rsidP="0069616A">
      <w:pPr>
        <w:autoSpaceDE w:val="0"/>
        <w:autoSpaceDN w:val="0"/>
        <w:adjustRightInd w:val="0"/>
        <w:jc w:val="both"/>
        <w:rPr>
          <w:sz w:val="16"/>
        </w:rPr>
      </w:pPr>
    </w:p>
    <w:p w:rsidR="0069616A" w:rsidRDefault="0069616A" w:rsidP="0069616A">
      <w:pPr>
        <w:autoSpaceDE w:val="0"/>
        <w:autoSpaceDN w:val="0"/>
        <w:adjustRightInd w:val="0"/>
        <w:jc w:val="center"/>
        <w:rPr>
          <w:b/>
          <w:sz w:val="36"/>
        </w:rPr>
      </w:pPr>
      <w:r>
        <w:rPr>
          <w:b/>
          <w:sz w:val="36"/>
        </w:rPr>
        <w:t>Anexo</w:t>
      </w:r>
      <w:r w:rsidRPr="00613CB6">
        <w:rPr>
          <w:b/>
          <w:sz w:val="36"/>
        </w:rPr>
        <w:t>s</w:t>
      </w: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69616A" w:rsidRDefault="0069616A" w:rsidP="0069616A">
      <w:pPr>
        <w:autoSpaceDE w:val="0"/>
        <w:autoSpaceDN w:val="0"/>
        <w:adjustRightInd w:val="0"/>
        <w:jc w:val="center"/>
        <w:rPr>
          <w:b/>
          <w:sz w:val="36"/>
        </w:rPr>
      </w:pPr>
    </w:p>
    <w:p w:rsidR="007623AE" w:rsidRDefault="007623AE" w:rsidP="0069616A">
      <w:pPr>
        <w:autoSpaceDE w:val="0"/>
        <w:autoSpaceDN w:val="0"/>
        <w:adjustRightInd w:val="0"/>
        <w:jc w:val="center"/>
        <w:rPr>
          <w:b/>
          <w:sz w:val="36"/>
        </w:rPr>
      </w:pPr>
    </w:p>
    <w:p w:rsidR="00164BE7" w:rsidRDefault="00164BE7" w:rsidP="0069616A">
      <w:pPr>
        <w:autoSpaceDE w:val="0"/>
        <w:autoSpaceDN w:val="0"/>
        <w:adjustRightInd w:val="0"/>
        <w:jc w:val="center"/>
        <w:rPr>
          <w:b/>
          <w:sz w:val="36"/>
        </w:rPr>
      </w:pPr>
    </w:p>
    <w:p w:rsidR="00164BE7" w:rsidRDefault="00164BE7" w:rsidP="0069616A">
      <w:pPr>
        <w:autoSpaceDE w:val="0"/>
        <w:autoSpaceDN w:val="0"/>
        <w:adjustRightInd w:val="0"/>
        <w:jc w:val="center"/>
        <w:rPr>
          <w:b/>
          <w:sz w:val="36"/>
        </w:rPr>
      </w:pPr>
    </w:p>
    <w:p w:rsidR="00164BE7" w:rsidRDefault="00164BE7" w:rsidP="0069616A">
      <w:pPr>
        <w:autoSpaceDE w:val="0"/>
        <w:autoSpaceDN w:val="0"/>
        <w:adjustRightInd w:val="0"/>
        <w:jc w:val="center"/>
        <w:rPr>
          <w:b/>
          <w:sz w:val="36"/>
        </w:rPr>
      </w:pPr>
    </w:p>
    <w:p w:rsidR="003A0FF5" w:rsidRPr="00CF0C9B" w:rsidRDefault="003A0FF5" w:rsidP="00CF0E15">
      <w:pPr>
        <w:jc w:val="center"/>
        <w:rPr>
          <w:b/>
          <w:lang w:val="es-MX"/>
        </w:rPr>
      </w:pPr>
      <w:r w:rsidRPr="00CF0C9B">
        <w:rPr>
          <w:b/>
          <w:lang w:val="es-MX"/>
        </w:rPr>
        <w:lastRenderedPageBreak/>
        <w:t xml:space="preserve">Cuadro </w:t>
      </w:r>
      <w:r w:rsidR="002B5EF3" w:rsidRPr="00CF0C9B">
        <w:rPr>
          <w:b/>
          <w:lang w:val="es-MX"/>
        </w:rPr>
        <w:t>2</w:t>
      </w:r>
      <w:r w:rsidR="00CF0C9B" w:rsidRPr="00CF0C9B">
        <w:rPr>
          <w:b/>
          <w:lang w:val="es-MX"/>
        </w:rPr>
        <w:t>6</w:t>
      </w:r>
    </w:p>
    <w:p w:rsidR="003A0FF5" w:rsidRPr="00CF0C9B" w:rsidRDefault="003A0FF5" w:rsidP="00CF0E15">
      <w:pPr>
        <w:jc w:val="center"/>
        <w:rPr>
          <w:b/>
          <w:lang w:val="es-MX"/>
        </w:rPr>
      </w:pPr>
      <w:r w:rsidRPr="00CF0C9B">
        <w:rPr>
          <w:b/>
          <w:lang w:val="es-MX"/>
        </w:rPr>
        <w:t>Ejecución Presupuestaria por Entidad y Programas Institucionales</w:t>
      </w:r>
    </w:p>
    <w:p w:rsidR="003A0FF5" w:rsidRPr="00CF0C9B" w:rsidRDefault="003A0FF5" w:rsidP="00CF0E15">
      <w:pPr>
        <w:jc w:val="center"/>
        <w:rPr>
          <w:b/>
          <w:lang w:val="es-MX"/>
        </w:rPr>
      </w:pPr>
      <w:r w:rsidRPr="00CF0C9B">
        <w:rPr>
          <w:b/>
          <w:lang w:val="es-MX"/>
        </w:rPr>
        <w:t>Estimación de Cierre 20</w:t>
      </w:r>
      <w:r w:rsidR="000D110E" w:rsidRPr="00CF0C9B">
        <w:rPr>
          <w:b/>
          <w:lang w:val="es-MX"/>
        </w:rPr>
        <w:t>20</w:t>
      </w:r>
    </w:p>
    <w:p w:rsidR="00CF0E15" w:rsidRDefault="003A0FF5" w:rsidP="00CF0C9B">
      <w:pPr>
        <w:pStyle w:val="Prrafodelista"/>
        <w:ind w:left="0"/>
        <w:jc w:val="center"/>
        <w:rPr>
          <w:sz w:val="16"/>
        </w:rPr>
      </w:pPr>
      <w:r w:rsidRPr="00CF0C9B">
        <w:rPr>
          <w:b/>
          <w:lang w:val="es-MX"/>
        </w:rPr>
        <w:t>(Cifras en Millones de Quetzales)</w:t>
      </w:r>
      <w:r w:rsidR="000D110E" w:rsidRPr="000D110E">
        <w:rPr>
          <w:noProof/>
          <w:lang w:val="es-GT" w:eastAsia="es-GT"/>
        </w:rPr>
        <w:drawing>
          <wp:inline distT="0" distB="0" distL="0" distR="0" wp14:anchorId="328B6D50" wp14:editId="29ED5202">
            <wp:extent cx="6093561" cy="7534656"/>
            <wp:effectExtent l="0" t="0" r="254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5012" cy="7536450"/>
                    </a:xfrm>
                    <a:prstGeom prst="rect">
                      <a:avLst/>
                    </a:prstGeom>
                    <a:noFill/>
                    <a:ln>
                      <a:noFill/>
                    </a:ln>
                  </pic:spPr>
                </pic:pic>
              </a:graphicData>
            </a:graphic>
          </wp:inline>
        </w:drawing>
      </w:r>
    </w:p>
    <w:p w:rsidR="003A0FF5" w:rsidRPr="00CF0C9B" w:rsidRDefault="003A0FF5" w:rsidP="004E7459">
      <w:pPr>
        <w:jc w:val="center"/>
        <w:rPr>
          <w:b/>
          <w:lang w:val="es-MX"/>
        </w:rPr>
      </w:pPr>
      <w:r w:rsidRPr="00CF0C9B">
        <w:rPr>
          <w:b/>
          <w:lang w:val="es-MX"/>
        </w:rPr>
        <w:lastRenderedPageBreak/>
        <w:t xml:space="preserve">Cuadro </w:t>
      </w:r>
      <w:r w:rsidR="002B5EF3" w:rsidRPr="00CF0C9B">
        <w:rPr>
          <w:b/>
          <w:lang w:val="es-MX"/>
        </w:rPr>
        <w:t>2</w:t>
      </w:r>
      <w:r w:rsidR="00CF0C9B" w:rsidRPr="00CF0C9B">
        <w:rPr>
          <w:b/>
          <w:lang w:val="es-MX"/>
        </w:rPr>
        <w:t>6</w:t>
      </w:r>
      <w:r w:rsidRPr="00CF0C9B">
        <w:rPr>
          <w:b/>
          <w:lang w:val="es-MX"/>
        </w:rPr>
        <w:t xml:space="preserve"> (continúa)</w:t>
      </w:r>
    </w:p>
    <w:p w:rsidR="003A0FF5" w:rsidRPr="00CF0C9B" w:rsidRDefault="003A0FF5" w:rsidP="004E7459">
      <w:pPr>
        <w:jc w:val="center"/>
        <w:rPr>
          <w:b/>
          <w:lang w:val="es-MX"/>
        </w:rPr>
      </w:pPr>
      <w:r w:rsidRPr="00CF0C9B">
        <w:rPr>
          <w:b/>
          <w:lang w:val="es-MX"/>
        </w:rPr>
        <w:t>Ejecución Presupuestaria por Entidad y Programas Institucionales</w:t>
      </w:r>
    </w:p>
    <w:p w:rsidR="003A0FF5" w:rsidRPr="00CF0C9B" w:rsidRDefault="003A0FF5" w:rsidP="004E7459">
      <w:pPr>
        <w:jc w:val="center"/>
        <w:rPr>
          <w:b/>
          <w:lang w:val="es-MX"/>
        </w:rPr>
      </w:pPr>
      <w:r w:rsidRPr="00CF0C9B">
        <w:rPr>
          <w:b/>
          <w:lang w:val="es-MX"/>
        </w:rPr>
        <w:t>Estimación de Cierre 20</w:t>
      </w:r>
      <w:r w:rsidR="000D110E" w:rsidRPr="00CF0C9B">
        <w:rPr>
          <w:b/>
          <w:lang w:val="es-MX"/>
        </w:rPr>
        <w:t>20</w:t>
      </w:r>
    </w:p>
    <w:p w:rsidR="003A0FF5" w:rsidRPr="00CF0C9B" w:rsidRDefault="003A0FF5" w:rsidP="004E7459">
      <w:pPr>
        <w:pStyle w:val="Prrafodelista"/>
        <w:ind w:left="0"/>
        <w:jc w:val="center"/>
        <w:rPr>
          <w:b/>
          <w:lang w:val="es-MX"/>
        </w:rPr>
      </w:pPr>
      <w:r w:rsidRPr="00CF0C9B">
        <w:rPr>
          <w:b/>
          <w:lang w:val="es-MX"/>
        </w:rPr>
        <w:t>(Cifras en Millones de Quetzales)</w:t>
      </w:r>
    </w:p>
    <w:p w:rsidR="000D110E" w:rsidRDefault="000D110E" w:rsidP="004E7459">
      <w:pPr>
        <w:pStyle w:val="Prrafodelista"/>
        <w:ind w:left="0"/>
        <w:jc w:val="center"/>
        <w:rPr>
          <w:b/>
          <w:sz w:val="22"/>
          <w:lang w:val="es-MX"/>
        </w:rPr>
      </w:pPr>
      <w:r w:rsidRPr="000D110E">
        <w:rPr>
          <w:noProof/>
          <w:lang w:val="es-GT" w:eastAsia="es-GT"/>
        </w:rPr>
        <w:drawing>
          <wp:inline distT="0" distB="0" distL="0" distR="0" wp14:anchorId="2F230C1E" wp14:editId="6E949CC2">
            <wp:extent cx="6133484" cy="7526740"/>
            <wp:effectExtent l="0" t="0" r="63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36200" cy="7530073"/>
                    </a:xfrm>
                    <a:prstGeom prst="rect">
                      <a:avLst/>
                    </a:prstGeom>
                    <a:noFill/>
                    <a:ln>
                      <a:noFill/>
                    </a:ln>
                  </pic:spPr>
                </pic:pic>
              </a:graphicData>
            </a:graphic>
          </wp:inline>
        </w:drawing>
      </w:r>
    </w:p>
    <w:p w:rsidR="003A0FF5" w:rsidRPr="00CF0C9B" w:rsidRDefault="003A0FF5" w:rsidP="004E7459">
      <w:pPr>
        <w:jc w:val="center"/>
        <w:rPr>
          <w:b/>
          <w:lang w:val="es-MX"/>
        </w:rPr>
      </w:pPr>
      <w:r w:rsidRPr="00CF0C9B">
        <w:rPr>
          <w:b/>
          <w:lang w:val="es-MX"/>
        </w:rPr>
        <w:lastRenderedPageBreak/>
        <w:t xml:space="preserve">Cuadro </w:t>
      </w:r>
      <w:r w:rsidR="002B5EF3" w:rsidRPr="00CF0C9B">
        <w:rPr>
          <w:b/>
          <w:lang w:val="es-MX"/>
        </w:rPr>
        <w:t>2</w:t>
      </w:r>
      <w:r w:rsidR="00CF0C9B" w:rsidRPr="00CF0C9B">
        <w:rPr>
          <w:b/>
          <w:lang w:val="es-MX"/>
        </w:rPr>
        <w:t>6</w:t>
      </w:r>
      <w:r w:rsidR="00B32545" w:rsidRPr="00CF0C9B">
        <w:rPr>
          <w:b/>
          <w:lang w:val="es-MX"/>
        </w:rPr>
        <w:t xml:space="preserve"> (continúa)</w:t>
      </w:r>
    </w:p>
    <w:p w:rsidR="003A0FF5" w:rsidRPr="00CF0C9B" w:rsidRDefault="003A0FF5" w:rsidP="004E7459">
      <w:pPr>
        <w:jc w:val="center"/>
        <w:rPr>
          <w:b/>
          <w:lang w:val="es-MX"/>
        </w:rPr>
      </w:pPr>
      <w:r w:rsidRPr="00CF0C9B">
        <w:rPr>
          <w:b/>
          <w:lang w:val="es-MX"/>
        </w:rPr>
        <w:t>Ejecución Presupuestaria por Entidad y Programas Institucionales</w:t>
      </w:r>
    </w:p>
    <w:p w:rsidR="003A0FF5" w:rsidRPr="00CF0C9B" w:rsidRDefault="003A0FF5" w:rsidP="004E7459">
      <w:pPr>
        <w:jc w:val="center"/>
        <w:rPr>
          <w:b/>
          <w:lang w:val="es-MX"/>
        </w:rPr>
      </w:pPr>
      <w:r w:rsidRPr="00CF0C9B">
        <w:rPr>
          <w:b/>
          <w:lang w:val="es-MX"/>
        </w:rPr>
        <w:t>Estimación de Cierre 20</w:t>
      </w:r>
      <w:r w:rsidR="002068CC" w:rsidRPr="00CF0C9B">
        <w:rPr>
          <w:b/>
          <w:lang w:val="es-MX"/>
        </w:rPr>
        <w:t>20</w:t>
      </w:r>
    </w:p>
    <w:p w:rsidR="003A0FF5" w:rsidRPr="00CF0C9B" w:rsidRDefault="003A0FF5" w:rsidP="004E7459">
      <w:pPr>
        <w:pStyle w:val="Prrafodelista"/>
        <w:ind w:left="0"/>
        <w:jc w:val="center"/>
        <w:rPr>
          <w:b/>
          <w:lang w:val="es-MX"/>
        </w:rPr>
      </w:pPr>
      <w:r w:rsidRPr="00CF0C9B">
        <w:rPr>
          <w:b/>
          <w:lang w:val="es-MX"/>
        </w:rPr>
        <w:t>(Cifras en Millones de Quetzales)</w:t>
      </w:r>
    </w:p>
    <w:p w:rsidR="00381D8B" w:rsidRDefault="00381D8B" w:rsidP="004E7459">
      <w:pPr>
        <w:pStyle w:val="Prrafodelista"/>
        <w:ind w:left="0"/>
        <w:jc w:val="center"/>
        <w:rPr>
          <w:b/>
          <w:sz w:val="22"/>
          <w:lang w:val="es-MX"/>
        </w:rPr>
      </w:pPr>
      <w:r w:rsidRPr="00381D8B">
        <w:rPr>
          <w:noProof/>
          <w:lang w:val="es-GT" w:eastAsia="es-GT"/>
        </w:rPr>
        <w:drawing>
          <wp:inline distT="0" distB="0" distL="0" distR="0" wp14:anchorId="3630FF53" wp14:editId="10BFE68D">
            <wp:extent cx="6107373" cy="7417558"/>
            <wp:effectExtent l="0" t="0" r="825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08821" cy="7419317"/>
                    </a:xfrm>
                    <a:prstGeom prst="rect">
                      <a:avLst/>
                    </a:prstGeom>
                    <a:noFill/>
                    <a:ln>
                      <a:noFill/>
                    </a:ln>
                  </pic:spPr>
                </pic:pic>
              </a:graphicData>
            </a:graphic>
          </wp:inline>
        </w:drawing>
      </w:r>
    </w:p>
    <w:p w:rsidR="0069616A" w:rsidRPr="00416F2B" w:rsidRDefault="00381D8B" w:rsidP="00CF0E15">
      <w:pPr>
        <w:autoSpaceDE w:val="0"/>
        <w:autoSpaceDN w:val="0"/>
        <w:adjustRightInd w:val="0"/>
        <w:ind w:left="-142"/>
        <w:rPr>
          <w:sz w:val="18"/>
        </w:rPr>
      </w:pPr>
      <w:r>
        <w:rPr>
          <w:sz w:val="18"/>
        </w:rPr>
        <w:t xml:space="preserve">  </w:t>
      </w:r>
      <w:r w:rsidR="00416F2B" w:rsidRPr="00416F2B">
        <w:rPr>
          <w:sz w:val="18"/>
        </w:rPr>
        <w:t xml:space="preserve">Fuente: </w:t>
      </w:r>
      <w:r w:rsidR="00416F2B">
        <w:rPr>
          <w:sz w:val="18"/>
        </w:rPr>
        <w:t>Ministerio de Finanzas Públicas.</w:t>
      </w:r>
    </w:p>
    <w:p w:rsidR="00A74391" w:rsidRPr="00A27A47" w:rsidRDefault="00A74391" w:rsidP="004E7459">
      <w:pPr>
        <w:jc w:val="center"/>
        <w:rPr>
          <w:b/>
          <w:lang w:val="es-MX"/>
        </w:rPr>
      </w:pPr>
      <w:r w:rsidRPr="00A27A47">
        <w:rPr>
          <w:b/>
          <w:lang w:val="es-MX"/>
        </w:rPr>
        <w:lastRenderedPageBreak/>
        <w:t xml:space="preserve">Cuadro </w:t>
      </w:r>
      <w:r w:rsidR="002B5EF3" w:rsidRPr="00A27A47">
        <w:rPr>
          <w:b/>
          <w:lang w:val="es-MX"/>
        </w:rPr>
        <w:t>2</w:t>
      </w:r>
      <w:r w:rsidR="00A27A47">
        <w:rPr>
          <w:b/>
          <w:lang w:val="es-MX"/>
        </w:rPr>
        <w:t>7</w:t>
      </w:r>
    </w:p>
    <w:p w:rsidR="00A74391" w:rsidRPr="00A27A47" w:rsidRDefault="00A74391" w:rsidP="004E7459">
      <w:pPr>
        <w:jc w:val="center"/>
        <w:rPr>
          <w:b/>
          <w:lang w:val="es-MX"/>
        </w:rPr>
      </w:pPr>
      <w:r w:rsidRPr="00A27A47">
        <w:rPr>
          <w:b/>
          <w:lang w:val="es-MX"/>
        </w:rPr>
        <w:t>Situación Financiera</w:t>
      </w:r>
    </w:p>
    <w:p w:rsidR="00A74391" w:rsidRPr="00A27A47" w:rsidRDefault="00A74391" w:rsidP="004E7459">
      <w:pPr>
        <w:jc w:val="center"/>
        <w:rPr>
          <w:b/>
          <w:lang w:val="es-MX"/>
        </w:rPr>
      </w:pPr>
      <w:r w:rsidRPr="00A27A47">
        <w:rPr>
          <w:b/>
          <w:lang w:val="es-MX"/>
        </w:rPr>
        <w:t>Presupuesto Aprobado y Estimación de Cierre 20</w:t>
      </w:r>
      <w:r w:rsidR="002339F0" w:rsidRPr="00A27A47">
        <w:rPr>
          <w:b/>
          <w:lang w:val="es-MX"/>
        </w:rPr>
        <w:t>20</w:t>
      </w:r>
    </w:p>
    <w:p w:rsidR="00A74391" w:rsidRPr="00A27A47" w:rsidRDefault="00A74391" w:rsidP="004E7459">
      <w:pPr>
        <w:pStyle w:val="Prrafodelista"/>
        <w:ind w:left="0"/>
        <w:jc w:val="center"/>
        <w:rPr>
          <w:b/>
          <w:lang w:val="es-MX"/>
        </w:rPr>
      </w:pPr>
      <w:r w:rsidRPr="00A27A47">
        <w:rPr>
          <w:b/>
          <w:lang w:val="es-MX"/>
        </w:rPr>
        <w:t>(Cifras en Millones de Quetzales)</w:t>
      </w:r>
    </w:p>
    <w:p w:rsidR="00381D8B" w:rsidRDefault="002339F0" w:rsidP="004E7459">
      <w:pPr>
        <w:pStyle w:val="Prrafodelista"/>
        <w:ind w:left="0"/>
        <w:jc w:val="center"/>
        <w:rPr>
          <w:b/>
          <w:sz w:val="22"/>
          <w:lang w:val="es-MX"/>
        </w:rPr>
      </w:pPr>
      <w:r w:rsidRPr="002339F0">
        <w:rPr>
          <w:noProof/>
          <w:lang w:val="es-GT" w:eastAsia="es-GT"/>
        </w:rPr>
        <w:drawing>
          <wp:inline distT="0" distB="0" distL="0" distR="0">
            <wp:extent cx="6107373" cy="7315200"/>
            <wp:effectExtent l="0" t="0" r="825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07426" cy="7315263"/>
                    </a:xfrm>
                    <a:prstGeom prst="rect">
                      <a:avLst/>
                    </a:prstGeom>
                    <a:noFill/>
                    <a:ln>
                      <a:noFill/>
                    </a:ln>
                  </pic:spPr>
                </pic:pic>
              </a:graphicData>
            </a:graphic>
          </wp:inline>
        </w:drawing>
      </w:r>
    </w:p>
    <w:p w:rsidR="00CF0E15" w:rsidRDefault="00CF0E15" w:rsidP="00CF0E15">
      <w:pPr>
        <w:pStyle w:val="Prrafodelista"/>
        <w:ind w:left="0"/>
        <w:jc w:val="center"/>
        <w:rPr>
          <w:b/>
          <w:sz w:val="22"/>
          <w:lang w:val="es-MX"/>
        </w:rPr>
      </w:pPr>
    </w:p>
    <w:p w:rsidR="00A74391" w:rsidRPr="00A27A47" w:rsidRDefault="00A74391" w:rsidP="004E7459">
      <w:pPr>
        <w:jc w:val="center"/>
        <w:rPr>
          <w:b/>
          <w:lang w:val="es-MX"/>
        </w:rPr>
      </w:pPr>
      <w:r w:rsidRPr="00A27A47">
        <w:rPr>
          <w:b/>
          <w:lang w:val="es-MX"/>
        </w:rPr>
        <w:lastRenderedPageBreak/>
        <w:t xml:space="preserve">Cuadro </w:t>
      </w:r>
      <w:r w:rsidR="002B5EF3" w:rsidRPr="00A27A47">
        <w:rPr>
          <w:b/>
          <w:lang w:val="es-MX"/>
        </w:rPr>
        <w:t>2</w:t>
      </w:r>
      <w:r w:rsidR="00A27A47" w:rsidRPr="00A27A47">
        <w:rPr>
          <w:b/>
          <w:lang w:val="es-MX"/>
        </w:rPr>
        <w:t>7</w:t>
      </w:r>
      <w:r w:rsidRPr="00A27A47">
        <w:rPr>
          <w:b/>
          <w:lang w:val="es-MX"/>
        </w:rPr>
        <w:t xml:space="preserve"> (continúa)</w:t>
      </w:r>
    </w:p>
    <w:p w:rsidR="00A74391" w:rsidRPr="00A27A47" w:rsidRDefault="00A74391" w:rsidP="004E7459">
      <w:pPr>
        <w:jc w:val="center"/>
        <w:rPr>
          <w:b/>
          <w:lang w:val="es-MX"/>
        </w:rPr>
      </w:pPr>
      <w:r w:rsidRPr="00A27A47">
        <w:rPr>
          <w:b/>
          <w:lang w:val="es-MX"/>
        </w:rPr>
        <w:t>Situación Financiera</w:t>
      </w:r>
    </w:p>
    <w:p w:rsidR="00A74391" w:rsidRPr="00A27A47" w:rsidRDefault="00A74391" w:rsidP="004E7459">
      <w:pPr>
        <w:jc w:val="center"/>
        <w:rPr>
          <w:b/>
          <w:lang w:val="es-MX"/>
        </w:rPr>
      </w:pPr>
      <w:r w:rsidRPr="00A27A47">
        <w:rPr>
          <w:b/>
          <w:lang w:val="es-MX"/>
        </w:rPr>
        <w:t>Presupuesto Aprobado y Estimación de Cierre 20</w:t>
      </w:r>
      <w:r w:rsidR="002339F0" w:rsidRPr="00A27A47">
        <w:rPr>
          <w:b/>
          <w:lang w:val="es-MX"/>
        </w:rPr>
        <w:t>20</w:t>
      </w:r>
    </w:p>
    <w:p w:rsidR="00A74391" w:rsidRPr="00A27A47" w:rsidRDefault="00A74391" w:rsidP="004E7459">
      <w:pPr>
        <w:pStyle w:val="Prrafodelista"/>
        <w:ind w:left="0"/>
        <w:jc w:val="center"/>
        <w:rPr>
          <w:b/>
          <w:lang w:val="es-MX"/>
        </w:rPr>
      </w:pPr>
      <w:r w:rsidRPr="00A27A47">
        <w:rPr>
          <w:b/>
          <w:lang w:val="es-MX"/>
        </w:rPr>
        <w:t>(Cifras en Millones de Quetzales)</w:t>
      </w:r>
    </w:p>
    <w:p w:rsidR="002339F0" w:rsidRDefault="002339F0" w:rsidP="004E7459">
      <w:pPr>
        <w:pStyle w:val="Prrafodelista"/>
        <w:ind w:left="0"/>
        <w:jc w:val="center"/>
        <w:rPr>
          <w:b/>
          <w:sz w:val="22"/>
          <w:lang w:val="es-MX"/>
        </w:rPr>
      </w:pPr>
      <w:r w:rsidRPr="002339F0">
        <w:rPr>
          <w:noProof/>
          <w:lang w:val="es-GT" w:eastAsia="es-GT"/>
        </w:rPr>
        <w:drawing>
          <wp:inline distT="0" distB="0" distL="0" distR="0">
            <wp:extent cx="6100549" cy="7403910"/>
            <wp:effectExtent l="0" t="0" r="0" b="698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00601" cy="7403973"/>
                    </a:xfrm>
                    <a:prstGeom prst="rect">
                      <a:avLst/>
                    </a:prstGeom>
                    <a:noFill/>
                    <a:ln>
                      <a:noFill/>
                    </a:ln>
                  </pic:spPr>
                </pic:pic>
              </a:graphicData>
            </a:graphic>
          </wp:inline>
        </w:drawing>
      </w:r>
    </w:p>
    <w:p w:rsidR="0067083C" w:rsidRPr="00416F2B" w:rsidRDefault="00416F2B" w:rsidP="00416F2B">
      <w:pPr>
        <w:autoSpaceDE w:val="0"/>
        <w:autoSpaceDN w:val="0"/>
        <w:adjustRightInd w:val="0"/>
        <w:rPr>
          <w:sz w:val="18"/>
        </w:rPr>
      </w:pPr>
      <w:r>
        <w:rPr>
          <w:sz w:val="18"/>
        </w:rPr>
        <w:t>Fuente: Ministerio de Finanzas Públicas.</w:t>
      </w:r>
    </w:p>
    <w:p w:rsidR="006E3EBC" w:rsidRPr="00A27A47" w:rsidRDefault="006E3EBC" w:rsidP="004E7459">
      <w:pPr>
        <w:jc w:val="center"/>
        <w:rPr>
          <w:b/>
          <w:lang w:val="es-MX"/>
        </w:rPr>
      </w:pPr>
      <w:r w:rsidRPr="00A27A47">
        <w:rPr>
          <w:b/>
          <w:lang w:val="es-MX"/>
        </w:rPr>
        <w:lastRenderedPageBreak/>
        <w:t xml:space="preserve">Cuadro </w:t>
      </w:r>
      <w:r w:rsidR="002B5EF3" w:rsidRPr="00A27A47">
        <w:rPr>
          <w:b/>
          <w:lang w:val="es-MX"/>
        </w:rPr>
        <w:t>2</w:t>
      </w:r>
      <w:r w:rsidR="00A27A47" w:rsidRPr="00A27A47">
        <w:rPr>
          <w:b/>
          <w:lang w:val="es-MX"/>
        </w:rPr>
        <w:t>8</w:t>
      </w:r>
    </w:p>
    <w:p w:rsidR="006E3EBC" w:rsidRPr="00A27A47" w:rsidRDefault="006E3EBC" w:rsidP="004E7459">
      <w:pPr>
        <w:jc w:val="center"/>
        <w:rPr>
          <w:b/>
          <w:lang w:val="es-MX"/>
        </w:rPr>
      </w:pPr>
      <w:r w:rsidRPr="00A27A47">
        <w:rPr>
          <w:b/>
          <w:lang w:val="es-MX"/>
        </w:rPr>
        <w:t>Situación Financiera</w:t>
      </w:r>
    </w:p>
    <w:p w:rsidR="006E3EBC" w:rsidRPr="00A27A47" w:rsidRDefault="006E3EBC" w:rsidP="004E7459">
      <w:pPr>
        <w:jc w:val="center"/>
        <w:rPr>
          <w:b/>
          <w:lang w:val="es-MX"/>
        </w:rPr>
      </w:pPr>
      <w:r w:rsidRPr="00A27A47">
        <w:rPr>
          <w:b/>
          <w:lang w:val="es-MX"/>
        </w:rPr>
        <w:t>Presupuesto Aprobado y Estimación de Cierre 20</w:t>
      </w:r>
      <w:r w:rsidR="002339F0" w:rsidRPr="00A27A47">
        <w:rPr>
          <w:b/>
          <w:lang w:val="es-MX"/>
        </w:rPr>
        <w:t>20</w:t>
      </w:r>
    </w:p>
    <w:p w:rsidR="006E3EBC" w:rsidRPr="00A27A47" w:rsidRDefault="006E3EBC" w:rsidP="004E7459">
      <w:pPr>
        <w:pStyle w:val="Prrafodelista"/>
        <w:ind w:left="0"/>
        <w:jc w:val="center"/>
        <w:rPr>
          <w:b/>
          <w:lang w:val="es-MX"/>
        </w:rPr>
      </w:pPr>
      <w:r w:rsidRPr="00A27A47">
        <w:rPr>
          <w:b/>
          <w:lang w:val="es-MX"/>
        </w:rPr>
        <w:t xml:space="preserve">(En </w:t>
      </w:r>
      <w:r w:rsidR="00A36762" w:rsidRPr="00A27A47">
        <w:rPr>
          <w:b/>
          <w:lang w:val="es-MX"/>
        </w:rPr>
        <w:t>P</w:t>
      </w:r>
      <w:r w:rsidRPr="00A27A47">
        <w:rPr>
          <w:b/>
          <w:lang w:val="es-MX"/>
        </w:rPr>
        <w:t>orcentajes del PIB)</w:t>
      </w:r>
    </w:p>
    <w:p w:rsidR="002339F0" w:rsidRDefault="002339F0" w:rsidP="004E7459">
      <w:pPr>
        <w:pStyle w:val="Prrafodelista"/>
        <w:ind w:left="0"/>
        <w:jc w:val="center"/>
        <w:rPr>
          <w:b/>
          <w:sz w:val="22"/>
          <w:lang w:val="es-MX"/>
        </w:rPr>
      </w:pPr>
      <w:r w:rsidRPr="002339F0">
        <w:rPr>
          <w:noProof/>
          <w:lang w:val="es-GT" w:eastAsia="es-GT"/>
        </w:rPr>
        <w:drawing>
          <wp:inline distT="0" distB="0" distL="0" distR="0">
            <wp:extent cx="6141424" cy="735614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41353" cy="7356059"/>
                    </a:xfrm>
                    <a:prstGeom prst="rect">
                      <a:avLst/>
                    </a:prstGeom>
                    <a:noFill/>
                    <a:ln>
                      <a:noFill/>
                    </a:ln>
                  </pic:spPr>
                </pic:pic>
              </a:graphicData>
            </a:graphic>
          </wp:inline>
        </w:drawing>
      </w:r>
    </w:p>
    <w:p w:rsidR="00EF2018" w:rsidRDefault="00EF2018" w:rsidP="00EF2018">
      <w:pPr>
        <w:pStyle w:val="Prrafodelista"/>
        <w:ind w:left="0"/>
        <w:jc w:val="center"/>
        <w:rPr>
          <w:b/>
          <w:sz w:val="22"/>
          <w:lang w:val="es-MX"/>
        </w:rPr>
      </w:pPr>
    </w:p>
    <w:p w:rsidR="006E3EBC" w:rsidRPr="00A27A47" w:rsidRDefault="006E3EBC" w:rsidP="004E7459">
      <w:pPr>
        <w:jc w:val="center"/>
        <w:rPr>
          <w:b/>
          <w:lang w:val="es-MX"/>
        </w:rPr>
      </w:pPr>
      <w:r w:rsidRPr="00A27A47">
        <w:rPr>
          <w:b/>
          <w:lang w:val="es-MX"/>
        </w:rPr>
        <w:lastRenderedPageBreak/>
        <w:t xml:space="preserve">Cuadro </w:t>
      </w:r>
      <w:r w:rsidR="002B5EF3" w:rsidRPr="00A27A47">
        <w:rPr>
          <w:b/>
          <w:lang w:val="es-MX"/>
        </w:rPr>
        <w:t>2</w:t>
      </w:r>
      <w:r w:rsidR="00A27A47" w:rsidRPr="00A27A47">
        <w:rPr>
          <w:b/>
          <w:lang w:val="es-MX"/>
        </w:rPr>
        <w:t>8</w:t>
      </w:r>
      <w:r w:rsidRPr="00A27A47">
        <w:rPr>
          <w:b/>
          <w:lang w:val="es-MX"/>
        </w:rPr>
        <w:t xml:space="preserve"> (continúa)</w:t>
      </w:r>
    </w:p>
    <w:p w:rsidR="006E3EBC" w:rsidRPr="00A27A47" w:rsidRDefault="006E3EBC" w:rsidP="004E7459">
      <w:pPr>
        <w:jc w:val="center"/>
        <w:rPr>
          <w:b/>
          <w:lang w:val="es-MX"/>
        </w:rPr>
      </w:pPr>
      <w:r w:rsidRPr="00A27A47">
        <w:rPr>
          <w:b/>
          <w:lang w:val="es-MX"/>
        </w:rPr>
        <w:t>Situación Financiera</w:t>
      </w:r>
    </w:p>
    <w:p w:rsidR="006E3EBC" w:rsidRPr="00A27A47" w:rsidRDefault="006E3EBC" w:rsidP="004E7459">
      <w:pPr>
        <w:jc w:val="center"/>
        <w:rPr>
          <w:b/>
          <w:lang w:val="es-MX"/>
        </w:rPr>
      </w:pPr>
      <w:r w:rsidRPr="00A27A47">
        <w:rPr>
          <w:b/>
          <w:lang w:val="es-MX"/>
        </w:rPr>
        <w:t>Presupuesto Aprobado y Estimación de Cierre 20</w:t>
      </w:r>
      <w:r w:rsidR="002339F0" w:rsidRPr="00A27A47">
        <w:rPr>
          <w:b/>
          <w:lang w:val="es-MX"/>
        </w:rPr>
        <w:t>20</w:t>
      </w:r>
    </w:p>
    <w:p w:rsidR="006E3EBC" w:rsidRPr="00A27A47" w:rsidRDefault="006E3EBC" w:rsidP="004E7459">
      <w:pPr>
        <w:pStyle w:val="Prrafodelista"/>
        <w:ind w:left="0"/>
        <w:jc w:val="center"/>
        <w:rPr>
          <w:b/>
          <w:lang w:val="es-MX"/>
        </w:rPr>
      </w:pPr>
      <w:r w:rsidRPr="00A27A47">
        <w:rPr>
          <w:b/>
          <w:lang w:val="es-MX"/>
        </w:rPr>
        <w:t>(</w:t>
      </w:r>
      <w:r w:rsidR="00416F2B" w:rsidRPr="00A27A47">
        <w:rPr>
          <w:b/>
          <w:lang w:val="es-MX"/>
        </w:rPr>
        <w:t>En Porcentajes del PIB</w:t>
      </w:r>
      <w:r w:rsidRPr="00A27A47">
        <w:rPr>
          <w:b/>
          <w:lang w:val="es-MX"/>
        </w:rPr>
        <w:t>)</w:t>
      </w:r>
    </w:p>
    <w:p w:rsidR="002339F0" w:rsidRDefault="002339F0" w:rsidP="004E7459">
      <w:pPr>
        <w:pStyle w:val="Prrafodelista"/>
        <w:ind w:left="0"/>
        <w:jc w:val="center"/>
        <w:rPr>
          <w:b/>
          <w:sz w:val="22"/>
          <w:lang w:val="es-MX"/>
        </w:rPr>
      </w:pPr>
      <w:r w:rsidRPr="002339F0">
        <w:rPr>
          <w:noProof/>
          <w:lang w:val="es-GT" w:eastAsia="es-GT"/>
        </w:rPr>
        <w:drawing>
          <wp:inline distT="0" distB="0" distL="0" distR="0">
            <wp:extent cx="6073086" cy="7369791"/>
            <wp:effectExtent l="0" t="0" r="4445" b="317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3124" cy="7369837"/>
                    </a:xfrm>
                    <a:prstGeom prst="rect">
                      <a:avLst/>
                    </a:prstGeom>
                    <a:noFill/>
                    <a:ln>
                      <a:noFill/>
                    </a:ln>
                  </pic:spPr>
                </pic:pic>
              </a:graphicData>
            </a:graphic>
          </wp:inline>
        </w:drawing>
      </w:r>
    </w:p>
    <w:p w:rsidR="00716926" w:rsidRPr="004B5DF5" w:rsidRDefault="00716926" w:rsidP="00CC1383">
      <w:pPr>
        <w:jc w:val="both"/>
        <w:rPr>
          <w:noProof/>
          <w:sz w:val="18"/>
          <w:lang w:val="es-ES_tradnl"/>
        </w:rPr>
      </w:pPr>
      <w:r>
        <w:rPr>
          <w:noProof/>
          <w:sz w:val="18"/>
          <w:lang w:val="es-ES_tradnl"/>
        </w:rPr>
        <w:t>Fuente: Ministerio de Finanzas Públicas.</w:t>
      </w:r>
    </w:p>
    <w:sectPr w:rsidR="00716926" w:rsidRPr="004B5DF5" w:rsidSect="000D110E">
      <w:headerReference w:type="even" r:id="rId45"/>
      <w:headerReference w:type="default" r:id="rId46"/>
      <w:footerReference w:type="even" r:id="rId47"/>
      <w:footerReference w:type="default" r:id="rId48"/>
      <w:footerReference w:type="first" r:id="rId49"/>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167C2" w:rsidRDefault="00B167C2" w:rsidP="00BF318F">
      <w:r>
        <w:separator/>
      </w:r>
    </w:p>
  </w:endnote>
  <w:endnote w:type="continuationSeparator" w:id="0">
    <w:p w:rsidR="00B167C2" w:rsidRDefault="00B167C2" w:rsidP="00BF31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elix Titling">
    <w:panose1 w:val="04060505060202020A04"/>
    <w:charset w:val="00"/>
    <w:family w:val="decorative"/>
    <w:pitch w:val="variable"/>
    <w:sig w:usb0="00000003" w:usb1="00000000" w:usb2="00000000" w:usb3="00000000" w:csb0="00000001" w:csb1="00000000"/>
  </w:font>
  <w:font w:name="Constantia">
    <w:panose1 w:val="02030602050306030303"/>
    <w:charset w:val="00"/>
    <w:family w:val="roman"/>
    <w:pitch w:val="variable"/>
    <w:sig w:usb0="A00002EF" w:usb1="4000204B" w:usb2="00000000" w:usb3="00000000" w:csb0="0000019F" w:csb1="00000000"/>
  </w:font>
  <w:font w:name="Garamond">
    <w:panose1 w:val="02020404030301010803"/>
    <w:charset w:val="00"/>
    <w:family w:val="roman"/>
    <w:pitch w:val="variable"/>
    <w:sig w:usb0="00000287" w:usb1="00000000" w:usb2="00000000" w:usb3="00000000" w:csb0="0000009F" w:csb1="00000000"/>
  </w:font>
  <w:font w:name="Atlas Grotesk Regular">
    <w:altName w:val="Calibri"/>
    <w:panose1 w:val="00000000000000000000"/>
    <w:charset w:val="00"/>
    <w:family w:val="swiss"/>
    <w:notTrueType/>
    <w:pitch w:val="default"/>
    <w:sig w:usb0="00000003" w:usb1="00000000" w:usb2="00000000" w:usb3="00000000" w:csb0="00000001" w:csb1="00000000"/>
  </w:font>
  <w:font w:name="OptimaLTStd">
    <w:altName w:val="Yu Gothic"/>
    <w:panose1 w:val="00000000000000000000"/>
    <w:charset w:val="80"/>
    <w:family w:val="swiss"/>
    <w:notTrueType/>
    <w:pitch w:val="default"/>
    <w:sig w:usb0="00000001" w:usb1="08070000" w:usb2="00000010" w:usb3="00000000" w:csb0="00020000"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4DF" w:rsidRDefault="008624DF">
    <w:r>
      <w:c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4DF" w:rsidRDefault="008624DF">
    <w:pPr>
      <w:pStyle w:val="Piedepgina"/>
      <w:jc w:val="right"/>
    </w:pPr>
    <w:r>
      <w:fldChar w:fldCharType="begin"/>
    </w:r>
    <w:r>
      <w:instrText>PAGE   \* MERGEFORMAT</w:instrText>
    </w:r>
    <w:r>
      <w:fldChar w:fldCharType="separate"/>
    </w:r>
    <w:r w:rsidR="00534A0E">
      <w:rPr>
        <w:noProof/>
      </w:rPr>
      <w:t>2</w:t>
    </w:r>
    <w:r>
      <w:fldChar w:fldCharType="end"/>
    </w:r>
  </w:p>
  <w:p w:rsidR="008624DF" w:rsidRDefault="008624DF">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4DF" w:rsidRDefault="008624DF" w:rsidP="00EB2FBA">
    <w:pPr>
      <w:pStyle w:val="Piedepgina"/>
    </w:pPr>
  </w:p>
  <w:p w:rsidR="008624DF" w:rsidRDefault="008624DF" w:rsidP="00EB2FBA">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167C2" w:rsidRDefault="00B167C2" w:rsidP="00BF318F">
      <w:r>
        <w:separator/>
      </w:r>
    </w:p>
  </w:footnote>
  <w:footnote w:type="continuationSeparator" w:id="0">
    <w:p w:rsidR="00B167C2" w:rsidRDefault="00B167C2" w:rsidP="00BF318F">
      <w:r>
        <w:continuationSeparator/>
      </w:r>
    </w:p>
  </w:footnote>
  <w:footnote w:id="1">
    <w:p w:rsidR="008624DF" w:rsidRDefault="008624DF" w:rsidP="00AD535C">
      <w:pPr>
        <w:pStyle w:val="Textonotapie"/>
        <w:rPr>
          <w:sz w:val="18"/>
        </w:rPr>
      </w:pPr>
      <w:r>
        <w:rPr>
          <w:rStyle w:val="Refdenotaalpie"/>
        </w:rPr>
        <w:footnoteRef/>
      </w:r>
      <w:r>
        <w:t xml:space="preserve"> </w:t>
      </w:r>
      <w:r w:rsidRPr="00343FF3">
        <w:rPr>
          <w:sz w:val="18"/>
        </w:rPr>
        <w:t>El gasto social está destinado a mejorar las condiciones de vida de las familias guatemaltecas, en el mediano y largo plazo, siendo importante resaltar que los montos detallados en el cuadro siguiente incluyen la función “Edad Avanzada”, dentro de la ejecución del sector Salud y Asistencia Social de cada año</w:t>
      </w:r>
      <w:r>
        <w:rPr>
          <w:sz w:val="18"/>
        </w:rPr>
        <w:t>.</w:t>
      </w:r>
    </w:p>
    <w:p w:rsidR="008624DF" w:rsidRPr="00343FF3" w:rsidRDefault="008624DF" w:rsidP="00AD535C">
      <w:pPr>
        <w:pStyle w:val="Textonotapie"/>
      </w:pPr>
    </w:p>
  </w:footnote>
  <w:footnote w:id="2">
    <w:p w:rsidR="008624DF" w:rsidRDefault="008624DF" w:rsidP="00AD535C">
      <w:pPr>
        <w:pStyle w:val="Textonotapie"/>
        <w:jc w:val="both"/>
        <w:rPr>
          <w:sz w:val="18"/>
          <w:szCs w:val="18"/>
          <w:lang w:val="es-MX"/>
        </w:rPr>
      </w:pPr>
      <w:r>
        <w:rPr>
          <w:rStyle w:val="Refdenotaalpie"/>
        </w:rPr>
        <w:footnoteRef/>
      </w:r>
      <w:r>
        <w:t xml:space="preserve"> </w:t>
      </w:r>
      <w:r w:rsidRPr="00CF15B3">
        <w:rPr>
          <w:sz w:val="18"/>
          <w:szCs w:val="18"/>
          <w:lang w:val="es-MX"/>
        </w:rPr>
        <w:t xml:space="preserve">La iniciativa 4462, proyecto de Ley de Fideicomisos Públicos, </w:t>
      </w:r>
      <w:r>
        <w:rPr>
          <w:sz w:val="18"/>
          <w:szCs w:val="18"/>
          <w:lang w:val="es-MX"/>
        </w:rPr>
        <w:t xml:space="preserve">persigue </w:t>
      </w:r>
      <w:r w:rsidRPr="00CF15B3">
        <w:rPr>
          <w:sz w:val="18"/>
          <w:szCs w:val="18"/>
          <w:lang w:val="es-MX"/>
        </w:rPr>
        <w:t>regula</w:t>
      </w:r>
      <w:r>
        <w:rPr>
          <w:sz w:val="18"/>
          <w:szCs w:val="18"/>
          <w:lang w:val="es-MX"/>
        </w:rPr>
        <w:t>r</w:t>
      </w:r>
      <w:r w:rsidRPr="00CF15B3">
        <w:rPr>
          <w:sz w:val="18"/>
          <w:szCs w:val="18"/>
          <w:lang w:val="es-MX"/>
        </w:rPr>
        <w:t xml:space="preserve"> y dispone</w:t>
      </w:r>
      <w:r>
        <w:rPr>
          <w:sz w:val="18"/>
          <w:szCs w:val="18"/>
          <w:lang w:val="es-MX"/>
        </w:rPr>
        <w:t>r</w:t>
      </w:r>
      <w:r w:rsidRPr="00CF15B3">
        <w:rPr>
          <w:sz w:val="18"/>
          <w:szCs w:val="18"/>
          <w:lang w:val="es-MX"/>
        </w:rPr>
        <w:t xml:space="preserve"> las normas y principios que rigen los contratos de fideicomisos públicos, aplicables en la celebración, administración, ejecución, extinción y liquidación de los contratos.  Los recursos que se afecten en dichos contratos preservarán su carácter público y fiscalizable y se observarán los principios de legalidad, economía, eficiencia, eficacia, máxima publicidad, probidad y transparencia en el manejo y ejecución de los recursos públicos, así como los que garanticen que toda actuación pública esté orientada a la consecución del bien común y la debida rendición de cuentas</w:t>
      </w:r>
      <w:r>
        <w:rPr>
          <w:sz w:val="18"/>
          <w:szCs w:val="18"/>
          <w:lang w:val="es-MX"/>
        </w:rPr>
        <w:t>.</w:t>
      </w:r>
    </w:p>
    <w:p w:rsidR="008624DF" w:rsidRPr="00401389" w:rsidRDefault="008624DF" w:rsidP="00AD535C">
      <w:pPr>
        <w:pStyle w:val="Textonotapie"/>
        <w:jc w:val="both"/>
        <w:rPr>
          <w:sz w:val="18"/>
        </w:rPr>
      </w:pPr>
      <w:r>
        <w:rPr>
          <w:sz w:val="18"/>
          <w:lang w:val="es-MX"/>
        </w:rPr>
        <w:t>Asimismo, e</w:t>
      </w:r>
      <w:r w:rsidRPr="00401389">
        <w:rPr>
          <w:sz w:val="18"/>
          <w:lang w:val="es-MX"/>
        </w:rPr>
        <w:t>l detalle de los fideicomisos se encuentra en el portal del Ministerio de Finanzas Públicas y contiene una amplia gama de información sobre fideicomisos vigentes, en liquidación y vencidos, tanto de la Administración Central como de las Entidades Descentralizadas y Autónomas. El uso de fideicomisos actualmente está regulado en el Capítulo VI</w:t>
      </w:r>
      <w:r>
        <w:rPr>
          <w:sz w:val="18"/>
          <w:lang w:val="es-MX"/>
        </w:rPr>
        <w:t>II</w:t>
      </w:r>
      <w:r w:rsidRPr="00401389">
        <w:rPr>
          <w:sz w:val="18"/>
          <w:lang w:val="es-MX"/>
        </w:rPr>
        <w:t xml:space="preserve">, artículos del </w:t>
      </w:r>
      <w:r>
        <w:rPr>
          <w:sz w:val="18"/>
          <w:lang w:val="es-MX"/>
        </w:rPr>
        <w:t>84</w:t>
      </w:r>
      <w:r w:rsidRPr="00401389">
        <w:rPr>
          <w:sz w:val="18"/>
          <w:lang w:val="es-MX"/>
        </w:rPr>
        <w:t xml:space="preserve"> al </w:t>
      </w:r>
      <w:r>
        <w:rPr>
          <w:sz w:val="18"/>
          <w:lang w:val="es-MX"/>
        </w:rPr>
        <w:t>90</w:t>
      </w:r>
      <w:r w:rsidRPr="00401389">
        <w:rPr>
          <w:sz w:val="18"/>
          <w:lang w:val="es-MX"/>
        </w:rPr>
        <w:t xml:space="preserve"> de la Ley del Presupuesto General de Ingresos y Egresos del Estado para el Ejercicio Fiscal 201</w:t>
      </w:r>
      <w:r>
        <w:rPr>
          <w:sz w:val="18"/>
          <w:lang w:val="es-MX"/>
        </w:rPr>
        <w:t>9</w:t>
      </w:r>
      <w:r w:rsidRPr="00401389">
        <w:rPr>
          <w:sz w:val="18"/>
          <w:lang w:val="es-MX"/>
        </w:rPr>
        <w:t xml:space="preserve">, Decreto No. </w:t>
      </w:r>
      <w:r>
        <w:rPr>
          <w:sz w:val="18"/>
          <w:lang w:val="es-MX"/>
        </w:rPr>
        <w:t>25-2018</w:t>
      </w:r>
      <w:r w:rsidRPr="00401389">
        <w:rPr>
          <w:sz w:val="18"/>
          <w:lang w:val="es-MX"/>
        </w:rPr>
        <w:t xml:space="preserve"> del Congre</w:t>
      </w:r>
      <w:r>
        <w:rPr>
          <w:sz w:val="18"/>
          <w:lang w:val="es-MX"/>
        </w:rPr>
        <w:t>so de la República de Guatemala, vigente para el 2020.</w:t>
      </w:r>
    </w:p>
  </w:footnote>
  <w:footnote w:id="3">
    <w:p w:rsidR="008624DF" w:rsidRPr="00AE4E5C" w:rsidRDefault="008624DF" w:rsidP="00AD535C">
      <w:pPr>
        <w:pStyle w:val="Textonotapie"/>
        <w:jc w:val="both"/>
      </w:pPr>
      <w:r>
        <w:rPr>
          <w:rStyle w:val="Refdenotaalpie"/>
        </w:rPr>
        <w:footnoteRef/>
      </w:r>
      <w:r>
        <w:t xml:space="preserve"> </w:t>
      </w:r>
      <w:r w:rsidRPr="00AE4E5C">
        <w:rPr>
          <w:sz w:val="18"/>
          <w:lang w:val="es-MX"/>
        </w:rPr>
        <w:t xml:space="preserve">No obstante el artículo 33 Bis del </w:t>
      </w:r>
      <w:r w:rsidRPr="00AE4E5C">
        <w:rPr>
          <w:sz w:val="18"/>
        </w:rPr>
        <w:t>Decreto</w:t>
      </w:r>
      <w:r w:rsidRPr="00AE4E5C">
        <w:rPr>
          <w:sz w:val="18"/>
          <w:lang w:val="es-MX"/>
        </w:rPr>
        <w:t xml:space="preserve"> No. 101-97 del Congreso de la República de Guatemala, Ley Orgánica del Presupuesto, prohíbe suscribir convenios para ejecutar recursos de programas y proyectos a través de Organizaciones No Gubernamentales, Organismos Internacionales o Asociaciones, exceptuando al Ministerio de Salud Pública y Asistencia Social, algunas entidades trasladan recursos a estas instituciones bajo la modalidad de “</w:t>
      </w:r>
      <w:r>
        <w:rPr>
          <w:sz w:val="18"/>
          <w:lang w:val="es-MX"/>
        </w:rPr>
        <w:t>E</w:t>
      </w:r>
      <w:r w:rsidRPr="00AE4E5C">
        <w:rPr>
          <w:sz w:val="18"/>
          <w:lang w:val="es-MX"/>
        </w:rPr>
        <w:t xml:space="preserve">ntes </w:t>
      </w:r>
      <w:r>
        <w:rPr>
          <w:sz w:val="18"/>
          <w:lang w:val="es-MX"/>
        </w:rPr>
        <w:t>R</w:t>
      </w:r>
      <w:r w:rsidRPr="00AE4E5C">
        <w:rPr>
          <w:sz w:val="18"/>
          <w:lang w:val="es-MX"/>
        </w:rPr>
        <w:t xml:space="preserve">eceptores de </w:t>
      </w:r>
      <w:r>
        <w:rPr>
          <w:sz w:val="18"/>
          <w:lang w:val="es-MX"/>
        </w:rPr>
        <w:t>T</w:t>
      </w:r>
      <w:r w:rsidRPr="00AE4E5C">
        <w:rPr>
          <w:sz w:val="18"/>
          <w:lang w:val="es-MX"/>
        </w:rPr>
        <w:t>ransferencias”, sin contraprestación de servicios, porque el país es miembro de alguna organización y según el convenio de adhesión, es necesario cancelar una membresía anual. Además, varias instituciones trasladan aportes a estas organizaciones por concepto de subsidios y subvenciones cuya ejecución se encuentra normada en el Acuerdo Gubernativo No. 55-2016, “Reglamento de Manejo de Subsidios y Subvenciones”</w:t>
      </w:r>
      <w:r>
        <w:rPr>
          <w:sz w:val="18"/>
          <w:lang w:val="es-MX"/>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4DF" w:rsidRDefault="008624DF" w:rsidP="00CE6835">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8624DF" w:rsidRDefault="008624DF" w:rsidP="00CE6835">
    <w:pPr>
      <w:pStyle w:val="Encabezad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624DF" w:rsidRPr="00801582" w:rsidRDefault="008624DF" w:rsidP="00801582">
    <w:pPr>
      <w:pStyle w:val="Encabezado"/>
      <w:tabs>
        <w:tab w:val="clear" w:pos="8504"/>
      </w:tabs>
      <w:jc w:val="center"/>
      <w:rPr>
        <w:rFonts w:ascii="Arial" w:hAnsi="Arial" w:cs="Arial"/>
        <w:b/>
        <w:sz w:val="22"/>
        <w:szCs w:val="22"/>
        <w:lang w:val="es-GT"/>
      </w:rPr>
    </w:pPr>
    <w:r w:rsidRPr="00801582">
      <w:rPr>
        <w:rFonts w:ascii="Arial" w:hAnsi="Arial" w:cs="Arial"/>
        <w:b/>
        <w:sz w:val="22"/>
        <w:szCs w:val="22"/>
        <w:lang w:val="es-GT"/>
      </w:rPr>
      <w:t>Informe del Des</w:t>
    </w:r>
    <w:r>
      <w:rPr>
        <w:rFonts w:ascii="Arial" w:hAnsi="Arial" w:cs="Arial"/>
        <w:b/>
        <w:sz w:val="22"/>
        <w:szCs w:val="22"/>
        <w:lang w:val="es-GT"/>
      </w:rPr>
      <w:t xml:space="preserve">empeño de la Política Fiscal y </w:t>
    </w:r>
    <w:r w:rsidRPr="00801582">
      <w:rPr>
        <w:rFonts w:ascii="Arial" w:hAnsi="Arial" w:cs="Arial"/>
        <w:b/>
        <w:sz w:val="22"/>
        <w:szCs w:val="22"/>
        <w:lang w:val="es-GT"/>
      </w:rPr>
      <w:t>Actividades del Primer Semestre 20</w:t>
    </w:r>
    <w:r>
      <w:rPr>
        <w:rFonts w:ascii="Arial" w:hAnsi="Arial" w:cs="Arial"/>
        <w:b/>
        <w:sz w:val="22"/>
        <w:szCs w:val="22"/>
        <w:lang w:val="es-GT"/>
      </w:rPr>
      <w:t>20</w:t>
    </w:r>
  </w:p>
  <w:p w:rsidR="008624DF" w:rsidRPr="000705AA" w:rsidRDefault="008624DF" w:rsidP="00CE6835">
    <w:pPr>
      <w:pStyle w:val="Encabezado"/>
      <w:ind w:right="360"/>
      <w:jc w:val="center"/>
      <w:rPr>
        <w:rFonts w:ascii="Arial" w:hAnsi="Arial" w:cs="Arial"/>
        <w:b/>
        <w:color w:val="95B3D7"/>
        <w:u w:val="single"/>
        <w:lang w:val="es-GT"/>
      </w:rPr>
    </w:pPr>
    <w:r>
      <w:rPr>
        <w:noProof/>
        <w:lang w:val="es-GT" w:eastAsia="es-GT"/>
      </w:rPr>
      <mc:AlternateContent>
        <mc:Choice Requires="wps">
          <w:drawing>
            <wp:anchor distT="4294967290" distB="4294967290" distL="114300" distR="114300" simplePos="0" relativeHeight="251657216" behindDoc="0" locked="0" layoutInCell="1" allowOverlap="1" wp14:anchorId="49D5D34A" wp14:editId="2B178F42">
              <wp:simplePos x="0" y="0"/>
              <wp:positionH relativeFrom="column">
                <wp:posOffset>-118110</wp:posOffset>
              </wp:positionH>
              <wp:positionV relativeFrom="paragraph">
                <wp:posOffset>73659</wp:posOffset>
              </wp:positionV>
              <wp:extent cx="6066155" cy="0"/>
              <wp:effectExtent l="38100" t="95250" r="86995" b="76200"/>
              <wp:wrapNone/>
              <wp:docPr id="15" name="1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66155" cy="0"/>
                      </a:xfrm>
                      <a:prstGeom prst="line">
                        <a:avLst/>
                      </a:prstGeom>
                      <a:noFill/>
                      <a:ln w="31750" cap="rnd" cmpd="dbl" algn="ctr">
                        <a:solidFill>
                          <a:srgbClr val="4F81BD">
                            <a:shade val="95000"/>
                            <a:satMod val="105000"/>
                          </a:srgbClr>
                        </a:solidFill>
                        <a:prstDash val="solid"/>
                      </a:ln>
                      <a:effectLst>
                        <a:outerShdw blurRad="50800" dist="38100" algn="l" rotWithShape="0">
                          <a:prstClr val="black">
                            <a:alpha val="40000"/>
                          </a:prstClr>
                        </a:outerShdw>
                      </a:effectLst>
                      <a:scene3d>
                        <a:camera prst="orthographicFront"/>
                        <a:lightRig rig="soft" dir="t"/>
                      </a:scene3d>
                      <a:sp3d>
                        <a:bevelT/>
                      </a:sp3d>
                    </wps:spPr>
                    <wps:bodyPr/>
                  </wps:wsp>
                </a:graphicData>
              </a:graphic>
              <wp14:sizeRelH relativeFrom="page">
                <wp14:pctWidth>0</wp14:pctWidth>
              </wp14:sizeRelH>
              <wp14:sizeRelV relativeFrom="page">
                <wp14:pctHeight>0</wp14:pctHeight>
              </wp14:sizeRelV>
            </wp:anchor>
          </w:drawing>
        </mc:Choice>
        <mc:Fallback>
          <w:pict>
            <v:line id="15 Conector recto" o:spid="_x0000_s1026" style="position:absolute;z-index:25165721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9.3pt,5.8pt" to="468.35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wATYQIAAL8EAAAOAAAAZHJzL2Uyb0RvYy54bWysVE1v2zAMvQ/YfxB8X203S5YZcQqsQXbp&#10;tqLtsLMsybZQWRIoNU7//UjZSdvtNuximx965Hsivbk6DoYdFATtbJ2VF0XGlBVOatvV2c+H/Yd1&#10;xkLkVnLjrKqzZxWyq+37d5vRV+rS9c5IBQxBbKhGX2d9jL7K8yB6NfBw4byyGGwdDDyiCV0ugY+I&#10;Ppj8sihW+ehAenBChYDe3RTMtgm/bZWIP9o2qMhMnWFvMT0hPRt65tsNrzrgvtdiboP/QxcD1xaL&#10;nqF2PHL2BPovqEELcMG18UK4IXdtq4VKHJBNWfzB5r7nXiUuKE7wZ5nC/4MV3w+3wLTEu1tmzPIB&#10;76hcsmu8LBEdMKAXqTT6UGHytb0F4imO9t7fOPEYMJa/CZIR/JR2bGGgdCTKjkn157Pq6hiZQOeq&#10;WK3KJVYXp1jOq9NBDyF+VW5g9FFnRlsShFf8cBMilebVKYXc1u21MelSjWVjnS3KT0u8d8FxtsBK&#10;/Bo8kpWNyRg3Hc6siJAQgzNa0mnCCdA11wbYgePcfNyvyy+7KannUk3ez8uimOcn8PjNycldFic/&#10;tjbDpDbf4FPPOx766UwKkch4xFiqr9LoIkUy3FNUcN/LkTXmCe449r8s1licSU2iLNYlGRMd5AUu&#10;/tKxT9NDahMGFTwTagwXj5OMxvd8Zol0Ep9ZUsxODZ2rJ+tNY0EoqxaS8AVODvD5lhzE3s1LtQdn&#10;47RmRnd9vNMdA40/B1oCYoDLmOIk1wte8BNuow7KPEzSTL40bNN80aQ1Tj7fAiWQhVuS2pyL0xq+&#10;tlPWy39n+xsAAP//AwBQSwMEFAAGAAgAAAAhAM8Z6uLcAAAACQEAAA8AAABkcnMvZG93bnJldi54&#10;bWxMj0FPwzAMhe9I/IfISNy2tFSUUZpODAnuK0hoN68xTUWTlCbb2n8/TxzgZNnv6fl75XqyvTjS&#10;GDrvFKTLBAS5xuvOtQo+3l8XKxAhotPYe0cKZgqwrq6vSiy0P7ktHevYCg5xoUAFJsahkDI0hiyG&#10;pR/IsfblR4uR17GVesQTh9te3iVJLi12jj8YHOjFUPNdH6yCrPvZbXBsTfa2tZtdXc/3n3FW6vZm&#10;en4CEWmKf2a44DM6VMy09weng+gVLNJVzlYWUp5seMzyBxD734OsSvm/QXUGAAD//wMAUEsBAi0A&#10;FAAGAAgAAAAhALaDOJL+AAAA4QEAABMAAAAAAAAAAAAAAAAAAAAAAFtDb250ZW50X1R5cGVzXS54&#10;bWxQSwECLQAUAAYACAAAACEAOP0h/9YAAACUAQAACwAAAAAAAAAAAAAAAAAvAQAAX3JlbHMvLnJl&#10;bHNQSwECLQAUAAYACAAAACEA04cAE2ECAAC/BAAADgAAAAAAAAAAAAAAAAAuAgAAZHJzL2Uyb0Rv&#10;Yy54bWxQSwECLQAUAAYACAAAACEAzxnq4twAAAAJAQAADwAAAAAAAAAAAAAAAAC7BAAAZHJzL2Rv&#10;d25yZXYueG1sUEsFBgAAAAAEAAQA8wAAAMQFAAAAAA==&#10;" strokecolor="#4a7ebb" strokeweight="2.5pt">
              <v:stroke linestyle="thinThin" endcap="round"/>
              <v:shadow on="t" color="black" opacity="26214f" origin="-.5" offset="3pt,0"/>
              <o:lock v:ext="edit" shapetype="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A"/>
    <w:multiLevelType w:val="singleLevel"/>
    <w:tmpl w:val="0000001A"/>
    <w:name w:val="WW8Num26"/>
    <w:lvl w:ilvl="0">
      <w:start w:val="1"/>
      <w:numFmt w:val="decimal"/>
      <w:lvlText w:val="%1."/>
      <w:lvlJc w:val="left"/>
      <w:pPr>
        <w:tabs>
          <w:tab w:val="num" w:pos="0"/>
        </w:tabs>
        <w:ind w:left="720" w:hanging="360"/>
      </w:pPr>
      <w:rPr>
        <w:b/>
      </w:rPr>
    </w:lvl>
  </w:abstractNum>
  <w:abstractNum w:abstractNumId="1">
    <w:nsid w:val="26A716D7"/>
    <w:multiLevelType w:val="hybridMultilevel"/>
    <w:tmpl w:val="D79E76FC"/>
    <w:lvl w:ilvl="0" w:tplc="100A000F">
      <w:start w:val="1"/>
      <w:numFmt w:val="decimal"/>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nsid w:val="3B6B3F97"/>
    <w:multiLevelType w:val="multilevel"/>
    <w:tmpl w:val="E550B00C"/>
    <w:lvl w:ilvl="0">
      <w:start w:val="1"/>
      <w:numFmt w:val="upperRoman"/>
      <w:lvlText w:val="%1."/>
      <w:lvlJc w:val="left"/>
      <w:pPr>
        <w:tabs>
          <w:tab w:val="num" w:pos="0"/>
        </w:tabs>
        <w:ind w:left="432" w:hanging="432"/>
      </w:pPr>
      <w:rPr>
        <w:rFonts w:hint="default"/>
      </w:rPr>
    </w:lvl>
    <w:lvl w:ilvl="1">
      <w:start w:val="1"/>
      <w:numFmt w:val="upperLetter"/>
      <w:lvlText w:val="%2."/>
      <w:lvlJc w:val="left"/>
      <w:pPr>
        <w:tabs>
          <w:tab w:val="num" w:pos="0"/>
        </w:tabs>
        <w:ind w:left="576" w:hanging="576"/>
      </w:pPr>
      <w:rPr>
        <w:rFonts w:ascii="Times New Roman" w:hAnsi="Times New Roman" w:cs="Times New Roman" w:hint="default"/>
        <w:b/>
        <w:i w:val="0"/>
        <w:color w:val="auto"/>
      </w:rPr>
    </w:lvl>
    <w:lvl w:ilvl="2">
      <w:start w:val="1"/>
      <w:numFmt w:val="decimal"/>
      <w:lvlText w:val="%3."/>
      <w:lvlJc w:val="left"/>
      <w:pPr>
        <w:tabs>
          <w:tab w:val="num" w:pos="0"/>
        </w:tabs>
        <w:ind w:left="720" w:hanging="720"/>
      </w:pPr>
      <w:rPr>
        <w:rFonts w:hint="default"/>
        <w:b/>
        <w:sz w:val="24"/>
      </w:rPr>
    </w:lvl>
    <w:lvl w:ilvl="3">
      <w:start w:val="1"/>
      <w:numFmt w:val="decimal"/>
      <w:lvlText w:val="%1.%2.%3.%4"/>
      <w:lvlJc w:val="left"/>
      <w:pPr>
        <w:tabs>
          <w:tab w:val="num" w:pos="0"/>
        </w:tabs>
        <w:ind w:left="864" w:hanging="864"/>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3">
    <w:nsid w:val="491279C1"/>
    <w:multiLevelType w:val="hybridMultilevel"/>
    <w:tmpl w:val="1E8C631E"/>
    <w:lvl w:ilvl="0" w:tplc="100A0019">
      <w:start w:val="1"/>
      <w:numFmt w:val="lowerLetter"/>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4B5256E6"/>
    <w:multiLevelType w:val="hybridMultilevel"/>
    <w:tmpl w:val="B582D2AA"/>
    <w:lvl w:ilvl="0" w:tplc="100A0001">
      <w:start w:val="1"/>
      <w:numFmt w:val="bullet"/>
      <w:lvlText w:val=""/>
      <w:lvlJc w:val="left"/>
      <w:pPr>
        <w:ind w:left="1485" w:hanging="360"/>
      </w:pPr>
      <w:rPr>
        <w:rFonts w:ascii="Symbol" w:hAnsi="Symbol" w:hint="default"/>
      </w:rPr>
    </w:lvl>
    <w:lvl w:ilvl="1" w:tplc="100A0003" w:tentative="1">
      <w:start w:val="1"/>
      <w:numFmt w:val="bullet"/>
      <w:lvlText w:val="o"/>
      <w:lvlJc w:val="left"/>
      <w:pPr>
        <w:ind w:left="2205" w:hanging="360"/>
      </w:pPr>
      <w:rPr>
        <w:rFonts w:ascii="Courier New" w:hAnsi="Courier New" w:cs="Courier New" w:hint="default"/>
      </w:rPr>
    </w:lvl>
    <w:lvl w:ilvl="2" w:tplc="100A0005" w:tentative="1">
      <w:start w:val="1"/>
      <w:numFmt w:val="bullet"/>
      <w:lvlText w:val=""/>
      <w:lvlJc w:val="left"/>
      <w:pPr>
        <w:ind w:left="2925" w:hanging="360"/>
      </w:pPr>
      <w:rPr>
        <w:rFonts w:ascii="Wingdings" w:hAnsi="Wingdings" w:hint="default"/>
      </w:rPr>
    </w:lvl>
    <w:lvl w:ilvl="3" w:tplc="100A0001" w:tentative="1">
      <w:start w:val="1"/>
      <w:numFmt w:val="bullet"/>
      <w:lvlText w:val=""/>
      <w:lvlJc w:val="left"/>
      <w:pPr>
        <w:ind w:left="3645" w:hanging="360"/>
      </w:pPr>
      <w:rPr>
        <w:rFonts w:ascii="Symbol" w:hAnsi="Symbol" w:hint="default"/>
      </w:rPr>
    </w:lvl>
    <w:lvl w:ilvl="4" w:tplc="100A0003" w:tentative="1">
      <w:start w:val="1"/>
      <w:numFmt w:val="bullet"/>
      <w:lvlText w:val="o"/>
      <w:lvlJc w:val="left"/>
      <w:pPr>
        <w:ind w:left="4365" w:hanging="360"/>
      </w:pPr>
      <w:rPr>
        <w:rFonts w:ascii="Courier New" w:hAnsi="Courier New" w:cs="Courier New" w:hint="default"/>
      </w:rPr>
    </w:lvl>
    <w:lvl w:ilvl="5" w:tplc="100A0005" w:tentative="1">
      <w:start w:val="1"/>
      <w:numFmt w:val="bullet"/>
      <w:lvlText w:val=""/>
      <w:lvlJc w:val="left"/>
      <w:pPr>
        <w:ind w:left="5085" w:hanging="360"/>
      </w:pPr>
      <w:rPr>
        <w:rFonts w:ascii="Wingdings" w:hAnsi="Wingdings" w:hint="default"/>
      </w:rPr>
    </w:lvl>
    <w:lvl w:ilvl="6" w:tplc="100A0001" w:tentative="1">
      <w:start w:val="1"/>
      <w:numFmt w:val="bullet"/>
      <w:lvlText w:val=""/>
      <w:lvlJc w:val="left"/>
      <w:pPr>
        <w:ind w:left="5805" w:hanging="360"/>
      </w:pPr>
      <w:rPr>
        <w:rFonts w:ascii="Symbol" w:hAnsi="Symbol" w:hint="default"/>
      </w:rPr>
    </w:lvl>
    <w:lvl w:ilvl="7" w:tplc="100A0003" w:tentative="1">
      <w:start w:val="1"/>
      <w:numFmt w:val="bullet"/>
      <w:lvlText w:val="o"/>
      <w:lvlJc w:val="left"/>
      <w:pPr>
        <w:ind w:left="6525" w:hanging="360"/>
      </w:pPr>
      <w:rPr>
        <w:rFonts w:ascii="Courier New" w:hAnsi="Courier New" w:cs="Courier New" w:hint="default"/>
      </w:rPr>
    </w:lvl>
    <w:lvl w:ilvl="8" w:tplc="100A0005" w:tentative="1">
      <w:start w:val="1"/>
      <w:numFmt w:val="bullet"/>
      <w:lvlText w:val=""/>
      <w:lvlJc w:val="left"/>
      <w:pPr>
        <w:ind w:left="7245" w:hanging="360"/>
      </w:pPr>
      <w:rPr>
        <w:rFonts w:ascii="Wingdings" w:hAnsi="Wingdings" w:hint="default"/>
      </w:rPr>
    </w:lvl>
  </w:abstractNum>
  <w:abstractNum w:abstractNumId="5">
    <w:nsid w:val="4D67270B"/>
    <w:multiLevelType w:val="hybridMultilevel"/>
    <w:tmpl w:val="A79EF2D8"/>
    <w:lvl w:ilvl="0" w:tplc="AE5232D8">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6">
    <w:nsid w:val="6077077D"/>
    <w:multiLevelType w:val="hybridMultilevel"/>
    <w:tmpl w:val="EC5ABA86"/>
    <w:lvl w:ilvl="0" w:tplc="3F2A815A">
      <w:start w:val="1"/>
      <w:numFmt w:val="upperLetter"/>
      <w:lvlText w:val="%1."/>
      <w:lvlJc w:val="left"/>
      <w:pPr>
        <w:ind w:left="936" w:hanging="360"/>
      </w:pPr>
      <w:rPr>
        <w:rFonts w:hint="default"/>
      </w:rPr>
    </w:lvl>
    <w:lvl w:ilvl="1" w:tplc="100A0019" w:tentative="1">
      <w:start w:val="1"/>
      <w:numFmt w:val="lowerLetter"/>
      <w:lvlText w:val="%2."/>
      <w:lvlJc w:val="left"/>
      <w:pPr>
        <w:ind w:left="1656" w:hanging="360"/>
      </w:pPr>
    </w:lvl>
    <w:lvl w:ilvl="2" w:tplc="100A001B" w:tentative="1">
      <w:start w:val="1"/>
      <w:numFmt w:val="lowerRoman"/>
      <w:lvlText w:val="%3."/>
      <w:lvlJc w:val="right"/>
      <w:pPr>
        <w:ind w:left="2376" w:hanging="180"/>
      </w:pPr>
    </w:lvl>
    <w:lvl w:ilvl="3" w:tplc="100A000F" w:tentative="1">
      <w:start w:val="1"/>
      <w:numFmt w:val="decimal"/>
      <w:lvlText w:val="%4."/>
      <w:lvlJc w:val="left"/>
      <w:pPr>
        <w:ind w:left="3096" w:hanging="360"/>
      </w:pPr>
    </w:lvl>
    <w:lvl w:ilvl="4" w:tplc="100A0019" w:tentative="1">
      <w:start w:val="1"/>
      <w:numFmt w:val="lowerLetter"/>
      <w:lvlText w:val="%5."/>
      <w:lvlJc w:val="left"/>
      <w:pPr>
        <w:ind w:left="3816" w:hanging="360"/>
      </w:pPr>
    </w:lvl>
    <w:lvl w:ilvl="5" w:tplc="100A001B" w:tentative="1">
      <w:start w:val="1"/>
      <w:numFmt w:val="lowerRoman"/>
      <w:lvlText w:val="%6."/>
      <w:lvlJc w:val="right"/>
      <w:pPr>
        <w:ind w:left="4536" w:hanging="180"/>
      </w:pPr>
    </w:lvl>
    <w:lvl w:ilvl="6" w:tplc="100A000F" w:tentative="1">
      <w:start w:val="1"/>
      <w:numFmt w:val="decimal"/>
      <w:lvlText w:val="%7."/>
      <w:lvlJc w:val="left"/>
      <w:pPr>
        <w:ind w:left="5256" w:hanging="360"/>
      </w:pPr>
    </w:lvl>
    <w:lvl w:ilvl="7" w:tplc="100A0019" w:tentative="1">
      <w:start w:val="1"/>
      <w:numFmt w:val="lowerLetter"/>
      <w:lvlText w:val="%8."/>
      <w:lvlJc w:val="left"/>
      <w:pPr>
        <w:ind w:left="5976" w:hanging="360"/>
      </w:pPr>
    </w:lvl>
    <w:lvl w:ilvl="8" w:tplc="100A001B" w:tentative="1">
      <w:start w:val="1"/>
      <w:numFmt w:val="lowerRoman"/>
      <w:lvlText w:val="%9."/>
      <w:lvlJc w:val="right"/>
      <w:pPr>
        <w:ind w:left="6696" w:hanging="180"/>
      </w:pPr>
    </w:lvl>
  </w:abstractNum>
  <w:abstractNum w:abstractNumId="7">
    <w:nsid w:val="63394AB9"/>
    <w:multiLevelType w:val="multilevel"/>
    <w:tmpl w:val="9A3093B6"/>
    <w:lvl w:ilvl="0">
      <w:start w:val="1"/>
      <w:numFmt w:val="upperRoman"/>
      <w:pStyle w:val="Ttulo1"/>
      <w:lvlText w:val="%1."/>
      <w:lvlJc w:val="left"/>
      <w:pPr>
        <w:tabs>
          <w:tab w:val="num" w:pos="142"/>
        </w:tabs>
        <w:ind w:left="574" w:hanging="432"/>
      </w:pPr>
      <w:rPr>
        <w:rFonts w:hint="default"/>
      </w:rPr>
    </w:lvl>
    <w:lvl w:ilvl="1">
      <w:start w:val="1"/>
      <w:numFmt w:val="upperLetter"/>
      <w:pStyle w:val="Ttulo2"/>
      <w:lvlText w:val="%2."/>
      <w:lvlJc w:val="left"/>
      <w:pPr>
        <w:tabs>
          <w:tab w:val="num" w:pos="0"/>
        </w:tabs>
        <w:ind w:left="576" w:hanging="576"/>
      </w:pPr>
      <w:rPr>
        <w:rFonts w:ascii="Times New Roman" w:hAnsi="Times New Roman" w:cs="Times New Roman" w:hint="default"/>
        <w:b/>
        <w:i w:val="0"/>
        <w:color w:val="auto"/>
      </w:rPr>
    </w:lvl>
    <w:lvl w:ilvl="2">
      <w:start w:val="1"/>
      <w:numFmt w:val="decimal"/>
      <w:pStyle w:val="Ttulo3"/>
      <w:lvlText w:val="%1.%2.%3"/>
      <w:lvlJc w:val="left"/>
      <w:pPr>
        <w:tabs>
          <w:tab w:val="num" w:pos="0"/>
        </w:tabs>
        <w:ind w:left="720" w:hanging="720"/>
      </w:pPr>
      <w:rPr>
        <w:rFonts w:hint="default"/>
      </w:rPr>
    </w:lvl>
    <w:lvl w:ilvl="3">
      <w:start w:val="1"/>
      <w:numFmt w:val="decimal"/>
      <w:pStyle w:val="Ttulo4"/>
      <w:lvlText w:val="%1.%2.%3.%4"/>
      <w:lvlJc w:val="left"/>
      <w:pPr>
        <w:tabs>
          <w:tab w:val="num" w:pos="0"/>
        </w:tabs>
        <w:ind w:left="864" w:hanging="864"/>
      </w:pPr>
      <w:rPr>
        <w:rFonts w:hint="default"/>
      </w:rPr>
    </w:lvl>
    <w:lvl w:ilvl="4">
      <w:start w:val="1"/>
      <w:numFmt w:val="decimal"/>
      <w:pStyle w:val="Ttulo5"/>
      <w:lvlText w:val="%1.%2.%3.%4.%5"/>
      <w:lvlJc w:val="left"/>
      <w:pPr>
        <w:tabs>
          <w:tab w:val="num" w:pos="0"/>
        </w:tabs>
        <w:ind w:left="1008" w:hanging="1008"/>
      </w:pPr>
      <w:rPr>
        <w:rFonts w:hint="default"/>
      </w:rPr>
    </w:lvl>
    <w:lvl w:ilvl="5">
      <w:start w:val="1"/>
      <w:numFmt w:val="decimal"/>
      <w:pStyle w:val="Ttulo6"/>
      <w:lvlText w:val="%1.%2.%3.%4.%5.%6"/>
      <w:lvlJc w:val="left"/>
      <w:pPr>
        <w:tabs>
          <w:tab w:val="num" w:pos="0"/>
        </w:tabs>
        <w:ind w:left="1152" w:hanging="1152"/>
      </w:pPr>
      <w:rPr>
        <w:rFonts w:hint="default"/>
      </w:rPr>
    </w:lvl>
    <w:lvl w:ilvl="6">
      <w:start w:val="1"/>
      <w:numFmt w:val="decimal"/>
      <w:pStyle w:val="Ttulo7"/>
      <w:lvlText w:val="%1.%2.%3.%4.%5.%6.%7"/>
      <w:lvlJc w:val="left"/>
      <w:pPr>
        <w:tabs>
          <w:tab w:val="num" w:pos="0"/>
        </w:tabs>
        <w:ind w:left="1296" w:hanging="1296"/>
      </w:pPr>
      <w:rPr>
        <w:rFonts w:hint="default"/>
      </w:rPr>
    </w:lvl>
    <w:lvl w:ilvl="7">
      <w:start w:val="1"/>
      <w:numFmt w:val="decimal"/>
      <w:pStyle w:val="Ttulo8"/>
      <w:lvlText w:val="%1.%2.%3.%4.%5.%6.%7.%8"/>
      <w:lvlJc w:val="left"/>
      <w:pPr>
        <w:tabs>
          <w:tab w:val="num" w:pos="0"/>
        </w:tabs>
        <w:ind w:left="1440" w:hanging="1440"/>
      </w:pPr>
      <w:rPr>
        <w:rFonts w:hint="default"/>
      </w:rPr>
    </w:lvl>
    <w:lvl w:ilvl="8">
      <w:start w:val="1"/>
      <w:numFmt w:val="decimal"/>
      <w:pStyle w:val="Ttulo9"/>
      <w:lvlText w:val="%1.%2.%3.%4.%5.%6.%7.%8.%9"/>
      <w:lvlJc w:val="left"/>
      <w:pPr>
        <w:tabs>
          <w:tab w:val="num" w:pos="0"/>
        </w:tabs>
        <w:ind w:left="1584" w:hanging="1584"/>
      </w:pPr>
      <w:rPr>
        <w:rFonts w:hint="default"/>
      </w:rPr>
    </w:lvl>
  </w:abstractNum>
  <w:abstractNum w:abstractNumId="8">
    <w:nsid w:val="64677D39"/>
    <w:multiLevelType w:val="hybridMultilevel"/>
    <w:tmpl w:val="91A292A2"/>
    <w:lvl w:ilvl="0" w:tplc="734499C8">
      <w:start w:val="1"/>
      <w:numFmt w:val="upperRoman"/>
      <w:lvlText w:val="%1."/>
      <w:lvlJc w:val="left"/>
      <w:pPr>
        <w:ind w:left="765" w:hanging="720"/>
      </w:pPr>
      <w:rPr>
        <w:rFonts w:hint="default"/>
      </w:rPr>
    </w:lvl>
    <w:lvl w:ilvl="1" w:tplc="100A0019">
      <w:start w:val="1"/>
      <w:numFmt w:val="lowerLetter"/>
      <w:lvlText w:val="%2."/>
      <w:lvlJc w:val="left"/>
      <w:pPr>
        <w:ind w:left="1440" w:hanging="360"/>
      </w:pPr>
    </w:lvl>
    <w:lvl w:ilvl="2" w:tplc="100A001B">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nsid w:val="66D831D0"/>
    <w:multiLevelType w:val="hybridMultilevel"/>
    <w:tmpl w:val="1E8C631E"/>
    <w:lvl w:ilvl="0" w:tplc="100A0019">
      <w:start w:val="1"/>
      <w:numFmt w:val="lowerLetter"/>
      <w:lvlText w:val="%1."/>
      <w:lvlJc w:val="left"/>
      <w:pPr>
        <w:ind w:left="144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6D594AEC"/>
    <w:multiLevelType w:val="multilevel"/>
    <w:tmpl w:val="05EA2478"/>
    <w:lvl w:ilvl="0">
      <w:start w:val="1"/>
      <w:numFmt w:val="upperRoman"/>
      <w:lvlText w:val="%1."/>
      <w:lvlJc w:val="left"/>
      <w:pPr>
        <w:tabs>
          <w:tab w:val="num" w:pos="142"/>
        </w:tabs>
        <w:ind w:left="574" w:hanging="432"/>
      </w:pPr>
      <w:rPr>
        <w:rFonts w:hint="default"/>
      </w:rPr>
    </w:lvl>
    <w:lvl w:ilvl="1">
      <w:start w:val="1"/>
      <w:numFmt w:val="upperLetter"/>
      <w:lvlText w:val="%2."/>
      <w:lvlJc w:val="left"/>
      <w:pPr>
        <w:tabs>
          <w:tab w:val="num" w:pos="0"/>
        </w:tabs>
        <w:ind w:left="576" w:hanging="576"/>
      </w:pPr>
      <w:rPr>
        <w:rFonts w:hint="default"/>
        <w:b/>
        <w:i w:val="0"/>
        <w:color w:val="auto"/>
      </w:rPr>
    </w:lvl>
    <w:lvl w:ilvl="2">
      <w:start w:val="1"/>
      <w:numFmt w:val="decimal"/>
      <w:lvlText w:val="%1.%2.%3"/>
      <w:lvlJc w:val="left"/>
      <w:pPr>
        <w:tabs>
          <w:tab w:val="num" w:pos="0"/>
        </w:tabs>
        <w:ind w:left="720" w:hanging="720"/>
      </w:pPr>
      <w:rPr>
        <w:rFonts w:hint="default"/>
      </w:rPr>
    </w:lvl>
    <w:lvl w:ilvl="3">
      <w:start w:val="1"/>
      <w:numFmt w:val="decimal"/>
      <w:lvlText w:val="%1.%2.%3.%4"/>
      <w:lvlJc w:val="left"/>
      <w:pPr>
        <w:tabs>
          <w:tab w:val="num" w:pos="0"/>
        </w:tabs>
        <w:ind w:left="864" w:hanging="864"/>
      </w:pPr>
      <w:rPr>
        <w:rFonts w:hint="default"/>
      </w:rPr>
    </w:lvl>
    <w:lvl w:ilvl="4">
      <w:start w:val="1"/>
      <w:numFmt w:val="decimal"/>
      <w:lvlText w:val="%1.%2.%3.%4.%5"/>
      <w:lvlJc w:val="left"/>
      <w:pPr>
        <w:tabs>
          <w:tab w:val="num" w:pos="0"/>
        </w:tabs>
        <w:ind w:left="1008" w:hanging="1008"/>
      </w:pPr>
      <w:rPr>
        <w:rFonts w:hint="default"/>
      </w:rPr>
    </w:lvl>
    <w:lvl w:ilvl="5">
      <w:start w:val="1"/>
      <w:numFmt w:val="decimal"/>
      <w:lvlText w:val="%1.%2.%3.%4.%5.%6"/>
      <w:lvlJc w:val="left"/>
      <w:pPr>
        <w:tabs>
          <w:tab w:val="num" w:pos="0"/>
        </w:tabs>
        <w:ind w:left="1152" w:hanging="1152"/>
      </w:pPr>
      <w:rPr>
        <w:rFonts w:hint="default"/>
      </w:rPr>
    </w:lvl>
    <w:lvl w:ilvl="6">
      <w:start w:val="1"/>
      <w:numFmt w:val="decimal"/>
      <w:lvlText w:val="%1.%2.%3.%4.%5.%6.%7"/>
      <w:lvlJc w:val="left"/>
      <w:pPr>
        <w:tabs>
          <w:tab w:val="num" w:pos="0"/>
        </w:tabs>
        <w:ind w:left="1296" w:hanging="1296"/>
      </w:pPr>
      <w:rPr>
        <w:rFonts w:hint="default"/>
      </w:rPr>
    </w:lvl>
    <w:lvl w:ilvl="7">
      <w:start w:val="1"/>
      <w:numFmt w:val="decimal"/>
      <w:lvlText w:val="%1.%2.%3.%4.%5.%6.%7.%8"/>
      <w:lvlJc w:val="left"/>
      <w:pPr>
        <w:tabs>
          <w:tab w:val="num" w:pos="0"/>
        </w:tabs>
        <w:ind w:left="1440" w:hanging="1440"/>
      </w:pPr>
      <w:rPr>
        <w:rFonts w:hint="default"/>
      </w:rPr>
    </w:lvl>
    <w:lvl w:ilvl="8">
      <w:start w:val="1"/>
      <w:numFmt w:val="decimal"/>
      <w:lvlText w:val="%1.%2.%3.%4.%5.%6.%7.%8.%9"/>
      <w:lvlJc w:val="left"/>
      <w:pPr>
        <w:tabs>
          <w:tab w:val="num" w:pos="0"/>
        </w:tabs>
        <w:ind w:left="1584" w:hanging="1584"/>
      </w:pPr>
      <w:rPr>
        <w:rFonts w:hint="default"/>
      </w:rPr>
    </w:lvl>
  </w:abstractNum>
  <w:abstractNum w:abstractNumId="11">
    <w:nsid w:val="77F07475"/>
    <w:multiLevelType w:val="hybridMultilevel"/>
    <w:tmpl w:val="19DEB22C"/>
    <w:lvl w:ilvl="0" w:tplc="100A0013">
      <w:start w:val="1"/>
      <w:numFmt w:val="upperRoman"/>
      <w:lvlText w:val="%1."/>
      <w:lvlJc w:val="right"/>
      <w:pPr>
        <w:ind w:left="927" w:hanging="360"/>
      </w:pPr>
    </w:lvl>
    <w:lvl w:ilvl="1" w:tplc="100A0019">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num w:numId="1">
    <w:abstractNumId w:val="7"/>
  </w:num>
  <w:num w:numId="2">
    <w:abstractNumId w:val="5"/>
  </w:num>
  <w:num w:numId="3">
    <w:abstractNumId w:val="2"/>
  </w:num>
  <w:num w:numId="4">
    <w:abstractNumId w:val="8"/>
  </w:num>
  <w:num w:numId="5">
    <w:abstractNumId w:val="4"/>
  </w:num>
  <w:num w:numId="6">
    <w:abstractNumId w:val="3"/>
  </w:num>
  <w:num w:numId="7">
    <w:abstractNumId w:val="9"/>
  </w:num>
  <w:num w:numId="8">
    <w:abstractNumId w:val="1"/>
  </w:num>
  <w:num w:numId="9">
    <w:abstractNumId w:val="11"/>
  </w:num>
  <w:num w:numId="10">
    <w:abstractNumId w:val="10"/>
  </w:num>
  <w:num w:numId="11">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28F6"/>
    <w:rsid w:val="00000271"/>
    <w:rsid w:val="00001501"/>
    <w:rsid w:val="000017DD"/>
    <w:rsid w:val="00001941"/>
    <w:rsid w:val="00001CA7"/>
    <w:rsid w:val="00001D79"/>
    <w:rsid w:val="00001F68"/>
    <w:rsid w:val="000026A6"/>
    <w:rsid w:val="00002C71"/>
    <w:rsid w:val="00002F20"/>
    <w:rsid w:val="00005564"/>
    <w:rsid w:val="00006C7E"/>
    <w:rsid w:val="00007971"/>
    <w:rsid w:val="00011436"/>
    <w:rsid w:val="00011C9C"/>
    <w:rsid w:val="000157AE"/>
    <w:rsid w:val="000166C1"/>
    <w:rsid w:val="00017B3B"/>
    <w:rsid w:val="00021644"/>
    <w:rsid w:val="000221D5"/>
    <w:rsid w:val="000242C7"/>
    <w:rsid w:val="000249ED"/>
    <w:rsid w:val="00025284"/>
    <w:rsid w:val="00025E2C"/>
    <w:rsid w:val="000270F6"/>
    <w:rsid w:val="000335A6"/>
    <w:rsid w:val="000339BE"/>
    <w:rsid w:val="00034967"/>
    <w:rsid w:val="0003552B"/>
    <w:rsid w:val="000355C0"/>
    <w:rsid w:val="00036623"/>
    <w:rsid w:val="00036E4C"/>
    <w:rsid w:val="0003764E"/>
    <w:rsid w:val="00041492"/>
    <w:rsid w:val="000417AF"/>
    <w:rsid w:val="000420E4"/>
    <w:rsid w:val="00042B41"/>
    <w:rsid w:val="00046E3F"/>
    <w:rsid w:val="00047128"/>
    <w:rsid w:val="00047418"/>
    <w:rsid w:val="00050464"/>
    <w:rsid w:val="00050D2F"/>
    <w:rsid w:val="000510F7"/>
    <w:rsid w:val="000514DA"/>
    <w:rsid w:val="000520A7"/>
    <w:rsid w:val="00053106"/>
    <w:rsid w:val="00053B04"/>
    <w:rsid w:val="0005403E"/>
    <w:rsid w:val="000541ED"/>
    <w:rsid w:val="000562A1"/>
    <w:rsid w:val="0005699A"/>
    <w:rsid w:val="00057F62"/>
    <w:rsid w:val="000621A0"/>
    <w:rsid w:val="00062367"/>
    <w:rsid w:val="0006319B"/>
    <w:rsid w:val="00065E12"/>
    <w:rsid w:val="00067496"/>
    <w:rsid w:val="00067EA3"/>
    <w:rsid w:val="000704E3"/>
    <w:rsid w:val="00071A03"/>
    <w:rsid w:val="00071D18"/>
    <w:rsid w:val="00073C9A"/>
    <w:rsid w:val="00073CB5"/>
    <w:rsid w:val="000753F2"/>
    <w:rsid w:val="000763E5"/>
    <w:rsid w:val="00076496"/>
    <w:rsid w:val="000775C1"/>
    <w:rsid w:val="00077FDD"/>
    <w:rsid w:val="00080461"/>
    <w:rsid w:val="00080D50"/>
    <w:rsid w:val="000817BB"/>
    <w:rsid w:val="00084505"/>
    <w:rsid w:val="000854CD"/>
    <w:rsid w:val="00085B6E"/>
    <w:rsid w:val="00085EBA"/>
    <w:rsid w:val="0008753F"/>
    <w:rsid w:val="00087544"/>
    <w:rsid w:val="00087634"/>
    <w:rsid w:val="00090253"/>
    <w:rsid w:val="00093969"/>
    <w:rsid w:val="00093ABA"/>
    <w:rsid w:val="00094BD4"/>
    <w:rsid w:val="00095237"/>
    <w:rsid w:val="00095E08"/>
    <w:rsid w:val="000967ED"/>
    <w:rsid w:val="00096966"/>
    <w:rsid w:val="000975B9"/>
    <w:rsid w:val="000A0AA2"/>
    <w:rsid w:val="000A2F7E"/>
    <w:rsid w:val="000A36B5"/>
    <w:rsid w:val="000A3EE5"/>
    <w:rsid w:val="000A54A7"/>
    <w:rsid w:val="000A698B"/>
    <w:rsid w:val="000A6D5E"/>
    <w:rsid w:val="000B006C"/>
    <w:rsid w:val="000B0E01"/>
    <w:rsid w:val="000B3701"/>
    <w:rsid w:val="000B4F22"/>
    <w:rsid w:val="000B60B9"/>
    <w:rsid w:val="000B6691"/>
    <w:rsid w:val="000B7AA2"/>
    <w:rsid w:val="000C0344"/>
    <w:rsid w:val="000C0F1D"/>
    <w:rsid w:val="000C1014"/>
    <w:rsid w:val="000C1A25"/>
    <w:rsid w:val="000C1A68"/>
    <w:rsid w:val="000C1D4D"/>
    <w:rsid w:val="000C279B"/>
    <w:rsid w:val="000C29D6"/>
    <w:rsid w:val="000C2A92"/>
    <w:rsid w:val="000C37EA"/>
    <w:rsid w:val="000C3FEC"/>
    <w:rsid w:val="000C40AC"/>
    <w:rsid w:val="000C4AD7"/>
    <w:rsid w:val="000C4D67"/>
    <w:rsid w:val="000C53BE"/>
    <w:rsid w:val="000C6E8D"/>
    <w:rsid w:val="000C75FE"/>
    <w:rsid w:val="000D0A1C"/>
    <w:rsid w:val="000D10F4"/>
    <w:rsid w:val="000D110E"/>
    <w:rsid w:val="000D1BCB"/>
    <w:rsid w:val="000D2458"/>
    <w:rsid w:val="000D3BEF"/>
    <w:rsid w:val="000D4A27"/>
    <w:rsid w:val="000D54D4"/>
    <w:rsid w:val="000D55A3"/>
    <w:rsid w:val="000D5D6E"/>
    <w:rsid w:val="000D65AA"/>
    <w:rsid w:val="000D66BE"/>
    <w:rsid w:val="000D6F31"/>
    <w:rsid w:val="000D7E66"/>
    <w:rsid w:val="000E0470"/>
    <w:rsid w:val="000E1F0E"/>
    <w:rsid w:val="000E2190"/>
    <w:rsid w:val="000E296B"/>
    <w:rsid w:val="000E340D"/>
    <w:rsid w:val="000E34DD"/>
    <w:rsid w:val="000E3B67"/>
    <w:rsid w:val="000E3F15"/>
    <w:rsid w:val="000E43D0"/>
    <w:rsid w:val="000E448D"/>
    <w:rsid w:val="000E4B70"/>
    <w:rsid w:val="000E4F2D"/>
    <w:rsid w:val="000E5EFC"/>
    <w:rsid w:val="000E6666"/>
    <w:rsid w:val="000E695D"/>
    <w:rsid w:val="000E7D80"/>
    <w:rsid w:val="000F0CC7"/>
    <w:rsid w:val="000F1729"/>
    <w:rsid w:val="000F274D"/>
    <w:rsid w:val="000F304B"/>
    <w:rsid w:val="000F31D3"/>
    <w:rsid w:val="000F3888"/>
    <w:rsid w:val="000F476E"/>
    <w:rsid w:val="000F61DA"/>
    <w:rsid w:val="000F6870"/>
    <w:rsid w:val="000F7C84"/>
    <w:rsid w:val="00100FA2"/>
    <w:rsid w:val="00102469"/>
    <w:rsid w:val="001038B1"/>
    <w:rsid w:val="001050B3"/>
    <w:rsid w:val="00105181"/>
    <w:rsid w:val="00105EE8"/>
    <w:rsid w:val="00106CF0"/>
    <w:rsid w:val="0011418E"/>
    <w:rsid w:val="001156FE"/>
    <w:rsid w:val="0011619F"/>
    <w:rsid w:val="0011651D"/>
    <w:rsid w:val="00116FE3"/>
    <w:rsid w:val="00117227"/>
    <w:rsid w:val="00117403"/>
    <w:rsid w:val="00120B63"/>
    <w:rsid w:val="00123324"/>
    <w:rsid w:val="0012373F"/>
    <w:rsid w:val="00124E70"/>
    <w:rsid w:val="00125647"/>
    <w:rsid w:val="001261B0"/>
    <w:rsid w:val="00126FA0"/>
    <w:rsid w:val="00126FB8"/>
    <w:rsid w:val="00130067"/>
    <w:rsid w:val="00130D51"/>
    <w:rsid w:val="00131277"/>
    <w:rsid w:val="00131323"/>
    <w:rsid w:val="00131BC0"/>
    <w:rsid w:val="00133286"/>
    <w:rsid w:val="001335CF"/>
    <w:rsid w:val="001339AA"/>
    <w:rsid w:val="00135CD5"/>
    <w:rsid w:val="00136B62"/>
    <w:rsid w:val="00136F4B"/>
    <w:rsid w:val="00137200"/>
    <w:rsid w:val="0014061E"/>
    <w:rsid w:val="00142A1E"/>
    <w:rsid w:val="001432F1"/>
    <w:rsid w:val="0014364E"/>
    <w:rsid w:val="0014365E"/>
    <w:rsid w:val="001442F5"/>
    <w:rsid w:val="00147391"/>
    <w:rsid w:val="001473BD"/>
    <w:rsid w:val="00150099"/>
    <w:rsid w:val="001511EB"/>
    <w:rsid w:val="00152A09"/>
    <w:rsid w:val="00153337"/>
    <w:rsid w:val="00153867"/>
    <w:rsid w:val="00153C4F"/>
    <w:rsid w:val="00157F62"/>
    <w:rsid w:val="00160059"/>
    <w:rsid w:val="001601B9"/>
    <w:rsid w:val="00160835"/>
    <w:rsid w:val="00160A89"/>
    <w:rsid w:val="001611FC"/>
    <w:rsid w:val="00163055"/>
    <w:rsid w:val="00163A5E"/>
    <w:rsid w:val="00164BE7"/>
    <w:rsid w:val="00164C3E"/>
    <w:rsid w:val="0016516D"/>
    <w:rsid w:val="001667EB"/>
    <w:rsid w:val="001674D6"/>
    <w:rsid w:val="00167975"/>
    <w:rsid w:val="00170963"/>
    <w:rsid w:val="00170E9E"/>
    <w:rsid w:val="00171991"/>
    <w:rsid w:val="00171BA9"/>
    <w:rsid w:val="001721E2"/>
    <w:rsid w:val="00172283"/>
    <w:rsid w:val="00173EAE"/>
    <w:rsid w:val="001749CE"/>
    <w:rsid w:val="0017533C"/>
    <w:rsid w:val="0017542C"/>
    <w:rsid w:val="001756B5"/>
    <w:rsid w:val="00175C23"/>
    <w:rsid w:val="0018006E"/>
    <w:rsid w:val="00180854"/>
    <w:rsid w:val="00180A0E"/>
    <w:rsid w:val="00181958"/>
    <w:rsid w:val="00182317"/>
    <w:rsid w:val="001829A5"/>
    <w:rsid w:val="00182E50"/>
    <w:rsid w:val="001843DB"/>
    <w:rsid w:val="001879A9"/>
    <w:rsid w:val="00187E1E"/>
    <w:rsid w:val="0019039C"/>
    <w:rsid w:val="00191216"/>
    <w:rsid w:val="0019180E"/>
    <w:rsid w:val="00191AE8"/>
    <w:rsid w:val="0019245D"/>
    <w:rsid w:val="001924AD"/>
    <w:rsid w:val="00193D2C"/>
    <w:rsid w:val="00193E06"/>
    <w:rsid w:val="00194D4C"/>
    <w:rsid w:val="00195D8B"/>
    <w:rsid w:val="001966ED"/>
    <w:rsid w:val="001A137C"/>
    <w:rsid w:val="001A2E58"/>
    <w:rsid w:val="001A50D4"/>
    <w:rsid w:val="001A5C6B"/>
    <w:rsid w:val="001A613A"/>
    <w:rsid w:val="001A6D78"/>
    <w:rsid w:val="001B07B2"/>
    <w:rsid w:val="001B2234"/>
    <w:rsid w:val="001B39E9"/>
    <w:rsid w:val="001B3ED0"/>
    <w:rsid w:val="001B4259"/>
    <w:rsid w:val="001B4C14"/>
    <w:rsid w:val="001B4D3D"/>
    <w:rsid w:val="001B5A69"/>
    <w:rsid w:val="001B656E"/>
    <w:rsid w:val="001B69BD"/>
    <w:rsid w:val="001B713E"/>
    <w:rsid w:val="001B7DD0"/>
    <w:rsid w:val="001C02EF"/>
    <w:rsid w:val="001C1168"/>
    <w:rsid w:val="001C2713"/>
    <w:rsid w:val="001C2DAF"/>
    <w:rsid w:val="001C4C02"/>
    <w:rsid w:val="001C5216"/>
    <w:rsid w:val="001C6241"/>
    <w:rsid w:val="001C78D8"/>
    <w:rsid w:val="001C795D"/>
    <w:rsid w:val="001C7CA7"/>
    <w:rsid w:val="001C7CDF"/>
    <w:rsid w:val="001D0B47"/>
    <w:rsid w:val="001D0B5B"/>
    <w:rsid w:val="001D2E72"/>
    <w:rsid w:val="001D360A"/>
    <w:rsid w:val="001D4677"/>
    <w:rsid w:val="001D5D2B"/>
    <w:rsid w:val="001D7324"/>
    <w:rsid w:val="001D7DFC"/>
    <w:rsid w:val="001E02BB"/>
    <w:rsid w:val="001E1597"/>
    <w:rsid w:val="001E1E63"/>
    <w:rsid w:val="001E22DF"/>
    <w:rsid w:val="001E28A0"/>
    <w:rsid w:val="001E2EE5"/>
    <w:rsid w:val="001E2F96"/>
    <w:rsid w:val="001E3DB7"/>
    <w:rsid w:val="001E579E"/>
    <w:rsid w:val="001E6DEE"/>
    <w:rsid w:val="001E77E9"/>
    <w:rsid w:val="001F0BC8"/>
    <w:rsid w:val="001F107D"/>
    <w:rsid w:val="001F13DC"/>
    <w:rsid w:val="001F22BB"/>
    <w:rsid w:val="001F2900"/>
    <w:rsid w:val="001F2A2B"/>
    <w:rsid w:val="001F5849"/>
    <w:rsid w:val="001F58C5"/>
    <w:rsid w:val="001F5C25"/>
    <w:rsid w:val="001F73C3"/>
    <w:rsid w:val="001F74FB"/>
    <w:rsid w:val="002029C9"/>
    <w:rsid w:val="00203B17"/>
    <w:rsid w:val="002041A8"/>
    <w:rsid w:val="00204263"/>
    <w:rsid w:val="00204CE1"/>
    <w:rsid w:val="00205BBD"/>
    <w:rsid w:val="002068CC"/>
    <w:rsid w:val="00206BE7"/>
    <w:rsid w:val="002139A8"/>
    <w:rsid w:val="00215592"/>
    <w:rsid w:val="002155B8"/>
    <w:rsid w:val="0021580A"/>
    <w:rsid w:val="0021669B"/>
    <w:rsid w:val="00216895"/>
    <w:rsid w:val="00216E8D"/>
    <w:rsid w:val="00216EFF"/>
    <w:rsid w:val="002207EF"/>
    <w:rsid w:val="002213F6"/>
    <w:rsid w:val="002215DA"/>
    <w:rsid w:val="00221D8E"/>
    <w:rsid w:val="00221E17"/>
    <w:rsid w:val="00222913"/>
    <w:rsid w:val="002239F6"/>
    <w:rsid w:val="00226155"/>
    <w:rsid w:val="0022647B"/>
    <w:rsid w:val="00226658"/>
    <w:rsid w:val="00226FB9"/>
    <w:rsid w:val="00227905"/>
    <w:rsid w:val="00227CBB"/>
    <w:rsid w:val="0023230B"/>
    <w:rsid w:val="002339F0"/>
    <w:rsid w:val="00235E44"/>
    <w:rsid w:val="002403F9"/>
    <w:rsid w:val="00240A8C"/>
    <w:rsid w:val="00240C29"/>
    <w:rsid w:val="0024119E"/>
    <w:rsid w:val="002414D8"/>
    <w:rsid w:val="00241ECD"/>
    <w:rsid w:val="00242C14"/>
    <w:rsid w:val="00242EE2"/>
    <w:rsid w:val="00243EA4"/>
    <w:rsid w:val="00244244"/>
    <w:rsid w:val="0024636C"/>
    <w:rsid w:val="00246614"/>
    <w:rsid w:val="00246B8D"/>
    <w:rsid w:val="00250267"/>
    <w:rsid w:val="00250BE9"/>
    <w:rsid w:val="0025124D"/>
    <w:rsid w:val="00251639"/>
    <w:rsid w:val="0025165B"/>
    <w:rsid w:val="002518AE"/>
    <w:rsid w:val="00251E1C"/>
    <w:rsid w:val="00253236"/>
    <w:rsid w:val="00253654"/>
    <w:rsid w:val="00254602"/>
    <w:rsid w:val="00255AF8"/>
    <w:rsid w:val="00256FA8"/>
    <w:rsid w:val="0025776C"/>
    <w:rsid w:val="00257A94"/>
    <w:rsid w:val="00260546"/>
    <w:rsid w:val="00261D9E"/>
    <w:rsid w:val="00263435"/>
    <w:rsid w:val="00263C1E"/>
    <w:rsid w:val="00264910"/>
    <w:rsid w:val="00265D05"/>
    <w:rsid w:val="00265DA8"/>
    <w:rsid w:val="00267872"/>
    <w:rsid w:val="002701B9"/>
    <w:rsid w:val="00273A93"/>
    <w:rsid w:val="00273ECB"/>
    <w:rsid w:val="0027470A"/>
    <w:rsid w:val="00274AF0"/>
    <w:rsid w:val="00274F39"/>
    <w:rsid w:val="00275623"/>
    <w:rsid w:val="00276DE0"/>
    <w:rsid w:val="00281FCD"/>
    <w:rsid w:val="00284A00"/>
    <w:rsid w:val="0028530C"/>
    <w:rsid w:val="002861B8"/>
    <w:rsid w:val="00286A67"/>
    <w:rsid w:val="00286C0A"/>
    <w:rsid w:val="00287473"/>
    <w:rsid w:val="00287D56"/>
    <w:rsid w:val="00287F49"/>
    <w:rsid w:val="002906B2"/>
    <w:rsid w:val="00292D4F"/>
    <w:rsid w:val="00292F2F"/>
    <w:rsid w:val="0029379A"/>
    <w:rsid w:val="00293C23"/>
    <w:rsid w:val="00294F1B"/>
    <w:rsid w:val="00295F6D"/>
    <w:rsid w:val="0029692B"/>
    <w:rsid w:val="00296BB6"/>
    <w:rsid w:val="002978A7"/>
    <w:rsid w:val="00297931"/>
    <w:rsid w:val="002A0B27"/>
    <w:rsid w:val="002A46ED"/>
    <w:rsid w:val="002A57FD"/>
    <w:rsid w:val="002A5E8F"/>
    <w:rsid w:val="002A6F3B"/>
    <w:rsid w:val="002B005D"/>
    <w:rsid w:val="002B1785"/>
    <w:rsid w:val="002B2A41"/>
    <w:rsid w:val="002B303B"/>
    <w:rsid w:val="002B3F43"/>
    <w:rsid w:val="002B44C0"/>
    <w:rsid w:val="002B46C1"/>
    <w:rsid w:val="002B5EF3"/>
    <w:rsid w:val="002B62DF"/>
    <w:rsid w:val="002B7181"/>
    <w:rsid w:val="002B7618"/>
    <w:rsid w:val="002C169B"/>
    <w:rsid w:val="002C3219"/>
    <w:rsid w:val="002C3647"/>
    <w:rsid w:val="002C3AB7"/>
    <w:rsid w:val="002C3D99"/>
    <w:rsid w:val="002C49BF"/>
    <w:rsid w:val="002C5E93"/>
    <w:rsid w:val="002C6B76"/>
    <w:rsid w:val="002C7DD6"/>
    <w:rsid w:val="002D2C3A"/>
    <w:rsid w:val="002D76B6"/>
    <w:rsid w:val="002D786C"/>
    <w:rsid w:val="002E073E"/>
    <w:rsid w:val="002E0D7D"/>
    <w:rsid w:val="002E1458"/>
    <w:rsid w:val="002E21A2"/>
    <w:rsid w:val="002E265C"/>
    <w:rsid w:val="002E2D91"/>
    <w:rsid w:val="002E31F9"/>
    <w:rsid w:val="002E3253"/>
    <w:rsid w:val="002E5B6B"/>
    <w:rsid w:val="002F3446"/>
    <w:rsid w:val="002F3B68"/>
    <w:rsid w:val="002F4175"/>
    <w:rsid w:val="002F4543"/>
    <w:rsid w:val="002F5528"/>
    <w:rsid w:val="002F747D"/>
    <w:rsid w:val="003007C7"/>
    <w:rsid w:val="00300FD8"/>
    <w:rsid w:val="00302458"/>
    <w:rsid w:val="003024D7"/>
    <w:rsid w:val="003031DB"/>
    <w:rsid w:val="00303437"/>
    <w:rsid w:val="00304A90"/>
    <w:rsid w:val="00307204"/>
    <w:rsid w:val="003075D1"/>
    <w:rsid w:val="00307AFF"/>
    <w:rsid w:val="00310AC7"/>
    <w:rsid w:val="003115D1"/>
    <w:rsid w:val="003115F3"/>
    <w:rsid w:val="00312D01"/>
    <w:rsid w:val="00312EB0"/>
    <w:rsid w:val="003132DD"/>
    <w:rsid w:val="00314F6E"/>
    <w:rsid w:val="00315303"/>
    <w:rsid w:val="00315A90"/>
    <w:rsid w:val="003162F2"/>
    <w:rsid w:val="003163CB"/>
    <w:rsid w:val="00316541"/>
    <w:rsid w:val="00316581"/>
    <w:rsid w:val="003211CD"/>
    <w:rsid w:val="00321356"/>
    <w:rsid w:val="00321934"/>
    <w:rsid w:val="00321F48"/>
    <w:rsid w:val="00322B9E"/>
    <w:rsid w:val="00324198"/>
    <w:rsid w:val="00324A91"/>
    <w:rsid w:val="00324F07"/>
    <w:rsid w:val="0032643F"/>
    <w:rsid w:val="003274F7"/>
    <w:rsid w:val="0033026A"/>
    <w:rsid w:val="00330A02"/>
    <w:rsid w:val="00332708"/>
    <w:rsid w:val="003335DD"/>
    <w:rsid w:val="00333AB5"/>
    <w:rsid w:val="003350FF"/>
    <w:rsid w:val="003365B1"/>
    <w:rsid w:val="00337FB4"/>
    <w:rsid w:val="00341E49"/>
    <w:rsid w:val="0034304B"/>
    <w:rsid w:val="0034314F"/>
    <w:rsid w:val="003438B7"/>
    <w:rsid w:val="00343CFB"/>
    <w:rsid w:val="00343FF3"/>
    <w:rsid w:val="00344D61"/>
    <w:rsid w:val="00347C7E"/>
    <w:rsid w:val="00347FB7"/>
    <w:rsid w:val="00350285"/>
    <w:rsid w:val="00350C28"/>
    <w:rsid w:val="00351989"/>
    <w:rsid w:val="00351F24"/>
    <w:rsid w:val="00352B41"/>
    <w:rsid w:val="00352DE7"/>
    <w:rsid w:val="00352FA1"/>
    <w:rsid w:val="0035381E"/>
    <w:rsid w:val="00355326"/>
    <w:rsid w:val="00355A7A"/>
    <w:rsid w:val="00355C28"/>
    <w:rsid w:val="003563D1"/>
    <w:rsid w:val="00356BF7"/>
    <w:rsid w:val="00356E86"/>
    <w:rsid w:val="00356F12"/>
    <w:rsid w:val="0035762A"/>
    <w:rsid w:val="00360013"/>
    <w:rsid w:val="003608EE"/>
    <w:rsid w:val="00361AE8"/>
    <w:rsid w:val="003637E9"/>
    <w:rsid w:val="00363B6B"/>
    <w:rsid w:val="00363F31"/>
    <w:rsid w:val="00364A3A"/>
    <w:rsid w:val="00364B64"/>
    <w:rsid w:val="00365061"/>
    <w:rsid w:val="00365474"/>
    <w:rsid w:val="003662BA"/>
    <w:rsid w:val="0036693C"/>
    <w:rsid w:val="003679D2"/>
    <w:rsid w:val="0037364C"/>
    <w:rsid w:val="00375355"/>
    <w:rsid w:val="00375658"/>
    <w:rsid w:val="00375966"/>
    <w:rsid w:val="00375F88"/>
    <w:rsid w:val="003763AF"/>
    <w:rsid w:val="003764D0"/>
    <w:rsid w:val="00377DD9"/>
    <w:rsid w:val="00380CCC"/>
    <w:rsid w:val="00381D8B"/>
    <w:rsid w:val="0038239E"/>
    <w:rsid w:val="00382593"/>
    <w:rsid w:val="0038332D"/>
    <w:rsid w:val="00383710"/>
    <w:rsid w:val="00383CA7"/>
    <w:rsid w:val="00384199"/>
    <w:rsid w:val="00385AA1"/>
    <w:rsid w:val="00387912"/>
    <w:rsid w:val="00387CCA"/>
    <w:rsid w:val="00390CD1"/>
    <w:rsid w:val="00391CED"/>
    <w:rsid w:val="003937AC"/>
    <w:rsid w:val="00394801"/>
    <w:rsid w:val="00395AB6"/>
    <w:rsid w:val="00395D72"/>
    <w:rsid w:val="003962E6"/>
    <w:rsid w:val="003972BF"/>
    <w:rsid w:val="00397336"/>
    <w:rsid w:val="003A0258"/>
    <w:rsid w:val="003A0FF5"/>
    <w:rsid w:val="003A3DE7"/>
    <w:rsid w:val="003A5ECB"/>
    <w:rsid w:val="003A7822"/>
    <w:rsid w:val="003B0D27"/>
    <w:rsid w:val="003B0F2C"/>
    <w:rsid w:val="003B1ED3"/>
    <w:rsid w:val="003B2455"/>
    <w:rsid w:val="003B2C58"/>
    <w:rsid w:val="003B2D0D"/>
    <w:rsid w:val="003B2D1B"/>
    <w:rsid w:val="003B2ED8"/>
    <w:rsid w:val="003B3299"/>
    <w:rsid w:val="003B56A1"/>
    <w:rsid w:val="003B647D"/>
    <w:rsid w:val="003B686B"/>
    <w:rsid w:val="003C033C"/>
    <w:rsid w:val="003C0489"/>
    <w:rsid w:val="003C0613"/>
    <w:rsid w:val="003C0AC8"/>
    <w:rsid w:val="003C1260"/>
    <w:rsid w:val="003C1FEE"/>
    <w:rsid w:val="003C332C"/>
    <w:rsid w:val="003C37FA"/>
    <w:rsid w:val="003C4357"/>
    <w:rsid w:val="003C7D41"/>
    <w:rsid w:val="003D0EE1"/>
    <w:rsid w:val="003D2115"/>
    <w:rsid w:val="003D22CD"/>
    <w:rsid w:val="003D22EF"/>
    <w:rsid w:val="003D3E10"/>
    <w:rsid w:val="003E1D05"/>
    <w:rsid w:val="003E29A3"/>
    <w:rsid w:val="003E35B2"/>
    <w:rsid w:val="003E3EB2"/>
    <w:rsid w:val="003E5764"/>
    <w:rsid w:val="003E5A4E"/>
    <w:rsid w:val="003E6882"/>
    <w:rsid w:val="003F24AC"/>
    <w:rsid w:val="003F3041"/>
    <w:rsid w:val="003F4BAA"/>
    <w:rsid w:val="003F4D2D"/>
    <w:rsid w:val="003F4E01"/>
    <w:rsid w:val="003F6097"/>
    <w:rsid w:val="003F75FE"/>
    <w:rsid w:val="00401389"/>
    <w:rsid w:val="004015E2"/>
    <w:rsid w:val="0040215E"/>
    <w:rsid w:val="00404906"/>
    <w:rsid w:val="00404E7B"/>
    <w:rsid w:val="00406C70"/>
    <w:rsid w:val="00406CD9"/>
    <w:rsid w:val="00410274"/>
    <w:rsid w:val="0041158A"/>
    <w:rsid w:val="004130F6"/>
    <w:rsid w:val="004142C9"/>
    <w:rsid w:val="00414EF8"/>
    <w:rsid w:val="00415127"/>
    <w:rsid w:val="004152EF"/>
    <w:rsid w:val="00416DF2"/>
    <w:rsid w:val="00416E34"/>
    <w:rsid w:val="00416F2B"/>
    <w:rsid w:val="00417E4F"/>
    <w:rsid w:val="00422D9F"/>
    <w:rsid w:val="0042309B"/>
    <w:rsid w:val="0042346E"/>
    <w:rsid w:val="004251D6"/>
    <w:rsid w:val="004277FE"/>
    <w:rsid w:val="004304DD"/>
    <w:rsid w:val="00430CB0"/>
    <w:rsid w:val="004312A9"/>
    <w:rsid w:val="004337DE"/>
    <w:rsid w:val="00433ED8"/>
    <w:rsid w:val="004346F1"/>
    <w:rsid w:val="00434D1D"/>
    <w:rsid w:val="00435708"/>
    <w:rsid w:val="004359F2"/>
    <w:rsid w:val="00435DAF"/>
    <w:rsid w:val="00437110"/>
    <w:rsid w:val="004375AB"/>
    <w:rsid w:val="004400C6"/>
    <w:rsid w:val="00441836"/>
    <w:rsid w:val="00441F4D"/>
    <w:rsid w:val="00442314"/>
    <w:rsid w:val="0044314A"/>
    <w:rsid w:val="004440F1"/>
    <w:rsid w:val="00444AFC"/>
    <w:rsid w:val="00444FB7"/>
    <w:rsid w:val="004451F6"/>
    <w:rsid w:val="00445350"/>
    <w:rsid w:val="0044702D"/>
    <w:rsid w:val="004502D3"/>
    <w:rsid w:val="00450674"/>
    <w:rsid w:val="00450B86"/>
    <w:rsid w:val="00451BC5"/>
    <w:rsid w:val="00452325"/>
    <w:rsid w:val="00452D65"/>
    <w:rsid w:val="0045333F"/>
    <w:rsid w:val="00453502"/>
    <w:rsid w:val="00454B60"/>
    <w:rsid w:val="00455AA7"/>
    <w:rsid w:val="00457A70"/>
    <w:rsid w:val="00457F1E"/>
    <w:rsid w:val="004604F4"/>
    <w:rsid w:val="00460764"/>
    <w:rsid w:val="00460A54"/>
    <w:rsid w:val="00460B46"/>
    <w:rsid w:val="004617E0"/>
    <w:rsid w:val="00461936"/>
    <w:rsid w:val="0046447D"/>
    <w:rsid w:val="004648D4"/>
    <w:rsid w:val="00464AEB"/>
    <w:rsid w:val="004663C0"/>
    <w:rsid w:val="00467ED3"/>
    <w:rsid w:val="0047114B"/>
    <w:rsid w:val="00471408"/>
    <w:rsid w:val="00471AEC"/>
    <w:rsid w:val="004720E6"/>
    <w:rsid w:val="0047254C"/>
    <w:rsid w:val="00472614"/>
    <w:rsid w:val="00472764"/>
    <w:rsid w:val="004734DA"/>
    <w:rsid w:val="004739DD"/>
    <w:rsid w:val="004740AE"/>
    <w:rsid w:val="00475459"/>
    <w:rsid w:val="00476016"/>
    <w:rsid w:val="00476BC7"/>
    <w:rsid w:val="00477F6F"/>
    <w:rsid w:val="0048016A"/>
    <w:rsid w:val="004809DC"/>
    <w:rsid w:val="00481687"/>
    <w:rsid w:val="00482A22"/>
    <w:rsid w:val="00482D7C"/>
    <w:rsid w:val="00483CD5"/>
    <w:rsid w:val="00484063"/>
    <w:rsid w:val="00484985"/>
    <w:rsid w:val="0048768D"/>
    <w:rsid w:val="00487A81"/>
    <w:rsid w:val="004907E9"/>
    <w:rsid w:val="00490B49"/>
    <w:rsid w:val="0049117B"/>
    <w:rsid w:val="00491795"/>
    <w:rsid w:val="00491C02"/>
    <w:rsid w:val="00491F04"/>
    <w:rsid w:val="0049333C"/>
    <w:rsid w:val="00494EE3"/>
    <w:rsid w:val="00497B1C"/>
    <w:rsid w:val="00497B54"/>
    <w:rsid w:val="00497C90"/>
    <w:rsid w:val="004A0174"/>
    <w:rsid w:val="004A04A0"/>
    <w:rsid w:val="004A082F"/>
    <w:rsid w:val="004A0C3C"/>
    <w:rsid w:val="004A13A7"/>
    <w:rsid w:val="004A16D8"/>
    <w:rsid w:val="004A1D0F"/>
    <w:rsid w:val="004A215E"/>
    <w:rsid w:val="004A2E81"/>
    <w:rsid w:val="004A2F11"/>
    <w:rsid w:val="004A47A6"/>
    <w:rsid w:val="004A4980"/>
    <w:rsid w:val="004A679F"/>
    <w:rsid w:val="004B04CC"/>
    <w:rsid w:val="004B1436"/>
    <w:rsid w:val="004B1701"/>
    <w:rsid w:val="004B1F3E"/>
    <w:rsid w:val="004B2554"/>
    <w:rsid w:val="004B2575"/>
    <w:rsid w:val="004B4045"/>
    <w:rsid w:val="004B5DF5"/>
    <w:rsid w:val="004B7C4C"/>
    <w:rsid w:val="004C0C9B"/>
    <w:rsid w:val="004C2E12"/>
    <w:rsid w:val="004C33CC"/>
    <w:rsid w:val="004C3DB9"/>
    <w:rsid w:val="004C59DC"/>
    <w:rsid w:val="004C5F49"/>
    <w:rsid w:val="004C5F5E"/>
    <w:rsid w:val="004C787C"/>
    <w:rsid w:val="004D036B"/>
    <w:rsid w:val="004D049B"/>
    <w:rsid w:val="004D1735"/>
    <w:rsid w:val="004D2D7F"/>
    <w:rsid w:val="004D3EA5"/>
    <w:rsid w:val="004D46C4"/>
    <w:rsid w:val="004D4920"/>
    <w:rsid w:val="004D5C4A"/>
    <w:rsid w:val="004D6968"/>
    <w:rsid w:val="004E03B3"/>
    <w:rsid w:val="004E03EB"/>
    <w:rsid w:val="004E346A"/>
    <w:rsid w:val="004E4401"/>
    <w:rsid w:val="004E7459"/>
    <w:rsid w:val="004F1701"/>
    <w:rsid w:val="004F4633"/>
    <w:rsid w:val="004F48BD"/>
    <w:rsid w:val="004F52F4"/>
    <w:rsid w:val="004F6DB3"/>
    <w:rsid w:val="004F6E04"/>
    <w:rsid w:val="00500034"/>
    <w:rsid w:val="00500188"/>
    <w:rsid w:val="005022C9"/>
    <w:rsid w:val="00502E9E"/>
    <w:rsid w:val="00506925"/>
    <w:rsid w:val="005107CC"/>
    <w:rsid w:val="00510F8D"/>
    <w:rsid w:val="0051210E"/>
    <w:rsid w:val="00514715"/>
    <w:rsid w:val="00514939"/>
    <w:rsid w:val="00515ACB"/>
    <w:rsid w:val="00517564"/>
    <w:rsid w:val="005200C4"/>
    <w:rsid w:val="00520B7E"/>
    <w:rsid w:val="0052219B"/>
    <w:rsid w:val="00522477"/>
    <w:rsid w:val="00522B3D"/>
    <w:rsid w:val="00523005"/>
    <w:rsid w:val="0052328A"/>
    <w:rsid w:val="0052348A"/>
    <w:rsid w:val="00523935"/>
    <w:rsid w:val="0052400C"/>
    <w:rsid w:val="0052500A"/>
    <w:rsid w:val="005260F4"/>
    <w:rsid w:val="00526D7F"/>
    <w:rsid w:val="0052784F"/>
    <w:rsid w:val="00530535"/>
    <w:rsid w:val="005314D1"/>
    <w:rsid w:val="005321A7"/>
    <w:rsid w:val="0053246B"/>
    <w:rsid w:val="00532D1E"/>
    <w:rsid w:val="00532F99"/>
    <w:rsid w:val="005332EC"/>
    <w:rsid w:val="005339A7"/>
    <w:rsid w:val="005339DB"/>
    <w:rsid w:val="00533FD2"/>
    <w:rsid w:val="00534A0E"/>
    <w:rsid w:val="00534BF6"/>
    <w:rsid w:val="00534E33"/>
    <w:rsid w:val="00535533"/>
    <w:rsid w:val="00536CE7"/>
    <w:rsid w:val="00536D9D"/>
    <w:rsid w:val="0053757E"/>
    <w:rsid w:val="005446B8"/>
    <w:rsid w:val="005476F5"/>
    <w:rsid w:val="00547D32"/>
    <w:rsid w:val="00547DC9"/>
    <w:rsid w:val="0055487A"/>
    <w:rsid w:val="00555054"/>
    <w:rsid w:val="00555922"/>
    <w:rsid w:val="00557714"/>
    <w:rsid w:val="005601C9"/>
    <w:rsid w:val="00560D51"/>
    <w:rsid w:val="005613AF"/>
    <w:rsid w:val="005623C0"/>
    <w:rsid w:val="00563088"/>
    <w:rsid w:val="005644BD"/>
    <w:rsid w:val="00565001"/>
    <w:rsid w:val="00565679"/>
    <w:rsid w:val="00565E58"/>
    <w:rsid w:val="00567AE9"/>
    <w:rsid w:val="00570B1A"/>
    <w:rsid w:val="00571731"/>
    <w:rsid w:val="00571C86"/>
    <w:rsid w:val="0057278F"/>
    <w:rsid w:val="00574FC4"/>
    <w:rsid w:val="00576583"/>
    <w:rsid w:val="00577829"/>
    <w:rsid w:val="0058066B"/>
    <w:rsid w:val="00581151"/>
    <w:rsid w:val="00582B25"/>
    <w:rsid w:val="005830FB"/>
    <w:rsid w:val="00583B3D"/>
    <w:rsid w:val="00583EC1"/>
    <w:rsid w:val="00583FE6"/>
    <w:rsid w:val="00586960"/>
    <w:rsid w:val="00587B4F"/>
    <w:rsid w:val="0059003B"/>
    <w:rsid w:val="00592A11"/>
    <w:rsid w:val="0059533F"/>
    <w:rsid w:val="0059599D"/>
    <w:rsid w:val="00596B82"/>
    <w:rsid w:val="00597B0E"/>
    <w:rsid w:val="005A01B6"/>
    <w:rsid w:val="005A0331"/>
    <w:rsid w:val="005A05F3"/>
    <w:rsid w:val="005A09EA"/>
    <w:rsid w:val="005A2DA4"/>
    <w:rsid w:val="005A3542"/>
    <w:rsid w:val="005A370A"/>
    <w:rsid w:val="005A5F6A"/>
    <w:rsid w:val="005A6292"/>
    <w:rsid w:val="005A6477"/>
    <w:rsid w:val="005A7CEF"/>
    <w:rsid w:val="005A7D7C"/>
    <w:rsid w:val="005A7F15"/>
    <w:rsid w:val="005B1AE1"/>
    <w:rsid w:val="005B26F4"/>
    <w:rsid w:val="005B4026"/>
    <w:rsid w:val="005B50BA"/>
    <w:rsid w:val="005B541E"/>
    <w:rsid w:val="005B5FBA"/>
    <w:rsid w:val="005C09BF"/>
    <w:rsid w:val="005C0B4E"/>
    <w:rsid w:val="005C0E74"/>
    <w:rsid w:val="005C0EE0"/>
    <w:rsid w:val="005C351E"/>
    <w:rsid w:val="005C3695"/>
    <w:rsid w:val="005C3EEB"/>
    <w:rsid w:val="005D06A8"/>
    <w:rsid w:val="005D101F"/>
    <w:rsid w:val="005D13D3"/>
    <w:rsid w:val="005D183B"/>
    <w:rsid w:val="005D39D6"/>
    <w:rsid w:val="005D400E"/>
    <w:rsid w:val="005D45F9"/>
    <w:rsid w:val="005D469E"/>
    <w:rsid w:val="005D4DF3"/>
    <w:rsid w:val="005D5407"/>
    <w:rsid w:val="005D5780"/>
    <w:rsid w:val="005D5912"/>
    <w:rsid w:val="005D5E94"/>
    <w:rsid w:val="005D60B5"/>
    <w:rsid w:val="005D688B"/>
    <w:rsid w:val="005D6E54"/>
    <w:rsid w:val="005D73C4"/>
    <w:rsid w:val="005D7518"/>
    <w:rsid w:val="005E017A"/>
    <w:rsid w:val="005E01F1"/>
    <w:rsid w:val="005E1875"/>
    <w:rsid w:val="005E22A4"/>
    <w:rsid w:val="005E2B4B"/>
    <w:rsid w:val="005E3C5A"/>
    <w:rsid w:val="005E3EA6"/>
    <w:rsid w:val="005E443A"/>
    <w:rsid w:val="005E4E2A"/>
    <w:rsid w:val="005E5539"/>
    <w:rsid w:val="005E5B9E"/>
    <w:rsid w:val="005E6DF8"/>
    <w:rsid w:val="005E739F"/>
    <w:rsid w:val="005F10FC"/>
    <w:rsid w:val="005F13A0"/>
    <w:rsid w:val="005F1E18"/>
    <w:rsid w:val="005F2010"/>
    <w:rsid w:val="005F28C9"/>
    <w:rsid w:val="005F327E"/>
    <w:rsid w:val="005F3662"/>
    <w:rsid w:val="005F5C47"/>
    <w:rsid w:val="005F62EB"/>
    <w:rsid w:val="00601968"/>
    <w:rsid w:val="00603433"/>
    <w:rsid w:val="00605361"/>
    <w:rsid w:val="006053BC"/>
    <w:rsid w:val="006071AB"/>
    <w:rsid w:val="00610352"/>
    <w:rsid w:val="00610BEC"/>
    <w:rsid w:val="00612210"/>
    <w:rsid w:val="0061313E"/>
    <w:rsid w:val="006132CB"/>
    <w:rsid w:val="00614215"/>
    <w:rsid w:val="00614986"/>
    <w:rsid w:val="00614E1F"/>
    <w:rsid w:val="00615712"/>
    <w:rsid w:val="0061587B"/>
    <w:rsid w:val="0061590C"/>
    <w:rsid w:val="00617AC2"/>
    <w:rsid w:val="00620E58"/>
    <w:rsid w:val="00621EAC"/>
    <w:rsid w:val="00623B41"/>
    <w:rsid w:val="00624BD5"/>
    <w:rsid w:val="00624DB0"/>
    <w:rsid w:val="00625BE6"/>
    <w:rsid w:val="00627464"/>
    <w:rsid w:val="00627F81"/>
    <w:rsid w:val="00630029"/>
    <w:rsid w:val="00630446"/>
    <w:rsid w:val="006314D6"/>
    <w:rsid w:val="0063194D"/>
    <w:rsid w:val="00631AAA"/>
    <w:rsid w:val="006349DA"/>
    <w:rsid w:val="006358A6"/>
    <w:rsid w:val="00637588"/>
    <w:rsid w:val="0064080E"/>
    <w:rsid w:val="00641AE2"/>
    <w:rsid w:val="00641C41"/>
    <w:rsid w:val="00641EB4"/>
    <w:rsid w:val="006424E6"/>
    <w:rsid w:val="00642A60"/>
    <w:rsid w:val="006434BE"/>
    <w:rsid w:val="00643DBD"/>
    <w:rsid w:val="00646CC1"/>
    <w:rsid w:val="00652306"/>
    <w:rsid w:val="00652A97"/>
    <w:rsid w:val="006530E7"/>
    <w:rsid w:val="00653C85"/>
    <w:rsid w:val="006540E0"/>
    <w:rsid w:val="006544BD"/>
    <w:rsid w:val="0065480D"/>
    <w:rsid w:val="00655806"/>
    <w:rsid w:val="00657A97"/>
    <w:rsid w:val="0066074B"/>
    <w:rsid w:val="0066150D"/>
    <w:rsid w:val="00661659"/>
    <w:rsid w:val="00661DD1"/>
    <w:rsid w:val="00661FB2"/>
    <w:rsid w:val="00662800"/>
    <w:rsid w:val="006636C1"/>
    <w:rsid w:val="006675C4"/>
    <w:rsid w:val="00667698"/>
    <w:rsid w:val="0067083C"/>
    <w:rsid w:val="00670EBA"/>
    <w:rsid w:val="006718F8"/>
    <w:rsid w:val="00672AAE"/>
    <w:rsid w:val="00672D68"/>
    <w:rsid w:val="00673DBE"/>
    <w:rsid w:val="00673E1E"/>
    <w:rsid w:val="00674CAE"/>
    <w:rsid w:val="006758F2"/>
    <w:rsid w:val="006759BB"/>
    <w:rsid w:val="006774A6"/>
    <w:rsid w:val="00677BBD"/>
    <w:rsid w:val="00677DE5"/>
    <w:rsid w:val="00680151"/>
    <w:rsid w:val="00680949"/>
    <w:rsid w:val="00680A2F"/>
    <w:rsid w:val="00680C5C"/>
    <w:rsid w:val="00680F6E"/>
    <w:rsid w:val="006837A4"/>
    <w:rsid w:val="006911F9"/>
    <w:rsid w:val="006919BD"/>
    <w:rsid w:val="00692059"/>
    <w:rsid w:val="00692914"/>
    <w:rsid w:val="00694683"/>
    <w:rsid w:val="006946C3"/>
    <w:rsid w:val="00695001"/>
    <w:rsid w:val="0069616A"/>
    <w:rsid w:val="00696863"/>
    <w:rsid w:val="00696CB3"/>
    <w:rsid w:val="006978B5"/>
    <w:rsid w:val="006A013F"/>
    <w:rsid w:val="006A119C"/>
    <w:rsid w:val="006A1AD7"/>
    <w:rsid w:val="006A1D24"/>
    <w:rsid w:val="006A2799"/>
    <w:rsid w:val="006A3A7C"/>
    <w:rsid w:val="006A45F3"/>
    <w:rsid w:val="006A4C2A"/>
    <w:rsid w:val="006A518B"/>
    <w:rsid w:val="006A7F59"/>
    <w:rsid w:val="006B1557"/>
    <w:rsid w:val="006B1D06"/>
    <w:rsid w:val="006B4271"/>
    <w:rsid w:val="006B46E3"/>
    <w:rsid w:val="006B6329"/>
    <w:rsid w:val="006B72C8"/>
    <w:rsid w:val="006B7981"/>
    <w:rsid w:val="006B7D52"/>
    <w:rsid w:val="006C07DB"/>
    <w:rsid w:val="006C0B88"/>
    <w:rsid w:val="006C0E09"/>
    <w:rsid w:val="006C138E"/>
    <w:rsid w:val="006C1510"/>
    <w:rsid w:val="006C4EC2"/>
    <w:rsid w:val="006C4F76"/>
    <w:rsid w:val="006C5635"/>
    <w:rsid w:val="006C5677"/>
    <w:rsid w:val="006C5780"/>
    <w:rsid w:val="006C5C76"/>
    <w:rsid w:val="006C6C34"/>
    <w:rsid w:val="006C70CB"/>
    <w:rsid w:val="006C78B0"/>
    <w:rsid w:val="006C7AF9"/>
    <w:rsid w:val="006D0879"/>
    <w:rsid w:val="006D0B41"/>
    <w:rsid w:val="006D17DE"/>
    <w:rsid w:val="006D1AB1"/>
    <w:rsid w:val="006D1C25"/>
    <w:rsid w:val="006D2A33"/>
    <w:rsid w:val="006D2D15"/>
    <w:rsid w:val="006D343C"/>
    <w:rsid w:val="006D45A2"/>
    <w:rsid w:val="006D4681"/>
    <w:rsid w:val="006D54AB"/>
    <w:rsid w:val="006D5787"/>
    <w:rsid w:val="006D7949"/>
    <w:rsid w:val="006E0BB8"/>
    <w:rsid w:val="006E0E06"/>
    <w:rsid w:val="006E18DB"/>
    <w:rsid w:val="006E2A25"/>
    <w:rsid w:val="006E2ECF"/>
    <w:rsid w:val="006E3B8C"/>
    <w:rsid w:val="006E3EBC"/>
    <w:rsid w:val="006E5394"/>
    <w:rsid w:val="006E7B50"/>
    <w:rsid w:val="006E7BFA"/>
    <w:rsid w:val="006F0E44"/>
    <w:rsid w:val="006F0E4E"/>
    <w:rsid w:val="006F1C7E"/>
    <w:rsid w:val="006F2F23"/>
    <w:rsid w:val="006F2F40"/>
    <w:rsid w:val="006F380D"/>
    <w:rsid w:val="006F3C04"/>
    <w:rsid w:val="006F3F51"/>
    <w:rsid w:val="006F4D73"/>
    <w:rsid w:val="006F6E6E"/>
    <w:rsid w:val="00700218"/>
    <w:rsid w:val="0070148A"/>
    <w:rsid w:val="0070257D"/>
    <w:rsid w:val="007025EA"/>
    <w:rsid w:val="00704846"/>
    <w:rsid w:val="00704EFF"/>
    <w:rsid w:val="00705FFF"/>
    <w:rsid w:val="007060F1"/>
    <w:rsid w:val="007067C0"/>
    <w:rsid w:val="007101C4"/>
    <w:rsid w:val="00711173"/>
    <w:rsid w:val="00711B1A"/>
    <w:rsid w:val="00712997"/>
    <w:rsid w:val="0071442C"/>
    <w:rsid w:val="00715070"/>
    <w:rsid w:val="00715A35"/>
    <w:rsid w:val="00716926"/>
    <w:rsid w:val="0071706B"/>
    <w:rsid w:val="007178B3"/>
    <w:rsid w:val="00720C08"/>
    <w:rsid w:val="00721F8E"/>
    <w:rsid w:val="00722020"/>
    <w:rsid w:val="00722120"/>
    <w:rsid w:val="0072600C"/>
    <w:rsid w:val="00726316"/>
    <w:rsid w:val="007272B7"/>
    <w:rsid w:val="00727C35"/>
    <w:rsid w:val="00730DF7"/>
    <w:rsid w:val="00731F06"/>
    <w:rsid w:val="007359B3"/>
    <w:rsid w:val="007365EB"/>
    <w:rsid w:val="00736D5F"/>
    <w:rsid w:val="00737525"/>
    <w:rsid w:val="00741373"/>
    <w:rsid w:val="007430BE"/>
    <w:rsid w:val="007438B5"/>
    <w:rsid w:val="00743E34"/>
    <w:rsid w:val="00744246"/>
    <w:rsid w:val="0074571E"/>
    <w:rsid w:val="007478FD"/>
    <w:rsid w:val="00750655"/>
    <w:rsid w:val="00750D48"/>
    <w:rsid w:val="0075371D"/>
    <w:rsid w:val="00754018"/>
    <w:rsid w:val="00754928"/>
    <w:rsid w:val="00754EAA"/>
    <w:rsid w:val="00756B96"/>
    <w:rsid w:val="00756E06"/>
    <w:rsid w:val="0076211D"/>
    <w:rsid w:val="00762149"/>
    <w:rsid w:val="007623AE"/>
    <w:rsid w:val="0076425B"/>
    <w:rsid w:val="007652B1"/>
    <w:rsid w:val="00765C17"/>
    <w:rsid w:val="007669EB"/>
    <w:rsid w:val="00770D1D"/>
    <w:rsid w:val="00771A67"/>
    <w:rsid w:val="00772452"/>
    <w:rsid w:val="00772667"/>
    <w:rsid w:val="00772BCE"/>
    <w:rsid w:val="00772C18"/>
    <w:rsid w:val="00773774"/>
    <w:rsid w:val="00773FBA"/>
    <w:rsid w:val="00774B0C"/>
    <w:rsid w:val="007756D9"/>
    <w:rsid w:val="00775C1C"/>
    <w:rsid w:val="00776AC5"/>
    <w:rsid w:val="0077729F"/>
    <w:rsid w:val="00777EC0"/>
    <w:rsid w:val="00780997"/>
    <w:rsid w:val="0078132F"/>
    <w:rsid w:val="00781BD7"/>
    <w:rsid w:val="00781CD5"/>
    <w:rsid w:val="0078204F"/>
    <w:rsid w:val="00782AAB"/>
    <w:rsid w:val="00784896"/>
    <w:rsid w:val="00785338"/>
    <w:rsid w:val="007868BC"/>
    <w:rsid w:val="00786C40"/>
    <w:rsid w:val="007878B4"/>
    <w:rsid w:val="00787BA4"/>
    <w:rsid w:val="00791646"/>
    <w:rsid w:val="007924CE"/>
    <w:rsid w:val="00792B47"/>
    <w:rsid w:val="00794082"/>
    <w:rsid w:val="007946C6"/>
    <w:rsid w:val="00794A59"/>
    <w:rsid w:val="00796204"/>
    <w:rsid w:val="007962FF"/>
    <w:rsid w:val="00796B20"/>
    <w:rsid w:val="00797573"/>
    <w:rsid w:val="00797B32"/>
    <w:rsid w:val="007A0F3F"/>
    <w:rsid w:val="007A10AE"/>
    <w:rsid w:val="007A1BB1"/>
    <w:rsid w:val="007A265A"/>
    <w:rsid w:val="007A5ADB"/>
    <w:rsid w:val="007A66B1"/>
    <w:rsid w:val="007A6CD2"/>
    <w:rsid w:val="007A70E2"/>
    <w:rsid w:val="007A7C46"/>
    <w:rsid w:val="007B0875"/>
    <w:rsid w:val="007B105F"/>
    <w:rsid w:val="007B1559"/>
    <w:rsid w:val="007B2680"/>
    <w:rsid w:val="007B327B"/>
    <w:rsid w:val="007B4C10"/>
    <w:rsid w:val="007B7AC2"/>
    <w:rsid w:val="007B7FD9"/>
    <w:rsid w:val="007C0505"/>
    <w:rsid w:val="007C07BC"/>
    <w:rsid w:val="007C0FD1"/>
    <w:rsid w:val="007C26CD"/>
    <w:rsid w:val="007C30F0"/>
    <w:rsid w:val="007C3928"/>
    <w:rsid w:val="007C54A2"/>
    <w:rsid w:val="007C5736"/>
    <w:rsid w:val="007C6861"/>
    <w:rsid w:val="007C705E"/>
    <w:rsid w:val="007C7DEE"/>
    <w:rsid w:val="007D05AE"/>
    <w:rsid w:val="007D0A42"/>
    <w:rsid w:val="007D17DE"/>
    <w:rsid w:val="007D29D1"/>
    <w:rsid w:val="007D343A"/>
    <w:rsid w:val="007D3D70"/>
    <w:rsid w:val="007D4518"/>
    <w:rsid w:val="007D6051"/>
    <w:rsid w:val="007D6AF9"/>
    <w:rsid w:val="007D7130"/>
    <w:rsid w:val="007D7778"/>
    <w:rsid w:val="007D7C0A"/>
    <w:rsid w:val="007E0493"/>
    <w:rsid w:val="007E0FD4"/>
    <w:rsid w:val="007E1193"/>
    <w:rsid w:val="007E2526"/>
    <w:rsid w:val="007E5EF9"/>
    <w:rsid w:val="007E6562"/>
    <w:rsid w:val="007E6801"/>
    <w:rsid w:val="007E7F52"/>
    <w:rsid w:val="007F0244"/>
    <w:rsid w:val="007F1344"/>
    <w:rsid w:val="007F33D2"/>
    <w:rsid w:val="007F3F4E"/>
    <w:rsid w:val="007F5E8C"/>
    <w:rsid w:val="007F6188"/>
    <w:rsid w:val="007F62FE"/>
    <w:rsid w:val="007F6AD4"/>
    <w:rsid w:val="007F6C67"/>
    <w:rsid w:val="007F77D8"/>
    <w:rsid w:val="007F7F8A"/>
    <w:rsid w:val="00801582"/>
    <w:rsid w:val="00802A89"/>
    <w:rsid w:val="008039A6"/>
    <w:rsid w:val="00805322"/>
    <w:rsid w:val="00805ECC"/>
    <w:rsid w:val="008063C7"/>
    <w:rsid w:val="008064EB"/>
    <w:rsid w:val="00806DD8"/>
    <w:rsid w:val="008078F8"/>
    <w:rsid w:val="0081070D"/>
    <w:rsid w:val="008108FB"/>
    <w:rsid w:val="00811E87"/>
    <w:rsid w:val="0081212B"/>
    <w:rsid w:val="00813A60"/>
    <w:rsid w:val="008152B1"/>
    <w:rsid w:val="00817631"/>
    <w:rsid w:val="00817D71"/>
    <w:rsid w:val="008201B9"/>
    <w:rsid w:val="008213FF"/>
    <w:rsid w:val="00821E0A"/>
    <w:rsid w:val="0082249D"/>
    <w:rsid w:val="008241B3"/>
    <w:rsid w:val="0082462B"/>
    <w:rsid w:val="0082479D"/>
    <w:rsid w:val="0082510F"/>
    <w:rsid w:val="00825766"/>
    <w:rsid w:val="008279FE"/>
    <w:rsid w:val="0083018E"/>
    <w:rsid w:val="00830795"/>
    <w:rsid w:val="00833934"/>
    <w:rsid w:val="00835314"/>
    <w:rsid w:val="00835A38"/>
    <w:rsid w:val="00835DB0"/>
    <w:rsid w:val="00836931"/>
    <w:rsid w:val="00841144"/>
    <w:rsid w:val="00841BE2"/>
    <w:rsid w:val="00842016"/>
    <w:rsid w:val="0084378F"/>
    <w:rsid w:val="008438D3"/>
    <w:rsid w:val="00844079"/>
    <w:rsid w:val="00844467"/>
    <w:rsid w:val="00846034"/>
    <w:rsid w:val="00847201"/>
    <w:rsid w:val="008477AB"/>
    <w:rsid w:val="00847EF2"/>
    <w:rsid w:val="00850A28"/>
    <w:rsid w:val="008517A4"/>
    <w:rsid w:val="00851FB9"/>
    <w:rsid w:val="0085243E"/>
    <w:rsid w:val="008527D2"/>
    <w:rsid w:val="00852D19"/>
    <w:rsid w:val="00853134"/>
    <w:rsid w:val="008537D0"/>
    <w:rsid w:val="0085525B"/>
    <w:rsid w:val="008565D0"/>
    <w:rsid w:val="0085675F"/>
    <w:rsid w:val="00857076"/>
    <w:rsid w:val="00857F2A"/>
    <w:rsid w:val="0086163E"/>
    <w:rsid w:val="00861769"/>
    <w:rsid w:val="008624DF"/>
    <w:rsid w:val="00864D25"/>
    <w:rsid w:val="008672D0"/>
    <w:rsid w:val="00871F30"/>
    <w:rsid w:val="00872165"/>
    <w:rsid w:val="0087255A"/>
    <w:rsid w:val="00872E00"/>
    <w:rsid w:val="0087390E"/>
    <w:rsid w:val="0087532F"/>
    <w:rsid w:val="008764D5"/>
    <w:rsid w:val="00877757"/>
    <w:rsid w:val="008805C7"/>
    <w:rsid w:val="00881465"/>
    <w:rsid w:val="008818FB"/>
    <w:rsid w:val="008819FE"/>
    <w:rsid w:val="00881B57"/>
    <w:rsid w:val="0088202A"/>
    <w:rsid w:val="0088390C"/>
    <w:rsid w:val="008839AF"/>
    <w:rsid w:val="00883F26"/>
    <w:rsid w:val="00884BE1"/>
    <w:rsid w:val="00884F98"/>
    <w:rsid w:val="00885718"/>
    <w:rsid w:val="0088577C"/>
    <w:rsid w:val="008858B7"/>
    <w:rsid w:val="00886701"/>
    <w:rsid w:val="0088799F"/>
    <w:rsid w:val="008926E9"/>
    <w:rsid w:val="00892AE0"/>
    <w:rsid w:val="008930FF"/>
    <w:rsid w:val="00893D0E"/>
    <w:rsid w:val="00893F58"/>
    <w:rsid w:val="0089432B"/>
    <w:rsid w:val="008943EC"/>
    <w:rsid w:val="008948B0"/>
    <w:rsid w:val="00895451"/>
    <w:rsid w:val="0089563E"/>
    <w:rsid w:val="008A0E22"/>
    <w:rsid w:val="008A0ECE"/>
    <w:rsid w:val="008A1BE3"/>
    <w:rsid w:val="008A25C2"/>
    <w:rsid w:val="008A3A16"/>
    <w:rsid w:val="008A635D"/>
    <w:rsid w:val="008A65B9"/>
    <w:rsid w:val="008A6B22"/>
    <w:rsid w:val="008A6BC1"/>
    <w:rsid w:val="008B0397"/>
    <w:rsid w:val="008B0C2F"/>
    <w:rsid w:val="008B2C6D"/>
    <w:rsid w:val="008B5887"/>
    <w:rsid w:val="008B591D"/>
    <w:rsid w:val="008B6C10"/>
    <w:rsid w:val="008C13D3"/>
    <w:rsid w:val="008C2F06"/>
    <w:rsid w:val="008C3001"/>
    <w:rsid w:val="008C4344"/>
    <w:rsid w:val="008C62B0"/>
    <w:rsid w:val="008C6480"/>
    <w:rsid w:val="008C69DA"/>
    <w:rsid w:val="008C7AC4"/>
    <w:rsid w:val="008C7B67"/>
    <w:rsid w:val="008D0017"/>
    <w:rsid w:val="008D0365"/>
    <w:rsid w:val="008D061F"/>
    <w:rsid w:val="008D0D72"/>
    <w:rsid w:val="008D4D2C"/>
    <w:rsid w:val="008D5392"/>
    <w:rsid w:val="008D5FA4"/>
    <w:rsid w:val="008D6CEB"/>
    <w:rsid w:val="008D6D40"/>
    <w:rsid w:val="008E0A28"/>
    <w:rsid w:val="008E1BAF"/>
    <w:rsid w:val="008E2AE1"/>
    <w:rsid w:val="008E342B"/>
    <w:rsid w:val="008E34D2"/>
    <w:rsid w:val="008E3B15"/>
    <w:rsid w:val="008E3FA2"/>
    <w:rsid w:val="008E4A27"/>
    <w:rsid w:val="008E4AD8"/>
    <w:rsid w:val="008E4CE4"/>
    <w:rsid w:val="008E70F5"/>
    <w:rsid w:val="008E7684"/>
    <w:rsid w:val="008F08E2"/>
    <w:rsid w:val="008F132F"/>
    <w:rsid w:val="008F1837"/>
    <w:rsid w:val="008F32A9"/>
    <w:rsid w:val="008F465B"/>
    <w:rsid w:val="008F481B"/>
    <w:rsid w:val="008F51F0"/>
    <w:rsid w:val="008F5B82"/>
    <w:rsid w:val="008F5C7A"/>
    <w:rsid w:val="008F5FCE"/>
    <w:rsid w:val="008F6A71"/>
    <w:rsid w:val="008F6A74"/>
    <w:rsid w:val="008F7759"/>
    <w:rsid w:val="008F79FC"/>
    <w:rsid w:val="008F7C78"/>
    <w:rsid w:val="0090134D"/>
    <w:rsid w:val="00901F22"/>
    <w:rsid w:val="0090230E"/>
    <w:rsid w:val="00902398"/>
    <w:rsid w:val="009026CF"/>
    <w:rsid w:val="00902D65"/>
    <w:rsid w:val="00902E8B"/>
    <w:rsid w:val="00905FA7"/>
    <w:rsid w:val="00906722"/>
    <w:rsid w:val="0090674B"/>
    <w:rsid w:val="00907816"/>
    <w:rsid w:val="00910D4D"/>
    <w:rsid w:val="009112B4"/>
    <w:rsid w:val="0091167B"/>
    <w:rsid w:val="009117D7"/>
    <w:rsid w:val="00911913"/>
    <w:rsid w:val="00911D6C"/>
    <w:rsid w:val="00911D79"/>
    <w:rsid w:val="00912DE0"/>
    <w:rsid w:val="00913349"/>
    <w:rsid w:val="00915A61"/>
    <w:rsid w:val="009162A3"/>
    <w:rsid w:val="00916F68"/>
    <w:rsid w:val="0092064F"/>
    <w:rsid w:val="00920AFE"/>
    <w:rsid w:val="00922575"/>
    <w:rsid w:val="00922A41"/>
    <w:rsid w:val="00924250"/>
    <w:rsid w:val="00924981"/>
    <w:rsid w:val="00925404"/>
    <w:rsid w:val="00926642"/>
    <w:rsid w:val="009276D1"/>
    <w:rsid w:val="00927D15"/>
    <w:rsid w:val="00931E44"/>
    <w:rsid w:val="009329AD"/>
    <w:rsid w:val="009335BA"/>
    <w:rsid w:val="009340C5"/>
    <w:rsid w:val="009347E8"/>
    <w:rsid w:val="0093487B"/>
    <w:rsid w:val="00935169"/>
    <w:rsid w:val="009352CD"/>
    <w:rsid w:val="00936464"/>
    <w:rsid w:val="009364D3"/>
    <w:rsid w:val="00936D8C"/>
    <w:rsid w:val="00936DB6"/>
    <w:rsid w:val="009370F6"/>
    <w:rsid w:val="009408C3"/>
    <w:rsid w:val="009411FF"/>
    <w:rsid w:val="00942106"/>
    <w:rsid w:val="00945E5F"/>
    <w:rsid w:val="0094631B"/>
    <w:rsid w:val="009465BE"/>
    <w:rsid w:val="00946F2A"/>
    <w:rsid w:val="009479BE"/>
    <w:rsid w:val="00955AE0"/>
    <w:rsid w:val="00955D98"/>
    <w:rsid w:val="00960FE5"/>
    <w:rsid w:val="00961245"/>
    <w:rsid w:val="00963F63"/>
    <w:rsid w:val="009643A9"/>
    <w:rsid w:val="00964C17"/>
    <w:rsid w:val="00966986"/>
    <w:rsid w:val="00966DD5"/>
    <w:rsid w:val="009673BD"/>
    <w:rsid w:val="00967920"/>
    <w:rsid w:val="0097080E"/>
    <w:rsid w:val="00970B4F"/>
    <w:rsid w:val="0097399F"/>
    <w:rsid w:val="00974A44"/>
    <w:rsid w:val="0097505C"/>
    <w:rsid w:val="00976CAC"/>
    <w:rsid w:val="00977310"/>
    <w:rsid w:val="009811B5"/>
    <w:rsid w:val="00984025"/>
    <w:rsid w:val="00984A53"/>
    <w:rsid w:val="00984F5F"/>
    <w:rsid w:val="00987CA9"/>
    <w:rsid w:val="00991F66"/>
    <w:rsid w:val="00993E91"/>
    <w:rsid w:val="009943B2"/>
    <w:rsid w:val="00994565"/>
    <w:rsid w:val="00995E79"/>
    <w:rsid w:val="009A0C68"/>
    <w:rsid w:val="009A1186"/>
    <w:rsid w:val="009A20B8"/>
    <w:rsid w:val="009A2422"/>
    <w:rsid w:val="009A2E49"/>
    <w:rsid w:val="009A303E"/>
    <w:rsid w:val="009A4903"/>
    <w:rsid w:val="009A4D94"/>
    <w:rsid w:val="009A5C89"/>
    <w:rsid w:val="009B0C70"/>
    <w:rsid w:val="009B198F"/>
    <w:rsid w:val="009B1B2D"/>
    <w:rsid w:val="009B1CF6"/>
    <w:rsid w:val="009B23AE"/>
    <w:rsid w:val="009B323D"/>
    <w:rsid w:val="009B44D1"/>
    <w:rsid w:val="009B69AA"/>
    <w:rsid w:val="009B6C2F"/>
    <w:rsid w:val="009C0920"/>
    <w:rsid w:val="009C1A55"/>
    <w:rsid w:val="009C1F9A"/>
    <w:rsid w:val="009C2977"/>
    <w:rsid w:val="009C2D46"/>
    <w:rsid w:val="009C33DF"/>
    <w:rsid w:val="009C475A"/>
    <w:rsid w:val="009C4BAC"/>
    <w:rsid w:val="009C520A"/>
    <w:rsid w:val="009C6250"/>
    <w:rsid w:val="009C6A73"/>
    <w:rsid w:val="009C767C"/>
    <w:rsid w:val="009C7B52"/>
    <w:rsid w:val="009C7CBA"/>
    <w:rsid w:val="009C7CEA"/>
    <w:rsid w:val="009D14BB"/>
    <w:rsid w:val="009D1B6E"/>
    <w:rsid w:val="009D1B7F"/>
    <w:rsid w:val="009D2517"/>
    <w:rsid w:val="009D32C2"/>
    <w:rsid w:val="009D3C4A"/>
    <w:rsid w:val="009D3C80"/>
    <w:rsid w:val="009D45C1"/>
    <w:rsid w:val="009D4625"/>
    <w:rsid w:val="009D4D2F"/>
    <w:rsid w:val="009D6259"/>
    <w:rsid w:val="009D6854"/>
    <w:rsid w:val="009D7D1A"/>
    <w:rsid w:val="009D7DEE"/>
    <w:rsid w:val="009E05C3"/>
    <w:rsid w:val="009E05CC"/>
    <w:rsid w:val="009E08D9"/>
    <w:rsid w:val="009E1FDC"/>
    <w:rsid w:val="009E35DD"/>
    <w:rsid w:val="009E37DB"/>
    <w:rsid w:val="009E3FCA"/>
    <w:rsid w:val="009E5810"/>
    <w:rsid w:val="009E7272"/>
    <w:rsid w:val="009E7527"/>
    <w:rsid w:val="009E7A0A"/>
    <w:rsid w:val="009F0557"/>
    <w:rsid w:val="009F07EF"/>
    <w:rsid w:val="009F1469"/>
    <w:rsid w:val="009F175D"/>
    <w:rsid w:val="009F2044"/>
    <w:rsid w:val="009F22F8"/>
    <w:rsid w:val="009F26A0"/>
    <w:rsid w:val="009F3162"/>
    <w:rsid w:val="009F45F3"/>
    <w:rsid w:val="009F465C"/>
    <w:rsid w:val="009F4D3A"/>
    <w:rsid w:val="009F5036"/>
    <w:rsid w:val="009F63E1"/>
    <w:rsid w:val="009F6567"/>
    <w:rsid w:val="009F7DEF"/>
    <w:rsid w:val="00A017C7"/>
    <w:rsid w:val="00A025B8"/>
    <w:rsid w:val="00A026B5"/>
    <w:rsid w:val="00A02716"/>
    <w:rsid w:val="00A030B6"/>
    <w:rsid w:val="00A030D2"/>
    <w:rsid w:val="00A0357E"/>
    <w:rsid w:val="00A0375A"/>
    <w:rsid w:val="00A0386D"/>
    <w:rsid w:val="00A04487"/>
    <w:rsid w:val="00A04565"/>
    <w:rsid w:val="00A0530E"/>
    <w:rsid w:val="00A06D5A"/>
    <w:rsid w:val="00A0720E"/>
    <w:rsid w:val="00A07512"/>
    <w:rsid w:val="00A07DE3"/>
    <w:rsid w:val="00A10761"/>
    <w:rsid w:val="00A11AE2"/>
    <w:rsid w:val="00A126BB"/>
    <w:rsid w:val="00A13519"/>
    <w:rsid w:val="00A13602"/>
    <w:rsid w:val="00A14A1B"/>
    <w:rsid w:val="00A1570F"/>
    <w:rsid w:val="00A16360"/>
    <w:rsid w:val="00A16941"/>
    <w:rsid w:val="00A20182"/>
    <w:rsid w:val="00A21BDB"/>
    <w:rsid w:val="00A2238E"/>
    <w:rsid w:val="00A2274E"/>
    <w:rsid w:val="00A243DE"/>
    <w:rsid w:val="00A25C3B"/>
    <w:rsid w:val="00A26C0A"/>
    <w:rsid w:val="00A27A47"/>
    <w:rsid w:val="00A30A43"/>
    <w:rsid w:val="00A3282E"/>
    <w:rsid w:val="00A33F37"/>
    <w:rsid w:val="00A3467F"/>
    <w:rsid w:val="00A34A28"/>
    <w:rsid w:val="00A35E45"/>
    <w:rsid w:val="00A36219"/>
    <w:rsid w:val="00A36762"/>
    <w:rsid w:val="00A36BF3"/>
    <w:rsid w:val="00A4072F"/>
    <w:rsid w:val="00A41077"/>
    <w:rsid w:val="00A41878"/>
    <w:rsid w:val="00A428B0"/>
    <w:rsid w:val="00A43495"/>
    <w:rsid w:val="00A435F6"/>
    <w:rsid w:val="00A462EC"/>
    <w:rsid w:val="00A46560"/>
    <w:rsid w:val="00A507B2"/>
    <w:rsid w:val="00A5164A"/>
    <w:rsid w:val="00A5208E"/>
    <w:rsid w:val="00A532B9"/>
    <w:rsid w:val="00A55394"/>
    <w:rsid w:val="00A55468"/>
    <w:rsid w:val="00A561E8"/>
    <w:rsid w:val="00A564D5"/>
    <w:rsid w:val="00A57870"/>
    <w:rsid w:val="00A601D7"/>
    <w:rsid w:val="00A622BE"/>
    <w:rsid w:val="00A635C0"/>
    <w:rsid w:val="00A6415B"/>
    <w:rsid w:val="00A6428D"/>
    <w:rsid w:val="00A64CEE"/>
    <w:rsid w:val="00A65142"/>
    <w:rsid w:val="00A65493"/>
    <w:rsid w:val="00A67504"/>
    <w:rsid w:val="00A71C2A"/>
    <w:rsid w:val="00A71D85"/>
    <w:rsid w:val="00A732B4"/>
    <w:rsid w:val="00A73CE6"/>
    <w:rsid w:val="00A7422A"/>
    <w:rsid w:val="00A74391"/>
    <w:rsid w:val="00A74BA7"/>
    <w:rsid w:val="00A75101"/>
    <w:rsid w:val="00A751BF"/>
    <w:rsid w:val="00A75333"/>
    <w:rsid w:val="00A7534C"/>
    <w:rsid w:val="00A812F2"/>
    <w:rsid w:val="00A81CC7"/>
    <w:rsid w:val="00A82F99"/>
    <w:rsid w:val="00A831CA"/>
    <w:rsid w:val="00A8343F"/>
    <w:rsid w:val="00A85E57"/>
    <w:rsid w:val="00A87063"/>
    <w:rsid w:val="00A870F6"/>
    <w:rsid w:val="00A91867"/>
    <w:rsid w:val="00A92500"/>
    <w:rsid w:val="00A927FE"/>
    <w:rsid w:val="00A937E5"/>
    <w:rsid w:val="00A9439F"/>
    <w:rsid w:val="00A9440E"/>
    <w:rsid w:val="00A94F1A"/>
    <w:rsid w:val="00A9518D"/>
    <w:rsid w:val="00A96B2A"/>
    <w:rsid w:val="00A97643"/>
    <w:rsid w:val="00AA04AD"/>
    <w:rsid w:val="00AA2FE4"/>
    <w:rsid w:val="00AA3B13"/>
    <w:rsid w:val="00AA3E34"/>
    <w:rsid w:val="00AA4F1F"/>
    <w:rsid w:val="00AA666D"/>
    <w:rsid w:val="00AA798B"/>
    <w:rsid w:val="00AB0496"/>
    <w:rsid w:val="00AB1506"/>
    <w:rsid w:val="00AB3D81"/>
    <w:rsid w:val="00AB47B1"/>
    <w:rsid w:val="00AB4C9C"/>
    <w:rsid w:val="00AB513D"/>
    <w:rsid w:val="00AB69C8"/>
    <w:rsid w:val="00AB79ED"/>
    <w:rsid w:val="00AC0A03"/>
    <w:rsid w:val="00AC10E8"/>
    <w:rsid w:val="00AC11A5"/>
    <w:rsid w:val="00AC1428"/>
    <w:rsid w:val="00AC17B7"/>
    <w:rsid w:val="00AC26E8"/>
    <w:rsid w:val="00AC33DC"/>
    <w:rsid w:val="00AC3CC7"/>
    <w:rsid w:val="00AC4875"/>
    <w:rsid w:val="00AC57FF"/>
    <w:rsid w:val="00AC786F"/>
    <w:rsid w:val="00AC7952"/>
    <w:rsid w:val="00AD0892"/>
    <w:rsid w:val="00AD154B"/>
    <w:rsid w:val="00AD1854"/>
    <w:rsid w:val="00AD28C9"/>
    <w:rsid w:val="00AD2FED"/>
    <w:rsid w:val="00AD3E0A"/>
    <w:rsid w:val="00AD4ECF"/>
    <w:rsid w:val="00AD535C"/>
    <w:rsid w:val="00AD6356"/>
    <w:rsid w:val="00AD655F"/>
    <w:rsid w:val="00AD6C9D"/>
    <w:rsid w:val="00AD6D6D"/>
    <w:rsid w:val="00AD7555"/>
    <w:rsid w:val="00AE17A4"/>
    <w:rsid w:val="00AE1AAD"/>
    <w:rsid w:val="00AE2B75"/>
    <w:rsid w:val="00AE3655"/>
    <w:rsid w:val="00AE3C88"/>
    <w:rsid w:val="00AE428D"/>
    <w:rsid w:val="00AE43F2"/>
    <w:rsid w:val="00AE4E5C"/>
    <w:rsid w:val="00AE5598"/>
    <w:rsid w:val="00AE5638"/>
    <w:rsid w:val="00AE6611"/>
    <w:rsid w:val="00AE6D04"/>
    <w:rsid w:val="00AE758A"/>
    <w:rsid w:val="00AF010C"/>
    <w:rsid w:val="00AF05C7"/>
    <w:rsid w:val="00AF08CE"/>
    <w:rsid w:val="00AF0C0D"/>
    <w:rsid w:val="00AF1502"/>
    <w:rsid w:val="00AF19D7"/>
    <w:rsid w:val="00AF2CF8"/>
    <w:rsid w:val="00AF399C"/>
    <w:rsid w:val="00AF5AE7"/>
    <w:rsid w:val="00AF5E1C"/>
    <w:rsid w:val="00AF6E36"/>
    <w:rsid w:val="00AF7227"/>
    <w:rsid w:val="00AF7CCF"/>
    <w:rsid w:val="00B007EA"/>
    <w:rsid w:val="00B040C9"/>
    <w:rsid w:val="00B04226"/>
    <w:rsid w:val="00B04559"/>
    <w:rsid w:val="00B046F6"/>
    <w:rsid w:val="00B05F7C"/>
    <w:rsid w:val="00B11569"/>
    <w:rsid w:val="00B11E50"/>
    <w:rsid w:val="00B13B5D"/>
    <w:rsid w:val="00B14218"/>
    <w:rsid w:val="00B1493D"/>
    <w:rsid w:val="00B153EA"/>
    <w:rsid w:val="00B15798"/>
    <w:rsid w:val="00B16696"/>
    <w:rsid w:val="00B167C2"/>
    <w:rsid w:val="00B16B08"/>
    <w:rsid w:val="00B17A29"/>
    <w:rsid w:val="00B2076C"/>
    <w:rsid w:val="00B20B66"/>
    <w:rsid w:val="00B20C2F"/>
    <w:rsid w:val="00B20F19"/>
    <w:rsid w:val="00B21069"/>
    <w:rsid w:val="00B21B47"/>
    <w:rsid w:val="00B21C65"/>
    <w:rsid w:val="00B22073"/>
    <w:rsid w:val="00B232D1"/>
    <w:rsid w:val="00B2597D"/>
    <w:rsid w:val="00B263D7"/>
    <w:rsid w:val="00B27054"/>
    <w:rsid w:val="00B274F3"/>
    <w:rsid w:val="00B27FB7"/>
    <w:rsid w:val="00B303EC"/>
    <w:rsid w:val="00B32545"/>
    <w:rsid w:val="00B33CB7"/>
    <w:rsid w:val="00B3400A"/>
    <w:rsid w:val="00B34F9F"/>
    <w:rsid w:val="00B3539F"/>
    <w:rsid w:val="00B372A0"/>
    <w:rsid w:val="00B37EC2"/>
    <w:rsid w:val="00B37F96"/>
    <w:rsid w:val="00B40A6C"/>
    <w:rsid w:val="00B41235"/>
    <w:rsid w:val="00B413F2"/>
    <w:rsid w:val="00B41F6F"/>
    <w:rsid w:val="00B420D5"/>
    <w:rsid w:val="00B4322A"/>
    <w:rsid w:val="00B43576"/>
    <w:rsid w:val="00B45652"/>
    <w:rsid w:val="00B45BD0"/>
    <w:rsid w:val="00B46C5F"/>
    <w:rsid w:val="00B473DD"/>
    <w:rsid w:val="00B47FC3"/>
    <w:rsid w:val="00B5171F"/>
    <w:rsid w:val="00B51CE8"/>
    <w:rsid w:val="00B52919"/>
    <w:rsid w:val="00B53075"/>
    <w:rsid w:val="00B53A75"/>
    <w:rsid w:val="00B54881"/>
    <w:rsid w:val="00B55626"/>
    <w:rsid w:val="00B55C09"/>
    <w:rsid w:val="00B564D1"/>
    <w:rsid w:val="00B56BFA"/>
    <w:rsid w:val="00B5722B"/>
    <w:rsid w:val="00B572E0"/>
    <w:rsid w:val="00B60FA5"/>
    <w:rsid w:val="00B615CC"/>
    <w:rsid w:val="00B61C7B"/>
    <w:rsid w:val="00B61E21"/>
    <w:rsid w:val="00B64B08"/>
    <w:rsid w:val="00B656A6"/>
    <w:rsid w:val="00B6668D"/>
    <w:rsid w:val="00B66AD2"/>
    <w:rsid w:val="00B72D83"/>
    <w:rsid w:val="00B730AC"/>
    <w:rsid w:val="00B730B7"/>
    <w:rsid w:val="00B7461D"/>
    <w:rsid w:val="00B74FBC"/>
    <w:rsid w:val="00B7519D"/>
    <w:rsid w:val="00B7552C"/>
    <w:rsid w:val="00B7603E"/>
    <w:rsid w:val="00B77826"/>
    <w:rsid w:val="00B80109"/>
    <w:rsid w:val="00B80C58"/>
    <w:rsid w:val="00B816DE"/>
    <w:rsid w:val="00B83659"/>
    <w:rsid w:val="00B85BD8"/>
    <w:rsid w:val="00B85E62"/>
    <w:rsid w:val="00B86391"/>
    <w:rsid w:val="00B87D88"/>
    <w:rsid w:val="00B87FA2"/>
    <w:rsid w:val="00B90428"/>
    <w:rsid w:val="00B916D7"/>
    <w:rsid w:val="00B92195"/>
    <w:rsid w:val="00B9245D"/>
    <w:rsid w:val="00B93549"/>
    <w:rsid w:val="00B96C59"/>
    <w:rsid w:val="00B975FE"/>
    <w:rsid w:val="00B9793D"/>
    <w:rsid w:val="00B979C5"/>
    <w:rsid w:val="00B97B5A"/>
    <w:rsid w:val="00BA01AE"/>
    <w:rsid w:val="00BA0307"/>
    <w:rsid w:val="00BA1B91"/>
    <w:rsid w:val="00BA21C2"/>
    <w:rsid w:val="00BA3896"/>
    <w:rsid w:val="00BA4480"/>
    <w:rsid w:val="00BA4516"/>
    <w:rsid w:val="00BA61A3"/>
    <w:rsid w:val="00BA63BB"/>
    <w:rsid w:val="00BA6C8E"/>
    <w:rsid w:val="00BA6EEB"/>
    <w:rsid w:val="00BA7E4C"/>
    <w:rsid w:val="00BB075E"/>
    <w:rsid w:val="00BB08BA"/>
    <w:rsid w:val="00BB1D22"/>
    <w:rsid w:val="00BB28D7"/>
    <w:rsid w:val="00BB3C29"/>
    <w:rsid w:val="00BB5576"/>
    <w:rsid w:val="00BB5D66"/>
    <w:rsid w:val="00BB7AC3"/>
    <w:rsid w:val="00BB7CFD"/>
    <w:rsid w:val="00BC102C"/>
    <w:rsid w:val="00BC245A"/>
    <w:rsid w:val="00BC265D"/>
    <w:rsid w:val="00BC3433"/>
    <w:rsid w:val="00BC3ED9"/>
    <w:rsid w:val="00BC5FC0"/>
    <w:rsid w:val="00BC6FF6"/>
    <w:rsid w:val="00BD0DE3"/>
    <w:rsid w:val="00BD1962"/>
    <w:rsid w:val="00BD20C7"/>
    <w:rsid w:val="00BD45F1"/>
    <w:rsid w:val="00BD488B"/>
    <w:rsid w:val="00BD6247"/>
    <w:rsid w:val="00BD7D33"/>
    <w:rsid w:val="00BE1F3E"/>
    <w:rsid w:val="00BE1FA9"/>
    <w:rsid w:val="00BE2BD6"/>
    <w:rsid w:val="00BE34C3"/>
    <w:rsid w:val="00BE3523"/>
    <w:rsid w:val="00BE35C7"/>
    <w:rsid w:val="00BE36AE"/>
    <w:rsid w:val="00BE3B73"/>
    <w:rsid w:val="00BE42D4"/>
    <w:rsid w:val="00BF2053"/>
    <w:rsid w:val="00BF2057"/>
    <w:rsid w:val="00BF2EA9"/>
    <w:rsid w:val="00BF318F"/>
    <w:rsid w:val="00BF3487"/>
    <w:rsid w:val="00BF38C9"/>
    <w:rsid w:val="00BF46F2"/>
    <w:rsid w:val="00BF4FFC"/>
    <w:rsid w:val="00BF615B"/>
    <w:rsid w:val="00BF7822"/>
    <w:rsid w:val="00BF7F9A"/>
    <w:rsid w:val="00C0115A"/>
    <w:rsid w:val="00C0178C"/>
    <w:rsid w:val="00C03562"/>
    <w:rsid w:val="00C047E6"/>
    <w:rsid w:val="00C06424"/>
    <w:rsid w:val="00C07665"/>
    <w:rsid w:val="00C07D77"/>
    <w:rsid w:val="00C14B92"/>
    <w:rsid w:val="00C17BFB"/>
    <w:rsid w:val="00C21E2E"/>
    <w:rsid w:val="00C23496"/>
    <w:rsid w:val="00C23BE4"/>
    <w:rsid w:val="00C25BC3"/>
    <w:rsid w:val="00C25C9A"/>
    <w:rsid w:val="00C271A8"/>
    <w:rsid w:val="00C2754F"/>
    <w:rsid w:val="00C33C42"/>
    <w:rsid w:val="00C34BC3"/>
    <w:rsid w:val="00C36400"/>
    <w:rsid w:val="00C36EFA"/>
    <w:rsid w:val="00C37DAA"/>
    <w:rsid w:val="00C40175"/>
    <w:rsid w:val="00C416DA"/>
    <w:rsid w:val="00C4419B"/>
    <w:rsid w:val="00C447DF"/>
    <w:rsid w:val="00C44CE1"/>
    <w:rsid w:val="00C45AAA"/>
    <w:rsid w:val="00C46EE7"/>
    <w:rsid w:val="00C479AB"/>
    <w:rsid w:val="00C51559"/>
    <w:rsid w:val="00C5165A"/>
    <w:rsid w:val="00C51959"/>
    <w:rsid w:val="00C51DAD"/>
    <w:rsid w:val="00C5244A"/>
    <w:rsid w:val="00C531E6"/>
    <w:rsid w:val="00C540CE"/>
    <w:rsid w:val="00C563F6"/>
    <w:rsid w:val="00C569F2"/>
    <w:rsid w:val="00C572BE"/>
    <w:rsid w:val="00C62395"/>
    <w:rsid w:val="00C627AC"/>
    <w:rsid w:val="00C628C5"/>
    <w:rsid w:val="00C63780"/>
    <w:rsid w:val="00C63AF7"/>
    <w:rsid w:val="00C63F9B"/>
    <w:rsid w:val="00C644AF"/>
    <w:rsid w:val="00C65038"/>
    <w:rsid w:val="00C65B8C"/>
    <w:rsid w:val="00C65F5E"/>
    <w:rsid w:val="00C67097"/>
    <w:rsid w:val="00C71F39"/>
    <w:rsid w:val="00C73360"/>
    <w:rsid w:val="00C7413E"/>
    <w:rsid w:val="00C7496E"/>
    <w:rsid w:val="00C76B18"/>
    <w:rsid w:val="00C80D6A"/>
    <w:rsid w:val="00C81277"/>
    <w:rsid w:val="00C812A5"/>
    <w:rsid w:val="00C823CD"/>
    <w:rsid w:val="00C83023"/>
    <w:rsid w:val="00C8352D"/>
    <w:rsid w:val="00C8511F"/>
    <w:rsid w:val="00C85D93"/>
    <w:rsid w:val="00C86197"/>
    <w:rsid w:val="00C86C2A"/>
    <w:rsid w:val="00C87438"/>
    <w:rsid w:val="00C87E7F"/>
    <w:rsid w:val="00C900FB"/>
    <w:rsid w:val="00C905CA"/>
    <w:rsid w:val="00C92FDB"/>
    <w:rsid w:val="00C934DB"/>
    <w:rsid w:val="00C93765"/>
    <w:rsid w:val="00C94F94"/>
    <w:rsid w:val="00C96124"/>
    <w:rsid w:val="00C961E3"/>
    <w:rsid w:val="00C96986"/>
    <w:rsid w:val="00CA01CC"/>
    <w:rsid w:val="00CA3320"/>
    <w:rsid w:val="00CA41A9"/>
    <w:rsid w:val="00CA4619"/>
    <w:rsid w:val="00CA4B29"/>
    <w:rsid w:val="00CA7F05"/>
    <w:rsid w:val="00CB03B8"/>
    <w:rsid w:val="00CB07ED"/>
    <w:rsid w:val="00CB2D31"/>
    <w:rsid w:val="00CB3F8B"/>
    <w:rsid w:val="00CB4664"/>
    <w:rsid w:val="00CC0874"/>
    <w:rsid w:val="00CC1383"/>
    <w:rsid w:val="00CC1865"/>
    <w:rsid w:val="00CC1EAC"/>
    <w:rsid w:val="00CC3F3B"/>
    <w:rsid w:val="00CC795D"/>
    <w:rsid w:val="00CC7E2C"/>
    <w:rsid w:val="00CD0AF0"/>
    <w:rsid w:val="00CD2CCE"/>
    <w:rsid w:val="00CD4A7C"/>
    <w:rsid w:val="00CD4DC7"/>
    <w:rsid w:val="00CD64FC"/>
    <w:rsid w:val="00CD6A45"/>
    <w:rsid w:val="00CE043C"/>
    <w:rsid w:val="00CE1CA9"/>
    <w:rsid w:val="00CE34A9"/>
    <w:rsid w:val="00CE4B0B"/>
    <w:rsid w:val="00CE515A"/>
    <w:rsid w:val="00CE6835"/>
    <w:rsid w:val="00CE6FC0"/>
    <w:rsid w:val="00CF0C9B"/>
    <w:rsid w:val="00CF0E15"/>
    <w:rsid w:val="00CF15B3"/>
    <w:rsid w:val="00CF27BA"/>
    <w:rsid w:val="00CF2AE9"/>
    <w:rsid w:val="00CF5481"/>
    <w:rsid w:val="00CF56C5"/>
    <w:rsid w:val="00CF68E4"/>
    <w:rsid w:val="00D003E0"/>
    <w:rsid w:val="00D01527"/>
    <w:rsid w:val="00D01D24"/>
    <w:rsid w:val="00D02C9C"/>
    <w:rsid w:val="00D03152"/>
    <w:rsid w:val="00D0383D"/>
    <w:rsid w:val="00D04A0B"/>
    <w:rsid w:val="00D04D9F"/>
    <w:rsid w:val="00D065BE"/>
    <w:rsid w:val="00D07100"/>
    <w:rsid w:val="00D108C5"/>
    <w:rsid w:val="00D11334"/>
    <w:rsid w:val="00D117E4"/>
    <w:rsid w:val="00D119EA"/>
    <w:rsid w:val="00D1288A"/>
    <w:rsid w:val="00D1409F"/>
    <w:rsid w:val="00D14202"/>
    <w:rsid w:val="00D15DB9"/>
    <w:rsid w:val="00D15DEF"/>
    <w:rsid w:val="00D16189"/>
    <w:rsid w:val="00D16254"/>
    <w:rsid w:val="00D16F0D"/>
    <w:rsid w:val="00D179CD"/>
    <w:rsid w:val="00D17DE3"/>
    <w:rsid w:val="00D20002"/>
    <w:rsid w:val="00D20B04"/>
    <w:rsid w:val="00D2186B"/>
    <w:rsid w:val="00D2214B"/>
    <w:rsid w:val="00D22F5B"/>
    <w:rsid w:val="00D23B29"/>
    <w:rsid w:val="00D23DA9"/>
    <w:rsid w:val="00D24050"/>
    <w:rsid w:val="00D248A7"/>
    <w:rsid w:val="00D2497B"/>
    <w:rsid w:val="00D25798"/>
    <w:rsid w:val="00D25BE2"/>
    <w:rsid w:val="00D260DC"/>
    <w:rsid w:val="00D26AA3"/>
    <w:rsid w:val="00D27931"/>
    <w:rsid w:val="00D301CE"/>
    <w:rsid w:val="00D3038B"/>
    <w:rsid w:val="00D32A5A"/>
    <w:rsid w:val="00D32E4A"/>
    <w:rsid w:val="00D335DF"/>
    <w:rsid w:val="00D34C36"/>
    <w:rsid w:val="00D34E18"/>
    <w:rsid w:val="00D3511A"/>
    <w:rsid w:val="00D356C1"/>
    <w:rsid w:val="00D37C58"/>
    <w:rsid w:val="00D37EB6"/>
    <w:rsid w:val="00D425FF"/>
    <w:rsid w:val="00D454CC"/>
    <w:rsid w:val="00D4589F"/>
    <w:rsid w:val="00D479B8"/>
    <w:rsid w:val="00D47CD4"/>
    <w:rsid w:val="00D544D2"/>
    <w:rsid w:val="00D56CB5"/>
    <w:rsid w:val="00D60DED"/>
    <w:rsid w:val="00D61203"/>
    <w:rsid w:val="00D61558"/>
    <w:rsid w:val="00D6165A"/>
    <w:rsid w:val="00D62C89"/>
    <w:rsid w:val="00D63F9B"/>
    <w:rsid w:val="00D64E6D"/>
    <w:rsid w:val="00D664C1"/>
    <w:rsid w:val="00D67C47"/>
    <w:rsid w:val="00D67F96"/>
    <w:rsid w:val="00D70208"/>
    <w:rsid w:val="00D70B33"/>
    <w:rsid w:val="00D714CF"/>
    <w:rsid w:val="00D719BF"/>
    <w:rsid w:val="00D77387"/>
    <w:rsid w:val="00D8022F"/>
    <w:rsid w:val="00D82626"/>
    <w:rsid w:val="00D836C7"/>
    <w:rsid w:val="00D84096"/>
    <w:rsid w:val="00D84598"/>
    <w:rsid w:val="00D845D9"/>
    <w:rsid w:val="00D85A7B"/>
    <w:rsid w:val="00D91374"/>
    <w:rsid w:val="00D91CAC"/>
    <w:rsid w:val="00D91CF1"/>
    <w:rsid w:val="00D92836"/>
    <w:rsid w:val="00D9377E"/>
    <w:rsid w:val="00D93AD4"/>
    <w:rsid w:val="00D94E99"/>
    <w:rsid w:val="00D953A9"/>
    <w:rsid w:val="00D95EC1"/>
    <w:rsid w:val="00D96286"/>
    <w:rsid w:val="00D96E9D"/>
    <w:rsid w:val="00D97BDD"/>
    <w:rsid w:val="00D97DF9"/>
    <w:rsid w:val="00DA1634"/>
    <w:rsid w:val="00DA2935"/>
    <w:rsid w:val="00DA37F9"/>
    <w:rsid w:val="00DA381B"/>
    <w:rsid w:val="00DA3B60"/>
    <w:rsid w:val="00DA5C95"/>
    <w:rsid w:val="00DA6BDB"/>
    <w:rsid w:val="00DA6F65"/>
    <w:rsid w:val="00DA7A65"/>
    <w:rsid w:val="00DB0F04"/>
    <w:rsid w:val="00DB0F3D"/>
    <w:rsid w:val="00DB1CAE"/>
    <w:rsid w:val="00DB277A"/>
    <w:rsid w:val="00DB312A"/>
    <w:rsid w:val="00DB33B7"/>
    <w:rsid w:val="00DB349E"/>
    <w:rsid w:val="00DB3F8D"/>
    <w:rsid w:val="00DB4E2E"/>
    <w:rsid w:val="00DB69A8"/>
    <w:rsid w:val="00DB6D1E"/>
    <w:rsid w:val="00DB7BC1"/>
    <w:rsid w:val="00DC0C1E"/>
    <w:rsid w:val="00DC162E"/>
    <w:rsid w:val="00DC20C3"/>
    <w:rsid w:val="00DC28F6"/>
    <w:rsid w:val="00DC4C25"/>
    <w:rsid w:val="00DC59E0"/>
    <w:rsid w:val="00DC6EF8"/>
    <w:rsid w:val="00DC78A8"/>
    <w:rsid w:val="00DD040C"/>
    <w:rsid w:val="00DD0E07"/>
    <w:rsid w:val="00DD214C"/>
    <w:rsid w:val="00DD2E5D"/>
    <w:rsid w:val="00DD39C8"/>
    <w:rsid w:val="00DD3DC9"/>
    <w:rsid w:val="00DD7253"/>
    <w:rsid w:val="00DE016D"/>
    <w:rsid w:val="00DE06BC"/>
    <w:rsid w:val="00DE3C13"/>
    <w:rsid w:val="00DE3C71"/>
    <w:rsid w:val="00DE6416"/>
    <w:rsid w:val="00DE6BA9"/>
    <w:rsid w:val="00DE6DF5"/>
    <w:rsid w:val="00DE6F50"/>
    <w:rsid w:val="00DE6FDE"/>
    <w:rsid w:val="00DE72AC"/>
    <w:rsid w:val="00DE7D98"/>
    <w:rsid w:val="00DF05AD"/>
    <w:rsid w:val="00DF3909"/>
    <w:rsid w:val="00DF3E49"/>
    <w:rsid w:val="00DF4C7B"/>
    <w:rsid w:val="00DF5EB4"/>
    <w:rsid w:val="00DF67D2"/>
    <w:rsid w:val="00DF70DD"/>
    <w:rsid w:val="00DF7350"/>
    <w:rsid w:val="00E019B1"/>
    <w:rsid w:val="00E021FF"/>
    <w:rsid w:val="00E02651"/>
    <w:rsid w:val="00E039D3"/>
    <w:rsid w:val="00E04963"/>
    <w:rsid w:val="00E05D4B"/>
    <w:rsid w:val="00E05FD4"/>
    <w:rsid w:val="00E07254"/>
    <w:rsid w:val="00E110D1"/>
    <w:rsid w:val="00E14952"/>
    <w:rsid w:val="00E14C4D"/>
    <w:rsid w:val="00E14D69"/>
    <w:rsid w:val="00E15484"/>
    <w:rsid w:val="00E21254"/>
    <w:rsid w:val="00E2162D"/>
    <w:rsid w:val="00E21689"/>
    <w:rsid w:val="00E2245D"/>
    <w:rsid w:val="00E224D4"/>
    <w:rsid w:val="00E246F3"/>
    <w:rsid w:val="00E2479D"/>
    <w:rsid w:val="00E249B3"/>
    <w:rsid w:val="00E277A3"/>
    <w:rsid w:val="00E3151A"/>
    <w:rsid w:val="00E318FB"/>
    <w:rsid w:val="00E31FB5"/>
    <w:rsid w:val="00E32FF0"/>
    <w:rsid w:val="00E34A9A"/>
    <w:rsid w:val="00E34F0A"/>
    <w:rsid w:val="00E37F35"/>
    <w:rsid w:val="00E4010D"/>
    <w:rsid w:val="00E40403"/>
    <w:rsid w:val="00E40419"/>
    <w:rsid w:val="00E405A9"/>
    <w:rsid w:val="00E412EF"/>
    <w:rsid w:val="00E4168F"/>
    <w:rsid w:val="00E421CB"/>
    <w:rsid w:val="00E425C1"/>
    <w:rsid w:val="00E42B6B"/>
    <w:rsid w:val="00E42DBC"/>
    <w:rsid w:val="00E4580C"/>
    <w:rsid w:val="00E4682C"/>
    <w:rsid w:val="00E476D9"/>
    <w:rsid w:val="00E50A3F"/>
    <w:rsid w:val="00E51236"/>
    <w:rsid w:val="00E51F7D"/>
    <w:rsid w:val="00E546CB"/>
    <w:rsid w:val="00E55154"/>
    <w:rsid w:val="00E55710"/>
    <w:rsid w:val="00E56016"/>
    <w:rsid w:val="00E5644C"/>
    <w:rsid w:val="00E6017A"/>
    <w:rsid w:val="00E60DEE"/>
    <w:rsid w:val="00E612FC"/>
    <w:rsid w:val="00E616E4"/>
    <w:rsid w:val="00E62AD5"/>
    <w:rsid w:val="00E63405"/>
    <w:rsid w:val="00E635A3"/>
    <w:rsid w:val="00E63DA1"/>
    <w:rsid w:val="00E6439B"/>
    <w:rsid w:val="00E6477E"/>
    <w:rsid w:val="00E71913"/>
    <w:rsid w:val="00E72B2E"/>
    <w:rsid w:val="00E72ED9"/>
    <w:rsid w:val="00E745D8"/>
    <w:rsid w:val="00E750FD"/>
    <w:rsid w:val="00E75D8C"/>
    <w:rsid w:val="00E76B7D"/>
    <w:rsid w:val="00E80071"/>
    <w:rsid w:val="00E80FFE"/>
    <w:rsid w:val="00E82193"/>
    <w:rsid w:val="00E823FE"/>
    <w:rsid w:val="00E82910"/>
    <w:rsid w:val="00E82BAD"/>
    <w:rsid w:val="00E8431A"/>
    <w:rsid w:val="00E8492B"/>
    <w:rsid w:val="00E8583D"/>
    <w:rsid w:val="00E86725"/>
    <w:rsid w:val="00E87931"/>
    <w:rsid w:val="00E90969"/>
    <w:rsid w:val="00E90BAB"/>
    <w:rsid w:val="00E90C70"/>
    <w:rsid w:val="00E91A73"/>
    <w:rsid w:val="00E92C06"/>
    <w:rsid w:val="00E93A4D"/>
    <w:rsid w:val="00E94998"/>
    <w:rsid w:val="00E94EA5"/>
    <w:rsid w:val="00E950B4"/>
    <w:rsid w:val="00E95F9D"/>
    <w:rsid w:val="00E97514"/>
    <w:rsid w:val="00E9756A"/>
    <w:rsid w:val="00EA0323"/>
    <w:rsid w:val="00EA064B"/>
    <w:rsid w:val="00EA09E8"/>
    <w:rsid w:val="00EA0A6E"/>
    <w:rsid w:val="00EA1931"/>
    <w:rsid w:val="00EA2FAC"/>
    <w:rsid w:val="00EA3370"/>
    <w:rsid w:val="00EA34B6"/>
    <w:rsid w:val="00EA39FE"/>
    <w:rsid w:val="00EA5B00"/>
    <w:rsid w:val="00EA5C12"/>
    <w:rsid w:val="00EA616C"/>
    <w:rsid w:val="00EB05F3"/>
    <w:rsid w:val="00EB181E"/>
    <w:rsid w:val="00EB1F4A"/>
    <w:rsid w:val="00EB2B74"/>
    <w:rsid w:val="00EB2FBA"/>
    <w:rsid w:val="00EB3A2D"/>
    <w:rsid w:val="00EB411F"/>
    <w:rsid w:val="00EB50F5"/>
    <w:rsid w:val="00EB5485"/>
    <w:rsid w:val="00EB636A"/>
    <w:rsid w:val="00EB6680"/>
    <w:rsid w:val="00EB71CC"/>
    <w:rsid w:val="00EB7B92"/>
    <w:rsid w:val="00EB7F24"/>
    <w:rsid w:val="00EC002D"/>
    <w:rsid w:val="00EC0AC7"/>
    <w:rsid w:val="00EC2B9C"/>
    <w:rsid w:val="00EC56BD"/>
    <w:rsid w:val="00EC67BE"/>
    <w:rsid w:val="00EC6EDF"/>
    <w:rsid w:val="00EC7E8C"/>
    <w:rsid w:val="00ED1454"/>
    <w:rsid w:val="00ED23C4"/>
    <w:rsid w:val="00ED335C"/>
    <w:rsid w:val="00ED39BD"/>
    <w:rsid w:val="00ED3AA2"/>
    <w:rsid w:val="00ED452E"/>
    <w:rsid w:val="00ED5086"/>
    <w:rsid w:val="00ED52A9"/>
    <w:rsid w:val="00ED57C3"/>
    <w:rsid w:val="00ED72FA"/>
    <w:rsid w:val="00EE1310"/>
    <w:rsid w:val="00EE47A9"/>
    <w:rsid w:val="00EE5C1B"/>
    <w:rsid w:val="00EE6172"/>
    <w:rsid w:val="00EE714B"/>
    <w:rsid w:val="00EE71B1"/>
    <w:rsid w:val="00EF167D"/>
    <w:rsid w:val="00EF2018"/>
    <w:rsid w:val="00EF23D0"/>
    <w:rsid w:val="00EF2AD0"/>
    <w:rsid w:val="00EF31C8"/>
    <w:rsid w:val="00EF3351"/>
    <w:rsid w:val="00EF477B"/>
    <w:rsid w:val="00EF4BF6"/>
    <w:rsid w:val="00EF5DC4"/>
    <w:rsid w:val="00EF7E0F"/>
    <w:rsid w:val="00F00600"/>
    <w:rsid w:val="00F00EBF"/>
    <w:rsid w:val="00F01634"/>
    <w:rsid w:val="00F01C60"/>
    <w:rsid w:val="00F028DA"/>
    <w:rsid w:val="00F031DD"/>
    <w:rsid w:val="00F03607"/>
    <w:rsid w:val="00F03694"/>
    <w:rsid w:val="00F0384B"/>
    <w:rsid w:val="00F04E13"/>
    <w:rsid w:val="00F05662"/>
    <w:rsid w:val="00F06232"/>
    <w:rsid w:val="00F073BE"/>
    <w:rsid w:val="00F10800"/>
    <w:rsid w:val="00F108DB"/>
    <w:rsid w:val="00F113DF"/>
    <w:rsid w:val="00F14D52"/>
    <w:rsid w:val="00F15AEF"/>
    <w:rsid w:val="00F16036"/>
    <w:rsid w:val="00F16124"/>
    <w:rsid w:val="00F167FB"/>
    <w:rsid w:val="00F172EA"/>
    <w:rsid w:val="00F179B8"/>
    <w:rsid w:val="00F202F1"/>
    <w:rsid w:val="00F208A0"/>
    <w:rsid w:val="00F20E58"/>
    <w:rsid w:val="00F2130D"/>
    <w:rsid w:val="00F215EF"/>
    <w:rsid w:val="00F22C67"/>
    <w:rsid w:val="00F2320E"/>
    <w:rsid w:val="00F24396"/>
    <w:rsid w:val="00F24479"/>
    <w:rsid w:val="00F24559"/>
    <w:rsid w:val="00F249F2"/>
    <w:rsid w:val="00F2557C"/>
    <w:rsid w:val="00F27DE1"/>
    <w:rsid w:val="00F30599"/>
    <w:rsid w:val="00F30F15"/>
    <w:rsid w:val="00F32E94"/>
    <w:rsid w:val="00F34149"/>
    <w:rsid w:val="00F34B8B"/>
    <w:rsid w:val="00F34EEA"/>
    <w:rsid w:val="00F3502B"/>
    <w:rsid w:val="00F374C7"/>
    <w:rsid w:val="00F4074C"/>
    <w:rsid w:val="00F408E6"/>
    <w:rsid w:val="00F419A3"/>
    <w:rsid w:val="00F421DC"/>
    <w:rsid w:val="00F42501"/>
    <w:rsid w:val="00F42828"/>
    <w:rsid w:val="00F4412F"/>
    <w:rsid w:val="00F449F6"/>
    <w:rsid w:val="00F4538D"/>
    <w:rsid w:val="00F45686"/>
    <w:rsid w:val="00F45C0B"/>
    <w:rsid w:val="00F522DA"/>
    <w:rsid w:val="00F5374D"/>
    <w:rsid w:val="00F53C2D"/>
    <w:rsid w:val="00F5520A"/>
    <w:rsid w:val="00F5557E"/>
    <w:rsid w:val="00F5648C"/>
    <w:rsid w:val="00F5676B"/>
    <w:rsid w:val="00F609DD"/>
    <w:rsid w:val="00F61342"/>
    <w:rsid w:val="00F650FE"/>
    <w:rsid w:val="00F655F4"/>
    <w:rsid w:val="00F658C2"/>
    <w:rsid w:val="00F71D46"/>
    <w:rsid w:val="00F732FB"/>
    <w:rsid w:val="00F73CF3"/>
    <w:rsid w:val="00F75E4E"/>
    <w:rsid w:val="00F76D28"/>
    <w:rsid w:val="00F776D4"/>
    <w:rsid w:val="00F778CC"/>
    <w:rsid w:val="00F77A33"/>
    <w:rsid w:val="00F80262"/>
    <w:rsid w:val="00F80755"/>
    <w:rsid w:val="00F80D15"/>
    <w:rsid w:val="00F83244"/>
    <w:rsid w:val="00F83D20"/>
    <w:rsid w:val="00F86AA5"/>
    <w:rsid w:val="00F87073"/>
    <w:rsid w:val="00F875FF"/>
    <w:rsid w:val="00F879BF"/>
    <w:rsid w:val="00F87A1A"/>
    <w:rsid w:val="00F87C8B"/>
    <w:rsid w:val="00F87F24"/>
    <w:rsid w:val="00F90A97"/>
    <w:rsid w:val="00F928D6"/>
    <w:rsid w:val="00F93684"/>
    <w:rsid w:val="00F9525A"/>
    <w:rsid w:val="00F95C09"/>
    <w:rsid w:val="00F95E97"/>
    <w:rsid w:val="00F96FEA"/>
    <w:rsid w:val="00F97217"/>
    <w:rsid w:val="00F97A30"/>
    <w:rsid w:val="00FA0442"/>
    <w:rsid w:val="00FA1046"/>
    <w:rsid w:val="00FA1335"/>
    <w:rsid w:val="00FA17BE"/>
    <w:rsid w:val="00FA31BF"/>
    <w:rsid w:val="00FA42B4"/>
    <w:rsid w:val="00FA433E"/>
    <w:rsid w:val="00FA4814"/>
    <w:rsid w:val="00FA4883"/>
    <w:rsid w:val="00FA4EF4"/>
    <w:rsid w:val="00FA502D"/>
    <w:rsid w:val="00FA5589"/>
    <w:rsid w:val="00FA5CB0"/>
    <w:rsid w:val="00FA66FF"/>
    <w:rsid w:val="00FA7825"/>
    <w:rsid w:val="00FA7993"/>
    <w:rsid w:val="00FB10B1"/>
    <w:rsid w:val="00FB1A76"/>
    <w:rsid w:val="00FB2AF5"/>
    <w:rsid w:val="00FB3294"/>
    <w:rsid w:val="00FB3A81"/>
    <w:rsid w:val="00FB44EF"/>
    <w:rsid w:val="00FB44FD"/>
    <w:rsid w:val="00FB57B4"/>
    <w:rsid w:val="00FB641E"/>
    <w:rsid w:val="00FB785A"/>
    <w:rsid w:val="00FB7F99"/>
    <w:rsid w:val="00FC0E2B"/>
    <w:rsid w:val="00FC3420"/>
    <w:rsid w:val="00FC49E6"/>
    <w:rsid w:val="00FC55D9"/>
    <w:rsid w:val="00FC5F74"/>
    <w:rsid w:val="00FC6367"/>
    <w:rsid w:val="00FC69EF"/>
    <w:rsid w:val="00FC6FAC"/>
    <w:rsid w:val="00FD0DF5"/>
    <w:rsid w:val="00FD348F"/>
    <w:rsid w:val="00FD4260"/>
    <w:rsid w:val="00FD4F16"/>
    <w:rsid w:val="00FD54F9"/>
    <w:rsid w:val="00FD5912"/>
    <w:rsid w:val="00FE031B"/>
    <w:rsid w:val="00FE129A"/>
    <w:rsid w:val="00FE198A"/>
    <w:rsid w:val="00FE3053"/>
    <w:rsid w:val="00FE311E"/>
    <w:rsid w:val="00FE4287"/>
    <w:rsid w:val="00FE4910"/>
    <w:rsid w:val="00FE53F7"/>
    <w:rsid w:val="00FE567F"/>
    <w:rsid w:val="00FE667C"/>
    <w:rsid w:val="00FF18C0"/>
    <w:rsid w:val="00FF21EC"/>
    <w:rsid w:val="00FF3E16"/>
    <w:rsid w:val="00FF51C4"/>
    <w:rsid w:val="00FF781E"/>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1BA9"/>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style>
  <w:style w:type="character" w:customStyle="1" w:styleId="EncabezadoCar">
    <w:name w:val="Encabezado Car"/>
    <w:link w:val="Encabezado"/>
    <w:uiPriority w:val="99"/>
    <w:rsid w:val="009B198F"/>
    <w:rPr>
      <w:rFonts w:ascii="Times New Roman" w:eastAsia="Times New Roman" w:hAnsi="Times New Roman" w:cs="Times New Roman"/>
      <w:sz w:val="24"/>
      <w:szCs w:val="24"/>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character" w:customStyle="1" w:styleId="PrrafodelistaCar">
    <w:name w:val="Párrafo de lista Car"/>
    <w:aliases w:val="Párrafo de lista 2 Car"/>
    <w:link w:val="Prrafodelista"/>
    <w:uiPriority w:val="34"/>
    <w:rsid w:val="005A6477"/>
    <w:rPr>
      <w:rFonts w:ascii="Times New Roman" w:eastAsia="Times New Roman" w:hAnsi="Times New Roman"/>
      <w:sz w:val="24"/>
      <w:szCs w:val="24"/>
      <w:lang w:val="es-ES" w:eastAsia="es-ES"/>
    </w:r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uiPriority w:val="99"/>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39"/>
    <w:rsid w:val="001B07B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EB2FBA"/>
    <w:pPr>
      <w:pBdr>
        <w:top w:val="thinThickSmallGap" w:sz="24" w:space="1" w:color="585858"/>
      </w:pBdr>
      <w:tabs>
        <w:tab w:val="center" w:pos="4419"/>
        <w:tab w:val="right" w:pos="8838"/>
      </w:tabs>
    </w:pPr>
    <w:rPr>
      <w:rFonts w:ascii="Constantia" w:hAnsi="Constantia"/>
    </w:rPr>
  </w:style>
  <w:style w:type="character" w:customStyle="1" w:styleId="PiedepginaCar">
    <w:name w:val="Pie de página Car"/>
    <w:link w:val="Piedepgina"/>
    <w:uiPriority w:val="99"/>
    <w:rsid w:val="00EB2FBA"/>
    <w:rPr>
      <w:rFonts w:ascii="Constantia" w:eastAsia="Times New Roman" w:hAnsi="Constantia"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lang w:val="es-GT" w:eastAsia="es-GT"/>
    </w:rPr>
  </w:style>
  <w:style w:type="paragraph" w:styleId="Sinespaciado">
    <w:name w:val="No Spacing"/>
    <w:link w:val="SinespaciadoCar"/>
    <w:uiPriority w:val="1"/>
    <w:qFormat/>
    <w:rsid w:val="00C7413E"/>
    <w:rPr>
      <w:rFonts w:ascii="Constantia" w:eastAsia="Times New Roman" w:hAnsi="Constantia"/>
      <w:sz w:val="24"/>
      <w:szCs w:val="24"/>
      <w:lang w:val="es-ES_tradnl" w:eastAsia="ja-JP"/>
    </w:rPr>
  </w:style>
  <w:style w:type="character" w:customStyle="1" w:styleId="SinespaciadoCar">
    <w:name w:val="Sin espaciado Car"/>
    <w:basedOn w:val="Fuentedeprrafopredeter"/>
    <w:link w:val="Sinespaciado"/>
    <w:uiPriority w:val="1"/>
    <w:locked/>
    <w:rsid w:val="005B1AE1"/>
    <w:rPr>
      <w:rFonts w:ascii="Constantia" w:eastAsia="Times New Roman" w:hAnsi="Constantia"/>
      <w:sz w:val="24"/>
      <w:szCs w:val="24"/>
      <w:lang w:val="es-ES_tradnl" w:eastAsia="ja-JP"/>
    </w:rPr>
  </w:style>
  <w:style w:type="paragraph" w:styleId="TtulodeTDC">
    <w:name w:val="TOC Heading"/>
    <w:basedOn w:val="Ttulo1"/>
    <w:next w:val="Normal"/>
    <w:uiPriority w:val="39"/>
    <w:unhideWhenUsed/>
    <w:qFormat/>
    <w:rsid w:val="00D61558"/>
    <w:pPr>
      <w:keepLines/>
      <w:numPr>
        <w:numId w:val="0"/>
      </w:numPr>
      <w:spacing w:before="480" w:line="276" w:lineRule="auto"/>
      <w:outlineLvl w:val="9"/>
    </w:pPr>
    <w:rPr>
      <w:rFonts w:ascii="Constantia" w:hAnsi="Constantia"/>
      <w:color w:val="A5A5A5"/>
      <w:sz w:val="28"/>
      <w:szCs w:val="28"/>
      <w:lang w:val="es-GT" w:eastAsia="es-GT"/>
    </w:rPr>
  </w:style>
  <w:style w:type="paragraph" w:styleId="TDC1">
    <w:name w:val="toc 1"/>
    <w:basedOn w:val="Normal"/>
    <w:next w:val="Normal"/>
    <w:autoRedefine/>
    <w:uiPriority w:val="39"/>
    <w:unhideWhenUsed/>
    <w:rsid w:val="00383CA7"/>
    <w:pPr>
      <w:tabs>
        <w:tab w:val="left" w:pos="480"/>
        <w:tab w:val="right" w:leader="dot" w:pos="9062"/>
      </w:tabs>
      <w:spacing w:after="100"/>
      <w:jc w:val="both"/>
    </w:pPr>
  </w:style>
  <w:style w:type="paragraph" w:styleId="TDC2">
    <w:name w:val="toc 2"/>
    <w:basedOn w:val="Normal"/>
    <w:next w:val="Normal"/>
    <w:autoRedefine/>
    <w:uiPriority w:val="39"/>
    <w:unhideWhenUsed/>
    <w:rsid w:val="00AB0496"/>
    <w:pPr>
      <w:tabs>
        <w:tab w:val="left" w:pos="880"/>
        <w:tab w:val="right" w:leader="dot" w:pos="9072"/>
      </w:tabs>
      <w:spacing w:after="100"/>
      <w:ind w:left="240"/>
      <w:jc w:val="both"/>
    </w:pPr>
  </w:style>
  <w:style w:type="paragraph" w:styleId="TDC3">
    <w:name w:val="toc 3"/>
    <w:basedOn w:val="Normal"/>
    <w:next w:val="Normal"/>
    <w:autoRedefine/>
    <w:uiPriority w:val="39"/>
    <w:unhideWhenUsed/>
    <w:rsid w:val="004F48BD"/>
    <w:pPr>
      <w:tabs>
        <w:tab w:val="left" w:pos="1100"/>
        <w:tab w:val="right" w:leader="dot" w:pos="9062"/>
      </w:tabs>
      <w:spacing w:after="100"/>
      <w:ind w:left="480"/>
      <w:jc w:val="both"/>
    </w:pPr>
  </w:style>
  <w:style w:type="character" w:styleId="Refdecomentario">
    <w:name w:val="annotation reference"/>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link w:val="Asuntodelcomentario"/>
    <w:uiPriority w:val="99"/>
    <w:semiHidden/>
    <w:rsid w:val="00B372A0"/>
    <w:rPr>
      <w:rFonts w:ascii="Times New Roman" w:eastAsia="Times New Roman" w:hAnsi="Times New Roman"/>
      <w:b/>
      <w:bCs/>
      <w:lang w:val="es-ES" w:eastAsia="es-ES"/>
    </w:rPr>
  </w:style>
  <w:style w:type="table" w:customStyle="1" w:styleId="Listamedia2-nfasis11">
    <w:name w:val="Lista media 2 - Énfasis 11"/>
    <w:basedOn w:val="Tablanormal"/>
    <w:uiPriority w:val="66"/>
    <w:rsid w:val="0085525B"/>
    <w:rPr>
      <w:rFonts w:ascii="Cambria" w:eastAsia="Times New Roman" w:hAnsi="Cambria"/>
      <w:color w:val="000000"/>
      <w:sz w:val="22"/>
      <w:szCs w:val="22"/>
      <w:lang w:val="es-E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stamedia2-nfasis1">
    <w:name w:val="Medium List 2 Accent 1"/>
    <w:basedOn w:val="Tablanormal"/>
    <w:uiPriority w:val="66"/>
    <w:rsid w:val="0085525B"/>
    <w:rPr>
      <w:rFonts w:ascii="Constantia" w:eastAsia="Times New Roman" w:hAnsi="Constantia"/>
      <w:color w:val="000000"/>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rPr>
        <w:sz w:val="24"/>
        <w:szCs w:val="24"/>
      </w:rPr>
      <w:tblPr/>
      <w:tcPr>
        <w:tcBorders>
          <w:top w:val="nil"/>
          <w:left w:val="nil"/>
          <w:bottom w:val="single" w:sz="24" w:space="0" w:color="DDDDDD"/>
          <w:right w:val="nil"/>
          <w:insideH w:val="nil"/>
          <w:insideV w:val="nil"/>
        </w:tcBorders>
        <w:shd w:val="clear" w:color="auto" w:fill="FFFFFF"/>
      </w:tcPr>
    </w:tblStylePr>
    <w:tblStylePr w:type="lastRow">
      <w:tblPr/>
      <w:tcPr>
        <w:tcBorders>
          <w:top w:val="single" w:sz="8" w:space="0" w:color="DDDDDD"/>
          <w:left w:val="nil"/>
          <w:bottom w:val="nil"/>
          <w:right w:val="nil"/>
          <w:insideH w:val="nil"/>
          <w:insideV w:val="nil"/>
        </w:tcBorders>
        <w:shd w:val="clear" w:color="auto" w:fill="FFFFFF"/>
      </w:tcPr>
    </w:tblStylePr>
    <w:tblStylePr w:type="firstCol">
      <w:tblPr/>
      <w:tcPr>
        <w:tcBorders>
          <w:top w:val="nil"/>
          <w:left w:val="nil"/>
          <w:bottom w:val="nil"/>
          <w:right w:val="single" w:sz="8" w:space="0" w:color="DDDDDD"/>
          <w:insideH w:val="nil"/>
          <w:insideV w:val="nil"/>
        </w:tcBorders>
        <w:shd w:val="clear" w:color="auto" w:fill="FFFFFF"/>
      </w:tcPr>
    </w:tblStylePr>
    <w:tblStylePr w:type="lastCol">
      <w:tblPr/>
      <w:tcPr>
        <w:tcBorders>
          <w:top w:val="nil"/>
          <w:left w:val="single" w:sz="8" w:space="0" w:color="DDDDD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6F6F6"/>
      </w:tcPr>
    </w:tblStylePr>
    <w:tblStylePr w:type="band1Horz">
      <w:tblPr/>
      <w:tcPr>
        <w:tcBorders>
          <w:top w:val="nil"/>
          <w:bottom w:val="nil"/>
          <w:insideH w:val="nil"/>
          <w:insideV w:val="nil"/>
        </w:tcBorders>
        <w:shd w:val="clear" w:color="auto" w:fill="F6F6F6"/>
      </w:tcPr>
    </w:tblStylePr>
    <w:tblStylePr w:type="nwCell">
      <w:tblPr/>
      <w:tcPr>
        <w:shd w:val="clear" w:color="auto" w:fill="FFFFFF"/>
      </w:tcPr>
    </w:tblStylePr>
    <w:tblStylePr w:type="swCell">
      <w:tblPr/>
      <w:tcPr>
        <w:tcBorders>
          <w:top w:val="nil"/>
        </w:tcBorders>
      </w:tcPr>
    </w:tblStylePr>
  </w:style>
  <w:style w:type="table" w:customStyle="1" w:styleId="Tablaconcuadrcula1">
    <w:name w:val="Tabla con cuadrícula1"/>
    <w:basedOn w:val="Tablanormal"/>
    <w:next w:val="Tablaconcuadrcula"/>
    <w:uiPriority w:val="59"/>
    <w:rsid w:val="00DA6BDB"/>
    <w:rPr>
      <w:rFonts w:ascii="Times New Roman" w:eastAsia="Times New Roman" w:hAnsi="Times New Roman"/>
      <w:lang w:val="es-GT"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pgrafe">
    <w:name w:val="caption"/>
    <w:basedOn w:val="Normal"/>
    <w:next w:val="Normal"/>
    <w:uiPriority w:val="35"/>
    <w:unhideWhenUsed/>
    <w:qFormat/>
    <w:rsid w:val="00DB0F04"/>
    <w:pPr>
      <w:spacing w:after="200"/>
    </w:pPr>
    <w:rPr>
      <w:rFonts w:asciiTheme="minorHAnsi" w:eastAsiaTheme="minorHAnsi" w:hAnsiTheme="minorHAnsi" w:cstheme="minorBidi"/>
      <w:i/>
      <w:iCs/>
      <w:color w:val="000000" w:themeColor="text2"/>
      <w:sz w:val="18"/>
      <w:szCs w:val="18"/>
      <w:lang w:val="es-GT"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1BA9"/>
    <w:rPr>
      <w:rFonts w:ascii="Times New Roman" w:eastAsia="Times New Roman" w:hAnsi="Times New Roman"/>
      <w:sz w:val="24"/>
      <w:szCs w:val="24"/>
      <w:lang w:val="es-ES" w:eastAsia="es-ES"/>
    </w:rPr>
  </w:style>
  <w:style w:type="paragraph" w:styleId="Ttulo1">
    <w:name w:val="heading 1"/>
    <w:basedOn w:val="Normal"/>
    <w:next w:val="Normal"/>
    <w:link w:val="Ttulo1Car"/>
    <w:qFormat/>
    <w:rsid w:val="009B198F"/>
    <w:pPr>
      <w:keepNext/>
      <w:numPr>
        <w:numId w:val="1"/>
      </w:numPr>
      <w:outlineLvl w:val="0"/>
    </w:pPr>
    <w:rPr>
      <w:b/>
      <w:bCs/>
    </w:rPr>
  </w:style>
  <w:style w:type="paragraph" w:styleId="Ttulo2">
    <w:name w:val="heading 2"/>
    <w:basedOn w:val="Normal"/>
    <w:next w:val="Normal"/>
    <w:link w:val="Ttulo2Car"/>
    <w:qFormat/>
    <w:rsid w:val="009B198F"/>
    <w:pPr>
      <w:keepNext/>
      <w:keepLines/>
      <w:numPr>
        <w:ilvl w:val="1"/>
        <w:numId w:val="1"/>
      </w:numPr>
      <w:spacing w:before="200"/>
      <w:outlineLvl w:val="1"/>
    </w:pPr>
    <w:rPr>
      <w:rFonts w:ascii="Cambria" w:hAnsi="Cambria"/>
      <w:b/>
      <w:bCs/>
      <w:color w:val="4F81BD"/>
      <w:sz w:val="26"/>
      <w:szCs w:val="26"/>
    </w:rPr>
  </w:style>
  <w:style w:type="paragraph" w:styleId="Ttulo3">
    <w:name w:val="heading 3"/>
    <w:basedOn w:val="Normal"/>
    <w:next w:val="Normal"/>
    <w:link w:val="Ttulo3Car"/>
    <w:qFormat/>
    <w:rsid w:val="009B198F"/>
    <w:pPr>
      <w:keepNext/>
      <w:keepLines/>
      <w:numPr>
        <w:ilvl w:val="2"/>
        <w:numId w:val="1"/>
      </w:numPr>
      <w:spacing w:before="200"/>
      <w:outlineLvl w:val="2"/>
    </w:pPr>
    <w:rPr>
      <w:rFonts w:ascii="Cambria" w:hAnsi="Cambria"/>
      <w:b/>
      <w:bCs/>
      <w:color w:val="4F81BD"/>
    </w:rPr>
  </w:style>
  <w:style w:type="paragraph" w:styleId="Ttulo4">
    <w:name w:val="heading 4"/>
    <w:basedOn w:val="Normal"/>
    <w:next w:val="Normal"/>
    <w:link w:val="Ttulo4Car"/>
    <w:qFormat/>
    <w:rsid w:val="009B198F"/>
    <w:pPr>
      <w:keepNext/>
      <w:keepLines/>
      <w:numPr>
        <w:ilvl w:val="3"/>
        <w:numId w:val="1"/>
      </w:numPr>
      <w:spacing w:before="200"/>
      <w:outlineLvl w:val="3"/>
    </w:pPr>
    <w:rPr>
      <w:rFonts w:ascii="Cambria" w:hAnsi="Cambria"/>
      <w:b/>
      <w:bCs/>
      <w:i/>
      <w:iCs/>
      <w:color w:val="4F81BD"/>
    </w:rPr>
  </w:style>
  <w:style w:type="paragraph" w:styleId="Ttulo5">
    <w:name w:val="heading 5"/>
    <w:basedOn w:val="Normal"/>
    <w:next w:val="Normal"/>
    <w:link w:val="Ttulo5Car"/>
    <w:qFormat/>
    <w:rsid w:val="009B198F"/>
    <w:pPr>
      <w:keepNext/>
      <w:keepLines/>
      <w:numPr>
        <w:ilvl w:val="4"/>
        <w:numId w:val="1"/>
      </w:numPr>
      <w:spacing w:before="200"/>
      <w:outlineLvl w:val="4"/>
    </w:pPr>
    <w:rPr>
      <w:rFonts w:ascii="Cambria" w:hAnsi="Cambria"/>
      <w:color w:val="243F60"/>
    </w:rPr>
  </w:style>
  <w:style w:type="paragraph" w:styleId="Ttulo6">
    <w:name w:val="heading 6"/>
    <w:basedOn w:val="Normal"/>
    <w:next w:val="Normal"/>
    <w:link w:val="Ttulo6Car"/>
    <w:qFormat/>
    <w:rsid w:val="009B198F"/>
    <w:pPr>
      <w:keepNext/>
      <w:keepLines/>
      <w:numPr>
        <w:ilvl w:val="5"/>
        <w:numId w:val="1"/>
      </w:numPr>
      <w:spacing w:before="200"/>
      <w:outlineLvl w:val="5"/>
    </w:pPr>
    <w:rPr>
      <w:rFonts w:ascii="Cambria" w:hAnsi="Cambria"/>
      <w:i/>
      <w:iCs/>
      <w:color w:val="243F60"/>
    </w:rPr>
  </w:style>
  <w:style w:type="paragraph" w:styleId="Ttulo7">
    <w:name w:val="heading 7"/>
    <w:basedOn w:val="Normal"/>
    <w:next w:val="Normal"/>
    <w:link w:val="Ttulo7Car"/>
    <w:qFormat/>
    <w:rsid w:val="009B198F"/>
    <w:pPr>
      <w:keepNext/>
      <w:keepLines/>
      <w:numPr>
        <w:ilvl w:val="6"/>
        <w:numId w:val="1"/>
      </w:numPr>
      <w:spacing w:before="200"/>
      <w:outlineLvl w:val="6"/>
    </w:pPr>
    <w:rPr>
      <w:rFonts w:ascii="Cambria" w:hAnsi="Cambria"/>
      <w:i/>
      <w:iCs/>
      <w:color w:val="404040"/>
    </w:rPr>
  </w:style>
  <w:style w:type="paragraph" w:styleId="Ttulo8">
    <w:name w:val="heading 8"/>
    <w:basedOn w:val="Normal"/>
    <w:next w:val="Normal"/>
    <w:link w:val="Ttulo8Car"/>
    <w:qFormat/>
    <w:rsid w:val="009B198F"/>
    <w:pPr>
      <w:keepNext/>
      <w:keepLines/>
      <w:numPr>
        <w:ilvl w:val="7"/>
        <w:numId w:val="1"/>
      </w:numPr>
      <w:spacing w:before="200"/>
      <w:outlineLvl w:val="7"/>
    </w:pPr>
    <w:rPr>
      <w:rFonts w:ascii="Cambria" w:hAnsi="Cambria"/>
      <w:color w:val="404040"/>
      <w:sz w:val="20"/>
      <w:szCs w:val="20"/>
    </w:rPr>
  </w:style>
  <w:style w:type="paragraph" w:styleId="Ttulo9">
    <w:name w:val="heading 9"/>
    <w:basedOn w:val="Normal"/>
    <w:next w:val="Normal"/>
    <w:link w:val="Ttulo9Car"/>
    <w:qFormat/>
    <w:rsid w:val="009B198F"/>
    <w:pPr>
      <w:keepNext/>
      <w:keepLines/>
      <w:numPr>
        <w:ilvl w:val="8"/>
        <w:numId w:val="1"/>
      </w:numPr>
      <w:spacing w:before="200"/>
      <w:outlineLvl w:val="8"/>
    </w:pPr>
    <w:rPr>
      <w:rFonts w:ascii="Cambria"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rsid w:val="009B198F"/>
    <w:rPr>
      <w:rFonts w:ascii="Times New Roman" w:eastAsia="Times New Roman" w:hAnsi="Times New Roman"/>
      <w:b/>
      <w:bCs/>
      <w:sz w:val="24"/>
      <w:szCs w:val="24"/>
      <w:lang w:val="es-ES" w:eastAsia="es-ES"/>
    </w:rPr>
  </w:style>
  <w:style w:type="character" w:customStyle="1" w:styleId="Ttulo2Car">
    <w:name w:val="Título 2 Car"/>
    <w:link w:val="Ttulo2"/>
    <w:rsid w:val="009B198F"/>
    <w:rPr>
      <w:rFonts w:ascii="Cambria" w:eastAsia="Times New Roman" w:hAnsi="Cambria"/>
      <w:b/>
      <w:bCs/>
      <w:color w:val="4F81BD"/>
      <w:sz w:val="26"/>
      <w:szCs w:val="26"/>
      <w:lang w:val="es-ES" w:eastAsia="es-ES"/>
    </w:rPr>
  </w:style>
  <w:style w:type="character" w:customStyle="1" w:styleId="Ttulo3Car">
    <w:name w:val="Título 3 Car"/>
    <w:link w:val="Ttulo3"/>
    <w:rsid w:val="009B198F"/>
    <w:rPr>
      <w:rFonts w:ascii="Cambria" w:eastAsia="Times New Roman" w:hAnsi="Cambria"/>
      <w:b/>
      <w:bCs/>
      <w:color w:val="4F81BD"/>
      <w:sz w:val="24"/>
      <w:szCs w:val="24"/>
      <w:lang w:val="es-ES" w:eastAsia="es-ES"/>
    </w:rPr>
  </w:style>
  <w:style w:type="character" w:customStyle="1" w:styleId="Ttulo4Car">
    <w:name w:val="Título 4 Car"/>
    <w:link w:val="Ttulo4"/>
    <w:rsid w:val="009B198F"/>
    <w:rPr>
      <w:rFonts w:ascii="Cambria" w:eastAsia="Times New Roman" w:hAnsi="Cambria"/>
      <w:b/>
      <w:bCs/>
      <w:i/>
      <w:iCs/>
      <w:color w:val="4F81BD"/>
      <w:sz w:val="24"/>
      <w:szCs w:val="24"/>
      <w:lang w:val="es-ES" w:eastAsia="es-ES"/>
    </w:rPr>
  </w:style>
  <w:style w:type="character" w:customStyle="1" w:styleId="Ttulo5Car">
    <w:name w:val="Título 5 Car"/>
    <w:link w:val="Ttulo5"/>
    <w:rsid w:val="009B198F"/>
    <w:rPr>
      <w:rFonts w:ascii="Cambria" w:eastAsia="Times New Roman" w:hAnsi="Cambria"/>
      <w:color w:val="243F60"/>
      <w:sz w:val="24"/>
      <w:szCs w:val="24"/>
      <w:lang w:val="es-ES" w:eastAsia="es-ES"/>
    </w:rPr>
  </w:style>
  <w:style w:type="character" w:customStyle="1" w:styleId="Ttulo6Car">
    <w:name w:val="Título 6 Car"/>
    <w:link w:val="Ttulo6"/>
    <w:rsid w:val="009B198F"/>
    <w:rPr>
      <w:rFonts w:ascii="Cambria" w:eastAsia="Times New Roman" w:hAnsi="Cambria"/>
      <w:i/>
      <w:iCs/>
      <w:color w:val="243F60"/>
      <w:sz w:val="24"/>
      <w:szCs w:val="24"/>
      <w:lang w:val="es-ES" w:eastAsia="es-ES"/>
    </w:rPr>
  </w:style>
  <w:style w:type="character" w:customStyle="1" w:styleId="Ttulo7Car">
    <w:name w:val="Título 7 Car"/>
    <w:link w:val="Ttulo7"/>
    <w:rsid w:val="009B198F"/>
    <w:rPr>
      <w:rFonts w:ascii="Cambria" w:eastAsia="Times New Roman" w:hAnsi="Cambria"/>
      <w:i/>
      <w:iCs/>
      <w:color w:val="404040"/>
      <w:sz w:val="24"/>
      <w:szCs w:val="24"/>
      <w:lang w:val="es-ES" w:eastAsia="es-ES"/>
    </w:rPr>
  </w:style>
  <w:style w:type="character" w:customStyle="1" w:styleId="Ttulo8Car">
    <w:name w:val="Título 8 Car"/>
    <w:link w:val="Ttulo8"/>
    <w:rsid w:val="009B198F"/>
    <w:rPr>
      <w:rFonts w:ascii="Cambria" w:eastAsia="Times New Roman" w:hAnsi="Cambria"/>
      <w:color w:val="404040"/>
      <w:lang w:val="es-ES" w:eastAsia="es-ES"/>
    </w:rPr>
  </w:style>
  <w:style w:type="character" w:customStyle="1" w:styleId="Ttulo9Car">
    <w:name w:val="Título 9 Car"/>
    <w:link w:val="Ttulo9"/>
    <w:rsid w:val="009B198F"/>
    <w:rPr>
      <w:rFonts w:ascii="Cambria" w:eastAsia="Times New Roman" w:hAnsi="Cambria"/>
      <w:i/>
      <w:iCs/>
      <w:color w:val="404040"/>
      <w:lang w:val="es-ES" w:eastAsia="es-ES"/>
    </w:rPr>
  </w:style>
  <w:style w:type="paragraph" w:styleId="Encabezado">
    <w:name w:val="header"/>
    <w:basedOn w:val="Normal"/>
    <w:link w:val="EncabezadoCar"/>
    <w:uiPriority w:val="99"/>
    <w:rsid w:val="009B198F"/>
    <w:pPr>
      <w:tabs>
        <w:tab w:val="center" w:pos="4252"/>
        <w:tab w:val="right" w:pos="8504"/>
      </w:tabs>
    </w:pPr>
  </w:style>
  <w:style w:type="character" w:customStyle="1" w:styleId="EncabezadoCar">
    <w:name w:val="Encabezado Car"/>
    <w:link w:val="Encabezado"/>
    <w:uiPriority w:val="99"/>
    <w:rsid w:val="009B198F"/>
    <w:rPr>
      <w:rFonts w:ascii="Times New Roman" w:eastAsia="Times New Roman" w:hAnsi="Times New Roman" w:cs="Times New Roman"/>
      <w:sz w:val="24"/>
      <w:szCs w:val="24"/>
    </w:rPr>
  </w:style>
  <w:style w:type="character" w:styleId="Nmerodepgina">
    <w:name w:val="page number"/>
    <w:basedOn w:val="Fuentedeprrafopredeter"/>
    <w:rsid w:val="009B198F"/>
  </w:style>
  <w:style w:type="paragraph" w:customStyle="1" w:styleId="ListParagraph1">
    <w:name w:val="List Paragraph1"/>
    <w:basedOn w:val="Normal"/>
    <w:rsid w:val="009B198F"/>
    <w:pPr>
      <w:ind w:left="720"/>
    </w:pPr>
  </w:style>
  <w:style w:type="paragraph" w:customStyle="1" w:styleId="Prrafodelista1">
    <w:name w:val="Párrafo de lista1"/>
    <w:basedOn w:val="Normal"/>
    <w:uiPriority w:val="34"/>
    <w:qFormat/>
    <w:rsid w:val="009B198F"/>
    <w:pPr>
      <w:ind w:left="708"/>
    </w:pPr>
    <w:rPr>
      <w:rFonts w:eastAsia="Calibri"/>
    </w:rPr>
  </w:style>
  <w:style w:type="paragraph" w:styleId="Prrafodelista">
    <w:name w:val="List Paragraph"/>
    <w:aliases w:val="Párrafo de lista 2"/>
    <w:basedOn w:val="Normal"/>
    <w:link w:val="PrrafodelistaCar"/>
    <w:uiPriority w:val="34"/>
    <w:qFormat/>
    <w:rsid w:val="009B198F"/>
    <w:pPr>
      <w:ind w:left="708"/>
    </w:pPr>
  </w:style>
  <w:style w:type="character" w:customStyle="1" w:styleId="PrrafodelistaCar">
    <w:name w:val="Párrafo de lista Car"/>
    <w:aliases w:val="Párrafo de lista 2 Car"/>
    <w:link w:val="Prrafodelista"/>
    <w:uiPriority w:val="34"/>
    <w:rsid w:val="005A6477"/>
    <w:rPr>
      <w:rFonts w:ascii="Times New Roman" w:eastAsia="Times New Roman" w:hAnsi="Times New Roman"/>
      <w:sz w:val="24"/>
      <w:szCs w:val="24"/>
      <w:lang w:val="es-ES" w:eastAsia="es-ES"/>
    </w:rPr>
  </w:style>
  <w:style w:type="paragraph" w:styleId="Textodeglobo">
    <w:name w:val="Balloon Text"/>
    <w:basedOn w:val="Normal"/>
    <w:link w:val="TextodegloboCar"/>
    <w:uiPriority w:val="99"/>
    <w:unhideWhenUsed/>
    <w:rsid w:val="00BF318F"/>
    <w:rPr>
      <w:rFonts w:ascii="Tahoma" w:hAnsi="Tahoma" w:cs="Tahoma"/>
      <w:sz w:val="16"/>
      <w:szCs w:val="16"/>
    </w:rPr>
  </w:style>
  <w:style w:type="character" w:customStyle="1" w:styleId="TextodegloboCar">
    <w:name w:val="Texto de globo Car"/>
    <w:link w:val="Textodeglobo"/>
    <w:uiPriority w:val="99"/>
    <w:rsid w:val="00BF318F"/>
    <w:rPr>
      <w:rFonts w:ascii="Tahoma" w:eastAsia="Times New Roman" w:hAnsi="Tahoma" w:cs="Tahoma"/>
      <w:sz w:val="16"/>
      <w:szCs w:val="16"/>
      <w:lang w:val="es-ES" w:eastAsia="es-ES"/>
    </w:rPr>
  </w:style>
  <w:style w:type="paragraph" w:styleId="Textonotapie">
    <w:name w:val="footnote text"/>
    <w:aliases w:val="Texto nota pie Car Car Car Car Car Car,Texto nota pie Car Car Car Car Car Car Car,Texto nota pie Car Car Car Car Car Car Ca,ft,ft Car,ft Car Car,Texto nota pie2,ft1,ft Car Car Car1,Texto nota pie Car2,ft Car Car2,ft Car Car Car,fn"/>
    <w:basedOn w:val="Normal"/>
    <w:link w:val="TextonotapieCar"/>
    <w:uiPriority w:val="99"/>
    <w:rsid w:val="00BF318F"/>
    <w:rPr>
      <w:sz w:val="20"/>
      <w:szCs w:val="20"/>
    </w:rPr>
  </w:style>
  <w:style w:type="character" w:customStyle="1" w:styleId="TextonotapieCar">
    <w:name w:val="Texto nota pie Car"/>
    <w:aliases w:val="Texto nota pie Car Car Car Car Car Car Car1,Texto nota pie Car Car Car Car Car Car Car Car,Texto nota pie Car Car Car Car Car Car Ca Car,ft Car1,ft Car Car1,ft Car Car Car2,Texto nota pie2 Car,ft1 Car,ft Car Car Car1 Car,fn Car"/>
    <w:link w:val="Textonotapie"/>
    <w:uiPriority w:val="99"/>
    <w:rsid w:val="00BF318F"/>
    <w:rPr>
      <w:rFonts w:ascii="Times New Roman" w:eastAsia="Times New Roman" w:hAnsi="Times New Roman" w:cs="Times New Roman"/>
      <w:sz w:val="20"/>
      <w:szCs w:val="20"/>
      <w:lang w:val="es-ES" w:eastAsia="es-ES"/>
    </w:rPr>
  </w:style>
  <w:style w:type="character" w:styleId="Refdenotaalpie">
    <w:name w:val="footnote reference"/>
    <w:uiPriority w:val="99"/>
    <w:rsid w:val="00BF318F"/>
    <w:rPr>
      <w:vertAlign w:val="superscript"/>
    </w:rPr>
  </w:style>
  <w:style w:type="paragraph" w:customStyle="1" w:styleId="Default">
    <w:name w:val="Default"/>
    <w:rsid w:val="00BF318F"/>
    <w:pPr>
      <w:widowControl w:val="0"/>
      <w:autoSpaceDE w:val="0"/>
      <w:autoSpaceDN w:val="0"/>
      <w:adjustRightInd w:val="0"/>
    </w:pPr>
    <w:rPr>
      <w:rFonts w:ascii="Felix Titling" w:eastAsia="Times New Roman" w:hAnsi="Felix Titling" w:cs="Felix Titling"/>
      <w:color w:val="000000"/>
      <w:sz w:val="24"/>
      <w:szCs w:val="24"/>
      <w:lang w:val="es-ES" w:eastAsia="es-ES"/>
    </w:rPr>
  </w:style>
  <w:style w:type="paragraph" w:customStyle="1" w:styleId="CM49">
    <w:name w:val="CM49"/>
    <w:basedOn w:val="Default"/>
    <w:next w:val="Default"/>
    <w:uiPriority w:val="99"/>
    <w:rsid w:val="006C7AF9"/>
    <w:pPr>
      <w:spacing w:after="105"/>
    </w:pPr>
    <w:rPr>
      <w:rFonts w:cs="Times New Roman"/>
      <w:color w:val="auto"/>
    </w:rPr>
  </w:style>
  <w:style w:type="table" w:styleId="Tablaconcuadrcula">
    <w:name w:val="Table Grid"/>
    <w:basedOn w:val="Tablanormal"/>
    <w:uiPriority w:val="39"/>
    <w:rsid w:val="001B07B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unhideWhenUsed/>
    <w:rsid w:val="00EB2FBA"/>
    <w:pPr>
      <w:pBdr>
        <w:top w:val="thinThickSmallGap" w:sz="24" w:space="1" w:color="585858"/>
      </w:pBdr>
      <w:tabs>
        <w:tab w:val="center" w:pos="4419"/>
        <w:tab w:val="right" w:pos="8838"/>
      </w:tabs>
    </w:pPr>
    <w:rPr>
      <w:rFonts w:ascii="Constantia" w:hAnsi="Constantia"/>
    </w:rPr>
  </w:style>
  <w:style w:type="character" w:customStyle="1" w:styleId="PiedepginaCar">
    <w:name w:val="Pie de página Car"/>
    <w:link w:val="Piedepgina"/>
    <w:uiPriority w:val="99"/>
    <w:rsid w:val="00EB2FBA"/>
    <w:rPr>
      <w:rFonts w:ascii="Constantia" w:eastAsia="Times New Roman" w:hAnsi="Constantia" w:cs="Times New Roman"/>
      <w:sz w:val="24"/>
      <w:szCs w:val="24"/>
      <w:lang w:val="es-ES" w:eastAsia="es-ES"/>
    </w:rPr>
  </w:style>
  <w:style w:type="character" w:styleId="Textoennegrita">
    <w:name w:val="Strong"/>
    <w:uiPriority w:val="22"/>
    <w:qFormat/>
    <w:rsid w:val="00534E33"/>
    <w:rPr>
      <w:b/>
      <w:bCs/>
    </w:rPr>
  </w:style>
  <w:style w:type="character" w:styleId="Hipervnculo">
    <w:name w:val="Hyperlink"/>
    <w:uiPriority w:val="99"/>
    <w:unhideWhenUsed/>
    <w:rsid w:val="00A34A28"/>
    <w:rPr>
      <w:color w:val="0000FF"/>
      <w:u w:val="single"/>
    </w:rPr>
  </w:style>
  <w:style w:type="character" w:styleId="Hipervnculovisitado">
    <w:name w:val="FollowedHyperlink"/>
    <w:uiPriority w:val="99"/>
    <w:semiHidden/>
    <w:unhideWhenUsed/>
    <w:rsid w:val="009F7DEF"/>
    <w:rPr>
      <w:color w:val="800080"/>
      <w:u w:val="single"/>
    </w:rPr>
  </w:style>
  <w:style w:type="paragraph" w:styleId="NormalWeb">
    <w:name w:val="Normal (Web)"/>
    <w:basedOn w:val="Normal"/>
    <w:uiPriority w:val="99"/>
    <w:unhideWhenUsed/>
    <w:rsid w:val="000520A7"/>
    <w:pPr>
      <w:spacing w:before="100" w:beforeAutospacing="1" w:after="100" w:afterAutospacing="1"/>
    </w:pPr>
    <w:rPr>
      <w:lang w:val="es-GT" w:eastAsia="es-GT"/>
    </w:rPr>
  </w:style>
  <w:style w:type="paragraph" w:styleId="Sinespaciado">
    <w:name w:val="No Spacing"/>
    <w:link w:val="SinespaciadoCar"/>
    <w:uiPriority w:val="1"/>
    <w:qFormat/>
    <w:rsid w:val="00C7413E"/>
    <w:rPr>
      <w:rFonts w:ascii="Constantia" w:eastAsia="Times New Roman" w:hAnsi="Constantia"/>
      <w:sz w:val="24"/>
      <w:szCs w:val="24"/>
      <w:lang w:val="es-ES_tradnl" w:eastAsia="ja-JP"/>
    </w:rPr>
  </w:style>
  <w:style w:type="character" w:customStyle="1" w:styleId="SinespaciadoCar">
    <w:name w:val="Sin espaciado Car"/>
    <w:basedOn w:val="Fuentedeprrafopredeter"/>
    <w:link w:val="Sinespaciado"/>
    <w:uiPriority w:val="1"/>
    <w:locked/>
    <w:rsid w:val="005B1AE1"/>
    <w:rPr>
      <w:rFonts w:ascii="Constantia" w:eastAsia="Times New Roman" w:hAnsi="Constantia"/>
      <w:sz w:val="24"/>
      <w:szCs w:val="24"/>
      <w:lang w:val="es-ES_tradnl" w:eastAsia="ja-JP"/>
    </w:rPr>
  </w:style>
  <w:style w:type="paragraph" w:styleId="TtulodeTDC">
    <w:name w:val="TOC Heading"/>
    <w:basedOn w:val="Ttulo1"/>
    <w:next w:val="Normal"/>
    <w:uiPriority w:val="39"/>
    <w:unhideWhenUsed/>
    <w:qFormat/>
    <w:rsid w:val="00D61558"/>
    <w:pPr>
      <w:keepLines/>
      <w:numPr>
        <w:numId w:val="0"/>
      </w:numPr>
      <w:spacing w:before="480" w:line="276" w:lineRule="auto"/>
      <w:outlineLvl w:val="9"/>
    </w:pPr>
    <w:rPr>
      <w:rFonts w:ascii="Constantia" w:hAnsi="Constantia"/>
      <w:color w:val="A5A5A5"/>
      <w:sz w:val="28"/>
      <w:szCs w:val="28"/>
      <w:lang w:val="es-GT" w:eastAsia="es-GT"/>
    </w:rPr>
  </w:style>
  <w:style w:type="paragraph" w:styleId="TDC1">
    <w:name w:val="toc 1"/>
    <w:basedOn w:val="Normal"/>
    <w:next w:val="Normal"/>
    <w:autoRedefine/>
    <w:uiPriority w:val="39"/>
    <w:unhideWhenUsed/>
    <w:rsid w:val="00383CA7"/>
    <w:pPr>
      <w:tabs>
        <w:tab w:val="left" w:pos="480"/>
        <w:tab w:val="right" w:leader="dot" w:pos="9062"/>
      </w:tabs>
      <w:spacing w:after="100"/>
      <w:jc w:val="both"/>
    </w:pPr>
  </w:style>
  <w:style w:type="paragraph" w:styleId="TDC2">
    <w:name w:val="toc 2"/>
    <w:basedOn w:val="Normal"/>
    <w:next w:val="Normal"/>
    <w:autoRedefine/>
    <w:uiPriority w:val="39"/>
    <w:unhideWhenUsed/>
    <w:rsid w:val="00AB0496"/>
    <w:pPr>
      <w:tabs>
        <w:tab w:val="left" w:pos="880"/>
        <w:tab w:val="right" w:leader="dot" w:pos="9072"/>
      </w:tabs>
      <w:spacing w:after="100"/>
      <w:ind w:left="240"/>
      <w:jc w:val="both"/>
    </w:pPr>
  </w:style>
  <w:style w:type="paragraph" w:styleId="TDC3">
    <w:name w:val="toc 3"/>
    <w:basedOn w:val="Normal"/>
    <w:next w:val="Normal"/>
    <w:autoRedefine/>
    <w:uiPriority w:val="39"/>
    <w:unhideWhenUsed/>
    <w:rsid w:val="004F48BD"/>
    <w:pPr>
      <w:tabs>
        <w:tab w:val="left" w:pos="1100"/>
        <w:tab w:val="right" w:leader="dot" w:pos="9062"/>
      </w:tabs>
      <w:spacing w:after="100"/>
      <w:ind w:left="480"/>
      <w:jc w:val="both"/>
    </w:pPr>
  </w:style>
  <w:style w:type="character" w:styleId="Refdecomentario">
    <w:name w:val="annotation reference"/>
    <w:uiPriority w:val="99"/>
    <w:semiHidden/>
    <w:unhideWhenUsed/>
    <w:rsid w:val="00B372A0"/>
    <w:rPr>
      <w:sz w:val="16"/>
      <w:szCs w:val="16"/>
    </w:rPr>
  </w:style>
  <w:style w:type="paragraph" w:styleId="Textocomentario">
    <w:name w:val="annotation text"/>
    <w:basedOn w:val="Normal"/>
    <w:link w:val="TextocomentarioCar"/>
    <w:uiPriority w:val="99"/>
    <w:semiHidden/>
    <w:unhideWhenUsed/>
    <w:rsid w:val="00B372A0"/>
    <w:rPr>
      <w:sz w:val="20"/>
      <w:szCs w:val="20"/>
    </w:rPr>
  </w:style>
  <w:style w:type="character" w:customStyle="1" w:styleId="TextocomentarioCar">
    <w:name w:val="Texto comentario Car"/>
    <w:link w:val="Textocomentario"/>
    <w:uiPriority w:val="99"/>
    <w:semiHidden/>
    <w:rsid w:val="00B372A0"/>
    <w:rPr>
      <w:rFonts w:ascii="Times New Roman" w:eastAsia="Times New Roman" w:hAnsi="Times New Roman"/>
      <w:lang w:val="es-ES" w:eastAsia="es-ES"/>
    </w:rPr>
  </w:style>
  <w:style w:type="paragraph" w:styleId="Asuntodelcomentario">
    <w:name w:val="annotation subject"/>
    <w:basedOn w:val="Textocomentario"/>
    <w:next w:val="Textocomentario"/>
    <w:link w:val="AsuntodelcomentarioCar"/>
    <w:uiPriority w:val="99"/>
    <w:semiHidden/>
    <w:unhideWhenUsed/>
    <w:rsid w:val="00B372A0"/>
    <w:rPr>
      <w:b/>
      <w:bCs/>
    </w:rPr>
  </w:style>
  <w:style w:type="character" w:customStyle="1" w:styleId="AsuntodelcomentarioCar">
    <w:name w:val="Asunto del comentario Car"/>
    <w:link w:val="Asuntodelcomentario"/>
    <w:uiPriority w:val="99"/>
    <w:semiHidden/>
    <w:rsid w:val="00B372A0"/>
    <w:rPr>
      <w:rFonts w:ascii="Times New Roman" w:eastAsia="Times New Roman" w:hAnsi="Times New Roman"/>
      <w:b/>
      <w:bCs/>
      <w:lang w:val="es-ES" w:eastAsia="es-ES"/>
    </w:rPr>
  </w:style>
  <w:style w:type="table" w:customStyle="1" w:styleId="Listamedia2-nfasis11">
    <w:name w:val="Lista media 2 - Énfasis 11"/>
    <w:basedOn w:val="Tablanormal"/>
    <w:uiPriority w:val="66"/>
    <w:rsid w:val="0085525B"/>
    <w:rPr>
      <w:rFonts w:ascii="Cambria" w:eastAsia="Times New Roman" w:hAnsi="Cambria"/>
      <w:color w:val="000000"/>
      <w:sz w:val="22"/>
      <w:szCs w:val="22"/>
      <w:lang w:val="es-E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Listamedia2-nfasis1">
    <w:name w:val="Medium List 2 Accent 1"/>
    <w:basedOn w:val="Tablanormal"/>
    <w:uiPriority w:val="66"/>
    <w:rsid w:val="0085525B"/>
    <w:rPr>
      <w:rFonts w:ascii="Constantia" w:eastAsia="Times New Roman" w:hAnsi="Constantia"/>
      <w:color w:val="000000"/>
    </w:rPr>
    <w:tblPr>
      <w:tblStyleRowBandSize w:val="1"/>
      <w:tblStyleColBandSize w:val="1"/>
      <w:tblBorders>
        <w:top w:val="single" w:sz="8" w:space="0" w:color="DDDDDD"/>
        <w:left w:val="single" w:sz="8" w:space="0" w:color="DDDDDD"/>
        <w:bottom w:val="single" w:sz="8" w:space="0" w:color="DDDDDD"/>
        <w:right w:val="single" w:sz="8" w:space="0" w:color="DDDDDD"/>
      </w:tblBorders>
    </w:tblPr>
    <w:tblStylePr w:type="firstRow">
      <w:rPr>
        <w:sz w:val="24"/>
        <w:szCs w:val="24"/>
      </w:rPr>
      <w:tblPr/>
      <w:tcPr>
        <w:tcBorders>
          <w:top w:val="nil"/>
          <w:left w:val="nil"/>
          <w:bottom w:val="single" w:sz="24" w:space="0" w:color="DDDDDD"/>
          <w:right w:val="nil"/>
          <w:insideH w:val="nil"/>
          <w:insideV w:val="nil"/>
        </w:tcBorders>
        <w:shd w:val="clear" w:color="auto" w:fill="FFFFFF"/>
      </w:tcPr>
    </w:tblStylePr>
    <w:tblStylePr w:type="lastRow">
      <w:tblPr/>
      <w:tcPr>
        <w:tcBorders>
          <w:top w:val="single" w:sz="8" w:space="0" w:color="DDDDDD"/>
          <w:left w:val="nil"/>
          <w:bottom w:val="nil"/>
          <w:right w:val="nil"/>
          <w:insideH w:val="nil"/>
          <w:insideV w:val="nil"/>
        </w:tcBorders>
        <w:shd w:val="clear" w:color="auto" w:fill="FFFFFF"/>
      </w:tcPr>
    </w:tblStylePr>
    <w:tblStylePr w:type="firstCol">
      <w:tblPr/>
      <w:tcPr>
        <w:tcBorders>
          <w:top w:val="nil"/>
          <w:left w:val="nil"/>
          <w:bottom w:val="nil"/>
          <w:right w:val="single" w:sz="8" w:space="0" w:color="DDDDDD"/>
          <w:insideH w:val="nil"/>
          <w:insideV w:val="nil"/>
        </w:tcBorders>
        <w:shd w:val="clear" w:color="auto" w:fill="FFFFFF"/>
      </w:tcPr>
    </w:tblStylePr>
    <w:tblStylePr w:type="lastCol">
      <w:tblPr/>
      <w:tcPr>
        <w:tcBorders>
          <w:top w:val="nil"/>
          <w:left w:val="single" w:sz="8" w:space="0" w:color="DDDDD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6F6F6"/>
      </w:tcPr>
    </w:tblStylePr>
    <w:tblStylePr w:type="band1Horz">
      <w:tblPr/>
      <w:tcPr>
        <w:tcBorders>
          <w:top w:val="nil"/>
          <w:bottom w:val="nil"/>
          <w:insideH w:val="nil"/>
          <w:insideV w:val="nil"/>
        </w:tcBorders>
        <w:shd w:val="clear" w:color="auto" w:fill="F6F6F6"/>
      </w:tcPr>
    </w:tblStylePr>
    <w:tblStylePr w:type="nwCell">
      <w:tblPr/>
      <w:tcPr>
        <w:shd w:val="clear" w:color="auto" w:fill="FFFFFF"/>
      </w:tcPr>
    </w:tblStylePr>
    <w:tblStylePr w:type="swCell">
      <w:tblPr/>
      <w:tcPr>
        <w:tcBorders>
          <w:top w:val="nil"/>
        </w:tcBorders>
      </w:tcPr>
    </w:tblStylePr>
  </w:style>
  <w:style w:type="table" w:customStyle="1" w:styleId="Tablaconcuadrcula1">
    <w:name w:val="Tabla con cuadrícula1"/>
    <w:basedOn w:val="Tablanormal"/>
    <w:next w:val="Tablaconcuadrcula"/>
    <w:uiPriority w:val="59"/>
    <w:rsid w:val="00DA6BDB"/>
    <w:rPr>
      <w:rFonts w:ascii="Times New Roman" w:eastAsia="Times New Roman" w:hAnsi="Times New Roman"/>
      <w:lang w:val="es-GT" w:eastAsia="es-G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pgrafe">
    <w:name w:val="caption"/>
    <w:basedOn w:val="Normal"/>
    <w:next w:val="Normal"/>
    <w:uiPriority w:val="35"/>
    <w:unhideWhenUsed/>
    <w:qFormat/>
    <w:rsid w:val="00DB0F04"/>
    <w:pPr>
      <w:spacing w:after="200"/>
    </w:pPr>
    <w:rPr>
      <w:rFonts w:asciiTheme="minorHAnsi" w:eastAsiaTheme="minorHAnsi" w:hAnsiTheme="minorHAnsi" w:cstheme="minorBidi"/>
      <w:i/>
      <w:iCs/>
      <w:color w:val="000000" w:themeColor="text2"/>
      <w:sz w:val="18"/>
      <w:szCs w:val="18"/>
      <w:lang w:val="es-G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7564">
      <w:bodyDiv w:val="1"/>
      <w:marLeft w:val="0"/>
      <w:marRight w:val="0"/>
      <w:marTop w:val="0"/>
      <w:marBottom w:val="0"/>
      <w:divBdr>
        <w:top w:val="none" w:sz="0" w:space="0" w:color="auto"/>
        <w:left w:val="none" w:sz="0" w:space="0" w:color="auto"/>
        <w:bottom w:val="none" w:sz="0" w:space="0" w:color="auto"/>
        <w:right w:val="none" w:sz="0" w:space="0" w:color="auto"/>
      </w:divBdr>
      <w:divsChild>
        <w:div w:id="1464498466">
          <w:marLeft w:val="274"/>
          <w:marRight w:val="0"/>
          <w:marTop w:val="0"/>
          <w:marBottom w:val="240"/>
          <w:divBdr>
            <w:top w:val="none" w:sz="0" w:space="0" w:color="auto"/>
            <w:left w:val="none" w:sz="0" w:space="0" w:color="auto"/>
            <w:bottom w:val="none" w:sz="0" w:space="0" w:color="auto"/>
            <w:right w:val="none" w:sz="0" w:space="0" w:color="auto"/>
          </w:divBdr>
        </w:div>
        <w:div w:id="1479304816">
          <w:marLeft w:val="274"/>
          <w:marRight w:val="0"/>
          <w:marTop w:val="0"/>
          <w:marBottom w:val="240"/>
          <w:divBdr>
            <w:top w:val="none" w:sz="0" w:space="0" w:color="auto"/>
            <w:left w:val="none" w:sz="0" w:space="0" w:color="auto"/>
            <w:bottom w:val="none" w:sz="0" w:space="0" w:color="auto"/>
            <w:right w:val="none" w:sz="0" w:space="0" w:color="auto"/>
          </w:divBdr>
        </w:div>
        <w:div w:id="1884439074">
          <w:marLeft w:val="274"/>
          <w:marRight w:val="0"/>
          <w:marTop w:val="0"/>
          <w:marBottom w:val="240"/>
          <w:divBdr>
            <w:top w:val="none" w:sz="0" w:space="0" w:color="auto"/>
            <w:left w:val="none" w:sz="0" w:space="0" w:color="auto"/>
            <w:bottom w:val="none" w:sz="0" w:space="0" w:color="auto"/>
            <w:right w:val="none" w:sz="0" w:space="0" w:color="auto"/>
          </w:divBdr>
        </w:div>
      </w:divsChild>
    </w:div>
    <w:div w:id="12615010">
      <w:bodyDiv w:val="1"/>
      <w:marLeft w:val="0"/>
      <w:marRight w:val="0"/>
      <w:marTop w:val="0"/>
      <w:marBottom w:val="0"/>
      <w:divBdr>
        <w:top w:val="none" w:sz="0" w:space="0" w:color="auto"/>
        <w:left w:val="none" w:sz="0" w:space="0" w:color="auto"/>
        <w:bottom w:val="none" w:sz="0" w:space="0" w:color="auto"/>
        <w:right w:val="none" w:sz="0" w:space="0" w:color="auto"/>
      </w:divBdr>
      <w:divsChild>
        <w:div w:id="874804913">
          <w:marLeft w:val="576"/>
          <w:marRight w:val="0"/>
          <w:marTop w:val="120"/>
          <w:marBottom w:val="0"/>
          <w:divBdr>
            <w:top w:val="none" w:sz="0" w:space="0" w:color="auto"/>
            <w:left w:val="none" w:sz="0" w:space="0" w:color="auto"/>
            <w:bottom w:val="none" w:sz="0" w:space="0" w:color="auto"/>
            <w:right w:val="none" w:sz="0" w:space="0" w:color="auto"/>
          </w:divBdr>
        </w:div>
      </w:divsChild>
    </w:div>
    <w:div w:id="19479179">
      <w:bodyDiv w:val="1"/>
      <w:marLeft w:val="0"/>
      <w:marRight w:val="0"/>
      <w:marTop w:val="0"/>
      <w:marBottom w:val="0"/>
      <w:divBdr>
        <w:top w:val="none" w:sz="0" w:space="0" w:color="auto"/>
        <w:left w:val="none" w:sz="0" w:space="0" w:color="auto"/>
        <w:bottom w:val="none" w:sz="0" w:space="0" w:color="auto"/>
        <w:right w:val="none" w:sz="0" w:space="0" w:color="auto"/>
      </w:divBdr>
    </w:div>
    <w:div w:id="74597903">
      <w:bodyDiv w:val="1"/>
      <w:marLeft w:val="0"/>
      <w:marRight w:val="0"/>
      <w:marTop w:val="0"/>
      <w:marBottom w:val="0"/>
      <w:divBdr>
        <w:top w:val="none" w:sz="0" w:space="0" w:color="auto"/>
        <w:left w:val="none" w:sz="0" w:space="0" w:color="auto"/>
        <w:bottom w:val="none" w:sz="0" w:space="0" w:color="auto"/>
        <w:right w:val="none" w:sz="0" w:space="0" w:color="auto"/>
      </w:divBdr>
    </w:div>
    <w:div w:id="102068754">
      <w:bodyDiv w:val="1"/>
      <w:marLeft w:val="0"/>
      <w:marRight w:val="0"/>
      <w:marTop w:val="0"/>
      <w:marBottom w:val="0"/>
      <w:divBdr>
        <w:top w:val="none" w:sz="0" w:space="0" w:color="auto"/>
        <w:left w:val="none" w:sz="0" w:space="0" w:color="auto"/>
        <w:bottom w:val="none" w:sz="0" w:space="0" w:color="auto"/>
        <w:right w:val="none" w:sz="0" w:space="0" w:color="auto"/>
      </w:divBdr>
    </w:div>
    <w:div w:id="124812311">
      <w:bodyDiv w:val="1"/>
      <w:marLeft w:val="0"/>
      <w:marRight w:val="0"/>
      <w:marTop w:val="0"/>
      <w:marBottom w:val="0"/>
      <w:divBdr>
        <w:top w:val="none" w:sz="0" w:space="0" w:color="auto"/>
        <w:left w:val="none" w:sz="0" w:space="0" w:color="auto"/>
        <w:bottom w:val="none" w:sz="0" w:space="0" w:color="auto"/>
        <w:right w:val="none" w:sz="0" w:space="0" w:color="auto"/>
      </w:divBdr>
    </w:div>
    <w:div w:id="224731212">
      <w:bodyDiv w:val="1"/>
      <w:marLeft w:val="0"/>
      <w:marRight w:val="0"/>
      <w:marTop w:val="0"/>
      <w:marBottom w:val="0"/>
      <w:divBdr>
        <w:top w:val="none" w:sz="0" w:space="0" w:color="auto"/>
        <w:left w:val="none" w:sz="0" w:space="0" w:color="auto"/>
        <w:bottom w:val="none" w:sz="0" w:space="0" w:color="auto"/>
        <w:right w:val="none" w:sz="0" w:space="0" w:color="auto"/>
      </w:divBdr>
      <w:divsChild>
        <w:div w:id="791099228">
          <w:marLeft w:val="562"/>
          <w:marRight w:val="0"/>
          <w:marTop w:val="0"/>
          <w:marBottom w:val="0"/>
          <w:divBdr>
            <w:top w:val="none" w:sz="0" w:space="0" w:color="auto"/>
            <w:left w:val="none" w:sz="0" w:space="0" w:color="auto"/>
            <w:bottom w:val="none" w:sz="0" w:space="0" w:color="auto"/>
            <w:right w:val="none" w:sz="0" w:space="0" w:color="auto"/>
          </w:divBdr>
        </w:div>
        <w:div w:id="1126898492">
          <w:marLeft w:val="562"/>
          <w:marRight w:val="0"/>
          <w:marTop w:val="0"/>
          <w:marBottom w:val="0"/>
          <w:divBdr>
            <w:top w:val="none" w:sz="0" w:space="0" w:color="auto"/>
            <w:left w:val="none" w:sz="0" w:space="0" w:color="auto"/>
            <w:bottom w:val="none" w:sz="0" w:space="0" w:color="auto"/>
            <w:right w:val="none" w:sz="0" w:space="0" w:color="auto"/>
          </w:divBdr>
        </w:div>
        <w:div w:id="1718116599">
          <w:marLeft w:val="562"/>
          <w:marRight w:val="0"/>
          <w:marTop w:val="0"/>
          <w:marBottom w:val="0"/>
          <w:divBdr>
            <w:top w:val="none" w:sz="0" w:space="0" w:color="auto"/>
            <w:left w:val="none" w:sz="0" w:space="0" w:color="auto"/>
            <w:bottom w:val="none" w:sz="0" w:space="0" w:color="auto"/>
            <w:right w:val="none" w:sz="0" w:space="0" w:color="auto"/>
          </w:divBdr>
        </w:div>
      </w:divsChild>
    </w:div>
    <w:div w:id="277689072">
      <w:bodyDiv w:val="1"/>
      <w:marLeft w:val="0"/>
      <w:marRight w:val="0"/>
      <w:marTop w:val="0"/>
      <w:marBottom w:val="0"/>
      <w:divBdr>
        <w:top w:val="none" w:sz="0" w:space="0" w:color="auto"/>
        <w:left w:val="none" w:sz="0" w:space="0" w:color="auto"/>
        <w:bottom w:val="none" w:sz="0" w:space="0" w:color="auto"/>
        <w:right w:val="none" w:sz="0" w:space="0" w:color="auto"/>
      </w:divBdr>
    </w:div>
    <w:div w:id="302665719">
      <w:bodyDiv w:val="1"/>
      <w:marLeft w:val="0"/>
      <w:marRight w:val="0"/>
      <w:marTop w:val="0"/>
      <w:marBottom w:val="0"/>
      <w:divBdr>
        <w:top w:val="none" w:sz="0" w:space="0" w:color="auto"/>
        <w:left w:val="none" w:sz="0" w:space="0" w:color="auto"/>
        <w:bottom w:val="none" w:sz="0" w:space="0" w:color="auto"/>
        <w:right w:val="none" w:sz="0" w:space="0" w:color="auto"/>
      </w:divBdr>
    </w:div>
    <w:div w:id="317077505">
      <w:bodyDiv w:val="1"/>
      <w:marLeft w:val="0"/>
      <w:marRight w:val="0"/>
      <w:marTop w:val="0"/>
      <w:marBottom w:val="0"/>
      <w:divBdr>
        <w:top w:val="none" w:sz="0" w:space="0" w:color="auto"/>
        <w:left w:val="none" w:sz="0" w:space="0" w:color="auto"/>
        <w:bottom w:val="none" w:sz="0" w:space="0" w:color="auto"/>
        <w:right w:val="none" w:sz="0" w:space="0" w:color="auto"/>
      </w:divBdr>
    </w:div>
    <w:div w:id="381290258">
      <w:bodyDiv w:val="1"/>
      <w:marLeft w:val="0"/>
      <w:marRight w:val="0"/>
      <w:marTop w:val="0"/>
      <w:marBottom w:val="0"/>
      <w:divBdr>
        <w:top w:val="none" w:sz="0" w:space="0" w:color="auto"/>
        <w:left w:val="none" w:sz="0" w:space="0" w:color="auto"/>
        <w:bottom w:val="none" w:sz="0" w:space="0" w:color="auto"/>
        <w:right w:val="none" w:sz="0" w:space="0" w:color="auto"/>
      </w:divBdr>
    </w:div>
    <w:div w:id="438334676">
      <w:bodyDiv w:val="1"/>
      <w:marLeft w:val="0"/>
      <w:marRight w:val="0"/>
      <w:marTop w:val="0"/>
      <w:marBottom w:val="0"/>
      <w:divBdr>
        <w:top w:val="none" w:sz="0" w:space="0" w:color="auto"/>
        <w:left w:val="none" w:sz="0" w:space="0" w:color="auto"/>
        <w:bottom w:val="none" w:sz="0" w:space="0" w:color="auto"/>
        <w:right w:val="none" w:sz="0" w:space="0" w:color="auto"/>
      </w:divBdr>
    </w:div>
    <w:div w:id="440341959">
      <w:bodyDiv w:val="1"/>
      <w:marLeft w:val="0"/>
      <w:marRight w:val="0"/>
      <w:marTop w:val="0"/>
      <w:marBottom w:val="0"/>
      <w:divBdr>
        <w:top w:val="none" w:sz="0" w:space="0" w:color="auto"/>
        <w:left w:val="none" w:sz="0" w:space="0" w:color="auto"/>
        <w:bottom w:val="none" w:sz="0" w:space="0" w:color="auto"/>
        <w:right w:val="none" w:sz="0" w:space="0" w:color="auto"/>
      </w:divBdr>
    </w:div>
    <w:div w:id="453980856">
      <w:bodyDiv w:val="1"/>
      <w:marLeft w:val="0"/>
      <w:marRight w:val="0"/>
      <w:marTop w:val="0"/>
      <w:marBottom w:val="0"/>
      <w:divBdr>
        <w:top w:val="none" w:sz="0" w:space="0" w:color="auto"/>
        <w:left w:val="none" w:sz="0" w:space="0" w:color="auto"/>
        <w:bottom w:val="none" w:sz="0" w:space="0" w:color="auto"/>
        <w:right w:val="none" w:sz="0" w:space="0" w:color="auto"/>
      </w:divBdr>
    </w:div>
    <w:div w:id="481119587">
      <w:bodyDiv w:val="1"/>
      <w:marLeft w:val="0"/>
      <w:marRight w:val="0"/>
      <w:marTop w:val="0"/>
      <w:marBottom w:val="0"/>
      <w:divBdr>
        <w:top w:val="none" w:sz="0" w:space="0" w:color="auto"/>
        <w:left w:val="none" w:sz="0" w:space="0" w:color="auto"/>
        <w:bottom w:val="none" w:sz="0" w:space="0" w:color="auto"/>
        <w:right w:val="none" w:sz="0" w:space="0" w:color="auto"/>
      </w:divBdr>
    </w:div>
    <w:div w:id="494607275">
      <w:bodyDiv w:val="1"/>
      <w:marLeft w:val="0"/>
      <w:marRight w:val="0"/>
      <w:marTop w:val="0"/>
      <w:marBottom w:val="0"/>
      <w:divBdr>
        <w:top w:val="none" w:sz="0" w:space="0" w:color="auto"/>
        <w:left w:val="none" w:sz="0" w:space="0" w:color="auto"/>
        <w:bottom w:val="none" w:sz="0" w:space="0" w:color="auto"/>
        <w:right w:val="none" w:sz="0" w:space="0" w:color="auto"/>
      </w:divBdr>
    </w:div>
    <w:div w:id="524638195">
      <w:bodyDiv w:val="1"/>
      <w:marLeft w:val="0"/>
      <w:marRight w:val="0"/>
      <w:marTop w:val="0"/>
      <w:marBottom w:val="0"/>
      <w:divBdr>
        <w:top w:val="none" w:sz="0" w:space="0" w:color="auto"/>
        <w:left w:val="none" w:sz="0" w:space="0" w:color="auto"/>
        <w:bottom w:val="none" w:sz="0" w:space="0" w:color="auto"/>
        <w:right w:val="none" w:sz="0" w:space="0" w:color="auto"/>
      </w:divBdr>
    </w:div>
    <w:div w:id="532572793">
      <w:bodyDiv w:val="1"/>
      <w:marLeft w:val="0"/>
      <w:marRight w:val="0"/>
      <w:marTop w:val="0"/>
      <w:marBottom w:val="0"/>
      <w:divBdr>
        <w:top w:val="none" w:sz="0" w:space="0" w:color="auto"/>
        <w:left w:val="none" w:sz="0" w:space="0" w:color="auto"/>
        <w:bottom w:val="none" w:sz="0" w:space="0" w:color="auto"/>
        <w:right w:val="none" w:sz="0" w:space="0" w:color="auto"/>
      </w:divBdr>
    </w:div>
    <w:div w:id="537472027">
      <w:bodyDiv w:val="1"/>
      <w:marLeft w:val="0"/>
      <w:marRight w:val="0"/>
      <w:marTop w:val="0"/>
      <w:marBottom w:val="0"/>
      <w:divBdr>
        <w:top w:val="none" w:sz="0" w:space="0" w:color="auto"/>
        <w:left w:val="none" w:sz="0" w:space="0" w:color="auto"/>
        <w:bottom w:val="none" w:sz="0" w:space="0" w:color="auto"/>
        <w:right w:val="none" w:sz="0" w:space="0" w:color="auto"/>
      </w:divBdr>
      <w:divsChild>
        <w:div w:id="1166701297">
          <w:marLeft w:val="0"/>
          <w:marRight w:val="0"/>
          <w:marTop w:val="0"/>
          <w:marBottom w:val="0"/>
          <w:divBdr>
            <w:top w:val="none" w:sz="0" w:space="0" w:color="auto"/>
            <w:left w:val="none" w:sz="0" w:space="0" w:color="auto"/>
            <w:bottom w:val="none" w:sz="0" w:space="0" w:color="auto"/>
            <w:right w:val="none" w:sz="0" w:space="0" w:color="auto"/>
          </w:divBdr>
          <w:divsChild>
            <w:div w:id="319886466">
              <w:marLeft w:val="0"/>
              <w:marRight w:val="0"/>
              <w:marTop w:val="0"/>
              <w:marBottom w:val="0"/>
              <w:divBdr>
                <w:top w:val="single" w:sz="24" w:space="0" w:color="FB4C1C"/>
                <w:left w:val="none" w:sz="0" w:space="0" w:color="auto"/>
                <w:bottom w:val="none" w:sz="0" w:space="0" w:color="auto"/>
                <w:right w:val="none" w:sz="0" w:space="0" w:color="auto"/>
              </w:divBdr>
              <w:divsChild>
                <w:div w:id="1064136762">
                  <w:marLeft w:val="0"/>
                  <w:marRight w:val="0"/>
                  <w:marTop w:val="100"/>
                  <w:marBottom w:val="100"/>
                  <w:divBdr>
                    <w:top w:val="none" w:sz="0" w:space="0" w:color="auto"/>
                    <w:left w:val="none" w:sz="0" w:space="0" w:color="auto"/>
                    <w:bottom w:val="none" w:sz="0" w:space="0" w:color="auto"/>
                    <w:right w:val="none" w:sz="0" w:space="0" w:color="auto"/>
                  </w:divBdr>
                  <w:divsChild>
                    <w:div w:id="1058013946">
                      <w:marLeft w:val="0"/>
                      <w:marRight w:val="0"/>
                      <w:marTop w:val="0"/>
                      <w:marBottom w:val="0"/>
                      <w:divBdr>
                        <w:top w:val="none" w:sz="0" w:space="0" w:color="auto"/>
                        <w:left w:val="none" w:sz="0" w:space="0" w:color="auto"/>
                        <w:bottom w:val="none" w:sz="0" w:space="0" w:color="auto"/>
                        <w:right w:val="none" w:sz="0" w:space="0" w:color="auto"/>
                      </w:divBdr>
                      <w:divsChild>
                        <w:div w:id="734008506">
                          <w:marLeft w:val="0"/>
                          <w:marRight w:val="0"/>
                          <w:marTop w:val="0"/>
                          <w:marBottom w:val="0"/>
                          <w:divBdr>
                            <w:top w:val="none" w:sz="0" w:space="0" w:color="auto"/>
                            <w:left w:val="none" w:sz="0" w:space="0" w:color="auto"/>
                            <w:bottom w:val="none" w:sz="0" w:space="0" w:color="auto"/>
                            <w:right w:val="none" w:sz="0" w:space="0" w:color="auto"/>
                          </w:divBdr>
                          <w:divsChild>
                            <w:div w:id="1487088080">
                              <w:marLeft w:val="0"/>
                              <w:marRight w:val="0"/>
                              <w:marTop w:val="0"/>
                              <w:marBottom w:val="0"/>
                              <w:divBdr>
                                <w:top w:val="none" w:sz="0" w:space="0" w:color="auto"/>
                                <w:left w:val="none" w:sz="0" w:space="0" w:color="auto"/>
                                <w:bottom w:val="none" w:sz="0" w:space="0" w:color="auto"/>
                                <w:right w:val="none" w:sz="0" w:space="0" w:color="auto"/>
                              </w:divBdr>
                              <w:divsChild>
                                <w:div w:id="1872643750">
                                  <w:marLeft w:val="0"/>
                                  <w:marRight w:val="0"/>
                                  <w:marTop w:val="0"/>
                                  <w:marBottom w:val="0"/>
                                  <w:divBdr>
                                    <w:top w:val="none" w:sz="0" w:space="0" w:color="auto"/>
                                    <w:left w:val="none" w:sz="0" w:space="0" w:color="auto"/>
                                    <w:bottom w:val="none" w:sz="0" w:space="0" w:color="auto"/>
                                    <w:right w:val="none" w:sz="0" w:space="0" w:color="auto"/>
                                  </w:divBdr>
                                  <w:divsChild>
                                    <w:div w:id="1102651247">
                                      <w:marLeft w:val="0"/>
                                      <w:marRight w:val="0"/>
                                      <w:marTop w:val="0"/>
                                      <w:marBottom w:val="0"/>
                                      <w:divBdr>
                                        <w:top w:val="none" w:sz="0" w:space="0" w:color="auto"/>
                                        <w:left w:val="none" w:sz="0" w:space="0" w:color="auto"/>
                                        <w:bottom w:val="none" w:sz="0" w:space="0" w:color="auto"/>
                                        <w:right w:val="none" w:sz="0" w:space="0" w:color="auto"/>
                                      </w:divBdr>
                                      <w:divsChild>
                                        <w:div w:id="1233126812">
                                          <w:marLeft w:val="0"/>
                                          <w:marRight w:val="0"/>
                                          <w:marTop w:val="0"/>
                                          <w:marBottom w:val="0"/>
                                          <w:divBdr>
                                            <w:top w:val="none" w:sz="0" w:space="0" w:color="auto"/>
                                            <w:left w:val="none" w:sz="0" w:space="0" w:color="auto"/>
                                            <w:bottom w:val="none" w:sz="0" w:space="0" w:color="auto"/>
                                            <w:right w:val="none" w:sz="0" w:space="0" w:color="auto"/>
                                          </w:divBdr>
                                          <w:divsChild>
                                            <w:div w:id="1857187229">
                                              <w:marLeft w:val="0"/>
                                              <w:marRight w:val="0"/>
                                              <w:marTop w:val="0"/>
                                              <w:marBottom w:val="0"/>
                                              <w:divBdr>
                                                <w:top w:val="none" w:sz="0" w:space="0" w:color="auto"/>
                                                <w:left w:val="none" w:sz="0" w:space="0" w:color="auto"/>
                                                <w:bottom w:val="none" w:sz="0" w:space="0" w:color="auto"/>
                                                <w:right w:val="none" w:sz="0" w:space="0" w:color="auto"/>
                                              </w:divBdr>
                                              <w:divsChild>
                                                <w:div w:id="188390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50306928">
      <w:bodyDiv w:val="1"/>
      <w:marLeft w:val="0"/>
      <w:marRight w:val="0"/>
      <w:marTop w:val="0"/>
      <w:marBottom w:val="0"/>
      <w:divBdr>
        <w:top w:val="none" w:sz="0" w:space="0" w:color="auto"/>
        <w:left w:val="none" w:sz="0" w:space="0" w:color="auto"/>
        <w:bottom w:val="none" w:sz="0" w:space="0" w:color="auto"/>
        <w:right w:val="none" w:sz="0" w:space="0" w:color="auto"/>
      </w:divBdr>
    </w:div>
    <w:div w:id="562522481">
      <w:bodyDiv w:val="1"/>
      <w:marLeft w:val="0"/>
      <w:marRight w:val="0"/>
      <w:marTop w:val="0"/>
      <w:marBottom w:val="0"/>
      <w:divBdr>
        <w:top w:val="none" w:sz="0" w:space="0" w:color="auto"/>
        <w:left w:val="none" w:sz="0" w:space="0" w:color="auto"/>
        <w:bottom w:val="none" w:sz="0" w:space="0" w:color="auto"/>
        <w:right w:val="none" w:sz="0" w:space="0" w:color="auto"/>
      </w:divBdr>
    </w:div>
    <w:div w:id="599878590">
      <w:bodyDiv w:val="1"/>
      <w:marLeft w:val="0"/>
      <w:marRight w:val="0"/>
      <w:marTop w:val="0"/>
      <w:marBottom w:val="0"/>
      <w:divBdr>
        <w:top w:val="none" w:sz="0" w:space="0" w:color="auto"/>
        <w:left w:val="none" w:sz="0" w:space="0" w:color="auto"/>
        <w:bottom w:val="none" w:sz="0" w:space="0" w:color="auto"/>
        <w:right w:val="none" w:sz="0" w:space="0" w:color="auto"/>
      </w:divBdr>
    </w:div>
    <w:div w:id="622032882">
      <w:bodyDiv w:val="1"/>
      <w:marLeft w:val="0"/>
      <w:marRight w:val="0"/>
      <w:marTop w:val="0"/>
      <w:marBottom w:val="0"/>
      <w:divBdr>
        <w:top w:val="none" w:sz="0" w:space="0" w:color="auto"/>
        <w:left w:val="none" w:sz="0" w:space="0" w:color="auto"/>
        <w:bottom w:val="none" w:sz="0" w:space="0" w:color="auto"/>
        <w:right w:val="none" w:sz="0" w:space="0" w:color="auto"/>
      </w:divBdr>
    </w:div>
    <w:div w:id="662779522">
      <w:bodyDiv w:val="1"/>
      <w:marLeft w:val="0"/>
      <w:marRight w:val="0"/>
      <w:marTop w:val="0"/>
      <w:marBottom w:val="0"/>
      <w:divBdr>
        <w:top w:val="none" w:sz="0" w:space="0" w:color="auto"/>
        <w:left w:val="none" w:sz="0" w:space="0" w:color="auto"/>
        <w:bottom w:val="none" w:sz="0" w:space="0" w:color="auto"/>
        <w:right w:val="none" w:sz="0" w:space="0" w:color="auto"/>
      </w:divBdr>
    </w:div>
    <w:div w:id="694162026">
      <w:bodyDiv w:val="1"/>
      <w:marLeft w:val="0"/>
      <w:marRight w:val="0"/>
      <w:marTop w:val="0"/>
      <w:marBottom w:val="0"/>
      <w:divBdr>
        <w:top w:val="none" w:sz="0" w:space="0" w:color="auto"/>
        <w:left w:val="none" w:sz="0" w:space="0" w:color="auto"/>
        <w:bottom w:val="none" w:sz="0" w:space="0" w:color="auto"/>
        <w:right w:val="none" w:sz="0" w:space="0" w:color="auto"/>
      </w:divBdr>
    </w:div>
    <w:div w:id="698821098">
      <w:bodyDiv w:val="1"/>
      <w:marLeft w:val="0"/>
      <w:marRight w:val="0"/>
      <w:marTop w:val="0"/>
      <w:marBottom w:val="0"/>
      <w:divBdr>
        <w:top w:val="none" w:sz="0" w:space="0" w:color="auto"/>
        <w:left w:val="none" w:sz="0" w:space="0" w:color="auto"/>
        <w:bottom w:val="none" w:sz="0" w:space="0" w:color="auto"/>
        <w:right w:val="none" w:sz="0" w:space="0" w:color="auto"/>
      </w:divBdr>
    </w:div>
    <w:div w:id="711076320">
      <w:bodyDiv w:val="1"/>
      <w:marLeft w:val="0"/>
      <w:marRight w:val="0"/>
      <w:marTop w:val="0"/>
      <w:marBottom w:val="0"/>
      <w:divBdr>
        <w:top w:val="none" w:sz="0" w:space="0" w:color="auto"/>
        <w:left w:val="none" w:sz="0" w:space="0" w:color="auto"/>
        <w:bottom w:val="none" w:sz="0" w:space="0" w:color="auto"/>
        <w:right w:val="none" w:sz="0" w:space="0" w:color="auto"/>
      </w:divBdr>
    </w:div>
    <w:div w:id="782462308">
      <w:bodyDiv w:val="1"/>
      <w:marLeft w:val="0"/>
      <w:marRight w:val="0"/>
      <w:marTop w:val="0"/>
      <w:marBottom w:val="0"/>
      <w:divBdr>
        <w:top w:val="none" w:sz="0" w:space="0" w:color="auto"/>
        <w:left w:val="none" w:sz="0" w:space="0" w:color="auto"/>
        <w:bottom w:val="none" w:sz="0" w:space="0" w:color="auto"/>
        <w:right w:val="none" w:sz="0" w:space="0" w:color="auto"/>
      </w:divBdr>
    </w:div>
    <w:div w:id="797065889">
      <w:bodyDiv w:val="1"/>
      <w:marLeft w:val="0"/>
      <w:marRight w:val="0"/>
      <w:marTop w:val="0"/>
      <w:marBottom w:val="0"/>
      <w:divBdr>
        <w:top w:val="none" w:sz="0" w:space="0" w:color="auto"/>
        <w:left w:val="none" w:sz="0" w:space="0" w:color="auto"/>
        <w:bottom w:val="none" w:sz="0" w:space="0" w:color="auto"/>
        <w:right w:val="none" w:sz="0" w:space="0" w:color="auto"/>
      </w:divBdr>
    </w:div>
    <w:div w:id="830758260">
      <w:bodyDiv w:val="1"/>
      <w:marLeft w:val="0"/>
      <w:marRight w:val="0"/>
      <w:marTop w:val="0"/>
      <w:marBottom w:val="0"/>
      <w:divBdr>
        <w:top w:val="none" w:sz="0" w:space="0" w:color="auto"/>
        <w:left w:val="none" w:sz="0" w:space="0" w:color="auto"/>
        <w:bottom w:val="none" w:sz="0" w:space="0" w:color="auto"/>
        <w:right w:val="none" w:sz="0" w:space="0" w:color="auto"/>
      </w:divBdr>
    </w:div>
    <w:div w:id="841549736">
      <w:bodyDiv w:val="1"/>
      <w:marLeft w:val="0"/>
      <w:marRight w:val="0"/>
      <w:marTop w:val="0"/>
      <w:marBottom w:val="0"/>
      <w:divBdr>
        <w:top w:val="none" w:sz="0" w:space="0" w:color="auto"/>
        <w:left w:val="none" w:sz="0" w:space="0" w:color="auto"/>
        <w:bottom w:val="none" w:sz="0" w:space="0" w:color="auto"/>
        <w:right w:val="none" w:sz="0" w:space="0" w:color="auto"/>
      </w:divBdr>
    </w:div>
    <w:div w:id="870071512">
      <w:bodyDiv w:val="1"/>
      <w:marLeft w:val="0"/>
      <w:marRight w:val="0"/>
      <w:marTop w:val="0"/>
      <w:marBottom w:val="0"/>
      <w:divBdr>
        <w:top w:val="none" w:sz="0" w:space="0" w:color="auto"/>
        <w:left w:val="none" w:sz="0" w:space="0" w:color="auto"/>
        <w:bottom w:val="none" w:sz="0" w:space="0" w:color="auto"/>
        <w:right w:val="none" w:sz="0" w:space="0" w:color="auto"/>
      </w:divBdr>
    </w:div>
    <w:div w:id="901255323">
      <w:bodyDiv w:val="1"/>
      <w:marLeft w:val="0"/>
      <w:marRight w:val="0"/>
      <w:marTop w:val="0"/>
      <w:marBottom w:val="0"/>
      <w:divBdr>
        <w:top w:val="none" w:sz="0" w:space="0" w:color="auto"/>
        <w:left w:val="none" w:sz="0" w:space="0" w:color="auto"/>
        <w:bottom w:val="none" w:sz="0" w:space="0" w:color="auto"/>
        <w:right w:val="none" w:sz="0" w:space="0" w:color="auto"/>
      </w:divBdr>
    </w:div>
    <w:div w:id="911886592">
      <w:bodyDiv w:val="1"/>
      <w:marLeft w:val="0"/>
      <w:marRight w:val="0"/>
      <w:marTop w:val="0"/>
      <w:marBottom w:val="0"/>
      <w:divBdr>
        <w:top w:val="none" w:sz="0" w:space="0" w:color="auto"/>
        <w:left w:val="none" w:sz="0" w:space="0" w:color="auto"/>
        <w:bottom w:val="none" w:sz="0" w:space="0" w:color="auto"/>
        <w:right w:val="none" w:sz="0" w:space="0" w:color="auto"/>
      </w:divBdr>
    </w:div>
    <w:div w:id="912349316">
      <w:bodyDiv w:val="1"/>
      <w:marLeft w:val="0"/>
      <w:marRight w:val="0"/>
      <w:marTop w:val="0"/>
      <w:marBottom w:val="0"/>
      <w:divBdr>
        <w:top w:val="none" w:sz="0" w:space="0" w:color="auto"/>
        <w:left w:val="none" w:sz="0" w:space="0" w:color="auto"/>
        <w:bottom w:val="none" w:sz="0" w:space="0" w:color="auto"/>
        <w:right w:val="none" w:sz="0" w:space="0" w:color="auto"/>
      </w:divBdr>
    </w:div>
    <w:div w:id="915894681">
      <w:bodyDiv w:val="1"/>
      <w:marLeft w:val="0"/>
      <w:marRight w:val="0"/>
      <w:marTop w:val="0"/>
      <w:marBottom w:val="0"/>
      <w:divBdr>
        <w:top w:val="none" w:sz="0" w:space="0" w:color="auto"/>
        <w:left w:val="none" w:sz="0" w:space="0" w:color="auto"/>
        <w:bottom w:val="none" w:sz="0" w:space="0" w:color="auto"/>
        <w:right w:val="none" w:sz="0" w:space="0" w:color="auto"/>
      </w:divBdr>
    </w:div>
    <w:div w:id="994917725">
      <w:bodyDiv w:val="1"/>
      <w:marLeft w:val="0"/>
      <w:marRight w:val="0"/>
      <w:marTop w:val="0"/>
      <w:marBottom w:val="0"/>
      <w:divBdr>
        <w:top w:val="none" w:sz="0" w:space="0" w:color="auto"/>
        <w:left w:val="none" w:sz="0" w:space="0" w:color="auto"/>
        <w:bottom w:val="none" w:sz="0" w:space="0" w:color="auto"/>
        <w:right w:val="none" w:sz="0" w:space="0" w:color="auto"/>
      </w:divBdr>
    </w:div>
    <w:div w:id="998920021">
      <w:bodyDiv w:val="1"/>
      <w:marLeft w:val="0"/>
      <w:marRight w:val="0"/>
      <w:marTop w:val="0"/>
      <w:marBottom w:val="0"/>
      <w:divBdr>
        <w:top w:val="none" w:sz="0" w:space="0" w:color="auto"/>
        <w:left w:val="none" w:sz="0" w:space="0" w:color="auto"/>
        <w:bottom w:val="none" w:sz="0" w:space="0" w:color="auto"/>
        <w:right w:val="none" w:sz="0" w:space="0" w:color="auto"/>
      </w:divBdr>
    </w:div>
    <w:div w:id="1033732043">
      <w:bodyDiv w:val="1"/>
      <w:marLeft w:val="0"/>
      <w:marRight w:val="0"/>
      <w:marTop w:val="0"/>
      <w:marBottom w:val="0"/>
      <w:divBdr>
        <w:top w:val="none" w:sz="0" w:space="0" w:color="auto"/>
        <w:left w:val="none" w:sz="0" w:space="0" w:color="auto"/>
        <w:bottom w:val="none" w:sz="0" w:space="0" w:color="auto"/>
        <w:right w:val="none" w:sz="0" w:space="0" w:color="auto"/>
      </w:divBdr>
    </w:div>
    <w:div w:id="1044598226">
      <w:bodyDiv w:val="1"/>
      <w:marLeft w:val="0"/>
      <w:marRight w:val="0"/>
      <w:marTop w:val="0"/>
      <w:marBottom w:val="0"/>
      <w:divBdr>
        <w:top w:val="none" w:sz="0" w:space="0" w:color="auto"/>
        <w:left w:val="none" w:sz="0" w:space="0" w:color="auto"/>
        <w:bottom w:val="none" w:sz="0" w:space="0" w:color="auto"/>
        <w:right w:val="none" w:sz="0" w:space="0" w:color="auto"/>
      </w:divBdr>
    </w:div>
    <w:div w:id="1072898059">
      <w:bodyDiv w:val="1"/>
      <w:marLeft w:val="0"/>
      <w:marRight w:val="0"/>
      <w:marTop w:val="0"/>
      <w:marBottom w:val="0"/>
      <w:divBdr>
        <w:top w:val="none" w:sz="0" w:space="0" w:color="auto"/>
        <w:left w:val="none" w:sz="0" w:space="0" w:color="auto"/>
        <w:bottom w:val="none" w:sz="0" w:space="0" w:color="auto"/>
        <w:right w:val="none" w:sz="0" w:space="0" w:color="auto"/>
      </w:divBdr>
    </w:div>
    <w:div w:id="1083725844">
      <w:bodyDiv w:val="1"/>
      <w:marLeft w:val="0"/>
      <w:marRight w:val="0"/>
      <w:marTop w:val="0"/>
      <w:marBottom w:val="0"/>
      <w:divBdr>
        <w:top w:val="none" w:sz="0" w:space="0" w:color="auto"/>
        <w:left w:val="none" w:sz="0" w:space="0" w:color="auto"/>
        <w:bottom w:val="none" w:sz="0" w:space="0" w:color="auto"/>
        <w:right w:val="none" w:sz="0" w:space="0" w:color="auto"/>
      </w:divBdr>
    </w:div>
    <w:div w:id="1092168563">
      <w:bodyDiv w:val="1"/>
      <w:marLeft w:val="0"/>
      <w:marRight w:val="0"/>
      <w:marTop w:val="0"/>
      <w:marBottom w:val="0"/>
      <w:divBdr>
        <w:top w:val="none" w:sz="0" w:space="0" w:color="auto"/>
        <w:left w:val="none" w:sz="0" w:space="0" w:color="auto"/>
        <w:bottom w:val="none" w:sz="0" w:space="0" w:color="auto"/>
        <w:right w:val="none" w:sz="0" w:space="0" w:color="auto"/>
      </w:divBdr>
    </w:div>
    <w:div w:id="1102846704">
      <w:bodyDiv w:val="1"/>
      <w:marLeft w:val="0"/>
      <w:marRight w:val="0"/>
      <w:marTop w:val="0"/>
      <w:marBottom w:val="0"/>
      <w:divBdr>
        <w:top w:val="none" w:sz="0" w:space="0" w:color="auto"/>
        <w:left w:val="none" w:sz="0" w:space="0" w:color="auto"/>
        <w:bottom w:val="none" w:sz="0" w:space="0" w:color="auto"/>
        <w:right w:val="none" w:sz="0" w:space="0" w:color="auto"/>
      </w:divBdr>
    </w:div>
    <w:div w:id="1109423471">
      <w:bodyDiv w:val="1"/>
      <w:marLeft w:val="0"/>
      <w:marRight w:val="0"/>
      <w:marTop w:val="0"/>
      <w:marBottom w:val="0"/>
      <w:divBdr>
        <w:top w:val="none" w:sz="0" w:space="0" w:color="auto"/>
        <w:left w:val="none" w:sz="0" w:space="0" w:color="auto"/>
        <w:bottom w:val="none" w:sz="0" w:space="0" w:color="auto"/>
        <w:right w:val="none" w:sz="0" w:space="0" w:color="auto"/>
      </w:divBdr>
    </w:div>
    <w:div w:id="1126579288">
      <w:bodyDiv w:val="1"/>
      <w:marLeft w:val="0"/>
      <w:marRight w:val="0"/>
      <w:marTop w:val="0"/>
      <w:marBottom w:val="0"/>
      <w:divBdr>
        <w:top w:val="none" w:sz="0" w:space="0" w:color="auto"/>
        <w:left w:val="none" w:sz="0" w:space="0" w:color="auto"/>
        <w:bottom w:val="none" w:sz="0" w:space="0" w:color="auto"/>
        <w:right w:val="none" w:sz="0" w:space="0" w:color="auto"/>
      </w:divBdr>
    </w:div>
    <w:div w:id="1148279644">
      <w:bodyDiv w:val="1"/>
      <w:marLeft w:val="0"/>
      <w:marRight w:val="0"/>
      <w:marTop w:val="0"/>
      <w:marBottom w:val="0"/>
      <w:divBdr>
        <w:top w:val="none" w:sz="0" w:space="0" w:color="auto"/>
        <w:left w:val="none" w:sz="0" w:space="0" w:color="auto"/>
        <w:bottom w:val="none" w:sz="0" w:space="0" w:color="auto"/>
        <w:right w:val="none" w:sz="0" w:space="0" w:color="auto"/>
      </w:divBdr>
    </w:div>
    <w:div w:id="1215048107">
      <w:bodyDiv w:val="1"/>
      <w:marLeft w:val="0"/>
      <w:marRight w:val="0"/>
      <w:marTop w:val="0"/>
      <w:marBottom w:val="0"/>
      <w:divBdr>
        <w:top w:val="none" w:sz="0" w:space="0" w:color="auto"/>
        <w:left w:val="none" w:sz="0" w:space="0" w:color="auto"/>
        <w:bottom w:val="none" w:sz="0" w:space="0" w:color="auto"/>
        <w:right w:val="none" w:sz="0" w:space="0" w:color="auto"/>
      </w:divBdr>
    </w:div>
    <w:div w:id="1232231737">
      <w:bodyDiv w:val="1"/>
      <w:marLeft w:val="0"/>
      <w:marRight w:val="0"/>
      <w:marTop w:val="0"/>
      <w:marBottom w:val="0"/>
      <w:divBdr>
        <w:top w:val="none" w:sz="0" w:space="0" w:color="auto"/>
        <w:left w:val="none" w:sz="0" w:space="0" w:color="auto"/>
        <w:bottom w:val="none" w:sz="0" w:space="0" w:color="auto"/>
        <w:right w:val="none" w:sz="0" w:space="0" w:color="auto"/>
      </w:divBdr>
    </w:div>
    <w:div w:id="1237477259">
      <w:bodyDiv w:val="1"/>
      <w:marLeft w:val="0"/>
      <w:marRight w:val="0"/>
      <w:marTop w:val="0"/>
      <w:marBottom w:val="0"/>
      <w:divBdr>
        <w:top w:val="none" w:sz="0" w:space="0" w:color="auto"/>
        <w:left w:val="none" w:sz="0" w:space="0" w:color="auto"/>
        <w:bottom w:val="none" w:sz="0" w:space="0" w:color="auto"/>
        <w:right w:val="none" w:sz="0" w:space="0" w:color="auto"/>
      </w:divBdr>
    </w:div>
    <w:div w:id="1257471863">
      <w:bodyDiv w:val="1"/>
      <w:marLeft w:val="0"/>
      <w:marRight w:val="0"/>
      <w:marTop w:val="0"/>
      <w:marBottom w:val="0"/>
      <w:divBdr>
        <w:top w:val="none" w:sz="0" w:space="0" w:color="auto"/>
        <w:left w:val="none" w:sz="0" w:space="0" w:color="auto"/>
        <w:bottom w:val="none" w:sz="0" w:space="0" w:color="auto"/>
        <w:right w:val="none" w:sz="0" w:space="0" w:color="auto"/>
      </w:divBdr>
    </w:div>
    <w:div w:id="1377464446">
      <w:bodyDiv w:val="1"/>
      <w:marLeft w:val="0"/>
      <w:marRight w:val="0"/>
      <w:marTop w:val="0"/>
      <w:marBottom w:val="0"/>
      <w:divBdr>
        <w:top w:val="none" w:sz="0" w:space="0" w:color="auto"/>
        <w:left w:val="none" w:sz="0" w:space="0" w:color="auto"/>
        <w:bottom w:val="none" w:sz="0" w:space="0" w:color="auto"/>
        <w:right w:val="none" w:sz="0" w:space="0" w:color="auto"/>
      </w:divBdr>
      <w:divsChild>
        <w:div w:id="427625279">
          <w:marLeft w:val="1411"/>
          <w:marRight w:val="0"/>
          <w:marTop w:val="0"/>
          <w:marBottom w:val="0"/>
          <w:divBdr>
            <w:top w:val="none" w:sz="0" w:space="0" w:color="auto"/>
            <w:left w:val="none" w:sz="0" w:space="0" w:color="auto"/>
            <w:bottom w:val="none" w:sz="0" w:space="0" w:color="auto"/>
            <w:right w:val="none" w:sz="0" w:space="0" w:color="auto"/>
          </w:divBdr>
        </w:div>
        <w:div w:id="568031031">
          <w:marLeft w:val="1411"/>
          <w:marRight w:val="0"/>
          <w:marTop w:val="0"/>
          <w:marBottom w:val="0"/>
          <w:divBdr>
            <w:top w:val="none" w:sz="0" w:space="0" w:color="auto"/>
            <w:left w:val="none" w:sz="0" w:space="0" w:color="auto"/>
            <w:bottom w:val="none" w:sz="0" w:space="0" w:color="auto"/>
            <w:right w:val="none" w:sz="0" w:space="0" w:color="auto"/>
          </w:divBdr>
        </w:div>
        <w:div w:id="1324119449">
          <w:marLeft w:val="1411"/>
          <w:marRight w:val="0"/>
          <w:marTop w:val="0"/>
          <w:marBottom w:val="0"/>
          <w:divBdr>
            <w:top w:val="none" w:sz="0" w:space="0" w:color="auto"/>
            <w:left w:val="none" w:sz="0" w:space="0" w:color="auto"/>
            <w:bottom w:val="none" w:sz="0" w:space="0" w:color="auto"/>
            <w:right w:val="none" w:sz="0" w:space="0" w:color="auto"/>
          </w:divBdr>
        </w:div>
        <w:div w:id="1373193343">
          <w:marLeft w:val="562"/>
          <w:marRight w:val="0"/>
          <w:marTop w:val="0"/>
          <w:marBottom w:val="0"/>
          <w:divBdr>
            <w:top w:val="none" w:sz="0" w:space="0" w:color="auto"/>
            <w:left w:val="none" w:sz="0" w:space="0" w:color="auto"/>
            <w:bottom w:val="none" w:sz="0" w:space="0" w:color="auto"/>
            <w:right w:val="none" w:sz="0" w:space="0" w:color="auto"/>
          </w:divBdr>
        </w:div>
        <w:div w:id="1684472485">
          <w:marLeft w:val="1411"/>
          <w:marRight w:val="0"/>
          <w:marTop w:val="0"/>
          <w:marBottom w:val="0"/>
          <w:divBdr>
            <w:top w:val="none" w:sz="0" w:space="0" w:color="auto"/>
            <w:left w:val="none" w:sz="0" w:space="0" w:color="auto"/>
            <w:bottom w:val="none" w:sz="0" w:space="0" w:color="auto"/>
            <w:right w:val="none" w:sz="0" w:space="0" w:color="auto"/>
          </w:divBdr>
        </w:div>
        <w:div w:id="1732801658">
          <w:marLeft w:val="1411"/>
          <w:marRight w:val="0"/>
          <w:marTop w:val="0"/>
          <w:marBottom w:val="0"/>
          <w:divBdr>
            <w:top w:val="none" w:sz="0" w:space="0" w:color="auto"/>
            <w:left w:val="none" w:sz="0" w:space="0" w:color="auto"/>
            <w:bottom w:val="none" w:sz="0" w:space="0" w:color="auto"/>
            <w:right w:val="none" w:sz="0" w:space="0" w:color="auto"/>
          </w:divBdr>
        </w:div>
        <w:div w:id="1783454252">
          <w:marLeft w:val="1411"/>
          <w:marRight w:val="0"/>
          <w:marTop w:val="0"/>
          <w:marBottom w:val="0"/>
          <w:divBdr>
            <w:top w:val="none" w:sz="0" w:space="0" w:color="auto"/>
            <w:left w:val="none" w:sz="0" w:space="0" w:color="auto"/>
            <w:bottom w:val="none" w:sz="0" w:space="0" w:color="auto"/>
            <w:right w:val="none" w:sz="0" w:space="0" w:color="auto"/>
          </w:divBdr>
        </w:div>
        <w:div w:id="2022313867">
          <w:marLeft w:val="562"/>
          <w:marRight w:val="0"/>
          <w:marTop w:val="0"/>
          <w:marBottom w:val="0"/>
          <w:divBdr>
            <w:top w:val="none" w:sz="0" w:space="0" w:color="auto"/>
            <w:left w:val="none" w:sz="0" w:space="0" w:color="auto"/>
            <w:bottom w:val="none" w:sz="0" w:space="0" w:color="auto"/>
            <w:right w:val="none" w:sz="0" w:space="0" w:color="auto"/>
          </w:divBdr>
        </w:div>
      </w:divsChild>
    </w:div>
    <w:div w:id="1378160490">
      <w:bodyDiv w:val="1"/>
      <w:marLeft w:val="0"/>
      <w:marRight w:val="0"/>
      <w:marTop w:val="0"/>
      <w:marBottom w:val="0"/>
      <w:divBdr>
        <w:top w:val="none" w:sz="0" w:space="0" w:color="auto"/>
        <w:left w:val="none" w:sz="0" w:space="0" w:color="auto"/>
        <w:bottom w:val="none" w:sz="0" w:space="0" w:color="auto"/>
        <w:right w:val="none" w:sz="0" w:space="0" w:color="auto"/>
      </w:divBdr>
    </w:div>
    <w:div w:id="1392388646">
      <w:bodyDiv w:val="1"/>
      <w:marLeft w:val="0"/>
      <w:marRight w:val="0"/>
      <w:marTop w:val="0"/>
      <w:marBottom w:val="0"/>
      <w:divBdr>
        <w:top w:val="none" w:sz="0" w:space="0" w:color="auto"/>
        <w:left w:val="none" w:sz="0" w:space="0" w:color="auto"/>
        <w:bottom w:val="none" w:sz="0" w:space="0" w:color="auto"/>
        <w:right w:val="none" w:sz="0" w:space="0" w:color="auto"/>
      </w:divBdr>
    </w:div>
    <w:div w:id="1394700840">
      <w:bodyDiv w:val="1"/>
      <w:marLeft w:val="0"/>
      <w:marRight w:val="0"/>
      <w:marTop w:val="0"/>
      <w:marBottom w:val="0"/>
      <w:divBdr>
        <w:top w:val="none" w:sz="0" w:space="0" w:color="auto"/>
        <w:left w:val="none" w:sz="0" w:space="0" w:color="auto"/>
        <w:bottom w:val="none" w:sz="0" w:space="0" w:color="auto"/>
        <w:right w:val="none" w:sz="0" w:space="0" w:color="auto"/>
      </w:divBdr>
    </w:div>
    <w:div w:id="1443498282">
      <w:bodyDiv w:val="1"/>
      <w:marLeft w:val="0"/>
      <w:marRight w:val="0"/>
      <w:marTop w:val="0"/>
      <w:marBottom w:val="0"/>
      <w:divBdr>
        <w:top w:val="none" w:sz="0" w:space="0" w:color="auto"/>
        <w:left w:val="none" w:sz="0" w:space="0" w:color="auto"/>
        <w:bottom w:val="none" w:sz="0" w:space="0" w:color="auto"/>
        <w:right w:val="none" w:sz="0" w:space="0" w:color="auto"/>
      </w:divBdr>
    </w:div>
    <w:div w:id="1453094426">
      <w:bodyDiv w:val="1"/>
      <w:marLeft w:val="0"/>
      <w:marRight w:val="0"/>
      <w:marTop w:val="0"/>
      <w:marBottom w:val="0"/>
      <w:divBdr>
        <w:top w:val="none" w:sz="0" w:space="0" w:color="auto"/>
        <w:left w:val="none" w:sz="0" w:space="0" w:color="auto"/>
        <w:bottom w:val="none" w:sz="0" w:space="0" w:color="auto"/>
        <w:right w:val="none" w:sz="0" w:space="0" w:color="auto"/>
      </w:divBdr>
    </w:div>
    <w:div w:id="1453982357">
      <w:bodyDiv w:val="1"/>
      <w:marLeft w:val="0"/>
      <w:marRight w:val="0"/>
      <w:marTop w:val="0"/>
      <w:marBottom w:val="0"/>
      <w:divBdr>
        <w:top w:val="none" w:sz="0" w:space="0" w:color="auto"/>
        <w:left w:val="none" w:sz="0" w:space="0" w:color="auto"/>
        <w:bottom w:val="none" w:sz="0" w:space="0" w:color="auto"/>
        <w:right w:val="none" w:sz="0" w:space="0" w:color="auto"/>
      </w:divBdr>
    </w:div>
    <w:div w:id="1462914901">
      <w:bodyDiv w:val="1"/>
      <w:marLeft w:val="0"/>
      <w:marRight w:val="0"/>
      <w:marTop w:val="0"/>
      <w:marBottom w:val="0"/>
      <w:divBdr>
        <w:top w:val="none" w:sz="0" w:space="0" w:color="auto"/>
        <w:left w:val="none" w:sz="0" w:space="0" w:color="auto"/>
        <w:bottom w:val="none" w:sz="0" w:space="0" w:color="auto"/>
        <w:right w:val="none" w:sz="0" w:space="0" w:color="auto"/>
      </w:divBdr>
    </w:div>
    <w:div w:id="1562866229">
      <w:bodyDiv w:val="1"/>
      <w:marLeft w:val="0"/>
      <w:marRight w:val="0"/>
      <w:marTop w:val="0"/>
      <w:marBottom w:val="0"/>
      <w:divBdr>
        <w:top w:val="none" w:sz="0" w:space="0" w:color="auto"/>
        <w:left w:val="none" w:sz="0" w:space="0" w:color="auto"/>
        <w:bottom w:val="none" w:sz="0" w:space="0" w:color="auto"/>
        <w:right w:val="none" w:sz="0" w:space="0" w:color="auto"/>
      </w:divBdr>
      <w:divsChild>
        <w:div w:id="842008112">
          <w:marLeft w:val="432"/>
          <w:marRight w:val="0"/>
          <w:marTop w:val="0"/>
          <w:marBottom w:val="0"/>
          <w:divBdr>
            <w:top w:val="none" w:sz="0" w:space="0" w:color="auto"/>
            <w:left w:val="none" w:sz="0" w:space="0" w:color="auto"/>
            <w:bottom w:val="none" w:sz="0" w:space="0" w:color="auto"/>
            <w:right w:val="none" w:sz="0" w:space="0" w:color="auto"/>
          </w:divBdr>
        </w:div>
        <w:div w:id="960261310">
          <w:marLeft w:val="432"/>
          <w:marRight w:val="0"/>
          <w:marTop w:val="0"/>
          <w:marBottom w:val="0"/>
          <w:divBdr>
            <w:top w:val="none" w:sz="0" w:space="0" w:color="auto"/>
            <w:left w:val="none" w:sz="0" w:space="0" w:color="auto"/>
            <w:bottom w:val="none" w:sz="0" w:space="0" w:color="auto"/>
            <w:right w:val="none" w:sz="0" w:space="0" w:color="auto"/>
          </w:divBdr>
        </w:div>
        <w:div w:id="1004744843">
          <w:marLeft w:val="432"/>
          <w:marRight w:val="0"/>
          <w:marTop w:val="0"/>
          <w:marBottom w:val="0"/>
          <w:divBdr>
            <w:top w:val="none" w:sz="0" w:space="0" w:color="auto"/>
            <w:left w:val="none" w:sz="0" w:space="0" w:color="auto"/>
            <w:bottom w:val="none" w:sz="0" w:space="0" w:color="auto"/>
            <w:right w:val="none" w:sz="0" w:space="0" w:color="auto"/>
          </w:divBdr>
        </w:div>
        <w:div w:id="1449617494">
          <w:marLeft w:val="432"/>
          <w:marRight w:val="0"/>
          <w:marTop w:val="0"/>
          <w:marBottom w:val="0"/>
          <w:divBdr>
            <w:top w:val="none" w:sz="0" w:space="0" w:color="auto"/>
            <w:left w:val="none" w:sz="0" w:space="0" w:color="auto"/>
            <w:bottom w:val="none" w:sz="0" w:space="0" w:color="auto"/>
            <w:right w:val="none" w:sz="0" w:space="0" w:color="auto"/>
          </w:divBdr>
        </w:div>
        <w:div w:id="1642155400">
          <w:marLeft w:val="432"/>
          <w:marRight w:val="0"/>
          <w:marTop w:val="0"/>
          <w:marBottom w:val="0"/>
          <w:divBdr>
            <w:top w:val="none" w:sz="0" w:space="0" w:color="auto"/>
            <w:left w:val="none" w:sz="0" w:space="0" w:color="auto"/>
            <w:bottom w:val="none" w:sz="0" w:space="0" w:color="auto"/>
            <w:right w:val="none" w:sz="0" w:space="0" w:color="auto"/>
          </w:divBdr>
        </w:div>
      </w:divsChild>
    </w:div>
    <w:div w:id="1582059570">
      <w:bodyDiv w:val="1"/>
      <w:marLeft w:val="0"/>
      <w:marRight w:val="0"/>
      <w:marTop w:val="0"/>
      <w:marBottom w:val="0"/>
      <w:divBdr>
        <w:top w:val="none" w:sz="0" w:space="0" w:color="auto"/>
        <w:left w:val="none" w:sz="0" w:space="0" w:color="auto"/>
        <w:bottom w:val="none" w:sz="0" w:space="0" w:color="auto"/>
        <w:right w:val="none" w:sz="0" w:space="0" w:color="auto"/>
      </w:divBdr>
    </w:div>
    <w:div w:id="1585263607">
      <w:bodyDiv w:val="1"/>
      <w:marLeft w:val="0"/>
      <w:marRight w:val="0"/>
      <w:marTop w:val="0"/>
      <w:marBottom w:val="0"/>
      <w:divBdr>
        <w:top w:val="none" w:sz="0" w:space="0" w:color="auto"/>
        <w:left w:val="none" w:sz="0" w:space="0" w:color="auto"/>
        <w:bottom w:val="none" w:sz="0" w:space="0" w:color="auto"/>
        <w:right w:val="none" w:sz="0" w:space="0" w:color="auto"/>
      </w:divBdr>
    </w:div>
    <w:div w:id="1585410920">
      <w:bodyDiv w:val="1"/>
      <w:marLeft w:val="0"/>
      <w:marRight w:val="0"/>
      <w:marTop w:val="0"/>
      <w:marBottom w:val="0"/>
      <w:divBdr>
        <w:top w:val="none" w:sz="0" w:space="0" w:color="auto"/>
        <w:left w:val="none" w:sz="0" w:space="0" w:color="auto"/>
        <w:bottom w:val="none" w:sz="0" w:space="0" w:color="auto"/>
        <w:right w:val="none" w:sz="0" w:space="0" w:color="auto"/>
      </w:divBdr>
    </w:div>
    <w:div w:id="1616406584">
      <w:bodyDiv w:val="1"/>
      <w:marLeft w:val="0"/>
      <w:marRight w:val="0"/>
      <w:marTop w:val="0"/>
      <w:marBottom w:val="0"/>
      <w:divBdr>
        <w:top w:val="none" w:sz="0" w:space="0" w:color="auto"/>
        <w:left w:val="none" w:sz="0" w:space="0" w:color="auto"/>
        <w:bottom w:val="none" w:sz="0" w:space="0" w:color="auto"/>
        <w:right w:val="none" w:sz="0" w:space="0" w:color="auto"/>
      </w:divBdr>
    </w:div>
    <w:div w:id="1625191141">
      <w:bodyDiv w:val="1"/>
      <w:marLeft w:val="0"/>
      <w:marRight w:val="0"/>
      <w:marTop w:val="0"/>
      <w:marBottom w:val="0"/>
      <w:divBdr>
        <w:top w:val="none" w:sz="0" w:space="0" w:color="auto"/>
        <w:left w:val="none" w:sz="0" w:space="0" w:color="auto"/>
        <w:bottom w:val="none" w:sz="0" w:space="0" w:color="auto"/>
        <w:right w:val="none" w:sz="0" w:space="0" w:color="auto"/>
      </w:divBdr>
    </w:div>
    <w:div w:id="1680155601">
      <w:bodyDiv w:val="1"/>
      <w:marLeft w:val="0"/>
      <w:marRight w:val="0"/>
      <w:marTop w:val="0"/>
      <w:marBottom w:val="0"/>
      <w:divBdr>
        <w:top w:val="none" w:sz="0" w:space="0" w:color="auto"/>
        <w:left w:val="none" w:sz="0" w:space="0" w:color="auto"/>
        <w:bottom w:val="none" w:sz="0" w:space="0" w:color="auto"/>
        <w:right w:val="none" w:sz="0" w:space="0" w:color="auto"/>
      </w:divBdr>
    </w:div>
    <w:div w:id="1750349545">
      <w:bodyDiv w:val="1"/>
      <w:marLeft w:val="0"/>
      <w:marRight w:val="0"/>
      <w:marTop w:val="0"/>
      <w:marBottom w:val="0"/>
      <w:divBdr>
        <w:top w:val="none" w:sz="0" w:space="0" w:color="auto"/>
        <w:left w:val="none" w:sz="0" w:space="0" w:color="auto"/>
        <w:bottom w:val="none" w:sz="0" w:space="0" w:color="auto"/>
        <w:right w:val="none" w:sz="0" w:space="0" w:color="auto"/>
      </w:divBdr>
    </w:div>
    <w:div w:id="1793595793">
      <w:bodyDiv w:val="1"/>
      <w:marLeft w:val="0"/>
      <w:marRight w:val="0"/>
      <w:marTop w:val="0"/>
      <w:marBottom w:val="0"/>
      <w:divBdr>
        <w:top w:val="none" w:sz="0" w:space="0" w:color="auto"/>
        <w:left w:val="none" w:sz="0" w:space="0" w:color="auto"/>
        <w:bottom w:val="none" w:sz="0" w:space="0" w:color="auto"/>
        <w:right w:val="none" w:sz="0" w:space="0" w:color="auto"/>
      </w:divBdr>
    </w:div>
    <w:div w:id="1861696497">
      <w:bodyDiv w:val="1"/>
      <w:marLeft w:val="0"/>
      <w:marRight w:val="0"/>
      <w:marTop w:val="0"/>
      <w:marBottom w:val="0"/>
      <w:divBdr>
        <w:top w:val="none" w:sz="0" w:space="0" w:color="auto"/>
        <w:left w:val="none" w:sz="0" w:space="0" w:color="auto"/>
        <w:bottom w:val="none" w:sz="0" w:space="0" w:color="auto"/>
        <w:right w:val="none" w:sz="0" w:space="0" w:color="auto"/>
      </w:divBdr>
    </w:div>
    <w:div w:id="1926306342">
      <w:bodyDiv w:val="1"/>
      <w:marLeft w:val="0"/>
      <w:marRight w:val="0"/>
      <w:marTop w:val="0"/>
      <w:marBottom w:val="0"/>
      <w:divBdr>
        <w:top w:val="none" w:sz="0" w:space="0" w:color="auto"/>
        <w:left w:val="none" w:sz="0" w:space="0" w:color="auto"/>
        <w:bottom w:val="none" w:sz="0" w:space="0" w:color="auto"/>
        <w:right w:val="none" w:sz="0" w:space="0" w:color="auto"/>
      </w:divBdr>
      <w:divsChild>
        <w:div w:id="706683369">
          <w:marLeft w:val="446"/>
          <w:marRight w:val="0"/>
          <w:marTop w:val="0"/>
          <w:marBottom w:val="0"/>
          <w:divBdr>
            <w:top w:val="none" w:sz="0" w:space="0" w:color="auto"/>
            <w:left w:val="none" w:sz="0" w:space="0" w:color="auto"/>
            <w:bottom w:val="none" w:sz="0" w:space="0" w:color="auto"/>
            <w:right w:val="none" w:sz="0" w:space="0" w:color="auto"/>
          </w:divBdr>
        </w:div>
        <w:div w:id="1413968053">
          <w:marLeft w:val="446"/>
          <w:marRight w:val="0"/>
          <w:marTop w:val="0"/>
          <w:marBottom w:val="0"/>
          <w:divBdr>
            <w:top w:val="none" w:sz="0" w:space="0" w:color="auto"/>
            <w:left w:val="none" w:sz="0" w:space="0" w:color="auto"/>
            <w:bottom w:val="none" w:sz="0" w:space="0" w:color="auto"/>
            <w:right w:val="none" w:sz="0" w:space="0" w:color="auto"/>
          </w:divBdr>
        </w:div>
        <w:div w:id="1800881046">
          <w:marLeft w:val="446"/>
          <w:marRight w:val="0"/>
          <w:marTop w:val="0"/>
          <w:marBottom w:val="0"/>
          <w:divBdr>
            <w:top w:val="none" w:sz="0" w:space="0" w:color="auto"/>
            <w:left w:val="none" w:sz="0" w:space="0" w:color="auto"/>
            <w:bottom w:val="none" w:sz="0" w:space="0" w:color="auto"/>
            <w:right w:val="none" w:sz="0" w:space="0" w:color="auto"/>
          </w:divBdr>
        </w:div>
      </w:divsChild>
    </w:div>
    <w:div w:id="1926647794">
      <w:bodyDiv w:val="1"/>
      <w:marLeft w:val="0"/>
      <w:marRight w:val="0"/>
      <w:marTop w:val="0"/>
      <w:marBottom w:val="0"/>
      <w:divBdr>
        <w:top w:val="none" w:sz="0" w:space="0" w:color="auto"/>
        <w:left w:val="none" w:sz="0" w:space="0" w:color="auto"/>
        <w:bottom w:val="none" w:sz="0" w:space="0" w:color="auto"/>
        <w:right w:val="none" w:sz="0" w:space="0" w:color="auto"/>
      </w:divBdr>
    </w:div>
    <w:div w:id="1927500358">
      <w:bodyDiv w:val="1"/>
      <w:marLeft w:val="0"/>
      <w:marRight w:val="0"/>
      <w:marTop w:val="0"/>
      <w:marBottom w:val="0"/>
      <w:divBdr>
        <w:top w:val="none" w:sz="0" w:space="0" w:color="auto"/>
        <w:left w:val="none" w:sz="0" w:space="0" w:color="auto"/>
        <w:bottom w:val="none" w:sz="0" w:space="0" w:color="auto"/>
        <w:right w:val="none" w:sz="0" w:space="0" w:color="auto"/>
      </w:divBdr>
      <w:divsChild>
        <w:div w:id="111636357">
          <w:marLeft w:val="446"/>
          <w:marRight w:val="0"/>
          <w:marTop w:val="0"/>
          <w:marBottom w:val="0"/>
          <w:divBdr>
            <w:top w:val="none" w:sz="0" w:space="0" w:color="auto"/>
            <w:left w:val="none" w:sz="0" w:space="0" w:color="auto"/>
            <w:bottom w:val="none" w:sz="0" w:space="0" w:color="auto"/>
            <w:right w:val="none" w:sz="0" w:space="0" w:color="auto"/>
          </w:divBdr>
        </w:div>
        <w:div w:id="265116485">
          <w:marLeft w:val="446"/>
          <w:marRight w:val="0"/>
          <w:marTop w:val="0"/>
          <w:marBottom w:val="0"/>
          <w:divBdr>
            <w:top w:val="none" w:sz="0" w:space="0" w:color="auto"/>
            <w:left w:val="none" w:sz="0" w:space="0" w:color="auto"/>
            <w:bottom w:val="none" w:sz="0" w:space="0" w:color="auto"/>
            <w:right w:val="none" w:sz="0" w:space="0" w:color="auto"/>
          </w:divBdr>
        </w:div>
        <w:div w:id="1220169965">
          <w:marLeft w:val="446"/>
          <w:marRight w:val="0"/>
          <w:marTop w:val="0"/>
          <w:marBottom w:val="0"/>
          <w:divBdr>
            <w:top w:val="none" w:sz="0" w:space="0" w:color="auto"/>
            <w:left w:val="none" w:sz="0" w:space="0" w:color="auto"/>
            <w:bottom w:val="none" w:sz="0" w:space="0" w:color="auto"/>
            <w:right w:val="none" w:sz="0" w:space="0" w:color="auto"/>
          </w:divBdr>
        </w:div>
        <w:div w:id="1231111033">
          <w:marLeft w:val="446"/>
          <w:marRight w:val="0"/>
          <w:marTop w:val="0"/>
          <w:marBottom w:val="0"/>
          <w:divBdr>
            <w:top w:val="none" w:sz="0" w:space="0" w:color="auto"/>
            <w:left w:val="none" w:sz="0" w:space="0" w:color="auto"/>
            <w:bottom w:val="none" w:sz="0" w:space="0" w:color="auto"/>
            <w:right w:val="none" w:sz="0" w:space="0" w:color="auto"/>
          </w:divBdr>
        </w:div>
        <w:div w:id="1743327666">
          <w:marLeft w:val="446"/>
          <w:marRight w:val="0"/>
          <w:marTop w:val="0"/>
          <w:marBottom w:val="0"/>
          <w:divBdr>
            <w:top w:val="none" w:sz="0" w:space="0" w:color="auto"/>
            <w:left w:val="none" w:sz="0" w:space="0" w:color="auto"/>
            <w:bottom w:val="none" w:sz="0" w:space="0" w:color="auto"/>
            <w:right w:val="none" w:sz="0" w:space="0" w:color="auto"/>
          </w:divBdr>
        </w:div>
      </w:divsChild>
    </w:div>
    <w:div w:id="1935819426">
      <w:bodyDiv w:val="1"/>
      <w:marLeft w:val="0"/>
      <w:marRight w:val="0"/>
      <w:marTop w:val="0"/>
      <w:marBottom w:val="0"/>
      <w:divBdr>
        <w:top w:val="none" w:sz="0" w:space="0" w:color="auto"/>
        <w:left w:val="none" w:sz="0" w:space="0" w:color="auto"/>
        <w:bottom w:val="none" w:sz="0" w:space="0" w:color="auto"/>
        <w:right w:val="none" w:sz="0" w:space="0" w:color="auto"/>
      </w:divBdr>
    </w:div>
    <w:div w:id="1940601479">
      <w:bodyDiv w:val="1"/>
      <w:marLeft w:val="0"/>
      <w:marRight w:val="0"/>
      <w:marTop w:val="0"/>
      <w:marBottom w:val="0"/>
      <w:divBdr>
        <w:top w:val="none" w:sz="0" w:space="0" w:color="auto"/>
        <w:left w:val="none" w:sz="0" w:space="0" w:color="auto"/>
        <w:bottom w:val="none" w:sz="0" w:space="0" w:color="auto"/>
        <w:right w:val="none" w:sz="0" w:space="0" w:color="auto"/>
      </w:divBdr>
      <w:divsChild>
        <w:div w:id="393697833">
          <w:marLeft w:val="850"/>
          <w:marRight w:val="0"/>
          <w:marTop w:val="96"/>
          <w:marBottom w:val="0"/>
          <w:divBdr>
            <w:top w:val="none" w:sz="0" w:space="0" w:color="auto"/>
            <w:left w:val="none" w:sz="0" w:space="0" w:color="auto"/>
            <w:bottom w:val="none" w:sz="0" w:space="0" w:color="auto"/>
            <w:right w:val="none" w:sz="0" w:space="0" w:color="auto"/>
          </w:divBdr>
        </w:div>
        <w:div w:id="996568741">
          <w:marLeft w:val="850"/>
          <w:marRight w:val="0"/>
          <w:marTop w:val="96"/>
          <w:marBottom w:val="0"/>
          <w:divBdr>
            <w:top w:val="none" w:sz="0" w:space="0" w:color="auto"/>
            <w:left w:val="none" w:sz="0" w:space="0" w:color="auto"/>
            <w:bottom w:val="none" w:sz="0" w:space="0" w:color="auto"/>
            <w:right w:val="none" w:sz="0" w:space="0" w:color="auto"/>
          </w:divBdr>
        </w:div>
        <w:div w:id="1347247584">
          <w:marLeft w:val="850"/>
          <w:marRight w:val="0"/>
          <w:marTop w:val="96"/>
          <w:marBottom w:val="0"/>
          <w:divBdr>
            <w:top w:val="none" w:sz="0" w:space="0" w:color="auto"/>
            <w:left w:val="none" w:sz="0" w:space="0" w:color="auto"/>
            <w:bottom w:val="none" w:sz="0" w:space="0" w:color="auto"/>
            <w:right w:val="none" w:sz="0" w:space="0" w:color="auto"/>
          </w:divBdr>
        </w:div>
        <w:div w:id="1514804994">
          <w:marLeft w:val="850"/>
          <w:marRight w:val="0"/>
          <w:marTop w:val="96"/>
          <w:marBottom w:val="0"/>
          <w:divBdr>
            <w:top w:val="none" w:sz="0" w:space="0" w:color="auto"/>
            <w:left w:val="none" w:sz="0" w:space="0" w:color="auto"/>
            <w:bottom w:val="none" w:sz="0" w:space="0" w:color="auto"/>
            <w:right w:val="none" w:sz="0" w:space="0" w:color="auto"/>
          </w:divBdr>
        </w:div>
        <w:div w:id="2027633872">
          <w:marLeft w:val="850"/>
          <w:marRight w:val="0"/>
          <w:marTop w:val="96"/>
          <w:marBottom w:val="0"/>
          <w:divBdr>
            <w:top w:val="none" w:sz="0" w:space="0" w:color="auto"/>
            <w:left w:val="none" w:sz="0" w:space="0" w:color="auto"/>
            <w:bottom w:val="none" w:sz="0" w:space="0" w:color="auto"/>
            <w:right w:val="none" w:sz="0" w:space="0" w:color="auto"/>
          </w:divBdr>
        </w:div>
      </w:divsChild>
    </w:div>
    <w:div w:id="1942107982">
      <w:bodyDiv w:val="1"/>
      <w:marLeft w:val="0"/>
      <w:marRight w:val="0"/>
      <w:marTop w:val="0"/>
      <w:marBottom w:val="0"/>
      <w:divBdr>
        <w:top w:val="none" w:sz="0" w:space="0" w:color="auto"/>
        <w:left w:val="none" w:sz="0" w:space="0" w:color="auto"/>
        <w:bottom w:val="none" w:sz="0" w:space="0" w:color="auto"/>
        <w:right w:val="none" w:sz="0" w:space="0" w:color="auto"/>
      </w:divBdr>
    </w:div>
    <w:div w:id="1952973021">
      <w:bodyDiv w:val="1"/>
      <w:marLeft w:val="0"/>
      <w:marRight w:val="0"/>
      <w:marTop w:val="0"/>
      <w:marBottom w:val="0"/>
      <w:divBdr>
        <w:top w:val="none" w:sz="0" w:space="0" w:color="auto"/>
        <w:left w:val="none" w:sz="0" w:space="0" w:color="auto"/>
        <w:bottom w:val="none" w:sz="0" w:space="0" w:color="auto"/>
        <w:right w:val="none" w:sz="0" w:space="0" w:color="auto"/>
      </w:divBdr>
    </w:div>
    <w:div w:id="1969160249">
      <w:bodyDiv w:val="1"/>
      <w:marLeft w:val="0"/>
      <w:marRight w:val="0"/>
      <w:marTop w:val="0"/>
      <w:marBottom w:val="0"/>
      <w:divBdr>
        <w:top w:val="none" w:sz="0" w:space="0" w:color="auto"/>
        <w:left w:val="none" w:sz="0" w:space="0" w:color="auto"/>
        <w:bottom w:val="none" w:sz="0" w:space="0" w:color="auto"/>
        <w:right w:val="none" w:sz="0" w:space="0" w:color="auto"/>
      </w:divBdr>
    </w:div>
    <w:div w:id="2000037407">
      <w:bodyDiv w:val="1"/>
      <w:marLeft w:val="0"/>
      <w:marRight w:val="0"/>
      <w:marTop w:val="0"/>
      <w:marBottom w:val="0"/>
      <w:divBdr>
        <w:top w:val="none" w:sz="0" w:space="0" w:color="auto"/>
        <w:left w:val="none" w:sz="0" w:space="0" w:color="auto"/>
        <w:bottom w:val="none" w:sz="0" w:space="0" w:color="auto"/>
        <w:right w:val="none" w:sz="0" w:space="0" w:color="auto"/>
      </w:divBdr>
    </w:div>
    <w:div w:id="2037193323">
      <w:bodyDiv w:val="1"/>
      <w:marLeft w:val="0"/>
      <w:marRight w:val="0"/>
      <w:marTop w:val="0"/>
      <w:marBottom w:val="0"/>
      <w:divBdr>
        <w:top w:val="none" w:sz="0" w:space="0" w:color="auto"/>
        <w:left w:val="none" w:sz="0" w:space="0" w:color="auto"/>
        <w:bottom w:val="none" w:sz="0" w:space="0" w:color="auto"/>
        <w:right w:val="none" w:sz="0" w:space="0" w:color="auto"/>
      </w:divBdr>
    </w:div>
    <w:div w:id="2052849951">
      <w:bodyDiv w:val="1"/>
      <w:marLeft w:val="0"/>
      <w:marRight w:val="0"/>
      <w:marTop w:val="0"/>
      <w:marBottom w:val="0"/>
      <w:divBdr>
        <w:top w:val="none" w:sz="0" w:space="0" w:color="auto"/>
        <w:left w:val="none" w:sz="0" w:space="0" w:color="auto"/>
        <w:bottom w:val="none" w:sz="0" w:space="0" w:color="auto"/>
        <w:right w:val="none" w:sz="0" w:space="0" w:color="auto"/>
      </w:divBdr>
    </w:div>
    <w:div w:id="2073304315">
      <w:bodyDiv w:val="1"/>
      <w:marLeft w:val="0"/>
      <w:marRight w:val="0"/>
      <w:marTop w:val="0"/>
      <w:marBottom w:val="0"/>
      <w:divBdr>
        <w:top w:val="none" w:sz="0" w:space="0" w:color="auto"/>
        <w:left w:val="none" w:sz="0" w:space="0" w:color="auto"/>
        <w:bottom w:val="none" w:sz="0" w:space="0" w:color="auto"/>
        <w:right w:val="none" w:sz="0" w:space="0" w:color="auto"/>
      </w:divBdr>
    </w:div>
    <w:div w:id="2102413329">
      <w:bodyDiv w:val="1"/>
      <w:marLeft w:val="0"/>
      <w:marRight w:val="0"/>
      <w:marTop w:val="0"/>
      <w:marBottom w:val="0"/>
      <w:divBdr>
        <w:top w:val="none" w:sz="0" w:space="0" w:color="auto"/>
        <w:left w:val="none" w:sz="0" w:space="0" w:color="auto"/>
        <w:bottom w:val="none" w:sz="0" w:space="0" w:color="auto"/>
        <w:right w:val="none" w:sz="0" w:space="0" w:color="auto"/>
      </w:divBdr>
    </w:div>
    <w:div w:id="21066102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4.xml"/><Relationship Id="rId18" Type="http://schemas.openxmlformats.org/officeDocument/2006/relationships/chart" Target="charts/chart9.xml"/><Relationship Id="rId26" Type="http://schemas.openxmlformats.org/officeDocument/2006/relationships/chart" Target="charts/chart16.xml"/><Relationship Id="rId39" Type="http://schemas.openxmlformats.org/officeDocument/2006/relationships/image" Target="media/image4.emf"/><Relationship Id="rId3" Type="http://schemas.openxmlformats.org/officeDocument/2006/relationships/styles" Target="styles.xml"/><Relationship Id="rId21" Type="http://schemas.openxmlformats.org/officeDocument/2006/relationships/chart" Target="charts/chart12.xml"/><Relationship Id="rId34" Type="http://schemas.openxmlformats.org/officeDocument/2006/relationships/chart" Target="charts/chart24.xml"/><Relationship Id="rId42" Type="http://schemas.openxmlformats.org/officeDocument/2006/relationships/image" Target="media/image7.emf"/><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image" Target="media/image3.emf"/><Relationship Id="rId46"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chart" Target="charts/chart7.xml"/><Relationship Id="rId20" Type="http://schemas.openxmlformats.org/officeDocument/2006/relationships/chart" Target="charts/chart11.xml"/><Relationship Id="rId29" Type="http://schemas.openxmlformats.org/officeDocument/2006/relationships/chart" Target="charts/chart19.xml"/><Relationship Id="rId41"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2.xml"/><Relationship Id="rId24" Type="http://schemas.openxmlformats.org/officeDocument/2006/relationships/image" Target="media/image2.emf"/><Relationship Id="rId32" Type="http://schemas.openxmlformats.org/officeDocument/2006/relationships/chart" Target="charts/chart22.xml"/><Relationship Id="rId37" Type="http://schemas.openxmlformats.org/officeDocument/2006/relationships/chart" Target="charts/chart27.xml"/><Relationship Id="rId40" Type="http://schemas.openxmlformats.org/officeDocument/2006/relationships/image" Target="media/image5.emf"/><Relationship Id="rId45"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8.xml"/><Relationship Id="rId36" Type="http://schemas.openxmlformats.org/officeDocument/2006/relationships/chart" Target="charts/chart26.xml"/><Relationship Id="rId49" Type="http://schemas.openxmlformats.org/officeDocument/2006/relationships/footer" Target="footer3.xml"/><Relationship Id="rId10" Type="http://schemas.openxmlformats.org/officeDocument/2006/relationships/chart" Target="charts/chart1.xml"/><Relationship Id="rId19" Type="http://schemas.openxmlformats.org/officeDocument/2006/relationships/chart" Target="charts/chart10.xml"/><Relationship Id="rId31" Type="http://schemas.openxmlformats.org/officeDocument/2006/relationships/chart" Target="charts/chart21.xml"/><Relationship Id="rId44" Type="http://schemas.openxmlformats.org/officeDocument/2006/relationships/image" Target="media/image9.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chart" Target="charts/chart25.xml"/><Relationship Id="rId43" Type="http://schemas.openxmlformats.org/officeDocument/2006/relationships/image" Target="media/image8.emf"/><Relationship Id="rId48" Type="http://schemas.openxmlformats.org/officeDocument/2006/relationships/footer" Target="footer2.xml"/><Relationship Id="rId8" Type="http://schemas.openxmlformats.org/officeDocument/2006/relationships/endnotes" Target="endnotes.xml"/><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1" Type="http://schemas.openxmlformats.org/officeDocument/2006/relationships/oleObject" Target="https://d.docs.live.net/17cfdb5950b27963/Informe%20medio%20a&#241;o/gr&#225;ficas.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C:\Users\psantizo\OneDrive\Riesgos\gr&#225;ficas_2.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Libro2" TargetMode="External"/></Relationships>
</file>

<file path=word/charts/_rels/chart24.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GT"/>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880811898512686E-2"/>
          <c:y val="0.11854466467553626"/>
          <c:w val="0.86756955380577427"/>
          <c:h val="0.6005642742932995"/>
        </c:manualLayout>
      </c:layout>
      <c:barChart>
        <c:barDir val="col"/>
        <c:grouping val="stacked"/>
        <c:varyColors val="0"/>
        <c:ser>
          <c:idx val="0"/>
          <c:order val="0"/>
          <c:spPr>
            <a:solidFill>
              <a:schemeClr val="accent1"/>
            </a:solidFill>
            <a:ln w="12700">
              <a:noFill/>
            </a:ln>
            <a:effectLst>
              <a:innerShdw blurRad="63500" dist="50800" dir="16200000">
                <a:schemeClr val="accent2">
                  <a:alpha val="50000"/>
                </a:schemeClr>
              </a:innerShdw>
            </a:effectLst>
            <a:scene3d>
              <a:camera prst="orthographicFront"/>
              <a:lightRig rig="threePt" dir="t"/>
            </a:scene3d>
            <a:sp3d>
              <a:bevelT/>
            </a:sp3d>
          </c:spPr>
          <c:invertIfNegative val="0"/>
          <c:dPt>
            <c:idx val="6"/>
            <c:invertIfNegative val="0"/>
            <c:bubble3D val="0"/>
            <c:spPr>
              <a:solidFill>
                <a:srgbClr val="FF0000"/>
              </a:solidFill>
              <a:ln w="12700">
                <a:noFill/>
              </a:ln>
              <a:effectLst>
                <a:innerShdw blurRad="63500" dist="50800" dir="16200000">
                  <a:schemeClr val="accent2">
                    <a:alpha val="50000"/>
                  </a:schemeClr>
                </a:inn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78A2-49E5-9136-2C5956C9E5E9}"/>
              </c:ext>
            </c:extLst>
          </c:dPt>
          <c:dPt>
            <c:idx val="7"/>
            <c:invertIfNegative val="0"/>
            <c:bubble3D val="0"/>
            <c:spPr>
              <a:solidFill>
                <a:srgbClr val="FF0000"/>
              </a:solidFill>
              <a:ln w="12700">
                <a:noFill/>
              </a:ln>
              <a:effectLst>
                <a:innerShdw blurRad="63500" dist="50800" dir="16200000">
                  <a:schemeClr val="accent2">
                    <a:alpha val="50000"/>
                  </a:schemeClr>
                </a:inn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78A2-49E5-9136-2C5956C9E5E9}"/>
              </c:ext>
            </c:extLst>
          </c:dPt>
          <c:dPt>
            <c:idx val="8"/>
            <c:invertIfNegative val="0"/>
            <c:bubble3D val="0"/>
            <c:extLst xmlns:c16r2="http://schemas.microsoft.com/office/drawing/2015/06/chart">
              <c:ext xmlns:c16="http://schemas.microsoft.com/office/drawing/2014/chart" uri="{C3380CC4-5D6E-409C-BE32-E72D297353CC}">
                <c16:uniqueId val="{00000004-78A2-49E5-9136-2C5956C9E5E9}"/>
              </c:ext>
            </c:extLst>
          </c:dPt>
          <c:dPt>
            <c:idx val="11"/>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6-78A2-49E5-9136-2C5956C9E5E9}"/>
              </c:ext>
            </c:extLst>
          </c:dPt>
          <c:dPt>
            <c:idx val="12"/>
            <c:invertIfNegative val="0"/>
            <c:bubble3D val="0"/>
            <c:spPr>
              <a:solidFill>
                <a:schemeClr val="tx2"/>
              </a:solidFill>
              <a:ln w="12700">
                <a:noFill/>
              </a:ln>
              <a:effectLst>
                <a:innerShdw blurRad="63500" dist="50800" dir="16200000">
                  <a:schemeClr val="accent2">
                    <a:alpha val="50000"/>
                  </a:schemeClr>
                </a:innerShdw>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8-78A2-49E5-9136-2C5956C9E5E9}"/>
              </c:ext>
            </c:extLst>
          </c:dPt>
          <c:dLbls>
            <c:dLbl>
              <c:idx val="0"/>
              <c:layout>
                <c:manualLayout>
                  <c:x val="0"/>
                  <c:y val="-0.21697090346776629"/>
                </c:manualLayout>
              </c:layout>
              <c:dLblPos val="ct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8A2-49E5-9136-2C5956C9E5E9}"/>
                </c:ext>
              </c:extLst>
            </c:dLbl>
            <c:dLbl>
              <c:idx val="1"/>
              <c:layout>
                <c:manualLayout>
                  <c:x val="-1.6583747927031813E-3"/>
                  <c:y val="-0.20789866278001931"/>
                </c:manualLayout>
              </c:layout>
              <c:dLblPos val="ct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8A2-49E5-9136-2C5956C9E5E9}"/>
                </c:ext>
              </c:extLst>
            </c:dLbl>
            <c:dLbl>
              <c:idx val="2"/>
              <c:layout>
                <c:manualLayout>
                  <c:x val="-1.658374792703151E-3"/>
                  <c:y val="-0.14421618290941629"/>
                </c:manualLayout>
              </c:layout>
              <c:dLblPos val="ct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8A2-49E5-9136-2C5956C9E5E9}"/>
                </c:ext>
              </c:extLst>
            </c:dLbl>
            <c:dLbl>
              <c:idx val="3"/>
              <c:layout>
                <c:manualLayout>
                  <c:x val="0"/>
                  <c:y val="-0.15904279459424231"/>
                </c:manualLayout>
              </c:layout>
              <c:dLblPos val="ct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8A2-49E5-9136-2C5956C9E5E9}"/>
                </c:ext>
              </c:extLst>
            </c:dLbl>
            <c:dLbl>
              <c:idx val="4"/>
              <c:layout>
                <c:manualLayout>
                  <c:x val="-1.2161274658407157E-16"/>
                  <c:y val="-0.17026643678569522"/>
                </c:manualLayout>
              </c:layout>
              <c:dLblPos val="ct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8A2-49E5-9136-2C5956C9E5E9}"/>
                </c:ext>
              </c:extLst>
            </c:dLbl>
            <c:dLbl>
              <c:idx val="5"/>
              <c:layout>
                <c:manualLayout>
                  <c:x val="0"/>
                  <c:y val="-0.20636793989916047"/>
                </c:manualLayout>
              </c:layout>
              <c:dLblPos val="ct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78A2-49E5-9136-2C5956C9E5E9}"/>
                </c:ext>
              </c:extLst>
            </c:dLbl>
            <c:dLbl>
              <c:idx val="6"/>
              <c:layout>
                <c:manualLayout>
                  <c:x val="-1.2161274658407157E-16"/>
                  <c:y val="-0.13718514305350657"/>
                </c:manualLayout>
              </c:layout>
              <c:dLblPos val="ct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8A2-49E5-9136-2C5956C9E5E9}"/>
                </c:ext>
              </c:extLst>
            </c:dLbl>
            <c:dLbl>
              <c:idx val="7"/>
              <c:layout>
                <c:manualLayout>
                  <c:x val="0"/>
                  <c:y val="-8.8564132643690424E-2"/>
                </c:manualLayout>
              </c:layout>
              <c:dLblPos val="ctr"/>
              <c:showLegendKey val="0"/>
              <c:showVal val="1"/>
              <c:showCatName val="0"/>
              <c:showSerName val="0"/>
              <c:showPercent val="0"/>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8A2-49E5-9136-2C5956C9E5E9}"/>
                </c:ext>
              </c:extLst>
            </c:dLbl>
            <c:spPr>
              <a:noFill/>
              <a:ln>
                <a:noFill/>
              </a:ln>
              <a:effectLst/>
            </c:spPr>
            <c:txPr>
              <a:bodyPr/>
              <a:lstStyle/>
              <a:p>
                <a:pPr>
                  <a:defRPr sz="800" b="1"/>
                </a:pPr>
                <a:endParaRPr lang="es-GT"/>
              </a:p>
            </c:txPr>
            <c:dLblPos val="inEnd"/>
            <c:showLegendKey val="0"/>
            <c:showVal val="1"/>
            <c:showCatName val="0"/>
            <c:showSerName val="0"/>
            <c:showPercent val="0"/>
            <c:showBubbleSize val="0"/>
            <c:separator>
</c:separator>
            <c:showLeaderLines val="0"/>
            <c:extLst xmlns:c16r2="http://schemas.microsoft.com/office/drawing/2015/06/chart">
              <c:ext xmlns:c15="http://schemas.microsoft.com/office/drawing/2012/chart" uri="{CE6537A1-D6FC-4f65-9D91-7224C49458BB}">
                <c15:showLeaderLines val="0"/>
              </c:ext>
            </c:extLst>
          </c:dLbls>
          <c:cat>
            <c:strRef>
              <c:f>'PIB Nacional'!$B$7:$B$14</c:f>
              <c:strCache>
                <c:ptCount val="8"/>
                <c:pt idx="0">
                  <c:v>2014</c:v>
                </c:pt>
                <c:pt idx="1">
                  <c:v>2015</c:v>
                </c:pt>
                <c:pt idx="2">
                  <c:v>2016</c:v>
                </c:pt>
                <c:pt idx="3">
                  <c:v>2017</c:v>
                </c:pt>
                <c:pt idx="4">
                  <c:v>2018</c:v>
                </c:pt>
                <c:pt idx="5">
                  <c:v>2019</c:v>
                </c:pt>
                <c:pt idx="6">
                  <c:v>2020 py bajo</c:v>
                </c:pt>
                <c:pt idx="7">
                  <c:v>2020 py alto</c:v>
                </c:pt>
              </c:strCache>
            </c:strRef>
          </c:cat>
          <c:val>
            <c:numRef>
              <c:f>'PIB Nacional'!$D$7:$D$14</c:f>
              <c:numCache>
                <c:formatCode>_(* #,##0.0_);_(* \(#,##0.0\);_(* "-"??_);_(@_)</c:formatCode>
                <c:ptCount val="8"/>
                <c:pt idx="0">
                  <c:v>4.4439778221560857</c:v>
                </c:pt>
                <c:pt idx="1">
                  <c:v>4.0921707248137551</c:v>
                </c:pt>
                <c:pt idx="2">
                  <c:v>2.6778027221428573</c:v>
                </c:pt>
                <c:pt idx="3">
                  <c:v>3.0234303579862001</c:v>
                </c:pt>
                <c:pt idx="4">
                  <c:v>3.2149062770543253</c:v>
                </c:pt>
                <c:pt idx="5">
                  <c:v>3.8459978768427447</c:v>
                </c:pt>
                <c:pt idx="6">
                  <c:v>-3.5</c:v>
                </c:pt>
                <c:pt idx="7">
                  <c:v>-1.5</c:v>
                </c:pt>
              </c:numCache>
            </c:numRef>
          </c:val>
          <c:extLst xmlns:c16r2="http://schemas.microsoft.com/office/drawing/2015/06/chart">
            <c:ext xmlns:c16="http://schemas.microsoft.com/office/drawing/2014/chart" uri="{C3380CC4-5D6E-409C-BE32-E72D297353CC}">
              <c16:uniqueId val="{0000000F-78A2-49E5-9136-2C5956C9E5E9}"/>
            </c:ext>
          </c:extLst>
        </c:ser>
        <c:dLbls>
          <c:showLegendKey val="0"/>
          <c:showVal val="0"/>
          <c:showCatName val="0"/>
          <c:showSerName val="0"/>
          <c:showPercent val="0"/>
          <c:showBubbleSize val="0"/>
        </c:dLbls>
        <c:gapWidth val="21"/>
        <c:overlap val="-61"/>
        <c:axId val="121056640"/>
        <c:axId val="121156736"/>
      </c:barChart>
      <c:catAx>
        <c:axId val="121056640"/>
        <c:scaling>
          <c:orientation val="minMax"/>
        </c:scaling>
        <c:delete val="0"/>
        <c:axPos val="b"/>
        <c:numFmt formatCode="0" sourceLinked="0"/>
        <c:majorTickMark val="none"/>
        <c:minorTickMark val="none"/>
        <c:tickLblPos val="low"/>
        <c:spPr>
          <a:ln w="12700"/>
          <a:effectLst>
            <a:softEdge rad="12700"/>
          </a:effectLst>
        </c:spPr>
        <c:txPr>
          <a:bodyPr/>
          <a:lstStyle/>
          <a:p>
            <a:pPr>
              <a:defRPr b="1"/>
            </a:pPr>
            <a:endParaRPr lang="es-GT"/>
          </a:p>
        </c:txPr>
        <c:crossAx val="121156736"/>
        <c:crosses val="autoZero"/>
        <c:auto val="1"/>
        <c:lblAlgn val="ctr"/>
        <c:lblOffset val="100"/>
        <c:noMultiLvlLbl val="0"/>
      </c:catAx>
      <c:valAx>
        <c:axId val="121156736"/>
        <c:scaling>
          <c:orientation val="minMax"/>
        </c:scaling>
        <c:delete val="0"/>
        <c:axPos val="l"/>
        <c:title>
          <c:tx>
            <c:rich>
              <a:bodyPr rot="0" vert="horz"/>
              <a:lstStyle/>
              <a:p>
                <a:pPr>
                  <a:defRPr/>
                </a:pPr>
                <a:r>
                  <a:rPr lang="es-GT"/>
                  <a:t>Porcentaje</a:t>
                </a:r>
              </a:p>
            </c:rich>
          </c:tx>
          <c:layout>
            <c:manualLayout>
              <c:xMode val="edge"/>
              <c:yMode val="edge"/>
              <c:x val="1.4466071741032371E-2"/>
              <c:y val="3.6667209702235491E-2"/>
            </c:manualLayout>
          </c:layout>
          <c:overlay val="0"/>
        </c:title>
        <c:numFmt formatCode="#,##0.0" sourceLinked="0"/>
        <c:majorTickMark val="none"/>
        <c:minorTickMark val="none"/>
        <c:tickLblPos val="nextTo"/>
        <c:txPr>
          <a:bodyPr/>
          <a:lstStyle/>
          <a:p>
            <a:pPr>
              <a:defRPr b="1"/>
            </a:pPr>
            <a:endParaRPr lang="es-GT"/>
          </a:p>
        </c:txPr>
        <c:crossAx val="121056640"/>
        <c:crossesAt val="1"/>
        <c:crossBetween val="between"/>
      </c:valAx>
      <c:spPr>
        <a:noFill/>
        <a:ln>
          <a:noFill/>
        </a:ln>
        <a:effectLst>
          <a:glow rad="101600">
            <a:schemeClr val="accent5">
              <a:satMod val="175000"/>
              <a:alpha val="40000"/>
            </a:schemeClr>
          </a:glow>
          <a:innerShdw blurRad="63500" dist="50800" dir="16200000">
            <a:prstClr val="black">
              <a:alpha val="50000"/>
            </a:prstClr>
          </a:innerShdw>
        </a:effectLst>
        <a:scene3d>
          <a:camera prst="orthographicFront"/>
          <a:lightRig rig="threePt" dir="t"/>
        </a:scene3d>
        <a:sp3d>
          <a:bevelT/>
        </a:sp3d>
      </c:spPr>
    </c:plotArea>
    <c:plotVisOnly val="1"/>
    <c:dispBlanksAs val="gap"/>
    <c:showDLblsOverMax val="0"/>
  </c:chart>
  <c:spPr>
    <a:ln>
      <a:solidFill>
        <a:sysClr val="windowText" lastClr="000000"/>
      </a:solidFill>
    </a:ln>
  </c:spPr>
  <c:txPr>
    <a:bodyPr/>
    <a:lstStyle/>
    <a:p>
      <a:pPr>
        <a:defRPr sz="900">
          <a:latin typeface="Times New Roman" pitchFamily="18" charset="0"/>
          <a:cs typeface="Times New Roman" pitchFamily="18" charset="0"/>
        </a:defRPr>
      </a:pPr>
      <a:endParaRPr lang="es-GT"/>
    </a:p>
  </c:txPr>
  <c:externalData r:id="rId2">
    <c:autoUpdate val="0"/>
  </c:externalData>
  <c:userShapes r:id="rId3"/>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50" b="1" i="0" u="none" strike="noStrike" kern="1200" cap="all" baseline="0">
                <a:solidFill>
                  <a:schemeClr val="tx1">
                    <a:lumMod val="65000"/>
                    <a:lumOff val="35000"/>
                  </a:schemeClr>
                </a:solidFill>
                <a:latin typeface="+mn-lt"/>
                <a:ea typeface="+mn-ea"/>
                <a:cs typeface="+mn-cs"/>
              </a:defRPr>
            </a:pPr>
            <a:r>
              <a:rPr lang="en-US" sz="1050" b="1">
                <a:solidFill>
                  <a:sysClr val="windowText" lastClr="000000"/>
                </a:solidFill>
                <a:latin typeface="Times New Roman" panose="02020603050405020304" pitchFamily="18" charset="0"/>
                <a:cs typeface="Times New Roman" panose="02020603050405020304" pitchFamily="18" charset="0"/>
              </a:rPr>
              <a:t>2020</a:t>
            </a:r>
          </a:p>
        </c:rich>
      </c:tx>
      <c:layout>
        <c:manualLayout>
          <c:xMode val="edge"/>
          <c:yMode val="edge"/>
          <c:x val="0.43655285193081189"/>
          <c:y val="2.5657472738935216E-2"/>
        </c:manualLayout>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2499791619202154E-2"/>
          <c:y val="0.18673387442990408"/>
          <c:w val="0.91356772005475317"/>
          <c:h val="0.71383786295475093"/>
        </c:manualLayout>
      </c:layout>
      <c:pie3DChart>
        <c:varyColors val="1"/>
        <c:ser>
          <c:idx val="0"/>
          <c:order val="0"/>
          <c:tx>
            <c:strRef>
              <c:f>Tributarios!$D$59</c:f>
              <c:strCache>
                <c:ptCount val="1"/>
                <c:pt idx="0">
                  <c:v>2019</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D274-430B-A530-971219BB9C8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D274-430B-A530-971219BB9C8C}"/>
              </c:ext>
            </c:extLst>
          </c:dPt>
          <c:dLbls>
            <c:dLbl>
              <c:idx val="0"/>
              <c:layout>
                <c:manualLayout>
                  <c:x val="-0.19318528785542063"/>
                  <c:y val="0.10910974392662683"/>
                </c:manualLayout>
              </c:layout>
              <c:tx>
                <c:rich>
                  <a:bodyPr/>
                  <a:lstStyle/>
                  <a:p>
                    <a:r>
                      <a:rPr lang="en-US"/>
                      <a:t>Comercio Exterior
7,496.8
26.3%</a:t>
                    </a:r>
                  </a:p>
                </c:rich>
              </c:tx>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274-430B-A530-971219BB9C8C}"/>
                </c:ext>
              </c:extLst>
            </c:dLbl>
            <c:dLbl>
              <c:idx val="1"/>
              <c:layout>
                <c:manualLayout>
                  <c:x val="0.32510546542985858"/>
                  <c:y val="-0.19252877193425724"/>
                </c:manualLayout>
              </c:layout>
              <c:tx>
                <c:rich>
                  <a:bodyPr/>
                  <a:lstStyle/>
                  <a:p>
                    <a:r>
                      <a:rPr lang="en-US">
                        <a:solidFill>
                          <a:schemeClr val="tx1"/>
                        </a:solidFill>
                      </a:rPr>
                      <a:t>Internos
20,971.1
73.7%</a:t>
                    </a:r>
                    <a:endParaRPr lang="en-US"/>
                  </a:p>
                </c:rich>
              </c:tx>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274-430B-A530-971219BB9C8C}"/>
                </c:ext>
              </c:extLst>
            </c:dLbl>
            <c:spPr>
              <a:noFill/>
              <a:ln>
                <a:noFill/>
              </a:ln>
              <a:effectLst/>
            </c:spPr>
            <c:txPr>
              <a:bodyPr rot="0" spcFirstLastPara="1" vertOverflow="ellipsis" vert="horz" wrap="square" lIns="38100" tIns="19050" rIns="38100" bIns="19050" anchor="ctr" anchorCtr="0">
                <a:spAutoFit/>
              </a:bodyPr>
              <a:lstStyle/>
              <a:p>
                <a:pPr algn="ctr">
                  <a:defRPr sz="8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1"/>
            <c:showBubbleSize val="0"/>
            <c:separator>
</c:separator>
            <c:showLeaderLines val="0"/>
            <c:extLst xmlns:c16r2="http://schemas.microsoft.com/office/drawing/2015/06/chart">
              <c:ext xmlns:c15="http://schemas.microsoft.com/office/drawing/2012/chart" uri="{CE6537A1-D6FC-4f65-9D91-7224C49458BB}"/>
            </c:extLst>
          </c:dLbls>
          <c:cat>
            <c:strRef>
              <c:f>Tributarios!$C$30:$C$31</c:f>
              <c:strCache>
                <c:ptCount val="2"/>
                <c:pt idx="0">
                  <c:v>Comercio Exterior</c:v>
                </c:pt>
                <c:pt idx="1">
                  <c:v>Internos</c:v>
                </c:pt>
              </c:strCache>
            </c:strRef>
          </c:cat>
          <c:val>
            <c:numRef>
              <c:f>Tributarios!$E$30:$E$31</c:f>
              <c:numCache>
                <c:formatCode>#,##0.0</c:formatCode>
                <c:ptCount val="2"/>
                <c:pt idx="0">
                  <c:v>7496.7729803799994</c:v>
                </c:pt>
                <c:pt idx="1">
                  <c:v>20971.069519750003</c:v>
                </c:pt>
              </c:numCache>
            </c:numRef>
          </c:val>
          <c:extLst xmlns:c16r2="http://schemas.microsoft.com/office/drawing/2015/06/chart">
            <c:ext xmlns:c16="http://schemas.microsoft.com/office/drawing/2014/chart" uri="{C3380CC4-5D6E-409C-BE32-E72D297353CC}">
              <c16:uniqueId val="{00000004-D274-430B-A530-971219BB9C8C}"/>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5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089392110657701"/>
          <c:y val="0.17815783822024586"/>
          <c:w val="0.87910616677502473"/>
          <c:h val="0.64007515417211724"/>
        </c:manualLayout>
      </c:layout>
      <c:pie3DChart>
        <c:varyColors val="1"/>
        <c:ser>
          <c:idx val="0"/>
          <c:order val="0"/>
          <c:tx>
            <c:strRef>
              <c:f>Tributarios!$D$59</c:f>
              <c:strCache>
                <c:ptCount val="1"/>
                <c:pt idx="0">
                  <c:v>2019</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FB66-41A3-866F-A166ADE9E522}"/>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FB66-41A3-866F-A166ADE9E522}"/>
              </c:ext>
            </c:extLst>
          </c:dPt>
          <c:dLbls>
            <c:dLbl>
              <c:idx val="0"/>
              <c:layout>
                <c:manualLayout>
                  <c:x val="-0.18846693648107751"/>
                  <c:y val="5.1341005849135264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r>
                      <a:rPr lang="en-US" sz="800"/>
                      <a:t>Directos
35.6%</a:t>
                    </a:r>
                  </a:p>
                </c:rich>
              </c:tx>
              <c:spPr>
                <a:noFill/>
                <a:ln>
                  <a:noFill/>
                </a:ln>
                <a:effectLst/>
              </c:sp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B66-41A3-866F-A166ADE9E522}"/>
                </c:ext>
              </c:extLst>
            </c:dLbl>
            <c:dLbl>
              <c:idx val="1"/>
              <c:layout>
                <c:manualLayout>
                  <c:x val="0.30672214816691795"/>
                  <c:y val="-8.5919880743332872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r>
                      <a:rPr lang="en-US" sz="800">
                        <a:solidFill>
                          <a:schemeClr val="tx1"/>
                        </a:solidFill>
                      </a:rPr>
                      <a:t>Indirectos
64.4%</a:t>
                    </a:r>
                    <a:endParaRPr lang="en-US" sz="800"/>
                  </a:p>
                </c:rich>
              </c:tx>
              <c:spPr>
                <a:noFill/>
                <a:ln>
                  <a:noFill/>
                </a:ln>
                <a:effectLst/>
              </c:sp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15:layout>
                    <c:manualLayout>
                      <c:w val="0.2225058911431691"/>
                      <c:h val="0.32428324697754751"/>
                    </c:manualLayout>
                  </c15:layout>
                </c:ext>
                <c:ext xmlns:c16="http://schemas.microsoft.com/office/drawing/2014/chart" uri="{C3380CC4-5D6E-409C-BE32-E72D297353CC}">
                  <c16:uniqueId val="{00000003-FB66-41A3-866F-A166ADE9E522}"/>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tx1"/>
                    </a:solidFill>
                    <a:latin typeface="+mn-lt"/>
                    <a:ea typeface="+mn-ea"/>
                    <a:cs typeface="+mn-cs"/>
                  </a:defRPr>
                </a:pPr>
                <a:endParaRPr lang="es-GT"/>
              </a:p>
            </c:txPr>
            <c:dLblPos val="outEnd"/>
            <c:showLegendKey val="0"/>
            <c:showVal val="1"/>
            <c:showCatName val="1"/>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Tributarios!$C$60:$C$61</c:f>
              <c:strCache>
                <c:ptCount val="2"/>
                <c:pt idx="0">
                  <c:v>Directos</c:v>
                </c:pt>
                <c:pt idx="1">
                  <c:v>Indirectos</c:v>
                </c:pt>
              </c:strCache>
            </c:strRef>
          </c:cat>
          <c:val>
            <c:numRef>
              <c:f>Tributarios!$D$60:$D$61</c:f>
              <c:numCache>
                <c:formatCode>0.0%</c:formatCode>
                <c:ptCount val="2"/>
                <c:pt idx="0">
                  <c:v>0.3561341309343356</c:v>
                </c:pt>
                <c:pt idx="1">
                  <c:v>0.64386586906566434</c:v>
                </c:pt>
              </c:numCache>
            </c:numRef>
          </c:val>
          <c:extLst xmlns:c16r2="http://schemas.microsoft.com/office/drawing/2015/06/chart">
            <c:ext xmlns:c16="http://schemas.microsoft.com/office/drawing/2014/chart" uri="{C3380CC4-5D6E-409C-BE32-E72D297353CC}">
              <c16:uniqueId val="{00000004-FB66-41A3-866F-A166ADE9E522}"/>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5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283666464768827"/>
          <c:y val="0.1955387311672635"/>
          <c:w val="0.87163335352311733"/>
          <c:h val="0.65043915693989185"/>
        </c:manualLayout>
      </c:layout>
      <c:pie3DChart>
        <c:varyColors val="1"/>
        <c:ser>
          <c:idx val="0"/>
          <c:order val="0"/>
          <c:tx>
            <c:strRef>
              <c:f>Tributarios!$E$59</c:f>
              <c:strCache>
                <c:ptCount val="1"/>
                <c:pt idx="0">
                  <c:v>2020</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1B9A-4290-9ACE-EC5B679923DC}"/>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1B9A-4290-9ACE-EC5B679923DC}"/>
              </c:ext>
            </c:extLst>
          </c:dPt>
          <c:dLbls>
            <c:dLbl>
              <c:idx val="0"/>
              <c:layout>
                <c:manualLayout>
                  <c:x val="-0.22616032377729292"/>
                  <c:y val="3.850575438685145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r>
                      <a:rPr lang="en-US" sz="800"/>
                      <a:t>Directos
37.8%</a:t>
                    </a:r>
                  </a:p>
                </c:rich>
              </c:tx>
              <c:spPr>
                <a:noFill/>
                <a:ln>
                  <a:noFill/>
                </a:ln>
                <a:effectLst/>
              </c:sp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B9A-4290-9ACE-EC5B679923DC}"/>
                </c:ext>
              </c:extLst>
            </c:dLbl>
            <c:dLbl>
              <c:idx val="1"/>
              <c:layout>
                <c:manualLayout>
                  <c:x val="0.31330216703587144"/>
                  <c:y val="-4.5004737420569249E-2"/>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mn-lt"/>
                        <a:ea typeface="+mn-ea"/>
                        <a:cs typeface="+mn-cs"/>
                      </a:defRPr>
                    </a:pPr>
                    <a:r>
                      <a:rPr lang="en-US" sz="800">
                        <a:solidFill>
                          <a:schemeClr val="tx1"/>
                        </a:solidFill>
                      </a:rPr>
                      <a:t>Indirectos
62.2%</a:t>
                    </a:r>
                    <a:endParaRPr lang="en-US" sz="800"/>
                  </a:p>
                </c:rich>
              </c:tx>
              <c:spPr>
                <a:noFill/>
                <a:ln>
                  <a:noFill/>
                </a:ln>
                <a:effectLst/>
              </c:sp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15:layout>
                    <c:manualLayout>
                      <c:w val="0.23864991470279343"/>
                      <c:h val="0.30109044259140477"/>
                    </c:manualLayout>
                  </c15:layout>
                </c:ext>
                <c:ext xmlns:c16="http://schemas.microsoft.com/office/drawing/2014/chart" uri="{C3380CC4-5D6E-409C-BE32-E72D297353CC}">
                  <c16:uniqueId val="{00000003-1B9A-4290-9ACE-EC5B679923D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chemeClr val="tx1"/>
                    </a:solidFill>
                    <a:latin typeface="+mn-lt"/>
                    <a:ea typeface="+mn-ea"/>
                    <a:cs typeface="+mn-cs"/>
                  </a:defRPr>
                </a:pPr>
                <a:endParaRPr lang="es-GT"/>
              </a:p>
            </c:txPr>
            <c:dLblPos val="outEnd"/>
            <c:showLegendKey val="0"/>
            <c:showVal val="1"/>
            <c:showCatName val="1"/>
            <c:showSerName val="0"/>
            <c:showPercent val="1"/>
            <c:showBubbleSize val="0"/>
            <c:separator>
</c:separator>
            <c:showLeaderLines val="0"/>
            <c:extLst xmlns:c16r2="http://schemas.microsoft.com/office/drawing/2015/06/chart">
              <c:ext xmlns:c15="http://schemas.microsoft.com/office/drawing/2012/chart" uri="{CE6537A1-D6FC-4f65-9D91-7224C49458BB}"/>
            </c:extLst>
          </c:dLbls>
          <c:cat>
            <c:strRef>
              <c:f>Tributarios!$C$60:$C$61</c:f>
              <c:strCache>
                <c:ptCount val="2"/>
                <c:pt idx="0">
                  <c:v>Directos</c:v>
                </c:pt>
                <c:pt idx="1">
                  <c:v>Indirectos</c:v>
                </c:pt>
              </c:strCache>
            </c:strRef>
          </c:cat>
          <c:val>
            <c:numRef>
              <c:f>Tributarios!$E$60:$E$61</c:f>
              <c:numCache>
                <c:formatCode>0.0%</c:formatCode>
                <c:ptCount val="2"/>
                <c:pt idx="0">
                  <c:v>0.37837282894482827</c:v>
                </c:pt>
                <c:pt idx="1">
                  <c:v>0.62162717105517162</c:v>
                </c:pt>
              </c:numCache>
            </c:numRef>
          </c:val>
          <c:extLst xmlns:c16r2="http://schemas.microsoft.com/office/drawing/2015/06/chart">
            <c:ext xmlns:c16="http://schemas.microsoft.com/office/drawing/2014/chart" uri="{C3380CC4-5D6E-409C-BE32-E72D297353CC}">
              <c16:uniqueId val="{00000004-1B9A-4290-9ACE-EC5B679923DC}"/>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2019</a:t>
            </a:r>
          </a:p>
        </c:rich>
      </c:tx>
      <c:overlay val="0"/>
    </c:title>
    <c:autoTitleDeleted val="0"/>
    <c:view3D>
      <c:rotX val="30"/>
      <c:rotY val="0"/>
      <c:depthPercent val="170"/>
      <c:rAngAx val="1"/>
    </c:view3D>
    <c:floor>
      <c:thickness val="0"/>
    </c:floor>
    <c:sideWall>
      <c:thickness val="0"/>
      <c:spPr>
        <a:scene3d>
          <a:camera prst="orthographicFront"/>
          <a:lightRig rig="threePt" dir="t"/>
        </a:scene3d>
        <a:sp3d prstMaterial="dkEdge"/>
      </c:spPr>
    </c:sideWall>
    <c:backWall>
      <c:thickness val="0"/>
      <c:spPr>
        <a:scene3d>
          <a:camera prst="orthographicFront"/>
          <a:lightRig rig="threePt" dir="t"/>
        </a:scene3d>
        <a:sp3d prstMaterial="dkEdge"/>
      </c:spPr>
    </c:backWall>
    <c:plotArea>
      <c:layout>
        <c:manualLayout>
          <c:layoutTarget val="inner"/>
          <c:xMode val="edge"/>
          <c:yMode val="edge"/>
          <c:x val="3.3375047763109693E-3"/>
          <c:y val="0.19214607743410067"/>
          <c:w val="0.99666236604353686"/>
          <c:h val="0.7907053962752264"/>
        </c:manualLayout>
      </c:layout>
      <c:pie3DChart>
        <c:varyColors val="1"/>
        <c:ser>
          <c:idx val="0"/>
          <c:order val="0"/>
          <c:tx>
            <c:strRef>
              <c:f>'X Entidad'!$C$36</c:f>
              <c:strCache>
                <c:ptCount val="1"/>
                <c:pt idx="0">
                  <c:v>2019</c:v>
                </c:pt>
              </c:strCache>
            </c:strRef>
          </c:tx>
          <c:spPr>
            <a:scene3d>
              <a:camera prst="orthographicFront"/>
              <a:lightRig rig="threePt" dir="t"/>
            </a:scene3d>
            <a:sp3d>
              <a:bevelT/>
            </a:sp3d>
          </c:spPr>
          <c:explosion val="6"/>
          <c:dLbls>
            <c:dLbl>
              <c:idx val="0"/>
              <c:layout>
                <c:manualLayout>
                  <c:x val="-0.2297859220686658"/>
                  <c:y val="-0.22724397581425154"/>
                </c:manualLayout>
              </c:layout>
              <c:spPr>
                <a:noFill/>
                <a:ln>
                  <a:noFill/>
                </a:ln>
                <a:effectLst/>
              </c:spPr>
              <c:txPr>
                <a:bodyPr/>
                <a:lstStyle/>
                <a:p>
                  <a:pPr>
                    <a:defRPr sz="700">
                      <a:solidFill>
                        <a:schemeClr val="bg1"/>
                      </a:solidFill>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8043944265809212"/>
                      <c:h val="0.43941109852774624"/>
                    </c:manualLayout>
                  </c15:layout>
                </c:ext>
                <c:ext xmlns:c16="http://schemas.microsoft.com/office/drawing/2014/chart" uri="{C3380CC4-5D6E-409C-BE32-E72D297353CC}">
                  <c16:uniqueId val="{00000000-7610-42E4-B3BF-1E1C0844D980}"/>
                </c:ext>
              </c:extLst>
            </c:dLbl>
            <c:dLbl>
              <c:idx val="1"/>
              <c:layout>
                <c:manualLayout>
                  <c:x val="0.13110929702304205"/>
                  <c:y val="7.5991145648855354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7803926036576618"/>
                      <c:h val="0.27801428558689506"/>
                    </c:manualLayout>
                  </c15:layout>
                </c:ext>
                <c:ext xmlns:c16="http://schemas.microsoft.com/office/drawing/2014/chart" uri="{C3380CC4-5D6E-409C-BE32-E72D297353CC}">
                  <c16:uniqueId val="{00000001-7610-42E4-B3BF-1E1C0844D980}"/>
                </c:ext>
              </c:extLst>
            </c:dLbl>
            <c:dLbl>
              <c:idx val="2"/>
              <c:layout>
                <c:manualLayout>
                  <c:x val="-0.12019576947717522"/>
                  <c:y val="-5.6829461186271836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610-42E4-B3BF-1E1C0844D980}"/>
                </c:ext>
              </c:extLst>
            </c:dLbl>
            <c:spPr>
              <a:noFill/>
              <a:ln>
                <a:noFill/>
              </a:ln>
              <a:effectLst/>
            </c:spPr>
            <c:txPr>
              <a:bodyPr/>
              <a:lstStyle/>
              <a:p>
                <a:pPr>
                  <a:defRPr sz="700">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showLeaderLines val="1"/>
            <c:extLst xmlns:c16r2="http://schemas.microsoft.com/office/drawing/2015/06/chart">
              <c:ext xmlns:c15="http://schemas.microsoft.com/office/drawing/2012/chart" uri="{CE6537A1-D6FC-4f65-9D91-7224C49458BB}"/>
            </c:extLst>
          </c:dLbls>
          <c:cat>
            <c:strRef>
              <c:f>'X Entidad'!$B$37:$B$39</c:f>
              <c:strCache>
                <c:ptCount val="3"/>
                <c:pt idx="0">
                  <c:v>Obligaciones, Educación y Servs de la Deuda</c:v>
                </c:pt>
                <c:pt idx="1">
                  <c:v>Salud, Gobernación, CIV y Desarrollo</c:v>
                </c:pt>
                <c:pt idx="2">
                  <c:v>Otros</c:v>
                </c:pt>
              </c:strCache>
            </c:strRef>
          </c:cat>
          <c:val>
            <c:numRef>
              <c:f>'X Entidad'!$C$37:$C$39</c:f>
              <c:numCache>
                <c:formatCode>0.0%</c:formatCode>
                <c:ptCount val="3"/>
                <c:pt idx="0">
                  <c:v>0.70039046213444967</c:v>
                </c:pt>
                <c:pt idx="1">
                  <c:v>0.2105179260625861</c:v>
                </c:pt>
                <c:pt idx="2">
                  <c:v>8.9091611802964238E-2</c:v>
                </c:pt>
              </c:numCache>
            </c:numRef>
          </c:val>
          <c:extLst xmlns:c16r2="http://schemas.microsoft.com/office/drawing/2015/06/chart">
            <c:ext xmlns:c16="http://schemas.microsoft.com/office/drawing/2014/chart" uri="{C3380CC4-5D6E-409C-BE32-E72D297353CC}">
              <c16:uniqueId val="{00000003-7610-42E4-B3BF-1E1C0844D980}"/>
            </c:ext>
          </c:extLst>
        </c:ser>
        <c:dLbls>
          <c:showLegendKey val="0"/>
          <c:showVal val="0"/>
          <c:showCatName val="0"/>
          <c:showSerName val="0"/>
          <c:showPercent val="0"/>
          <c:showBubbleSize val="0"/>
          <c:showLeaderLines val="1"/>
        </c:dLbls>
      </c:pie3DChart>
    </c:plotArea>
    <c:plotVisOnly val="1"/>
    <c:dispBlanksAs val="gap"/>
    <c:showDLblsOverMax val="0"/>
  </c:chart>
  <c:spPr>
    <a:noFill/>
    <a:ln>
      <a:noFill/>
    </a:ln>
    <a:scene3d>
      <a:camera prst="orthographicFront"/>
      <a:lightRig rig="threePt" dir="t"/>
    </a:scene3d>
  </c:sp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latin typeface="Times New Roman" panose="02020603050405020304" pitchFamily="18" charset="0"/>
                <a:cs typeface="Times New Roman" panose="02020603050405020304" pitchFamily="18" charset="0"/>
              </a:defRPr>
            </a:pPr>
            <a:r>
              <a:rPr lang="en-US" sz="1200">
                <a:latin typeface="Times New Roman" panose="02020603050405020304" pitchFamily="18" charset="0"/>
                <a:cs typeface="Times New Roman" panose="02020603050405020304" pitchFamily="18" charset="0"/>
              </a:rPr>
              <a:t>2020</a:t>
            </a:r>
          </a:p>
        </c:rich>
      </c:tx>
      <c:overlay val="0"/>
    </c:title>
    <c:autoTitleDeleted val="0"/>
    <c:view3D>
      <c:rotX val="40"/>
      <c:rotY val="0"/>
      <c:rAngAx val="0"/>
      <c:perspective val="30"/>
    </c:view3D>
    <c:floor>
      <c:thickness val="0"/>
    </c:floor>
    <c:sideWall>
      <c:thickness val="0"/>
    </c:sideWall>
    <c:backWall>
      <c:thickness val="0"/>
    </c:backWall>
    <c:plotArea>
      <c:layout>
        <c:manualLayout>
          <c:layoutTarget val="inner"/>
          <c:xMode val="edge"/>
          <c:yMode val="edge"/>
          <c:x val="8.3333333333333332E-3"/>
          <c:y val="0.19460119568387285"/>
          <c:w val="0.99042113028682144"/>
          <c:h val="0.78243509906329678"/>
        </c:manualLayout>
      </c:layout>
      <c:pie3DChart>
        <c:varyColors val="1"/>
        <c:ser>
          <c:idx val="0"/>
          <c:order val="0"/>
          <c:tx>
            <c:strRef>
              <c:f>'X Entidad'!$C$44</c:f>
              <c:strCache>
                <c:ptCount val="1"/>
                <c:pt idx="0">
                  <c:v>2020</c:v>
                </c:pt>
              </c:strCache>
            </c:strRef>
          </c:tx>
          <c:spPr>
            <a:scene3d>
              <a:camera prst="orthographicFront"/>
              <a:lightRig rig="threePt" dir="t"/>
            </a:scene3d>
            <a:sp3d>
              <a:bevelT/>
            </a:sp3d>
          </c:spPr>
          <c:dLbls>
            <c:dLbl>
              <c:idx val="0"/>
              <c:layout>
                <c:manualLayout>
                  <c:x val="-0.25362893713357537"/>
                  <c:y val="-0.24757845328368761"/>
                </c:manualLayout>
              </c:layout>
              <c:spPr>
                <a:noFill/>
                <a:ln>
                  <a:noFill/>
                </a:ln>
                <a:effectLst/>
              </c:spPr>
              <c:txPr>
                <a:bodyPr/>
                <a:lstStyle/>
                <a:p>
                  <a:pPr>
                    <a:defRPr sz="700">
                      <a:solidFill>
                        <a:schemeClr val="bg1"/>
                      </a:solidFill>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7572966564558016"/>
                      <c:h val="0.40490945430984304"/>
                    </c:manualLayout>
                  </c15:layout>
                </c:ext>
                <c:ext xmlns:c16="http://schemas.microsoft.com/office/drawing/2014/chart" uri="{C3380CC4-5D6E-409C-BE32-E72D297353CC}">
                  <c16:uniqueId val="{00000000-A20B-411D-87C5-E3AC2D331BEC}"/>
                </c:ext>
              </c:extLst>
            </c:dLbl>
            <c:dLbl>
              <c:idx val="1"/>
              <c:layout>
                <c:manualLayout>
                  <c:x val="0.23765696252642121"/>
                  <c:y val="7.449988364281418E-2"/>
                </c:manualLayout>
              </c:layout>
              <c:spPr>
                <a:noFill/>
                <a:ln>
                  <a:noFill/>
                </a:ln>
                <a:effectLst/>
              </c:spPr>
              <c:txPr>
                <a:bodyPr/>
                <a:lstStyle/>
                <a:p>
                  <a:pPr>
                    <a:defRPr sz="500">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30286829355207884"/>
                      <c:h val="0.29333344315224197"/>
                    </c:manualLayout>
                  </c15:layout>
                </c:ext>
                <c:ext xmlns:c16="http://schemas.microsoft.com/office/drawing/2014/chart" uri="{C3380CC4-5D6E-409C-BE32-E72D297353CC}">
                  <c16:uniqueId val="{00000001-A20B-411D-87C5-E3AC2D331BEC}"/>
                </c:ext>
              </c:extLst>
            </c:dLbl>
            <c:dLbl>
              <c:idx val="2"/>
              <c:layout>
                <c:manualLayout>
                  <c:x val="-4.7361916906072998E-2"/>
                  <c:y val="-5.0166412729915212E-2"/>
                </c:manualLayout>
              </c:layout>
              <c:showLegendKey val="0"/>
              <c:showVal val="1"/>
              <c:showCatName val="1"/>
              <c:showSerName val="0"/>
              <c:showPercent val="0"/>
              <c:showBubbleSize val="0"/>
            </c:dLbl>
            <c:spPr>
              <a:noFill/>
              <a:ln>
                <a:noFill/>
              </a:ln>
              <a:effectLst/>
            </c:spPr>
            <c:txPr>
              <a:bodyPr/>
              <a:lstStyle/>
              <a:p>
                <a:pPr>
                  <a:defRPr sz="700">
                    <a:latin typeface="Times New Roman" panose="02020603050405020304" pitchFamily="18" charset="0"/>
                    <a:cs typeface="Times New Roman" panose="02020603050405020304" pitchFamily="18" charset="0"/>
                  </a:defRPr>
                </a:pPr>
                <a:endParaRPr lang="es-GT"/>
              </a:p>
            </c:txPr>
            <c:showLegendKey val="0"/>
            <c:showVal val="1"/>
            <c:showCatName val="1"/>
            <c:showSerName val="0"/>
            <c:showPercent val="0"/>
            <c:showBubbleSize val="0"/>
            <c:showLeaderLines val="1"/>
            <c:extLst xmlns:c16r2="http://schemas.microsoft.com/office/drawing/2015/06/chart">
              <c:ext xmlns:c15="http://schemas.microsoft.com/office/drawing/2012/chart" uri="{CE6537A1-D6FC-4f65-9D91-7224C49458BB}"/>
            </c:extLst>
          </c:dLbls>
          <c:cat>
            <c:strRef>
              <c:f>'X Entidad'!$B$45:$B$47</c:f>
              <c:strCache>
                <c:ptCount val="3"/>
                <c:pt idx="0">
                  <c:v>Obligaciones, Educación y Servs de la Deuda</c:v>
                </c:pt>
                <c:pt idx="1">
                  <c:v>Salud, Gobernación, CIV y Desarrollo</c:v>
                </c:pt>
                <c:pt idx="2">
                  <c:v>Otros</c:v>
                </c:pt>
              </c:strCache>
            </c:strRef>
          </c:cat>
          <c:val>
            <c:numRef>
              <c:f>'X Entidad'!$C$45:$C$47</c:f>
              <c:numCache>
                <c:formatCode>0.0%</c:formatCode>
                <c:ptCount val="3"/>
                <c:pt idx="0">
                  <c:v>0.6779727443291349</c:v>
                </c:pt>
                <c:pt idx="1">
                  <c:v>0.23843374021639432</c:v>
                </c:pt>
                <c:pt idx="2">
                  <c:v>8.3593515454471135E-2</c:v>
                </c:pt>
              </c:numCache>
            </c:numRef>
          </c:val>
          <c:extLst xmlns:c16r2="http://schemas.microsoft.com/office/drawing/2015/06/chart">
            <c:ext xmlns:c16="http://schemas.microsoft.com/office/drawing/2014/chart" uri="{C3380CC4-5D6E-409C-BE32-E72D297353CC}">
              <c16:uniqueId val="{00000002-A20B-411D-87C5-E3AC2D331BEC}"/>
            </c:ext>
          </c:extLst>
        </c:ser>
        <c:dLbls>
          <c:showLegendKey val="0"/>
          <c:showVal val="0"/>
          <c:showCatName val="0"/>
          <c:showSerName val="0"/>
          <c:showPercent val="0"/>
          <c:showBubbleSize val="0"/>
          <c:showLeaderLines val="1"/>
        </c:dLbls>
      </c:pie3DChart>
    </c:plotArea>
    <c:plotVisOnly val="1"/>
    <c:dispBlanksAs val="gap"/>
    <c:showDLblsOverMax val="0"/>
  </c:chart>
  <c:spPr>
    <a:noFill/>
    <a:ln>
      <a:noFill/>
    </a:ln>
    <a:scene3d>
      <a:camera prst="orthographicFront"/>
      <a:lightRig rig="threePt" dir="t"/>
    </a:scene3d>
    <a:sp3d>
      <a:bevelT/>
    </a:sp3d>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23127876920421"/>
          <c:y val="5.4530279169649247E-2"/>
          <c:w val="0.80188490564510473"/>
          <c:h val="0.86651939871152472"/>
        </c:manualLayout>
      </c:layout>
      <c:barChart>
        <c:barDir val="col"/>
        <c:grouping val="clustered"/>
        <c:varyColors val="0"/>
        <c:ser>
          <c:idx val="0"/>
          <c:order val="0"/>
          <c:tx>
            <c:strRef>
              <c:f>'Resultado Presupuestario'!$K$22</c:f>
              <c:strCache>
                <c:ptCount val="1"/>
                <c:pt idx="0">
                  <c:v>Resultado Presupuestario</c:v>
                </c:pt>
              </c:strCache>
            </c:strRef>
          </c:tx>
          <c:spPr>
            <a:solidFill>
              <a:srgbClr val="00B050"/>
            </a:solidFill>
            <a:scene3d>
              <a:camera prst="orthographicFront"/>
              <a:lightRig rig="threePt" dir="t"/>
            </a:scene3d>
            <a:sp3d>
              <a:bevelT/>
            </a:sp3d>
          </c:spPr>
          <c:invertIfNegative val="0"/>
          <c:dPt>
            <c:idx val="4"/>
            <c:invertIfNegative val="0"/>
            <c:bubble3D val="0"/>
            <c:spPr>
              <a:solidFill>
                <a:schemeClr val="accent6">
                  <a:lumMod val="75000"/>
                </a:schemeClr>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4C3A-4E7C-BF4C-797E945E42B4}"/>
              </c:ext>
            </c:extLst>
          </c:dPt>
          <c:dPt>
            <c:idx val="5"/>
            <c:invertIfNegative val="0"/>
            <c:bubble3D val="0"/>
            <c:spPr>
              <a:solidFill>
                <a:schemeClr val="accent6">
                  <a:lumMod val="75000"/>
                </a:schemeClr>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4C3A-4E7C-BF4C-797E945E42B4}"/>
              </c:ext>
            </c:extLst>
          </c:dPt>
          <c:dPt>
            <c:idx val="6"/>
            <c:invertIfNegative val="0"/>
            <c:bubble3D val="0"/>
            <c:spPr>
              <a:solidFill>
                <a:schemeClr val="accent6">
                  <a:lumMod val="75000"/>
                </a:schemeClr>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4C3A-4E7C-BF4C-797E945E42B4}"/>
              </c:ext>
            </c:extLst>
          </c:dPt>
          <c:dPt>
            <c:idx val="7"/>
            <c:invertIfNegative val="0"/>
            <c:bubble3D val="0"/>
            <c:spPr>
              <a:solidFill>
                <a:schemeClr val="accent6">
                  <a:lumMod val="75000"/>
                </a:schemeClr>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7-4C3A-4E7C-BF4C-797E945E42B4}"/>
              </c:ext>
            </c:extLst>
          </c:dPt>
          <c:dPt>
            <c:idx val="8"/>
            <c:invertIfNegative val="0"/>
            <c:bubble3D val="0"/>
            <c:spPr>
              <a:solidFill>
                <a:schemeClr val="tx2"/>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9-4C3A-4E7C-BF4C-797E945E42B4}"/>
              </c:ext>
            </c:extLst>
          </c:dPt>
          <c:dPt>
            <c:idx val="9"/>
            <c:invertIfNegative val="0"/>
            <c:bubble3D val="0"/>
            <c:spPr>
              <a:solidFill>
                <a:schemeClr val="tx2"/>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B-4C3A-4E7C-BF4C-797E945E42B4}"/>
              </c:ext>
            </c:extLst>
          </c:dPt>
          <c:dPt>
            <c:idx val="10"/>
            <c:invertIfNegative val="0"/>
            <c:bubble3D val="0"/>
            <c:spPr>
              <a:solidFill>
                <a:schemeClr val="tx2"/>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D-4C3A-4E7C-BF4C-797E945E42B4}"/>
              </c:ext>
            </c:extLst>
          </c:dPt>
          <c:dPt>
            <c:idx val="11"/>
            <c:invertIfNegative val="0"/>
            <c:bubble3D val="0"/>
            <c:spPr>
              <a:solidFill>
                <a:schemeClr val="tx2"/>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F-4C3A-4E7C-BF4C-797E945E42B4}"/>
              </c:ext>
            </c:extLst>
          </c:dPt>
          <c:dLbls>
            <c:dLbl>
              <c:idx val="0"/>
              <c:layout>
                <c:manualLayout>
                  <c:x val="3.4532374100719423E-2"/>
                  <c:y val="3.7365561862906672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4C3A-4E7C-BF4C-797E945E42B4}"/>
                </c:ext>
              </c:extLst>
            </c:dLbl>
            <c:dLbl>
              <c:idx val="4"/>
              <c:layout>
                <c:manualLayout>
                  <c:x val="5.7553956834532375E-3"/>
                  <c:y val="1.003991942867606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C3A-4E7C-BF4C-797E945E42B4}"/>
                </c:ext>
              </c:extLst>
            </c:dLbl>
            <c:dLbl>
              <c:idx val="7"/>
              <c:layout>
                <c:manualLayout>
                  <c:x val="1.9184652278176754E-3"/>
                  <c:y val="0.2238915949459806"/>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C3A-4E7C-BF4C-797E945E42B4}"/>
                </c:ext>
              </c:extLst>
            </c:dLbl>
            <c:dLbl>
              <c:idx val="8"/>
              <c:layout>
                <c:manualLayout>
                  <c:x val="-4.2826552462526769E-3"/>
                  <c:y val="-2.2619899785254116E-3"/>
                </c:manualLayout>
              </c:layout>
              <c:spPr/>
              <c:txPr>
                <a:bodyPr/>
                <a:lstStyle/>
                <a:p>
                  <a:pPr>
                    <a:defRPr sz="700" b="1">
                      <a:solidFill>
                        <a:srgbClr val="002060"/>
                      </a:solidFill>
                    </a:defRPr>
                  </a:pPr>
                  <a:endParaRPr lang="es-GT"/>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C3A-4E7C-BF4C-797E945E42B4}"/>
                </c:ext>
              </c:extLst>
            </c:dLbl>
            <c:dLbl>
              <c:idx val="9"/>
              <c:layout>
                <c:manualLayout>
                  <c:x val="-2.1413276231264169E-3"/>
                  <c:y val="2.408876163206872E-3"/>
                </c:manualLayout>
              </c:layout>
              <c:spPr/>
              <c:txPr>
                <a:bodyPr/>
                <a:lstStyle/>
                <a:p>
                  <a:pPr>
                    <a:defRPr sz="700" b="1">
                      <a:solidFill>
                        <a:srgbClr val="002060"/>
                      </a:solidFill>
                    </a:defRPr>
                  </a:pPr>
                  <a:endParaRPr lang="es-GT"/>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4C3A-4E7C-BF4C-797E945E42B4}"/>
                </c:ext>
              </c:extLst>
            </c:dLbl>
            <c:dLbl>
              <c:idx val="10"/>
              <c:layout>
                <c:manualLayout>
                  <c:x val="1.686084742619164E-7"/>
                  <c:y val="1.0827201145311381E-2"/>
                </c:manualLayout>
              </c:layout>
              <c:spPr/>
              <c:txPr>
                <a:bodyPr/>
                <a:lstStyle/>
                <a:p>
                  <a:pPr>
                    <a:defRPr sz="700" b="1">
                      <a:solidFill>
                        <a:srgbClr val="002060"/>
                      </a:solidFill>
                    </a:defRPr>
                  </a:pPr>
                  <a:endParaRPr lang="es-GT"/>
                </a:p>
              </c:txPr>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6.8693790149892936E-2"/>
                      <c:h val="6.2000000000000006E-2"/>
                    </c:manualLayout>
                  </c15:layout>
                </c:ext>
                <c:ext xmlns:c16="http://schemas.microsoft.com/office/drawing/2014/chart" uri="{C3380CC4-5D6E-409C-BE32-E72D297353CC}">
                  <c16:uniqueId val="{0000000D-4C3A-4E7C-BF4C-797E945E42B4}"/>
                </c:ext>
              </c:extLst>
            </c:dLbl>
            <c:dLbl>
              <c:idx val="11"/>
              <c:spPr/>
              <c:txPr>
                <a:bodyPr/>
                <a:lstStyle/>
                <a:p>
                  <a:pPr>
                    <a:defRPr sz="700" b="1">
                      <a:solidFill>
                        <a:schemeClr val="bg1"/>
                      </a:solidFill>
                    </a:defRPr>
                  </a:pPr>
                  <a:endParaRPr lang="es-GT"/>
                </a:p>
              </c:txPr>
              <c:dLblPos val="inEnd"/>
              <c:showLegendKey val="0"/>
              <c:showVal val="1"/>
              <c:showCatName val="0"/>
              <c:showSerName val="0"/>
              <c:showPercent val="0"/>
              <c:showBubbleSize val="0"/>
            </c:dLbl>
            <c:spPr>
              <a:noFill/>
              <a:ln>
                <a:noFill/>
              </a:ln>
              <a:effectLst/>
            </c:spPr>
            <c:txPr>
              <a:bodyPr/>
              <a:lstStyle/>
              <a:p>
                <a:pPr>
                  <a:defRPr sz="700" b="1"/>
                </a:pPr>
                <a:endParaRPr lang="es-G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'Resultado Presupuestario'!$J$23:$J$35</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'Resultado Presupuestario'!$K$23:$K$35</c:f>
              <c:numCache>
                <c:formatCode>#,##0.0</c:formatCode>
                <c:ptCount val="13"/>
                <c:pt idx="0">
                  <c:v>1344.6844330900058</c:v>
                </c:pt>
                <c:pt idx="1">
                  <c:v>-1903.1</c:v>
                </c:pt>
                <c:pt idx="2">
                  <c:v>-3089.5</c:v>
                </c:pt>
                <c:pt idx="3">
                  <c:v>-2856.2</c:v>
                </c:pt>
                <c:pt idx="4">
                  <c:v>209.2</c:v>
                </c:pt>
                <c:pt idx="5">
                  <c:v>-2090.4</c:v>
                </c:pt>
                <c:pt idx="6">
                  <c:v>-2438.1</c:v>
                </c:pt>
                <c:pt idx="7">
                  <c:v>-3679.4</c:v>
                </c:pt>
                <c:pt idx="8">
                  <c:v>516.4</c:v>
                </c:pt>
                <c:pt idx="9">
                  <c:v>472.3</c:v>
                </c:pt>
                <c:pt idx="10">
                  <c:v>-609.79999999999995</c:v>
                </c:pt>
                <c:pt idx="11">
                  <c:v>-4447.8</c:v>
                </c:pt>
                <c:pt idx="12">
                  <c:v>-9440.4</c:v>
                </c:pt>
              </c:numCache>
            </c:numRef>
          </c:val>
          <c:extLst xmlns:c16r2="http://schemas.microsoft.com/office/drawing/2015/06/chart">
            <c:ext xmlns:c16="http://schemas.microsoft.com/office/drawing/2014/chart" uri="{C3380CC4-5D6E-409C-BE32-E72D297353CC}">
              <c16:uniqueId val="{00000011-4C3A-4E7C-BF4C-797E945E42B4}"/>
            </c:ext>
          </c:extLst>
        </c:ser>
        <c:dLbls>
          <c:showLegendKey val="0"/>
          <c:showVal val="0"/>
          <c:showCatName val="0"/>
          <c:showSerName val="0"/>
          <c:showPercent val="0"/>
          <c:showBubbleSize val="0"/>
        </c:dLbls>
        <c:gapWidth val="12"/>
        <c:axId val="118650752"/>
        <c:axId val="118652288"/>
      </c:barChart>
      <c:lineChart>
        <c:grouping val="standard"/>
        <c:varyColors val="0"/>
        <c:ser>
          <c:idx val="1"/>
          <c:order val="1"/>
          <c:tx>
            <c:strRef>
              <c:f>'Resultado Presupuestario'!$L$22</c:f>
              <c:strCache>
                <c:ptCount val="1"/>
                <c:pt idx="0">
                  <c:v>%PIB</c:v>
                </c:pt>
              </c:strCache>
            </c:strRef>
          </c:tx>
          <c:spPr>
            <a:ln>
              <a:solidFill>
                <a:srgbClr val="FF0000"/>
              </a:solidFill>
            </a:ln>
          </c:spPr>
          <c:marker>
            <c:symbol val="none"/>
          </c:marker>
          <c:dLbls>
            <c:dLbl>
              <c:idx val="0"/>
              <c:layout>
                <c:manualLayout>
                  <c:x val="-1.9853310627392151E-2"/>
                  <c:y val="-6.446785969935575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4C3A-4E7C-BF4C-797E945E42B4}"/>
                </c:ext>
              </c:extLst>
            </c:dLbl>
            <c:dLbl>
              <c:idx val="1"/>
              <c:layout>
                <c:manualLayout>
                  <c:x val="-8.3101384275573689E-2"/>
                  <c:y val="-3.702018611309942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4C3A-4E7C-BF4C-797E945E42B4}"/>
                </c:ext>
              </c:extLst>
            </c:dLbl>
            <c:dLbl>
              <c:idx val="2"/>
              <c:layout>
                <c:manualLayout>
                  <c:x val="-6.6666666666666666E-2"/>
                  <c:y val="1.388888888888888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4C3A-4E7C-BF4C-797E945E42B4}"/>
                </c:ext>
              </c:extLst>
            </c:dLbl>
            <c:dLbl>
              <c:idx val="3"/>
              <c:layout>
                <c:manualLayout>
                  <c:x val="-3.6770633886591512E-2"/>
                  <c:y val="4.481059634987487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4C3A-4E7C-BF4C-797E945E42B4}"/>
                </c:ext>
              </c:extLst>
            </c:dLbl>
            <c:dLbl>
              <c:idx val="4"/>
              <c:layout>
                <c:manualLayout>
                  <c:x val="-4.1322227655162025E-2"/>
                  <c:y val="7.9543307086614112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4C3A-4E7C-BF4C-797E945E42B4}"/>
                </c:ext>
              </c:extLst>
            </c:dLbl>
            <c:dLbl>
              <c:idx val="5"/>
              <c:layout>
                <c:manualLayout>
                  <c:x val="-4.7222222222222221E-2"/>
                  <c:y val="6.481481481481481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4C3A-4E7C-BF4C-797E945E42B4}"/>
                </c:ext>
              </c:extLst>
            </c:dLbl>
            <c:dLbl>
              <c:idx val="6"/>
              <c:layout>
                <c:manualLayout>
                  <c:x val="-4.4244642081610303E-2"/>
                  <c:y val="7.049966428615027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4C3A-4E7C-BF4C-797E945E42B4}"/>
                </c:ext>
              </c:extLst>
            </c:dLbl>
            <c:dLbl>
              <c:idx val="7"/>
              <c:layout>
                <c:manualLayout>
                  <c:x val="-3.9488358919163878E-2"/>
                  <c:y val="3.049087468717584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4C3A-4E7C-BF4C-797E945E42B4}"/>
                </c:ext>
              </c:extLst>
            </c:dLbl>
            <c:dLbl>
              <c:idx val="8"/>
              <c:layout>
                <c:manualLayout>
                  <c:x val="-3.1242813063784663E-2"/>
                  <c:y val="7.6528847530422328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4C3A-4E7C-BF4C-797E945E42B4}"/>
                </c:ext>
              </c:extLst>
            </c:dLbl>
            <c:dLbl>
              <c:idx val="9"/>
              <c:layout>
                <c:manualLayout>
                  <c:x val="-4.8796135493770071E-2"/>
                  <c:y val="4.5252684323550466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B-4C3A-4E7C-BF4C-797E945E42B4}"/>
                </c:ext>
              </c:extLst>
            </c:dLbl>
            <c:dLbl>
              <c:idx val="10"/>
              <c:layout>
                <c:manualLayout>
                  <c:x val="-5.8333276685738025E-2"/>
                  <c:y val="4.1494475981200027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C-4C3A-4E7C-BF4C-797E945E42B4}"/>
                </c:ext>
              </c:extLst>
            </c:dLbl>
            <c:dLbl>
              <c:idx val="11"/>
              <c:layout>
                <c:manualLayout>
                  <c:x val="-4.220623501199041E-2"/>
                  <c:y val="7.4418604651162679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D-4C3A-4E7C-BF4C-797E945E42B4}"/>
                </c:ext>
              </c:extLst>
            </c:dLbl>
            <c:dLbl>
              <c:idx val="12"/>
              <c:layout>
                <c:manualLayout>
                  <c:x val="-0.11563169164882227"/>
                  <c:y val="-3.6363636363636364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F-4C3A-4E7C-BF4C-797E945E42B4}"/>
                </c:ext>
              </c:extLst>
            </c:dLbl>
            <c:spPr>
              <a:noFill/>
              <a:ln>
                <a:noFill/>
              </a:ln>
              <a:effectLst/>
            </c:spPr>
            <c:txPr>
              <a:bodyPr/>
              <a:lstStyle/>
              <a:p>
                <a:pPr>
                  <a:defRPr sz="800" b="1">
                    <a:solidFill>
                      <a:srgbClr val="FF0000"/>
                    </a:solidFill>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'Resultado Presupuestario'!$J$23:$J$35</c:f>
              <c:numCache>
                <c:formatCode>General</c:formatCode>
                <c:ptCount val="13"/>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numCache>
            </c:numRef>
          </c:cat>
          <c:val>
            <c:numRef>
              <c:f>'Resultado Presupuestario'!$L$23:$L$35</c:f>
              <c:numCache>
                <c:formatCode>0.0%</c:formatCode>
                <c:ptCount val="13"/>
                <c:pt idx="0">
                  <c:v>4.5448258216489448E-3</c:v>
                </c:pt>
                <c:pt idx="1">
                  <c:v>-6.1795662256881106E-3</c:v>
                </c:pt>
                <c:pt idx="2">
                  <c:v>-9.2751762718804986E-3</c:v>
                </c:pt>
                <c:pt idx="3">
                  <c:v>-7.6984115860528352E-3</c:v>
                </c:pt>
                <c:pt idx="4">
                  <c:v>5.2999191838327129E-4</c:v>
                </c:pt>
                <c:pt idx="5">
                  <c:v>-5.0203754618341956E-3</c:v>
                </c:pt>
                <c:pt idx="6">
                  <c:v>-5.4503837578966409E-3</c:v>
                </c:pt>
                <c:pt idx="7">
                  <c:v>-7.7294616980531188E-3</c:v>
                </c:pt>
                <c:pt idx="8">
                  <c:v>1.028681775380442E-3</c:v>
                </c:pt>
                <c:pt idx="9">
                  <c:v>8.9756678254140432E-4</c:v>
                </c:pt>
                <c:pt idx="10">
                  <c:v>-1.1091507666563596E-3</c:v>
                </c:pt>
                <c:pt idx="11">
                  <c:v>-7.533322222538383E-3</c:v>
                </c:pt>
                <c:pt idx="12">
                  <c:v>-1.5863800257675007E-2</c:v>
                </c:pt>
              </c:numCache>
            </c:numRef>
          </c:val>
          <c:smooth val="0"/>
          <c:extLst xmlns:c16r2="http://schemas.microsoft.com/office/drawing/2015/06/chart">
            <c:ext xmlns:c16="http://schemas.microsoft.com/office/drawing/2014/chart" uri="{C3380CC4-5D6E-409C-BE32-E72D297353CC}">
              <c16:uniqueId val="{0000001E-4C3A-4E7C-BF4C-797E945E42B4}"/>
            </c:ext>
          </c:extLst>
        </c:ser>
        <c:dLbls>
          <c:showLegendKey val="0"/>
          <c:showVal val="0"/>
          <c:showCatName val="0"/>
          <c:showSerName val="0"/>
          <c:showPercent val="0"/>
          <c:showBubbleSize val="0"/>
        </c:dLbls>
        <c:marker val="1"/>
        <c:smooth val="0"/>
        <c:axId val="118871168"/>
        <c:axId val="118872704"/>
      </c:lineChart>
      <c:catAx>
        <c:axId val="118650752"/>
        <c:scaling>
          <c:orientation val="minMax"/>
        </c:scaling>
        <c:delete val="0"/>
        <c:axPos val="b"/>
        <c:numFmt formatCode="General" sourceLinked="1"/>
        <c:majorTickMark val="out"/>
        <c:minorTickMark val="none"/>
        <c:tickLblPos val="low"/>
        <c:txPr>
          <a:bodyPr rot="0" vert="horz" anchor="t" anchorCtr="1"/>
          <a:lstStyle/>
          <a:p>
            <a:pPr>
              <a:defRPr sz="900" b="1"/>
            </a:pPr>
            <a:endParaRPr lang="es-GT"/>
          </a:p>
        </c:txPr>
        <c:crossAx val="118652288"/>
        <c:crosses val="autoZero"/>
        <c:auto val="0"/>
        <c:lblAlgn val="ctr"/>
        <c:lblOffset val="100"/>
        <c:tickLblSkip val="1"/>
        <c:noMultiLvlLbl val="0"/>
      </c:catAx>
      <c:valAx>
        <c:axId val="118652288"/>
        <c:scaling>
          <c:orientation val="minMax"/>
        </c:scaling>
        <c:delete val="0"/>
        <c:axPos val="l"/>
        <c:numFmt formatCode="#,##0.0" sourceLinked="1"/>
        <c:majorTickMark val="out"/>
        <c:minorTickMark val="none"/>
        <c:tickLblPos val="nextTo"/>
        <c:txPr>
          <a:bodyPr/>
          <a:lstStyle/>
          <a:p>
            <a:pPr>
              <a:defRPr b="1"/>
            </a:pPr>
            <a:endParaRPr lang="es-GT"/>
          </a:p>
        </c:txPr>
        <c:crossAx val="118650752"/>
        <c:crosses val="autoZero"/>
        <c:crossBetween val="midCat"/>
      </c:valAx>
      <c:catAx>
        <c:axId val="118871168"/>
        <c:scaling>
          <c:orientation val="minMax"/>
        </c:scaling>
        <c:delete val="1"/>
        <c:axPos val="b"/>
        <c:numFmt formatCode="General" sourceLinked="1"/>
        <c:majorTickMark val="out"/>
        <c:minorTickMark val="none"/>
        <c:tickLblPos val="nextTo"/>
        <c:crossAx val="118872704"/>
        <c:crosses val="autoZero"/>
        <c:auto val="1"/>
        <c:lblAlgn val="ctr"/>
        <c:lblOffset val="100"/>
        <c:noMultiLvlLbl val="0"/>
      </c:catAx>
      <c:valAx>
        <c:axId val="118872704"/>
        <c:scaling>
          <c:orientation val="minMax"/>
        </c:scaling>
        <c:delete val="0"/>
        <c:axPos val="r"/>
        <c:numFmt formatCode="0.0%" sourceLinked="1"/>
        <c:majorTickMark val="out"/>
        <c:minorTickMark val="none"/>
        <c:tickLblPos val="nextTo"/>
        <c:txPr>
          <a:bodyPr/>
          <a:lstStyle/>
          <a:p>
            <a:pPr>
              <a:defRPr b="1"/>
            </a:pPr>
            <a:endParaRPr lang="es-GT"/>
          </a:p>
        </c:txPr>
        <c:crossAx val="118871168"/>
        <c:crosses val="max"/>
        <c:crossBetween val="between"/>
      </c:valAx>
    </c:plotArea>
    <c:plotVisOnly val="1"/>
    <c:dispBlanksAs val="gap"/>
    <c:showDLblsOverMax val="0"/>
  </c:chart>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35728192935435E-2"/>
          <c:y val="3.0522382804130756E-2"/>
          <c:w val="0.88764972826466537"/>
          <c:h val="0.83439976188543441"/>
        </c:manualLayout>
      </c:layout>
      <c:barChart>
        <c:barDir val="col"/>
        <c:grouping val="clustered"/>
        <c:varyColors val="0"/>
        <c:ser>
          <c:idx val="0"/>
          <c:order val="0"/>
          <c:tx>
            <c:strRef>
              <c:f>'Deuda Publica'!$B$10</c:f>
              <c:strCache>
                <c:ptCount val="1"/>
                <c:pt idx="0">
                  <c:v>Saldo Deuda</c:v>
                </c:pt>
              </c:strCache>
            </c:strRef>
          </c:tx>
          <c:invertIfNegative val="0"/>
          <c:dLbls>
            <c:spPr>
              <a:noFill/>
              <a:ln>
                <a:noFill/>
              </a:ln>
              <a:effectLst/>
            </c:spPr>
            <c:txPr>
              <a:bodyPr/>
              <a:lstStyle/>
              <a:p>
                <a:pPr>
                  <a:defRPr sz="600" b="1"/>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'Deuda Publica'!$A$11:$A$22</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'Deuda Publica'!$B$11:$B$22</c:f>
              <c:numCache>
                <c:formatCode>#,##0.0</c:formatCode>
                <c:ptCount val="12"/>
                <c:pt idx="0">
                  <c:v>71887.679999999993</c:v>
                </c:pt>
                <c:pt idx="1">
                  <c:v>81366.89</c:v>
                </c:pt>
                <c:pt idx="2">
                  <c:v>88806.8</c:v>
                </c:pt>
                <c:pt idx="3">
                  <c:v>96960.33</c:v>
                </c:pt>
                <c:pt idx="4">
                  <c:v>104843.92</c:v>
                </c:pt>
                <c:pt idx="5">
                  <c:v>110904.06</c:v>
                </c:pt>
                <c:pt idx="6">
                  <c:v>118625.74</c:v>
                </c:pt>
                <c:pt idx="7">
                  <c:v>125676.09</c:v>
                </c:pt>
                <c:pt idx="8">
                  <c:v>132449.59</c:v>
                </c:pt>
                <c:pt idx="9">
                  <c:v>146020.6</c:v>
                </c:pt>
                <c:pt idx="10">
                  <c:v>157325.85</c:v>
                </c:pt>
                <c:pt idx="11">
                  <c:v>181318.01</c:v>
                </c:pt>
              </c:numCache>
            </c:numRef>
          </c:val>
          <c:extLst xmlns:c16r2="http://schemas.microsoft.com/office/drawing/2015/06/chart">
            <c:ext xmlns:c16="http://schemas.microsoft.com/office/drawing/2014/chart" uri="{C3380CC4-5D6E-409C-BE32-E72D297353CC}">
              <c16:uniqueId val="{00000000-DC8E-4CEE-AB28-CB5FB543BAA0}"/>
            </c:ext>
          </c:extLst>
        </c:ser>
        <c:dLbls>
          <c:showLegendKey val="0"/>
          <c:showVal val="0"/>
          <c:showCatName val="0"/>
          <c:showSerName val="0"/>
          <c:showPercent val="0"/>
          <c:showBubbleSize val="0"/>
        </c:dLbls>
        <c:gapWidth val="40"/>
        <c:axId val="119035776"/>
        <c:axId val="119037312"/>
      </c:barChart>
      <c:lineChart>
        <c:grouping val="standard"/>
        <c:varyColors val="0"/>
        <c:ser>
          <c:idx val="1"/>
          <c:order val="1"/>
          <c:tx>
            <c:strRef>
              <c:f>'Deuda Publica'!$C$10</c:f>
              <c:strCache>
                <c:ptCount val="1"/>
                <c:pt idx="0">
                  <c:v>% PIB</c:v>
                </c:pt>
              </c:strCache>
            </c:strRef>
          </c:tx>
          <c:marker>
            <c:symbol val="none"/>
          </c:marker>
          <c:dLbls>
            <c:dLbl>
              <c:idx val="0"/>
              <c:layout>
                <c:manualLayout>
                  <c:x val="-3.0853976122399582E-2"/>
                  <c:y val="0.33217811504339423"/>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C8E-4CEE-AB28-CB5FB543BAA0}"/>
                </c:ext>
              </c:extLst>
            </c:dLbl>
            <c:dLbl>
              <c:idx val="1"/>
              <c:layout>
                <c:manualLayout>
                  <c:x val="-2.9782582795732915E-2"/>
                  <c:y val="0.30924267267380179"/>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15:layout>
                    <c:manualLayout>
                      <c:w val="4.0090883682911388E-2"/>
                      <c:h val="5.7298004131437499E-2"/>
                    </c:manualLayout>
                  </c15:layout>
                </c:ext>
                <c:ext xmlns:c16="http://schemas.microsoft.com/office/drawing/2014/chart" uri="{C3380CC4-5D6E-409C-BE32-E72D297353CC}">
                  <c16:uniqueId val="{00000002-DC8E-4CEE-AB28-CB5FB543BAA0}"/>
                </c:ext>
              </c:extLst>
            </c:dLbl>
            <c:dLbl>
              <c:idx val="2"/>
              <c:layout>
                <c:manualLayout>
                  <c:x val="-2.855929571483808E-2"/>
                  <c:y val="0.23537023684170774"/>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C8E-4CEE-AB28-CB5FB543BAA0}"/>
                </c:ext>
              </c:extLst>
            </c:dLbl>
            <c:dLbl>
              <c:idx val="3"/>
              <c:layout>
                <c:manualLayout>
                  <c:x val="-2.5853046572265021E-2"/>
                  <c:y val="0.2066352784082072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C8E-4CEE-AB28-CB5FB543BAA0}"/>
                </c:ext>
              </c:extLst>
            </c:dLbl>
            <c:dLbl>
              <c:idx val="4"/>
              <c:layout>
                <c:manualLayout>
                  <c:x val="-2.7151326484276352E-2"/>
                  <c:y val="0.18106645044243055"/>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C8E-4CEE-AB28-CB5FB543BAA0}"/>
                </c:ext>
              </c:extLst>
            </c:dLbl>
            <c:dLbl>
              <c:idx val="5"/>
              <c:layout>
                <c:manualLayout>
                  <c:x val="-2.6731787841843744E-2"/>
                  <c:y val="0.1334453461116126"/>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DC8E-4CEE-AB28-CB5FB543BAA0}"/>
                </c:ext>
              </c:extLst>
            </c:dLbl>
            <c:dLbl>
              <c:idx val="6"/>
              <c:layout>
                <c:manualLayout>
                  <c:x val="-2.877860227529979E-2"/>
                  <c:y val="8.825434964959276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C8E-4CEE-AB28-CB5FB543BAA0}"/>
                </c:ext>
              </c:extLst>
            </c:dLbl>
            <c:dLbl>
              <c:idx val="7"/>
              <c:layout>
                <c:manualLayout>
                  <c:x val="-2.6536841401512683E-2"/>
                  <c:y val="7.5935642510019552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C8E-4CEE-AB28-CB5FB543BAA0}"/>
                </c:ext>
              </c:extLst>
            </c:dLbl>
            <c:dLbl>
              <c:idx val="8"/>
              <c:layout>
                <c:manualLayout>
                  <c:x val="-2.5962735890815367E-2"/>
                  <c:y val="7.6343509730409723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C8E-4CEE-AB28-CB5FB543BAA0}"/>
                </c:ext>
              </c:extLst>
            </c:dLbl>
            <c:spPr>
              <a:noFill/>
              <a:ln>
                <a:noFill/>
              </a:ln>
              <a:effectLst/>
            </c:spPr>
            <c:txPr>
              <a:bodyPr/>
              <a:lstStyle/>
              <a:p>
                <a:pPr>
                  <a:defRPr sz="700" b="1">
                    <a:solidFill>
                      <a:schemeClr val="tx1"/>
                    </a:solidFill>
                  </a:defRPr>
                </a:pPr>
                <a:endParaRPr lang="es-GT"/>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'Deuda Publica'!$A$11:$A$22</c:f>
              <c:strCache>
                <c:ptCount val="12"/>
                <c:pt idx="0">
                  <c:v>2009</c:v>
                </c:pt>
                <c:pt idx="1">
                  <c:v>2010</c:v>
                </c:pt>
                <c:pt idx="2">
                  <c:v>2011</c:v>
                </c:pt>
                <c:pt idx="3">
                  <c:v>2012</c:v>
                </c:pt>
                <c:pt idx="4">
                  <c:v>2013</c:v>
                </c:pt>
                <c:pt idx="5">
                  <c:v>2014</c:v>
                </c:pt>
                <c:pt idx="6">
                  <c:v>2015</c:v>
                </c:pt>
                <c:pt idx="7">
                  <c:v>2016</c:v>
                </c:pt>
                <c:pt idx="8">
                  <c:v>2017</c:v>
                </c:pt>
                <c:pt idx="9">
                  <c:v>2018</c:v>
                </c:pt>
                <c:pt idx="10">
                  <c:v>2019</c:v>
                </c:pt>
                <c:pt idx="11">
                  <c:v>2020*</c:v>
                </c:pt>
              </c:strCache>
            </c:strRef>
          </c:cat>
          <c:val>
            <c:numRef>
              <c:f>'Deuda Publica'!$C$11:$C$22</c:f>
              <c:numCache>
                <c:formatCode>0.0</c:formatCode>
                <c:ptCount val="12"/>
                <c:pt idx="0">
                  <c:v>23.3</c:v>
                </c:pt>
                <c:pt idx="1">
                  <c:v>24.4</c:v>
                </c:pt>
                <c:pt idx="2">
                  <c:v>24</c:v>
                </c:pt>
                <c:pt idx="3">
                  <c:v>24.8</c:v>
                </c:pt>
                <c:pt idx="4">
                  <c:v>25.2</c:v>
                </c:pt>
                <c:pt idx="5">
                  <c:v>24.8</c:v>
                </c:pt>
                <c:pt idx="6">
                  <c:v>24.9</c:v>
                </c:pt>
                <c:pt idx="7">
                  <c:v>25</c:v>
                </c:pt>
                <c:pt idx="8">
                  <c:v>25.2</c:v>
                </c:pt>
                <c:pt idx="9">
                  <c:v>26.6</c:v>
                </c:pt>
                <c:pt idx="10">
                  <c:v>26.6</c:v>
                </c:pt>
                <c:pt idx="11">
                  <c:v>31.2</c:v>
                </c:pt>
              </c:numCache>
            </c:numRef>
          </c:val>
          <c:smooth val="0"/>
          <c:extLst xmlns:c16r2="http://schemas.microsoft.com/office/drawing/2015/06/chart">
            <c:ext xmlns:c16="http://schemas.microsoft.com/office/drawing/2014/chart" uri="{C3380CC4-5D6E-409C-BE32-E72D297353CC}">
              <c16:uniqueId val="{0000000A-DC8E-4CEE-AB28-CB5FB543BAA0}"/>
            </c:ext>
          </c:extLst>
        </c:ser>
        <c:dLbls>
          <c:showLegendKey val="0"/>
          <c:showVal val="0"/>
          <c:showCatName val="0"/>
          <c:showSerName val="0"/>
          <c:showPercent val="0"/>
          <c:showBubbleSize val="0"/>
        </c:dLbls>
        <c:marker val="1"/>
        <c:smooth val="0"/>
        <c:axId val="119048832"/>
        <c:axId val="119047296"/>
      </c:lineChart>
      <c:catAx>
        <c:axId val="119035776"/>
        <c:scaling>
          <c:orientation val="minMax"/>
        </c:scaling>
        <c:delete val="0"/>
        <c:axPos val="b"/>
        <c:numFmt formatCode="General" sourceLinked="1"/>
        <c:majorTickMark val="out"/>
        <c:minorTickMark val="none"/>
        <c:tickLblPos val="nextTo"/>
        <c:txPr>
          <a:bodyPr/>
          <a:lstStyle/>
          <a:p>
            <a:pPr>
              <a:defRPr b="1"/>
            </a:pPr>
            <a:endParaRPr lang="es-GT"/>
          </a:p>
        </c:txPr>
        <c:crossAx val="119037312"/>
        <c:crosses val="autoZero"/>
        <c:auto val="1"/>
        <c:lblAlgn val="ctr"/>
        <c:lblOffset val="100"/>
        <c:noMultiLvlLbl val="0"/>
      </c:catAx>
      <c:valAx>
        <c:axId val="119037312"/>
        <c:scaling>
          <c:orientation val="minMax"/>
          <c:max val="182000"/>
          <c:min val="10000"/>
        </c:scaling>
        <c:delete val="0"/>
        <c:axPos val="l"/>
        <c:numFmt formatCode="#,##0.0" sourceLinked="1"/>
        <c:majorTickMark val="out"/>
        <c:minorTickMark val="none"/>
        <c:tickLblPos val="nextTo"/>
        <c:txPr>
          <a:bodyPr/>
          <a:lstStyle/>
          <a:p>
            <a:pPr>
              <a:defRPr b="1"/>
            </a:pPr>
            <a:endParaRPr lang="es-GT"/>
          </a:p>
        </c:txPr>
        <c:crossAx val="119035776"/>
        <c:crosses val="autoZero"/>
        <c:crossBetween val="between"/>
        <c:majorUnit val="40000"/>
        <c:minorUnit val="6000"/>
      </c:valAx>
      <c:valAx>
        <c:axId val="119047296"/>
        <c:scaling>
          <c:orientation val="minMax"/>
        </c:scaling>
        <c:delete val="0"/>
        <c:axPos val="r"/>
        <c:numFmt formatCode="0.0" sourceLinked="1"/>
        <c:majorTickMark val="out"/>
        <c:minorTickMark val="none"/>
        <c:tickLblPos val="nextTo"/>
        <c:txPr>
          <a:bodyPr/>
          <a:lstStyle/>
          <a:p>
            <a:pPr>
              <a:defRPr b="1"/>
            </a:pPr>
            <a:endParaRPr lang="es-GT"/>
          </a:p>
        </c:txPr>
        <c:crossAx val="119048832"/>
        <c:crosses val="max"/>
        <c:crossBetween val="between"/>
      </c:valAx>
      <c:catAx>
        <c:axId val="119048832"/>
        <c:scaling>
          <c:orientation val="minMax"/>
        </c:scaling>
        <c:delete val="1"/>
        <c:axPos val="b"/>
        <c:numFmt formatCode="General" sourceLinked="1"/>
        <c:majorTickMark val="out"/>
        <c:minorTickMark val="none"/>
        <c:tickLblPos val="nextTo"/>
        <c:crossAx val="119047296"/>
        <c:crosses val="autoZero"/>
        <c:auto val="1"/>
        <c:lblAlgn val="ctr"/>
        <c:lblOffset val="100"/>
        <c:noMultiLvlLbl val="0"/>
      </c:catAx>
    </c:plotArea>
    <c:legend>
      <c:legendPos val="b"/>
      <c:layout>
        <c:manualLayout>
          <c:xMode val="edge"/>
          <c:yMode val="edge"/>
          <c:x val="0.33892302176198552"/>
          <c:y val="0.92573964358402827"/>
          <c:w val="0.40587617884294336"/>
          <c:h val="6.2171916010498686E-2"/>
        </c:manualLayout>
      </c:layout>
      <c:overlay val="0"/>
    </c:legend>
    <c:plotVisOnly val="1"/>
    <c:dispBlanksAs val="gap"/>
    <c:showDLblsOverMax val="0"/>
  </c:chart>
  <c:spPr>
    <a:ln>
      <a:solidFill>
        <a:sysClr val="windowText" lastClr="000000"/>
      </a:solidFill>
    </a:ln>
  </c:spPr>
  <c:txPr>
    <a:bodyPr/>
    <a:lstStyle/>
    <a:p>
      <a:pPr>
        <a:defRPr sz="800"/>
      </a:pPr>
      <a:endParaRPr lang="es-GT"/>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28020099461252"/>
          <c:y val="0.11508508124893821"/>
          <c:w val="0.84484932804452073"/>
          <c:h val="0.85429514796424"/>
        </c:manualLayout>
      </c:layout>
      <c:barChart>
        <c:barDir val="col"/>
        <c:grouping val="clustered"/>
        <c:varyColors val="0"/>
        <c:ser>
          <c:idx val="0"/>
          <c:order val="0"/>
          <c:spPr>
            <a:solidFill>
              <a:schemeClr val="accent1">
                <a:lumMod val="75000"/>
              </a:schemeClr>
            </a:solidFill>
            <a:ln>
              <a:noFill/>
            </a:ln>
            <a:effectLst/>
          </c:spPr>
          <c:invertIfNegative val="0"/>
          <c:dPt>
            <c:idx val="3"/>
            <c:invertIfNegative val="0"/>
            <c:bubble3D val="0"/>
            <c:spPr>
              <a:solidFill>
                <a:schemeClr val="accent1">
                  <a:lumMod val="60000"/>
                  <a:lumOff val="40000"/>
                </a:schemeClr>
              </a:solidFill>
              <a:ln>
                <a:noFill/>
              </a:ln>
              <a:effectLst/>
            </c:spPr>
            <c:extLst xmlns:c16r2="http://schemas.microsoft.com/office/drawing/2015/06/chart">
              <c:ext xmlns:c16="http://schemas.microsoft.com/office/drawing/2014/chart" uri="{C3380CC4-5D6E-409C-BE32-E72D297353CC}">
                <c16:uniqueId val="{00000001-7935-40B5-90DD-A34DE02B5817}"/>
              </c:ext>
            </c:extLst>
          </c:dPt>
          <c:dLbls>
            <c:dLbl>
              <c:idx val="0"/>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935-40B5-90DD-A34DE02B5817}"/>
                </c:ext>
              </c:extLst>
            </c:dLbl>
            <c:dLbl>
              <c:idx val="1"/>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935-40B5-90DD-A34DE02B5817}"/>
                </c:ext>
              </c:extLst>
            </c:dLbl>
            <c:dLbl>
              <c:idx val="2"/>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935-40B5-90DD-A34DE02B5817}"/>
                </c:ext>
              </c:extLst>
            </c:dLbl>
            <c:dLbl>
              <c:idx val="3"/>
              <c:layout>
                <c:manualLayout>
                  <c:x val="0"/>
                  <c:y val="0.1207697885340021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935-40B5-90DD-A34DE02B581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Cre!$B$4:$E$4</c:f>
              <c:strCache>
                <c:ptCount val="4"/>
                <c:pt idx="0">
                  <c:v>FMI</c:v>
                </c:pt>
                <c:pt idx="1">
                  <c:v>Banco Mundial</c:v>
                </c:pt>
                <c:pt idx="2">
                  <c:v>CEPAL</c:v>
                </c:pt>
                <c:pt idx="3">
                  <c:v>BANGUAT</c:v>
                </c:pt>
              </c:strCache>
            </c:strRef>
          </c:cat>
          <c:val>
            <c:numRef>
              <c:f>Cre!$B$5:$E$5</c:f>
              <c:numCache>
                <c:formatCode>0.0</c:formatCode>
                <c:ptCount val="4"/>
                <c:pt idx="0">
                  <c:v>-2</c:v>
                </c:pt>
                <c:pt idx="1">
                  <c:v>-3</c:v>
                </c:pt>
                <c:pt idx="2">
                  <c:v>-4.0999999999999996</c:v>
                </c:pt>
                <c:pt idx="3">
                  <c:v>-3.5</c:v>
                </c:pt>
              </c:numCache>
            </c:numRef>
          </c:val>
          <c:extLst xmlns:c16r2="http://schemas.microsoft.com/office/drawing/2015/06/chart">
            <c:ext xmlns:c16="http://schemas.microsoft.com/office/drawing/2014/chart" uri="{C3380CC4-5D6E-409C-BE32-E72D297353CC}">
              <c16:uniqueId val="{00000005-7935-40B5-90DD-A34DE02B5817}"/>
            </c:ext>
          </c:extLst>
        </c:ser>
        <c:ser>
          <c:idx val="1"/>
          <c:order val="1"/>
          <c:spPr>
            <a:solidFill>
              <a:schemeClr val="accent1"/>
            </a:solidFill>
            <a:ln>
              <a:noFill/>
            </a:ln>
            <a:effectLst/>
          </c:spPr>
          <c:invertIfNegative val="0"/>
          <c:dLbls>
            <c:dLbl>
              <c:idx val="3"/>
              <c:layout>
                <c:manualLayout>
                  <c:x val="0"/>
                  <c:y val="0.13264905044357539"/>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935-40B5-90DD-A34DE02B581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Cre!$B$4:$E$4</c:f>
              <c:strCache>
                <c:ptCount val="4"/>
                <c:pt idx="0">
                  <c:v>FMI</c:v>
                </c:pt>
                <c:pt idx="1">
                  <c:v>Banco Mundial</c:v>
                </c:pt>
                <c:pt idx="2">
                  <c:v>CEPAL</c:v>
                </c:pt>
                <c:pt idx="3">
                  <c:v>BANGUAT</c:v>
                </c:pt>
              </c:strCache>
            </c:strRef>
          </c:cat>
          <c:val>
            <c:numRef>
              <c:f>Cre!$B$6:$E$6</c:f>
              <c:numCache>
                <c:formatCode>General</c:formatCode>
                <c:ptCount val="4"/>
                <c:pt idx="3" formatCode="0.0">
                  <c:v>-2.5</c:v>
                </c:pt>
              </c:numCache>
            </c:numRef>
          </c:val>
          <c:extLst xmlns:c16r2="http://schemas.microsoft.com/office/drawing/2015/06/chart">
            <c:ext xmlns:c16="http://schemas.microsoft.com/office/drawing/2014/chart" uri="{C3380CC4-5D6E-409C-BE32-E72D297353CC}">
              <c16:uniqueId val="{00000007-7935-40B5-90DD-A34DE02B5817}"/>
            </c:ext>
          </c:extLst>
        </c:ser>
        <c:ser>
          <c:idx val="2"/>
          <c:order val="2"/>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Cre!$B$4:$E$4</c:f>
              <c:strCache>
                <c:ptCount val="4"/>
                <c:pt idx="0">
                  <c:v>FMI</c:v>
                </c:pt>
                <c:pt idx="1">
                  <c:v>Banco Mundial</c:v>
                </c:pt>
                <c:pt idx="2">
                  <c:v>CEPAL</c:v>
                </c:pt>
                <c:pt idx="3">
                  <c:v>BANGUAT</c:v>
                </c:pt>
              </c:strCache>
            </c:strRef>
          </c:cat>
          <c:val>
            <c:numRef>
              <c:f>Cre!$B$7:$E$7</c:f>
              <c:numCache>
                <c:formatCode>General</c:formatCode>
                <c:ptCount val="4"/>
                <c:pt idx="3" formatCode="0.0">
                  <c:v>-1.5</c:v>
                </c:pt>
              </c:numCache>
            </c:numRef>
          </c:val>
          <c:extLst xmlns:c16r2="http://schemas.microsoft.com/office/drawing/2015/06/chart">
            <c:ext xmlns:c16="http://schemas.microsoft.com/office/drawing/2014/chart" uri="{C3380CC4-5D6E-409C-BE32-E72D297353CC}">
              <c16:uniqueId val="{00000008-7935-40B5-90DD-A34DE02B5817}"/>
            </c:ext>
          </c:extLst>
        </c:ser>
        <c:dLbls>
          <c:showLegendKey val="0"/>
          <c:showVal val="0"/>
          <c:showCatName val="0"/>
          <c:showSerName val="0"/>
          <c:showPercent val="0"/>
          <c:showBubbleSize val="0"/>
        </c:dLbls>
        <c:gapWidth val="100"/>
        <c:overlap val="100"/>
        <c:axId val="119199232"/>
        <c:axId val="119200768"/>
      </c:barChart>
      <c:catAx>
        <c:axId val="119199232"/>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19200768"/>
        <c:crosses val="autoZero"/>
        <c:auto val="1"/>
        <c:lblAlgn val="ctr"/>
        <c:lblOffset val="100"/>
        <c:noMultiLvlLbl val="0"/>
      </c:catAx>
      <c:valAx>
        <c:axId val="119200768"/>
        <c:scaling>
          <c:orientation val="minMax"/>
        </c:scaling>
        <c:delete val="0"/>
        <c:axPos val="l"/>
        <c:majorGridlines>
          <c:spPr>
            <a:ln w="9525" cap="flat" cmpd="sng" algn="ctr">
              <a:solidFill>
                <a:schemeClr val="bg1">
                  <a:lumMod val="75000"/>
                  <a:alpha val="50000"/>
                </a:schemeClr>
              </a:solidFill>
              <a:round/>
            </a:ln>
            <a:effectLst/>
          </c:spPr>
        </c:majorGridlines>
        <c:title>
          <c:tx>
            <c:rich>
              <a:bodyPr/>
              <a:lstStyle/>
              <a:p>
                <a:pPr>
                  <a:defRPr b="1">
                    <a:solidFill>
                      <a:schemeClr val="tx1"/>
                    </a:solidFill>
                  </a:defRPr>
                </a:pPr>
                <a:r>
                  <a:rPr lang="es-GT" b="1">
                    <a:solidFill>
                      <a:schemeClr val="tx1"/>
                    </a:solidFill>
                    <a:latin typeface="Times New Roman" panose="02020603050405020304" pitchFamily="18" charset="0"/>
                    <a:cs typeface="Times New Roman" panose="02020603050405020304" pitchFamily="18" charset="0"/>
                  </a:rPr>
                  <a:t>Porcentaje</a:t>
                </a:r>
              </a:p>
            </c:rich>
          </c:tx>
          <c:layout>
            <c:manualLayout>
              <c:xMode val="edge"/>
              <c:yMode val="edge"/>
              <c:x val="1.3486741649016984E-2"/>
              <c:y val="0.41175689717159658"/>
            </c:manualLayout>
          </c:layout>
          <c:overlay val="0"/>
        </c:title>
        <c:numFmt formatCode="0.0" sourceLinked="1"/>
        <c:majorTickMark val="out"/>
        <c:minorTickMark val="none"/>
        <c:tickLblPos val="nextTo"/>
        <c:spPr>
          <a:ln>
            <a:noFill/>
          </a:ln>
        </c:spPr>
        <c:txPr>
          <a:bodyPr/>
          <a:lstStyle/>
          <a:p>
            <a:pPr>
              <a:defRPr b="1">
                <a:solidFill>
                  <a:sysClr val="windowText" lastClr="000000"/>
                </a:solidFill>
              </a:defRPr>
            </a:pPr>
            <a:endParaRPr lang="es-GT"/>
          </a:p>
        </c:txPr>
        <c:crossAx val="119199232"/>
        <c:crosses val="autoZero"/>
        <c:crossBetween val="between"/>
        <c:majorUnit val="1"/>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s-GT"/>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8506944444444443E-2"/>
          <c:y val="4.8506944444444443E-2"/>
          <c:w val="0.72288346139192283"/>
          <c:h val="0.64990034344837233"/>
        </c:manualLayout>
      </c:layout>
      <c:lineChart>
        <c:grouping val="standard"/>
        <c:varyColors val="0"/>
        <c:ser>
          <c:idx val="0"/>
          <c:order val="0"/>
          <c:tx>
            <c:strRef>
              <c:f>'expo impo'!$C$6</c:f>
              <c:strCache>
                <c:ptCount val="1"/>
                <c:pt idx="0">
                  <c:v>Exportaciones FOB</c:v>
                </c:pt>
              </c:strCache>
            </c:strRef>
          </c:tx>
          <c:spPr>
            <a:ln w="28575" cap="rnd">
              <a:solidFill>
                <a:schemeClr val="accent5">
                  <a:lumMod val="50000"/>
                </a:schemeClr>
              </a:solidFill>
              <a:round/>
            </a:ln>
            <a:effectLst/>
          </c:spPr>
          <c:marker>
            <c:symbol val="none"/>
          </c:marker>
          <c:cat>
            <c:numRef>
              <c:f>'expo impo'!$B$31:$B$36</c:f>
              <c:numCache>
                <c:formatCode>mmm\-yy</c:formatCode>
                <c:ptCount val="6"/>
                <c:pt idx="0">
                  <c:v>43831</c:v>
                </c:pt>
                <c:pt idx="1">
                  <c:v>43862</c:v>
                </c:pt>
                <c:pt idx="2">
                  <c:v>43891</c:v>
                </c:pt>
                <c:pt idx="3">
                  <c:v>43922</c:v>
                </c:pt>
                <c:pt idx="4">
                  <c:v>43952</c:v>
                </c:pt>
                <c:pt idx="5">
                  <c:v>43983</c:v>
                </c:pt>
              </c:numCache>
            </c:numRef>
          </c:cat>
          <c:val>
            <c:numRef>
              <c:f>'expo impo'!$G$31:$G$36</c:f>
              <c:numCache>
                <c:formatCode>0.0</c:formatCode>
                <c:ptCount val="6"/>
                <c:pt idx="0">
                  <c:v>18.034158507564957</c:v>
                </c:pt>
                <c:pt idx="1">
                  <c:v>15.405050480740279</c:v>
                </c:pt>
                <c:pt idx="2">
                  <c:v>-5.678845325629533</c:v>
                </c:pt>
                <c:pt idx="3">
                  <c:v>-9.8811858813955933</c:v>
                </c:pt>
                <c:pt idx="4">
                  <c:v>-6.4469451131723527</c:v>
                </c:pt>
                <c:pt idx="5">
                  <c:v>-16.694481307050758</c:v>
                </c:pt>
              </c:numCache>
            </c:numRef>
          </c:val>
          <c:smooth val="1"/>
          <c:extLst xmlns:c16r2="http://schemas.microsoft.com/office/drawing/2015/06/chart">
            <c:ext xmlns:c16="http://schemas.microsoft.com/office/drawing/2014/chart" uri="{C3380CC4-5D6E-409C-BE32-E72D297353CC}">
              <c16:uniqueId val="{00000000-14D3-4837-BC92-EB4E5EA2E8FB}"/>
            </c:ext>
          </c:extLst>
        </c:ser>
        <c:ser>
          <c:idx val="1"/>
          <c:order val="1"/>
          <c:tx>
            <c:strRef>
              <c:f>'expo impo'!$D$6</c:f>
              <c:strCache>
                <c:ptCount val="1"/>
                <c:pt idx="0">
                  <c:v>Importaciones CIF</c:v>
                </c:pt>
              </c:strCache>
            </c:strRef>
          </c:tx>
          <c:spPr>
            <a:ln w="28575" cap="rnd">
              <a:solidFill>
                <a:srgbClr val="C00000"/>
              </a:solidFill>
              <a:round/>
            </a:ln>
            <a:effectLst/>
          </c:spPr>
          <c:marker>
            <c:symbol val="none"/>
          </c:marker>
          <c:cat>
            <c:numRef>
              <c:f>'expo impo'!$B$31:$B$36</c:f>
              <c:numCache>
                <c:formatCode>mmm\-yy</c:formatCode>
                <c:ptCount val="6"/>
                <c:pt idx="0">
                  <c:v>43831</c:v>
                </c:pt>
                <c:pt idx="1">
                  <c:v>43862</c:v>
                </c:pt>
                <c:pt idx="2">
                  <c:v>43891</c:v>
                </c:pt>
                <c:pt idx="3">
                  <c:v>43922</c:v>
                </c:pt>
                <c:pt idx="4">
                  <c:v>43952</c:v>
                </c:pt>
                <c:pt idx="5">
                  <c:v>43983</c:v>
                </c:pt>
              </c:numCache>
            </c:numRef>
          </c:cat>
          <c:val>
            <c:numRef>
              <c:f>'expo impo'!$H$31:$H$36</c:f>
              <c:numCache>
                <c:formatCode>0.0</c:formatCode>
                <c:ptCount val="6"/>
                <c:pt idx="0">
                  <c:v>3.0044299433820143</c:v>
                </c:pt>
                <c:pt idx="1">
                  <c:v>5.0381713603795175</c:v>
                </c:pt>
                <c:pt idx="2">
                  <c:v>-9.6992028006940618</c:v>
                </c:pt>
                <c:pt idx="3">
                  <c:v>-16.006645465528546</c:v>
                </c:pt>
                <c:pt idx="4">
                  <c:v>-27.123015219393455</c:v>
                </c:pt>
                <c:pt idx="5">
                  <c:v>-15.048822532515494</c:v>
                </c:pt>
              </c:numCache>
            </c:numRef>
          </c:val>
          <c:smooth val="1"/>
          <c:extLst xmlns:c16r2="http://schemas.microsoft.com/office/drawing/2015/06/chart">
            <c:ext xmlns:c16="http://schemas.microsoft.com/office/drawing/2014/chart" uri="{C3380CC4-5D6E-409C-BE32-E72D297353CC}">
              <c16:uniqueId val="{00000001-14D3-4837-BC92-EB4E5EA2E8FB}"/>
            </c:ext>
          </c:extLst>
        </c:ser>
        <c:dLbls>
          <c:showLegendKey val="0"/>
          <c:showVal val="0"/>
          <c:showCatName val="0"/>
          <c:showSerName val="0"/>
          <c:showPercent val="0"/>
          <c:showBubbleSize val="0"/>
        </c:dLbls>
        <c:marker val="1"/>
        <c:smooth val="0"/>
        <c:axId val="119255808"/>
        <c:axId val="119257344"/>
      </c:lineChart>
      <c:dateAx>
        <c:axId val="119255808"/>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5400000"/>
          <a:lstStyle/>
          <a:p>
            <a:pPr>
              <a:defRPr sz="900" b="1">
                <a:solidFill>
                  <a:sysClr val="windowText" lastClr="000000"/>
                </a:solidFill>
              </a:defRPr>
            </a:pPr>
            <a:endParaRPr lang="es-GT"/>
          </a:p>
        </c:txPr>
        <c:crossAx val="119257344"/>
        <c:crosses val="autoZero"/>
        <c:auto val="1"/>
        <c:lblOffset val="100"/>
        <c:baseTimeUnit val="months"/>
      </c:dateAx>
      <c:valAx>
        <c:axId val="119257344"/>
        <c:scaling>
          <c:orientation val="minMax"/>
          <c:max val="20"/>
        </c:scaling>
        <c:delete val="0"/>
        <c:axPos val="l"/>
        <c:majorGridlines>
          <c:spPr>
            <a:ln w="9525" cap="flat" cmpd="sng" algn="ctr">
              <a:solidFill>
                <a:schemeClr val="bg1">
                  <a:lumMod val="85000"/>
                  <a:alpha val="50000"/>
                </a:schemeClr>
              </a:solidFill>
              <a:round/>
            </a:ln>
            <a:effectLst/>
          </c:spPr>
        </c:majorGridlines>
        <c:title>
          <c:tx>
            <c:rich>
              <a:bodyPr rot="5400000" vert="horz"/>
              <a:lstStyle/>
              <a:p>
                <a:pPr>
                  <a:defRPr b="1">
                    <a:solidFill>
                      <a:sysClr val="windowText" lastClr="000000"/>
                    </a:solidFill>
                  </a:defRPr>
                </a:pPr>
                <a:r>
                  <a:rPr lang="es-GT" b="1">
                    <a:solidFill>
                      <a:sysClr val="windowText" lastClr="000000"/>
                    </a:solidFill>
                  </a:rPr>
                  <a:t>Porcentaje</a:t>
                </a:r>
              </a:p>
            </c:rich>
          </c:tx>
          <c:layout>
            <c:manualLayout>
              <c:xMode val="edge"/>
              <c:yMode val="edge"/>
              <c:x val="0.92237884489827693"/>
              <c:y val="0.24000787401574802"/>
            </c:manualLayout>
          </c:layout>
          <c:overlay val="0"/>
        </c:title>
        <c:numFmt formatCode="0.0" sourceLinked="1"/>
        <c:majorTickMark val="none"/>
        <c:minorTickMark val="none"/>
        <c:tickLblPos val="high"/>
        <c:spPr>
          <a:noFill/>
          <a:ln>
            <a:noFill/>
          </a:ln>
          <a:effectLst/>
        </c:spPr>
        <c:txPr>
          <a:bodyPr rot="-60000000" vert="horz"/>
          <a:lstStyle/>
          <a:p>
            <a:pPr>
              <a:defRPr b="1">
                <a:solidFill>
                  <a:sysClr val="windowText" lastClr="000000"/>
                </a:solidFill>
              </a:defRPr>
            </a:pPr>
            <a:endParaRPr lang="es-GT"/>
          </a:p>
        </c:txPr>
        <c:crossAx val="119255808"/>
        <c:crosses val="autoZero"/>
        <c:crossBetween val="between"/>
        <c:majorUnit val="10"/>
      </c:valAx>
      <c:spPr>
        <a:noFill/>
        <a:ln>
          <a:noFill/>
        </a:ln>
        <a:effectLst/>
      </c:spPr>
    </c:plotArea>
    <c:legend>
      <c:legendPos val="b"/>
      <c:layout>
        <c:manualLayout>
          <c:xMode val="edge"/>
          <c:yMode val="edge"/>
          <c:x val="4.9944834264668531E-2"/>
          <c:y val="0.8747170122299377"/>
          <c:w val="0.92531269841269836"/>
          <c:h val="9.1975396825396807E-2"/>
        </c:manualLayout>
      </c:layout>
      <c:overlay val="0"/>
      <c:spPr>
        <a:noFill/>
        <a:ln>
          <a:noFill/>
        </a:ln>
        <a:effectLst/>
      </c:spPr>
      <c:txPr>
        <a:bodyPr rot="0" vert="horz"/>
        <a:lstStyle/>
        <a:p>
          <a:pPr>
            <a:defRPr sz="700" b="1">
              <a:solidFill>
                <a:sysClr val="windowText" lastClr="000000"/>
              </a:solidFill>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solidFill>
            <a:schemeClr val="bg2">
              <a:lumMod val="50000"/>
            </a:schemeClr>
          </a:solidFill>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881569850774343E-2"/>
          <c:y val="6.1325788773867775E-2"/>
          <c:w val="0.73800442913385833"/>
          <c:h val="0.64135451388888898"/>
        </c:manualLayout>
      </c:layout>
      <c:lineChart>
        <c:grouping val="standard"/>
        <c:varyColors val="0"/>
        <c:ser>
          <c:idx val="1"/>
          <c:order val="0"/>
          <c:tx>
            <c:strRef>
              <c:f>'expo impo'!$J$18</c:f>
              <c:strCache>
                <c:ptCount val="1"/>
                <c:pt idx="0">
                  <c:v>Remesas</c:v>
                </c:pt>
              </c:strCache>
            </c:strRef>
          </c:tx>
          <c:spPr>
            <a:ln w="28575" cap="rnd">
              <a:solidFill>
                <a:schemeClr val="accent6">
                  <a:lumMod val="75000"/>
                </a:schemeClr>
              </a:solidFill>
              <a:round/>
            </a:ln>
            <a:effectLst/>
          </c:spPr>
          <c:marker>
            <c:symbol val="none"/>
          </c:marker>
          <c:cat>
            <c:numRef>
              <c:f>'expo impo'!$B$30:$B$36</c:f>
              <c:numCache>
                <c:formatCode>mmm\-yy</c:formatCode>
                <c:ptCount val="7"/>
                <c:pt idx="0">
                  <c:v>43800</c:v>
                </c:pt>
                <c:pt idx="1">
                  <c:v>43831</c:v>
                </c:pt>
                <c:pt idx="2">
                  <c:v>43862</c:v>
                </c:pt>
                <c:pt idx="3">
                  <c:v>43891</c:v>
                </c:pt>
                <c:pt idx="4">
                  <c:v>43922</c:v>
                </c:pt>
                <c:pt idx="5">
                  <c:v>43952</c:v>
                </c:pt>
                <c:pt idx="6">
                  <c:v>43983</c:v>
                </c:pt>
              </c:numCache>
            </c:numRef>
          </c:cat>
          <c:val>
            <c:numRef>
              <c:f>'expo impo'!$J$30:$J$36</c:f>
              <c:numCache>
                <c:formatCode>0.0</c:formatCode>
                <c:ptCount val="7"/>
                <c:pt idx="0">
                  <c:v>13.141331105428765</c:v>
                </c:pt>
                <c:pt idx="1">
                  <c:v>21.296181644945243</c:v>
                </c:pt>
                <c:pt idx="2">
                  <c:v>19.154534763011611</c:v>
                </c:pt>
                <c:pt idx="3">
                  <c:v>8.3495065682076763</c:v>
                </c:pt>
                <c:pt idx="4">
                  <c:v>0.31731868043685107</c:v>
                </c:pt>
                <c:pt idx="5">
                  <c:v>-3.1635247073218076</c:v>
                </c:pt>
                <c:pt idx="6">
                  <c:v>-0.94745009249876944</c:v>
                </c:pt>
              </c:numCache>
            </c:numRef>
          </c:val>
          <c:smooth val="1"/>
          <c:extLst xmlns:c16r2="http://schemas.microsoft.com/office/drawing/2015/06/chart">
            <c:ext xmlns:c16="http://schemas.microsoft.com/office/drawing/2014/chart" uri="{C3380CC4-5D6E-409C-BE32-E72D297353CC}">
              <c16:uniqueId val="{00000000-8557-45C8-98D3-F995C8BD4B8F}"/>
            </c:ext>
          </c:extLst>
        </c:ser>
        <c:dLbls>
          <c:showLegendKey val="0"/>
          <c:showVal val="0"/>
          <c:showCatName val="0"/>
          <c:showSerName val="0"/>
          <c:showPercent val="0"/>
          <c:showBubbleSize val="0"/>
        </c:dLbls>
        <c:marker val="1"/>
        <c:smooth val="0"/>
        <c:axId val="119278592"/>
        <c:axId val="119280384"/>
      </c:lineChart>
      <c:dateAx>
        <c:axId val="119278592"/>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5400000"/>
          <a:lstStyle/>
          <a:p>
            <a:pPr>
              <a:defRPr b="1">
                <a:solidFill>
                  <a:sysClr val="windowText" lastClr="000000"/>
                </a:solidFill>
              </a:defRPr>
            </a:pPr>
            <a:endParaRPr lang="es-GT"/>
          </a:p>
        </c:txPr>
        <c:crossAx val="119280384"/>
        <c:crosses val="autoZero"/>
        <c:auto val="1"/>
        <c:lblOffset val="100"/>
        <c:baseTimeUnit val="months"/>
      </c:dateAx>
      <c:valAx>
        <c:axId val="119280384"/>
        <c:scaling>
          <c:orientation val="minMax"/>
          <c:max val="25"/>
          <c:min val="-5"/>
        </c:scaling>
        <c:delete val="0"/>
        <c:axPos val="l"/>
        <c:majorGridlines>
          <c:spPr>
            <a:ln w="9525" cap="flat" cmpd="sng" algn="ctr">
              <a:solidFill>
                <a:schemeClr val="bg1">
                  <a:lumMod val="85000"/>
                  <a:alpha val="50000"/>
                </a:schemeClr>
              </a:solidFill>
              <a:round/>
            </a:ln>
            <a:effectLst/>
          </c:spPr>
        </c:majorGridlines>
        <c:title>
          <c:tx>
            <c:rich>
              <a:bodyPr rot="5400000" vert="horz"/>
              <a:lstStyle/>
              <a:p>
                <a:pPr>
                  <a:defRPr b="1">
                    <a:solidFill>
                      <a:sysClr val="windowText" lastClr="000000"/>
                    </a:solidFill>
                  </a:defRPr>
                </a:pPr>
                <a:r>
                  <a:rPr lang="es-GT" b="1">
                    <a:solidFill>
                      <a:sysClr val="windowText" lastClr="000000"/>
                    </a:solidFill>
                  </a:rPr>
                  <a:t>Porcentaje</a:t>
                </a:r>
              </a:p>
            </c:rich>
          </c:tx>
          <c:layout>
            <c:manualLayout>
              <c:xMode val="edge"/>
              <c:yMode val="edge"/>
              <c:x val="0.92237884489827693"/>
              <c:y val="0.26223607100522928"/>
            </c:manualLayout>
          </c:layout>
          <c:overlay val="0"/>
        </c:title>
        <c:numFmt formatCode="0.0" sourceLinked="1"/>
        <c:majorTickMark val="none"/>
        <c:minorTickMark val="none"/>
        <c:tickLblPos val="high"/>
        <c:spPr>
          <a:noFill/>
          <a:ln>
            <a:noFill/>
          </a:ln>
          <a:effectLst/>
        </c:spPr>
        <c:txPr>
          <a:bodyPr rot="-60000000" vert="horz"/>
          <a:lstStyle/>
          <a:p>
            <a:pPr>
              <a:defRPr b="1">
                <a:solidFill>
                  <a:sysClr val="windowText" lastClr="000000"/>
                </a:solidFill>
              </a:defRPr>
            </a:pPr>
            <a:endParaRPr lang="es-GT"/>
          </a:p>
        </c:txPr>
        <c:crossAx val="119278592"/>
        <c:crosses val="autoZero"/>
        <c:crossBetween val="between"/>
        <c:majorUnit val="5"/>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solidFill>
            <a:schemeClr val="bg2">
              <a:lumMod val="50000"/>
            </a:schemeClr>
          </a:solidFill>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4.7013940474421839E-2"/>
          <c:y val="1.9481135212218087E-2"/>
          <c:w val="0.8745571734088794"/>
          <c:h val="0.93921721661625146"/>
        </c:manualLayout>
      </c:layout>
      <c:lineChart>
        <c:grouping val="standard"/>
        <c:varyColors val="0"/>
        <c:ser>
          <c:idx val="0"/>
          <c:order val="0"/>
          <c:tx>
            <c:strRef>
              <c:f>ICAE!$B$3</c:f>
              <c:strCache>
                <c:ptCount val="1"/>
              </c:strCache>
            </c:strRef>
          </c:tx>
          <c:marker>
            <c:symbol val="none"/>
          </c:marker>
          <c:dLbls>
            <c:dLbl>
              <c:idx val="41"/>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B150-46C6-89B5-7ABCF2437F6D}"/>
                </c:ext>
              </c:extLst>
            </c:dLbl>
            <c:dLbl>
              <c:idx val="49"/>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B150-46C6-89B5-7ABCF2437F6D}"/>
                </c:ext>
              </c:extLst>
            </c:dLbl>
            <c:dLbl>
              <c:idx val="52"/>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150-46C6-89B5-7ABCF2437F6D}"/>
                </c:ext>
              </c:extLst>
            </c:dLbl>
            <c:spPr>
              <a:noFill/>
              <a:ln>
                <a:noFill/>
              </a:ln>
              <a:effectLst/>
            </c:spPr>
            <c:txPr>
              <a:bodyPr/>
              <a:lstStyle/>
              <a:p>
                <a:pPr>
                  <a:defRPr sz="700"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ICAE!$A$16:$A$68</c:f>
              <c:numCache>
                <c:formatCode>mmm\-yy</c:formatCode>
                <c:ptCount val="53"/>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numCache>
            </c:numRef>
          </c:cat>
          <c:val>
            <c:numRef>
              <c:f>ICAE!$B$16:$B$68</c:f>
              <c:numCache>
                <c:formatCode>0.0</c:formatCode>
                <c:ptCount val="53"/>
                <c:pt idx="0">
                  <c:v>67</c:v>
                </c:pt>
                <c:pt idx="1">
                  <c:v>60.7</c:v>
                </c:pt>
                <c:pt idx="2">
                  <c:v>61.5</c:v>
                </c:pt>
                <c:pt idx="3">
                  <c:v>62.5</c:v>
                </c:pt>
                <c:pt idx="4">
                  <c:v>61.7</c:v>
                </c:pt>
                <c:pt idx="5">
                  <c:v>50.9</c:v>
                </c:pt>
                <c:pt idx="6">
                  <c:v>45</c:v>
                </c:pt>
                <c:pt idx="7">
                  <c:v>37.5</c:v>
                </c:pt>
                <c:pt idx="8">
                  <c:v>38.9</c:v>
                </c:pt>
                <c:pt idx="9">
                  <c:v>45.1</c:v>
                </c:pt>
                <c:pt idx="10">
                  <c:v>43.5</c:v>
                </c:pt>
                <c:pt idx="11">
                  <c:v>57</c:v>
                </c:pt>
                <c:pt idx="12">
                  <c:v>58.04</c:v>
                </c:pt>
                <c:pt idx="13">
                  <c:v>55</c:v>
                </c:pt>
                <c:pt idx="14">
                  <c:v>50</c:v>
                </c:pt>
                <c:pt idx="15">
                  <c:v>54.17</c:v>
                </c:pt>
                <c:pt idx="16">
                  <c:v>53.58</c:v>
                </c:pt>
                <c:pt idx="17">
                  <c:v>50</c:v>
                </c:pt>
                <c:pt idx="18">
                  <c:v>46.67</c:v>
                </c:pt>
                <c:pt idx="19">
                  <c:v>44.45</c:v>
                </c:pt>
                <c:pt idx="20">
                  <c:v>25</c:v>
                </c:pt>
                <c:pt idx="21">
                  <c:v>20.84</c:v>
                </c:pt>
                <c:pt idx="22">
                  <c:v>30.15</c:v>
                </c:pt>
                <c:pt idx="23">
                  <c:v>33.340000000000003</c:v>
                </c:pt>
                <c:pt idx="24">
                  <c:v>49.22</c:v>
                </c:pt>
                <c:pt idx="25">
                  <c:v>46.83</c:v>
                </c:pt>
                <c:pt idx="26">
                  <c:v>47.31</c:v>
                </c:pt>
                <c:pt idx="27">
                  <c:v>42.88</c:v>
                </c:pt>
                <c:pt idx="28">
                  <c:v>41.25</c:v>
                </c:pt>
                <c:pt idx="29">
                  <c:v>44.28</c:v>
                </c:pt>
                <c:pt idx="30">
                  <c:v>39.58</c:v>
                </c:pt>
                <c:pt idx="31">
                  <c:v>44.17</c:v>
                </c:pt>
                <c:pt idx="32">
                  <c:v>44</c:v>
                </c:pt>
                <c:pt idx="33">
                  <c:v>44.82</c:v>
                </c:pt>
                <c:pt idx="34">
                  <c:v>45.27</c:v>
                </c:pt>
                <c:pt idx="35">
                  <c:v>48.81</c:v>
                </c:pt>
                <c:pt idx="36">
                  <c:v>47.76</c:v>
                </c:pt>
                <c:pt idx="37">
                  <c:v>43.29</c:v>
                </c:pt>
                <c:pt idx="38">
                  <c:v>44.58</c:v>
                </c:pt>
                <c:pt idx="39">
                  <c:v>44.61</c:v>
                </c:pt>
                <c:pt idx="40">
                  <c:v>46.96</c:v>
                </c:pt>
                <c:pt idx="41">
                  <c:v>37.520000000000003</c:v>
                </c:pt>
                <c:pt idx="42">
                  <c:v>42.5</c:v>
                </c:pt>
                <c:pt idx="43">
                  <c:v>46.7</c:v>
                </c:pt>
                <c:pt idx="44">
                  <c:v>47.08</c:v>
                </c:pt>
                <c:pt idx="45">
                  <c:v>52.92</c:v>
                </c:pt>
                <c:pt idx="46">
                  <c:v>58.16</c:v>
                </c:pt>
                <c:pt idx="47">
                  <c:v>59.27</c:v>
                </c:pt>
                <c:pt idx="48">
                  <c:v>66.5</c:v>
                </c:pt>
                <c:pt idx="49">
                  <c:v>71.069999999999993</c:v>
                </c:pt>
                <c:pt idx="50">
                  <c:v>57.52</c:v>
                </c:pt>
                <c:pt idx="51">
                  <c:v>32.64</c:v>
                </c:pt>
                <c:pt idx="52">
                  <c:v>38.840000000000003</c:v>
                </c:pt>
              </c:numCache>
            </c:numRef>
          </c:val>
          <c:smooth val="0"/>
          <c:extLst xmlns:c16r2="http://schemas.microsoft.com/office/drawing/2015/06/chart">
            <c:ext xmlns:c16="http://schemas.microsoft.com/office/drawing/2014/chart" uri="{C3380CC4-5D6E-409C-BE32-E72D297353CC}">
              <c16:uniqueId val="{00000001-B150-46C6-89B5-7ABCF2437F6D}"/>
            </c:ext>
          </c:extLst>
        </c:ser>
        <c:ser>
          <c:idx val="1"/>
          <c:order val="1"/>
          <c:tx>
            <c:strRef>
              <c:f>ICAE!$C$3</c:f>
              <c:strCache>
                <c:ptCount val="1"/>
              </c:strCache>
            </c:strRef>
          </c:tx>
          <c:marker>
            <c:symbol val="none"/>
          </c:marker>
          <c:cat>
            <c:numRef>
              <c:f>ICAE!$A$16:$A$68</c:f>
              <c:numCache>
                <c:formatCode>mmm\-yy</c:formatCode>
                <c:ptCount val="53"/>
                <c:pt idx="0">
                  <c:v>42370</c:v>
                </c:pt>
                <c:pt idx="1">
                  <c:v>42401</c:v>
                </c:pt>
                <c:pt idx="2">
                  <c:v>42430</c:v>
                </c:pt>
                <c:pt idx="3">
                  <c:v>42461</c:v>
                </c:pt>
                <c:pt idx="4">
                  <c:v>42491</c:v>
                </c:pt>
                <c:pt idx="5">
                  <c:v>42522</c:v>
                </c:pt>
                <c:pt idx="6">
                  <c:v>42552</c:v>
                </c:pt>
                <c:pt idx="7">
                  <c:v>42583</c:v>
                </c:pt>
                <c:pt idx="8">
                  <c:v>42614</c:v>
                </c:pt>
                <c:pt idx="9">
                  <c:v>42644</c:v>
                </c:pt>
                <c:pt idx="10">
                  <c:v>42675</c:v>
                </c:pt>
                <c:pt idx="11">
                  <c:v>42705</c:v>
                </c:pt>
                <c:pt idx="12">
                  <c:v>42736</c:v>
                </c:pt>
                <c:pt idx="13">
                  <c:v>42767</c:v>
                </c:pt>
                <c:pt idx="14">
                  <c:v>42795</c:v>
                </c:pt>
                <c:pt idx="15">
                  <c:v>42826</c:v>
                </c:pt>
                <c:pt idx="16">
                  <c:v>42856</c:v>
                </c:pt>
                <c:pt idx="17">
                  <c:v>42887</c:v>
                </c:pt>
                <c:pt idx="18">
                  <c:v>42917</c:v>
                </c:pt>
                <c:pt idx="19">
                  <c:v>42948</c:v>
                </c:pt>
                <c:pt idx="20">
                  <c:v>42979</c:v>
                </c:pt>
                <c:pt idx="21">
                  <c:v>43009</c:v>
                </c:pt>
                <c:pt idx="22">
                  <c:v>43040</c:v>
                </c:pt>
                <c:pt idx="23">
                  <c:v>43070</c:v>
                </c:pt>
                <c:pt idx="24">
                  <c:v>43101</c:v>
                </c:pt>
                <c:pt idx="25">
                  <c:v>43132</c:v>
                </c:pt>
                <c:pt idx="26">
                  <c:v>43160</c:v>
                </c:pt>
                <c:pt idx="27">
                  <c:v>43191</c:v>
                </c:pt>
                <c:pt idx="28">
                  <c:v>43221</c:v>
                </c:pt>
                <c:pt idx="29">
                  <c:v>43252</c:v>
                </c:pt>
                <c:pt idx="30">
                  <c:v>43282</c:v>
                </c:pt>
                <c:pt idx="31">
                  <c:v>43313</c:v>
                </c:pt>
                <c:pt idx="32">
                  <c:v>43344</c:v>
                </c:pt>
                <c:pt idx="33">
                  <c:v>43374</c:v>
                </c:pt>
                <c:pt idx="34">
                  <c:v>43405</c:v>
                </c:pt>
                <c:pt idx="35">
                  <c:v>43435</c:v>
                </c:pt>
                <c:pt idx="36">
                  <c:v>43466</c:v>
                </c:pt>
                <c:pt idx="37">
                  <c:v>43497</c:v>
                </c:pt>
                <c:pt idx="38">
                  <c:v>43525</c:v>
                </c:pt>
                <c:pt idx="39">
                  <c:v>43556</c:v>
                </c:pt>
                <c:pt idx="40">
                  <c:v>43586</c:v>
                </c:pt>
                <c:pt idx="41">
                  <c:v>43617</c:v>
                </c:pt>
                <c:pt idx="42">
                  <c:v>43647</c:v>
                </c:pt>
                <c:pt idx="43">
                  <c:v>43678</c:v>
                </c:pt>
                <c:pt idx="44">
                  <c:v>43709</c:v>
                </c:pt>
                <c:pt idx="45">
                  <c:v>43739</c:v>
                </c:pt>
                <c:pt idx="46">
                  <c:v>43770</c:v>
                </c:pt>
                <c:pt idx="47">
                  <c:v>43800</c:v>
                </c:pt>
                <c:pt idx="48">
                  <c:v>43831</c:v>
                </c:pt>
                <c:pt idx="49">
                  <c:v>43862</c:v>
                </c:pt>
                <c:pt idx="50">
                  <c:v>43891</c:v>
                </c:pt>
                <c:pt idx="51">
                  <c:v>43922</c:v>
                </c:pt>
                <c:pt idx="52">
                  <c:v>43952</c:v>
                </c:pt>
              </c:numCache>
            </c:numRef>
          </c:cat>
          <c:val>
            <c:numRef>
              <c:f>ICAE!$C$4:$C$68</c:f>
              <c:numCache>
                <c:formatCode>General</c:formatCode>
                <c:ptCount val="65"/>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numCache>
            </c:numRef>
          </c:val>
          <c:smooth val="0"/>
          <c:extLst xmlns:c16r2="http://schemas.microsoft.com/office/drawing/2015/06/chart">
            <c:ext xmlns:c16="http://schemas.microsoft.com/office/drawing/2014/chart" uri="{C3380CC4-5D6E-409C-BE32-E72D297353CC}">
              <c16:uniqueId val="{00000002-B150-46C6-89B5-7ABCF2437F6D}"/>
            </c:ext>
          </c:extLst>
        </c:ser>
        <c:dLbls>
          <c:showLegendKey val="0"/>
          <c:showVal val="0"/>
          <c:showCatName val="0"/>
          <c:showSerName val="0"/>
          <c:showPercent val="0"/>
          <c:showBubbleSize val="0"/>
        </c:dLbls>
        <c:marker val="1"/>
        <c:smooth val="0"/>
        <c:axId val="189478400"/>
        <c:axId val="189480320"/>
      </c:lineChart>
      <c:dateAx>
        <c:axId val="189478400"/>
        <c:scaling>
          <c:orientation val="minMax"/>
        </c:scaling>
        <c:delete val="0"/>
        <c:axPos val="b"/>
        <c:numFmt formatCode="mmm\-yy" sourceLinked="1"/>
        <c:majorTickMark val="out"/>
        <c:minorTickMark val="none"/>
        <c:tickLblPos val="nextTo"/>
        <c:txPr>
          <a:bodyPr rot="-5400000" vert="horz"/>
          <a:lstStyle/>
          <a:p>
            <a:pPr>
              <a:defRPr sz="700" b="1"/>
            </a:pPr>
            <a:endParaRPr lang="es-GT"/>
          </a:p>
        </c:txPr>
        <c:crossAx val="189480320"/>
        <c:crosses val="autoZero"/>
        <c:auto val="1"/>
        <c:lblOffset val="100"/>
        <c:baseTimeUnit val="months"/>
      </c:dateAx>
      <c:valAx>
        <c:axId val="189480320"/>
        <c:scaling>
          <c:orientation val="minMax"/>
          <c:max val="80"/>
        </c:scaling>
        <c:delete val="0"/>
        <c:axPos val="l"/>
        <c:numFmt formatCode="0.0" sourceLinked="1"/>
        <c:majorTickMark val="out"/>
        <c:minorTickMark val="none"/>
        <c:tickLblPos val="nextTo"/>
        <c:txPr>
          <a:bodyPr/>
          <a:lstStyle/>
          <a:p>
            <a:pPr>
              <a:defRPr b="1"/>
            </a:pPr>
            <a:endParaRPr lang="es-GT"/>
          </a:p>
        </c:txPr>
        <c:crossAx val="189478400"/>
        <c:crosses val="autoZero"/>
        <c:crossBetween val="between"/>
        <c:majorUnit val="15"/>
      </c:valAx>
      <c:spPr>
        <a:ln>
          <a:noFill/>
        </a:ln>
      </c:spPr>
    </c:plotArea>
    <c:plotVisOnly val="1"/>
    <c:dispBlanksAs val="gap"/>
    <c:showDLblsOverMax val="0"/>
  </c:chart>
  <c:spPr>
    <a:ln>
      <a:solidFill>
        <a:sysClr val="windowText" lastClr="000000"/>
      </a:solidFill>
    </a:ln>
  </c:spPr>
  <c:txPr>
    <a:bodyPr/>
    <a:lstStyle/>
    <a:p>
      <a:pPr>
        <a:defRPr sz="900">
          <a:latin typeface="Times New Roman" pitchFamily="18" charset="0"/>
          <a:cs typeface="Times New Roman" pitchFamily="18" charset="0"/>
        </a:defRPr>
      </a:pPr>
      <a:endParaRPr lang="es-GT"/>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56582329384251"/>
          <c:y val="0.10984077512832562"/>
          <c:w val="0.89043417670615732"/>
          <c:h val="0.86509698055636086"/>
        </c:manualLayout>
      </c:layout>
      <c:barChart>
        <c:barDir val="col"/>
        <c:grouping val="clustered"/>
        <c:varyColors val="0"/>
        <c:ser>
          <c:idx val="0"/>
          <c:order val="0"/>
          <c:spPr>
            <a:solidFill>
              <a:schemeClr val="accent6"/>
            </a:solidFill>
            <a:ln>
              <a:noFill/>
            </a:ln>
            <a:effectLst>
              <a:outerShdw blurRad="50800" dist="50800" dir="5400000" algn="ctr" rotWithShape="0">
                <a:srgbClr val="0070C0"/>
              </a:outerShdw>
            </a:effectLst>
          </c:spPr>
          <c:invertIfNegative val="0"/>
          <c:dPt>
            <c:idx val="0"/>
            <c:invertIfNegative val="0"/>
            <c:bubble3D val="0"/>
            <c:spPr>
              <a:solidFill>
                <a:schemeClr val="accent1">
                  <a:lumMod val="75000"/>
                </a:schemeClr>
              </a:solidFill>
              <a:ln>
                <a:noFill/>
              </a:ln>
              <a:effectLst>
                <a:outerShdw blurRad="50800" dist="50800" dir="5400000" algn="ctr" rotWithShape="0">
                  <a:srgbClr val="0070C0"/>
                </a:outerShdw>
              </a:effectLst>
            </c:spPr>
            <c:extLst xmlns:c16r2="http://schemas.microsoft.com/office/drawing/2015/06/chart">
              <c:ext xmlns:c16="http://schemas.microsoft.com/office/drawing/2014/chart" uri="{C3380CC4-5D6E-409C-BE32-E72D297353CC}">
                <c16:uniqueId val="{00000001-FD37-4D69-9B26-DE37D72C8934}"/>
              </c:ext>
            </c:extLst>
          </c:dPt>
          <c:dPt>
            <c:idx val="1"/>
            <c:invertIfNegative val="0"/>
            <c:bubble3D val="0"/>
            <c:spPr>
              <a:solidFill>
                <a:schemeClr val="accent1"/>
              </a:solidFill>
              <a:ln>
                <a:noFill/>
              </a:ln>
              <a:effectLst>
                <a:outerShdw blurRad="50800" dist="50800" dir="5400000" algn="ctr" rotWithShape="0">
                  <a:srgbClr val="0070C0"/>
                </a:outerShdw>
              </a:effectLst>
            </c:spPr>
            <c:extLst xmlns:c16r2="http://schemas.microsoft.com/office/drawing/2015/06/chart">
              <c:ext xmlns:c16="http://schemas.microsoft.com/office/drawing/2014/chart" uri="{C3380CC4-5D6E-409C-BE32-E72D297353CC}">
                <c16:uniqueId val="{00000003-FD37-4D69-9B26-DE37D72C8934}"/>
              </c:ext>
            </c:extLst>
          </c:dPt>
          <c:dPt>
            <c:idx val="2"/>
            <c:invertIfNegative val="0"/>
            <c:bubble3D val="0"/>
            <c:spPr>
              <a:solidFill>
                <a:schemeClr val="accent1">
                  <a:lumMod val="60000"/>
                  <a:lumOff val="40000"/>
                </a:schemeClr>
              </a:solidFill>
              <a:ln>
                <a:noFill/>
              </a:ln>
              <a:effectLst>
                <a:outerShdw blurRad="50800" dist="50800" dir="5400000" algn="ctr" rotWithShape="0">
                  <a:srgbClr val="0070C0"/>
                </a:outerShdw>
              </a:effectLst>
            </c:spPr>
            <c:extLst xmlns:c16r2="http://schemas.microsoft.com/office/drawing/2015/06/chart">
              <c:ext xmlns:c16="http://schemas.microsoft.com/office/drawing/2014/chart" uri="{C3380CC4-5D6E-409C-BE32-E72D297353CC}">
                <c16:uniqueId val="{00000005-FD37-4D69-9B26-DE37D72C8934}"/>
              </c:ext>
            </c:extLst>
          </c:dPt>
          <c:dPt>
            <c:idx val="3"/>
            <c:invertIfNegative val="0"/>
            <c:bubble3D val="0"/>
            <c:spPr>
              <a:solidFill>
                <a:schemeClr val="accent1">
                  <a:lumMod val="40000"/>
                  <a:lumOff val="60000"/>
                </a:schemeClr>
              </a:solidFill>
              <a:ln>
                <a:noFill/>
              </a:ln>
              <a:effectLst>
                <a:outerShdw blurRad="50800" dist="50800" dir="5400000" algn="ctr" rotWithShape="0">
                  <a:srgbClr val="0070C0"/>
                </a:outerShdw>
              </a:effectLst>
            </c:spPr>
            <c:extLst xmlns:c16r2="http://schemas.microsoft.com/office/drawing/2015/06/chart">
              <c:ext xmlns:c16="http://schemas.microsoft.com/office/drawing/2014/chart" uri="{C3380CC4-5D6E-409C-BE32-E72D297353CC}">
                <c16:uniqueId val="{00000007-FD37-4D69-9B26-DE37D72C8934}"/>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[gráficas.xlsx]Hoja1!$B$3:$E$3</c:f>
              <c:strCache>
                <c:ptCount val="4"/>
                <c:pt idx="0">
                  <c:v>PIB real</c:v>
                </c:pt>
                <c:pt idx="1">
                  <c:v>PIB nominal</c:v>
                </c:pt>
                <c:pt idx="2">
                  <c:v>Exportaciones FOB</c:v>
                </c:pt>
                <c:pt idx="3">
                  <c:v>Importaciones FOB</c:v>
                </c:pt>
              </c:strCache>
            </c:strRef>
          </c:cat>
          <c:val>
            <c:numRef>
              <c:f>[gráficas.xlsx]Hoja1!$B$4:$E$4</c:f>
              <c:numCache>
                <c:formatCode>0.0</c:formatCode>
                <c:ptCount val="4"/>
                <c:pt idx="0">
                  <c:v>-3.5</c:v>
                </c:pt>
                <c:pt idx="1">
                  <c:v>-1.5</c:v>
                </c:pt>
                <c:pt idx="2">
                  <c:v>-11.5</c:v>
                </c:pt>
                <c:pt idx="3">
                  <c:v>-10.5</c:v>
                </c:pt>
              </c:numCache>
            </c:numRef>
          </c:val>
          <c:extLst xmlns:c16r2="http://schemas.microsoft.com/office/drawing/2015/06/chart">
            <c:ext xmlns:c16="http://schemas.microsoft.com/office/drawing/2014/chart" uri="{C3380CC4-5D6E-409C-BE32-E72D297353CC}">
              <c16:uniqueId val="{00000008-FD37-4D69-9B26-DE37D72C8934}"/>
            </c:ext>
          </c:extLst>
        </c:ser>
        <c:dLbls>
          <c:showLegendKey val="0"/>
          <c:showVal val="0"/>
          <c:showCatName val="0"/>
          <c:showSerName val="0"/>
          <c:showPercent val="0"/>
          <c:showBubbleSize val="0"/>
        </c:dLbls>
        <c:gapWidth val="100"/>
        <c:overlap val="-27"/>
        <c:axId val="119304960"/>
        <c:axId val="119306496"/>
      </c:barChart>
      <c:catAx>
        <c:axId val="119304960"/>
        <c:scaling>
          <c:orientation val="minMax"/>
        </c:scaling>
        <c:delete val="0"/>
        <c:axPos val="b"/>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19306496"/>
        <c:crosses val="autoZero"/>
        <c:auto val="1"/>
        <c:lblAlgn val="ctr"/>
        <c:lblOffset val="100"/>
        <c:noMultiLvlLbl val="0"/>
      </c:catAx>
      <c:valAx>
        <c:axId val="119306496"/>
        <c:scaling>
          <c:orientation val="minMax"/>
        </c:scaling>
        <c:delete val="0"/>
        <c:axPos val="l"/>
        <c:majorGridlines>
          <c:spPr>
            <a:ln w="9525" cap="flat" cmpd="sng" algn="ctr">
              <a:solidFill>
                <a:schemeClr val="bg1">
                  <a:lumMod val="75000"/>
                  <a:alpha val="60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GT" b="1">
                    <a:latin typeface="Times New Roman" panose="02020603050405020304" pitchFamily="18" charset="0"/>
                    <a:cs typeface="Times New Roman" panose="02020603050405020304" pitchFamily="18" charset="0"/>
                  </a:rPr>
                  <a:t>En porcentaje</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930496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s-GT"/>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2102647618927441E-2"/>
          <c:y val="2.7373659120830021E-2"/>
          <c:w val="0.82747036428138787"/>
          <c:h val="0.79463220581455585"/>
        </c:manualLayout>
      </c:layout>
      <c:lineChart>
        <c:grouping val="standard"/>
        <c:varyColors val="0"/>
        <c:ser>
          <c:idx val="0"/>
          <c:order val="0"/>
          <c:spPr>
            <a:ln w="28575" cap="rnd">
              <a:solidFill>
                <a:schemeClr val="accent1"/>
              </a:solidFill>
              <a:round/>
            </a:ln>
            <a:effectLst/>
          </c:spPr>
          <c:marker>
            <c:symbol val="none"/>
          </c:marker>
          <c:cat>
            <c:numRef>
              <c:f>inflación!$W$186:$W$251</c:f>
              <c:numCache>
                <c:formatCode>mmm\-yy</c:formatCode>
                <c:ptCount val="66"/>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numCache>
            </c:numRef>
          </c:cat>
          <c:val>
            <c:numRef>
              <c:f>[1]inflación!$X$102:$X$249</c:f>
              <c:numCache>
                <c:formatCode>General</c:formatCode>
                <c:ptCount val="14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numCache>
            </c:numRef>
          </c:val>
          <c:smooth val="0"/>
          <c:extLst xmlns:c16r2="http://schemas.microsoft.com/office/drawing/2015/06/chart">
            <c:ext xmlns:c16="http://schemas.microsoft.com/office/drawing/2014/chart" uri="{C3380CC4-5D6E-409C-BE32-E72D297353CC}">
              <c16:uniqueId val="{00000000-EB41-4AFB-B9EB-86F45C6DB28B}"/>
            </c:ext>
          </c:extLst>
        </c:ser>
        <c:ser>
          <c:idx val="1"/>
          <c:order val="1"/>
          <c:spPr>
            <a:ln w="28575" cap="rnd">
              <a:solidFill>
                <a:schemeClr val="accent2"/>
              </a:solidFill>
              <a:round/>
            </a:ln>
            <a:effectLst/>
          </c:spPr>
          <c:marker>
            <c:symbol val="none"/>
          </c:marker>
          <c:cat>
            <c:numRef>
              <c:f>inflación!$W$186:$W$251</c:f>
              <c:numCache>
                <c:formatCode>mmm\-yy</c:formatCode>
                <c:ptCount val="66"/>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numCache>
            </c:numRef>
          </c:cat>
          <c:val>
            <c:numRef>
              <c:f>[1]inflación!$Y$102:$Y$249</c:f>
              <c:numCache>
                <c:formatCode>General</c:formatCode>
                <c:ptCount val="148"/>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0</c:v>
                </c:pt>
                <c:pt idx="115">
                  <c:v>0</c:v>
                </c:pt>
                <c:pt idx="116">
                  <c:v>0</c:v>
                </c:pt>
                <c:pt idx="117">
                  <c:v>0</c:v>
                </c:pt>
                <c:pt idx="118">
                  <c:v>0</c:v>
                </c:pt>
                <c:pt idx="119">
                  <c:v>0</c:v>
                </c:pt>
                <c:pt idx="120">
                  <c:v>0</c:v>
                </c:pt>
                <c:pt idx="121">
                  <c:v>0</c:v>
                </c:pt>
                <c:pt idx="122">
                  <c:v>0</c:v>
                </c:pt>
                <c:pt idx="123">
                  <c:v>0</c:v>
                </c:pt>
                <c:pt idx="124">
                  <c:v>0</c:v>
                </c:pt>
                <c:pt idx="125">
                  <c:v>0</c:v>
                </c:pt>
                <c:pt idx="126">
                  <c:v>0</c:v>
                </c:pt>
                <c:pt idx="127">
                  <c:v>0</c:v>
                </c:pt>
                <c:pt idx="128">
                  <c:v>0</c:v>
                </c:pt>
                <c:pt idx="129">
                  <c:v>0</c:v>
                </c:pt>
                <c:pt idx="130">
                  <c:v>0</c:v>
                </c:pt>
                <c:pt idx="131">
                  <c:v>0</c:v>
                </c:pt>
                <c:pt idx="132">
                  <c:v>0</c:v>
                </c:pt>
                <c:pt idx="133">
                  <c:v>0</c:v>
                </c:pt>
                <c:pt idx="134">
                  <c:v>0</c:v>
                </c:pt>
                <c:pt idx="135">
                  <c:v>0</c:v>
                </c:pt>
                <c:pt idx="136">
                  <c:v>0</c:v>
                </c:pt>
                <c:pt idx="137">
                  <c:v>0</c:v>
                </c:pt>
                <c:pt idx="138">
                  <c:v>0</c:v>
                </c:pt>
                <c:pt idx="139">
                  <c:v>0</c:v>
                </c:pt>
                <c:pt idx="140">
                  <c:v>0</c:v>
                </c:pt>
                <c:pt idx="141">
                  <c:v>0</c:v>
                </c:pt>
                <c:pt idx="142">
                  <c:v>0</c:v>
                </c:pt>
                <c:pt idx="143">
                  <c:v>0</c:v>
                </c:pt>
                <c:pt idx="144">
                  <c:v>0</c:v>
                </c:pt>
                <c:pt idx="145">
                  <c:v>0</c:v>
                </c:pt>
                <c:pt idx="146">
                  <c:v>0</c:v>
                </c:pt>
                <c:pt idx="147">
                  <c:v>0</c:v>
                </c:pt>
              </c:numCache>
            </c:numRef>
          </c:val>
          <c:smooth val="0"/>
          <c:extLst xmlns:c16r2="http://schemas.microsoft.com/office/drawing/2015/06/chart">
            <c:ext xmlns:c16="http://schemas.microsoft.com/office/drawing/2014/chart" uri="{C3380CC4-5D6E-409C-BE32-E72D297353CC}">
              <c16:uniqueId val="{00000001-EB41-4AFB-B9EB-86F45C6DB28B}"/>
            </c:ext>
          </c:extLst>
        </c:ser>
        <c:ser>
          <c:idx val="2"/>
          <c:order val="2"/>
          <c:tx>
            <c:strRef>
              <c:f>inflación!$U$5</c:f>
              <c:strCache>
                <c:ptCount val="1"/>
                <c:pt idx="0">
                  <c:v>Inflación</c:v>
                </c:pt>
              </c:strCache>
            </c:strRef>
          </c:tx>
          <c:spPr>
            <a:ln w="31750" cap="rnd">
              <a:solidFill>
                <a:schemeClr val="accent1">
                  <a:lumMod val="75000"/>
                </a:schemeClr>
              </a:solidFill>
              <a:round/>
            </a:ln>
            <a:effectLst/>
          </c:spPr>
          <c:marker>
            <c:symbol val="none"/>
          </c:marker>
          <c:cat>
            <c:numRef>
              <c:f>inflación!$W$186:$W$251</c:f>
              <c:numCache>
                <c:formatCode>mmm\-yy</c:formatCode>
                <c:ptCount val="66"/>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numCache>
            </c:numRef>
          </c:cat>
          <c:val>
            <c:numRef>
              <c:f>inflación!$Z$186:$Z$251</c:f>
              <c:numCache>
                <c:formatCode>0.0</c:formatCode>
                <c:ptCount val="66"/>
                <c:pt idx="0">
                  <c:v>2.3199999999999998</c:v>
                </c:pt>
                <c:pt idx="1">
                  <c:v>2.44</c:v>
                </c:pt>
                <c:pt idx="2">
                  <c:v>2.4300000000000002</c:v>
                </c:pt>
                <c:pt idx="3">
                  <c:v>2.58</c:v>
                </c:pt>
                <c:pt idx="4">
                  <c:v>2.5499999999999998</c:v>
                </c:pt>
                <c:pt idx="5">
                  <c:v>2.39</c:v>
                </c:pt>
                <c:pt idx="6">
                  <c:v>2.3199999999999998</c:v>
                </c:pt>
                <c:pt idx="7">
                  <c:v>1.96</c:v>
                </c:pt>
                <c:pt idx="8">
                  <c:v>1.88</c:v>
                </c:pt>
                <c:pt idx="9">
                  <c:v>2.23</c:v>
                </c:pt>
                <c:pt idx="10">
                  <c:v>2.5099999999999998</c:v>
                </c:pt>
                <c:pt idx="11">
                  <c:v>3.07</c:v>
                </c:pt>
                <c:pt idx="12">
                  <c:v>4.38</c:v>
                </c:pt>
                <c:pt idx="13">
                  <c:v>4.2699999999999996</c:v>
                </c:pt>
                <c:pt idx="14">
                  <c:v>4.26</c:v>
                </c:pt>
                <c:pt idx="15">
                  <c:v>4.09</c:v>
                </c:pt>
                <c:pt idx="16">
                  <c:v>4.3600000000000003</c:v>
                </c:pt>
                <c:pt idx="17">
                  <c:v>4.43</c:v>
                </c:pt>
                <c:pt idx="18">
                  <c:v>4.62</c:v>
                </c:pt>
                <c:pt idx="19">
                  <c:v>4.74</c:v>
                </c:pt>
                <c:pt idx="20">
                  <c:v>4.5599999999999996</c:v>
                </c:pt>
                <c:pt idx="21">
                  <c:v>4.76</c:v>
                </c:pt>
                <c:pt idx="22">
                  <c:v>4.67</c:v>
                </c:pt>
                <c:pt idx="23">
                  <c:v>4.2300000000000004</c:v>
                </c:pt>
                <c:pt idx="24">
                  <c:v>3.83</c:v>
                </c:pt>
                <c:pt idx="25">
                  <c:v>3.96</c:v>
                </c:pt>
                <c:pt idx="26">
                  <c:v>4</c:v>
                </c:pt>
                <c:pt idx="27">
                  <c:v>4.09</c:v>
                </c:pt>
                <c:pt idx="28">
                  <c:v>3.93</c:v>
                </c:pt>
                <c:pt idx="29">
                  <c:v>4.3600000000000003</c:v>
                </c:pt>
                <c:pt idx="30">
                  <c:v>5.22</c:v>
                </c:pt>
                <c:pt idx="31">
                  <c:v>4.72</c:v>
                </c:pt>
                <c:pt idx="32">
                  <c:v>4.3600000000000003</c:v>
                </c:pt>
                <c:pt idx="33">
                  <c:v>4.2</c:v>
                </c:pt>
                <c:pt idx="34">
                  <c:v>4.6900000000000004</c:v>
                </c:pt>
                <c:pt idx="35">
                  <c:v>5.68</c:v>
                </c:pt>
                <c:pt idx="36">
                  <c:v>4.71</c:v>
                </c:pt>
                <c:pt idx="37">
                  <c:v>4.1500000000000004</c:v>
                </c:pt>
                <c:pt idx="38">
                  <c:v>4.1399999999999997</c:v>
                </c:pt>
                <c:pt idx="39">
                  <c:v>3.92</c:v>
                </c:pt>
                <c:pt idx="40">
                  <c:v>4.09</c:v>
                </c:pt>
                <c:pt idx="41">
                  <c:v>3.79</c:v>
                </c:pt>
                <c:pt idx="42">
                  <c:v>2.61</c:v>
                </c:pt>
                <c:pt idx="43">
                  <c:v>3.36</c:v>
                </c:pt>
                <c:pt idx="44">
                  <c:v>4.55</c:v>
                </c:pt>
                <c:pt idx="45">
                  <c:v>4.34</c:v>
                </c:pt>
                <c:pt idx="46">
                  <c:v>3.15</c:v>
                </c:pt>
                <c:pt idx="47">
                  <c:v>2.31</c:v>
                </c:pt>
                <c:pt idx="48">
                  <c:v>4.0999999999999996</c:v>
                </c:pt>
                <c:pt idx="49">
                  <c:v>4.46</c:v>
                </c:pt>
                <c:pt idx="50">
                  <c:v>4.17</c:v>
                </c:pt>
                <c:pt idx="51">
                  <c:v>4.75</c:v>
                </c:pt>
                <c:pt idx="52">
                  <c:v>4.54</c:v>
                </c:pt>
                <c:pt idx="53">
                  <c:v>4.8</c:v>
                </c:pt>
                <c:pt idx="54">
                  <c:v>4.37</c:v>
                </c:pt>
                <c:pt idx="55">
                  <c:v>3.01</c:v>
                </c:pt>
                <c:pt idx="56">
                  <c:v>1.8</c:v>
                </c:pt>
                <c:pt idx="57">
                  <c:v>2.17</c:v>
                </c:pt>
                <c:pt idx="58">
                  <c:v>2.92</c:v>
                </c:pt>
                <c:pt idx="59">
                  <c:v>3.41</c:v>
                </c:pt>
                <c:pt idx="60">
                  <c:v>1.78</c:v>
                </c:pt>
                <c:pt idx="61">
                  <c:v>1.24</c:v>
                </c:pt>
                <c:pt idx="62">
                  <c:v>1.77</c:v>
                </c:pt>
                <c:pt idx="63">
                  <c:v>1.88</c:v>
                </c:pt>
                <c:pt idx="64">
                  <c:v>1.8</c:v>
                </c:pt>
                <c:pt idx="65">
                  <c:v>2.39</c:v>
                </c:pt>
              </c:numCache>
            </c:numRef>
          </c:val>
          <c:smooth val="1"/>
          <c:extLst xmlns:c16r2="http://schemas.microsoft.com/office/drawing/2015/06/chart">
            <c:ext xmlns:c16="http://schemas.microsoft.com/office/drawing/2014/chart" uri="{C3380CC4-5D6E-409C-BE32-E72D297353CC}">
              <c16:uniqueId val="{00000002-EB41-4AFB-B9EB-86F45C6DB28B}"/>
            </c:ext>
          </c:extLst>
        </c:ser>
        <c:ser>
          <c:idx val="3"/>
          <c:order val="3"/>
          <c:tx>
            <c:strRef>
              <c:f>inflación!$V$5</c:f>
              <c:strCache>
                <c:ptCount val="1"/>
                <c:pt idx="0">
                  <c:v>Meta </c:v>
                </c:pt>
              </c:strCache>
            </c:strRef>
          </c:tx>
          <c:spPr>
            <a:ln w="31750" cap="rnd">
              <a:solidFill>
                <a:schemeClr val="accent6">
                  <a:lumMod val="75000"/>
                </a:schemeClr>
              </a:solidFill>
              <a:prstDash val="sysDash"/>
              <a:round/>
            </a:ln>
            <a:effectLst/>
          </c:spPr>
          <c:marker>
            <c:symbol val="none"/>
          </c:marker>
          <c:cat>
            <c:numRef>
              <c:f>inflación!$W$186:$W$251</c:f>
              <c:numCache>
                <c:formatCode>mmm\-yy</c:formatCode>
                <c:ptCount val="66"/>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numCache>
            </c:numRef>
          </c:cat>
          <c:val>
            <c:numRef>
              <c:f>inflación!$V$102:$V$251</c:f>
              <c:numCache>
                <c:formatCode>0.0</c:formatCode>
                <c:ptCount val="150"/>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pt idx="90">
                  <c:v>3</c:v>
                </c:pt>
                <c:pt idx="91">
                  <c:v>3</c:v>
                </c:pt>
                <c:pt idx="92">
                  <c:v>3</c:v>
                </c:pt>
                <c:pt idx="93">
                  <c:v>3</c:v>
                </c:pt>
                <c:pt idx="94">
                  <c:v>3</c:v>
                </c:pt>
                <c:pt idx="95">
                  <c:v>3</c:v>
                </c:pt>
                <c:pt idx="96">
                  <c:v>3</c:v>
                </c:pt>
                <c:pt idx="97">
                  <c:v>3</c:v>
                </c:pt>
                <c:pt idx="98">
                  <c:v>3</c:v>
                </c:pt>
                <c:pt idx="99">
                  <c:v>3</c:v>
                </c:pt>
                <c:pt idx="100">
                  <c:v>3</c:v>
                </c:pt>
                <c:pt idx="101">
                  <c:v>3</c:v>
                </c:pt>
                <c:pt idx="102">
                  <c:v>3</c:v>
                </c:pt>
                <c:pt idx="103">
                  <c:v>3</c:v>
                </c:pt>
                <c:pt idx="104">
                  <c:v>3</c:v>
                </c:pt>
                <c:pt idx="105">
                  <c:v>3</c:v>
                </c:pt>
                <c:pt idx="106">
                  <c:v>3</c:v>
                </c:pt>
                <c:pt idx="107">
                  <c:v>3</c:v>
                </c:pt>
                <c:pt idx="108">
                  <c:v>3</c:v>
                </c:pt>
                <c:pt idx="109">
                  <c:v>3</c:v>
                </c:pt>
                <c:pt idx="110">
                  <c:v>3</c:v>
                </c:pt>
                <c:pt idx="111">
                  <c:v>3</c:v>
                </c:pt>
                <c:pt idx="112">
                  <c:v>3</c:v>
                </c:pt>
                <c:pt idx="113">
                  <c:v>3</c:v>
                </c:pt>
                <c:pt idx="114">
                  <c:v>3</c:v>
                </c:pt>
                <c:pt idx="115">
                  <c:v>3</c:v>
                </c:pt>
                <c:pt idx="116">
                  <c:v>3</c:v>
                </c:pt>
                <c:pt idx="117">
                  <c:v>3</c:v>
                </c:pt>
                <c:pt idx="118">
                  <c:v>3</c:v>
                </c:pt>
                <c:pt idx="119">
                  <c:v>3</c:v>
                </c:pt>
                <c:pt idx="120">
                  <c:v>3</c:v>
                </c:pt>
                <c:pt idx="121">
                  <c:v>3</c:v>
                </c:pt>
                <c:pt idx="122">
                  <c:v>3</c:v>
                </c:pt>
                <c:pt idx="123">
                  <c:v>3</c:v>
                </c:pt>
                <c:pt idx="124">
                  <c:v>3</c:v>
                </c:pt>
                <c:pt idx="125">
                  <c:v>3</c:v>
                </c:pt>
                <c:pt idx="126">
                  <c:v>3</c:v>
                </c:pt>
                <c:pt idx="127">
                  <c:v>3</c:v>
                </c:pt>
                <c:pt idx="128">
                  <c:v>3</c:v>
                </c:pt>
                <c:pt idx="129">
                  <c:v>3</c:v>
                </c:pt>
                <c:pt idx="130">
                  <c:v>3</c:v>
                </c:pt>
                <c:pt idx="131">
                  <c:v>3</c:v>
                </c:pt>
                <c:pt idx="132">
                  <c:v>3</c:v>
                </c:pt>
                <c:pt idx="133">
                  <c:v>3</c:v>
                </c:pt>
                <c:pt idx="134">
                  <c:v>3</c:v>
                </c:pt>
                <c:pt idx="135">
                  <c:v>3</c:v>
                </c:pt>
                <c:pt idx="136">
                  <c:v>3</c:v>
                </c:pt>
                <c:pt idx="137">
                  <c:v>3</c:v>
                </c:pt>
                <c:pt idx="138">
                  <c:v>3</c:v>
                </c:pt>
                <c:pt idx="139">
                  <c:v>3</c:v>
                </c:pt>
                <c:pt idx="140">
                  <c:v>3</c:v>
                </c:pt>
                <c:pt idx="141">
                  <c:v>3</c:v>
                </c:pt>
                <c:pt idx="142">
                  <c:v>3</c:v>
                </c:pt>
                <c:pt idx="143">
                  <c:v>3</c:v>
                </c:pt>
                <c:pt idx="144">
                  <c:v>3</c:v>
                </c:pt>
                <c:pt idx="145">
                  <c:v>3</c:v>
                </c:pt>
                <c:pt idx="146">
                  <c:v>3</c:v>
                </c:pt>
                <c:pt idx="147">
                  <c:v>3</c:v>
                </c:pt>
                <c:pt idx="148">
                  <c:v>3</c:v>
                </c:pt>
                <c:pt idx="149">
                  <c:v>3</c:v>
                </c:pt>
              </c:numCache>
            </c:numRef>
          </c:val>
          <c:smooth val="0"/>
          <c:extLst xmlns:c16r2="http://schemas.microsoft.com/office/drawing/2015/06/chart">
            <c:ext xmlns:c16="http://schemas.microsoft.com/office/drawing/2014/chart" uri="{C3380CC4-5D6E-409C-BE32-E72D297353CC}">
              <c16:uniqueId val="{00000003-EB41-4AFB-B9EB-86F45C6DB28B}"/>
            </c:ext>
          </c:extLst>
        </c:ser>
        <c:ser>
          <c:idx val="4"/>
          <c:order val="4"/>
          <c:tx>
            <c:strRef>
              <c:f>inflación!$U$5</c:f>
              <c:strCache>
                <c:ptCount val="1"/>
                <c:pt idx="0">
                  <c:v>Inflación</c:v>
                </c:pt>
              </c:strCache>
            </c:strRef>
          </c:tx>
          <c:spPr>
            <a:ln w="31750" cap="rnd">
              <a:solidFill>
                <a:schemeClr val="accent6">
                  <a:lumMod val="75000"/>
                </a:schemeClr>
              </a:solidFill>
              <a:prstDash val="sysDash"/>
              <a:round/>
            </a:ln>
            <a:effectLst/>
          </c:spPr>
          <c:marker>
            <c:symbol val="none"/>
          </c:marker>
          <c:cat>
            <c:numRef>
              <c:f>inflación!$W$186:$W$251</c:f>
              <c:numCache>
                <c:formatCode>mmm\-yy</c:formatCode>
                <c:ptCount val="66"/>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numCache>
            </c:numRef>
          </c:cat>
          <c:val>
            <c:numRef>
              <c:f>inflación!$U$102:$U$251</c:f>
              <c:numCache>
                <c:formatCode>0.0</c:formatCode>
                <c:ptCount val="150"/>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pt idx="90">
                  <c:v>5</c:v>
                </c:pt>
                <c:pt idx="91">
                  <c:v>5</c:v>
                </c:pt>
                <c:pt idx="92">
                  <c:v>5</c:v>
                </c:pt>
                <c:pt idx="93">
                  <c:v>5</c:v>
                </c:pt>
                <c:pt idx="94">
                  <c:v>5</c:v>
                </c:pt>
                <c:pt idx="95">
                  <c:v>5</c:v>
                </c:pt>
                <c:pt idx="96">
                  <c:v>5</c:v>
                </c:pt>
                <c:pt idx="97">
                  <c:v>5</c:v>
                </c:pt>
                <c:pt idx="98">
                  <c:v>5</c:v>
                </c:pt>
                <c:pt idx="99">
                  <c:v>5</c:v>
                </c:pt>
                <c:pt idx="100">
                  <c:v>5</c:v>
                </c:pt>
                <c:pt idx="101">
                  <c:v>5</c:v>
                </c:pt>
                <c:pt idx="102">
                  <c:v>5</c:v>
                </c:pt>
                <c:pt idx="103">
                  <c:v>5</c:v>
                </c:pt>
                <c:pt idx="104">
                  <c:v>5</c:v>
                </c:pt>
                <c:pt idx="105">
                  <c:v>5</c:v>
                </c:pt>
                <c:pt idx="106">
                  <c:v>5</c:v>
                </c:pt>
                <c:pt idx="107">
                  <c:v>5</c:v>
                </c:pt>
                <c:pt idx="108">
                  <c:v>5</c:v>
                </c:pt>
                <c:pt idx="109">
                  <c:v>5</c:v>
                </c:pt>
                <c:pt idx="110">
                  <c:v>5</c:v>
                </c:pt>
                <c:pt idx="111">
                  <c:v>5</c:v>
                </c:pt>
                <c:pt idx="112">
                  <c:v>5</c:v>
                </c:pt>
                <c:pt idx="113">
                  <c:v>5</c:v>
                </c:pt>
                <c:pt idx="114">
                  <c:v>5</c:v>
                </c:pt>
                <c:pt idx="115">
                  <c:v>5</c:v>
                </c:pt>
                <c:pt idx="116">
                  <c:v>5</c:v>
                </c:pt>
                <c:pt idx="117">
                  <c:v>5</c:v>
                </c:pt>
                <c:pt idx="118">
                  <c:v>5</c:v>
                </c:pt>
                <c:pt idx="119">
                  <c:v>5</c:v>
                </c:pt>
                <c:pt idx="120">
                  <c:v>5</c:v>
                </c:pt>
                <c:pt idx="121">
                  <c:v>5</c:v>
                </c:pt>
                <c:pt idx="122">
                  <c:v>5</c:v>
                </c:pt>
                <c:pt idx="123">
                  <c:v>5</c:v>
                </c:pt>
                <c:pt idx="124">
                  <c:v>5</c:v>
                </c:pt>
                <c:pt idx="125">
                  <c:v>5</c:v>
                </c:pt>
                <c:pt idx="126">
                  <c:v>5</c:v>
                </c:pt>
                <c:pt idx="127">
                  <c:v>5</c:v>
                </c:pt>
                <c:pt idx="128">
                  <c:v>5</c:v>
                </c:pt>
                <c:pt idx="129">
                  <c:v>5</c:v>
                </c:pt>
                <c:pt idx="130">
                  <c:v>5</c:v>
                </c:pt>
                <c:pt idx="131">
                  <c:v>5</c:v>
                </c:pt>
                <c:pt idx="132">
                  <c:v>5</c:v>
                </c:pt>
                <c:pt idx="133">
                  <c:v>5</c:v>
                </c:pt>
                <c:pt idx="134">
                  <c:v>5</c:v>
                </c:pt>
                <c:pt idx="135">
                  <c:v>5</c:v>
                </c:pt>
                <c:pt idx="136">
                  <c:v>5</c:v>
                </c:pt>
                <c:pt idx="137">
                  <c:v>5</c:v>
                </c:pt>
                <c:pt idx="138">
                  <c:v>5</c:v>
                </c:pt>
                <c:pt idx="139">
                  <c:v>5</c:v>
                </c:pt>
                <c:pt idx="140">
                  <c:v>5</c:v>
                </c:pt>
                <c:pt idx="141">
                  <c:v>5</c:v>
                </c:pt>
                <c:pt idx="142">
                  <c:v>5</c:v>
                </c:pt>
                <c:pt idx="143">
                  <c:v>5</c:v>
                </c:pt>
                <c:pt idx="144">
                  <c:v>5</c:v>
                </c:pt>
                <c:pt idx="145">
                  <c:v>5</c:v>
                </c:pt>
                <c:pt idx="146">
                  <c:v>5</c:v>
                </c:pt>
                <c:pt idx="147">
                  <c:v>5</c:v>
                </c:pt>
                <c:pt idx="148">
                  <c:v>5</c:v>
                </c:pt>
                <c:pt idx="149">
                  <c:v>5</c:v>
                </c:pt>
              </c:numCache>
            </c:numRef>
          </c:val>
          <c:smooth val="0"/>
          <c:extLst xmlns:c16r2="http://schemas.microsoft.com/office/drawing/2015/06/chart">
            <c:ext xmlns:c16="http://schemas.microsoft.com/office/drawing/2014/chart" uri="{C3380CC4-5D6E-409C-BE32-E72D297353CC}">
              <c16:uniqueId val="{00000004-EB41-4AFB-B9EB-86F45C6DB28B}"/>
            </c:ext>
          </c:extLst>
        </c:ser>
        <c:ser>
          <c:idx val="6"/>
          <c:order val="5"/>
          <c:tx>
            <c:strRef>
              <c:f>inflación!$V$5</c:f>
              <c:strCache>
                <c:ptCount val="1"/>
                <c:pt idx="0">
                  <c:v>Meta </c:v>
                </c:pt>
              </c:strCache>
            </c:strRef>
          </c:tx>
          <c:spPr>
            <a:ln w="31750" cap="rnd">
              <a:solidFill>
                <a:schemeClr val="accent6">
                  <a:lumMod val="75000"/>
                </a:schemeClr>
              </a:solidFill>
              <a:prstDash val="lgDash"/>
              <a:round/>
            </a:ln>
            <a:effectLst/>
          </c:spPr>
          <c:marker>
            <c:symbol val="none"/>
          </c:marker>
          <c:cat>
            <c:numRef>
              <c:f>inflación!$W$186:$W$251</c:f>
              <c:numCache>
                <c:formatCode>mmm\-yy</c:formatCode>
                <c:ptCount val="66"/>
                <c:pt idx="0">
                  <c:v>42005</c:v>
                </c:pt>
                <c:pt idx="1">
                  <c:v>42036</c:v>
                </c:pt>
                <c:pt idx="2">
                  <c:v>42064</c:v>
                </c:pt>
                <c:pt idx="3">
                  <c:v>42095</c:v>
                </c:pt>
                <c:pt idx="4">
                  <c:v>42125</c:v>
                </c:pt>
                <c:pt idx="5">
                  <c:v>42156</c:v>
                </c:pt>
                <c:pt idx="6">
                  <c:v>42186</c:v>
                </c:pt>
                <c:pt idx="7">
                  <c:v>42217</c:v>
                </c:pt>
                <c:pt idx="8">
                  <c:v>42248</c:v>
                </c:pt>
                <c:pt idx="9">
                  <c:v>42278</c:v>
                </c:pt>
                <c:pt idx="10">
                  <c:v>42309</c:v>
                </c:pt>
                <c:pt idx="11">
                  <c:v>42339</c:v>
                </c:pt>
                <c:pt idx="12">
                  <c:v>42370</c:v>
                </c:pt>
                <c:pt idx="13">
                  <c:v>42401</c:v>
                </c:pt>
                <c:pt idx="14">
                  <c:v>42430</c:v>
                </c:pt>
                <c:pt idx="15">
                  <c:v>42461</c:v>
                </c:pt>
                <c:pt idx="16">
                  <c:v>42491</c:v>
                </c:pt>
                <c:pt idx="17">
                  <c:v>42522</c:v>
                </c:pt>
                <c:pt idx="18">
                  <c:v>42552</c:v>
                </c:pt>
                <c:pt idx="19">
                  <c:v>42583</c:v>
                </c:pt>
                <c:pt idx="20">
                  <c:v>42614</c:v>
                </c:pt>
                <c:pt idx="21">
                  <c:v>42644</c:v>
                </c:pt>
                <c:pt idx="22">
                  <c:v>42675</c:v>
                </c:pt>
                <c:pt idx="23">
                  <c:v>42705</c:v>
                </c:pt>
                <c:pt idx="24">
                  <c:v>42736</c:v>
                </c:pt>
                <c:pt idx="25">
                  <c:v>42767</c:v>
                </c:pt>
                <c:pt idx="26">
                  <c:v>42795</c:v>
                </c:pt>
                <c:pt idx="27">
                  <c:v>42826</c:v>
                </c:pt>
                <c:pt idx="28">
                  <c:v>42856</c:v>
                </c:pt>
                <c:pt idx="29">
                  <c:v>42887</c:v>
                </c:pt>
                <c:pt idx="30">
                  <c:v>42917</c:v>
                </c:pt>
                <c:pt idx="31">
                  <c:v>42948</c:v>
                </c:pt>
                <c:pt idx="32">
                  <c:v>42979</c:v>
                </c:pt>
                <c:pt idx="33">
                  <c:v>43009</c:v>
                </c:pt>
                <c:pt idx="34">
                  <c:v>43040</c:v>
                </c:pt>
                <c:pt idx="35">
                  <c:v>43070</c:v>
                </c:pt>
                <c:pt idx="36">
                  <c:v>43101</c:v>
                </c:pt>
                <c:pt idx="37">
                  <c:v>43132</c:v>
                </c:pt>
                <c:pt idx="38">
                  <c:v>43160</c:v>
                </c:pt>
                <c:pt idx="39">
                  <c:v>43191</c:v>
                </c:pt>
                <c:pt idx="40">
                  <c:v>43221</c:v>
                </c:pt>
                <c:pt idx="41">
                  <c:v>43252</c:v>
                </c:pt>
                <c:pt idx="42">
                  <c:v>43282</c:v>
                </c:pt>
                <c:pt idx="43">
                  <c:v>43313</c:v>
                </c:pt>
                <c:pt idx="44">
                  <c:v>43344</c:v>
                </c:pt>
                <c:pt idx="45">
                  <c:v>43374</c:v>
                </c:pt>
                <c:pt idx="46">
                  <c:v>43405</c:v>
                </c:pt>
                <c:pt idx="47">
                  <c:v>43435</c:v>
                </c:pt>
                <c:pt idx="48">
                  <c:v>43466</c:v>
                </c:pt>
                <c:pt idx="49">
                  <c:v>43497</c:v>
                </c:pt>
                <c:pt idx="50">
                  <c:v>43525</c:v>
                </c:pt>
                <c:pt idx="51">
                  <c:v>43556</c:v>
                </c:pt>
                <c:pt idx="52">
                  <c:v>43586</c:v>
                </c:pt>
                <c:pt idx="53">
                  <c:v>43617</c:v>
                </c:pt>
                <c:pt idx="54">
                  <c:v>43647</c:v>
                </c:pt>
                <c:pt idx="55">
                  <c:v>43678</c:v>
                </c:pt>
                <c:pt idx="56">
                  <c:v>43709</c:v>
                </c:pt>
                <c:pt idx="57">
                  <c:v>43739</c:v>
                </c:pt>
                <c:pt idx="58">
                  <c:v>43770</c:v>
                </c:pt>
                <c:pt idx="59">
                  <c:v>43800</c:v>
                </c:pt>
                <c:pt idx="60">
                  <c:v>43831</c:v>
                </c:pt>
                <c:pt idx="61">
                  <c:v>43862</c:v>
                </c:pt>
                <c:pt idx="62">
                  <c:v>43891</c:v>
                </c:pt>
                <c:pt idx="63">
                  <c:v>43922</c:v>
                </c:pt>
                <c:pt idx="64">
                  <c:v>43952</c:v>
                </c:pt>
                <c:pt idx="65">
                  <c:v>43983</c:v>
                </c:pt>
              </c:numCache>
            </c:numRef>
          </c:cat>
          <c:val>
            <c:numRef>
              <c:f>inflación!$S$186:$S$251</c:f>
              <c:numCache>
                <c:formatCode>0.0</c:formatCode>
                <c:ptCount val="66"/>
                <c:pt idx="0">
                  <c:v>4</c:v>
                </c:pt>
                <c:pt idx="1">
                  <c:v>4</c:v>
                </c:pt>
                <c:pt idx="2">
                  <c:v>4</c:v>
                </c:pt>
                <c:pt idx="3">
                  <c:v>4</c:v>
                </c:pt>
                <c:pt idx="4">
                  <c:v>4</c:v>
                </c:pt>
                <c:pt idx="5">
                  <c:v>4</c:v>
                </c:pt>
                <c:pt idx="6">
                  <c:v>4</c:v>
                </c:pt>
                <c:pt idx="7">
                  <c:v>4</c:v>
                </c:pt>
                <c:pt idx="8">
                  <c:v>4</c:v>
                </c:pt>
                <c:pt idx="9">
                  <c:v>4</c:v>
                </c:pt>
                <c:pt idx="10">
                  <c:v>4</c:v>
                </c:pt>
                <c:pt idx="11">
                  <c:v>4</c:v>
                </c:pt>
                <c:pt idx="12">
                  <c:v>4</c:v>
                </c:pt>
                <c:pt idx="13">
                  <c:v>4</c:v>
                </c:pt>
                <c:pt idx="14">
                  <c:v>4</c:v>
                </c:pt>
                <c:pt idx="15">
                  <c:v>4</c:v>
                </c:pt>
                <c:pt idx="16">
                  <c:v>4</c:v>
                </c:pt>
                <c:pt idx="17">
                  <c:v>4</c:v>
                </c:pt>
                <c:pt idx="18">
                  <c:v>4</c:v>
                </c:pt>
                <c:pt idx="19">
                  <c:v>4</c:v>
                </c:pt>
                <c:pt idx="20">
                  <c:v>4</c:v>
                </c:pt>
                <c:pt idx="21">
                  <c:v>4</c:v>
                </c:pt>
                <c:pt idx="22">
                  <c:v>4</c:v>
                </c:pt>
                <c:pt idx="23">
                  <c:v>4</c:v>
                </c:pt>
                <c:pt idx="24">
                  <c:v>4</c:v>
                </c:pt>
                <c:pt idx="25">
                  <c:v>4</c:v>
                </c:pt>
                <c:pt idx="26">
                  <c:v>4</c:v>
                </c:pt>
                <c:pt idx="27">
                  <c:v>4</c:v>
                </c:pt>
                <c:pt idx="28">
                  <c:v>4</c:v>
                </c:pt>
                <c:pt idx="29">
                  <c:v>4</c:v>
                </c:pt>
                <c:pt idx="30">
                  <c:v>4</c:v>
                </c:pt>
                <c:pt idx="31">
                  <c:v>4</c:v>
                </c:pt>
                <c:pt idx="32">
                  <c:v>4</c:v>
                </c:pt>
                <c:pt idx="33">
                  <c:v>4</c:v>
                </c:pt>
                <c:pt idx="34">
                  <c:v>4</c:v>
                </c:pt>
                <c:pt idx="35">
                  <c:v>4</c:v>
                </c:pt>
                <c:pt idx="36">
                  <c:v>4</c:v>
                </c:pt>
                <c:pt idx="37">
                  <c:v>4</c:v>
                </c:pt>
                <c:pt idx="38">
                  <c:v>4</c:v>
                </c:pt>
                <c:pt idx="39">
                  <c:v>4</c:v>
                </c:pt>
                <c:pt idx="40">
                  <c:v>4</c:v>
                </c:pt>
                <c:pt idx="41">
                  <c:v>4</c:v>
                </c:pt>
                <c:pt idx="42">
                  <c:v>4</c:v>
                </c:pt>
                <c:pt idx="43">
                  <c:v>4</c:v>
                </c:pt>
                <c:pt idx="44">
                  <c:v>4</c:v>
                </c:pt>
                <c:pt idx="45">
                  <c:v>4</c:v>
                </c:pt>
                <c:pt idx="46">
                  <c:v>4</c:v>
                </c:pt>
                <c:pt idx="47">
                  <c:v>4</c:v>
                </c:pt>
                <c:pt idx="48">
                  <c:v>4</c:v>
                </c:pt>
                <c:pt idx="49">
                  <c:v>4</c:v>
                </c:pt>
                <c:pt idx="50">
                  <c:v>4</c:v>
                </c:pt>
                <c:pt idx="51">
                  <c:v>4</c:v>
                </c:pt>
                <c:pt idx="52">
                  <c:v>4</c:v>
                </c:pt>
                <c:pt idx="53">
                  <c:v>4</c:v>
                </c:pt>
                <c:pt idx="54">
                  <c:v>4</c:v>
                </c:pt>
                <c:pt idx="55">
                  <c:v>4</c:v>
                </c:pt>
                <c:pt idx="56">
                  <c:v>4</c:v>
                </c:pt>
                <c:pt idx="57">
                  <c:v>4</c:v>
                </c:pt>
                <c:pt idx="58">
                  <c:v>4</c:v>
                </c:pt>
                <c:pt idx="59">
                  <c:v>4</c:v>
                </c:pt>
                <c:pt idx="60">
                  <c:v>4</c:v>
                </c:pt>
                <c:pt idx="61">
                  <c:v>4</c:v>
                </c:pt>
                <c:pt idx="62">
                  <c:v>4</c:v>
                </c:pt>
                <c:pt idx="63">
                  <c:v>4</c:v>
                </c:pt>
                <c:pt idx="64">
                  <c:v>4</c:v>
                </c:pt>
                <c:pt idx="65">
                  <c:v>4</c:v>
                </c:pt>
              </c:numCache>
            </c:numRef>
          </c:val>
          <c:smooth val="0"/>
          <c:extLst xmlns:c16r2="http://schemas.microsoft.com/office/drawing/2015/06/chart">
            <c:ext xmlns:c16="http://schemas.microsoft.com/office/drawing/2014/chart" uri="{C3380CC4-5D6E-409C-BE32-E72D297353CC}">
              <c16:uniqueId val="{00000005-EB41-4AFB-B9EB-86F45C6DB28B}"/>
            </c:ext>
          </c:extLst>
        </c:ser>
        <c:dLbls>
          <c:showLegendKey val="0"/>
          <c:showVal val="0"/>
          <c:showCatName val="0"/>
          <c:showSerName val="0"/>
          <c:showPercent val="0"/>
          <c:showBubbleSize val="0"/>
        </c:dLbls>
        <c:marker val="1"/>
        <c:smooth val="0"/>
        <c:axId val="119370496"/>
        <c:axId val="119372032"/>
      </c:lineChart>
      <c:dateAx>
        <c:axId val="119370496"/>
        <c:scaling>
          <c:orientation val="minMax"/>
          <c:min val="43831"/>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19372032"/>
        <c:crosses val="autoZero"/>
        <c:auto val="1"/>
        <c:lblOffset val="100"/>
        <c:baseTimeUnit val="months"/>
        <c:majorUnit val="1"/>
        <c:majorTimeUnit val="months"/>
      </c:dateAx>
      <c:valAx>
        <c:axId val="119372032"/>
        <c:scaling>
          <c:orientation val="minMax"/>
          <c:max val="6"/>
          <c:min val="1"/>
        </c:scaling>
        <c:delete val="0"/>
        <c:axPos val="l"/>
        <c:majorGridlines>
          <c:spPr>
            <a:ln w="9525" cap="flat" cmpd="sng" algn="ctr">
              <a:solidFill>
                <a:schemeClr val="tx1">
                  <a:alpha val="5000"/>
                </a:schemeClr>
              </a:solidFill>
              <a:round/>
            </a:ln>
            <a:effectLst/>
          </c:spPr>
        </c:majorGridlines>
        <c:title>
          <c:tx>
            <c:rich>
              <a:bodyPr rot="5400000" spcFirstLastPara="1" vertOverflow="ellipsis" wrap="square" anchor="b"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s-GT" sz="900" b="1">
                    <a:solidFill>
                      <a:sysClr val="windowText" lastClr="000000"/>
                    </a:solidFill>
                  </a:rPr>
                  <a:t>En porcentaje </a:t>
                </a:r>
              </a:p>
            </c:rich>
          </c:tx>
          <c:layout>
            <c:manualLayout>
              <c:xMode val="edge"/>
              <c:yMode val="edge"/>
              <c:x val="0.95222389355088444"/>
              <c:y val="0.28941879624201905"/>
            </c:manualLayout>
          </c:layout>
          <c:overlay val="0"/>
          <c:spPr>
            <a:noFill/>
            <a:ln>
              <a:noFill/>
            </a:ln>
            <a:effectLst/>
          </c:spPr>
        </c:title>
        <c:numFmt formatCode="General" sourceLinked="1"/>
        <c:majorTickMark val="none"/>
        <c:minorTickMark val="none"/>
        <c:tickLblPos val="high"/>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19370496"/>
        <c:crosses val="autoZero"/>
        <c:crossBetween val="between"/>
        <c:majorUnit val="1"/>
      </c:valAx>
      <c:spPr>
        <a:noFill/>
        <a:ln>
          <a:noFill/>
        </a:ln>
        <a:effectLst/>
      </c:spPr>
    </c:plotArea>
    <c:legend>
      <c:legendPos val="b"/>
      <c:legendEntry>
        <c:idx val="0"/>
        <c:delete val="1"/>
      </c:legendEntry>
      <c:legendEntry>
        <c:idx val="1"/>
        <c:delete val="1"/>
      </c:legendEntry>
      <c:legendEntry>
        <c:idx val="3"/>
        <c:delete val="1"/>
      </c:legendEntry>
      <c:legendEntry>
        <c:idx val="4"/>
        <c:delete val="1"/>
      </c:legendEntry>
      <c:layout>
        <c:manualLayout>
          <c:xMode val="edge"/>
          <c:yMode val="edge"/>
          <c:x val="1.1544184512280961E-2"/>
          <c:y val="0.91457088990636737"/>
          <c:w val="0.98613464575843479"/>
          <c:h val="8.0454730525071724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2881569850774343E-2"/>
          <c:y val="6.1325788773867775E-2"/>
          <c:w val="0.69264152590805195"/>
          <c:h val="0.71400397065751398"/>
        </c:manualLayout>
      </c:layout>
      <c:lineChart>
        <c:grouping val="standard"/>
        <c:varyColors val="0"/>
        <c:ser>
          <c:idx val="1"/>
          <c:order val="0"/>
          <c:tx>
            <c:strRef>
              <c:f>'expo impo'!$J$18</c:f>
              <c:strCache>
                <c:ptCount val="1"/>
                <c:pt idx="0">
                  <c:v>Remesas</c:v>
                </c:pt>
              </c:strCache>
            </c:strRef>
          </c:tx>
          <c:spPr>
            <a:ln w="28575" cap="rnd">
              <a:solidFill>
                <a:schemeClr val="accent2">
                  <a:lumMod val="75000"/>
                </a:schemeClr>
              </a:solidFill>
              <a:round/>
            </a:ln>
            <a:effectLst/>
          </c:spPr>
          <c:marker>
            <c:symbol val="none"/>
          </c:marker>
          <c:cat>
            <c:numRef>
              <c:f>'expo impo'!$B$31:$B$36</c:f>
              <c:numCache>
                <c:formatCode>mmm\-yy</c:formatCode>
                <c:ptCount val="6"/>
                <c:pt idx="0">
                  <c:v>43831</c:v>
                </c:pt>
                <c:pt idx="1">
                  <c:v>43862</c:v>
                </c:pt>
                <c:pt idx="2">
                  <c:v>43891</c:v>
                </c:pt>
                <c:pt idx="3">
                  <c:v>43922</c:v>
                </c:pt>
                <c:pt idx="4">
                  <c:v>43952</c:v>
                </c:pt>
                <c:pt idx="5">
                  <c:v>43983</c:v>
                </c:pt>
              </c:numCache>
            </c:numRef>
          </c:cat>
          <c:val>
            <c:numRef>
              <c:f>'expo impo'!$K$31:$K$36</c:f>
              <c:numCache>
                <c:formatCode>0.00</c:formatCode>
                <c:ptCount val="6"/>
                <c:pt idx="0">
                  <c:v>57.52</c:v>
                </c:pt>
                <c:pt idx="1">
                  <c:v>50.54</c:v>
                </c:pt>
                <c:pt idx="2">
                  <c:v>29.21</c:v>
                </c:pt>
                <c:pt idx="3">
                  <c:v>16.55</c:v>
                </c:pt>
                <c:pt idx="4">
                  <c:v>28.56</c:v>
                </c:pt>
                <c:pt idx="5">
                  <c:v>38.31</c:v>
                </c:pt>
              </c:numCache>
            </c:numRef>
          </c:val>
          <c:smooth val="1"/>
          <c:extLst xmlns:c16r2="http://schemas.microsoft.com/office/drawing/2015/06/chart">
            <c:ext xmlns:c16="http://schemas.microsoft.com/office/drawing/2014/chart" uri="{C3380CC4-5D6E-409C-BE32-E72D297353CC}">
              <c16:uniqueId val="{00000000-A29A-4309-AD26-95577EE5830B}"/>
            </c:ext>
          </c:extLst>
        </c:ser>
        <c:dLbls>
          <c:showLegendKey val="0"/>
          <c:showVal val="0"/>
          <c:showCatName val="0"/>
          <c:showSerName val="0"/>
          <c:showPercent val="0"/>
          <c:showBubbleSize val="0"/>
        </c:dLbls>
        <c:marker val="1"/>
        <c:smooth val="0"/>
        <c:axId val="119480704"/>
        <c:axId val="119482240"/>
      </c:lineChart>
      <c:dateAx>
        <c:axId val="119480704"/>
        <c:scaling>
          <c:orientation val="minMax"/>
        </c:scaling>
        <c:delete val="0"/>
        <c:axPos val="b"/>
        <c:numFmt formatCode="mmm\-yy"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9482240"/>
        <c:crosses val="autoZero"/>
        <c:auto val="1"/>
        <c:lblOffset val="100"/>
        <c:baseTimeUnit val="months"/>
      </c:dateAx>
      <c:valAx>
        <c:axId val="119482240"/>
        <c:scaling>
          <c:orientation val="minMax"/>
          <c:max val="60"/>
          <c:min val="15"/>
        </c:scaling>
        <c:delete val="0"/>
        <c:axPos val="l"/>
        <c:majorGridlines>
          <c:spPr>
            <a:ln w="9525" cap="flat" cmpd="sng" algn="ctr">
              <a:solidFill>
                <a:schemeClr val="bg1">
                  <a:lumMod val="85000"/>
                  <a:alpha val="50000"/>
                </a:schemeClr>
              </a:solidFill>
              <a:round/>
            </a:ln>
            <a:effectLst/>
          </c:spPr>
        </c:majorGridlines>
        <c:title>
          <c:tx>
            <c:rich>
              <a:bodyPr rot="5400000" vert="horz"/>
              <a:lstStyle/>
              <a:p>
                <a:pPr>
                  <a:defRPr b="1">
                    <a:solidFill>
                      <a:schemeClr val="tx1"/>
                    </a:solidFill>
                    <a:latin typeface="Times New Roman" panose="02020603050405020304" pitchFamily="18" charset="0"/>
                    <a:cs typeface="Times New Roman" panose="02020603050405020304" pitchFamily="18" charset="0"/>
                  </a:defRPr>
                </a:pPr>
                <a:r>
                  <a:rPr lang="es-GT" b="1">
                    <a:solidFill>
                      <a:schemeClr val="tx1"/>
                    </a:solidFill>
                    <a:latin typeface="Times New Roman" panose="02020603050405020304" pitchFamily="18" charset="0"/>
                    <a:cs typeface="Times New Roman" panose="02020603050405020304" pitchFamily="18" charset="0"/>
                  </a:rPr>
                  <a:t>En porcentaje</a:t>
                </a:r>
              </a:p>
            </c:rich>
          </c:tx>
          <c:layout>
            <c:manualLayout>
              <c:xMode val="edge"/>
              <c:yMode val="edge"/>
              <c:x val="0.92515325493688383"/>
              <c:y val="0.31311325172928478"/>
            </c:manualLayout>
          </c:layout>
          <c:overlay val="0"/>
        </c:title>
        <c:numFmt formatCode="0.00" sourceLinked="1"/>
        <c:majorTickMark val="none"/>
        <c:minorTickMark val="none"/>
        <c:tickLblPos val="high"/>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9480704"/>
        <c:crosses val="autoZero"/>
        <c:crossBetween val="between"/>
        <c:majorUnit val="1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pPr>
      <a:endParaRPr lang="es-GT"/>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5443548387096774E-2"/>
          <c:y val="4.8511576626240352E-2"/>
          <c:w val="0.72325692151384302"/>
          <c:h val="0.74272682287371194"/>
        </c:manualLayout>
      </c:layout>
      <c:lineChart>
        <c:grouping val="standard"/>
        <c:varyColors val="0"/>
        <c:ser>
          <c:idx val="0"/>
          <c:order val="0"/>
          <c:spPr>
            <a:ln w="28575" cap="rnd">
              <a:solidFill>
                <a:schemeClr val="accent5">
                  <a:lumMod val="50000"/>
                </a:schemeClr>
              </a:solidFill>
              <a:round/>
            </a:ln>
            <a:effectLst/>
          </c:spPr>
          <c:marker>
            <c:symbol val="none"/>
          </c:marker>
          <c:cat>
            <c:numRef>
              <c:f>Hoja5!$B$4:$B$184</c:f>
              <c:numCache>
                <c:formatCode>d\-mmm</c:formatCode>
                <c:ptCount val="181"/>
                <c:pt idx="0">
                  <c:v>43832</c:v>
                </c:pt>
                <c:pt idx="1">
                  <c:v>43833</c:v>
                </c:pt>
                <c:pt idx="2">
                  <c:v>43834</c:v>
                </c:pt>
                <c:pt idx="3">
                  <c:v>43835</c:v>
                </c:pt>
                <c:pt idx="4">
                  <c:v>43836</c:v>
                </c:pt>
                <c:pt idx="5">
                  <c:v>43837</c:v>
                </c:pt>
                <c:pt idx="6">
                  <c:v>43838</c:v>
                </c:pt>
                <c:pt idx="7">
                  <c:v>43839</c:v>
                </c:pt>
                <c:pt idx="8">
                  <c:v>43840</c:v>
                </c:pt>
                <c:pt idx="9">
                  <c:v>43841</c:v>
                </c:pt>
                <c:pt idx="10">
                  <c:v>43842</c:v>
                </c:pt>
                <c:pt idx="11">
                  <c:v>43843</c:v>
                </c:pt>
                <c:pt idx="12">
                  <c:v>43844</c:v>
                </c:pt>
                <c:pt idx="13">
                  <c:v>43845</c:v>
                </c:pt>
                <c:pt idx="14">
                  <c:v>43846</c:v>
                </c:pt>
                <c:pt idx="15">
                  <c:v>43847</c:v>
                </c:pt>
                <c:pt idx="16">
                  <c:v>43848</c:v>
                </c:pt>
                <c:pt idx="17">
                  <c:v>43849</c:v>
                </c:pt>
                <c:pt idx="18">
                  <c:v>43850</c:v>
                </c:pt>
                <c:pt idx="19">
                  <c:v>43851</c:v>
                </c:pt>
                <c:pt idx="20">
                  <c:v>43852</c:v>
                </c:pt>
                <c:pt idx="21">
                  <c:v>43853</c:v>
                </c:pt>
                <c:pt idx="22">
                  <c:v>43854</c:v>
                </c:pt>
                <c:pt idx="23">
                  <c:v>43855</c:v>
                </c:pt>
                <c:pt idx="24">
                  <c:v>43856</c:v>
                </c:pt>
                <c:pt idx="25">
                  <c:v>43857</c:v>
                </c:pt>
                <c:pt idx="26">
                  <c:v>43858</c:v>
                </c:pt>
                <c:pt idx="27">
                  <c:v>43859</c:v>
                </c:pt>
                <c:pt idx="28">
                  <c:v>43860</c:v>
                </c:pt>
                <c:pt idx="29">
                  <c:v>43861</c:v>
                </c:pt>
                <c:pt idx="30">
                  <c:v>43862</c:v>
                </c:pt>
                <c:pt idx="31">
                  <c:v>43863</c:v>
                </c:pt>
                <c:pt idx="32">
                  <c:v>43864</c:v>
                </c:pt>
                <c:pt idx="33">
                  <c:v>43865</c:v>
                </c:pt>
                <c:pt idx="34">
                  <c:v>43866</c:v>
                </c:pt>
                <c:pt idx="35">
                  <c:v>43867</c:v>
                </c:pt>
                <c:pt idx="36">
                  <c:v>43868</c:v>
                </c:pt>
                <c:pt idx="37">
                  <c:v>43869</c:v>
                </c:pt>
                <c:pt idx="38">
                  <c:v>43870</c:v>
                </c:pt>
                <c:pt idx="39">
                  <c:v>43871</c:v>
                </c:pt>
                <c:pt idx="40">
                  <c:v>43872</c:v>
                </c:pt>
                <c:pt idx="41">
                  <c:v>43873</c:v>
                </c:pt>
                <c:pt idx="42">
                  <c:v>43874</c:v>
                </c:pt>
                <c:pt idx="43">
                  <c:v>43875</c:v>
                </c:pt>
                <c:pt idx="44">
                  <c:v>43876</c:v>
                </c:pt>
                <c:pt idx="45">
                  <c:v>43877</c:v>
                </c:pt>
                <c:pt idx="46">
                  <c:v>43878</c:v>
                </c:pt>
                <c:pt idx="47">
                  <c:v>43879</c:v>
                </c:pt>
                <c:pt idx="48">
                  <c:v>43880</c:v>
                </c:pt>
                <c:pt idx="49">
                  <c:v>43881</c:v>
                </c:pt>
                <c:pt idx="50">
                  <c:v>43882</c:v>
                </c:pt>
                <c:pt idx="51">
                  <c:v>43883</c:v>
                </c:pt>
                <c:pt idx="52">
                  <c:v>43884</c:v>
                </c:pt>
                <c:pt idx="53">
                  <c:v>43885</c:v>
                </c:pt>
                <c:pt idx="54">
                  <c:v>43886</c:v>
                </c:pt>
                <c:pt idx="55">
                  <c:v>43887</c:v>
                </c:pt>
                <c:pt idx="56">
                  <c:v>43888</c:v>
                </c:pt>
                <c:pt idx="57">
                  <c:v>43889</c:v>
                </c:pt>
                <c:pt idx="58">
                  <c:v>43890</c:v>
                </c:pt>
                <c:pt idx="59">
                  <c:v>43891</c:v>
                </c:pt>
                <c:pt idx="60">
                  <c:v>43892</c:v>
                </c:pt>
                <c:pt idx="61">
                  <c:v>43893</c:v>
                </c:pt>
                <c:pt idx="62">
                  <c:v>43894</c:v>
                </c:pt>
                <c:pt idx="63">
                  <c:v>43895</c:v>
                </c:pt>
                <c:pt idx="64">
                  <c:v>43896</c:v>
                </c:pt>
                <c:pt idx="65">
                  <c:v>43897</c:v>
                </c:pt>
                <c:pt idx="66">
                  <c:v>43898</c:v>
                </c:pt>
                <c:pt idx="67">
                  <c:v>43899</c:v>
                </c:pt>
                <c:pt idx="68">
                  <c:v>43900</c:v>
                </c:pt>
                <c:pt idx="69">
                  <c:v>43901</c:v>
                </c:pt>
                <c:pt idx="70">
                  <c:v>43902</c:v>
                </c:pt>
                <c:pt idx="71">
                  <c:v>43903</c:v>
                </c:pt>
                <c:pt idx="72">
                  <c:v>43904</c:v>
                </c:pt>
                <c:pt idx="73">
                  <c:v>43905</c:v>
                </c:pt>
                <c:pt idx="74">
                  <c:v>43906</c:v>
                </c:pt>
                <c:pt idx="75">
                  <c:v>43907</c:v>
                </c:pt>
                <c:pt idx="76">
                  <c:v>43908</c:v>
                </c:pt>
                <c:pt idx="77">
                  <c:v>43909</c:v>
                </c:pt>
                <c:pt idx="78">
                  <c:v>43910</c:v>
                </c:pt>
                <c:pt idx="79">
                  <c:v>43911</c:v>
                </c:pt>
                <c:pt idx="80">
                  <c:v>43912</c:v>
                </c:pt>
                <c:pt idx="81">
                  <c:v>43913</c:v>
                </c:pt>
                <c:pt idx="82">
                  <c:v>43914</c:v>
                </c:pt>
                <c:pt idx="83">
                  <c:v>43915</c:v>
                </c:pt>
                <c:pt idx="84">
                  <c:v>43916</c:v>
                </c:pt>
                <c:pt idx="85">
                  <c:v>43917</c:v>
                </c:pt>
                <c:pt idx="86">
                  <c:v>43918</c:v>
                </c:pt>
                <c:pt idx="87">
                  <c:v>43919</c:v>
                </c:pt>
                <c:pt idx="88">
                  <c:v>43920</c:v>
                </c:pt>
                <c:pt idx="89">
                  <c:v>43921</c:v>
                </c:pt>
                <c:pt idx="90">
                  <c:v>43922</c:v>
                </c:pt>
                <c:pt idx="91">
                  <c:v>43923</c:v>
                </c:pt>
                <c:pt idx="92">
                  <c:v>43924</c:v>
                </c:pt>
                <c:pt idx="93">
                  <c:v>43925</c:v>
                </c:pt>
                <c:pt idx="94">
                  <c:v>43926</c:v>
                </c:pt>
                <c:pt idx="95">
                  <c:v>43927</c:v>
                </c:pt>
                <c:pt idx="96">
                  <c:v>43928</c:v>
                </c:pt>
                <c:pt idx="97">
                  <c:v>43929</c:v>
                </c:pt>
                <c:pt idx="98">
                  <c:v>43930</c:v>
                </c:pt>
                <c:pt idx="99">
                  <c:v>43931</c:v>
                </c:pt>
                <c:pt idx="100">
                  <c:v>43932</c:v>
                </c:pt>
                <c:pt idx="101">
                  <c:v>43933</c:v>
                </c:pt>
                <c:pt idx="102">
                  <c:v>43934</c:v>
                </c:pt>
                <c:pt idx="103">
                  <c:v>43935</c:v>
                </c:pt>
                <c:pt idx="104">
                  <c:v>43936</c:v>
                </c:pt>
                <c:pt idx="105">
                  <c:v>43937</c:v>
                </c:pt>
                <c:pt idx="106">
                  <c:v>43938</c:v>
                </c:pt>
                <c:pt idx="107">
                  <c:v>43939</c:v>
                </c:pt>
                <c:pt idx="108">
                  <c:v>43940</c:v>
                </c:pt>
                <c:pt idx="109">
                  <c:v>43941</c:v>
                </c:pt>
                <c:pt idx="110">
                  <c:v>43942</c:v>
                </c:pt>
                <c:pt idx="111">
                  <c:v>43943</c:v>
                </c:pt>
                <c:pt idx="112">
                  <c:v>43944</c:v>
                </c:pt>
                <c:pt idx="113">
                  <c:v>43945</c:v>
                </c:pt>
                <c:pt idx="114">
                  <c:v>43946</c:v>
                </c:pt>
                <c:pt idx="115">
                  <c:v>43947</c:v>
                </c:pt>
                <c:pt idx="116">
                  <c:v>43948</c:v>
                </c:pt>
                <c:pt idx="117">
                  <c:v>43949</c:v>
                </c:pt>
                <c:pt idx="118">
                  <c:v>43950</c:v>
                </c:pt>
                <c:pt idx="119">
                  <c:v>43951</c:v>
                </c:pt>
                <c:pt idx="120">
                  <c:v>43952</c:v>
                </c:pt>
                <c:pt idx="121">
                  <c:v>43953</c:v>
                </c:pt>
                <c:pt idx="122">
                  <c:v>43954</c:v>
                </c:pt>
                <c:pt idx="123">
                  <c:v>43955</c:v>
                </c:pt>
                <c:pt idx="124">
                  <c:v>43956</c:v>
                </c:pt>
                <c:pt idx="125">
                  <c:v>43957</c:v>
                </c:pt>
                <c:pt idx="126">
                  <c:v>43958</c:v>
                </c:pt>
                <c:pt idx="127">
                  <c:v>43959</c:v>
                </c:pt>
                <c:pt idx="128">
                  <c:v>43960</c:v>
                </c:pt>
                <c:pt idx="129">
                  <c:v>43961</c:v>
                </c:pt>
                <c:pt idx="130">
                  <c:v>43962</c:v>
                </c:pt>
                <c:pt idx="131">
                  <c:v>43963</c:v>
                </c:pt>
                <c:pt idx="132">
                  <c:v>43964</c:v>
                </c:pt>
                <c:pt idx="133">
                  <c:v>43965</c:v>
                </c:pt>
                <c:pt idx="134">
                  <c:v>43966</c:v>
                </c:pt>
                <c:pt idx="135">
                  <c:v>43967</c:v>
                </c:pt>
                <c:pt idx="136">
                  <c:v>43968</c:v>
                </c:pt>
                <c:pt idx="137">
                  <c:v>43969</c:v>
                </c:pt>
                <c:pt idx="138">
                  <c:v>43970</c:v>
                </c:pt>
                <c:pt idx="139">
                  <c:v>43971</c:v>
                </c:pt>
                <c:pt idx="140">
                  <c:v>43972</c:v>
                </c:pt>
                <c:pt idx="141">
                  <c:v>43973</c:v>
                </c:pt>
                <c:pt idx="142">
                  <c:v>43974</c:v>
                </c:pt>
                <c:pt idx="143">
                  <c:v>43975</c:v>
                </c:pt>
                <c:pt idx="144">
                  <c:v>43976</c:v>
                </c:pt>
                <c:pt idx="145">
                  <c:v>43977</c:v>
                </c:pt>
                <c:pt idx="146">
                  <c:v>43978</c:v>
                </c:pt>
                <c:pt idx="147">
                  <c:v>43979</c:v>
                </c:pt>
                <c:pt idx="148">
                  <c:v>43980</c:v>
                </c:pt>
                <c:pt idx="149">
                  <c:v>43981</c:v>
                </c:pt>
                <c:pt idx="150">
                  <c:v>43982</c:v>
                </c:pt>
                <c:pt idx="151">
                  <c:v>43983</c:v>
                </c:pt>
                <c:pt idx="152">
                  <c:v>43984</c:v>
                </c:pt>
                <c:pt idx="153">
                  <c:v>43985</c:v>
                </c:pt>
                <c:pt idx="154">
                  <c:v>43986</c:v>
                </c:pt>
                <c:pt idx="155">
                  <c:v>43987</c:v>
                </c:pt>
                <c:pt idx="156">
                  <c:v>43988</c:v>
                </c:pt>
                <c:pt idx="157">
                  <c:v>43989</c:v>
                </c:pt>
                <c:pt idx="158">
                  <c:v>43990</c:v>
                </c:pt>
                <c:pt idx="159">
                  <c:v>43991</c:v>
                </c:pt>
                <c:pt idx="160">
                  <c:v>43992</c:v>
                </c:pt>
                <c:pt idx="161">
                  <c:v>43993</c:v>
                </c:pt>
                <c:pt idx="162">
                  <c:v>43994</c:v>
                </c:pt>
                <c:pt idx="163">
                  <c:v>43995</c:v>
                </c:pt>
                <c:pt idx="164">
                  <c:v>43996</c:v>
                </c:pt>
                <c:pt idx="165">
                  <c:v>43997</c:v>
                </c:pt>
                <c:pt idx="166">
                  <c:v>43998</c:v>
                </c:pt>
                <c:pt idx="167">
                  <c:v>43999</c:v>
                </c:pt>
                <c:pt idx="168">
                  <c:v>44000</c:v>
                </c:pt>
                <c:pt idx="169">
                  <c:v>44001</c:v>
                </c:pt>
                <c:pt idx="170">
                  <c:v>44002</c:v>
                </c:pt>
                <c:pt idx="171">
                  <c:v>44003</c:v>
                </c:pt>
                <c:pt idx="172">
                  <c:v>44004</c:v>
                </c:pt>
                <c:pt idx="173">
                  <c:v>44005</c:v>
                </c:pt>
                <c:pt idx="174">
                  <c:v>44006</c:v>
                </c:pt>
                <c:pt idx="175">
                  <c:v>44007</c:v>
                </c:pt>
                <c:pt idx="176">
                  <c:v>44008</c:v>
                </c:pt>
                <c:pt idx="177">
                  <c:v>44009</c:v>
                </c:pt>
                <c:pt idx="178">
                  <c:v>44010</c:v>
                </c:pt>
                <c:pt idx="179">
                  <c:v>44011</c:v>
                </c:pt>
                <c:pt idx="180">
                  <c:v>44012</c:v>
                </c:pt>
              </c:numCache>
            </c:numRef>
          </c:cat>
          <c:val>
            <c:numRef>
              <c:f>Hoja5!$C$4:$C$184</c:f>
              <c:numCache>
                <c:formatCode>0.00</c:formatCode>
                <c:ptCount val="181"/>
                <c:pt idx="0">
                  <c:v>7.6990999999999996</c:v>
                </c:pt>
                <c:pt idx="1">
                  <c:v>7.7071100000000001</c:v>
                </c:pt>
                <c:pt idx="2">
                  <c:v>7.7071100000000001</c:v>
                </c:pt>
                <c:pt idx="3">
                  <c:v>7.7071100000000001</c:v>
                </c:pt>
                <c:pt idx="4">
                  <c:v>7.7071500000000004</c:v>
                </c:pt>
                <c:pt idx="5">
                  <c:v>7.7070400000000001</c:v>
                </c:pt>
                <c:pt idx="6">
                  <c:v>7.7101699999999997</c:v>
                </c:pt>
                <c:pt idx="7">
                  <c:v>7.71434</c:v>
                </c:pt>
                <c:pt idx="8">
                  <c:v>7.7136199999999997</c:v>
                </c:pt>
                <c:pt idx="9">
                  <c:v>7.7136199999999997</c:v>
                </c:pt>
                <c:pt idx="10">
                  <c:v>7.7136199999999997</c:v>
                </c:pt>
                <c:pt idx="11">
                  <c:v>7.7104299999999997</c:v>
                </c:pt>
                <c:pt idx="12">
                  <c:v>7.7062900000000001</c:v>
                </c:pt>
                <c:pt idx="13">
                  <c:v>7.7018300000000002</c:v>
                </c:pt>
                <c:pt idx="14">
                  <c:v>7.6969500000000002</c:v>
                </c:pt>
                <c:pt idx="15">
                  <c:v>7.6944100000000004</c:v>
                </c:pt>
                <c:pt idx="16">
                  <c:v>7.6944100000000004</c:v>
                </c:pt>
                <c:pt idx="17">
                  <c:v>7.6944100000000004</c:v>
                </c:pt>
                <c:pt idx="18">
                  <c:v>7.69116</c:v>
                </c:pt>
                <c:pt idx="19">
                  <c:v>7.6906100000000004</c:v>
                </c:pt>
                <c:pt idx="20">
                  <c:v>7.6881700000000004</c:v>
                </c:pt>
                <c:pt idx="21">
                  <c:v>7.6866700000000003</c:v>
                </c:pt>
                <c:pt idx="22">
                  <c:v>7.6836200000000003</c:v>
                </c:pt>
                <c:pt idx="23">
                  <c:v>7.6836200000000003</c:v>
                </c:pt>
                <c:pt idx="24">
                  <c:v>7.6836200000000003</c:v>
                </c:pt>
                <c:pt idx="25">
                  <c:v>7.6756200000000003</c:v>
                </c:pt>
                <c:pt idx="26">
                  <c:v>7.6779000000000002</c:v>
                </c:pt>
                <c:pt idx="27">
                  <c:v>7.67272</c:v>
                </c:pt>
                <c:pt idx="28">
                  <c:v>7.6685999999999996</c:v>
                </c:pt>
                <c:pt idx="29">
                  <c:v>7.6640100000000002</c:v>
                </c:pt>
                <c:pt idx="30">
                  <c:v>7.6640100000000002</c:v>
                </c:pt>
                <c:pt idx="31">
                  <c:v>7.6640100000000002</c:v>
                </c:pt>
                <c:pt idx="32">
                  <c:v>7.6582699999999999</c:v>
                </c:pt>
                <c:pt idx="33">
                  <c:v>7.6522399999999999</c:v>
                </c:pt>
                <c:pt idx="34">
                  <c:v>7.6454899999999997</c:v>
                </c:pt>
                <c:pt idx="35">
                  <c:v>7.6462599999999998</c:v>
                </c:pt>
                <c:pt idx="36">
                  <c:v>7.6485099999999999</c:v>
                </c:pt>
                <c:pt idx="37">
                  <c:v>7.6485099999999999</c:v>
                </c:pt>
                <c:pt idx="38">
                  <c:v>7.6485099999999999</c:v>
                </c:pt>
                <c:pt idx="39">
                  <c:v>7.6465800000000002</c:v>
                </c:pt>
                <c:pt idx="40">
                  <c:v>7.64377</c:v>
                </c:pt>
                <c:pt idx="41">
                  <c:v>7.6412000000000004</c:v>
                </c:pt>
                <c:pt idx="42">
                  <c:v>7.6381100000000002</c:v>
                </c:pt>
                <c:pt idx="43">
                  <c:v>7.6363599999999998</c:v>
                </c:pt>
                <c:pt idx="44">
                  <c:v>7.6363599999999998</c:v>
                </c:pt>
                <c:pt idx="45">
                  <c:v>7.6363599999999998</c:v>
                </c:pt>
                <c:pt idx="46">
                  <c:v>7.6339499999999996</c:v>
                </c:pt>
                <c:pt idx="47">
                  <c:v>7.6391</c:v>
                </c:pt>
                <c:pt idx="48">
                  <c:v>7.6388299999999996</c:v>
                </c:pt>
                <c:pt idx="49">
                  <c:v>7.6421799999999998</c:v>
                </c:pt>
                <c:pt idx="50">
                  <c:v>7.6439300000000001</c:v>
                </c:pt>
                <c:pt idx="51">
                  <c:v>7.6439300000000001</c:v>
                </c:pt>
                <c:pt idx="52">
                  <c:v>7.6439300000000001</c:v>
                </c:pt>
                <c:pt idx="53">
                  <c:v>7.6431899999999997</c:v>
                </c:pt>
                <c:pt idx="54">
                  <c:v>7.6461600000000001</c:v>
                </c:pt>
                <c:pt idx="55">
                  <c:v>7.6520200000000003</c:v>
                </c:pt>
                <c:pt idx="56">
                  <c:v>7.6692799999999997</c:v>
                </c:pt>
                <c:pt idx="57">
                  <c:v>7.6788400000000001</c:v>
                </c:pt>
                <c:pt idx="58">
                  <c:v>7.6788400000000001</c:v>
                </c:pt>
                <c:pt idx="59">
                  <c:v>7.6788400000000001</c:v>
                </c:pt>
                <c:pt idx="60">
                  <c:v>7.68058</c:v>
                </c:pt>
                <c:pt idx="61">
                  <c:v>7.6745400000000004</c:v>
                </c:pt>
                <c:pt idx="62">
                  <c:v>7.67279</c:v>
                </c:pt>
                <c:pt idx="63">
                  <c:v>7.6758100000000002</c:v>
                </c:pt>
                <c:pt idx="64">
                  <c:v>7.6702399999999997</c:v>
                </c:pt>
                <c:pt idx="65">
                  <c:v>7.6702399999999997</c:v>
                </c:pt>
                <c:pt idx="66">
                  <c:v>7.6702399999999997</c:v>
                </c:pt>
                <c:pt idx="67">
                  <c:v>7.6727800000000004</c:v>
                </c:pt>
                <c:pt idx="68">
                  <c:v>7.6655499999999996</c:v>
                </c:pt>
                <c:pt idx="69">
                  <c:v>7.6602100000000002</c:v>
                </c:pt>
                <c:pt idx="70">
                  <c:v>7.6538500000000003</c:v>
                </c:pt>
                <c:pt idx="71">
                  <c:v>7.6504000000000003</c:v>
                </c:pt>
                <c:pt idx="72">
                  <c:v>7.6504000000000003</c:v>
                </c:pt>
                <c:pt idx="73">
                  <c:v>7.6504000000000003</c:v>
                </c:pt>
                <c:pt idx="74">
                  <c:v>7.6467799999999997</c:v>
                </c:pt>
                <c:pt idx="75">
                  <c:v>7.6435500000000003</c:v>
                </c:pt>
                <c:pt idx="76">
                  <c:v>7.6407600000000002</c:v>
                </c:pt>
                <c:pt idx="77">
                  <c:v>7.6364299999999998</c:v>
                </c:pt>
                <c:pt idx="78">
                  <c:v>7.6430100000000003</c:v>
                </c:pt>
                <c:pt idx="79">
                  <c:v>7.6430100000000003</c:v>
                </c:pt>
                <c:pt idx="80">
                  <c:v>7.6430100000000003</c:v>
                </c:pt>
                <c:pt idx="81">
                  <c:v>7.6747399999999999</c:v>
                </c:pt>
                <c:pt idx="82">
                  <c:v>7.7521300000000002</c:v>
                </c:pt>
                <c:pt idx="83">
                  <c:v>7.9279299999999999</c:v>
                </c:pt>
                <c:pt idx="84">
                  <c:v>7.79488</c:v>
                </c:pt>
                <c:pt idx="85">
                  <c:v>7.7459100000000003</c:v>
                </c:pt>
                <c:pt idx="86">
                  <c:v>7.7459100000000003</c:v>
                </c:pt>
                <c:pt idx="87">
                  <c:v>7.7459100000000003</c:v>
                </c:pt>
                <c:pt idx="88">
                  <c:v>7.71441</c:v>
                </c:pt>
                <c:pt idx="89">
                  <c:v>7.6846699999999997</c:v>
                </c:pt>
                <c:pt idx="90">
                  <c:v>7.6977399999999996</c:v>
                </c:pt>
                <c:pt idx="91">
                  <c:v>7.7015900000000004</c:v>
                </c:pt>
                <c:pt idx="92">
                  <c:v>7.6988099999999999</c:v>
                </c:pt>
                <c:pt idx="93">
                  <c:v>7.6988099999999999</c:v>
                </c:pt>
                <c:pt idx="94">
                  <c:v>7.6988099999999999</c:v>
                </c:pt>
                <c:pt idx="95">
                  <c:v>7.7162899999999999</c:v>
                </c:pt>
                <c:pt idx="96">
                  <c:v>7.7077900000000001</c:v>
                </c:pt>
                <c:pt idx="97">
                  <c:v>7.7058499999999999</c:v>
                </c:pt>
                <c:pt idx="98">
                  <c:v>7.7058499999999999</c:v>
                </c:pt>
                <c:pt idx="99">
                  <c:v>7.7058499999999999</c:v>
                </c:pt>
                <c:pt idx="100">
                  <c:v>7.7058499999999999</c:v>
                </c:pt>
                <c:pt idx="101">
                  <c:v>7.7058499999999999</c:v>
                </c:pt>
                <c:pt idx="102">
                  <c:v>7.7065900000000003</c:v>
                </c:pt>
                <c:pt idx="103">
                  <c:v>7.7063699999999997</c:v>
                </c:pt>
                <c:pt idx="104">
                  <c:v>7.7074800000000003</c:v>
                </c:pt>
                <c:pt idx="105">
                  <c:v>7.7085600000000003</c:v>
                </c:pt>
                <c:pt idx="106">
                  <c:v>7.7103099999999998</c:v>
                </c:pt>
                <c:pt idx="107">
                  <c:v>7.7103099999999998</c:v>
                </c:pt>
                <c:pt idx="108">
                  <c:v>7.7103099999999998</c:v>
                </c:pt>
                <c:pt idx="109">
                  <c:v>7.7070699999999999</c:v>
                </c:pt>
                <c:pt idx="110">
                  <c:v>7.7104699999999999</c:v>
                </c:pt>
                <c:pt idx="111">
                  <c:v>7.7109899999999998</c:v>
                </c:pt>
                <c:pt idx="112">
                  <c:v>7.7087599999999998</c:v>
                </c:pt>
                <c:pt idx="113">
                  <c:v>7.7121000000000004</c:v>
                </c:pt>
                <c:pt idx="114">
                  <c:v>7.7121000000000004</c:v>
                </c:pt>
                <c:pt idx="115">
                  <c:v>7.7121000000000004</c:v>
                </c:pt>
                <c:pt idx="116">
                  <c:v>7.7043499999999998</c:v>
                </c:pt>
                <c:pt idx="117">
                  <c:v>7.7067699999999997</c:v>
                </c:pt>
                <c:pt idx="118">
                  <c:v>7.7140199999999997</c:v>
                </c:pt>
                <c:pt idx="119">
                  <c:v>7.71244</c:v>
                </c:pt>
                <c:pt idx="120">
                  <c:v>7.71244</c:v>
                </c:pt>
                <c:pt idx="121">
                  <c:v>7.71244</c:v>
                </c:pt>
                <c:pt idx="122">
                  <c:v>7.71244</c:v>
                </c:pt>
                <c:pt idx="123">
                  <c:v>7.7098899999999997</c:v>
                </c:pt>
                <c:pt idx="124">
                  <c:v>7.7069400000000003</c:v>
                </c:pt>
                <c:pt idx="125">
                  <c:v>7.7055199999999999</c:v>
                </c:pt>
                <c:pt idx="126">
                  <c:v>7.7041199999999996</c:v>
                </c:pt>
                <c:pt idx="127">
                  <c:v>7.7031900000000002</c:v>
                </c:pt>
                <c:pt idx="128">
                  <c:v>7.7031900000000002</c:v>
                </c:pt>
                <c:pt idx="129">
                  <c:v>7.7031900000000002</c:v>
                </c:pt>
                <c:pt idx="130">
                  <c:v>7.7027900000000002</c:v>
                </c:pt>
                <c:pt idx="131">
                  <c:v>7.6960100000000002</c:v>
                </c:pt>
                <c:pt idx="132">
                  <c:v>7.6979100000000003</c:v>
                </c:pt>
                <c:pt idx="133">
                  <c:v>7.6970999999999998</c:v>
                </c:pt>
                <c:pt idx="134">
                  <c:v>7.6993200000000002</c:v>
                </c:pt>
                <c:pt idx="135">
                  <c:v>7.6993200000000002</c:v>
                </c:pt>
                <c:pt idx="136">
                  <c:v>7.6993200000000002</c:v>
                </c:pt>
                <c:pt idx="137">
                  <c:v>7.6993200000000002</c:v>
                </c:pt>
                <c:pt idx="138">
                  <c:v>7.6944100000000004</c:v>
                </c:pt>
                <c:pt idx="139">
                  <c:v>7.6955099999999996</c:v>
                </c:pt>
                <c:pt idx="140">
                  <c:v>7.6928700000000001</c:v>
                </c:pt>
                <c:pt idx="141">
                  <c:v>7.6920299999999999</c:v>
                </c:pt>
                <c:pt idx="142">
                  <c:v>7.6920299999999999</c:v>
                </c:pt>
                <c:pt idx="143">
                  <c:v>7.6920299999999999</c:v>
                </c:pt>
                <c:pt idx="144">
                  <c:v>7.6934699999999996</c:v>
                </c:pt>
                <c:pt idx="145">
                  <c:v>7.6890999999999998</c:v>
                </c:pt>
                <c:pt idx="146">
                  <c:v>7.6921600000000003</c:v>
                </c:pt>
                <c:pt idx="147">
                  <c:v>7.6915300000000002</c:v>
                </c:pt>
                <c:pt idx="148">
                  <c:v>7.6894900000000002</c:v>
                </c:pt>
                <c:pt idx="149">
                  <c:v>7.6894900000000002</c:v>
                </c:pt>
                <c:pt idx="150">
                  <c:v>7.6894900000000002</c:v>
                </c:pt>
                <c:pt idx="151">
                  <c:v>7.6896199999999997</c:v>
                </c:pt>
                <c:pt idx="152">
                  <c:v>7.6859599999999997</c:v>
                </c:pt>
                <c:pt idx="153">
                  <c:v>7.6857100000000003</c:v>
                </c:pt>
                <c:pt idx="154">
                  <c:v>7.6835000000000004</c:v>
                </c:pt>
                <c:pt idx="155">
                  <c:v>7.6854100000000001</c:v>
                </c:pt>
                <c:pt idx="156">
                  <c:v>7.6854100000000001</c:v>
                </c:pt>
                <c:pt idx="157">
                  <c:v>7.6854100000000001</c:v>
                </c:pt>
                <c:pt idx="158">
                  <c:v>7.6882900000000003</c:v>
                </c:pt>
                <c:pt idx="159">
                  <c:v>7.6892300000000002</c:v>
                </c:pt>
                <c:pt idx="160">
                  <c:v>7.6928799999999997</c:v>
                </c:pt>
                <c:pt idx="161">
                  <c:v>7.6956300000000004</c:v>
                </c:pt>
                <c:pt idx="162">
                  <c:v>7.7004099999999998</c:v>
                </c:pt>
                <c:pt idx="163">
                  <c:v>7.7004099999999998</c:v>
                </c:pt>
                <c:pt idx="164">
                  <c:v>7.7004099999999998</c:v>
                </c:pt>
                <c:pt idx="165">
                  <c:v>7.7026199999999996</c:v>
                </c:pt>
                <c:pt idx="166">
                  <c:v>7.7079199999999997</c:v>
                </c:pt>
                <c:pt idx="167">
                  <c:v>7.7046400000000004</c:v>
                </c:pt>
                <c:pt idx="168">
                  <c:v>7.7064599999999999</c:v>
                </c:pt>
                <c:pt idx="169">
                  <c:v>7.7086699999999997</c:v>
                </c:pt>
                <c:pt idx="170">
                  <c:v>7.7086699999999997</c:v>
                </c:pt>
                <c:pt idx="171">
                  <c:v>7.7086699999999997</c:v>
                </c:pt>
                <c:pt idx="172">
                  <c:v>7.7035900000000002</c:v>
                </c:pt>
                <c:pt idx="173">
                  <c:v>7.6988899999999996</c:v>
                </c:pt>
                <c:pt idx="174">
                  <c:v>7.7027999999999999</c:v>
                </c:pt>
                <c:pt idx="175">
                  <c:v>7.7002800000000002</c:v>
                </c:pt>
                <c:pt idx="176">
                  <c:v>7.7002600000000001</c:v>
                </c:pt>
                <c:pt idx="177">
                  <c:v>7.7002600000000001</c:v>
                </c:pt>
                <c:pt idx="178">
                  <c:v>7.7002600000000001</c:v>
                </c:pt>
                <c:pt idx="179">
                  <c:v>7.7002600000000001</c:v>
                </c:pt>
                <c:pt idx="180">
                  <c:v>7.7002600000000001</c:v>
                </c:pt>
              </c:numCache>
            </c:numRef>
          </c:val>
          <c:smooth val="1"/>
          <c:extLst xmlns:c16r2="http://schemas.microsoft.com/office/drawing/2015/06/chart">
            <c:ext xmlns:c16="http://schemas.microsoft.com/office/drawing/2014/chart" uri="{C3380CC4-5D6E-409C-BE32-E72D297353CC}">
              <c16:uniqueId val="{00000000-A530-486B-A79D-676054DA3FDB}"/>
            </c:ext>
          </c:extLst>
        </c:ser>
        <c:dLbls>
          <c:showLegendKey val="0"/>
          <c:showVal val="0"/>
          <c:showCatName val="0"/>
          <c:showSerName val="0"/>
          <c:showPercent val="0"/>
          <c:showBubbleSize val="0"/>
        </c:dLbls>
        <c:marker val="1"/>
        <c:smooth val="0"/>
        <c:axId val="119499008"/>
        <c:axId val="119513088"/>
      </c:lineChart>
      <c:dateAx>
        <c:axId val="119499008"/>
        <c:scaling>
          <c:orientation val="minMax"/>
        </c:scaling>
        <c:delete val="0"/>
        <c:axPos val="b"/>
        <c:numFmt formatCode="d\-mmm" sourceLinked="1"/>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9513088"/>
        <c:crosses val="autoZero"/>
        <c:auto val="1"/>
        <c:lblOffset val="100"/>
        <c:baseTimeUnit val="days"/>
        <c:majorUnit val="20"/>
        <c:majorTimeUnit val="days"/>
      </c:dateAx>
      <c:valAx>
        <c:axId val="119513088"/>
        <c:scaling>
          <c:orientation val="minMax"/>
          <c:min val="7.6"/>
        </c:scaling>
        <c:delete val="0"/>
        <c:axPos val="l"/>
        <c:majorGridlines>
          <c:spPr>
            <a:ln w="9525" cap="flat" cmpd="sng" algn="ctr">
              <a:solidFill>
                <a:schemeClr val="bg1">
                  <a:lumMod val="85000"/>
                  <a:alpha val="50000"/>
                </a:schemeClr>
              </a:solidFill>
              <a:round/>
            </a:ln>
            <a:effectLst/>
          </c:spPr>
        </c:majorGridlines>
        <c:title>
          <c:tx>
            <c:rich>
              <a:bodyPr rot="5400000" vert="horz"/>
              <a:lstStyle/>
              <a:p>
                <a:pPr>
                  <a:defRPr b="1">
                    <a:solidFill>
                      <a:schemeClr val="tx1"/>
                    </a:solidFill>
                    <a:latin typeface="Times New Roman" panose="02020603050405020304" pitchFamily="18" charset="0"/>
                    <a:cs typeface="Times New Roman" panose="02020603050405020304" pitchFamily="18" charset="0"/>
                  </a:defRPr>
                </a:pPr>
                <a:r>
                  <a:rPr lang="es-GT" b="1">
                    <a:solidFill>
                      <a:schemeClr val="tx1"/>
                    </a:solidFill>
                    <a:latin typeface="Times New Roman" panose="02020603050405020304" pitchFamily="18" charset="0"/>
                    <a:cs typeface="Times New Roman" panose="02020603050405020304" pitchFamily="18" charset="0"/>
                  </a:rPr>
                  <a:t>En porcentaje</a:t>
                </a:r>
              </a:p>
            </c:rich>
          </c:tx>
          <c:layout>
            <c:manualLayout>
              <c:xMode val="edge"/>
              <c:yMode val="edge"/>
              <c:x val="0.93006575809297221"/>
              <c:y val="0.32900939747031727"/>
            </c:manualLayout>
          </c:layout>
          <c:overlay val="0"/>
        </c:title>
        <c:numFmt formatCode="0.00" sourceLinked="1"/>
        <c:majorTickMark val="none"/>
        <c:minorTickMark val="none"/>
        <c:tickLblPos val="high"/>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11949900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a:solidFill>
            <a:schemeClr val="accent3">
              <a:lumMod val="75000"/>
            </a:schemeClr>
          </a:solidFill>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613124630607614"/>
          <c:y val="5.2770448548812667E-2"/>
          <c:w val="0.84835624360514261"/>
          <c:h val="0.66094023567274762"/>
        </c:manualLayout>
      </c:layout>
      <c:lineChart>
        <c:grouping val="standard"/>
        <c:varyColors val="0"/>
        <c:ser>
          <c:idx val="0"/>
          <c:order val="0"/>
          <c:tx>
            <c:strRef>
              <c:f>Hoja1!$B$1</c:f>
              <c:strCache>
                <c:ptCount val="1"/>
                <c:pt idx="0">
                  <c:v>Obs-Pres</c:v>
                </c:pt>
              </c:strCache>
            </c:strRef>
          </c:tx>
          <c:spPr>
            <a:ln w="22225" cap="rnd">
              <a:solidFill>
                <a:schemeClr val="tx1"/>
              </a:solidFill>
              <a:prstDash val="sysDot"/>
              <a:round/>
            </a:ln>
            <a:effectLst>
              <a:glow rad="38100">
                <a:schemeClr val="accent6">
                  <a:satMod val="175000"/>
                  <a:alpha val="40000"/>
                </a:schemeClr>
              </a:glow>
            </a:effectLst>
          </c:spPr>
          <c:marker>
            <c:symbol val="circle"/>
            <c:size val="5"/>
            <c:spPr>
              <a:solidFill>
                <a:schemeClr val="lt1"/>
              </a:solidFill>
              <a:ln w="15875">
                <a:solidFill>
                  <a:schemeClr val="accent1"/>
                </a:solidFill>
                <a:round/>
              </a:ln>
              <a:effectLst>
                <a:glow rad="38100">
                  <a:schemeClr val="accent6">
                    <a:satMod val="175000"/>
                    <a:alpha val="40000"/>
                  </a:schemeClr>
                </a:glow>
              </a:effectLst>
            </c:spPr>
          </c:marker>
          <c:dLbls>
            <c:dLbl>
              <c:idx val="3"/>
              <c:layout>
                <c:manualLayout>
                  <c:x val="-3.7473705617306313E-2"/>
                  <c:y val="-6.1804902845642315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B2BF-479F-BDA6-ACA69C5E45AE}"/>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dLblPos val="b"/>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Hoja1!$B$2:$B$7</c:f>
              <c:numCache>
                <c:formatCode>#,##0.0</c:formatCode>
                <c:ptCount val="6"/>
                <c:pt idx="0">
                  <c:v>349.2</c:v>
                </c:pt>
                <c:pt idx="1">
                  <c:v>542.6</c:v>
                </c:pt>
                <c:pt idx="2">
                  <c:v>227.9</c:v>
                </c:pt>
                <c:pt idx="3">
                  <c:v>-751.4</c:v>
                </c:pt>
                <c:pt idx="4">
                  <c:v>-1820</c:v>
                </c:pt>
                <c:pt idx="5">
                  <c:v>-2701.6</c:v>
                </c:pt>
              </c:numCache>
            </c:numRef>
          </c:val>
          <c:smooth val="1"/>
          <c:extLst xmlns:c16r2="http://schemas.microsoft.com/office/drawing/2015/06/chart">
            <c:ext xmlns:c16="http://schemas.microsoft.com/office/drawing/2014/chart" uri="{C3380CC4-5D6E-409C-BE32-E72D297353CC}">
              <c16:uniqueId val="{00000001-B2BF-479F-BDA6-ACA69C5E45AE}"/>
            </c:ext>
          </c:extLst>
        </c:ser>
        <c:ser>
          <c:idx val="1"/>
          <c:order val="1"/>
          <c:tx>
            <c:strRef>
              <c:f>Hoja1!$C$1</c:f>
              <c:strCache>
                <c:ptCount val="1"/>
                <c:pt idx="0">
                  <c:v>Obs-2019</c:v>
                </c:pt>
              </c:strCache>
            </c:strRef>
          </c:tx>
          <c:spPr>
            <a:ln w="22225" cap="rnd">
              <a:solidFill>
                <a:srgbClr val="FF0000"/>
              </a:solidFill>
              <a:round/>
            </a:ln>
            <a:effectLst/>
          </c:spPr>
          <c:marker>
            <c:symbol val="circle"/>
            <c:size val="6"/>
            <c:spPr>
              <a:solidFill>
                <a:schemeClr val="lt1"/>
              </a:solidFill>
              <a:ln w="15875">
                <a:solidFill>
                  <a:srgbClr val="FF0000"/>
                </a:solidFill>
                <a:round/>
              </a:ln>
              <a:effectLst/>
            </c:spPr>
          </c:marker>
          <c:dLbls>
            <c:dLbl>
              <c:idx val="3"/>
              <c:layout>
                <c:manualLayout>
                  <c:x val="-7.8975043373815557E-2"/>
                  <c:y val="8.7575653833784614E-2"/>
                </c:manualLayout>
              </c:layout>
              <c:dLblPos val="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B2BF-479F-BDA6-ACA69C5E45AE}"/>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rgbClr val="FF0000"/>
                    </a:solidFill>
                    <a:latin typeface="Times New Roman" panose="02020603050405020304" pitchFamily="18" charset="0"/>
                    <a:ea typeface="+mn-ea"/>
                    <a:cs typeface="Times New Roman" panose="02020603050405020304" pitchFamily="18" charset="0"/>
                  </a:defRPr>
                </a:pPr>
                <a:endParaRPr lang="es-GT"/>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Hoja1!$C$2:$C$7</c:f>
              <c:numCache>
                <c:formatCode>#,##0.0</c:formatCode>
                <c:ptCount val="6"/>
                <c:pt idx="0">
                  <c:v>600.5</c:v>
                </c:pt>
                <c:pt idx="1">
                  <c:v>943.7</c:v>
                </c:pt>
                <c:pt idx="2">
                  <c:v>889.7</c:v>
                </c:pt>
                <c:pt idx="3">
                  <c:v>-1154</c:v>
                </c:pt>
                <c:pt idx="4">
                  <c:v>-889.5</c:v>
                </c:pt>
                <c:pt idx="5">
                  <c:v>-1597.3</c:v>
                </c:pt>
              </c:numCache>
            </c:numRef>
          </c:val>
          <c:smooth val="1"/>
          <c:extLst xmlns:c16r2="http://schemas.microsoft.com/office/drawing/2015/06/chart">
            <c:ext xmlns:c16="http://schemas.microsoft.com/office/drawing/2014/chart" uri="{C3380CC4-5D6E-409C-BE32-E72D297353CC}">
              <c16:uniqueId val="{00000003-B2BF-479F-BDA6-ACA69C5E45AE}"/>
            </c:ext>
          </c:extLst>
        </c:ser>
        <c:dLbls>
          <c:showLegendKey val="0"/>
          <c:showVal val="0"/>
          <c:showCatName val="0"/>
          <c:showSerName val="0"/>
          <c:showPercent val="0"/>
          <c:showBubbleSize val="0"/>
        </c:dLbls>
        <c:marker val="1"/>
        <c:smooth val="0"/>
        <c:axId val="119151616"/>
        <c:axId val="119165696"/>
      </c:lineChart>
      <c:catAx>
        <c:axId val="119151616"/>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19165696"/>
        <c:crosses val="autoZero"/>
        <c:auto val="1"/>
        <c:lblAlgn val="ctr"/>
        <c:lblOffset val="100"/>
        <c:noMultiLvlLbl val="0"/>
      </c:catAx>
      <c:valAx>
        <c:axId val="119165696"/>
        <c:scaling>
          <c:orientation val="minMax"/>
          <c:min val="-4000"/>
        </c:scaling>
        <c:delete val="0"/>
        <c:axPos val="l"/>
        <c:majorGridlines>
          <c:spPr>
            <a:ln w="9525" cap="flat" cmpd="sng" algn="ctr">
              <a:solidFill>
                <a:schemeClr val="dk1">
                  <a:lumMod val="15000"/>
                  <a:lumOff val="85000"/>
                  <a:alpha val="54000"/>
                </a:schemeClr>
              </a:solidFill>
              <a:round/>
            </a:ln>
            <a:effectLst/>
          </c:spPr>
        </c:majorGridlines>
        <c:numFmt formatCode="#,##0_ ;\-#,##0\ " sourceLinked="0"/>
        <c:majorTickMark val="none"/>
        <c:minorTickMark val="none"/>
        <c:tickLblPos val="nextTo"/>
        <c:spPr>
          <a:noFill/>
          <a:ln>
            <a:noFill/>
          </a:ln>
          <a:effectLst/>
        </c:spPr>
        <c:txPr>
          <a:bodyPr rot="-60000000" spcFirstLastPara="1" vertOverflow="ellipsis" vert="horz" wrap="square" anchor="ctr" anchorCtr="1"/>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19151616"/>
        <c:crosses val="autoZero"/>
        <c:crossBetween val="between"/>
      </c:valAx>
      <c:spPr>
        <a:pattFill prst="ltDnDiag">
          <a:fgClr>
            <a:schemeClr val="dk1">
              <a:lumMod val="15000"/>
              <a:lumOff val="85000"/>
            </a:schemeClr>
          </a:fgClr>
          <a:bgClr>
            <a:schemeClr val="lt1"/>
          </a:bgClr>
        </a:pattFill>
        <a:ln>
          <a:noFill/>
        </a:ln>
        <a:effectLst/>
      </c:spPr>
    </c:plotArea>
    <c:legend>
      <c:legendPos val="b"/>
      <c:layout>
        <c:manualLayout>
          <c:xMode val="edge"/>
          <c:yMode val="edge"/>
          <c:x val="0.26111659771342144"/>
          <c:y val="0.8471319053456049"/>
          <c:w val="0.5229645446861515"/>
          <c:h val="7.6111078583394873E-2"/>
        </c:manualLayout>
      </c:layout>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ysClr val="windowText" lastClr="000000"/>
      </a:solidFill>
      <a:round/>
    </a:ln>
    <a:effectLst/>
  </c:spPr>
  <c:txPr>
    <a:bodyPr/>
    <a:lstStyle/>
    <a:p>
      <a:pPr>
        <a:defRPr/>
      </a:pPr>
      <a:endParaRPr lang="es-GT"/>
    </a:p>
  </c:txPr>
  <c:externalData r:id="rId2">
    <c:autoUpdate val="0"/>
  </c:externalData>
  <c:userShapes r:id="rId3"/>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70520563003722"/>
          <c:y val="2.0699112456454019E-2"/>
          <c:w val="0.88264576065047706"/>
          <c:h val="0.90213785286591142"/>
        </c:manualLayout>
      </c:layout>
      <c:barChart>
        <c:barDir val="col"/>
        <c:grouping val="stacked"/>
        <c:varyColors val="0"/>
        <c:ser>
          <c:idx val="0"/>
          <c:order val="0"/>
          <c:tx>
            <c:strRef>
              <c:f>Hoja1!$B$1</c:f>
              <c:strCache>
                <c:ptCount val="1"/>
                <c:pt idx="0">
                  <c:v>Observado-Meta Presupuesto</c:v>
                </c:pt>
              </c:strCache>
            </c:strRef>
          </c:tx>
          <c:spPr>
            <a:solidFill>
              <a:srgbClr val="FF0000"/>
            </a:solidFill>
            <a:ln>
              <a:noFill/>
            </a:ln>
            <a:effectLst/>
            <a:scene3d>
              <a:camera prst="orthographicFront"/>
              <a:lightRig rig="threePt" dir="t"/>
            </a:scene3d>
            <a:sp3d>
              <a:bevelT/>
            </a:sp3d>
          </c:spPr>
          <c:invertIfNegative val="0"/>
          <c:dLbls>
            <c:dLbl>
              <c:idx val="1"/>
              <c:layout>
                <c:manualLayout>
                  <c:x val="0"/>
                  <c:y val="-1.87532432371455E-3"/>
                </c:manualLayout>
              </c:layout>
              <c:dLblPos val="ct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1E8-4F18-99EF-22AF361802B5}"/>
                </c:ext>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mn-lt"/>
                    <a:ea typeface="+mn-ea"/>
                    <a:cs typeface="Times New Roman" panose="02020603050405020304" pitchFamily="18" charset="0"/>
                  </a:defRPr>
                </a:pPr>
                <a:endParaRPr lang="es-GT"/>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c:v>
                </c:pt>
                <c:pt idx="1">
                  <c:v>Feb</c:v>
                </c:pt>
                <c:pt idx="2">
                  <c:v>Mar</c:v>
                </c:pt>
                <c:pt idx="3">
                  <c:v>Abr</c:v>
                </c:pt>
                <c:pt idx="4">
                  <c:v>May</c:v>
                </c:pt>
                <c:pt idx="5">
                  <c:v>Jun</c:v>
                </c:pt>
              </c:strCache>
            </c:strRef>
          </c:cat>
          <c:val>
            <c:numRef>
              <c:f>Hoja1!$B$2:$B$7</c:f>
              <c:numCache>
                <c:formatCode>#,##0.0</c:formatCode>
                <c:ptCount val="6"/>
                <c:pt idx="0">
                  <c:v>349.20241674657336</c:v>
                </c:pt>
                <c:pt idx="1">
                  <c:v>193.42550369467926</c:v>
                </c:pt>
                <c:pt idx="2">
                  <c:v>-1698.3637336927668</c:v>
                </c:pt>
                <c:pt idx="3">
                  <c:v>404.31941485041443</c:v>
                </c:pt>
                <c:pt idx="4">
                  <c:v>-1068.5999999999999</c:v>
                </c:pt>
                <c:pt idx="5">
                  <c:v>-881.6</c:v>
                </c:pt>
              </c:numCache>
            </c:numRef>
          </c:val>
          <c:extLst xmlns:c16r2="http://schemas.microsoft.com/office/drawing/2015/06/chart">
            <c:ext xmlns:c16="http://schemas.microsoft.com/office/drawing/2014/chart" uri="{C3380CC4-5D6E-409C-BE32-E72D297353CC}">
              <c16:uniqueId val="{00000001-91E8-4F18-99EF-22AF361802B5}"/>
            </c:ext>
          </c:extLst>
        </c:ser>
        <c:dLbls>
          <c:showLegendKey val="0"/>
          <c:showVal val="0"/>
          <c:showCatName val="0"/>
          <c:showSerName val="0"/>
          <c:showPercent val="0"/>
          <c:showBubbleSize val="0"/>
        </c:dLbls>
        <c:gapWidth val="10"/>
        <c:overlap val="100"/>
        <c:axId val="119842688"/>
        <c:axId val="119844224"/>
      </c:barChart>
      <c:catAx>
        <c:axId val="119842688"/>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low"/>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solidFill>
                <a:latin typeface="+mn-lt"/>
                <a:ea typeface="+mn-ea"/>
                <a:cs typeface="Times New Roman" panose="02020603050405020304" pitchFamily="18" charset="0"/>
              </a:defRPr>
            </a:pPr>
            <a:endParaRPr lang="es-GT"/>
          </a:p>
        </c:txPr>
        <c:crossAx val="119844224"/>
        <c:crosses val="autoZero"/>
        <c:auto val="1"/>
        <c:lblAlgn val="ctr"/>
        <c:lblOffset val="100"/>
        <c:noMultiLvlLbl val="0"/>
      </c:catAx>
      <c:valAx>
        <c:axId val="11984422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1" i="0" u="none" strike="noStrike" kern="1200" baseline="0">
                    <a:solidFill>
                      <a:schemeClr val="tx1"/>
                    </a:solidFill>
                    <a:latin typeface="+mn-lt"/>
                    <a:ea typeface="+mn-ea"/>
                    <a:cs typeface="Times New Roman" panose="02020603050405020304" pitchFamily="18" charset="0"/>
                  </a:defRPr>
                </a:pPr>
                <a:r>
                  <a:rPr lang="es-GT">
                    <a:solidFill>
                      <a:schemeClr val="tx1"/>
                    </a:solidFill>
                  </a:rPr>
                  <a:t>Millones de quetzales</a:t>
                </a:r>
              </a:p>
            </c:rich>
          </c:tx>
          <c:layout>
            <c:manualLayout>
              <c:xMode val="edge"/>
              <c:yMode val="edge"/>
              <c:x val="2.1555317193933908E-3"/>
              <c:y val="0.28014435973752166"/>
            </c:manualLayout>
          </c:layout>
          <c:overlay val="0"/>
          <c:spPr>
            <a:noFill/>
            <a:ln>
              <a:noFill/>
            </a:ln>
            <a:effectLst/>
          </c:spPr>
        </c:title>
        <c:numFmt formatCode="#,##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chemeClr val="tx1"/>
                </a:solidFill>
                <a:latin typeface="+mn-lt"/>
                <a:ea typeface="+mn-ea"/>
                <a:cs typeface="Times New Roman" panose="02020603050405020304" pitchFamily="18" charset="0"/>
              </a:defRPr>
            </a:pPr>
            <a:endParaRPr lang="es-GT"/>
          </a:p>
        </c:txPr>
        <c:crossAx val="119842688"/>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ysClr val="windowText" lastClr="000000"/>
      </a:solidFill>
      <a:round/>
    </a:ln>
    <a:effectLst/>
  </c:spPr>
  <c:txPr>
    <a:bodyPr/>
    <a:lstStyle/>
    <a:p>
      <a:pPr>
        <a:defRPr>
          <a:latin typeface="+mn-lt"/>
          <a:cs typeface="Times New Roman" panose="02020603050405020304" pitchFamily="18" charset="0"/>
        </a:defRPr>
      </a:pPr>
      <a:endParaRPr lang="es-GT"/>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4534872486097779E-2"/>
          <c:y val="2.3710729104919975E-2"/>
          <c:w val="0.87873690494070333"/>
          <c:h val="0.86501850625752941"/>
        </c:manualLayout>
      </c:layout>
      <c:barChart>
        <c:barDir val="col"/>
        <c:grouping val="stacked"/>
        <c:varyColors val="0"/>
        <c:ser>
          <c:idx val="0"/>
          <c:order val="0"/>
          <c:tx>
            <c:strRef>
              <c:f>Hoja1!$B$1</c:f>
              <c:strCache>
                <c:ptCount val="1"/>
                <c:pt idx="0">
                  <c:v>Recaudación</c:v>
                </c:pt>
              </c:strCache>
            </c:strRef>
          </c:tx>
          <c:spPr>
            <a:solidFill>
              <a:schemeClr val="accent1"/>
            </a:solidFill>
            <a:ln>
              <a:noFill/>
            </a:ln>
            <a:effectLst/>
          </c:spPr>
          <c:invertIfNegative val="0"/>
          <c:dLbls>
            <c:numFmt formatCode="#,##0.0" sourceLinked="0"/>
            <c:spPr>
              <a:noFill/>
              <a:ln>
                <a:noFill/>
              </a:ln>
              <a:effectLst/>
            </c:spPr>
            <c:txPr>
              <a:bodyPr rot="0" spcFirstLastPara="1" vertOverflow="ellipsis" vert="horz" wrap="square" anchor="ctr" anchorCtr="1"/>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dLblPos val="inBase"/>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2019</c:v>
                </c:pt>
                <c:pt idx="1">
                  <c:v>Presupuesto 
vigente 2020</c:v>
                </c:pt>
                <c:pt idx="2">
                  <c:v>Cierre 
estimado 2020</c:v>
                </c:pt>
              </c:strCache>
            </c:strRef>
          </c:cat>
          <c:val>
            <c:numRef>
              <c:f>Hoja1!$B$2:$B$4</c:f>
              <c:numCache>
                <c:formatCode>#,##0.00</c:formatCode>
                <c:ptCount val="3"/>
                <c:pt idx="0">
                  <c:v>62593.56</c:v>
                </c:pt>
                <c:pt idx="1">
                  <c:v>64027.7</c:v>
                </c:pt>
                <c:pt idx="2" formatCode="General">
                  <c:v>57107.839999999997</c:v>
                </c:pt>
              </c:numCache>
            </c:numRef>
          </c:val>
          <c:extLst xmlns:c16r2="http://schemas.microsoft.com/office/drawing/2015/06/chart">
            <c:ext xmlns:c16="http://schemas.microsoft.com/office/drawing/2014/chart" uri="{C3380CC4-5D6E-409C-BE32-E72D297353CC}">
              <c16:uniqueId val="{00000000-71ED-4E15-813B-F7D831D0CC73}"/>
            </c:ext>
          </c:extLst>
        </c:ser>
        <c:ser>
          <c:idx val="1"/>
          <c:order val="1"/>
          <c:tx>
            <c:strRef>
              <c:f>Hoja1!$C$1</c:f>
              <c:strCache>
                <c:ptCount val="1"/>
                <c:pt idx="0">
                  <c:v>Covid-19</c:v>
                </c:pt>
              </c:strCache>
            </c:strRef>
          </c:tx>
          <c:spPr>
            <a:solidFill>
              <a:schemeClr val="accent2"/>
            </a:solidFill>
            <a:ln>
              <a:noFill/>
            </a:ln>
            <a:effectLst/>
          </c:spPr>
          <c:invertIfNegative val="0"/>
          <c:dPt>
            <c:idx val="2"/>
            <c:invertIfNegative val="0"/>
            <c:bubble3D val="0"/>
            <c:spPr>
              <a:pattFill prst="dkDnDiag">
                <a:fgClr>
                  <a:schemeClr val="accent6">
                    <a:lumMod val="40000"/>
                    <a:lumOff val="60000"/>
                  </a:schemeClr>
                </a:fgClr>
                <a:bgClr>
                  <a:schemeClr val="bg1"/>
                </a:bgClr>
              </a:pattFill>
              <a:ln>
                <a:noFill/>
              </a:ln>
              <a:effectLst/>
            </c:spPr>
            <c:extLst xmlns:c16r2="http://schemas.microsoft.com/office/drawing/2015/06/chart">
              <c:ext xmlns:c16="http://schemas.microsoft.com/office/drawing/2014/chart" uri="{C3380CC4-5D6E-409C-BE32-E72D297353CC}">
                <c16:uniqueId val="{00000002-71ED-4E15-813B-F7D831D0CC73}"/>
              </c:ext>
            </c:extLst>
          </c:dPt>
          <c:dLbls>
            <c:dLbl>
              <c:idx val="2"/>
              <c:numFmt formatCode="#,##0.0" sourceLinked="0"/>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1ED-4E15-813B-F7D831D0CC73}"/>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Hoja1!$A$2:$A$4</c:f>
              <c:strCache>
                <c:ptCount val="3"/>
                <c:pt idx="0">
                  <c:v>2019</c:v>
                </c:pt>
                <c:pt idx="1">
                  <c:v>Presupuesto 
vigente 2020</c:v>
                </c:pt>
                <c:pt idx="2">
                  <c:v>Cierre 
estimado 2020</c:v>
                </c:pt>
              </c:strCache>
            </c:strRef>
          </c:cat>
          <c:val>
            <c:numRef>
              <c:f>Hoja1!$C$2:$C$4</c:f>
              <c:numCache>
                <c:formatCode>General</c:formatCode>
                <c:ptCount val="3"/>
                <c:pt idx="2">
                  <c:v>6919.8600000000006</c:v>
                </c:pt>
              </c:numCache>
            </c:numRef>
          </c:val>
          <c:extLst xmlns:c16r2="http://schemas.microsoft.com/office/drawing/2015/06/chart">
            <c:ext xmlns:c16="http://schemas.microsoft.com/office/drawing/2014/chart" uri="{C3380CC4-5D6E-409C-BE32-E72D297353CC}">
              <c16:uniqueId val="{00000003-71ED-4E15-813B-F7D831D0CC73}"/>
            </c:ext>
          </c:extLst>
        </c:ser>
        <c:dLbls>
          <c:showLegendKey val="0"/>
          <c:showVal val="0"/>
          <c:showCatName val="0"/>
          <c:showSerName val="0"/>
          <c:showPercent val="0"/>
          <c:showBubbleSize val="0"/>
        </c:dLbls>
        <c:gapWidth val="20"/>
        <c:overlap val="100"/>
        <c:axId val="119918592"/>
        <c:axId val="119920128"/>
      </c:barChart>
      <c:catAx>
        <c:axId val="11991859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1" i="0" u="none" strike="noStrike" kern="1200" cap="none" spc="0" normalizeH="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19920128"/>
        <c:crosses val="autoZero"/>
        <c:auto val="1"/>
        <c:lblAlgn val="ctr"/>
        <c:lblOffset val="100"/>
        <c:noMultiLvlLbl val="0"/>
      </c:catAx>
      <c:valAx>
        <c:axId val="119920128"/>
        <c:scaling>
          <c:orientation val="minMax"/>
          <c:min val="40000"/>
        </c:scaling>
        <c:delete val="0"/>
        <c:axPos val="l"/>
        <c:majorGridlines>
          <c:spPr>
            <a:ln w="9525" cap="flat" cmpd="sng" algn="ctr">
              <a:solidFill>
                <a:schemeClr val="dk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199185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ysClr val="windowText" lastClr="000000"/>
      </a:solidFill>
      <a:round/>
    </a:ln>
    <a:effectLst/>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Variación Interanual</c:v>
                </c:pt>
              </c:strCache>
            </c:strRef>
          </c:tx>
          <c:spPr>
            <a:solidFill>
              <a:srgbClr val="FF9999"/>
            </a:solidFill>
            <a:ln w="19050">
              <a:solidFill>
                <a:schemeClr val="tx1"/>
              </a:solidFill>
            </a:ln>
            <a:effectLst>
              <a:outerShdw blurRad="50800" dist="38100" algn="l" rotWithShape="0">
                <a:prstClr val="black">
                  <a:alpha val="40000"/>
                </a:prstClr>
              </a:outerShdw>
            </a:effectLst>
            <a:scene3d>
              <a:camera prst="orthographicFront"/>
              <a:lightRig rig="threePt" dir="t"/>
            </a:scene3d>
            <a:sp3d>
              <a:bevelT/>
            </a:sp3d>
          </c:spPr>
          <c:invertIfNegative val="0"/>
          <c:dPt>
            <c:idx val="5"/>
            <c:invertIfNegative val="0"/>
            <c:bubble3D val="0"/>
            <c:spPr>
              <a:solidFill>
                <a:srgbClr val="FF9999"/>
              </a:solidFill>
              <a:ln w="19050">
                <a:solidFill>
                  <a:schemeClr val="tx1"/>
                </a:solidFill>
              </a:ln>
              <a:effectLst>
                <a:outerShdw blurRad="50800" dist="38100" algn="l" rotWithShape="0">
                  <a:prstClr val="black">
                    <a:alpha val="40000"/>
                  </a:prstClr>
                </a:outerShdw>
              </a:effectLst>
              <a:scene3d>
                <a:camera prst="orthographicFront"/>
                <a:lightRig rig="threePt" dir="t"/>
              </a:scene3d>
              <a:sp3d>
                <a:bevelT prst="angle"/>
              </a:sp3d>
            </c:spPr>
            <c:extLst xmlns:c16r2="http://schemas.microsoft.com/office/drawing/2015/06/chart">
              <c:ext xmlns:c16="http://schemas.microsoft.com/office/drawing/2014/chart" uri="{C3380CC4-5D6E-409C-BE32-E72D297353CC}">
                <c16:uniqueId val="{00000003-15C1-4D57-9191-8C6D08176387}"/>
              </c:ext>
            </c:extLst>
          </c:dPt>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Ene</c:v>
                </c:pt>
                <c:pt idx="1">
                  <c:v>Feb</c:v>
                </c:pt>
                <c:pt idx="2">
                  <c:v>Mar</c:v>
                </c:pt>
                <c:pt idx="3">
                  <c:v>Abr</c:v>
                </c:pt>
                <c:pt idx="4">
                  <c:v>May</c:v>
                </c:pt>
                <c:pt idx="5">
                  <c:v>Jun</c:v>
                </c:pt>
              </c:strCache>
            </c:strRef>
          </c:cat>
          <c:val>
            <c:numRef>
              <c:f>Sheet1!$B$2:$B$7</c:f>
              <c:numCache>
                <c:formatCode>0.0</c:formatCode>
                <c:ptCount val="6"/>
                <c:pt idx="0">
                  <c:v>5.0362282956783133</c:v>
                </c:pt>
                <c:pt idx="1">
                  <c:v>0.22874767424281295</c:v>
                </c:pt>
                <c:pt idx="2">
                  <c:v>2.3597448839590918</c:v>
                </c:pt>
                <c:pt idx="3">
                  <c:v>-1.6368421755264873</c:v>
                </c:pt>
                <c:pt idx="4">
                  <c:v>4.1616915886161001</c:v>
                </c:pt>
                <c:pt idx="5">
                  <c:v>8.9897091455984679</c:v>
                </c:pt>
              </c:numCache>
            </c:numRef>
          </c:val>
          <c:extLst xmlns:c16r2="http://schemas.microsoft.com/office/drawing/2015/06/chart">
            <c:ext xmlns:c16="http://schemas.microsoft.com/office/drawing/2014/chart" uri="{C3380CC4-5D6E-409C-BE32-E72D297353CC}">
              <c16:uniqueId val="{00000000-15C1-4D57-9191-8C6D08176387}"/>
            </c:ext>
          </c:extLst>
        </c:ser>
        <c:dLbls>
          <c:showLegendKey val="0"/>
          <c:showVal val="0"/>
          <c:showCatName val="0"/>
          <c:showSerName val="0"/>
          <c:showPercent val="0"/>
          <c:showBubbleSize val="0"/>
        </c:dLbls>
        <c:gapWidth val="130"/>
        <c:overlap val="-27"/>
        <c:axId val="120051968"/>
        <c:axId val="120070144"/>
      </c:barChart>
      <c:catAx>
        <c:axId val="120051968"/>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20070144"/>
        <c:crosses val="autoZero"/>
        <c:auto val="1"/>
        <c:lblAlgn val="ctr"/>
        <c:lblOffset val="100"/>
        <c:noMultiLvlLbl val="0"/>
      </c:catAx>
      <c:valAx>
        <c:axId val="12007014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GT"/>
          </a:p>
        </c:txPr>
        <c:crossAx val="120051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a:softEdge rad="63500"/>
    </a:effectLst>
    <a:scene3d>
      <a:camera prst="orthographicFront"/>
      <a:lightRig rig="threePt" dir="t"/>
    </a:scene3d>
    <a:sp3d>
      <a:bevelT/>
    </a:sp3d>
  </c:spPr>
  <c:txPr>
    <a:bodyPr/>
    <a:lstStyle/>
    <a:p>
      <a:pPr>
        <a:defRPr>
          <a:latin typeface="Times New Roman" panose="02020603050405020304" pitchFamily="18" charset="0"/>
          <a:cs typeface="Times New Roman" panose="02020603050405020304" pitchFamily="18" charset="0"/>
        </a:defRPr>
      </a:pPr>
      <a:endParaRPr lang="es-GT"/>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319822944930456E-2"/>
          <c:y val="3.5974137768277792E-2"/>
          <c:w val="0.86222462388279897"/>
          <c:h val="0.74611829251304618"/>
        </c:manualLayout>
      </c:layout>
      <c:lineChart>
        <c:grouping val="standard"/>
        <c:varyColors val="0"/>
        <c:ser>
          <c:idx val="0"/>
          <c:order val="0"/>
          <c:spPr>
            <a:ln>
              <a:solidFill>
                <a:schemeClr val="accent2">
                  <a:lumMod val="75000"/>
                </a:schemeClr>
              </a:solidFill>
            </a:ln>
          </c:spPr>
          <c:marker>
            <c:symbol val="none"/>
          </c:marker>
          <c:dLbls>
            <c:dLbl>
              <c:idx val="89"/>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E73-40A0-A288-2F6AA311058C}"/>
                </c:ext>
              </c:extLst>
            </c:dLbl>
            <c:spPr>
              <a:noFill/>
              <a:ln>
                <a:noFill/>
              </a:ln>
              <a:effectLst/>
            </c:spPr>
            <c:txPr>
              <a:bodyPr/>
              <a:lstStyle/>
              <a:p>
                <a:pPr>
                  <a:defRPr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'Inflación '!$A$44:$A$133</c:f>
              <c:numCache>
                <c:formatCode>mmm\-yy</c:formatCode>
                <c:ptCount val="90"/>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pt idx="54">
                  <c:v>42917</c:v>
                </c:pt>
                <c:pt idx="55">
                  <c:v>42948</c:v>
                </c:pt>
                <c:pt idx="56">
                  <c:v>42979</c:v>
                </c:pt>
                <c:pt idx="57">
                  <c:v>43009</c:v>
                </c:pt>
                <c:pt idx="58">
                  <c:v>43040</c:v>
                </c:pt>
                <c:pt idx="59">
                  <c:v>43070</c:v>
                </c:pt>
                <c:pt idx="60">
                  <c:v>43101</c:v>
                </c:pt>
                <c:pt idx="61">
                  <c:v>43132</c:v>
                </c:pt>
                <c:pt idx="62">
                  <c:v>43160</c:v>
                </c:pt>
                <c:pt idx="63">
                  <c:v>43191</c:v>
                </c:pt>
                <c:pt idx="64">
                  <c:v>43221</c:v>
                </c:pt>
                <c:pt idx="65">
                  <c:v>43252</c:v>
                </c:pt>
                <c:pt idx="66">
                  <c:v>43282</c:v>
                </c:pt>
                <c:pt idx="67">
                  <c:v>43313</c:v>
                </c:pt>
                <c:pt idx="68">
                  <c:v>43344</c:v>
                </c:pt>
                <c:pt idx="69">
                  <c:v>43374</c:v>
                </c:pt>
                <c:pt idx="70">
                  <c:v>43405</c:v>
                </c:pt>
                <c:pt idx="71">
                  <c:v>43435</c:v>
                </c:pt>
                <c:pt idx="72">
                  <c:v>43466</c:v>
                </c:pt>
                <c:pt idx="73">
                  <c:v>43497</c:v>
                </c:pt>
                <c:pt idx="74">
                  <c:v>43525</c:v>
                </c:pt>
                <c:pt idx="75">
                  <c:v>43556</c:v>
                </c:pt>
                <c:pt idx="76">
                  <c:v>43586</c:v>
                </c:pt>
                <c:pt idx="77">
                  <c:v>43617</c:v>
                </c:pt>
                <c:pt idx="78">
                  <c:v>43647</c:v>
                </c:pt>
                <c:pt idx="79">
                  <c:v>43678</c:v>
                </c:pt>
                <c:pt idx="80">
                  <c:v>43709</c:v>
                </c:pt>
                <c:pt idx="81">
                  <c:v>43739</c:v>
                </c:pt>
                <c:pt idx="82">
                  <c:v>43770</c:v>
                </c:pt>
                <c:pt idx="83">
                  <c:v>43800</c:v>
                </c:pt>
                <c:pt idx="84">
                  <c:v>43831</c:v>
                </c:pt>
                <c:pt idx="85">
                  <c:v>43862</c:v>
                </c:pt>
                <c:pt idx="86">
                  <c:v>43891</c:v>
                </c:pt>
                <c:pt idx="87">
                  <c:v>43922</c:v>
                </c:pt>
                <c:pt idx="88">
                  <c:v>43952</c:v>
                </c:pt>
                <c:pt idx="89">
                  <c:v>43983</c:v>
                </c:pt>
              </c:numCache>
            </c:numRef>
          </c:cat>
          <c:val>
            <c:numRef>
              <c:f>'Inflación '!$B$44:$B$133</c:f>
              <c:numCache>
                <c:formatCode>0.0</c:formatCode>
                <c:ptCount val="90"/>
                <c:pt idx="0">
                  <c:v>3.35</c:v>
                </c:pt>
                <c:pt idx="1">
                  <c:v>3.12</c:v>
                </c:pt>
                <c:pt idx="2">
                  <c:v>3.06</c:v>
                </c:pt>
                <c:pt idx="3">
                  <c:v>3.08</c:v>
                </c:pt>
                <c:pt idx="4">
                  <c:v>3.02</c:v>
                </c:pt>
                <c:pt idx="5">
                  <c:v>2.94</c:v>
                </c:pt>
                <c:pt idx="6">
                  <c:v>3.04</c:v>
                </c:pt>
                <c:pt idx="7">
                  <c:v>3.23</c:v>
                </c:pt>
                <c:pt idx="8">
                  <c:v>3.28</c:v>
                </c:pt>
                <c:pt idx="9">
                  <c:v>3.32</c:v>
                </c:pt>
                <c:pt idx="10">
                  <c:v>3.2</c:v>
                </c:pt>
                <c:pt idx="11">
                  <c:v>3.25</c:v>
                </c:pt>
                <c:pt idx="12">
                  <c:v>3.23</c:v>
                </c:pt>
                <c:pt idx="13">
                  <c:v>3.26</c:v>
                </c:pt>
                <c:pt idx="14">
                  <c:v>3.19</c:v>
                </c:pt>
                <c:pt idx="15">
                  <c:v>3.18</c:v>
                </c:pt>
                <c:pt idx="16">
                  <c:v>3.21</c:v>
                </c:pt>
                <c:pt idx="17">
                  <c:v>3.23</c:v>
                </c:pt>
                <c:pt idx="18">
                  <c:v>3.27</c:v>
                </c:pt>
                <c:pt idx="19">
                  <c:v>3.2</c:v>
                </c:pt>
                <c:pt idx="20">
                  <c:v>3.1</c:v>
                </c:pt>
                <c:pt idx="21">
                  <c:v>3.11</c:v>
                </c:pt>
                <c:pt idx="22">
                  <c:v>3.13</c:v>
                </c:pt>
                <c:pt idx="23">
                  <c:v>3.15</c:v>
                </c:pt>
                <c:pt idx="24">
                  <c:v>3.17</c:v>
                </c:pt>
                <c:pt idx="25">
                  <c:v>3.2</c:v>
                </c:pt>
                <c:pt idx="26">
                  <c:v>3.24</c:v>
                </c:pt>
                <c:pt idx="27">
                  <c:v>3.18</c:v>
                </c:pt>
                <c:pt idx="28">
                  <c:v>3.26</c:v>
                </c:pt>
                <c:pt idx="29">
                  <c:v>3.18</c:v>
                </c:pt>
                <c:pt idx="30">
                  <c:v>3.15</c:v>
                </c:pt>
                <c:pt idx="31">
                  <c:v>3.03</c:v>
                </c:pt>
                <c:pt idx="32">
                  <c:v>2.94</c:v>
                </c:pt>
                <c:pt idx="33">
                  <c:v>3</c:v>
                </c:pt>
                <c:pt idx="34">
                  <c:v>3.06</c:v>
                </c:pt>
                <c:pt idx="35">
                  <c:v>3.05</c:v>
                </c:pt>
                <c:pt idx="36">
                  <c:v>3.16</c:v>
                </c:pt>
                <c:pt idx="37">
                  <c:v>3.1</c:v>
                </c:pt>
                <c:pt idx="38">
                  <c:v>3.08</c:v>
                </c:pt>
                <c:pt idx="39">
                  <c:v>3.03</c:v>
                </c:pt>
                <c:pt idx="40">
                  <c:v>2.87</c:v>
                </c:pt>
                <c:pt idx="41">
                  <c:v>2.94</c:v>
                </c:pt>
                <c:pt idx="42">
                  <c:v>2.92</c:v>
                </c:pt>
                <c:pt idx="43">
                  <c:v>2.76</c:v>
                </c:pt>
                <c:pt idx="44">
                  <c:v>2.84</c:v>
                </c:pt>
                <c:pt idx="45">
                  <c:v>2.9</c:v>
                </c:pt>
                <c:pt idx="46">
                  <c:v>2.94</c:v>
                </c:pt>
                <c:pt idx="47">
                  <c:v>2.96</c:v>
                </c:pt>
                <c:pt idx="48">
                  <c:v>2.66</c:v>
                </c:pt>
                <c:pt idx="49">
                  <c:v>2.57</c:v>
                </c:pt>
                <c:pt idx="50">
                  <c:v>2.62</c:v>
                </c:pt>
                <c:pt idx="51">
                  <c:v>2.58</c:v>
                </c:pt>
                <c:pt idx="52">
                  <c:v>2.61</c:v>
                </c:pt>
                <c:pt idx="53">
                  <c:v>2.6</c:v>
                </c:pt>
                <c:pt idx="54">
                  <c:v>2.57</c:v>
                </c:pt>
                <c:pt idx="55">
                  <c:v>2.79</c:v>
                </c:pt>
                <c:pt idx="56">
                  <c:v>2.87</c:v>
                </c:pt>
                <c:pt idx="57">
                  <c:v>2.9</c:v>
                </c:pt>
                <c:pt idx="58">
                  <c:v>2.92</c:v>
                </c:pt>
                <c:pt idx="59">
                  <c:v>2.95</c:v>
                </c:pt>
                <c:pt idx="60">
                  <c:v>2.66</c:v>
                </c:pt>
                <c:pt idx="61">
                  <c:v>2.57</c:v>
                </c:pt>
                <c:pt idx="62">
                  <c:v>2.62</c:v>
                </c:pt>
                <c:pt idx="63">
                  <c:v>2.58</c:v>
                </c:pt>
                <c:pt idx="64">
                  <c:v>2.61</c:v>
                </c:pt>
                <c:pt idx="65">
                  <c:v>2.6</c:v>
                </c:pt>
                <c:pt idx="66">
                  <c:v>2.57</c:v>
                </c:pt>
                <c:pt idx="67">
                  <c:v>2.79</c:v>
                </c:pt>
                <c:pt idx="68">
                  <c:v>2.87</c:v>
                </c:pt>
                <c:pt idx="69">
                  <c:v>2.9</c:v>
                </c:pt>
                <c:pt idx="70">
                  <c:v>2.92</c:v>
                </c:pt>
                <c:pt idx="71">
                  <c:v>2.95</c:v>
                </c:pt>
                <c:pt idx="72">
                  <c:v>3.03</c:v>
                </c:pt>
                <c:pt idx="73">
                  <c:v>3.07</c:v>
                </c:pt>
                <c:pt idx="74">
                  <c:v>2.94</c:v>
                </c:pt>
                <c:pt idx="75">
                  <c:v>3.04</c:v>
                </c:pt>
                <c:pt idx="76">
                  <c:v>3.02</c:v>
                </c:pt>
                <c:pt idx="77">
                  <c:v>3.09</c:v>
                </c:pt>
                <c:pt idx="78">
                  <c:v>3.16</c:v>
                </c:pt>
                <c:pt idx="79">
                  <c:v>3.05</c:v>
                </c:pt>
                <c:pt idx="80">
                  <c:v>2.88</c:v>
                </c:pt>
                <c:pt idx="81">
                  <c:v>2.98</c:v>
                </c:pt>
                <c:pt idx="82">
                  <c:v>3.07</c:v>
                </c:pt>
                <c:pt idx="83">
                  <c:v>3.12</c:v>
                </c:pt>
                <c:pt idx="84">
                  <c:v>2.83</c:v>
                </c:pt>
                <c:pt idx="85">
                  <c:v>2.57</c:v>
                </c:pt>
                <c:pt idx="86">
                  <c:v>2.64</c:v>
                </c:pt>
                <c:pt idx="87">
                  <c:v>2.6</c:v>
                </c:pt>
                <c:pt idx="88">
                  <c:v>2.44</c:v>
                </c:pt>
                <c:pt idx="89">
                  <c:v>2.3199999999999998</c:v>
                </c:pt>
              </c:numCache>
            </c:numRef>
          </c:val>
          <c:smooth val="0"/>
          <c:extLst xmlns:c16r2="http://schemas.microsoft.com/office/drawing/2015/06/chart">
            <c:ext xmlns:c16="http://schemas.microsoft.com/office/drawing/2014/chart" uri="{C3380CC4-5D6E-409C-BE32-E72D297353CC}">
              <c16:uniqueId val="{00000001-6E73-40A0-A288-2F6AA311058C}"/>
            </c:ext>
          </c:extLst>
        </c:ser>
        <c:ser>
          <c:idx val="1"/>
          <c:order val="1"/>
          <c:spPr>
            <a:ln>
              <a:solidFill>
                <a:schemeClr val="accent3"/>
              </a:solidFill>
            </a:ln>
          </c:spPr>
          <c:marker>
            <c:symbol val="none"/>
          </c:marker>
          <c:dLbls>
            <c:dLbl>
              <c:idx val="78"/>
              <c:layout>
                <c:manualLayout>
                  <c:x val="-3.3057828555744261E-2"/>
                  <c:y val="5.2961297345399935E-2"/>
                </c:manualLayout>
              </c:layout>
              <c:tx>
                <c:rich>
                  <a:bodyPr/>
                  <a:lstStyle/>
                  <a:p>
                    <a:r>
                      <a:rPr lang="en-US" b="1"/>
                      <a:t>3.1</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E73-40A0-A288-2F6AA311058C}"/>
                </c:ext>
              </c:extLst>
            </c:dLbl>
            <c:dLbl>
              <c:idx val="89"/>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E73-40A0-A288-2F6AA311058C}"/>
                </c:ext>
              </c:extLst>
            </c:dLbl>
            <c:spPr>
              <a:noFill/>
              <a:ln>
                <a:noFill/>
              </a:ln>
              <a:effectLst/>
            </c:spPr>
            <c:txPr>
              <a:bodyPr/>
              <a:lstStyle/>
              <a:p>
                <a:pPr>
                  <a:defRPr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'Inflación '!$A$44:$A$133</c:f>
              <c:numCache>
                <c:formatCode>mmm\-yy</c:formatCode>
                <c:ptCount val="90"/>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pt idx="54">
                  <c:v>42917</c:v>
                </c:pt>
                <c:pt idx="55">
                  <c:v>42948</c:v>
                </c:pt>
                <c:pt idx="56">
                  <c:v>42979</c:v>
                </c:pt>
                <c:pt idx="57">
                  <c:v>43009</c:v>
                </c:pt>
                <c:pt idx="58">
                  <c:v>43040</c:v>
                </c:pt>
                <c:pt idx="59">
                  <c:v>43070</c:v>
                </c:pt>
                <c:pt idx="60">
                  <c:v>43101</c:v>
                </c:pt>
                <c:pt idx="61">
                  <c:v>43132</c:v>
                </c:pt>
                <c:pt idx="62">
                  <c:v>43160</c:v>
                </c:pt>
                <c:pt idx="63">
                  <c:v>43191</c:v>
                </c:pt>
                <c:pt idx="64">
                  <c:v>43221</c:v>
                </c:pt>
                <c:pt idx="65">
                  <c:v>43252</c:v>
                </c:pt>
                <c:pt idx="66">
                  <c:v>43282</c:v>
                </c:pt>
                <c:pt idx="67">
                  <c:v>43313</c:v>
                </c:pt>
                <c:pt idx="68">
                  <c:v>43344</c:v>
                </c:pt>
                <c:pt idx="69">
                  <c:v>43374</c:v>
                </c:pt>
                <c:pt idx="70">
                  <c:v>43405</c:v>
                </c:pt>
                <c:pt idx="71">
                  <c:v>43435</c:v>
                </c:pt>
                <c:pt idx="72">
                  <c:v>43466</c:v>
                </c:pt>
                <c:pt idx="73">
                  <c:v>43497</c:v>
                </c:pt>
                <c:pt idx="74">
                  <c:v>43525</c:v>
                </c:pt>
                <c:pt idx="75">
                  <c:v>43556</c:v>
                </c:pt>
                <c:pt idx="76">
                  <c:v>43586</c:v>
                </c:pt>
                <c:pt idx="77">
                  <c:v>43617</c:v>
                </c:pt>
                <c:pt idx="78">
                  <c:v>43647</c:v>
                </c:pt>
                <c:pt idx="79">
                  <c:v>43678</c:v>
                </c:pt>
                <c:pt idx="80">
                  <c:v>43709</c:v>
                </c:pt>
                <c:pt idx="81">
                  <c:v>43739</c:v>
                </c:pt>
                <c:pt idx="82">
                  <c:v>43770</c:v>
                </c:pt>
                <c:pt idx="83">
                  <c:v>43800</c:v>
                </c:pt>
                <c:pt idx="84">
                  <c:v>43831</c:v>
                </c:pt>
                <c:pt idx="85">
                  <c:v>43862</c:v>
                </c:pt>
                <c:pt idx="86">
                  <c:v>43891</c:v>
                </c:pt>
                <c:pt idx="87">
                  <c:v>43922</c:v>
                </c:pt>
                <c:pt idx="88">
                  <c:v>43952</c:v>
                </c:pt>
                <c:pt idx="89">
                  <c:v>43983</c:v>
                </c:pt>
              </c:numCache>
            </c:numRef>
          </c:cat>
          <c:val>
            <c:numRef>
              <c:f>'Inflación '!$C$32:$C$121</c:f>
              <c:numCache>
                <c:formatCode>0.0</c:formatCode>
                <c:ptCount val="90"/>
                <c:pt idx="0">
                  <c:v>3</c:v>
                </c:pt>
                <c:pt idx="1">
                  <c:v>3</c:v>
                </c:pt>
                <c:pt idx="2">
                  <c:v>3</c:v>
                </c:pt>
                <c:pt idx="3">
                  <c:v>3</c:v>
                </c:pt>
                <c:pt idx="4">
                  <c:v>3</c:v>
                </c:pt>
                <c:pt idx="5">
                  <c:v>3</c:v>
                </c:pt>
                <c:pt idx="6">
                  <c:v>3</c:v>
                </c:pt>
                <c:pt idx="7">
                  <c:v>3</c:v>
                </c:pt>
                <c:pt idx="8">
                  <c:v>3</c:v>
                </c:pt>
                <c:pt idx="9">
                  <c:v>3</c:v>
                </c:pt>
                <c:pt idx="10">
                  <c:v>3</c:v>
                </c:pt>
                <c:pt idx="11">
                  <c:v>3</c:v>
                </c:pt>
                <c:pt idx="12">
                  <c:v>3</c:v>
                </c:pt>
                <c:pt idx="13">
                  <c:v>3</c:v>
                </c:pt>
                <c:pt idx="14">
                  <c:v>3</c:v>
                </c:pt>
                <c:pt idx="15">
                  <c:v>3</c:v>
                </c:pt>
                <c:pt idx="16">
                  <c:v>3</c:v>
                </c:pt>
                <c:pt idx="17">
                  <c:v>3</c:v>
                </c:pt>
                <c:pt idx="18">
                  <c:v>3</c:v>
                </c:pt>
                <c:pt idx="19">
                  <c:v>3</c:v>
                </c:pt>
                <c:pt idx="20">
                  <c:v>3</c:v>
                </c:pt>
                <c:pt idx="21">
                  <c:v>3</c:v>
                </c:pt>
                <c:pt idx="22">
                  <c:v>3</c:v>
                </c:pt>
                <c:pt idx="23">
                  <c:v>3</c:v>
                </c:pt>
                <c:pt idx="24">
                  <c:v>3</c:v>
                </c:pt>
                <c:pt idx="25">
                  <c:v>3</c:v>
                </c:pt>
                <c:pt idx="26">
                  <c:v>3</c:v>
                </c:pt>
                <c:pt idx="27">
                  <c:v>3</c:v>
                </c:pt>
                <c:pt idx="28">
                  <c:v>3</c:v>
                </c:pt>
                <c:pt idx="29">
                  <c:v>3</c:v>
                </c:pt>
                <c:pt idx="30">
                  <c:v>3</c:v>
                </c:pt>
                <c:pt idx="31">
                  <c:v>3</c:v>
                </c:pt>
                <c:pt idx="32">
                  <c:v>3</c:v>
                </c:pt>
                <c:pt idx="33">
                  <c:v>3</c:v>
                </c:pt>
                <c:pt idx="34">
                  <c:v>3</c:v>
                </c:pt>
                <c:pt idx="35">
                  <c:v>3</c:v>
                </c:pt>
                <c:pt idx="36">
                  <c:v>3</c:v>
                </c:pt>
                <c:pt idx="37">
                  <c:v>3</c:v>
                </c:pt>
                <c:pt idx="38">
                  <c:v>3</c:v>
                </c:pt>
                <c:pt idx="39">
                  <c:v>3</c:v>
                </c:pt>
                <c:pt idx="40">
                  <c:v>3</c:v>
                </c:pt>
                <c:pt idx="41">
                  <c:v>3</c:v>
                </c:pt>
                <c:pt idx="42">
                  <c:v>3</c:v>
                </c:pt>
                <c:pt idx="43">
                  <c:v>3</c:v>
                </c:pt>
                <c:pt idx="44">
                  <c:v>3</c:v>
                </c:pt>
                <c:pt idx="45">
                  <c:v>3</c:v>
                </c:pt>
                <c:pt idx="46">
                  <c:v>3</c:v>
                </c:pt>
                <c:pt idx="47">
                  <c:v>3</c:v>
                </c:pt>
                <c:pt idx="48">
                  <c:v>3</c:v>
                </c:pt>
                <c:pt idx="49">
                  <c:v>3</c:v>
                </c:pt>
                <c:pt idx="50">
                  <c:v>3</c:v>
                </c:pt>
                <c:pt idx="51">
                  <c:v>3</c:v>
                </c:pt>
                <c:pt idx="52">
                  <c:v>3</c:v>
                </c:pt>
                <c:pt idx="53">
                  <c:v>3</c:v>
                </c:pt>
                <c:pt idx="54">
                  <c:v>3</c:v>
                </c:pt>
                <c:pt idx="55">
                  <c:v>3</c:v>
                </c:pt>
                <c:pt idx="56">
                  <c:v>3</c:v>
                </c:pt>
                <c:pt idx="57">
                  <c:v>3</c:v>
                </c:pt>
                <c:pt idx="58">
                  <c:v>3</c:v>
                </c:pt>
                <c:pt idx="59">
                  <c:v>3</c:v>
                </c:pt>
                <c:pt idx="60">
                  <c:v>3</c:v>
                </c:pt>
                <c:pt idx="61">
                  <c:v>3</c:v>
                </c:pt>
                <c:pt idx="62">
                  <c:v>3</c:v>
                </c:pt>
                <c:pt idx="63">
                  <c:v>3</c:v>
                </c:pt>
                <c:pt idx="64">
                  <c:v>3</c:v>
                </c:pt>
                <c:pt idx="65">
                  <c:v>3</c:v>
                </c:pt>
                <c:pt idx="66">
                  <c:v>3</c:v>
                </c:pt>
                <c:pt idx="67">
                  <c:v>3</c:v>
                </c:pt>
                <c:pt idx="68">
                  <c:v>3</c:v>
                </c:pt>
                <c:pt idx="69">
                  <c:v>3</c:v>
                </c:pt>
                <c:pt idx="70">
                  <c:v>3</c:v>
                </c:pt>
                <c:pt idx="71">
                  <c:v>3</c:v>
                </c:pt>
                <c:pt idx="72">
                  <c:v>3</c:v>
                </c:pt>
                <c:pt idx="73">
                  <c:v>3</c:v>
                </c:pt>
                <c:pt idx="74">
                  <c:v>3</c:v>
                </c:pt>
                <c:pt idx="75">
                  <c:v>3</c:v>
                </c:pt>
                <c:pt idx="76">
                  <c:v>3</c:v>
                </c:pt>
                <c:pt idx="77">
                  <c:v>3</c:v>
                </c:pt>
                <c:pt idx="78">
                  <c:v>3</c:v>
                </c:pt>
                <c:pt idx="79">
                  <c:v>3</c:v>
                </c:pt>
                <c:pt idx="80">
                  <c:v>3</c:v>
                </c:pt>
                <c:pt idx="81">
                  <c:v>3</c:v>
                </c:pt>
                <c:pt idx="82">
                  <c:v>3</c:v>
                </c:pt>
                <c:pt idx="83">
                  <c:v>3</c:v>
                </c:pt>
                <c:pt idx="84">
                  <c:v>3</c:v>
                </c:pt>
                <c:pt idx="85">
                  <c:v>3</c:v>
                </c:pt>
                <c:pt idx="86">
                  <c:v>3</c:v>
                </c:pt>
                <c:pt idx="87">
                  <c:v>3</c:v>
                </c:pt>
                <c:pt idx="88">
                  <c:v>3</c:v>
                </c:pt>
                <c:pt idx="89">
                  <c:v>3</c:v>
                </c:pt>
              </c:numCache>
            </c:numRef>
          </c:val>
          <c:smooth val="0"/>
          <c:extLst xmlns:c16r2="http://schemas.microsoft.com/office/drawing/2015/06/chart">
            <c:ext xmlns:c16="http://schemas.microsoft.com/office/drawing/2014/chart" uri="{C3380CC4-5D6E-409C-BE32-E72D297353CC}">
              <c16:uniqueId val="{00000004-6E73-40A0-A288-2F6AA311058C}"/>
            </c:ext>
          </c:extLst>
        </c:ser>
        <c:ser>
          <c:idx val="2"/>
          <c:order val="2"/>
          <c:spPr>
            <a:ln>
              <a:solidFill>
                <a:schemeClr val="accent1"/>
              </a:solidFill>
            </a:ln>
          </c:spPr>
          <c:marker>
            <c:symbol val="none"/>
          </c:marker>
          <c:dLbls>
            <c:dLbl>
              <c:idx val="89"/>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E73-40A0-A288-2F6AA311058C}"/>
                </c:ext>
              </c:extLst>
            </c:dLbl>
            <c:spPr>
              <a:noFill/>
              <a:ln>
                <a:noFill/>
              </a:ln>
              <a:effectLst/>
            </c:spPr>
            <c:txPr>
              <a:bodyPr/>
              <a:lstStyle/>
              <a:p>
                <a:pPr>
                  <a:defRPr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'Inflación '!$A$44:$A$133</c:f>
              <c:numCache>
                <c:formatCode>mmm\-yy</c:formatCode>
                <c:ptCount val="90"/>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pt idx="54">
                  <c:v>42917</c:v>
                </c:pt>
                <c:pt idx="55">
                  <c:v>42948</c:v>
                </c:pt>
                <c:pt idx="56">
                  <c:v>42979</c:v>
                </c:pt>
                <c:pt idx="57">
                  <c:v>43009</c:v>
                </c:pt>
                <c:pt idx="58">
                  <c:v>43040</c:v>
                </c:pt>
                <c:pt idx="59">
                  <c:v>43070</c:v>
                </c:pt>
                <c:pt idx="60">
                  <c:v>43101</c:v>
                </c:pt>
                <c:pt idx="61">
                  <c:v>43132</c:v>
                </c:pt>
                <c:pt idx="62">
                  <c:v>43160</c:v>
                </c:pt>
                <c:pt idx="63">
                  <c:v>43191</c:v>
                </c:pt>
                <c:pt idx="64">
                  <c:v>43221</c:v>
                </c:pt>
                <c:pt idx="65">
                  <c:v>43252</c:v>
                </c:pt>
                <c:pt idx="66">
                  <c:v>43282</c:v>
                </c:pt>
                <c:pt idx="67">
                  <c:v>43313</c:v>
                </c:pt>
                <c:pt idx="68">
                  <c:v>43344</c:v>
                </c:pt>
                <c:pt idx="69">
                  <c:v>43374</c:v>
                </c:pt>
                <c:pt idx="70">
                  <c:v>43405</c:v>
                </c:pt>
                <c:pt idx="71">
                  <c:v>43435</c:v>
                </c:pt>
                <c:pt idx="72">
                  <c:v>43466</c:v>
                </c:pt>
                <c:pt idx="73">
                  <c:v>43497</c:v>
                </c:pt>
                <c:pt idx="74">
                  <c:v>43525</c:v>
                </c:pt>
                <c:pt idx="75">
                  <c:v>43556</c:v>
                </c:pt>
                <c:pt idx="76">
                  <c:v>43586</c:v>
                </c:pt>
                <c:pt idx="77">
                  <c:v>43617</c:v>
                </c:pt>
                <c:pt idx="78">
                  <c:v>43647</c:v>
                </c:pt>
                <c:pt idx="79">
                  <c:v>43678</c:v>
                </c:pt>
                <c:pt idx="80">
                  <c:v>43709</c:v>
                </c:pt>
                <c:pt idx="81">
                  <c:v>43739</c:v>
                </c:pt>
                <c:pt idx="82">
                  <c:v>43770</c:v>
                </c:pt>
                <c:pt idx="83">
                  <c:v>43800</c:v>
                </c:pt>
                <c:pt idx="84">
                  <c:v>43831</c:v>
                </c:pt>
                <c:pt idx="85">
                  <c:v>43862</c:v>
                </c:pt>
                <c:pt idx="86">
                  <c:v>43891</c:v>
                </c:pt>
                <c:pt idx="87">
                  <c:v>43922</c:v>
                </c:pt>
                <c:pt idx="88">
                  <c:v>43952</c:v>
                </c:pt>
                <c:pt idx="89">
                  <c:v>43983</c:v>
                </c:pt>
              </c:numCache>
            </c:numRef>
          </c:cat>
          <c:val>
            <c:numRef>
              <c:f>'Inflación '!$D$44:$D$133</c:f>
              <c:numCache>
                <c:formatCode>0.0</c:formatCode>
                <c:ptCount val="90"/>
                <c:pt idx="0">
                  <c:v>3.86</c:v>
                </c:pt>
                <c:pt idx="1">
                  <c:v>4.18</c:v>
                </c:pt>
                <c:pt idx="2">
                  <c:v>4.34</c:v>
                </c:pt>
                <c:pt idx="3">
                  <c:v>4.13</c:v>
                </c:pt>
                <c:pt idx="4">
                  <c:v>4.2699999999999996</c:v>
                </c:pt>
                <c:pt idx="5">
                  <c:v>4.79</c:v>
                </c:pt>
                <c:pt idx="6">
                  <c:v>4.74</c:v>
                </c:pt>
                <c:pt idx="7">
                  <c:v>4.42</c:v>
                </c:pt>
                <c:pt idx="8">
                  <c:v>4.21</c:v>
                </c:pt>
                <c:pt idx="9">
                  <c:v>4.1500000000000004</c:v>
                </c:pt>
                <c:pt idx="10">
                  <c:v>4.63</c:v>
                </c:pt>
                <c:pt idx="11">
                  <c:v>4.3899999999999997</c:v>
                </c:pt>
                <c:pt idx="12">
                  <c:v>4.1399999999999997</c:v>
                </c:pt>
                <c:pt idx="13">
                  <c:v>3.5</c:v>
                </c:pt>
                <c:pt idx="14">
                  <c:v>3.25</c:v>
                </c:pt>
                <c:pt idx="15">
                  <c:v>3.27</c:v>
                </c:pt>
                <c:pt idx="16">
                  <c:v>3.22</c:v>
                </c:pt>
                <c:pt idx="17">
                  <c:v>3.13</c:v>
                </c:pt>
                <c:pt idx="18">
                  <c:v>3.41</c:v>
                </c:pt>
                <c:pt idx="19">
                  <c:v>3.7</c:v>
                </c:pt>
                <c:pt idx="20">
                  <c:v>3.45</c:v>
                </c:pt>
                <c:pt idx="21">
                  <c:v>3.64</c:v>
                </c:pt>
                <c:pt idx="22">
                  <c:v>3.38</c:v>
                </c:pt>
                <c:pt idx="23">
                  <c:v>2.95</c:v>
                </c:pt>
                <c:pt idx="24">
                  <c:v>2.3199999999999998</c:v>
                </c:pt>
                <c:pt idx="25">
                  <c:v>2.44</c:v>
                </c:pt>
                <c:pt idx="26">
                  <c:v>2.4300000000000002</c:v>
                </c:pt>
                <c:pt idx="27">
                  <c:v>2.58</c:v>
                </c:pt>
                <c:pt idx="28">
                  <c:v>2.5499999999999998</c:v>
                </c:pt>
                <c:pt idx="29">
                  <c:v>2.39</c:v>
                </c:pt>
                <c:pt idx="30">
                  <c:v>2.3199999999999998</c:v>
                </c:pt>
                <c:pt idx="31">
                  <c:v>1.96</c:v>
                </c:pt>
                <c:pt idx="32">
                  <c:v>1.88</c:v>
                </c:pt>
                <c:pt idx="33">
                  <c:v>2.23</c:v>
                </c:pt>
                <c:pt idx="34">
                  <c:v>2.5099999999999998</c:v>
                </c:pt>
                <c:pt idx="35">
                  <c:v>3.07</c:v>
                </c:pt>
                <c:pt idx="36">
                  <c:v>4.38</c:v>
                </c:pt>
                <c:pt idx="37">
                  <c:v>4.2699999999999996</c:v>
                </c:pt>
                <c:pt idx="38">
                  <c:v>4.26</c:v>
                </c:pt>
                <c:pt idx="39">
                  <c:v>4.09</c:v>
                </c:pt>
                <c:pt idx="40">
                  <c:v>4.3600000000000003</c:v>
                </c:pt>
                <c:pt idx="41">
                  <c:v>4.43</c:v>
                </c:pt>
                <c:pt idx="42">
                  <c:v>4.62</c:v>
                </c:pt>
                <c:pt idx="43">
                  <c:v>4.74</c:v>
                </c:pt>
                <c:pt idx="44">
                  <c:v>4.5599999999999996</c:v>
                </c:pt>
                <c:pt idx="45">
                  <c:v>4.76</c:v>
                </c:pt>
                <c:pt idx="46">
                  <c:v>4.67</c:v>
                </c:pt>
                <c:pt idx="47">
                  <c:v>4.2300000000000004</c:v>
                </c:pt>
                <c:pt idx="48">
                  <c:v>3.83</c:v>
                </c:pt>
                <c:pt idx="49">
                  <c:v>3.96</c:v>
                </c:pt>
                <c:pt idx="50">
                  <c:v>4</c:v>
                </c:pt>
                <c:pt idx="51">
                  <c:v>4.09</c:v>
                </c:pt>
                <c:pt idx="52">
                  <c:v>3.93</c:v>
                </c:pt>
                <c:pt idx="53">
                  <c:v>4.3600000000000003</c:v>
                </c:pt>
                <c:pt idx="54">
                  <c:v>5.22</c:v>
                </c:pt>
                <c:pt idx="55">
                  <c:v>4.72</c:v>
                </c:pt>
                <c:pt idx="56">
                  <c:v>4.3600000000000003</c:v>
                </c:pt>
                <c:pt idx="57">
                  <c:v>4.2</c:v>
                </c:pt>
                <c:pt idx="58">
                  <c:v>4.6900000000000004</c:v>
                </c:pt>
                <c:pt idx="59">
                  <c:v>5.68</c:v>
                </c:pt>
                <c:pt idx="60">
                  <c:v>4.71</c:v>
                </c:pt>
                <c:pt idx="61">
                  <c:v>4.1500000000000004</c:v>
                </c:pt>
                <c:pt idx="62">
                  <c:v>4.1399999999999997</c:v>
                </c:pt>
                <c:pt idx="63">
                  <c:v>3.92</c:v>
                </c:pt>
                <c:pt idx="64">
                  <c:v>4.09</c:v>
                </c:pt>
                <c:pt idx="65">
                  <c:v>3.79</c:v>
                </c:pt>
                <c:pt idx="66">
                  <c:v>2.61</c:v>
                </c:pt>
                <c:pt idx="67">
                  <c:v>3.36</c:v>
                </c:pt>
                <c:pt idx="68">
                  <c:v>4.55</c:v>
                </c:pt>
                <c:pt idx="69">
                  <c:v>4.34</c:v>
                </c:pt>
                <c:pt idx="70">
                  <c:v>3.15</c:v>
                </c:pt>
                <c:pt idx="71">
                  <c:v>2.31</c:v>
                </c:pt>
                <c:pt idx="72">
                  <c:v>4.0999999999999996</c:v>
                </c:pt>
                <c:pt idx="73">
                  <c:v>4.28</c:v>
                </c:pt>
                <c:pt idx="74">
                  <c:v>4.24</c:v>
                </c:pt>
                <c:pt idx="75">
                  <c:v>4.37</c:v>
                </c:pt>
                <c:pt idx="76">
                  <c:v>4.41</c:v>
                </c:pt>
                <c:pt idx="77">
                  <c:v>4.47</c:v>
                </c:pt>
                <c:pt idx="78">
                  <c:v>4.46</c:v>
                </c:pt>
                <c:pt idx="79">
                  <c:v>4.2699999999999996</c:v>
                </c:pt>
                <c:pt idx="80">
                  <c:v>3.99</c:v>
                </c:pt>
                <c:pt idx="81">
                  <c:v>3.81</c:v>
                </c:pt>
                <c:pt idx="82">
                  <c:v>3.73</c:v>
                </c:pt>
                <c:pt idx="83">
                  <c:v>3.7</c:v>
                </c:pt>
                <c:pt idx="84">
                  <c:v>1.78</c:v>
                </c:pt>
                <c:pt idx="85">
                  <c:v>1.51</c:v>
                </c:pt>
                <c:pt idx="86">
                  <c:v>1.6</c:v>
                </c:pt>
                <c:pt idx="87">
                  <c:v>1.67</c:v>
                </c:pt>
                <c:pt idx="88">
                  <c:v>1.69</c:v>
                </c:pt>
                <c:pt idx="89">
                  <c:v>1.81</c:v>
                </c:pt>
              </c:numCache>
            </c:numRef>
          </c:val>
          <c:smooth val="0"/>
          <c:extLst xmlns:c16r2="http://schemas.microsoft.com/office/drawing/2015/06/chart">
            <c:ext xmlns:c16="http://schemas.microsoft.com/office/drawing/2014/chart" uri="{C3380CC4-5D6E-409C-BE32-E72D297353CC}">
              <c16:uniqueId val="{00000006-6E73-40A0-A288-2F6AA311058C}"/>
            </c:ext>
          </c:extLst>
        </c:ser>
        <c:ser>
          <c:idx val="3"/>
          <c:order val="3"/>
          <c:marker>
            <c:symbol val="none"/>
          </c:marker>
          <c:dLbls>
            <c:dLbl>
              <c:idx val="89"/>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E73-40A0-A288-2F6AA311058C}"/>
                </c:ext>
              </c:extLst>
            </c:dLbl>
            <c:spPr>
              <a:noFill/>
              <a:ln>
                <a:noFill/>
              </a:ln>
              <a:effectLst/>
            </c:spPr>
            <c:txPr>
              <a:bodyPr/>
              <a:lstStyle/>
              <a:p>
                <a:pPr>
                  <a:defRPr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'Inflación '!$A$44:$A$133</c:f>
              <c:numCache>
                <c:formatCode>mmm\-yy</c:formatCode>
                <c:ptCount val="90"/>
                <c:pt idx="0">
                  <c:v>41275</c:v>
                </c:pt>
                <c:pt idx="1">
                  <c:v>41306</c:v>
                </c:pt>
                <c:pt idx="2">
                  <c:v>41334</c:v>
                </c:pt>
                <c:pt idx="3">
                  <c:v>41365</c:v>
                </c:pt>
                <c:pt idx="4">
                  <c:v>41395</c:v>
                </c:pt>
                <c:pt idx="5">
                  <c:v>41426</c:v>
                </c:pt>
                <c:pt idx="6">
                  <c:v>41456</c:v>
                </c:pt>
                <c:pt idx="7">
                  <c:v>41487</c:v>
                </c:pt>
                <c:pt idx="8">
                  <c:v>41518</c:v>
                </c:pt>
                <c:pt idx="9">
                  <c:v>41548</c:v>
                </c:pt>
                <c:pt idx="10">
                  <c:v>41579</c:v>
                </c:pt>
                <c:pt idx="11">
                  <c:v>41609</c:v>
                </c:pt>
                <c:pt idx="12">
                  <c:v>41640</c:v>
                </c:pt>
                <c:pt idx="13">
                  <c:v>41671</c:v>
                </c:pt>
                <c:pt idx="14">
                  <c:v>41699</c:v>
                </c:pt>
                <c:pt idx="15">
                  <c:v>41730</c:v>
                </c:pt>
                <c:pt idx="16">
                  <c:v>41760</c:v>
                </c:pt>
                <c:pt idx="17">
                  <c:v>41791</c:v>
                </c:pt>
                <c:pt idx="18">
                  <c:v>41821</c:v>
                </c:pt>
                <c:pt idx="19">
                  <c:v>41852</c:v>
                </c:pt>
                <c:pt idx="20">
                  <c:v>41883</c:v>
                </c:pt>
                <c:pt idx="21">
                  <c:v>41913</c:v>
                </c:pt>
                <c:pt idx="22">
                  <c:v>41944</c:v>
                </c:pt>
                <c:pt idx="23">
                  <c:v>41974</c:v>
                </c:pt>
                <c:pt idx="24">
                  <c:v>42005</c:v>
                </c:pt>
                <c:pt idx="25">
                  <c:v>42036</c:v>
                </c:pt>
                <c:pt idx="26">
                  <c:v>42064</c:v>
                </c:pt>
                <c:pt idx="27">
                  <c:v>42095</c:v>
                </c:pt>
                <c:pt idx="28">
                  <c:v>42125</c:v>
                </c:pt>
                <c:pt idx="29">
                  <c:v>42156</c:v>
                </c:pt>
                <c:pt idx="30">
                  <c:v>42186</c:v>
                </c:pt>
                <c:pt idx="31">
                  <c:v>42217</c:v>
                </c:pt>
                <c:pt idx="32">
                  <c:v>42248</c:v>
                </c:pt>
                <c:pt idx="33">
                  <c:v>42278</c:v>
                </c:pt>
                <c:pt idx="34">
                  <c:v>42309</c:v>
                </c:pt>
                <c:pt idx="35">
                  <c:v>42339</c:v>
                </c:pt>
                <c:pt idx="36">
                  <c:v>42370</c:v>
                </c:pt>
                <c:pt idx="37">
                  <c:v>42401</c:v>
                </c:pt>
                <c:pt idx="38">
                  <c:v>42430</c:v>
                </c:pt>
                <c:pt idx="39">
                  <c:v>42461</c:v>
                </c:pt>
                <c:pt idx="40">
                  <c:v>42491</c:v>
                </c:pt>
                <c:pt idx="41">
                  <c:v>42522</c:v>
                </c:pt>
                <c:pt idx="42">
                  <c:v>42552</c:v>
                </c:pt>
                <c:pt idx="43">
                  <c:v>42583</c:v>
                </c:pt>
                <c:pt idx="44">
                  <c:v>42614</c:v>
                </c:pt>
                <c:pt idx="45">
                  <c:v>42644</c:v>
                </c:pt>
                <c:pt idx="46">
                  <c:v>42675</c:v>
                </c:pt>
                <c:pt idx="47">
                  <c:v>42705</c:v>
                </c:pt>
                <c:pt idx="48">
                  <c:v>42736</c:v>
                </c:pt>
                <c:pt idx="49">
                  <c:v>42767</c:v>
                </c:pt>
                <c:pt idx="50">
                  <c:v>42795</c:v>
                </c:pt>
                <c:pt idx="51">
                  <c:v>42826</c:v>
                </c:pt>
                <c:pt idx="52">
                  <c:v>42856</c:v>
                </c:pt>
                <c:pt idx="53">
                  <c:v>42887</c:v>
                </c:pt>
                <c:pt idx="54">
                  <c:v>42917</c:v>
                </c:pt>
                <c:pt idx="55">
                  <c:v>42948</c:v>
                </c:pt>
                <c:pt idx="56">
                  <c:v>42979</c:v>
                </c:pt>
                <c:pt idx="57">
                  <c:v>43009</c:v>
                </c:pt>
                <c:pt idx="58">
                  <c:v>43040</c:v>
                </c:pt>
                <c:pt idx="59">
                  <c:v>43070</c:v>
                </c:pt>
                <c:pt idx="60">
                  <c:v>43101</c:v>
                </c:pt>
                <c:pt idx="61">
                  <c:v>43132</c:v>
                </c:pt>
                <c:pt idx="62">
                  <c:v>43160</c:v>
                </c:pt>
                <c:pt idx="63">
                  <c:v>43191</c:v>
                </c:pt>
                <c:pt idx="64">
                  <c:v>43221</c:v>
                </c:pt>
                <c:pt idx="65">
                  <c:v>43252</c:v>
                </c:pt>
                <c:pt idx="66">
                  <c:v>43282</c:v>
                </c:pt>
                <c:pt idx="67">
                  <c:v>43313</c:v>
                </c:pt>
                <c:pt idx="68">
                  <c:v>43344</c:v>
                </c:pt>
                <c:pt idx="69">
                  <c:v>43374</c:v>
                </c:pt>
                <c:pt idx="70">
                  <c:v>43405</c:v>
                </c:pt>
                <c:pt idx="71">
                  <c:v>43435</c:v>
                </c:pt>
                <c:pt idx="72">
                  <c:v>43466</c:v>
                </c:pt>
                <c:pt idx="73">
                  <c:v>43497</c:v>
                </c:pt>
                <c:pt idx="74">
                  <c:v>43525</c:v>
                </c:pt>
                <c:pt idx="75">
                  <c:v>43556</c:v>
                </c:pt>
                <c:pt idx="76">
                  <c:v>43586</c:v>
                </c:pt>
                <c:pt idx="77">
                  <c:v>43617</c:v>
                </c:pt>
                <c:pt idx="78">
                  <c:v>43647</c:v>
                </c:pt>
                <c:pt idx="79">
                  <c:v>43678</c:v>
                </c:pt>
                <c:pt idx="80">
                  <c:v>43709</c:v>
                </c:pt>
                <c:pt idx="81">
                  <c:v>43739</c:v>
                </c:pt>
                <c:pt idx="82">
                  <c:v>43770</c:v>
                </c:pt>
                <c:pt idx="83">
                  <c:v>43800</c:v>
                </c:pt>
                <c:pt idx="84">
                  <c:v>43831</c:v>
                </c:pt>
                <c:pt idx="85">
                  <c:v>43862</c:v>
                </c:pt>
                <c:pt idx="86">
                  <c:v>43891</c:v>
                </c:pt>
                <c:pt idx="87">
                  <c:v>43922</c:v>
                </c:pt>
                <c:pt idx="88">
                  <c:v>43952</c:v>
                </c:pt>
                <c:pt idx="89">
                  <c:v>43983</c:v>
                </c:pt>
              </c:numCache>
            </c:numRef>
          </c:cat>
          <c:val>
            <c:numRef>
              <c:f>'Inflación '!$E$32:$E$121</c:f>
              <c:numCache>
                <c:formatCode>0.0</c:formatCode>
                <c:ptCount val="90"/>
                <c:pt idx="0">
                  <c:v>5</c:v>
                </c:pt>
                <c:pt idx="1">
                  <c:v>5</c:v>
                </c:pt>
                <c:pt idx="2">
                  <c:v>5</c:v>
                </c:pt>
                <c:pt idx="3">
                  <c:v>5</c:v>
                </c:pt>
                <c:pt idx="4">
                  <c:v>5</c:v>
                </c:pt>
                <c:pt idx="5">
                  <c:v>5</c:v>
                </c:pt>
                <c:pt idx="6">
                  <c:v>5</c:v>
                </c:pt>
                <c:pt idx="7">
                  <c:v>5</c:v>
                </c:pt>
                <c:pt idx="8">
                  <c:v>5</c:v>
                </c:pt>
                <c:pt idx="9">
                  <c:v>5</c:v>
                </c:pt>
                <c:pt idx="10">
                  <c:v>5</c:v>
                </c:pt>
                <c:pt idx="11">
                  <c:v>5</c:v>
                </c:pt>
                <c:pt idx="12">
                  <c:v>5</c:v>
                </c:pt>
                <c:pt idx="13">
                  <c:v>5</c:v>
                </c:pt>
                <c:pt idx="14">
                  <c:v>5</c:v>
                </c:pt>
                <c:pt idx="15">
                  <c:v>5</c:v>
                </c:pt>
                <c:pt idx="16">
                  <c:v>5</c:v>
                </c:pt>
                <c:pt idx="17">
                  <c:v>5</c:v>
                </c:pt>
                <c:pt idx="18">
                  <c:v>5</c:v>
                </c:pt>
                <c:pt idx="19">
                  <c:v>5</c:v>
                </c:pt>
                <c:pt idx="20">
                  <c:v>5</c:v>
                </c:pt>
                <c:pt idx="21">
                  <c:v>5</c:v>
                </c:pt>
                <c:pt idx="22">
                  <c:v>5</c:v>
                </c:pt>
                <c:pt idx="23">
                  <c:v>5</c:v>
                </c:pt>
                <c:pt idx="24">
                  <c:v>5</c:v>
                </c:pt>
                <c:pt idx="25">
                  <c:v>5</c:v>
                </c:pt>
                <c:pt idx="26">
                  <c:v>5</c:v>
                </c:pt>
                <c:pt idx="27">
                  <c:v>5</c:v>
                </c:pt>
                <c:pt idx="28">
                  <c:v>5</c:v>
                </c:pt>
                <c:pt idx="29">
                  <c:v>5</c:v>
                </c:pt>
                <c:pt idx="30">
                  <c:v>5</c:v>
                </c:pt>
                <c:pt idx="31">
                  <c:v>5</c:v>
                </c:pt>
                <c:pt idx="32">
                  <c:v>5</c:v>
                </c:pt>
                <c:pt idx="33">
                  <c:v>5</c:v>
                </c:pt>
                <c:pt idx="34">
                  <c:v>5</c:v>
                </c:pt>
                <c:pt idx="35">
                  <c:v>5</c:v>
                </c:pt>
                <c:pt idx="36">
                  <c:v>5</c:v>
                </c:pt>
                <c:pt idx="37">
                  <c:v>5</c:v>
                </c:pt>
                <c:pt idx="38">
                  <c:v>5</c:v>
                </c:pt>
                <c:pt idx="39">
                  <c:v>5</c:v>
                </c:pt>
                <c:pt idx="40">
                  <c:v>5</c:v>
                </c:pt>
                <c:pt idx="41">
                  <c:v>5</c:v>
                </c:pt>
                <c:pt idx="42">
                  <c:v>5</c:v>
                </c:pt>
                <c:pt idx="43">
                  <c:v>5</c:v>
                </c:pt>
                <c:pt idx="44">
                  <c:v>5</c:v>
                </c:pt>
                <c:pt idx="45">
                  <c:v>5</c:v>
                </c:pt>
                <c:pt idx="46">
                  <c:v>5</c:v>
                </c:pt>
                <c:pt idx="47">
                  <c:v>5</c:v>
                </c:pt>
                <c:pt idx="48">
                  <c:v>5</c:v>
                </c:pt>
                <c:pt idx="49">
                  <c:v>5</c:v>
                </c:pt>
                <c:pt idx="50">
                  <c:v>5</c:v>
                </c:pt>
                <c:pt idx="51">
                  <c:v>5</c:v>
                </c:pt>
                <c:pt idx="52">
                  <c:v>5</c:v>
                </c:pt>
                <c:pt idx="53">
                  <c:v>5</c:v>
                </c:pt>
                <c:pt idx="54">
                  <c:v>5</c:v>
                </c:pt>
                <c:pt idx="55">
                  <c:v>5</c:v>
                </c:pt>
                <c:pt idx="56">
                  <c:v>5</c:v>
                </c:pt>
                <c:pt idx="57">
                  <c:v>5</c:v>
                </c:pt>
                <c:pt idx="58">
                  <c:v>5</c:v>
                </c:pt>
                <c:pt idx="59">
                  <c:v>5</c:v>
                </c:pt>
                <c:pt idx="60">
                  <c:v>5</c:v>
                </c:pt>
                <c:pt idx="61">
                  <c:v>5</c:v>
                </c:pt>
                <c:pt idx="62">
                  <c:v>5</c:v>
                </c:pt>
                <c:pt idx="63">
                  <c:v>5</c:v>
                </c:pt>
                <c:pt idx="64">
                  <c:v>5</c:v>
                </c:pt>
                <c:pt idx="65">
                  <c:v>5</c:v>
                </c:pt>
                <c:pt idx="66">
                  <c:v>5</c:v>
                </c:pt>
                <c:pt idx="67">
                  <c:v>5</c:v>
                </c:pt>
                <c:pt idx="68">
                  <c:v>5</c:v>
                </c:pt>
                <c:pt idx="69">
                  <c:v>5</c:v>
                </c:pt>
                <c:pt idx="70">
                  <c:v>5</c:v>
                </c:pt>
                <c:pt idx="71">
                  <c:v>5</c:v>
                </c:pt>
                <c:pt idx="72">
                  <c:v>5</c:v>
                </c:pt>
                <c:pt idx="73">
                  <c:v>5</c:v>
                </c:pt>
                <c:pt idx="74">
                  <c:v>5</c:v>
                </c:pt>
                <c:pt idx="75">
                  <c:v>5</c:v>
                </c:pt>
                <c:pt idx="76">
                  <c:v>5</c:v>
                </c:pt>
                <c:pt idx="77">
                  <c:v>5</c:v>
                </c:pt>
                <c:pt idx="78">
                  <c:v>5</c:v>
                </c:pt>
                <c:pt idx="79">
                  <c:v>5</c:v>
                </c:pt>
                <c:pt idx="80">
                  <c:v>5</c:v>
                </c:pt>
                <c:pt idx="81">
                  <c:v>5</c:v>
                </c:pt>
                <c:pt idx="82">
                  <c:v>5</c:v>
                </c:pt>
                <c:pt idx="83">
                  <c:v>5</c:v>
                </c:pt>
                <c:pt idx="84">
                  <c:v>5</c:v>
                </c:pt>
                <c:pt idx="85">
                  <c:v>5</c:v>
                </c:pt>
                <c:pt idx="86">
                  <c:v>5</c:v>
                </c:pt>
                <c:pt idx="87">
                  <c:v>5</c:v>
                </c:pt>
                <c:pt idx="88">
                  <c:v>5</c:v>
                </c:pt>
                <c:pt idx="89">
                  <c:v>5</c:v>
                </c:pt>
              </c:numCache>
            </c:numRef>
          </c:val>
          <c:smooth val="0"/>
          <c:extLst xmlns:c16r2="http://schemas.microsoft.com/office/drawing/2015/06/chart">
            <c:ext xmlns:c16="http://schemas.microsoft.com/office/drawing/2014/chart" uri="{C3380CC4-5D6E-409C-BE32-E72D297353CC}">
              <c16:uniqueId val="{00000008-6E73-40A0-A288-2F6AA311058C}"/>
            </c:ext>
          </c:extLst>
        </c:ser>
        <c:dLbls>
          <c:showLegendKey val="0"/>
          <c:showVal val="0"/>
          <c:showCatName val="0"/>
          <c:showSerName val="0"/>
          <c:showPercent val="0"/>
          <c:showBubbleSize val="0"/>
        </c:dLbls>
        <c:marker val="1"/>
        <c:smooth val="0"/>
        <c:axId val="347480064"/>
        <c:axId val="347481984"/>
      </c:lineChart>
      <c:dateAx>
        <c:axId val="347480064"/>
        <c:scaling>
          <c:orientation val="minMax"/>
        </c:scaling>
        <c:delete val="0"/>
        <c:axPos val="b"/>
        <c:numFmt formatCode="mmm\-yy" sourceLinked="1"/>
        <c:majorTickMark val="out"/>
        <c:minorTickMark val="none"/>
        <c:tickLblPos val="nextTo"/>
        <c:txPr>
          <a:bodyPr/>
          <a:lstStyle/>
          <a:p>
            <a:pPr>
              <a:defRPr b="1"/>
            </a:pPr>
            <a:endParaRPr lang="es-GT"/>
          </a:p>
        </c:txPr>
        <c:crossAx val="347481984"/>
        <c:crosses val="autoZero"/>
        <c:auto val="1"/>
        <c:lblOffset val="100"/>
        <c:baseTimeUnit val="months"/>
      </c:dateAx>
      <c:valAx>
        <c:axId val="347481984"/>
        <c:scaling>
          <c:orientation val="minMax"/>
        </c:scaling>
        <c:delete val="0"/>
        <c:axPos val="l"/>
        <c:majorGridlines/>
        <c:numFmt formatCode="0.0" sourceLinked="1"/>
        <c:majorTickMark val="out"/>
        <c:minorTickMark val="none"/>
        <c:tickLblPos val="nextTo"/>
        <c:txPr>
          <a:bodyPr/>
          <a:lstStyle/>
          <a:p>
            <a:pPr>
              <a:defRPr sz="900" b="1"/>
            </a:pPr>
            <a:endParaRPr lang="es-GT"/>
          </a:p>
        </c:txPr>
        <c:crossAx val="347480064"/>
        <c:crosses val="autoZero"/>
        <c:crossBetween val="between"/>
      </c:valAx>
    </c:plotArea>
    <c:plotVisOnly val="1"/>
    <c:dispBlanksAs val="gap"/>
    <c:showDLblsOverMax val="0"/>
  </c:chart>
  <c:spPr>
    <a:ln>
      <a:solidFill>
        <a:sysClr val="windowText" lastClr="000000"/>
      </a:solidFill>
    </a:ln>
  </c:spPr>
  <c:txPr>
    <a:bodyPr/>
    <a:lstStyle/>
    <a:p>
      <a:pPr>
        <a:defRPr sz="8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052200289789394"/>
          <c:y val="1.8546047116889511E-2"/>
          <c:w val="0.85522180869211917"/>
          <c:h val="0.91872394843055583"/>
        </c:manualLayout>
      </c:layout>
      <c:barChart>
        <c:barDir val="col"/>
        <c:grouping val="clustered"/>
        <c:varyColors val="0"/>
        <c:ser>
          <c:idx val="0"/>
          <c:order val="0"/>
          <c:spPr>
            <a:solidFill>
              <a:schemeClr val="accent1"/>
            </a:solidFill>
            <a:ln>
              <a:noFill/>
            </a:ln>
            <a:effectLst/>
            <a:scene3d>
              <a:camera prst="orthographicFront"/>
              <a:lightRig rig="threePt" dir="t"/>
            </a:scene3d>
            <a:sp3d>
              <a:bevelT/>
            </a:sp3d>
          </c:spPr>
          <c:invertIfNegative val="0"/>
          <c:dPt>
            <c:idx val="10"/>
            <c:invertIfNegative val="0"/>
            <c:bubble3D val="0"/>
            <c:spPr>
              <a:solidFill>
                <a:schemeClr val="tx2">
                  <a:lumMod val="50000"/>
                </a:schemeClr>
              </a:solidFill>
              <a:ln>
                <a:noFill/>
              </a:ln>
              <a:effectLst/>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1BDD-4212-AE87-1F9989F694D8}"/>
              </c:ext>
            </c:extLst>
          </c:dPt>
          <c:dLbls>
            <c:numFmt formatCode="#,##0.0" sourceLinked="0"/>
            <c:spPr>
              <a:noFill/>
              <a:ln>
                <a:noFill/>
              </a:ln>
              <a:effectLst/>
            </c:spPr>
            <c:txPr>
              <a:bodyPr rot="0" spcFirstLastPara="1" vertOverflow="ellipsis" vert="horz" wrap="square" anchor="ctr" anchorCtr="1"/>
              <a:lstStyle/>
              <a:p>
                <a:pPr>
                  <a:defRPr sz="7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Remesas!$B$10:$L$10</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Remesas!$B$12:$L$12</c:f>
              <c:numCache>
                <c:formatCode>_(* #,##0.00_);_(* \(#,##0.00\);_(* "-"??_);_(@_)</c:formatCode>
                <c:ptCount val="11"/>
                <c:pt idx="0">
                  <c:v>4126.7840999999999</c:v>
                </c:pt>
                <c:pt idx="1">
                  <c:v>4378.0320000000002</c:v>
                </c:pt>
                <c:pt idx="2">
                  <c:v>4782.7287000000006</c:v>
                </c:pt>
                <c:pt idx="3">
                  <c:v>5105.1890000000012</c:v>
                </c:pt>
                <c:pt idx="4">
                  <c:v>5544.0975999999991</c:v>
                </c:pt>
                <c:pt idx="5">
                  <c:v>6284.9778422000009</c:v>
                </c:pt>
                <c:pt idx="6">
                  <c:v>7159.9676000000018</c:v>
                </c:pt>
                <c:pt idx="7">
                  <c:v>8192.213099999999</c:v>
                </c:pt>
                <c:pt idx="8">
                  <c:v>9287.7706999999991</c:v>
                </c:pt>
                <c:pt idx="9">
                  <c:v>10508.307399999998</c:v>
                </c:pt>
                <c:pt idx="10">
                  <c:v>4880.2494999999999</c:v>
                </c:pt>
              </c:numCache>
            </c:numRef>
          </c:val>
          <c:extLst xmlns:c16r2="http://schemas.microsoft.com/office/drawing/2015/06/chart">
            <c:ext xmlns:c16="http://schemas.microsoft.com/office/drawing/2014/chart" uri="{C3380CC4-5D6E-409C-BE32-E72D297353CC}">
              <c16:uniqueId val="{00000002-1BDD-4212-AE87-1F9989F694D8}"/>
            </c:ext>
          </c:extLst>
        </c:ser>
        <c:dLbls>
          <c:showLegendKey val="0"/>
          <c:showVal val="0"/>
          <c:showCatName val="0"/>
          <c:showSerName val="0"/>
          <c:showPercent val="0"/>
          <c:showBubbleSize val="0"/>
        </c:dLbls>
        <c:gapWidth val="50"/>
        <c:axId val="350989696"/>
        <c:axId val="359171200"/>
      </c:barChart>
      <c:catAx>
        <c:axId val="3509896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359171200"/>
        <c:crosses val="autoZero"/>
        <c:auto val="1"/>
        <c:lblAlgn val="ctr"/>
        <c:lblOffset val="100"/>
        <c:noMultiLvlLbl val="0"/>
      </c:catAx>
      <c:valAx>
        <c:axId val="359171200"/>
        <c:scaling>
          <c:orientation val="minMax"/>
        </c:scaling>
        <c:delete val="0"/>
        <c:axPos val="l"/>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crossAx val="35098969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Text" lastClr="000000"/>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1"/>
          <c:order val="0"/>
          <c:spPr>
            <a:solidFill>
              <a:schemeClr val="accent1"/>
            </a:solidFill>
            <a:scene3d>
              <a:camera prst="orthographicFront"/>
              <a:lightRig rig="threePt" dir="t"/>
            </a:scene3d>
            <a:sp3d>
              <a:bevelT/>
            </a:sp3d>
          </c:spPr>
          <c:invertIfNegative val="0"/>
          <c:dPt>
            <c:idx val="9"/>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0C6E-45F2-A178-8745E8A10E1C}"/>
              </c:ext>
            </c:extLst>
          </c:dPt>
          <c:dPt>
            <c:idx val="10"/>
            <c:invertIfNegative val="0"/>
            <c:bubble3D val="0"/>
            <c:spPr>
              <a:solidFill>
                <a:schemeClr val="tx2">
                  <a:lumMod val="50000"/>
                </a:schemeClr>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0C6E-45F2-A178-8745E8A10E1C}"/>
              </c:ext>
            </c:extLst>
          </c:dPt>
          <c:dLbls>
            <c:numFmt formatCode="#,##0.0" sourceLinked="0"/>
            <c:spPr>
              <a:noFill/>
              <a:ln>
                <a:noFill/>
              </a:ln>
              <a:effectLst/>
            </c:spPr>
            <c:txPr>
              <a:bodyPr/>
              <a:lstStyle/>
              <a:p>
                <a:pPr>
                  <a:defRPr sz="700" b="1"/>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RMI!$B$38:$B$48</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RMI!$C$38:$C$48</c:f>
              <c:numCache>
                <c:formatCode>#,##0.0</c:formatCode>
                <c:ptCount val="11"/>
                <c:pt idx="0">
                  <c:v>5953.8</c:v>
                </c:pt>
                <c:pt idx="1">
                  <c:v>6187.9</c:v>
                </c:pt>
                <c:pt idx="2">
                  <c:v>6693.8</c:v>
                </c:pt>
                <c:pt idx="3">
                  <c:v>7272.6</c:v>
                </c:pt>
                <c:pt idx="4">
                  <c:v>7333.4</c:v>
                </c:pt>
                <c:pt idx="5">
                  <c:v>7751.2</c:v>
                </c:pt>
                <c:pt idx="6">
                  <c:v>9160.4</c:v>
                </c:pt>
                <c:pt idx="7">
                  <c:v>11769.5</c:v>
                </c:pt>
                <c:pt idx="8">
                  <c:v>12755.6</c:v>
                </c:pt>
                <c:pt idx="9">
                  <c:v>14279.8</c:v>
                </c:pt>
                <c:pt idx="10">
                  <c:v>16991.8</c:v>
                </c:pt>
              </c:numCache>
            </c:numRef>
          </c:val>
          <c:extLst xmlns:c16r2="http://schemas.microsoft.com/office/drawing/2015/06/chart">
            <c:ext xmlns:c16="http://schemas.microsoft.com/office/drawing/2014/chart" uri="{C3380CC4-5D6E-409C-BE32-E72D297353CC}">
              <c16:uniqueId val="{00000004-0C6E-45F2-A178-8745E8A10E1C}"/>
            </c:ext>
          </c:extLst>
        </c:ser>
        <c:dLbls>
          <c:showLegendKey val="0"/>
          <c:showVal val="0"/>
          <c:showCatName val="0"/>
          <c:showSerName val="0"/>
          <c:showPercent val="0"/>
          <c:showBubbleSize val="0"/>
        </c:dLbls>
        <c:gapWidth val="50"/>
        <c:axId val="414749056"/>
        <c:axId val="414750592"/>
      </c:barChart>
      <c:catAx>
        <c:axId val="414749056"/>
        <c:scaling>
          <c:orientation val="minMax"/>
        </c:scaling>
        <c:delete val="0"/>
        <c:axPos val="b"/>
        <c:numFmt formatCode="General" sourceLinked="1"/>
        <c:majorTickMark val="out"/>
        <c:minorTickMark val="none"/>
        <c:tickLblPos val="nextTo"/>
        <c:txPr>
          <a:bodyPr/>
          <a:lstStyle/>
          <a:p>
            <a:pPr>
              <a:defRPr b="1"/>
            </a:pPr>
            <a:endParaRPr lang="es-GT"/>
          </a:p>
        </c:txPr>
        <c:crossAx val="414750592"/>
        <c:crosses val="autoZero"/>
        <c:auto val="1"/>
        <c:lblAlgn val="ctr"/>
        <c:lblOffset val="100"/>
        <c:noMultiLvlLbl val="0"/>
      </c:catAx>
      <c:valAx>
        <c:axId val="414750592"/>
        <c:scaling>
          <c:orientation val="minMax"/>
        </c:scaling>
        <c:delete val="0"/>
        <c:axPos val="l"/>
        <c:numFmt formatCode="#,##0.0" sourceLinked="1"/>
        <c:majorTickMark val="out"/>
        <c:minorTickMark val="none"/>
        <c:tickLblPos val="nextTo"/>
        <c:txPr>
          <a:bodyPr/>
          <a:lstStyle/>
          <a:p>
            <a:pPr>
              <a:defRPr b="1"/>
            </a:pPr>
            <a:endParaRPr lang="es-GT"/>
          </a:p>
        </c:txPr>
        <c:crossAx val="414749056"/>
        <c:crosses val="autoZero"/>
        <c:crossBetween val="between"/>
      </c:valAx>
      <c:spPr>
        <a:ln>
          <a:noFill/>
        </a:ln>
      </c:spPr>
    </c:plotArea>
    <c:plotVisOnly val="1"/>
    <c:dispBlanksAs val="gap"/>
    <c:showDLblsOverMax val="0"/>
  </c:chart>
  <c:spPr>
    <a:ln>
      <a:solidFill>
        <a:sysClr val="windowText" lastClr="000000"/>
      </a:solidFill>
    </a:ln>
  </c:spPr>
  <c:txPr>
    <a:bodyPr/>
    <a:lstStyle/>
    <a:p>
      <a:pPr>
        <a:defRPr sz="9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1757037037037119E-2"/>
          <c:y val="2.1528333333333333E-2"/>
          <c:w val="0.87767808641975309"/>
          <c:h val="0.81530583333333395"/>
        </c:manualLayout>
      </c:layout>
      <c:lineChart>
        <c:grouping val="standard"/>
        <c:varyColors val="0"/>
        <c:ser>
          <c:idx val="0"/>
          <c:order val="0"/>
          <c:spPr>
            <a:ln w="25400"/>
          </c:spPr>
          <c:marker>
            <c:symbol val="none"/>
          </c:marker>
          <c:dLbls>
            <c:dLbl>
              <c:idx val="0"/>
              <c:layout>
                <c:manualLayout>
                  <c:x val="-3.8406143047460032E-3"/>
                  <c:y val="3.8986354775828409E-2"/>
                </c:manualLayout>
              </c:layout>
              <c:showLegendKey val="0"/>
              <c:showVal val="1"/>
              <c:showCatName val="0"/>
              <c:showSerName val="0"/>
              <c:showPercent val="0"/>
              <c:showBubbleSize val="0"/>
            </c:dLbl>
            <c:dLbl>
              <c:idx val="27"/>
              <c:layout>
                <c:manualLayout>
                  <c:x val="-6.6137566137566134E-2"/>
                  <c:y val="-5.492419207281314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A36E-4D8F-8CA4-F35B20ED20FB}"/>
                </c:ext>
              </c:extLst>
            </c:dLbl>
            <c:dLbl>
              <c:idx val="35"/>
              <c:layout>
                <c:manualLayout>
                  <c:x val="-4.8214632893110586E-2"/>
                  <c:y val="5.182228338637412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A36E-4D8F-8CA4-F35B20ED20FB}"/>
                </c:ext>
              </c:extLst>
            </c:dLbl>
            <c:dLbl>
              <c:idx val="57"/>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A36E-4D8F-8CA4-F35B20ED20FB}"/>
                </c:ext>
              </c:extLst>
            </c:dLbl>
            <c:dLbl>
              <c:idx val="72"/>
              <c:layout>
                <c:manualLayout>
                  <c:x val="-7.6812286094919821E-3"/>
                  <c:y val="-3.1189083820662766E-2"/>
                </c:manualLayout>
              </c:layout>
              <c:tx>
                <c:rich>
                  <a:bodyPr/>
                  <a:lstStyle/>
                  <a:p>
                    <a:r>
                      <a:rPr lang="en-US" b="1"/>
                      <a:t>4.00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A36E-4D8F-8CA4-F35B20ED20FB}"/>
                </c:ext>
              </c:extLst>
            </c:dLbl>
            <c:dLbl>
              <c:idx val="104"/>
              <c:layout>
                <c:manualLayout>
                  <c:x val="-1.9203071523729957E-2"/>
                  <c:y val="-3.8986354775828458E-2"/>
                </c:manualLayout>
              </c:layout>
              <c:tx>
                <c:rich>
                  <a:bodyPr/>
                  <a:lstStyle/>
                  <a:p>
                    <a:r>
                      <a:rPr lang="en-US" b="1"/>
                      <a:t>3.00</a:t>
                    </a:r>
                    <a:endParaRPr lang="en-US"/>
                  </a:p>
                </c:rich>
              </c:tx>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A36E-4D8F-8CA4-F35B20ED20FB}"/>
                </c:ext>
              </c:extLst>
            </c:dLbl>
            <c:dLbl>
              <c:idx val="125"/>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A36E-4D8F-8CA4-F35B20ED20FB}"/>
                </c:ext>
              </c:extLst>
            </c:dLbl>
            <c:dLbl>
              <c:idx val="136"/>
              <c:layout>
                <c:manualLayout>
                  <c:x val="-2.3043685828475949E-2"/>
                  <c:y val="3.37881741390513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A36E-4D8F-8CA4-F35B20ED20FB}"/>
                </c:ext>
              </c:extLst>
            </c:dLbl>
            <c:numFmt formatCode="#,##0.00" sourceLinked="0"/>
            <c:spPr>
              <a:noFill/>
              <a:ln>
                <a:noFill/>
              </a:ln>
              <a:effectLst/>
            </c:spPr>
            <c:txPr>
              <a:bodyPr/>
              <a:lstStyle/>
              <a:p>
                <a:pPr>
                  <a:defRPr sz="800"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'Tasa lider'!$B$30:$B$155</c:f>
              <c:numCache>
                <c:formatCode>mmm\-yy</c:formatCode>
                <c:ptCount val="126"/>
                <c:pt idx="0">
                  <c:v>40179</c:v>
                </c:pt>
                <c:pt idx="1">
                  <c:v>40210</c:v>
                </c:pt>
                <c:pt idx="2">
                  <c:v>40238</c:v>
                </c:pt>
                <c:pt idx="3">
                  <c:v>40269</c:v>
                </c:pt>
                <c:pt idx="4">
                  <c:v>40299</c:v>
                </c:pt>
                <c:pt idx="5">
                  <c:v>40330</c:v>
                </c:pt>
                <c:pt idx="6">
                  <c:v>40360</c:v>
                </c:pt>
                <c:pt idx="7">
                  <c:v>40391</c:v>
                </c:pt>
                <c:pt idx="8">
                  <c:v>40422</c:v>
                </c:pt>
                <c:pt idx="9">
                  <c:v>40452</c:v>
                </c:pt>
                <c:pt idx="10">
                  <c:v>40483</c:v>
                </c:pt>
                <c:pt idx="11">
                  <c:v>40513</c:v>
                </c:pt>
                <c:pt idx="12">
                  <c:v>40544</c:v>
                </c:pt>
                <c:pt idx="13">
                  <c:v>40575</c:v>
                </c:pt>
                <c:pt idx="14">
                  <c:v>40603</c:v>
                </c:pt>
                <c:pt idx="15">
                  <c:v>40634</c:v>
                </c:pt>
                <c:pt idx="16">
                  <c:v>40664</c:v>
                </c:pt>
                <c:pt idx="17">
                  <c:v>40695</c:v>
                </c:pt>
                <c:pt idx="18">
                  <c:v>40725</c:v>
                </c:pt>
                <c:pt idx="19">
                  <c:v>40756</c:v>
                </c:pt>
                <c:pt idx="20">
                  <c:v>40787</c:v>
                </c:pt>
                <c:pt idx="21">
                  <c:v>40817</c:v>
                </c:pt>
                <c:pt idx="22">
                  <c:v>40848</c:v>
                </c:pt>
                <c:pt idx="23">
                  <c:v>40878</c:v>
                </c:pt>
                <c:pt idx="24">
                  <c:v>40909</c:v>
                </c:pt>
                <c:pt idx="25">
                  <c:v>40940</c:v>
                </c:pt>
                <c:pt idx="26">
                  <c:v>40969</c:v>
                </c:pt>
                <c:pt idx="27">
                  <c:v>41000</c:v>
                </c:pt>
                <c:pt idx="28">
                  <c:v>41030</c:v>
                </c:pt>
                <c:pt idx="29">
                  <c:v>41061</c:v>
                </c:pt>
                <c:pt idx="30">
                  <c:v>41091</c:v>
                </c:pt>
                <c:pt idx="31">
                  <c:v>41122</c:v>
                </c:pt>
                <c:pt idx="32">
                  <c:v>41153</c:v>
                </c:pt>
                <c:pt idx="33">
                  <c:v>41183</c:v>
                </c:pt>
                <c:pt idx="34">
                  <c:v>41214</c:v>
                </c:pt>
                <c:pt idx="35">
                  <c:v>41244</c:v>
                </c:pt>
                <c:pt idx="36">
                  <c:v>41275</c:v>
                </c:pt>
                <c:pt idx="37">
                  <c:v>41306</c:v>
                </c:pt>
                <c:pt idx="38">
                  <c:v>41334</c:v>
                </c:pt>
                <c:pt idx="39">
                  <c:v>41365</c:v>
                </c:pt>
                <c:pt idx="40">
                  <c:v>41395</c:v>
                </c:pt>
                <c:pt idx="41">
                  <c:v>41426</c:v>
                </c:pt>
                <c:pt idx="42">
                  <c:v>41456</c:v>
                </c:pt>
                <c:pt idx="43">
                  <c:v>41487</c:v>
                </c:pt>
                <c:pt idx="44">
                  <c:v>41518</c:v>
                </c:pt>
                <c:pt idx="45">
                  <c:v>41548</c:v>
                </c:pt>
                <c:pt idx="46">
                  <c:v>41579</c:v>
                </c:pt>
                <c:pt idx="47">
                  <c:v>41609</c:v>
                </c:pt>
                <c:pt idx="48">
                  <c:v>41640</c:v>
                </c:pt>
                <c:pt idx="49">
                  <c:v>41671</c:v>
                </c:pt>
                <c:pt idx="50">
                  <c:v>41699</c:v>
                </c:pt>
                <c:pt idx="51">
                  <c:v>41730</c:v>
                </c:pt>
                <c:pt idx="52">
                  <c:v>41760</c:v>
                </c:pt>
                <c:pt idx="53">
                  <c:v>41791</c:v>
                </c:pt>
                <c:pt idx="54">
                  <c:v>41821</c:v>
                </c:pt>
                <c:pt idx="55">
                  <c:v>41852</c:v>
                </c:pt>
                <c:pt idx="56">
                  <c:v>41883</c:v>
                </c:pt>
                <c:pt idx="57">
                  <c:v>41913</c:v>
                </c:pt>
                <c:pt idx="58">
                  <c:v>41944</c:v>
                </c:pt>
                <c:pt idx="59">
                  <c:v>41974</c:v>
                </c:pt>
                <c:pt idx="60">
                  <c:v>42005</c:v>
                </c:pt>
                <c:pt idx="61">
                  <c:v>42036</c:v>
                </c:pt>
                <c:pt idx="62">
                  <c:v>42064</c:v>
                </c:pt>
                <c:pt idx="63">
                  <c:v>42095</c:v>
                </c:pt>
                <c:pt idx="64">
                  <c:v>42125</c:v>
                </c:pt>
                <c:pt idx="65">
                  <c:v>42156</c:v>
                </c:pt>
                <c:pt idx="66">
                  <c:v>42186</c:v>
                </c:pt>
                <c:pt idx="67">
                  <c:v>42217</c:v>
                </c:pt>
                <c:pt idx="68">
                  <c:v>42248</c:v>
                </c:pt>
                <c:pt idx="69">
                  <c:v>42278</c:v>
                </c:pt>
                <c:pt idx="70">
                  <c:v>42309</c:v>
                </c:pt>
                <c:pt idx="71">
                  <c:v>42339</c:v>
                </c:pt>
                <c:pt idx="72">
                  <c:v>42370</c:v>
                </c:pt>
                <c:pt idx="73">
                  <c:v>42401</c:v>
                </c:pt>
                <c:pt idx="74">
                  <c:v>42430</c:v>
                </c:pt>
                <c:pt idx="75">
                  <c:v>42461</c:v>
                </c:pt>
                <c:pt idx="76">
                  <c:v>42491</c:v>
                </c:pt>
                <c:pt idx="77">
                  <c:v>42522</c:v>
                </c:pt>
                <c:pt idx="78">
                  <c:v>42552</c:v>
                </c:pt>
                <c:pt idx="79">
                  <c:v>42583</c:v>
                </c:pt>
                <c:pt idx="80">
                  <c:v>42614</c:v>
                </c:pt>
                <c:pt idx="81">
                  <c:v>42644</c:v>
                </c:pt>
                <c:pt idx="82">
                  <c:v>42675</c:v>
                </c:pt>
                <c:pt idx="83">
                  <c:v>42705</c:v>
                </c:pt>
                <c:pt idx="84">
                  <c:v>42736</c:v>
                </c:pt>
                <c:pt idx="85">
                  <c:v>42767</c:v>
                </c:pt>
                <c:pt idx="86">
                  <c:v>42795</c:v>
                </c:pt>
                <c:pt idx="87">
                  <c:v>42826</c:v>
                </c:pt>
                <c:pt idx="88">
                  <c:v>42856</c:v>
                </c:pt>
                <c:pt idx="89">
                  <c:v>42887</c:v>
                </c:pt>
                <c:pt idx="90">
                  <c:v>42917</c:v>
                </c:pt>
                <c:pt idx="91">
                  <c:v>42948</c:v>
                </c:pt>
                <c:pt idx="92">
                  <c:v>42979</c:v>
                </c:pt>
                <c:pt idx="93">
                  <c:v>43009</c:v>
                </c:pt>
                <c:pt idx="94">
                  <c:v>43040</c:v>
                </c:pt>
                <c:pt idx="95">
                  <c:v>43070</c:v>
                </c:pt>
                <c:pt idx="96">
                  <c:v>43101</c:v>
                </c:pt>
                <c:pt idx="97">
                  <c:v>43132</c:v>
                </c:pt>
                <c:pt idx="98">
                  <c:v>43160</c:v>
                </c:pt>
                <c:pt idx="99">
                  <c:v>43191</c:v>
                </c:pt>
                <c:pt idx="100">
                  <c:v>43221</c:v>
                </c:pt>
                <c:pt idx="101">
                  <c:v>43252</c:v>
                </c:pt>
                <c:pt idx="102">
                  <c:v>43282</c:v>
                </c:pt>
                <c:pt idx="103">
                  <c:v>43313</c:v>
                </c:pt>
                <c:pt idx="104">
                  <c:v>43344</c:v>
                </c:pt>
                <c:pt idx="105">
                  <c:v>43374</c:v>
                </c:pt>
                <c:pt idx="106">
                  <c:v>43405</c:v>
                </c:pt>
                <c:pt idx="107">
                  <c:v>43435</c:v>
                </c:pt>
                <c:pt idx="108">
                  <c:v>43466</c:v>
                </c:pt>
                <c:pt idx="109">
                  <c:v>43497</c:v>
                </c:pt>
                <c:pt idx="110">
                  <c:v>43525</c:v>
                </c:pt>
                <c:pt idx="111">
                  <c:v>43556</c:v>
                </c:pt>
                <c:pt idx="112">
                  <c:v>43586</c:v>
                </c:pt>
                <c:pt idx="113">
                  <c:v>43617</c:v>
                </c:pt>
                <c:pt idx="114">
                  <c:v>43647</c:v>
                </c:pt>
                <c:pt idx="115">
                  <c:v>43678</c:v>
                </c:pt>
                <c:pt idx="116">
                  <c:v>43709</c:v>
                </c:pt>
                <c:pt idx="117">
                  <c:v>43739</c:v>
                </c:pt>
                <c:pt idx="118">
                  <c:v>43770</c:v>
                </c:pt>
                <c:pt idx="119">
                  <c:v>43800</c:v>
                </c:pt>
                <c:pt idx="120">
                  <c:v>43831</c:v>
                </c:pt>
                <c:pt idx="121">
                  <c:v>43862</c:v>
                </c:pt>
                <c:pt idx="122">
                  <c:v>43891</c:v>
                </c:pt>
                <c:pt idx="123">
                  <c:v>43922</c:v>
                </c:pt>
                <c:pt idx="124">
                  <c:v>43952</c:v>
                </c:pt>
                <c:pt idx="125">
                  <c:v>43983</c:v>
                </c:pt>
              </c:numCache>
            </c:numRef>
          </c:cat>
          <c:val>
            <c:numRef>
              <c:f>'Tasa lider'!$C$30:$C$155</c:f>
              <c:numCache>
                <c:formatCode>0.00</c:formatCode>
                <c:ptCount val="126"/>
                <c:pt idx="0">
                  <c:v>4.5</c:v>
                </c:pt>
                <c:pt idx="1">
                  <c:v>4.5</c:v>
                </c:pt>
                <c:pt idx="2">
                  <c:v>4.5</c:v>
                </c:pt>
                <c:pt idx="3">
                  <c:v>4.5</c:v>
                </c:pt>
                <c:pt idx="4">
                  <c:v>4.5</c:v>
                </c:pt>
                <c:pt idx="5">
                  <c:v>4.5</c:v>
                </c:pt>
                <c:pt idx="6">
                  <c:v>4.5</c:v>
                </c:pt>
                <c:pt idx="7">
                  <c:v>4.5</c:v>
                </c:pt>
                <c:pt idx="8">
                  <c:v>4.5</c:v>
                </c:pt>
                <c:pt idx="9">
                  <c:v>4.5</c:v>
                </c:pt>
                <c:pt idx="10">
                  <c:v>4.5</c:v>
                </c:pt>
                <c:pt idx="11">
                  <c:v>4.5</c:v>
                </c:pt>
                <c:pt idx="12">
                  <c:v>4.5</c:v>
                </c:pt>
                <c:pt idx="13">
                  <c:v>4.5</c:v>
                </c:pt>
                <c:pt idx="14">
                  <c:v>4.75</c:v>
                </c:pt>
                <c:pt idx="15">
                  <c:v>4.75</c:v>
                </c:pt>
                <c:pt idx="16">
                  <c:v>4.75</c:v>
                </c:pt>
                <c:pt idx="17">
                  <c:v>4.75</c:v>
                </c:pt>
                <c:pt idx="18">
                  <c:v>5</c:v>
                </c:pt>
                <c:pt idx="19">
                  <c:v>5</c:v>
                </c:pt>
                <c:pt idx="20">
                  <c:v>5.5</c:v>
                </c:pt>
                <c:pt idx="21">
                  <c:v>5.5</c:v>
                </c:pt>
                <c:pt idx="22">
                  <c:v>5.5</c:v>
                </c:pt>
                <c:pt idx="23">
                  <c:v>5.5</c:v>
                </c:pt>
                <c:pt idx="24">
                  <c:v>5.5</c:v>
                </c:pt>
                <c:pt idx="25">
                  <c:v>5.5</c:v>
                </c:pt>
                <c:pt idx="26">
                  <c:v>5.5</c:v>
                </c:pt>
                <c:pt idx="27">
                  <c:v>5.5</c:v>
                </c:pt>
                <c:pt idx="28">
                  <c:v>5.5</c:v>
                </c:pt>
                <c:pt idx="29">
                  <c:v>5</c:v>
                </c:pt>
                <c:pt idx="30">
                  <c:v>5</c:v>
                </c:pt>
                <c:pt idx="31">
                  <c:v>5</c:v>
                </c:pt>
                <c:pt idx="32">
                  <c:v>5</c:v>
                </c:pt>
                <c:pt idx="33">
                  <c:v>5</c:v>
                </c:pt>
                <c:pt idx="34">
                  <c:v>5</c:v>
                </c:pt>
                <c:pt idx="35">
                  <c:v>5</c:v>
                </c:pt>
                <c:pt idx="36">
                  <c:v>5</c:v>
                </c:pt>
                <c:pt idx="37">
                  <c:v>5</c:v>
                </c:pt>
                <c:pt idx="38">
                  <c:v>5</c:v>
                </c:pt>
                <c:pt idx="39">
                  <c:v>5.25</c:v>
                </c:pt>
                <c:pt idx="40">
                  <c:v>5.25</c:v>
                </c:pt>
                <c:pt idx="41">
                  <c:v>5.25</c:v>
                </c:pt>
                <c:pt idx="42">
                  <c:v>5.25</c:v>
                </c:pt>
                <c:pt idx="43">
                  <c:v>5.25</c:v>
                </c:pt>
                <c:pt idx="44">
                  <c:v>5.25</c:v>
                </c:pt>
                <c:pt idx="45">
                  <c:v>5</c:v>
                </c:pt>
                <c:pt idx="46">
                  <c:v>5</c:v>
                </c:pt>
                <c:pt idx="47">
                  <c:v>5</c:v>
                </c:pt>
                <c:pt idx="48">
                  <c:v>5</c:v>
                </c:pt>
                <c:pt idx="49">
                  <c:v>5</c:v>
                </c:pt>
                <c:pt idx="50">
                  <c:v>5</c:v>
                </c:pt>
                <c:pt idx="51" formatCode="General">
                  <c:v>5</c:v>
                </c:pt>
                <c:pt idx="52" formatCode="General">
                  <c:v>4.75</c:v>
                </c:pt>
                <c:pt idx="53" formatCode="General">
                  <c:v>4.75</c:v>
                </c:pt>
                <c:pt idx="54" formatCode="General">
                  <c:v>4.75</c:v>
                </c:pt>
                <c:pt idx="55" formatCode="General">
                  <c:v>4.5</c:v>
                </c:pt>
                <c:pt idx="56" formatCode="General">
                  <c:v>4.5</c:v>
                </c:pt>
                <c:pt idx="57" formatCode="General">
                  <c:v>4.5</c:v>
                </c:pt>
                <c:pt idx="58" formatCode="General">
                  <c:v>4</c:v>
                </c:pt>
                <c:pt idx="59" formatCode="General">
                  <c:v>4</c:v>
                </c:pt>
                <c:pt idx="60" formatCode="General">
                  <c:v>4</c:v>
                </c:pt>
                <c:pt idx="61" formatCode="General">
                  <c:v>4</c:v>
                </c:pt>
                <c:pt idx="62" formatCode="General">
                  <c:v>4</c:v>
                </c:pt>
                <c:pt idx="63" formatCode="General">
                  <c:v>4</c:v>
                </c:pt>
                <c:pt idx="64" formatCode="General">
                  <c:v>3.5</c:v>
                </c:pt>
                <c:pt idx="65" formatCode="General">
                  <c:v>3.5</c:v>
                </c:pt>
                <c:pt idx="66" formatCode="General">
                  <c:v>3.5</c:v>
                </c:pt>
                <c:pt idx="67" formatCode="General">
                  <c:v>3.25</c:v>
                </c:pt>
                <c:pt idx="68" formatCode="General">
                  <c:v>3.25</c:v>
                </c:pt>
                <c:pt idx="69" formatCode="General">
                  <c:v>3.25</c:v>
                </c:pt>
                <c:pt idx="70" formatCode="General">
                  <c:v>3</c:v>
                </c:pt>
                <c:pt idx="71" formatCode="General">
                  <c:v>3</c:v>
                </c:pt>
                <c:pt idx="72" formatCode="General">
                  <c:v>3</c:v>
                </c:pt>
                <c:pt idx="73" formatCode="General">
                  <c:v>3</c:v>
                </c:pt>
                <c:pt idx="74" formatCode="General">
                  <c:v>3</c:v>
                </c:pt>
                <c:pt idx="75" formatCode="General">
                  <c:v>3</c:v>
                </c:pt>
                <c:pt idx="76" formatCode="General">
                  <c:v>3</c:v>
                </c:pt>
                <c:pt idx="77" formatCode="General">
                  <c:v>3</c:v>
                </c:pt>
                <c:pt idx="78" formatCode="General">
                  <c:v>3</c:v>
                </c:pt>
                <c:pt idx="79" formatCode="General">
                  <c:v>3</c:v>
                </c:pt>
                <c:pt idx="80" formatCode="General">
                  <c:v>3</c:v>
                </c:pt>
                <c:pt idx="81" formatCode="General">
                  <c:v>3</c:v>
                </c:pt>
                <c:pt idx="82" formatCode="General">
                  <c:v>3</c:v>
                </c:pt>
                <c:pt idx="83" formatCode="General">
                  <c:v>3</c:v>
                </c:pt>
                <c:pt idx="84" formatCode="General">
                  <c:v>3</c:v>
                </c:pt>
                <c:pt idx="85" formatCode="General">
                  <c:v>3</c:v>
                </c:pt>
                <c:pt idx="86" formatCode="General">
                  <c:v>3</c:v>
                </c:pt>
                <c:pt idx="87" formatCode="General">
                  <c:v>3</c:v>
                </c:pt>
                <c:pt idx="88" formatCode="General">
                  <c:v>3</c:v>
                </c:pt>
                <c:pt idx="89" formatCode="General">
                  <c:v>3</c:v>
                </c:pt>
                <c:pt idx="90" formatCode="General">
                  <c:v>3</c:v>
                </c:pt>
                <c:pt idx="91" formatCode="General">
                  <c:v>3</c:v>
                </c:pt>
                <c:pt idx="92" formatCode="General">
                  <c:v>3</c:v>
                </c:pt>
                <c:pt idx="93" formatCode="General">
                  <c:v>2.75</c:v>
                </c:pt>
                <c:pt idx="94" formatCode="General">
                  <c:v>2.75</c:v>
                </c:pt>
                <c:pt idx="95" formatCode="General">
                  <c:v>2.75</c:v>
                </c:pt>
                <c:pt idx="96" formatCode="General">
                  <c:v>2.75</c:v>
                </c:pt>
                <c:pt idx="97" formatCode="General">
                  <c:v>2.75</c:v>
                </c:pt>
                <c:pt idx="98" formatCode="General">
                  <c:v>2.75</c:v>
                </c:pt>
                <c:pt idx="99" formatCode="General">
                  <c:v>2.75</c:v>
                </c:pt>
                <c:pt idx="100" formatCode="General">
                  <c:v>2.75</c:v>
                </c:pt>
                <c:pt idx="101" formatCode="General">
                  <c:v>2.75</c:v>
                </c:pt>
                <c:pt idx="102" formatCode="General">
                  <c:v>2.75</c:v>
                </c:pt>
                <c:pt idx="103" formatCode="General">
                  <c:v>2.75</c:v>
                </c:pt>
                <c:pt idx="104" formatCode="General">
                  <c:v>2.75</c:v>
                </c:pt>
                <c:pt idx="105" formatCode="General">
                  <c:v>2.75</c:v>
                </c:pt>
                <c:pt idx="106" formatCode="General">
                  <c:v>2.75</c:v>
                </c:pt>
                <c:pt idx="107" formatCode="General">
                  <c:v>2.75</c:v>
                </c:pt>
                <c:pt idx="108" formatCode="General">
                  <c:v>2.75</c:v>
                </c:pt>
                <c:pt idx="109" formatCode="General">
                  <c:v>2.75</c:v>
                </c:pt>
                <c:pt idx="110" formatCode="General">
                  <c:v>2.75</c:v>
                </c:pt>
                <c:pt idx="111" formatCode="General">
                  <c:v>2.75</c:v>
                </c:pt>
                <c:pt idx="112" formatCode="General">
                  <c:v>2.75</c:v>
                </c:pt>
                <c:pt idx="113" formatCode="General">
                  <c:v>2.75</c:v>
                </c:pt>
                <c:pt idx="114" formatCode="General">
                  <c:v>2.75</c:v>
                </c:pt>
                <c:pt idx="115" formatCode="General">
                  <c:v>2.75</c:v>
                </c:pt>
                <c:pt idx="116" formatCode="General">
                  <c:v>2.75</c:v>
                </c:pt>
                <c:pt idx="117" formatCode="General">
                  <c:v>2.75</c:v>
                </c:pt>
                <c:pt idx="118" formatCode="General">
                  <c:v>2.75</c:v>
                </c:pt>
                <c:pt idx="119" formatCode="General">
                  <c:v>2.75</c:v>
                </c:pt>
                <c:pt idx="120" formatCode="General">
                  <c:v>2.75</c:v>
                </c:pt>
                <c:pt idx="121" formatCode="General">
                  <c:v>2.75</c:v>
                </c:pt>
                <c:pt idx="122" formatCode="General">
                  <c:v>2.25</c:v>
                </c:pt>
                <c:pt idx="123">
                  <c:v>2</c:v>
                </c:pt>
                <c:pt idx="124">
                  <c:v>2</c:v>
                </c:pt>
                <c:pt idx="125" formatCode="General">
                  <c:v>1.75</c:v>
                </c:pt>
              </c:numCache>
            </c:numRef>
          </c:val>
          <c:smooth val="1"/>
          <c:extLst xmlns:c16r2="http://schemas.microsoft.com/office/drawing/2015/06/chart">
            <c:ext xmlns:c16="http://schemas.microsoft.com/office/drawing/2014/chart" uri="{C3380CC4-5D6E-409C-BE32-E72D297353CC}">
              <c16:uniqueId val="{00000009-A36E-4D8F-8CA4-F35B20ED20FB}"/>
            </c:ext>
          </c:extLst>
        </c:ser>
        <c:dLbls>
          <c:showLegendKey val="0"/>
          <c:showVal val="1"/>
          <c:showCatName val="0"/>
          <c:showSerName val="0"/>
          <c:showPercent val="0"/>
          <c:showBubbleSize val="0"/>
        </c:dLbls>
        <c:marker val="1"/>
        <c:smooth val="0"/>
        <c:axId val="420824960"/>
        <c:axId val="425083264"/>
      </c:lineChart>
      <c:dateAx>
        <c:axId val="420824960"/>
        <c:scaling>
          <c:orientation val="minMax"/>
        </c:scaling>
        <c:delete val="0"/>
        <c:axPos val="b"/>
        <c:numFmt formatCode="mmm\-yy" sourceLinked="1"/>
        <c:majorTickMark val="out"/>
        <c:minorTickMark val="none"/>
        <c:tickLblPos val="nextTo"/>
        <c:txPr>
          <a:bodyPr rot="-5400000" vert="horz"/>
          <a:lstStyle/>
          <a:p>
            <a:pPr>
              <a:defRPr sz="800" b="1"/>
            </a:pPr>
            <a:endParaRPr lang="es-GT"/>
          </a:p>
        </c:txPr>
        <c:crossAx val="425083264"/>
        <c:crosses val="autoZero"/>
        <c:auto val="1"/>
        <c:lblOffset val="100"/>
        <c:baseTimeUnit val="months"/>
        <c:majorUnit val="6"/>
        <c:majorTimeUnit val="months"/>
        <c:minorUnit val="30"/>
        <c:minorTimeUnit val="days"/>
      </c:dateAx>
      <c:valAx>
        <c:axId val="425083264"/>
        <c:scaling>
          <c:orientation val="minMax"/>
        </c:scaling>
        <c:delete val="0"/>
        <c:axPos val="l"/>
        <c:numFmt formatCode="0.00" sourceLinked="1"/>
        <c:majorTickMark val="out"/>
        <c:minorTickMark val="none"/>
        <c:tickLblPos val="nextTo"/>
        <c:txPr>
          <a:bodyPr/>
          <a:lstStyle/>
          <a:p>
            <a:pPr>
              <a:defRPr b="1"/>
            </a:pPr>
            <a:endParaRPr lang="es-GT"/>
          </a:p>
        </c:txPr>
        <c:crossAx val="420824960"/>
        <c:crosses val="autoZero"/>
        <c:crossBetween val="between"/>
      </c:valAx>
    </c:plotArea>
    <c:plotVisOnly val="1"/>
    <c:dispBlanksAs val="gap"/>
    <c:showDLblsOverMax val="0"/>
  </c:chart>
  <c:spPr>
    <a:ln>
      <a:solidFill>
        <a:sysClr val="windowText" lastClr="000000"/>
      </a:solidFill>
    </a:ln>
  </c:spPr>
  <c:txPr>
    <a:bodyPr/>
    <a:lstStyle/>
    <a:p>
      <a:pPr>
        <a:defRPr sz="900">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2395736247254812E-2"/>
          <c:y val="2.340922719658E-2"/>
          <c:w val="0.93944099844662277"/>
          <c:h val="0.84874179555519969"/>
        </c:manualLayout>
      </c:layout>
      <c:lineChart>
        <c:grouping val="standard"/>
        <c:varyColors val="0"/>
        <c:ser>
          <c:idx val="0"/>
          <c:order val="0"/>
          <c:marker>
            <c:symbol val="none"/>
          </c:marker>
          <c:dLbls>
            <c:dLbl>
              <c:idx val="101"/>
              <c:layout>
                <c:manualLayout>
                  <c:x val="-1.616677385145396E-16"/>
                  <c:y val="7.759958613554066E-2"/>
                </c:manualLayout>
              </c:layout>
              <c:spPr>
                <a:noFill/>
                <a:ln>
                  <a:noFill/>
                </a:ln>
                <a:effectLst/>
              </c:spPr>
              <c:txPr>
                <a:bodyPr wrap="square" lIns="38100" tIns="19050" rIns="38100" bIns="19050" anchor="ctr">
                  <a:spAutoFit/>
                </a:bodyPr>
                <a:lstStyle/>
                <a:p>
                  <a:pPr>
                    <a:defRPr sz="800" b="1"/>
                  </a:pPr>
                  <a:endParaRPr lang="es-GT"/>
                </a:p>
              </c:txPr>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86B0-4A60-BD7E-35646D620A93}"/>
                </c:ext>
              </c:extLst>
            </c:dLbl>
            <c:spPr>
              <a:noFill/>
              <a:ln>
                <a:noFill/>
              </a:ln>
              <a:effectLst/>
            </c:spPr>
            <c:txPr>
              <a:bodyPr/>
              <a:lstStyle/>
              <a:p>
                <a:pPr>
                  <a:defRPr b="1"/>
                </a:pPr>
                <a:endParaRPr lang="es-GT"/>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ext>
            </c:extLst>
          </c:dLbls>
          <c:cat>
            <c:numRef>
              <c:f>'Tipo de cambio '!$B$49:$B$150</c:f>
              <c:numCache>
                <c:formatCode>mmm\-yy</c:formatCode>
                <c:ptCount val="102"/>
                <c:pt idx="0">
                  <c:v>40909</c:v>
                </c:pt>
                <c:pt idx="1">
                  <c:v>40940</c:v>
                </c:pt>
                <c:pt idx="2">
                  <c:v>40969</c:v>
                </c:pt>
                <c:pt idx="3">
                  <c:v>41000</c:v>
                </c:pt>
                <c:pt idx="4">
                  <c:v>41030</c:v>
                </c:pt>
                <c:pt idx="5">
                  <c:v>41061</c:v>
                </c:pt>
                <c:pt idx="6">
                  <c:v>41091</c:v>
                </c:pt>
                <c:pt idx="7">
                  <c:v>41122</c:v>
                </c:pt>
                <c:pt idx="8">
                  <c:v>41153</c:v>
                </c:pt>
                <c:pt idx="9">
                  <c:v>41183</c:v>
                </c:pt>
                <c:pt idx="10">
                  <c:v>41214</c:v>
                </c:pt>
                <c:pt idx="11">
                  <c:v>41244</c:v>
                </c:pt>
                <c:pt idx="12">
                  <c:v>41275</c:v>
                </c:pt>
                <c:pt idx="13">
                  <c:v>41306</c:v>
                </c:pt>
                <c:pt idx="14">
                  <c:v>41334</c:v>
                </c:pt>
                <c:pt idx="15">
                  <c:v>41365</c:v>
                </c:pt>
                <c:pt idx="16">
                  <c:v>41395</c:v>
                </c:pt>
                <c:pt idx="17">
                  <c:v>41426</c:v>
                </c:pt>
                <c:pt idx="18">
                  <c:v>41456</c:v>
                </c:pt>
                <c:pt idx="19">
                  <c:v>41487</c:v>
                </c:pt>
                <c:pt idx="20">
                  <c:v>41518</c:v>
                </c:pt>
                <c:pt idx="21">
                  <c:v>41548</c:v>
                </c:pt>
                <c:pt idx="22">
                  <c:v>41579</c:v>
                </c:pt>
                <c:pt idx="23">
                  <c:v>41609</c:v>
                </c:pt>
                <c:pt idx="24">
                  <c:v>41640</c:v>
                </c:pt>
                <c:pt idx="25">
                  <c:v>41671</c:v>
                </c:pt>
                <c:pt idx="26">
                  <c:v>41699</c:v>
                </c:pt>
                <c:pt idx="27">
                  <c:v>41730</c:v>
                </c:pt>
                <c:pt idx="28">
                  <c:v>41760</c:v>
                </c:pt>
                <c:pt idx="29">
                  <c:v>41791</c:v>
                </c:pt>
                <c:pt idx="30">
                  <c:v>41821</c:v>
                </c:pt>
                <c:pt idx="31">
                  <c:v>41852</c:v>
                </c:pt>
                <c:pt idx="32">
                  <c:v>41883</c:v>
                </c:pt>
                <c:pt idx="33">
                  <c:v>41913</c:v>
                </c:pt>
                <c:pt idx="34">
                  <c:v>41944</c:v>
                </c:pt>
                <c:pt idx="35">
                  <c:v>41974</c:v>
                </c:pt>
                <c:pt idx="36">
                  <c:v>42005</c:v>
                </c:pt>
                <c:pt idx="37">
                  <c:v>42036</c:v>
                </c:pt>
                <c:pt idx="38">
                  <c:v>42064</c:v>
                </c:pt>
                <c:pt idx="39">
                  <c:v>42095</c:v>
                </c:pt>
                <c:pt idx="40">
                  <c:v>42125</c:v>
                </c:pt>
                <c:pt idx="41">
                  <c:v>42156</c:v>
                </c:pt>
                <c:pt idx="42">
                  <c:v>42186</c:v>
                </c:pt>
                <c:pt idx="43">
                  <c:v>42217</c:v>
                </c:pt>
                <c:pt idx="44">
                  <c:v>42248</c:v>
                </c:pt>
                <c:pt idx="45">
                  <c:v>42278</c:v>
                </c:pt>
                <c:pt idx="46">
                  <c:v>42309</c:v>
                </c:pt>
                <c:pt idx="47">
                  <c:v>42339</c:v>
                </c:pt>
                <c:pt idx="48">
                  <c:v>42370</c:v>
                </c:pt>
                <c:pt idx="49">
                  <c:v>42401</c:v>
                </c:pt>
                <c:pt idx="50">
                  <c:v>42430</c:v>
                </c:pt>
                <c:pt idx="51">
                  <c:v>42461</c:v>
                </c:pt>
                <c:pt idx="52">
                  <c:v>42491</c:v>
                </c:pt>
                <c:pt idx="53">
                  <c:v>42522</c:v>
                </c:pt>
                <c:pt idx="54">
                  <c:v>42552</c:v>
                </c:pt>
                <c:pt idx="55">
                  <c:v>42583</c:v>
                </c:pt>
                <c:pt idx="56">
                  <c:v>42614</c:v>
                </c:pt>
                <c:pt idx="57">
                  <c:v>42644</c:v>
                </c:pt>
                <c:pt idx="58">
                  <c:v>42675</c:v>
                </c:pt>
                <c:pt idx="59">
                  <c:v>42705</c:v>
                </c:pt>
                <c:pt idx="60">
                  <c:v>42736</c:v>
                </c:pt>
                <c:pt idx="61">
                  <c:v>42767</c:v>
                </c:pt>
                <c:pt idx="62">
                  <c:v>42795</c:v>
                </c:pt>
                <c:pt idx="63">
                  <c:v>42826</c:v>
                </c:pt>
                <c:pt idx="64">
                  <c:v>42856</c:v>
                </c:pt>
                <c:pt idx="65">
                  <c:v>42887</c:v>
                </c:pt>
                <c:pt idx="66">
                  <c:v>42917</c:v>
                </c:pt>
                <c:pt idx="67">
                  <c:v>42948</c:v>
                </c:pt>
                <c:pt idx="68">
                  <c:v>42979</c:v>
                </c:pt>
                <c:pt idx="69">
                  <c:v>43009</c:v>
                </c:pt>
                <c:pt idx="70">
                  <c:v>43040</c:v>
                </c:pt>
                <c:pt idx="71">
                  <c:v>43070</c:v>
                </c:pt>
                <c:pt idx="72">
                  <c:v>43101</c:v>
                </c:pt>
                <c:pt idx="73">
                  <c:v>43132</c:v>
                </c:pt>
                <c:pt idx="74">
                  <c:v>43160</c:v>
                </c:pt>
                <c:pt idx="75">
                  <c:v>43191</c:v>
                </c:pt>
                <c:pt idx="76">
                  <c:v>43221</c:v>
                </c:pt>
                <c:pt idx="77">
                  <c:v>43252</c:v>
                </c:pt>
                <c:pt idx="78">
                  <c:v>43282</c:v>
                </c:pt>
                <c:pt idx="79">
                  <c:v>43313</c:v>
                </c:pt>
                <c:pt idx="80">
                  <c:v>43344</c:v>
                </c:pt>
                <c:pt idx="81">
                  <c:v>43374</c:v>
                </c:pt>
                <c:pt idx="82">
                  <c:v>43405</c:v>
                </c:pt>
                <c:pt idx="83">
                  <c:v>43435</c:v>
                </c:pt>
                <c:pt idx="84">
                  <c:v>43466</c:v>
                </c:pt>
                <c:pt idx="85">
                  <c:v>43497</c:v>
                </c:pt>
                <c:pt idx="86">
                  <c:v>43525</c:v>
                </c:pt>
                <c:pt idx="87">
                  <c:v>43556</c:v>
                </c:pt>
                <c:pt idx="88">
                  <c:v>43586</c:v>
                </c:pt>
                <c:pt idx="89">
                  <c:v>43617</c:v>
                </c:pt>
                <c:pt idx="90">
                  <c:v>43647</c:v>
                </c:pt>
                <c:pt idx="91">
                  <c:v>43678</c:v>
                </c:pt>
                <c:pt idx="92">
                  <c:v>43709</c:v>
                </c:pt>
                <c:pt idx="93">
                  <c:v>43739</c:v>
                </c:pt>
                <c:pt idx="94">
                  <c:v>43770</c:v>
                </c:pt>
                <c:pt idx="95">
                  <c:v>43800</c:v>
                </c:pt>
                <c:pt idx="96">
                  <c:v>43831</c:v>
                </c:pt>
                <c:pt idx="97">
                  <c:v>43862</c:v>
                </c:pt>
                <c:pt idx="98">
                  <c:v>43891</c:v>
                </c:pt>
                <c:pt idx="99">
                  <c:v>43922</c:v>
                </c:pt>
                <c:pt idx="100">
                  <c:v>43952</c:v>
                </c:pt>
                <c:pt idx="101">
                  <c:v>43983</c:v>
                </c:pt>
              </c:numCache>
            </c:numRef>
          </c:cat>
          <c:val>
            <c:numRef>
              <c:f>'Tipo de cambio '!$C$49:$C$150</c:f>
              <c:numCache>
                <c:formatCode>0.00</c:formatCode>
                <c:ptCount val="102"/>
                <c:pt idx="0">
                  <c:v>7.7961150438286015</c:v>
                </c:pt>
                <c:pt idx="1">
                  <c:v>7.7717156914712424</c:v>
                </c:pt>
                <c:pt idx="2">
                  <c:v>7.7114080377043663</c:v>
                </c:pt>
                <c:pt idx="3">
                  <c:v>7.7361698654414432</c:v>
                </c:pt>
                <c:pt idx="4">
                  <c:v>7.7713813450451523</c:v>
                </c:pt>
                <c:pt idx="5">
                  <c:v>7.8366949562429706</c:v>
                </c:pt>
                <c:pt idx="6">
                  <c:v>7.8116238113454335</c:v>
                </c:pt>
                <c:pt idx="7">
                  <c:v>7.8730184642662957</c:v>
                </c:pt>
                <c:pt idx="8">
                  <c:v>7.9600809529215901</c:v>
                </c:pt>
                <c:pt idx="9">
                  <c:v>7.8591272112229635</c:v>
                </c:pt>
                <c:pt idx="10">
                  <c:v>7.8577571624899534</c:v>
                </c:pt>
                <c:pt idx="11">
                  <c:v>7.8760996804198387</c:v>
                </c:pt>
                <c:pt idx="12">
                  <c:v>7.8676223145967352</c:v>
                </c:pt>
                <c:pt idx="13">
                  <c:v>7.8144026695091791</c:v>
                </c:pt>
                <c:pt idx="14">
                  <c:v>7.796449289985194</c:v>
                </c:pt>
                <c:pt idx="15">
                  <c:v>7.7833198003135866</c:v>
                </c:pt>
                <c:pt idx="16">
                  <c:v>7.7759057149550967</c:v>
                </c:pt>
                <c:pt idx="17">
                  <c:v>7.8050829379452455</c:v>
                </c:pt>
                <c:pt idx="18">
                  <c:v>7.8101543267547084</c:v>
                </c:pt>
                <c:pt idx="19">
                  <c:v>7.8872658086161449</c:v>
                </c:pt>
                <c:pt idx="20">
                  <c:v>7.9287701658764824</c:v>
                </c:pt>
                <c:pt idx="21">
                  <c:v>7.9452553613637473</c:v>
                </c:pt>
                <c:pt idx="22">
                  <c:v>7.8807803315772027</c:v>
                </c:pt>
                <c:pt idx="23">
                  <c:v>7.8470375175462435</c:v>
                </c:pt>
                <c:pt idx="24">
                  <c:v>7.8320838751031925</c:v>
                </c:pt>
                <c:pt idx="25">
                  <c:v>7.7452676742437232</c:v>
                </c:pt>
                <c:pt idx="26">
                  <c:v>7.716182521911791</c:v>
                </c:pt>
                <c:pt idx="27">
                  <c:v>7.7358942457094715</c:v>
                </c:pt>
                <c:pt idx="28">
                  <c:v>7.7238409151556899</c:v>
                </c:pt>
                <c:pt idx="29">
                  <c:v>7.794062106829351</c:v>
                </c:pt>
                <c:pt idx="30">
                  <c:v>7.7608612600678732</c:v>
                </c:pt>
                <c:pt idx="31">
                  <c:v>7.7919629649641315</c:v>
                </c:pt>
                <c:pt idx="32">
                  <c:v>7.7074095500672923</c:v>
                </c:pt>
                <c:pt idx="33">
                  <c:v>7.6263306051233331</c:v>
                </c:pt>
                <c:pt idx="34">
                  <c:v>7.6028563856662057</c:v>
                </c:pt>
                <c:pt idx="35">
                  <c:v>7.6081653145049968</c:v>
                </c:pt>
                <c:pt idx="36">
                  <c:v>7.6262052394466791</c:v>
                </c:pt>
                <c:pt idx="37">
                  <c:v>7.6279381066262442</c:v>
                </c:pt>
                <c:pt idx="38">
                  <c:v>7.6119953593981231</c:v>
                </c:pt>
                <c:pt idx="39">
                  <c:v>7.6911660585174326</c:v>
                </c:pt>
                <c:pt idx="40">
                  <c:v>7.6641498560319503</c:v>
                </c:pt>
                <c:pt idx="41">
                  <c:v>7.6322503878986696</c:v>
                </c:pt>
                <c:pt idx="42">
                  <c:v>7.6319384831389447</c:v>
                </c:pt>
                <c:pt idx="43">
                  <c:v>7.6324245517760358</c:v>
                </c:pt>
                <c:pt idx="44">
                  <c:v>7.673106284735578</c:v>
                </c:pt>
                <c:pt idx="45">
                  <c:v>7.6631081921590933</c:v>
                </c:pt>
                <c:pt idx="46">
                  <c:v>7.6253395894756046</c:v>
                </c:pt>
                <c:pt idx="47">
                  <c:v>7.5988045101869481</c:v>
                </c:pt>
                <c:pt idx="48">
                  <c:v>7.6329725883384123</c:v>
                </c:pt>
                <c:pt idx="49">
                  <c:v>7.6478810999684388</c:v>
                </c:pt>
                <c:pt idx="50">
                  <c:v>7.700474534516867</c:v>
                </c:pt>
                <c:pt idx="51">
                  <c:v>7.7148038979384106</c:v>
                </c:pt>
                <c:pt idx="52">
                  <c:v>7.6298602603550076</c:v>
                </c:pt>
                <c:pt idx="53">
                  <c:v>7.6243942616742704</c:v>
                </c:pt>
                <c:pt idx="54">
                  <c:v>7.5793320893025617</c:v>
                </c:pt>
                <c:pt idx="55">
                  <c:v>7.5175072133740928</c:v>
                </c:pt>
                <c:pt idx="56">
                  <c:v>7.5067242537140029</c:v>
                </c:pt>
                <c:pt idx="57">
                  <c:v>7.4790989328577018</c:v>
                </c:pt>
                <c:pt idx="58">
                  <c:v>7.4871738948605904</c:v>
                </c:pt>
                <c:pt idx="59">
                  <c:v>7.4869670540945377</c:v>
                </c:pt>
                <c:pt idx="60">
                  <c:v>7.4989221892102798</c:v>
                </c:pt>
                <c:pt idx="61">
                  <c:v>7.3861050975818427</c:v>
                </c:pt>
                <c:pt idx="62">
                  <c:v>7.34063</c:v>
                </c:pt>
                <c:pt idx="63">
                  <c:v>7.3209246234449914</c:v>
                </c:pt>
                <c:pt idx="64">
                  <c:v>7.3227859561962889</c:v>
                </c:pt>
                <c:pt idx="65">
                  <c:v>7.324765934062933</c:v>
                </c:pt>
                <c:pt idx="66">
                  <c:v>7.2821760166483491</c:v>
                </c:pt>
                <c:pt idx="67">
                  <c:v>7.2567996715469407</c:v>
                </c:pt>
                <c:pt idx="68">
                  <c:v>7.2866172843636399</c:v>
                </c:pt>
                <c:pt idx="69">
                  <c:v>7.32408950415142</c:v>
                </c:pt>
                <c:pt idx="70">
                  <c:v>7.3119034597787502</c:v>
                </c:pt>
                <c:pt idx="71">
                  <c:v>7.3228799999999996</c:v>
                </c:pt>
                <c:pt idx="72">
                  <c:v>7.3250900000000003</c:v>
                </c:pt>
                <c:pt idx="73">
                  <c:v>7.3437000000000001</c:v>
                </c:pt>
                <c:pt idx="74">
                  <c:v>7.3760000000000003</c:v>
                </c:pt>
                <c:pt idx="75">
                  <c:v>7.3854699999999998</c:v>
                </c:pt>
                <c:pt idx="76">
                  <c:v>7.4281600000000001</c:v>
                </c:pt>
                <c:pt idx="77">
                  <c:v>7.46997</c:v>
                </c:pt>
                <c:pt idx="78">
                  <c:v>7.4656900000000004</c:v>
                </c:pt>
                <c:pt idx="79">
                  <c:v>7.49099</c:v>
                </c:pt>
                <c:pt idx="80">
                  <c:v>7.6479100000000004</c:v>
                </c:pt>
                <c:pt idx="81">
                  <c:v>7.70871</c:v>
                </c:pt>
                <c:pt idx="82">
                  <c:v>7.67943</c:v>
                </c:pt>
                <c:pt idx="83">
                  <c:v>7.71333</c:v>
                </c:pt>
                <c:pt idx="84">
                  <c:v>7.7131499999999997</c:v>
                </c:pt>
                <c:pt idx="85">
                  <c:v>7.7141200000000003</c:v>
                </c:pt>
                <c:pt idx="86">
                  <c:v>7.6693800000000003</c:v>
                </c:pt>
                <c:pt idx="87">
                  <c:v>7.6245700000000003</c:v>
                </c:pt>
                <c:pt idx="88">
                  <c:v>7.65238</c:v>
                </c:pt>
                <c:pt idx="89">
                  <c:v>7.6838300000000004</c:v>
                </c:pt>
                <c:pt idx="90">
                  <c:v>7.6551099999999996</c:v>
                </c:pt>
                <c:pt idx="91">
                  <c:v>7.6528999999999998</c:v>
                </c:pt>
                <c:pt idx="92">
                  <c:v>7.6917900000000001</c:v>
                </c:pt>
                <c:pt idx="93">
                  <c:v>7.7392000000000003</c:v>
                </c:pt>
                <c:pt idx="94">
                  <c:v>7.6848799999999997</c:v>
                </c:pt>
                <c:pt idx="95">
                  <c:v>7.6698399999999998</c:v>
                </c:pt>
                <c:pt idx="96">
                  <c:v>7.6722400000000004</c:v>
                </c:pt>
                <c:pt idx="97">
                  <c:v>7.6280799999999997</c:v>
                </c:pt>
                <c:pt idx="98">
                  <c:v>7.6709899999999998</c:v>
                </c:pt>
                <c:pt idx="99">
                  <c:v>7.6908099999999999</c:v>
                </c:pt>
                <c:pt idx="100">
                  <c:v>7.6796300000000004</c:v>
                </c:pt>
                <c:pt idx="101">
                  <c:v>7.6814200000000001</c:v>
                </c:pt>
              </c:numCache>
            </c:numRef>
          </c:val>
          <c:smooth val="0"/>
          <c:extLst xmlns:c16r2="http://schemas.microsoft.com/office/drawing/2015/06/chart">
            <c:ext xmlns:c16="http://schemas.microsoft.com/office/drawing/2014/chart" uri="{C3380CC4-5D6E-409C-BE32-E72D297353CC}">
              <c16:uniqueId val="{00000004-86B0-4A60-BD7E-35646D620A93}"/>
            </c:ext>
          </c:extLst>
        </c:ser>
        <c:dLbls>
          <c:showLegendKey val="0"/>
          <c:showVal val="0"/>
          <c:showCatName val="0"/>
          <c:showSerName val="0"/>
          <c:showPercent val="0"/>
          <c:showBubbleSize val="0"/>
        </c:dLbls>
        <c:marker val="1"/>
        <c:smooth val="0"/>
        <c:axId val="491192320"/>
        <c:axId val="491194240"/>
      </c:lineChart>
      <c:dateAx>
        <c:axId val="491192320"/>
        <c:scaling>
          <c:orientation val="minMax"/>
        </c:scaling>
        <c:delete val="0"/>
        <c:axPos val="b"/>
        <c:numFmt formatCode="mmm\-yy" sourceLinked="1"/>
        <c:majorTickMark val="out"/>
        <c:minorTickMark val="none"/>
        <c:tickLblPos val="nextTo"/>
        <c:txPr>
          <a:bodyPr/>
          <a:lstStyle/>
          <a:p>
            <a:pPr>
              <a:defRPr sz="800" b="1"/>
            </a:pPr>
            <a:endParaRPr lang="es-GT"/>
          </a:p>
        </c:txPr>
        <c:crossAx val="491194240"/>
        <c:crosses val="autoZero"/>
        <c:auto val="1"/>
        <c:lblOffset val="100"/>
        <c:baseTimeUnit val="months"/>
        <c:majorUnit val="4"/>
        <c:majorTimeUnit val="months"/>
      </c:dateAx>
      <c:valAx>
        <c:axId val="491194240"/>
        <c:scaling>
          <c:orientation val="minMax"/>
        </c:scaling>
        <c:delete val="0"/>
        <c:axPos val="l"/>
        <c:numFmt formatCode="0.00" sourceLinked="1"/>
        <c:majorTickMark val="out"/>
        <c:minorTickMark val="none"/>
        <c:tickLblPos val="nextTo"/>
        <c:txPr>
          <a:bodyPr/>
          <a:lstStyle/>
          <a:p>
            <a:pPr>
              <a:defRPr sz="800" b="1"/>
            </a:pPr>
            <a:endParaRPr lang="es-GT"/>
          </a:p>
        </c:txPr>
        <c:crossAx val="491192320"/>
        <c:crosses val="autoZero"/>
        <c:crossBetween val="between"/>
      </c:valAx>
    </c:plotArea>
    <c:plotVisOnly val="1"/>
    <c:dispBlanksAs val="gap"/>
    <c:showDLblsOverMax val="0"/>
  </c:chart>
  <c:spPr>
    <a:ln>
      <a:solidFill>
        <a:sysClr val="windowText" lastClr="000000"/>
      </a:solidFill>
    </a:ln>
  </c:spPr>
  <c:txPr>
    <a:bodyPr/>
    <a:lstStyle/>
    <a:p>
      <a:pPr>
        <a:defRPr>
          <a:latin typeface="Times New Roman" pitchFamily="18" charset="0"/>
          <a:cs typeface="Times New Roman" pitchFamily="18" charset="0"/>
        </a:defRPr>
      </a:pPr>
      <a:endParaRPr lang="es-GT"/>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805818022747157"/>
          <c:y val="1.9729834897718401E-2"/>
          <c:w val="0.81757142618319223"/>
          <c:h val="0.88383626541331561"/>
        </c:manualLayout>
      </c:layout>
      <c:barChart>
        <c:barDir val="col"/>
        <c:grouping val="clustered"/>
        <c:varyColors val="0"/>
        <c:ser>
          <c:idx val="0"/>
          <c:order val="0"/>
          <c:tx>
            <c:strRef>
              <c:f>Tributarios!$N$29</c:f>
              <c:strCache>
                <c:ptCount val="1"/>
                <c:pt idx="0">
                  <c:v> Tributarios </c:v>
                </c:pt>
              </c:strCache>
            </c:strRef>
          </c:tx>
          <c:spPr>
            <a:solidFill>
              <a:schemeClr val="accent1"/>
            </a:solidFill>
            <a:scene3d>
              <a:camera prst="orthographicFront"/>
              <a:lightRig rig="threePt" dir="t"/>
            </a:scene3d>
            <a:sp3d>
              <a:bevelT/>
            </a:sp3d>
          </c:spPr>
          <c:invertIfNegative val="0"/>
          <c:dPt>
            <c:idx val="8"/>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1-BC69-4726-8307-ABED035C5F6F}"/>
              </c:ext>
            </c:extLst>
          </c:dPt>
          <c:dPt>
            <c:idx val="9"/>
            <c:invertIfNegative val="0"/>
            <c:bubble3D val="0"/>
            <c:spPr>
              <a:solidFill>
                <a:schemeClr val="accent1"/>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3-BC69-4726-8307-ABED035C5F6F}"/>
              </c:ext>
            </c:extLst>
          </c:dPt>
          <c:dPt>
            <c:idx val="10"/>
            <c:invertIfNegative val="0"/>
            <c:bubble3D val="0"/>
            <c:spPr>
              <a:solidFill>
                <a:schemeClr val="tx2">
                  <a:lumMod val="50000"/>
                </a:schemeClr>
              </a:solidFill>
              <a:scene3d>
                <a:camera prst="orthographicFront"/>
                <a:lightRig rig="threePt" dir="t"/>
              </a:scene3d>
              <a:sp3d>
                <a:bevelT/>
              </a:sp3d>
            </c:spPr>
            <c:extLst xmlns:c16r2="http://schemas.microsoft.com/office/drawing/2015/06/chart">
              <c:ext xmlns:c16="http://schemas.microsoft.com/office/drawing/2014/chart" uri="{C3380CC4-5D6E-409C-BE32-E72D297353CC}">
                <c16:uniqueId val="{00000005-BC69-4726-8307-ABED035C5F6F}"/>
              </c:ext>
            </c:extLst>
          </c:dPt>
          <c:dLbls>
            <c:dLbl>
              <c:idx val="8"/>
              <c:layout>
                <c:manualLayout>
                  <c:x val="0"/>
                  <c:y val="-1.1704068397953661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BC69-4726-8307-ABED035C5F6F}"/>
                </c:ext>
              </c:extLst>
            </c:dLbl>
            <c:spPr>
              <a:noFill/>
              <a:ln>
                <a:noFill/>
              </a:ln>
              <a:effectLst/>
            </c:spPr>
            <c:txPr>
              <a:bodyPr/>
              <a:lstStyle/>
              <a:p>
                <a:pPr>
                  <a:defRPr sz="600" b="1"/>
                </a:pPr>
                <a:endParaRPr lang="es-GT"/>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Tributarios!$M$30:$M$40</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Tributarios!$N$30:$N$40</c:f>
              <c:numCache>
                <c:formatCode>_(* #,##0.0_);_(* \(#,##0.0\);_(* "-"??_);_(@_)</c:formatCode>
                <c:ptCount val="11"/>
                <c:pt idx="0">
                  <c:v>16710.348476880001</c:v>
                </c:pt>
                <c:pt idx="1">
                  <c:v>19928.128004149996</c:v>
                </c:pt>
                <c:pt idx="2">
                  <c:v>21126.831012910003</c:v>
                </c:pt>
                <c:pt idx="3">
                  <c:v>22925.634540209991</c:v>
                </c:pt>
                <c:pt idx="4">
                  <c:v>23962.010832309996</c:v>
                </c:pt>
                <c:pt idx="5">
                  <c:v>24494.55701004</c:v>
                </c:pt>
                <c:pt idx="6">
                  <c:v>26112.501618939998</c:v>
                </c:pt>
                <c:pt idx="7">
                  <c:v>28099.595988659996</c:v>
                </c:pt>
                <c:pt idx="8">
                  <c:v>28909.418401349998</c:v>
                </c:pt>
                <c:pt idx="9">
                  <c:v>30061.163411809997</c:v>
                </c:pt>
                <c:pt idx="10">
                  <c:v>28467.842500130002</c:v>
                </c:pt>
              </c:numCache>
            </c:numRef>
          </c:val>
          <c:extLst xmlns:c16r2="http://schemas.microsoft.com/office/drawing/2015/06/chart">
            <c:ext xmlns:c16="http://schemas.microsoft.com/office/drawing/2014/chart" uri="{C3380CC4-5D6E-409C-BE32-E72D297353CC}">
              <c16:uniqueId val="{00000006-BC69-4726-8307-ABED035C5F6F}"/>
            </c:ext>
          </c:extLst>
        </c:ser>
        <c:dLbls>
          <c:showLegendKey val="0"/>
          <c:showVal val="0"/>
          <c:showCatName val="0"/>
          <c:showSerName val="0"/>
          <c:showPercent val="0"/>
          <c:showBubbleSize val="0"/>
        </c:dLbls>
        <c:gapWidth val="50"/>
        <c:axId val="495513600"/>
        <c:axId val="495515520"/>
      </c:barChart>
      <c:catAx>
        <c:axId val="495513600"/>
        <c:scaling>
          <c:orientation val="minMax"/>
        </c:scaling>
        <c:delete val="0"/>
        <c:axPos val="b"/>
        <c:numFmt formatCode="General" sourceLinked="1"/>
        <c:majorTickMark val="none"/>
        <c:minorTickMark val="none"/>
        <c:tickLblPos val="nextTo"/>
        <c:txPr>
          <a:bodyPr/>
          <a:lstStyle/>
          <a:p>
            <a:pPr>
              <a:defRPr sz="900" b="1"/>
            </a:pPr>
            <a:endParaRPr lang="es-GT"/>
          </a:p>
        </c:txPr>
        <c:crossAx val="495515520"/>
        <c:crosses val="autoZero"/>
        <c:auto val="1"/>
        <c:lblAlgn val="ctr"/>
        <c:lblOffset val="100"/>
        <c:noMultiLvlLbl val="0"/>
      </c:catAx>
      <c:valAx>
        <c:axId val="495515520"/>
        <c:scaling>
          <c:orientation val="minMax"/>
        </c:scaling>
        <c:delete val="0"/>
        <c:axPos val="l"/>
        <c:title>
          <c:tx>
            <c:rich>
              <a:bodyPr/>
              <a:lstStyle/>
              <a:p>
                <a:pPr>
                  <a:defRPr/>
                </a:pPr>
                <a:r>
                  <a:rPr lang="es-GT"/>
                  <a:t>Millones de Quetzales</a:t>
                </a:r>
              </a:p>
            </c:rich>
          </c:tx>
          <c:layout>
            <c:manualLayout>
              <c:xMode val="edge"/>
              <c:yMode val="edge"/>
              <c:x val="1.7532297927912985E-2"/>
              <c:y val="0.32499945243284095"/>
            </c:manualLayout>
          </c:layout>
          <c:overlay val="0"/>
        </c:title>
        <c:numFmt formatCode="_(* #,##0.0_);_(* \(#,##0.0\);_(* &quot;-&quot;??_);_(@_)" sourceLinked="1"/>
        <c:majorTickMark val="none"/>
        <c:minorTickMark val="none"/>
        <c:tickLblPos val="nextTo"/>
        <c:txPr>
          <a:bodyPr/>
          <a:lstStyle/>
          <a:p>
            <a:pPr>
              <a:defRPr sz="900" b="1"/>
            </a:pPr>
            <a:endParaRPr lang="es-GT"/>
          </a:p>
        </c:txPr>
        <c:crossAx val="495513600"/>
        <c:crosses val="autoZero"/>
        <c:crossBetween val="between"/>
      </c:valAx>
    </c:plotArea>
    <c:plotVisOnly val="1"/>
    <c:dispBlanksAs val="gap"/>
    <c:showDLblsOverMax val="0"/>
  </c:chart>
  <c:spPr>
    <a:noFill/>
    <a:ln>
      <a:solidFill>
        <a:sysClr val="windowText" lastClr="000000"/>
      </a:solidFill>
    </a:ln>
  </c:spPr>
  <c:txPr>
    <a:bodyPr/>
    <a:lstStyle/>
    <a:p>
      <a:pPr>
        <a:defRPr>
          <a:latin typeface="Times New Roman" panose="02020603050405020304" pitchFamily="18" charset="0"/>
          <a:cs typeface="Times New Roman" panose="02020603050405020304" pitchFamily="18" charset="0"/>
        </a:defRPr>
      </a:pPr>
      <a:endParaRPr lang="es-GT"/>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GT"/>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050" b="1"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es-GT"/>
        </a:p>
      </c:tx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317940820631699"/>
          <c:y val="0.20564103553191795"/>
          <c:w val="0.85657138400201704"/>
          <c:h val="0.68547236861773175"/>
        </c:manualLayout>
      </c:layout>
      <c:pie3DChart>
        <c:varyColors val="1"/>
        <c:ser>
          <c:idx val="0"/>
          <c:order val="0"/>
          <c:tx>
            <c:strRef>
              <c:f>Tributarios!$D$59</c:f>
              <c:strCache>
                <c:ptCount val="1"/>
                <c:pt idx="0">
                  <c:v>2019</c:v>
                </c:pt>
              </c:strCache>
            </c:strRef>
          </c:tx>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1-465A-48AB-836E-F2ADF5481F51}"/>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xmlns:c16r2="http://schemas.microsoft.com/office/drawing/2015/06/chart">
              <c:ext xmlns:c16="http://schemas.microsoft.com/office/drawing/2014/chart" uri="{C3380CC4-5D6E-409C-BE32-E72D297353CC}">
                <c16:uniqueId val="{00000003-465A-48AB-836E-F2ADF5481F51}"/>
              </c:ext>
            </c:extLst>
          </c:dPt>
          <c:dLbls>
            <c:dLbl>
              <c:idx val="0"/>
              <c:layout>
                <c:manualLayout>
                  <c:x val="-0.17869870906872962"/>
                  <c:y val="0.10063293580016004"/>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rPr>
                      <a:t>Comercio Exterior
8,500.8
28.3%</a:t>
                    </a:r>
                  </a:p>
                </c:rich>
              </c:tx>
              <c:spPr>
                <a:noFill/>
                <a:ln>
                  <a:noFill/>
                </a:ln>
                <a:effectLst/>
              </c:spPr>
              <c:dLblPos val="bestFit"/>
              <c:showLegendKey val="0"/>
              <c:showVal val="1"/>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65A-48AB-836E-F2ADF5481F51}"/>
                </c:ext>
              </c:extLst>
            </c:dLbl>
            <c:dLbl>
              <c:idx val="1"/>
              <c:layout>
                <c:manualLayout>
                  <c:x val="0.34010652745454228"/>
                  <c:y val="-0.1548427060536236"/>
                </c:manualLayout>
              </c:layout>
              <c:tx>
                <c:rich>
                  <a:bodyPr rot="0" spcFirstLastPara="1" vertOverflow="ellipsis" vert="horz" wrap="square" lIns="38100" tIns="19050" rIns="38100" bIns="19050" anchor="ctr" anchorCtr="1">
                    <a:spAutoFit/>
                  </a:bodyPr>
                  <a:lstStyle/>
                  <a:p>
                    <a:pPr>
                      <a:defRPr sz="800" b="1" i="0" u="none" strike="noStrike" kern="1200" spc="0" baseline="0">
                        <a:solidFill>
                          <a:schemeClr val="tx1"/>
                        </a:solidFill>
                        <a:latin typeface="Times New Roman" panose="02020603050405020304" pitchFamily="18" charset="0"/>
                        <a:ea typeface="+mn-ea"/>
                        <a:cs typeface="Times New Roman" panose="02020603050405020304" pitchFamily="18" charset="0"/>
                      </a:defRPr>
                    </a:pPr>
                    <a:r>
                      <a:rPr lang="en-US">
                        <a:solidFill>
                          <a:schemeClr val="tx1"/>
                        </a:solidFill>
                      </a:rPr>
                      <a:t>Internos
21,560.4
71.7%</a:t>
                    </a:r>
                  </a:p>
                </c:rich>
              </c:tx>
              <c:spPr>
                <a:noFill/>
                <a:ln>
                  <a:noFill/>
                </a:ln>
                <a:effectLst/>
              </c:spPr>
              <c:dLblPos val="bestFit"/>
              <c:showLegendKey val="0"/>
              <c:showVal val="1"/>
              <c:showCatName val="1"/>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spc="0" baseline="0">
                    <a:solidFill>
                      <a:schemeClr val="accent1"/>
                    </a:solidFill>
                    <a:latin typeface="Times New Roman" panose="02020603050405020304" pitchFamily="18" charset="0"/>
                    <a:ea typeface="+mn-ea"/>
                    <a:cs typeface="Times New Roman" panose="02020603050405020304" pitchFamily="18" charset="0"/>
                  </a:defRPr>
                </a:pPr>
                <a:endParaRPr lang="es-GT"/>
              </a:p>
            </c:txPr>
            <c:dLblPos val="outEnd"/>
            <c:showLegendKey val="0"/>
            <c:showVal val="1"/>
            <c:showCatName val="1"/>
            <c:showSerName val="0"/>
            <c:showPercent val="1"/>
            <c:showBubbleSize val="0"/>
            <c:separator>
</c:separator>
            <c:showLeaderLines val="0"/>
            <c:extLst xmlns:c16r2="http://schemas.microsoft.com/office/drawing/2015/06/chart">
              <c:ext xmlns:c15="http://schemas.microsoft.com/office/drawing/2012/chart" uri="{CE6537A1-D6FC-4f65-9D91-7224C49458BB}"/>
            </c:extLst>
          </c:dLbls>
          <c:cat>
            <c:strRef>
              <c:f>Tributarios!$C$30:$C$31</c:f>
              <c:strCache>
                <c:ptCount val="2"/>
                <c:pt idx="0">
                  <c:v>Comercio Exterior</c:v>
                </c:pt>
                <c:pt idx="1">
                  <c:v>Internos</c:v>
                </c:pt>
              </c:strCache>
            </c:strRef>
          </c:cat>
          <c:val>
            <c:numRef>
              <c:f>Tributarios!$D$30:$D$31</c:f>
              <c:numCache>
                <c:formatCode>#,##0.0</c:formatCode>
                <c:ptCount val="2"/>
                <c:pt idx="0">
                  <c:v>8500.7927225999993</c:v>
                </c:pt>
                <c:pt idx="1">
                  <c:v>21560.370689210002</c:v>
                </c:pt>
              </c:numCache>
            </c:numRef>
          </c:val>
          <c:extLst xmlns:c16r2="http://schemas.microsoft.com/office/drawing/2015/06/chart">
            <c:ext xmlns:c16="http://schemas.microsoft.com/office/drawing/2014/chart" uri="{C3380CC4-5D6E-409C-BE32-E72D297353CC}">
              <c16:uniqueId val="{00000004-465A-48AB-836E-F2ADF5481F51}"/>
            </c:ext>
          </c:extLst>
        </c:ser>
        <c:dLbls>
          <c:dLblPos val="outEnd"/>
          <c:showLegendKey val="0"/>
          <c:showVal val="0"/>
          <c:showCatName val="1"/>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GT"/>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0.85889</cdr:x>
      <cdr:y>0.33602</cdr:y>
    </cdr:from>
    <cdr:to>
      <cdr:x>1</cdr:x>
      <cdr:y>0.4445</cdr:y>
    </cdr:to>
    <cdr:sp macro="" textlink="">
      <cdr:nvSpPr>
        <cdr:cNvPr id="4" name="3 CuadroTexto"/>
        <cdr:cNvSpPr txBox="1"/>
      </cdr:nvSpPr>
      <cdr:spPr>
        <a:xfrm xmlns:a="http://schemas.openxmlformats.org/drawingml/2006/main">
          <a:off x="5565600" y="1209675"/>
          <a:ext cx="914400"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GT" sz="1100"/>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0.90048</cdr:y>
    </cdr:from>
    <cdr:to>
      <cdr:x>0.56481</cdr:x>
      <cdr:y>1</cdr:y>
    </cdr:to>
    <cdr:sp macro="" textlink="">
      <cdr:nvSpPr>
        <cdr:cNvPr id="2" name="Cuadro de texto 2"/>
        <cdr:cNvSpPr txBox="1">
          <a:spLocks xmlns:a="http://schemas.openxmlformats.org/drawingml/2006/main" noChangeArrowheads="1"/>
        </cdr:cNvSpPr>
      </cdr:nvSpPr>
      <cdr:spPr bwMode="auto">
        <a:xfrm xmlns:a="http://schemas.openxmlformats.org/drawingml/2006/main">
          <a:off x="-1917510" y="2383848"/>
          <a:ext cx="2221865" cy="26346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rot="0" vert="horz" wrap="square" lIns="91440" tIns="45720" rIns="91440" bIns="45720" anchor="t" anchorCtr="0">
          <a:noAutofit/>
        </a:bodyPr>
        <a:lstStyle xmlns:a="http://schemas.openxmlformats.org/drawingml/2006/main"/>
        <a:p xmlns:a="http://schemas.openxmlformats.org/drawingml/2006/main">
          <a:pPr marL="0" marR="0">
            <a:lnSpc>
              <a:spcPct val="107000"/>
            </a:lnSpc>
            <a:spcBef>
              <a:spcPts val="0"/>
            </a:spcBef>
            <a:spcAft>
              <a:spcPts val="800"/>
            </a:spcAft>
          </a:pPr>
          <a:r>
            <a:rPr lang="es-US" sz="700">
              <a:effectLst/>
              <a:latin typeface="Calibri" panose="020F0502020204030204" pitchFamily="34" charset="0"/>
              <a:ea typeface="Calibri" panose="020F0502020204030204" pitchFamily="34" charset="0"/>
              <a:cs typeface="Times New Roman" panose="02020603050405020304" pitchFamily="18" charset="0"/>
            </a:rPr>
            <a:t>*/Recaudación ajustada marzo y abril</a:t>
          </a:r>
        </a:p>
      </cdr:txBody>
    </cdr:sp>
  </cdr:relSizeAnchor>
</c:userShapes>
</file>

<file path=word/theme/theme1.xml><?xml version="1.0" encoding="utf-8"?>
<a:theme xmlns:a="http://schemas.openxmlformats.org/drawingml/2006/main" name="Tema de Office">
  <a:themeElements>
    <a:clrScheme name="Escala de grises">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Papel">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0E45FD-2B33-4E60-8F68-8B4024F7DE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2716</TotalTime>
  <Pages>70</Pages>
  <Words>19564</Words>
  <Characters>107607</Characters>
  <Application>Microsoft Office Word</Application>
  <DocSecurity>0</DocSecurity>
  <Lines>896</Lines>
  <Paragraphs>253</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126918</CharactersWithSpaces>
  <SharedDoc>false</SharedDoc>
  <HLinks>
    <vt:vector size="36" baseType="variant">
      <vt:variant>
        <vt:i4>5505078</vt:i4>
      </vt:variant>
      <vt:variant>
        <vt:i4>15</vt:i4>
      </vt:variant>
      <vt:variant>
        <vt:i4>0</vt:i4>
      </vt:variant>
      <vt:variant>
        <vt:i4>5</vt:i4>
      </vt:variant>
      <vt:variant>
        <vt:lpwstr>http://portal.sat.gob.gt/sitio/index.php/leyes/doc_details/2683-acuerdodedirectorionumero08-2011face.html</vt:lpwstr>
      </vt:variant>
      <vt:variant>
        <vt:lpwstr/>
      </vt:variant>
      <vt:variant>
        <vt:i4>1114202</vt:i4>
      </vt:variant>
      <vt:variant>
        <vt:i4>12</vt:i4>
      </vt:variant>
      <vt:variant>
        <vt:i4>0</vt:i4>
      </vt:variant>
      <vt:variant>
        <vt:i4>5</vt:i4>
      </vt:variant>
      <vt:variant>
        <vt:lpwstr>http://www.sgp.gob.gt/PaginaWeb/Acuerdos/2011/presidencia/AG-168-2011.pdf</vt:lpwstr>
      </vt:variant>
      <vt:variant>
        <vt:lpwstr/>
      </vt:variant>
      <vt:variant>
        <vt:i4>4653175</vt:i4>
      </vt:variant>
      <vt:variant>
        <vt:i4>9</vt:i4>
      </vt:variant>
      <vt:variant>
        <vt:i4>0</vt:i4>
      </vt:variant>
      <vt:variant>
        <vt:i4>5</vt:i4>
      </vt:variant>
      <vt:variant>
        <vt:lpwstr>http://www.sgp.gob.gt/PaginaWeb/PEsp/AG2011_Esp.htm</vt:lpwstr>
      </vt:variant>
      <vt:variant>
        <vt:lpwstr/>
      </vt:variant>
      <vt:variant>
        <vt:i4>3801144</vt:i4>
      </vt:variant>
      <vt:variant>
        <vt:i4>6</vt:i4>
      </vt:variant>
      <vt:variant>
        <vt:i4>0</vt:i4>
      </vt:variant>
      <vt:variant>
        <vt:i4>5</vt:i4>
      </vt:variant>
      <vt:variant>
        <vt:lpwstr>http://200.12.63.122/archivos/acuerdos/2010/CCLXXXVIII0790300050053201017022010.pdf</vt:lpwstr>
      </vt:variant>
      <vt:variant>
        <vt:lpwstr/>
      </vt:variant>
      <vt:variant>
        <vt:i4>6422584</vt:i4>
      </vt:variant>
      <vt:variant>
        <vt:i4>3</vt:i4>
      </vt:variant>
      <vt:variant>
        <vt:i4>0</vt:i4>
      </vt:variant>
      <vt:variant>
        <vt:i4>5</vt:i4>
      </vt:variant>
      <vt:variant>
        <vt:lpwstr>http://www.oj.gob.gt/es/QueEsOJ/EstructuraOJ/UnidadesAdministrativas/CentroAnalisisDocumentacionJudicial/cds/CDs leyes/2008/pdfs/decretos/D003-2008.pdf</vt:lpwstr>
      </vt:variant>
      <vt:variant>
        <vt:lpwstr/>
      </vt:variant>
      <vt:variant>
        <vt:i4>7667743</vt:i4>
      </vt:variant>
      <vt:variant>
        <vt:i4>0</vt:i4>
      </vt:variant>
      <vt:variant>
        <vt:i4>0</vt:i4>
      </vt:variant>
      <vt:variant>
        <vt:i4>5</vt:i4>
      </vt:variant>
      <vt:variant>
        <vt:lpwstr>http://www.minfin.gob.gt/2011-07-05-18-17-00/proyectospresupuesto/files.html?folder=2012\multianual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Saul Enrique De León Meneses</dc:creator>
  <cp:lastModifiedBy>José Antonio Menéndez Letona</cp:lastModifiedBy>
  <cp:revision>366</cp:revision>
  <cp:lastPrinted>2020-09-25T17:46:00Z</cp:lastPrinted>
  <dcterms:created xsi:type="dcterms:W3CDTF">2020-09-08T13:37:00Z</dcterms:created>
  <dcterms:modified xsi:type="dcterms:W3CDTF">2020-09-25T17:47:00Z</dcterms:modified>
</cp:coreProperties>
</file>