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6D" w:rsidRPr="009D4D2F" w:rsidRDefault="00021644" w:rsidP="00C34BC3">
      <w:pPr>
        <w:ind w:left="142"/>
        <w:rPr>
          <w:lang w:val="es-GT"/>
        </w:rPr>
      </w:pPr>
      <w:bookmarkStart w:id="0" w:name="_Hlk494285746"/>
      <w:bookmarkStart w:id="1" w:name="_GoBack"/>
      <w:bookmarkEnd w:id="0"/>
      <w:bookmarkEnd w:id="1"/>
      <w:r>
        <w:rPr>
          <w:noProof/>
          <w:lang w:val="es-GT" w:eastAsia="es-GT"/>
        </w:rPr>
        <mc:AlternateContent>
          <mc:Choice Requires="wps">
            <w:drawing>
              <wp:anchor distT="4294967290" distB="4294967290" distL="114300" distR="114300" simplePos="0" relativeHeight="251651072" behindDoc="0" locked="0" layoutInCell="1" allowOverlap="1">
                <wp:simplePos x="0" y="0"/>
                <wp:positionH relativeFrom="column">
                  <wp:posOffset>-335280</wp:posOffset>
                </wp:positionH>
                <wp:positionV relativeFrom="paragraph">
                  <wp:posOffset>48259</wp:posOffset>
                </wp:positionV>
                <wp:extent cx="6373495" cy="0"/>
                <wp:effectExtent l="38100" t="95250" r="103505" b="76200"/>
                <wp:wrapNone/>
                <wp:docPr id="23"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3495" cy="0"/>
                        </a:xfrm>
                        <a:prstGeom prst="line">
                          <a:avLst/>
                        </a:prstGeom>
                        <a:noFill/>
                        <a:ln w="31750" cap="rnd" cmpd="dbl" algn="ctr">
                          <a:solidFill>
                            <a:srgbClr val="4F81BD">
                              <a:shade val="95000"/>
                              <a:satMod val="105000"/>
                            </a:srgbClr>
                          </a:solidFill>
                          <a:prstDash val="solid"/>
                        </a:ln>
                        <a:effectLst>
                          <a:outerShdw blurRad="50800" dist="38100" algn="l" rotWithShape="0">
                            <a:prstClr val="black">
                              <a:alpha val="40000"/>
                            </a:prstClr>
                          </a:outerShdw>
                        </a:effectLst>
                        <a:scene3d>
                          <a:camera prst="orthographicFront"/>
                          <a:lightRig rig="soft" dir="t"/>
                        </a:scene3d>
                        <a:sp3d>
                          <a:bevelT/>
                        </a:sp3d>
                      </wps:spPr>
                      <wps:bodyPr/>
                    </wps:wsp>
                  </a:graphicData>
                </a:graphic>
                <wp14:sizeRelH relativeFrom="page">
                  <wp14:pctWidth>0</wp14:pctWidth>
                </wp14:sizeRelH>
                <wp14:sizeRelV relativeFrom="page">
                  <wp14:pctHeight>0</wp14:pctHeight>
                </wp14:sizeRelV>
              </wp:anchor>
            </w:drawing>
          </mc:Choice>
          <mc:Fallback>
            <w:pict>
              <v:line w14:anchorId="5630798F" id="27 Conector recto" o:spid="_x0000_s1026" style="position:absolute;z-index:2516510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4pt,3.8pt" to="47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" strokecolor="#4a7ebb" strokeweight="2.5pt">
                <v:stroke linestyle="thinThin" endcap="round"/>
                <v:shadow on="t" color="black" opacity="26214f" origin="-.5" offset="3pt,0"/>
                <o:lock v:ext="edit" shapetype="f"/>
              </v:line>
            </w:pict>
          </mc:Fallback>
        </mc:AlternateContent>
      </w:r>
    </w:p>
    <w:p w:rsidR="008B2C6D" w:rsidRPr="009D4D2F" w:rsidRDefault="008B2C6D" w:rsidP="008B2C6D">
      <w:pPr>
        <w:ind w:left="142"/>
        <w:jc w:val="center"/>
        <w:rPr>
          <w:lang w:val="es-GT"/>
        </w:rPr>
      </w:pPr>
    </w:p>
    <w:p w:rsidR="009B198F" w:rsidRPr="009D4D2F" w:rsidRDefault="009B198F" w:rsidP="009B198F">
      <w:pPr>
        <w:rPr>
          <w:b/>
        </w:rPr>
      </w:pPr>
    </w:p>
    <w:p w:rsidR="00704EFF" w:rsidRPr="004F48BD" w:rsidRDefault="00704EFF" w:rsidP="004F48BD">
      <w:pPr>
        <w:jc w:val="center"/>
        <w:rPr>
          <w:b/>
          <w:sz w:val="40"/>
          <w:szCs w:val="40"/>
        </w:rPr>
      </w:pPr>
      <w:r w:rsidRPr="004F48BD">
        <w:rPr>
          <w:b/>
          <w:sz w:val="40"/>
          <w:szCs w:val="40"/>
        </w:rPr>
        <w:t>MINISTERIO DE FINANZAS PÚBLICAS</w:t>
      </w:r>
    </w:p>
    <w:p w:rsidR="00704EFF" w:rsidRPr="004F48BD" w:rsidRDefault="00704EFF" w:rsidP="00704EFF">
      <w:pPr>
        <w:spacing w:line="480" w:lineRule="auto"/>
        <w:jc w:val="center"/>
        <w:rPr>
          <w:b/>
          <w:sz w:val="28"/>
          <w:szCs w:val="28"/>
        </w:rPr>
      </w:pPr>
    </w:p>
    <w:p w:rsidR="008B5887" w:rsidRPr="004F48BD" w:rsidRDefault="008B5887" w:rsidP="009B198F">
      <w:pPr>
        <w:jc w:val="center"/>
        <w:rPr>
          <w:b/>
          <w:sz w:val="28"/>
          <w:szCs w:val="28"/>
        </w:rPr>
      </w:pPr>
    </w:p>
    <w:p w:rsidR="008B5887" w:rsidRPr="004F48BD" w:rsidRDefault="008B5887" w:rsidP="009B198F">
      <w:pPr>
        <w:jc w:val="center"/>
        <w:rPr>
          <w:b/>
          <w:sz w:val="28"/>
          <w:szCs w:val="28"/>
        </w:rPr>
      </w:pPr>
    </w:p>
    <w:p w:rsidR="008B5887" w:rsidRPr="004F48BD" w:rsidRDefault="008B5887" w:rsidP="009B198F">
      <w:pPr>
        <w:jc w:val="center"/>
        <w:rPr>
          <w:b/>
        </w:rPr>
      </w:pPr>
    </w:p>
    <w:p w:rsidR="008B5887" w:rsidRPr="004F48BD" w:rsidRDefault="008B5887" w:rsidP="009B198F">
      <w:pPr>
        <w:jc w:val="center"/>
        <w:rPr>
          <w:b/>
        </w:rPr>
      </w:pPr>
    </w:p>
    <w:p w:rsidR="00704EFF" w:rsidRPr="004F48BD" w:rsidRDefault="00704EFF" w:rsidP="009B198F">
      <w:pPr>
        <w:jc w:val="center"/>
        <w:rPr>
          <w:b/>
        </w:rPr>
      </w:pPr>
    </w:p>
    <w:p w:rsidR="008B5887" w:rsidRPr="004F48BD" w:rsidRDefault="008B5887" w:rsidP="009B198F">
      <w:pPr>
        <w:jc w:val="center"/>
        <w:rPr>
          <w:b/>
        </w:rPr>
      </w:pPr>
    </w:p>
    <w:p w:rsidR="009B198F" w:rsidRPr="004F48BD" w:rsidRDefault="009B198F" w:rsidP="009B198F">
      <w:pPr>
        <w:jc w:val="center"/>
        <w:rPr>
          <w:b/>
        </w:rPr>
      </w:pPr>
    </w:p>
    <w:p w:rsidR="009B198F" w:rsidRPr="004F48BD" w:rsidRDefault="009B198F" w:rsidP="009B198F">
      <w:pPr>
        <w:jc w:val="center"/>
        <w:rPr>
          <w:b/>
          <w:sz w:val="40"/>
          <w:szCs w:val="40"/>
        </w:rPr>
      </w:pPr>
    </w:p>
    <w:p w:rsidR="00704EFF" w:rsidRPr="004F48BD" w:rsidRDefault="006071AB" w:rsidP="00612210">
      <w:pPr>
        <w:jc w:val="center"/>
        <w:rPr>
          <w:b/>
          <w:sz w:val="40"/>
          <w:szCs w:val="40"/>
        </w:rPr>
      </w:pPr>
      <w:r w:rsidRPr="004F48BD">
        <w:rPr>
          <w:b/>
          <w:sz w:val="40"/>
          <w:szCs w:val="40"/>
        </w:rPr>
        <w:t>INFORME DEL DESEMPEÑO</w:t>
      </w:r>
      <w:r w:rsidR="00704EFF" w:rsidRPr="004F48BD">
        <w:rPr>
          <w:b/>
          <w:sz w:val="40"/>
          <w:szCs w:val="40"/>
        </w:rPr>
        <w:t xml:space="preserve"> </w:t>
      </w:r>
      <w:r w:rsidRPr="004F48BD">
        <w:rPr>
          <w:b/>
          <w:sz w:val="40"/>
          <w:szCs w:val="40"/>
        </w:rPr>
        <w:t>DE LA POL</w:t>
      </w:r>
      <w:r w:rsidR="00D1409F" w:rsidRPr="004F48BD">
        <w:rPr>
          <w:b/>
          <w:sz w:val="40"/>
          <w:szCs w:val="40"/>
        </w:rPr>
        <w:t>Í</w:t>
      </w:r>
      <w:r w:rsidRPr="004F48BD">
        <w:rPr>
          <w:b/>
          <w:sz w:val="40"/>
          <w:szCs w:val="40"/>
        </w:rPr>
        <w:t xml:space="preserve">TICA FISCAL </w:t>
      </w:r>
      <w:r w:rsidR="00D1409F" w:rsidRPr="004F48BD">
        <w:rPr>
          <w:b/>
          <w:sz w:val="40"/>
          <w:szCs w:val="40"/>
        </w:rPr>
        <w:t xml:space="preserve">Y </w:t>
      </w:r>
      <w:r w:rsidR="00704EFF" w:rsidRPr="004F48BD">
        <w:rPr>
          <w:b/>
          <w:sz w:val="40"/>
          <w:szCs w:val="40"/>
        </w:rPr>
        <w:t>ACTIVIDADES</w:t>
      </w:r>
    </w:p>
    <w:p w:rsidR="00704EFF" w:rsidRPr="004F48BD" w:rsidRDefault="00704EFF" w:rsidP="00612210">
      <w:pPr>
        <w:jc w:val="center"/>
        <w:rPr>
          <w:b/>
          <w:sz w:val="40"/>
          <w:szCs w:val="40"/>
        </w:rPr>
      </w:pPr>
      <w:r w:rsidRPr="004F48BD">
        <w:rPr>
          <w:b/>
          <w:sz w:val="40"/>
          <w:szCs w:val="40"/>
        </w:rPr>
        <w:t>DE</w:t>
      </w:r>
      <w:r w:rsidR="00BF4FFC" w:rsidRPr="004F48BD">
        <w:rPr>
          <w:b/>
          <w:sz w:val="40"/>
          <w:szCs w:val="40"/>
        </w:rPr>
        <w:t>L PRIMER SEMESTRE</w:t>
      </w:r>
    </w:p>
    <w:p w:rsidR="00704EFF" w:rsidRPr="004F48BD" w:rsidRDefault="00704EFF" w:rsidP="00612210">
      <w:pPr>
        <w:jc w:val="center"/>
        <w:rPr>
          <w:b/>
          <w:sz w:val="40"/>
          <w:szCs w:val="40"/>
        </w:rPr>
      </w:pPr>
      <w:r w:rsidRPr="004F48BD">
        <w:rPr>
          <w:b/>
          <w:sz w:val="40"/>
          <w:szCs w:val="40"/>
        </w:rPr>
        <w:t>201</w:t>
      </w:r>
      <w:r w:rsidR="004D2D7F">
        <w:rPr>
          <w:b/>
          <w:sz w:val="40"/>
          <w:szCs w:val="40"/>
        </w:rPr>
        <w:t>7</w:t>
      </w:r>
    </w:p>
    <w:p w:rsidR="009B198F" w:rsidRPr="004F48BD" w:rsidRDefault="009B198F" w:rsidP="009B198F">
      <w:pPr>
        <w:jc w:val="center"/>
        <w:rPr>
          <w:b/>
          <w:sz w:val="40"/>
          <w:szCs w:val="40"/>
        </w:rPr>
      </w:pPr>
    </w:p>
    <w:p w:rsidR="009B198F" w:rsidRPr="004F48BD" w:rsidRDefault="009B198F" w:rsidP="009B198F">
      <w:pPr>
        <w:jc w:val="center"/>
        <w:rPr>
          <w:b/>
          <w:sz w:val="40"/>
          <w:szCs w:val="40"/>
        </w:rPr>
      </w:pPr>
    </w:p>
    <w:p w:rsidR="00704EFF" w:rsidRPr="004F48BD" w:rsidRDefault="00704EFF" w:rsidP="009B198F">
      <w:pPr>
        <w:jc w:val="center"/>
        <w:rPr>
          <w:b/>
          <w:sz w:val="40"/>
          <w:szCs w:val="40"/>
        </w:rPr>
      </w:pPr>
    </w:p>
    <w:p w:rsidR="00704EFF" w:rsidRPr="004F48BD" w:rsidRDefault="00704EFF" w:rsidP="009B198F">
      <w:pPr>
        <w:jc w:val="center"/>
        <w:rPr>
          <w:b/>
          <w:sz w:val="40"/>
          <w:szCs w:val="40"/>
        </w:rPr>
      </w:pPr>
    </w:p>
    <w:p w:rsidR="00704EFF" w:rsidRPr="004F48BD" w:rsidRDefault="00704EFF" w:rsidP="009B198F">
      <w:pPr>
        <w:jc w:val="center"/>
        <w:rPr>
          <w:b/>
          <w:sz w:val="40"/>
          <w:szCs w:val="40"/>
        </w:rPr>
      </w:pPr>
    </w:p>
    <w:p w:rsidR="00704EFF" w:rsidRPr="004F48BD" w:rsidRDefault="00704EFF" w:rsidP="009B198F">
      <w:pPr>
        <w:jc w:val="center"/>
        <w:rPr>
          <w:b/>
          <w:sz w:val="40"/>
          <w:szCs w:val="40"/>
        </w:rPr>
      </w:pPr>
    </w:p>
    <w:p w:rsidR="00704EFF" w:rsidRPr="004F48BD" w:rsidRDefault="00704EFF" w:rsidP="009B198F">
      <w:pPr>
        <w:jc w:val="center"/>
        <w:rPr>
          <w:b/>
          <w:sz w:val="40"/>
          <w:szCs w:val="40"/>
        </w:rPr>
      </w:pPr>
    </w:p>
    <w:p w:rsidR="00704EFF" w:rsidRPr="004F48BD" w:rsidRDefault="00704EFF" w:rsidP="009B198F">
      <w:pPr>
        <w:jc w:val="center"/>
        <w:rPr>
          <w:b/>
          <w:sz w:val="40"/>
          <w:szCs w:val="40"/>
        </w:rPr>
      </w:pPr>
    </w:p>
    <w:p w:rsidR="00704EFF" w:rsidRDefault="00704EFF" w:rsidP="009B198F">
      <w:pPr>
        <w:jc w:val="center"/>
        <w:rPr>
          <w:b/>
        </w:rPr>
      </w:pPr>
    </w:p>
    <w:p w:rsidR="004F48BD" w:rsidRDefault="004F48BD" w:rsidP="009B198F">
      <w:pPr>
        <w:jc w:val="center"/>
        <w:rPr>
          <w:b/>
        </w:rPr>
      </w:pPr>
    </w:p>
    <w:p w:rsidR="004F48BD" w:rsidRDefault="004F48BD" w:rsidP="009B198F">
      <w:pPr>
        <w:jc w:val="center"/>
        <w:rPr>
          <w:b/>
        </w:rPr>
      </w:pPr>
    </w:p>
    <w:p w:rsidR="004F48BD" w:rsidRPr="004F48BD" w:rsidRDefault="004F48BD" w:rsidP="009B198F">
      <w:pPr>
        <w:jc w:val="center"/>
        <w:rPr>
          <w:b/>
        </w:rPr>
      </w:pPr>
    </w:p>
    <w:p w:rsidR="009B198F" w:rsidRPr="004F48BD" w:rsidRDefault="009B198F" w:rsidP="009B198F">
      <w:pPr>
        <w:jc w:val="center"/>
        <w:rPr>
          <w:b/>
        </w:rPr>
      </w:pPr>
    </w:p>
    <w:p w:rsidR="008B5887" w:rsidRPr="00612210" w:rsidRDefault="000F1729" w:rsidP="004F48BD">
      <w:pPr>
        <w:jc w:val="center"/>
        <w:rPr>
          <w:b/>
          <w:sz w:val="28"/>
        </w:rPr>
      </w:pPr>
      <w:r w:rsidRPr="004F48BD">
        <w:rPr>
          <w:b/>
          <w:sz w:val="28"/>
        </w:rPr>
        <w:t>G</w:t>
      </w:r>
      <w:r w:rsidR="008B5887" w:rsidRPr="004F48BD">
        <w:rPr>
          <w:b/>
          <w:sz w:val="28"/>
        </w:rPr>
        <w:t>uatemala,</w:t>
      </w:r>
      <w:r w:rsidR="00680151" w:rsidRPr="004F48BD">
        <w:rPr>
          <w:b/>
          <w:sz w:val="28"/>
        </w:rPr>
        <w:t xml:space="preserve"> </w:t>
      </w:r>
      <w:r w:rsidR="00910F6F">
        <w:rPr>
          <w:b/>
          <w:sz w:val="28"/>
        </w:rPr>
        <w:t>s</w:t>
      </w:r>
      <w:r w:rsidR="004D2D7F">
        <w:rPr>
          <w:b/>
          <w:sz w:val="28"/>
        </w:rPr>
        <w:t xml:space="preserve">eptiembre </w:t>
      </w:r>
      <w:r w:rsidR="00704EFF" w:rsidRPr="004F48BD">
        <w:rPr>
          <w:b/>
          <w:sz w:val="28"/>
        </w:rPr>
        <w:t>de 201</w:t>
      </w:r>
      <w:r w:rsidR="004D2D7F">
        <w:rPr>
          <w:b/>
          <w:sz w:val="28"/>
        </w:rPr>
        <w:t>7</w:t>
      </w:r>
    </w:p>
    <w:p w:rsidR="009B198F" w:rsidRPr="009D4D2F" w:rsidRDefault="009B198F" w:rsidP="009B198F">
      <w:pPr>
        <w:jc w:val="center"/>
        <w:rPr>
          <w:b/>
        </w:rPr>
      </w:pPr>
    </w:p>
    <w:p w:rsidR="009B198F" w:rsidRDefault="009B198F" w:rsidP="009B198F">
      <w:pPr>
        <w:tabs>
          <w:tab w:val="left" w:pos="0"/>
          <w:tab w:val="left" w:pos="9214"/>
        </w:tabs>
        <w:autoSpaceDE w:val="0"/>
        <w:autoSpaceDN w:val="0"/>
        <w:adjustRightInd w:val="0"/>
        <w:jc w:val="center"/>
        <w:rPr>
          <w:b/>
        </w:rPr>
      </w:pPr>
    </w:p>
    <w:p w:rsidR="00E90C70" w:rsidRDefault="00E90C70" w:rsidP="009B198F">
      <w:pPr>
        <w:tabs>
          <w:tab w:val="left" w:pos="0"/>
          <w:tab w:val="left" w:pos="9214"/>
        </w:tabs>
        <w:autoSpaceDE w:val="0"/>
        <w:autoSpaceDN w:val="0"/>
        <w:adjustRightInd w:val="0"/>
        <w:jc w:val="center"/>
        <w:rPr>
          <w:b/>
        </w:rPr>
      </w:pPr>
    </w:p>
    <w:p w:rsidR="004F48BD" w:rsidRDefault="004F48BD" w:rsidP="009B198F">
      <w:pPr>
        <w:tabs>
          <w:tab w:val="left" w:pos="0"/>
          <w:tab w:val="left" w:pos="9214"/>
        </w:tabs>
        <w:autoSpaceDE w:val="0"/>
        <w:autoSpaceDN w:val="0"/>
        <w:adjustRightInd w:val="0"/>
        <w:jc w:val="center"/>
        <w:rPr>
          <w:b/>
        </w:rPr>
      </w:pPr>
    </w:p>
    <w:p w:rsidR="00E90C70" w:rsidRPr="009D4D2F" w:rsidRDefault="00E90C70" w:rsidP="009B198F">
      <w:pPr>
        <w:tabs>
          <w:tab w:val="left" w:pos="0"/>
          <w:tab w:val="left" w:pos="9214"/>
        </w:tabs>
        <w:autoSpaceDE w:val="0"/>
        <w:autoSpaceDN w:val="0"/>
        <w:adjustRightInd w:val="0"/>
        <w:jc w:val="center"/>
        <w:rPr>
          <w:b/>
        </w:rPr>
      </w:pPr>
    </w:p>
    <w:p w:rsidR="006358A6" w:rsidRPr="009D4D2F" w:rsidRDefault="006358A6" w:rsidP="009D4D2F">
      <w:pPr>
        <w:tabs>
          <w:tab w:val="left" w:pos="0"/>
          <w:tab w:val="left" w:pos="9214"/>
        </w:tabs>
        <w:autoSpaceDE w:val="0"/>
        <w:autoSpaceDN w:val="0"/>
        <w:adjustRightInd w:val="0"/>
        <w:rPr>
          <w:b/>
        </w:rPr>
      </w:pPr>
    </w:p>
    <w:p w:rsidR="00025E2C" w:rsidRPr="006837A4" w:rsidRDefault="009B198F" w:rsidP="009B198F">
      <w:pPr>
        <w:tabs>
          <w:tab w:val="left" w:pos="0"/>
          <w:tab w:val="left" w:pos="9214"/>
        </w:tabs>
        <w:autoSpaceDE w:val="0"/>
        <w:autoSpaceDN w:val="0"/>
        <w:adjustRightInd w:val="0"/>
        <w:ind w:firstLine="567"/>
        <w:jc w:val="center"/>
        <w:rPr>
          <w:b/>
        </w:rPr>
      </w:pPr>
      <w:r w:rsidRPr="006837A4">
        <w:rPr>
          <w:b/>
        </w:rPr>
        <w:t>CONTENIDO</w:t>
      </w:r>
    </w:p>
    <w:p w:rsidR="007771BA" w:rsidRPr="00910F6F" w:rsidRDefault="007C7DEE">
      <w:pPr>
        <w:pStyle w:val="TDC1"/>
        <w:rPr>
          <w:rFonts w:asciiTheme="minorHAnsi" w:eastAsiaTheme="minorEastAsia" w:hAnsiTheme="minorHAnsi" w:cstheme="minorBidi"/>
          <w:noProof/>
          <w:sz w:val="22"/>
          <w:szCs w:val="22"/>
          <w:lang w:val="es-GT" w:eastAsia="es-GT"/>
        </w:rPr>
      </w:pPr>
      <w:r w:rsidRPr="00C87438">
        <w:rPr>
          <w:b/>
          <w:highlight w:val="yellow"/>
        </w:rPr>
        <w:fldChar w:fldCharType="begin"/>
      </w:r>
      <w:r w:rsidR="009C2D46" w:rsidRPr="00C87438">
        <w:rPr>
          <w:b/>
          <w:highlight w:val="yellow"/>
        </w:rPr>
        <w:instrText xml:space="preserve"> TOC \o "1-3" \h \z \u </w:instrText>
      </w:r>
      <w:r w:rsidRPr="00C87438">
        <w:rPr>
          <w:b/>
          <w:highlight w:val="yellow"/>
        </w:rPr>
        <w:fldChar w:fldCharType="separate"/>
      </w:r>
      <w:hyperlink w:anchor="_Toc494450588" w:history="1">
        <w:r w:rsidR="007771BA" w:rsidRPr="00910F6F">
          <w:rPr>
            <w:rStyle w:val="Hipervnculo"/>
            <w:noProof/>
          </w:rPr>
          <w:t>I.</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rPr>
          <w:t>Entorno Macroeconómico</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_Toc494450588 \h </w:instrText>
        </w:r>
        <w:r w:rsidR="007771BA" w:rsidRPr="00910F6F">
          <w:rPr>
            <w:noProof/>
            <w:webHidden/>
          </w:rPr>
        </w:r>
        <w:r w:rsidR="007771BA" w:rsidRPr="00910F6F">
          <w:rPr>
            <w:noProof/>
            <w:webHidden/>
          </w:rPr>
          <w:fldChar w:fldCharType="separate"/>
        </w:r>
        <w:r w:rsidR="00353E13">
          <w:rPr>
            <w:noProof/>
            <w:webHidden/>
          </w:rPr>
          <w:t>3</w:t>
        </w:r>
        <w:r w:rsidR="007771BA" w:rsidRPr="00910F6F">
          <w:rPr>
            <w:noProof/>
            <w:webHidden/>
          </w:rPr>
          <w:fldChar w:fldCharType="end"/>
        </w:r>
      </w:hyperlink>
    </w:p>
    <w:p w:rsidR="007771BA" w:rsidRPr="00910F6F" w:rsidRDefault="0054788E">
      <w:pPr>
        <w:pStyle w:val="TDC2"/>
        <w:rPr>
          <w:rFonts w:asciiTheme="minorHAnsi" w:eastAsiaTheme="minorEastAsia" w:hAnsiTheme="minorHAnsi" w:cstheme="minorBidi"/>
          <w:noProof/>
          <w:sz w:val="22"/>
          <w:szCs w:val="22"/>
          <w:lang w:val="es-GT" w:eastAsia="es-GT"/>
        </w:rPr>
      </w:pPr>
      <w:hyperlink w:anchor="_Toc494450589" w:history="1">
        <w:r w:rsidR="007771BA" w:rsidRPr="00910F6F">
          <w:rPr>
            <w:rStyle w:val="Hipervnculo"/>
            <w:noProof/>
            <w:lang w:val="es-MX"/>
          </w:rPr>
          <w:t>A.</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lang w:val="es-MX"/>
          </w:rPr>
          <w:t>La economía mundial durante 2017</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_Toc494450589 \h </w:instrText>
        </w:r>
        <w:r w:rsidR="007771BA" w:rsidRPr="00910F6F">
          <w:rPr>
            <w:noProof/>
            <w:webHidden/>
          </w:rPr>
        </w:r>
        <w:r w:rsidR="007771BA" w:rsidRPr="00910F6F">
          <w:rPr>
            <w:noProof/>
            <w:webHidden/>
          </w:rPr>
          <w:fldChar w:fldCharType="separate"/>
        </w:r>
        <w:r w:rsidR="00353E13">
          <w:rPr>
            <w:noProof/>
            <w:webHidden/>
          </w:rPr>
          <w:t>3</w:t>
        </w:r>
        <w:r w:rsidR="007771BA" w:rsidRPr="00910F6F">
          <w:rPr>
            <w:noProof/>
            <w:webHidden/>
          </w:rPr>
          <w:fldChar w:fldCharType="end"/>
        </w:r>
      </w:hyperlink>
    </w:p>
    <w:p w:rsidR="007771BA" w:rsidRPr="00910F6F" w:rsidRDefault="0054788E">
      <w:pPr>
        <w:pStyle w:val="TDC2"/>
        <w:rPr>
          <w:rFonts w:asciiTheme="minorHAnsi" w:eastAsiaTheme="minorEastAsia" w:hAnsiTheme="minorHAnsi" w:cstheme="minorBidi"/>
          <w:noProof/>
          <w:sz w:val="22"/>
          <w:szCs w:val="22"/>
          <w:lang w:val="es-GT" w:eastAsia="es-GT"/>
        </w:rPr>
      </w:pPr>
      <w:hyperlink w:anchor="_Toc494450590" w:history="1">
        <w:r w:rsidR="007771BA" w:rsidRPr="00910F6F">
          <w:rPr>
            <w:rStyle w:val="Hipervnculo"/>
            <w:noProof/>
            <w:lang w:val="es-MX"/>
          </w:rPr>
          <w:t>B.</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lang w:val="es-MX"/>
          </w:rPr>
          <w:t>Economía Nacional</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_Toc494450590 \h </w:instrText>
        </w:r>
        <w:r w:rsidR="007771BA" w:rsidRPr="00910F6F">
          <w:rPr>
            <w:noProof/>
            <w:webHidden/>
          </w:rPr>
        </w:r>
        <w:r w:rsidR="007771BA" w:rsidRPr="00910F6F">
          <w:rPr>
            <w:noProof/>
            <w:webHidden/>
          </w:rPr>
          <w:fldChar w:fldCharType="separate"/>
        </w:r>
        <w:r w:rsidR="00353E13">
          <w:rPr>
            <w:noProof/>
            <w:webHidden/>
          </w:rPr>
          <w:t>5</w:t>
        </w:r>
        <w:r w:rsidR="007771BA" w:rsidRPr="00910F6F">
          <w:rPr>
            <w:noProof/>
            <w:webHidden/>
          </w:rPr>
          <w:fldChar w:fldCharType="end"/>
        </w:r>
      </w:hyperlink>
    </w:p>
    <w:p w:rsidR="007771BA" w:rsidRPr="00910F6F" w:rsidRDefault="0054788E">
      <w:pPr>
        <w:pStyle w:val="TDC1"/>
        <w:rPr>
          <w:rFonts w:asciiTheme="minorHAnsi" w:eastAsiaTheme="minorEastAsia" w:hAnsiTheme="minorHAnsi" w:cstheme="minorBidi"/>
          <w:noProof/>
          <w:sz w:val="22"/>
          <w:szCs w:val="22"/>
          <w:lang w:val="es-GT" w:eastAsia="es-GT"/>
        </w:rPr>
      </w:pPr>
      <w:hyperlink w:anchor="_Toc494450591" w:history="1">
        <w:r w:rsidR="007771BA" w:rsidRPr="00910F6F">
          <w:rPr>
            <w:rStyle w:val="Hipervnculo"/>
            <w:noProof/>
          </w:rPr>
          <w:t>II.</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rPr>
          <w:t>La Política Fiscal en 2017</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_Toc494450591 \h </w:instrText>
        </w:r>
        <w:r w:rsidR="007771BA" w:rsidRPr="00910F6F">
          <w:rPr>
            <w:noProof/>
            <w:webHidden/>
          </w:rPr>
        </w:r>
        <w:r w:rsidR="007771BA" w:rsidRPr="00910F6F">
          <w:rPr>
            <w:noProof/>
            <w:webHidden/>
          </w:rPr>
          <w:fldChar w:fldCharType="separate"/>
        </w:r>
        <w:r w:rsidR="00353E13">
          <w:rPr>
            <w:noProof/>
            <w:webHidden/>
          </w:rPr>
          <w:t>8</w:t>
        </w:r>
        <w:r w:rsidR="007771BA" w:rsidRPr="00910F6F">
          <w:rPr>
            <w:noProof/>
            <w:webHidden/>
          </w:rPr>
          <w:fldChar w:fldCharType="end"/>
        </w:r>
      </w:hyperlink>
    </w:p>
    <w:p w:rsidR="007771BA" w:rsidRPr="00910F6F" w:rsidRDefault="0054788E">
      <w:pPr>
        <w:pStyle w:val="TDC1"/>
        <w:rPr>
          <w:rFonts w:asciiTheme="minorHAnsi" w:eastAsiaTheme="minorEastAsia" w:hAnsiTheme="minorHAnsi" w:cstheme="minorBidi"/>
          <w:noProof/>
          <w:sz w:val="22"/>
          <w:szCs w:val="22"/>
          <w:lang w:val="es-GT" w:eastAsia="es-GT"/>
        </w:rPr>
      </w:pPr>
      <w:hyperlink w:anchor="_Toc494450592" w:history="1">
        <w:r w:rsidR="007771BA" w:rsidRPr="00910F6F">
          <w:rPr>
            <w:rStyle w:val="Hipervnculo"/>
            <w:noProof/>
          </w:rPr>
          <w:t>III.</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rPr>
          <w:t>Situación Financiera de la Administración Central</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_Toc494450592 \h </w:instrText>
        </w:r>
        <w:r w:rsidR="007771BA" w:rsidRPr="00910F6F">
          <w:rPr>
            <w:noProof/>
            <w:webHidden/>
          </w:rPr>
        </w:r>
        <w:r w:rsidR="007771BA" w:rsidRPr="00910F6F">
          <w:rPr>
            <w:noProof/>
            <w:webHidden/>
          </w:rPr>
          <w:fldChar w:fldCharType="separate"/>
        </w:r>
        <w:r w:rsidR="00353E13">
          <w:rPr>
            <w:noProof/>
            <w:webHidden/>
          </w:rPr>
          <w:t>10</w:t>
        </w:r>
        <w:r w:rsidR="007771BA" w:rsidRPr="00910F6F">
          <w:rPr>
            <w:noProof/>
            <w:webHidden/>
          </w:rPr>
          <w:fldChar w:fldCharType="end"/>
        </w:r>
      </w:hyperlink>
    </w:p>
    <w:p w:rsidR="007771BA" w:rsidRPr="00910F6F" w:rsidRDefault="0054788E">
      <w:pPr>
        <w:pStyle w:val="TDC2"/>
        <w:rPr>
          <w:rFonts w:asciiTheme="minorHAnsi" w:eastAsiaTheme="minorEastAsia" w:hAnsiTheme="minorHAnsi" w:cstheme="minorBidi"/>
          <w:noProof/>
          <w:sz w:val="22"/>
          <w:szCs w:val="22"/>
          <w:lang w:val="es-GT" w:eastAsia="es-GT"/>
        </w:rPr>
      </w:pPr>
      <w:hyperlink w:anchor="_Toc494450593" w:history="1">
        <w:r w:rsidR="007771BA" w:rsidRPr="00910F6F">
          <w:rPr>
            <w:rStyle w:val="Hipervnculo"/>
            <w:noProof/>
          </w:rPr>
          <w:t>A.</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rPr>
          <w:t>Ingresos</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_Toc494450593 \h </w:instrText>
        </w:r>
        <w:r w:rsidR="007771BA" w:rsidRPr="00910F6F">
          <w:rPr>
            <w:noProof/>
            <w:webHidden/>
          </w:rPr>
        </w:r>
        <w:r w:rsidR="007771BA" w:rsidRPr="00910F6F">
          <w:rPr>
            <w:noProof/>
            <w:webHidden/>
          </w:rPr>
          <w:fldChar w:fldCharType="separate"/>
        </w:r>
        <w:r w:rsidR="00353E13">
          <w:rPr>
            <w:noProof/>
            <w:webHidden/>
          </w:rPr>
          <w:t>10</w:t>
        </w:r>
        <w:r w:rsidR="007771BA" w:rsidRPr="00910F6F">
          <w:rPr>
            <w:noProof/>
            <w:webHidden/>
          </w:rPr>
          <w:fldChar w:fldCharType="end"/>
        </w:r>
      </w:hyperlink>
    </w:p>
    <w:p w:rsidR="007771BA" w:rsidRPr="00910F6F" w:rsidRDefault="0054788E">
      <w:pPr>
        <w:pStyle w:val="TDC2"/>
        <w:rPr>
          <w:rFonts w:asciiTheme="minorHAnsi" w:eastAsiaTheme="minorEastAsia" w:hAnsiTheme="minorHAnsi" w:cstheme="minorBidi"/>
          <w:noProof/>
          <w:sz w:val="22"/>
          <w:szCs w:val="22"/>
          <w:lang w:val="es-GT" w:eastAsia="es-GT"/>
        </w:rPr>
      </w:pPr>
      <w:hyperlink w:anchor="_Toc494450594" w:history="1">
        <w:r w:rsidR="007771BA" w:rsidRPr="00910F6F">
          <w:rPr>
            <w:rStyle w:val="Hipervnculo"/>
            <w:noProof/>
          </w:rPr>
          <w:t>B.</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rPr>
          <w:t>Gastos</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_Toc494450594 \h </w:instrText>
        </w:r>
        <w:r w:rsidR="007771BA" w:rsidRPr="00910F6F">
          <w:rPr>
            <w:noProof/>
            <w:webHidden/>
          </w:rPr>
        </w:r>
        <w:r w:rsidR="007771BA" w:rsidRPr="00910F6F">
          <w:rPr>
            <w:noProof/>
            <w:webHidden/>
          </w:rPr>
          <w:fldChar w:fldCharType="separate"/>
        </w:r>
        <w:r w:rsidR="00353E13">
          <w:rPr>
            <w:noProof/>
            <w:webHidden/>
          </w:rPr>
          <w:t>12</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595" w:history="1">
        <w:r w:rsidR="007771BA" w:rsidRPr="00910F6F">
          <w:rPr>
            <w:rStyle w:val="Hipervnculo"/>
            <w:bCs/>
            <w:noProof/>
            <w:lang w:val="es-MX"/>
          </w:rPr>
          <w:t>1.</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lang w:val="es-MX"/>
          </w:rPr>
          <w:t>Destino del gasto por cuenta económica</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_Toc494450595 \h </w:instrText>
        </w:r>
        <w:r w:rsidR="007771BA" w:rsidRPr="00910F6F">
          <w:rPr>
            <w:noProof/>
            <w:webHidden/>
          </w:rPr>
        </w:r>
        <w:r w:rsidR="007771BA" w:rsidRPr="00910F6F">
          <w:rPr>
            <w:noProof/>
            <w:webHidden/>
          </w:rPr>
          <w:fldChar w:fldCharType="separate"/>
        </w:r>
        <w:r w:rsidR="00353E13">
          <w:rPr>
            <w:noProof/>
            <w:webHidden/>
          </w:rPr>
          <w:t>13</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596" w:history="1">
        <w:r w:rsidR="007771BA" w:rsidRPr="00910F6F">
          <w:rPr>
            <w:rStyle w:val="Hipervnculo"/>
            <w:bCs/>
            <w:noProof/>
            <w:lang w:val="es-MX"/>
          </w:rPr>
          <w:t>2.</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lang w:val="es-MX"/>
          </w:rPr>
          <w:t>Ejecución presupuestaria por Entidad</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_Toc494450596 \h </w:instrText>
        </w:r>
        <w:r w:rsidR="007771BA" w:rsidRPr="00910F6F">
          <w:rPr>
            <w:noProof/>
            <w:webHidden/>
          </w:rPr>
        </w:r>
        <w:r w:rsidR="007771BA" w:rsidRPr="00910F6F">
          <w:rPr>
            <w:noProof/>
            <w:webHidden/>
          </w:rPr>
          <w:fldChar w:fldCharType="separate"/>
        </w:r>
        <w:r w:rsidR="00353E13">
          <w:rPr>
            <w:noProof/>
            <w:webHidden/>
          </w:rPr>
          <w:t>14</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597" w:history="1">
        <w:r w:rsidR="007771BA" w:rsidRPr="00910F6F">
          <w:rPr>
            <w:rStyle w:val="Hipervnculo"/>
            <w:noProof/>
            <w:lang w:val="es-MX"/>
          </w:rPr>
          <w:t>3.</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lang w:val="es-MX"/>
          </w:rPr>
          <w:t>Gasto Público por Fuente de Financiamiento</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_Toc494450597 \h </w:instrText>
        </w:r>
        <w:r w:rsidR="007771BA" w:rsidRPr="00910F6F">
          <w:rPr>
            <w:noProof/>
            <w:webHidden/>
          </w:rPr>
        </w:r>
        <w:r w:rsidR="007771BA" w:rsidRPr="00910F6F">
          <w:rPr>
            <w:noProof/>
            <w:webHidden/>
          </w:rPr>
          <w:fldChar w:fldCharType="separate"/>
        </w:r>
        <w:r w:rsidR="00353E13">
          <w:rPr>
            <w:noProof/>
            <w:webHidden/>
          </w:rPr>
          <w:t>16</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598" w:history="1">
        <w:r w:rsidR="007771BA" w:rsidRPr="00910F6F">
          <w:rPr>
            <w:rStyle w:val="Hipervnculo"/>
            <w:bCs/>
            <w:noProof/>
            <w:lang w:val="es-MX"/>
          </w:rPr>
          <w:t>4.</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lang w:val="es-MX"/>
          </w:rPr>
          <w:t>Gasto Social y Acuerdos de Paz</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_Toc494450598 \h </w:instrText>
        </w:r>
        <w:r w:rsidR="007771BA" w:rsidRPr="00910F6F">
          <w:rPr>
            <w:noProof/>
            <w:webHidden/>
          </w:rPr>
        </w:r>
        <w:r w:rsidR="007771BA" w:rsidRPr="00910F6F">
          <w:rPr>
            <w:noProof/>
            <w:webHidden/>
          </w:rPr>
          <w:fldChar w:fldCharType="separate"/>
        </w:r>
        <w:r w:rsidR="00353E13">
          <w:rPr>
            <w:noProof/>
            <w:webHidden/>
          </w:rPr>
          <w:t>18</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599" w:history="1">
        <w:r w:rsidR="007771BA" w:rsidRPr="00910F6F">
          <w:rPr>
            <w:rStyle w:val="Hipervnculo"/>
            <w:bCs/>
            <w:noProof/>
            <w:lang w:val="es-MX"/>
          </w:rPr>
          <w:t>5.</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lang w:val="es-MX"/>
          </w:rPr>
          <w:t>Gasto Ejecutado a través de Fideicomisos</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_Toc494450599 \h </w:instrText>
        </w:r>
        <w:r w:rsidR="007771BA" w:rsidRPr="00910F6F">
          <w:rPr>
            <w:noProof/>
            <w:webHidden/>
          </w:rPr>
        </w:r>
        <w:r w:rsidR="007771BA" w:rsidRPr="00910F6F">
          <w:rPr>
            <w:noProof/>
            <w:webHidden/>
          </w:rPr>
          <w:fldChar w:fldCharType="separate"/>
        </w:r>
        <w:r w:rsidR="00353E13">
          <w:rPr>
            <w:noProof/>
            <w:webHidden/>
          </w:rPr>
          <w:t>20</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0" w:history="1">
        <w:r w:rsidR="007771BA" w:rsidRPr="00910F6F">
          <w:rPr>
            <w:rStyle w:val="Hipervnculo"/>
            <w:bCs/>
            <w:noProof/>
            <w:lang w:val="es-MX"/>
          </w:rPr>
          <w:t>6.</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lang w:val="es-MX"/>
          </w:rPr>
          <w:t>Gasto Ejecutado a través de Organizaciones No Gubernamentales</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_Toc494450600 \h </w:instrText>
        </w:r>
        <w:r w:rsidR="007771BA" w:rsidRPr="00910F6F">
          <w:rPr>
            <w:noProof/>
            <w:webHidden/>
          </w:rPr>
        </w:r>
        <w:r w:rsidR="007771BA" w:rsidRPr="00910F6F">
          <w:rPr>
            <w:noProof/>
            <w:webHidden/>
          </w:rPr>
          <w:fldChar w:fldCharType="separate"/>
        </w:r>
        <w:r w:rsidR="00353E13">
          <w:rPr>
            <w:noProof/>
            <w:webHidden/>
          </w:rPr>
          <w:t>21</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1" w:history="1">
        <w:r w:rsidR="007771BA" w:rsidRPr="00910F6F">
          <w:rPr>
            <w:rStyle w:val="Hipervnculo"/>
            <w:bCs/>
            <w:noProof/>
            <w:lang w:val="es-MX"/>
          </w:rPr>
          <w:t>7.</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lang w:val="es-MX"/>
          </w:rPr>
          <w:t>Déficit Fiscal</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_Toc494450601 \h </w:instrText>
        </w:r>
        <w:r w:rsidR="007771BA" w:rsidRPr="00910F6F">
          <w:rPr>
            <w:noProof/>
            <w:webHidden/>
          </w:rPr>
        </w:r>
        <w:r w:rsidR="007771BA" w:rsidRPr="00910F6F">
          <w:rPr>
            <w:noProof/>
            <w:webHidden/>
          </w:rPr>
          <w:fldChar w:fldCharType="separate"/>
        </w:r>
        <w:r w:rsidR="00353E13">
          <w:rPr>
            <w:noProof/>
            <w:webHidden/>
          </w:rPr>
          <w:t>22</w:t>
        </w:r>
        <w:r w:rsidR="007771BA" w:rsidRPr="00910F6F">
          <w:rPr>
            <w:noProof/>
            <w:webHidden/>
          </w:rPr>
          <w:fldChar w:fldCharType="end"/>
        </w:r>
      </w:hyperlink>
    </w:p>
    <w:p w:rsidR="007771BA" w:rsidRPr="00910F6F" w:rsidRDefault="0054788E">
      <w:pPr>
        <w:pStyle w:val="TDC2"/>
        <w:rPr>
          <w:rFonts w:asciiTheme="minorHAnsi" w:eastAsiaTheme="minorEastAsia" w:hAnsiTheme="minorHAnsi" w:cstheme="minorBidi"/>
          <w:noProof/>
          <w:sz w:val="22"/>
          <w:szCs w:val="22"/>
          <w:lang w:val="es-GT" w:eastAsia="es-GT"/>
        </w:rPr>
      </w:pPr>
      <w:hyperlink w:anchor="_Toc494450602" w:history="1">
        <w:r w:rsidR="007771BA" w:rsidRPr="00910F6F">
          <w:rPr>
            <w:rStyle w:val="Hipervnculo"/>
            <w:noProof/>
          </w:rPr>
          <w:t>C.</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rPr>
          <w:t>Crédito Público</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_Toc494450602 \h </w:instrText>
        </w:r>
        <w:r w:rsidR="007771BA" w:rsidRPr="00910F6F">
          <w:rPr>
            <w:noProof/>
            <w:webHidden/>
          </w:rPr>
        </w:r>
        <w:r w:rsidR="007771BA" w:rsidRPr="00910F6F">
          <w:rPr>
            <w:noProof/>
            <w:webHidden/>
          </w:rPr>
          <w:fldChar w:fldCharType="separate"/>
        </w:r>
        <w:r w:rsidR="00353E13">
          <w:rPr>
            <w:noProof/>
            <w:webHidden/>
          </w:rPr>
          <w:t>24</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3" w:history="1">
        <w:r w:rsidR="007771BA" w:rsidRPr="00910F6F">
          <w:rPr>
            <w:rStyle w:val="Hipervnculo"/>
            <w:bCs/>
            <w:noProof/>
          </w:rPr>
          <w:t>1.</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Indicadores de la deuda pública</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_Toc494450603 \h </w:instrText>
        </w:r>
        <w:r w:rsidR="007771BA" w:rsidRPr="00910F6F">
          <w:rPr>
            <w:noProof/>
            <w:webHidden/>
          </w:rPr>
        </w:r>
        <w:r w:rsidR="007771BA" w:rsidRPr="00910F6F">
          <w:rPr>
            <w:noProof/>
            <w:webHidden/>
          </w:rPr>
          <w:fldChar w:fldCharType="separate"/>
        </w:r>
        <w:r w:rsidR="00353E13">
          <w:rPr>
            <w:noProof/>
            <w:webHidden/>
          </w:rPr>
          <w:t>24</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4" w:history="1">
        <w:r w:rsidR="007771BA" w:rsidRPr="00910F6F">
          <w:rPr>
            <w:rStyle w:val="Hipervnculo"/>
            <w:bCs/>
            <w:noProof/>
          </w:rPr>
          <w:t>2.</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Deuda pública vigente y su composición</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_Toc494450604 \h </w:instrText>
        </w:r>
        <w:r w:rsidR="007771BA" w:rsidRPr="00910F6F">
          <w:rPr>
            <w:noProof/>
            <w:webHidden/>
          </w:rPr>
        </w:r>
        <w:r w:rsidR="007771BA" w:rsidRPr="00910F6F">
          <w:rPr>
            <w:noProof/>
            <w:webHidden/>
          </w:rPr>
          <w:fldChar w:fldCharType="separate"/>
        </w:r>
        <w:r w:rsidR="00353E13">
          <w:rPr>
            <w:noProof/>
            <w:webHidden/>
          </w:rPr>
          <w:t>24</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5" w:history="1">
        <w:r w:rsidR="007771BA" w:rsidRPr="00910F6F">
          <w:rPr>
            <w:rStyle w:val="Hipervnculo"/>
            <w:bCs/>
            <w:noProof/>
          </w:rPr>
          <w:t>3.</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Colocación de Bonos del Tesoro</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_Toc494450605 \h </w:instrText>
        </w:r>
        <w:r w:rsidR="007771BA" w:rsidRPr="00910F6F">
          <w:rPr>
            <w:noProof/>
            <w:webHidden/>
          </w:rPr>
        </w:r>
        <w:r w:rsidR="007771BA" w:rsidRPr="00910F6F">
          <w:rPr>
            <w:noProof/>
            <w:webHidden/>
          </w:rPr>
          <w:fldChar w:fldCharType="separate"/>
        </w:r>
        <w:r w:rsidR="00353E13">
          <w:rPr>
            <w:noProof/>
            <w:webHidden/>
          </w:rPr>
          <w:t>25</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6" w:history="1">
        <w:r w:rsidR="007771BA" w:rsidRPr="00910F6F">
          <w:rPr>
            <w:rStyle w:val="Hipervnculo"/>
            <w:bCs/>
            <w:noProof/>
          </w:rPr>
          <w:t>4.</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Desembolsos de préstamos externos</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_Toc494450606 \h </w:instrText>
        </w:r>
        <w:r w:rsidR="007771BA" w:rsidRPr="00910F6F">
          <w:rPr>
            <w:noProof/>
            <w:webHidden/>
          </w:rPr>
        </w:r>
        <w:r w:rsidR="007771BA" w:rsidRPr="00910F6F">
          <w:rPr>
            <w:noProof/>
            <w:webHidden/>
          </w:rPr>
          <w:fldChar w:fldCharType="separate"/>
        </w:r>
        <w:r w:rsidR="00353E13">
          <w:rPr>
            <w:noProof/>
            <w:webHidden/>
          </w:rPr>
          <w:t>28</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7" w:history="1">
        <w:r w:rsidR="007771BA" w:rsidRPr="00910F6F">
          <w:rPr>
            <w:rStyle w:val="Hipervnculo"/>
            <w:bCs/>
            <w:noProof/>
          </w:rPr>
          <w:t>5.</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Servicio de la deuda pública</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_Toc494450607 \h </w:instrText>
        </w:r>
        <w:r w:rsidR="007771BA" w:rsidRPr="00910F6F">
          <w:rPr>
            <w:noProof/>
            <w:webHidden/>
          </w:rPr>
        </w:r>
        <w:r w:rsidR="007771BA" w:rsidRPr="00910F6F">
          <w:rPr>
            <w:noProof/>
            <w:webHidden/>
          </w:rPr>
          <w:fldChar w:fldCharType="separate"/>
        </w:r>
        <w:r w:rsidR="00353E13">
          <w:rPr>
            <w:noProof/>
            <w:webHidden/>
          </w:rPr>
          <w:t>28</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08" w:history="1">
        <w:r w:rsidR="007771BA" w:rsidRPr="00910F6F">
          <w:rPr>
            <w:rStyle w:val="Hipervnculo"/>
            <w:bCs/>
            <w:noProof/>
          </w:rPr>
          <w:t>6.</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Cooperación financiera internacional reembolsable</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_Toc494450608 \h </w:instrText>
        </w:r>
        <w:r w:rsidR="007771BA" w:rsidRPr="00910F6F">
          <w:rPr>
            <w:noProof/>
            <w:webHidden/>
          </w:rPr>
        </w:r>
        <w:r w:rsidR="007771BA" w:rsidRPr="00910F6F">
          <w:rPr>
            <w:noProof/>
            <w:webHidden/>
          </w:rPr>
          <w:fldChar w:fldCharType="separate"/>
        </w:r>
        <w:r w:rsidR="00353E13">
          <w:rPr>
            <w:noProof/>
            <w:webHidden/>
          </w:rPr>
          <w:t>28</w:t>
        </w:r>
        <w:r w:rsidR="007771BA" w:rsidRPr="00910F6F">
          <w:rPr>
            <w:noProof/>
            <w:webHidden/>
          </w:rPr>
          <w:fldChar w:fldCharType="end"/>
        </w:r>
      </w:hyperlink>
    </w:p>
    <w:p w:rsidR="007771BA" w:rsidRPr="00910F6F" w:rsidRDefault="0054788E">
      <w:pPr>
        <w:pStyle w:val="TDC1"/>
        <w:rPr>
          <w:rFonts w:asciiTheme="minorHAnsi" w:eastAsiaTheme="minorEastAsia" w:hAnsiTheme="minorHAnsi" w:cstheme="minorBidi"/>
          <w:noProof/>
          <w:sz w:val="22"/>
          <w:szCs w:val="22"/>
          <w:lang w:val="es-GT" w:eastAsia="es-GT"/>
        </w:rPr>
      </w:pPr>
      <w:hyperlink w:anchor="_Toc494450609" w:history="1">
        <w:r w:rsidR="007771BA" w:rsidRPr="00910F6F">
          <w:rPr>
            <w:rStyle w:val="Hipervnculo"/>
            <w:noProof/>
          </w:rPr>
          <w:t>IV.</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noProof/>
          </w:rPr>
          <w:t>Perspectivas de Cierre 2017</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_Toc494450609 \h </w:instrText>
        </w:r>
        <w:r w:rsidR="007771BA" w:rsidRPr="00910F6F">
          <w:rPr>
            <w:noProof/>
            <w:webHidden/>
          </w:rPr>
        </w:r>
        <w:r w:rsidR="007771BA" w:rsidRPr="00910F6F">
          <w:rPr>
            <w:noProof/>
            <w:webHidden/>
          </w:rPr>
          <w:fldChar w:fldCharType="separate"/>
        </w:r>
        <w:r w:rsidR="00353E13">
          <w:rPr>
            <w:noProof/>
            <w:webHidden/>
          </w:rPr>
          <w:t>30</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10" w:history="1">
        <w:r w:rsidR="007771BA" w:rsidRPr="00910F6F">
          <w:rPr>
            <w:rStyle w:val="Hipervnculo"/>
            <w:bCs/>
            <w:noProof/>
          </w:rPr>
          <w:t>A.</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Perspectivas económicas</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_Toc494450610 \h </w:instrText>
        </w:r>
        <w:r w:rsidR="007771BA" w:rsidRPr="00910F6F">
          <w:rPr>
            <w:noProof/>
            <w:webHidden/>
          </w:rPr>
        </w:r>
        <w:r w:rsidR="007771BA" w:rsidRPr="00910F6F">
          <w:rPr>
            <w:noProof/>
            <w:webHidden/>
          </w:rPr>
          <w:fldChar w:fldCharType="separate"/>
        </w:r>
        <w:r w:rsidR="00353E13">
          <w:rPr>
            <w:noProof/>
            <w:webHidden/>
          </w:rPr>
          <w:t>30</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11" w:history="1">
        <w:r w:rsidR="007771BA" w:rsidRPr="00910F6F">
          <w:rPr>
            <w:rStyle w:val="Hipervnculo"/>
            <w:bCs/>
            <w:noProof/>
          </w:rPr>
          <w:t>B.</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Perspectivas Fiscales</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_Toc494450611 \h </w:instrText>
        </w:r>
        <w:r w:rsidR="007771BA" w:rsidRPr="00910F6F">
          <w:rPr>
            <w:noProof/>
            <w:webHidden/>
          </w:rPr>
        </w:r>
        <w:r w:rsidR="007771BA" w:rsidRPr="00910F6F">
          <w:rPr>
            <w:noProof/>
            <w:webHidden/>
          </w:rPr>
          <w:fldChar w:fldCharType="separate"/>
        </w:r>
        <w:r w:rsidR="00353E13">
          <w:rPr>
            <w:noProof/>
            <w:webHidden/>
          </w:rPr>
          <w:t>31</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12" w:history="1">
        <w:r w:rsidR="007771BA" w:rsidRPr="00910F6F">
          <w:rPr>
            <w:rStyle w:val="Hipervnculo"/>
            <w:bCs/>
            <w:noProof/>
          </w:rPr>
          <w:t>1.</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Recaudación Fiscal</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_Toc494450612 \h </w:instrText>
        </w:r>
        <w:r w:rsidR="007771BA" w:rsidRPr="00910F6F">
          <w:rPr>
            <w:noProof/>
            <w:webHidden/>
          </w:rPr>
        </w:r>
        <w:r w:rsidR="007771BA" w:rsidRPr="00910F6F">
          <w:rPr>
            <w:noProof/>
            <w:webHidden/>
          </w:rPr>
          <w:fldChar w:fldCharType="separate"/>
        </w:r>
        <w:r w:rsidR="00353E13">
          <w:rPr>
            <w:noProof/>
            <w:webHidden/>
          </w:rPr>
          <w:t>31</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13" w:history="1">
        <w:r w:rsidR="007771BA" w:rsidRPr="00910F6F">
          <w:rPr>
            <w:rStyle w:val="Hipervnculo"/>
            <w:bCs/>
            <w:noProof/>
          </w:rPr>
          <w:t>2.</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Gasto y Financiamiento</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_Toc494450613 \h </w:instrText>
        </w:r>
        <w:r w:rsidR="007771BA" w:rsidRPr="00910F6F">
          <w:rPr>
            <w:noProof/>
            <w:webHidden/>
          </w:rPr>
        </w:r>
        <w:r w:rsidR="007771BA" w:rsidRPr="00910F6F">
          <w:rPr>
            <w:noProof/>
            <w:webHidden/>
          </w:rPr>
          <w:fldChar w:fldCharType="separate"/>
        </w:r>
        <w:r w:rsidR="00353E13">
          <w:rPr>
            <w:noProof/>
            <w:webHidden/>
          </w:rPr>
          <w:t>33</w:t>
        </w:r>
        <w:r w:rsidR="007771BA" w:rsidRPr="00910F6F">
          <w:rPr>
            <w:noProof/>
            <w:webHidden/>
          </w:rPr>
          <w:fldChar w:fldCharType="end"/>
        </w:r>
      </w:hyperlink>
    </w:p>
    <w:p w:rsidR="007771BA" w:rsidRPr="00910F6F" w:rsidRDefault="0054788E">
      <w:pPr>
        <w:pStyle w:val="TDC3"/>
        <w:rPr>
          <w:rFonts w:asciiTheme="minorHAnsi" w:eastAsiaTheme="minorEastAsia" w:hAnsiTheme="minorHAnsi" w:cstheme="minorBidi"/>
          <w:noProof/>
          <w:sz w:val="22"/>
          <w:szCs w:val="22"/>
          <w:lang w:val="es-GT" w:eastAsia="es-GT"/>
        </w:rPr>
      </w:pPr>
      <w:hyperlink w:anchor="_Toc494450614" w:history="1">
        <w:r w:rsidR="007771BA" w:rsidRPr="00910F6F">
          <w:rPr>
            <w:rStyle w:val="Hipervnculo"/>
            <w:bCs/>
            <w:noProof/>
          </w:rPr>
          <w:t>3.</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Estimaciones del gasto por Entidad</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_Toc494450614 \h </w:instrText>
        </w:r>
        <w:r w:rsidR="007771BA" w:rsidRPr="00910F6F">
          <w:rPr>
            <w:noProof/>
            <w:webHidden/>
          </w:rPr>
        </w:r>
        <w:r w:rsidR="007771BA" w:rsidRPr="00910F6F">
          <w:rPr>
            <w:noProof/>
            <w:webHidden/>
          </w:rPr>
          <w:fldChar w:fldCharType="separate"/>
        </w:r>
        <w:r w:rsidR="00353E13">
          <w:rPr>
            <w:noProof/>
            <w:webHidden/>
          </w:rPr>
          <w:t>36</w:t>
        </w:r>
        <w:r w:rsidR="007771BA" w:rsidRPr="00910F6F">
          <w:rPr>
            <w:noProof/>
            <w:webHidden/>
          </w:rPr>
          <w:fldChar w:fldCharType="end"/>
        </w:r>
      </w:hyperlink>
    </w:p>
    <w:p w:rsidR="007771BA" w:rsidRDefault="0054788E">
      <w:pPr>
        <w:pStyle w:val="TDC3"/>
        <w:rPr>
          <w:rFonts w:asciiTheme="minorHAnsi" w:eastAsiaTheme="minorEastAsia" w:hAnsiTheme="minorHAnsi" w:cstheme="minorBidi"/>
          <w:noProof/>
          <w:sz w:val="22"/>
          <w:szCs w:val="22"/>
          <w:lang w:val="es-GT" w:eastAsia="es-GT"/>
        </w:rPr>
      </w:pPr>
      <w:hyperlink w:anchor="_Toc494450615" w:history="1">
        <w:r w:rsidR="007771BA" w:rsidRPr="00910F6F">
          <w:rPr>
            <w:rStyle w:val="Hipervnculo"/>
            <w:bCs/>
            <w:noProof/>
          </w:rPr>
          <w:t>4.</w:t>
        </w:r>
        <w:r w:rsidR="007771BA" w:rsidRPr="00910F6F">
          <w:rPr>
            <w:rFonts w:asciiTheme="minorHAnsi" w:eastAsiaTheme="minorEastAsia" w:hAnsiTheme="minorHAnsi" w:cstheme="minorBidi"/>
            <w:noProof/>
            <w:sz w:val="22"/>
            <w:szCs w:val="22"/>
            <w:lang w:val="es-GT" w:eastAsia="es-GT"/>
          </w:rPr>
          <w:tab/>
        </w:r>
        <w:r w:rsidR="007771BA" w:rsidRPr="00910F6F">
          <w:rPr>
            <w:rStyle w:val="Hipervnculo"/>
            <w:bCs/>
            <w:noProof/>
          </w:rPr>
          <w:t>Estimaciones del gasto por Finalidad y Función</w:t>
        </w:r>
        <w:r w:rsidR="007771BA" w:rsidRPr="00910F6F">
          <w:rPr>
            <w:noProof/>
            <w:webHidden/>
          </w:rPr>
          <w:tab/>
        </w:r>
        <w:r w:rsidR="007771BA" w:rsidRPr="00910F6F">
          <w:rPr>
            <w:noProof/>
            <w:webHidden/>
          </w:rPr>
          <w:fldChar w:fldCharType="begin"/>
        </w:r>
        <w:r w:rsidR="007771BA" w:rsidRPr="00910F6F">
          <w:rPr>
            <w:noProof/>
            <w:webHidden/>
          </w:rPr>
          <w:instrText xml:space="preserve"> PAGEREF _Toc494450615 \h </w:instrText>
        </w:r>
        <w:r w:rsidR="007771BA" w:rsidRPr="00910F6F">
          <w:rPr>
            <w:noProof/>
            <w:webHidden/>
          </w:rPr>
        </w:r>
        <w:r w:rsidR="007771BA" w:rsidRPr="00910F6F">
          <w:rPr>
            <w:noProof/>
            <w:webHidden/>
          </w:rPr>
          <w:fldChar w:fldCharType="separate"/>
        </w:r>
        <w:r w:rsidR="00353E13">
          <w:rPr>
            <w:noProof/>
            <w:webHidden/>
          </w:rPr>
          <w:t>37</w:t>
        </w:r>
        <w:r w:rsidR="007771BA" w:rsidRPr="00910F6F">
          <w:rPr>
            <w:noProof/>
            <w:webHidden/>
          </w:rPr>
          <w:fldChar w:fldCharType="end"/>
        </w:r>
      </w:hyperlink>
    </w:p>
    <w:p w:rsidR="007771BA" w:rsidRDefault="0054788E">
      <w:pPr>
        <w:pStyle w:val="TDC1"/>
        <w:rPr>
          <w:rFonts w:asciiTheme="minorHAnsi" w:eastAsiaTheme="minorEastAsia" w:hAnsiTheme="minorHAnsi" w:cstheme="minorBidi"/>
          <w:noProof/>
          <w:sz w:val="22"/>
          <w:szCs w:val="22"/>
          <w:lang w:val="es-GT" w:eastAsia="es-GT"/>
        </w:rPr>
      </w:pPr>
      <w:hyperlink w:anchor="_Toc494450616" w:history="1">
        <w:r w:rsidR="007771BA" w:rsidRPr="00C90C04">
          <w:rPr>
            <w:rStyle w:val="Hipervnculo"/>
            <w:noProof/>
          </w:rPr>
          <w:t>V.</w:t>
        </w:r>
        <w:r w:rsidR="007771BA">
          <w:rPr>
            <w:rFonts w:asciiTheme="minorHAnsi" w:eastAsiaTheme="minorEastAsia" w:hAnsiTheme="minorHAnsi" w:cstheme="minorBidi"/>
            <w:noProof/>
            <w:sz w:val="22"/>
            <w:szCs w:val="22"/>
            <w:lang w:val="es-GT" w:eastAsia="es-GT"/>
          </w:rPr>
          <w:tab/>
        </w:r>
        <w:r w:rsidR="007771BA" w:rsidRPr="00C90C04">
          <w:rPr>
            <w:rStyle w:val="Hipervnculo"/>
            <w:noProof/>
          </w:rPr>
          <w:t>Aspectos Relevantes enero - junio de 2017</w:t>
        </w:r>
        <w:r w:rsidR="007771BA">
          <w:rPr>
            <w:noProof/>
            <w:webHidden/>
          </w:rPr>
          <w:tab/>
        </w:r>
        <w:r w:rsidR="007771BA">
          <w:rPr>
            <w:noProof/>
            <w:webHidden/>
          </w:rPr>
          <w:fldChar w:fldCharType="begin"/>
        </w:r>
        <w:r w:rsidR="007771BA">
          <w:rPr>
            <w:noProof/>
            <w:webHidden/>
          </w:rPr>
          <w:instrText xml:space="preserve"> PAGEREF _Toc494450616 \h </w:instrText>
        </w:r>
        <w:r w:rsidR="007771BA">
          <w:rPr>
            <w:noProof/>
            <w:webHidden/>
          </w:rPr>
        </w:r>
        <w:r w:rsidR="007771BA">
          <w:rPr>
            <w:noProof/>
            <w:webHidden/>
          </w:rPr>
          <w:fldChar w:fldCharType="separate"/>
        </w:r>
        <w:r w:rsidR="00353E13">
          <w:rPr>
            <w:noProof/>
            <w:webHidden/>
          </w:rPr>
          <w:t>41</w:t>
        </w:r>
        <w:r w:rsidR="007771BA">
          <w:rPr>
            <w:noProof/>
            <w:webHidden/>
          </w:rPr>
          <w:fldChar w:fldCharType="end"/>
        </w:r>
      </w:hyperlink>
    </w:p>
    <w:p w:rsidR="009C2D46" w:rsidRPr="00C87438" w:rsidRDefault="007C7DEE" w:rsidP="00441F4D">
      <w:pPr>
        <w:jc w:val="right"/>
        <w:rPr>
          <w:highlight w:val="yellow"/>
        </w:rPr>
      </w:pPr>
      <w:r w:rsidRPr="00C87438">
        <w:rPr>
          <w:b/>
          <w:bCs/>
          <w:highlight w:val="yellow"/>
        </w:rPr>
        <w:fldChar w:fldCharType="end"/>
      </w:r>
    </w:p>
    <w:p w:rsidR="00700218" w:rsidRPr="00C87438" w:rsidRDefault="00700218" w:rsidP="0090230E">
      <w:pPr>
        <w:pStyle w:val="Prrafodelista"/>
        <w:tabs>
          <w:tab w:val="left" w:pos="870"/>
        </w:tabs>
        <w:ind w:left="720"/>
        <w:contextualSpacing/>
        <w:jc w:val="right"/>
        <w:rPr>
          <w:highlight w:val="yellow"/>
        </w:rPr>
      </w:pPr>
    </w:p>
    <w:p w:rsidR="00612210" w:rsidRPr="00C87438" w:rsidRDefault="00612210">
      <w:pPr>
        <w:rPr>
          <w:highlight w:val="yellow"/>
          <w:lang w:val="es-MX"/>
        </w:rPr>
      </w:pPr>
      <w:r w:rsidRPr="00C87438">
        <w:rPr>
          <w:highlight w:val="yellow"/>
          <w:lang w:val="es-MX"/>
        </w:rPr>
        <w:br w:type="page"/>
      </w:r>
    </w:p>
    <w:p w:rsidR="005A6477" w:rsidRPr="00D36C57" w:rsidRDefault="005A6477" w:rsidP="00D16A2D">
      <w:pPr>
        <w:pStyle w:val="Ttulo1"/>
        <w:numPr>
          <w:ilvl w:val="0"/>
          <w:numId w:val="8"/>
        </w:numPr>
        <w:suppressAutoHyphens/>
        <w:ind w:left="709"/>
      </w:pPr>
      <w:bookmarkStart w:id="2" w:name="_Toc441140273"/>
      <w:bookmarkStart w:id="3" w:name="_Toc494450588"/>
      <w:r w:rsidRPr="00D36C57">
        <w:lastRenderedPageBreak/>
        <w:t>Entorno Macroeconómico</w:t>
      </w:r>
      <w:bookmarkEnd w:id="2"/>
      <w:bookmarkEnd w:id="3"/>
    </w:p>
    <w:p w:rsidR="005A6477" w:rsidRPr="003313CE" w:rsidRDefault="005A6477" w:rsidP="005A6477">
      <w:pPr>
        <w:rPr>
          <w:b/>
          <w:sz w:val="10"/>
        </w:rPr>
      </w:pPr>
    </w:p>
    <w:p w:rsidR="005A6477" w:rsidRPr="00D36C57" w:rsidRDefault="005A6477" w:rsidP="00D16A2D">
      <w:pPr>
        <w:pStyle w:val="Ttulo2"/>
        <w:numPr>
          <w:ilvl w:val="0"/>
          <w:numId w:val="9"/>
        </w:numPr>
        <w:ind w:left="426"/>
        <w:rPr>
          <w:rFonts w:ascii="Times New Roman" w:hAnsi="Times New Roman"/>
          <w:color w:val="auto"/>
          <w:sz w:val="24"/>
          <w:szCs w:val="24"/>
          <w:lang w:val="es-MX"/>
        </w:rPr>
      </w:pPr>
      <w:bookmarkStart w:id="4" w:name="_Toc441140274"/>
      <w:bookmarkStart w:id="5" w:name="_Toc494450589"/>
      <w:r w:rsidRPr="00D36C57">
        <w:rPr>
          <w:rFonts w:ascii="Times New Roman" w:hAnsi="Times New Roman"/>
          <w:color w:val="auto"/>
          <w:sz w:val="24"/>
          <w:szCs w:val="24"/>
          <w:lang w:val="es-MX"/>
        </w:rPr>
        <w:t>La economía mundial durante 201</w:t>
      </w:r>
      <w:bookmarkEnd w:id="4"/>
      <w:r>
        <w:rPr>
          <w:rFonts w:ascii="Times New Roman" w:hAnsi="Times New Roman"/>
          <w:color w:val="auto"/>
          <w:sz w:val="24"/>
          <w:szCs w:val="24"/>
          <w:lang w:val="es-MX"/>
        </w:rPr>
        <w:t>7</w:t>
      </w:r>
      <w:bookmarkEnd w:id="5"/>
    </w:p>
    <w:p w:rsidR="005A6477" w:rsidRPr="00D36C57" w:rsidRDefault="005A6477" w:rsidP="005A6477">
      <w:pPr>
        <w:pStyle w:val="Ttulo2"/>
        <w:numPr>
          <w:ilvl w:val="0"/>
          <w:numId w:val="0"/>
        </w:numPr>
        <w:spacing w:before="0"/>
        <w:ind w:left="426"/>
        <w:rPr>
          <w:rFonts w:ascii="Times New Roman" w:hAnsi="Times New Roman"/>
          <w:color w:val="auto"/>
          <w:sz w:val="24"/>
          <w:szCs w:val="24"/>
          <w:lang w:val="es-MX"/>
        </w:rPr>
      </w:pPr>
    </w:p>
    <w:p w:rsidR="005A6477" w:rsidRDefault="005A6477" w:rsidP="005A6477">
      <w:pPr>
        <w:jc w:val="both"/>
        <w:rPr>
          <w:lang w:val="es-MX"/>
        </w:rPr>
      </w:pPr>
      <w:r w:rsidRPr="007A2D2A">
        <w:rPr>
          <w:lang w:val="es-MX"/>
        </w:rPr>
        <w:t>Las perspectivas sobre la economía internacional</w:t>
      </w:r>
      <w:r>
        <w:rPr>
          <w:lang w:val="es-MX"/>
        </w:rPr>
        <w:t xml:space="preserve"> de</w:t>
      </w:r>
      <w:r w:rsidRPr="007A2D2A">
        <w:rPr>
          <w:lang w:val="es-MX"/>
        </w:rPr>
        <w:t xml:space="preserve"> los principales </w:t>
      </w:r>
      <w:r>
        <w:rPr>
          <w:lang w:val="es-MX"/>
        </w:rPr>
        <w:t>organismos internacionales, sitúan el crecimiento del Producto Mundial para el 2017 en torno al 2.7%; mientras que en 2018</w:t>
      </w:r>
      <w:r w:rsidR="00A10761">
        <w:rPr>
          <w:lang w:val="es-MX"/>
        </w:rPr>
        <w:t>,</w:t>
      </w:r>
      <w:r>
        <w:rPr>
          <w:lang w:val="es-MX"/>
        </w:rPr>
        <w:t xml:space="preserve"> se espera que el mismo crezca en un 2.</w:t>
      </w:r>
      <w:r w:rsidR="00910F6F">
        <w:rPr>
          <w:lang w:val="es-MX"/>
        </w:rPr>
        <w:t>9</w:t>
      </w:r>
      <w:r>
        <w:rPr>
          <w:lang w:val="es-MX"/>
        </w:rPr>
        <w:t>% e</w:t>
      </w:r>
      <w:r w:rsidRPr="007A2D2A">
        <w:rPr>
          <w:lang w:val="es-MX"/>
        </w:rPr>
        <w:t>xplicado por el crecimiento económico que ha</w:t>
      </w:r>
      <w:r>
        <w:rPr>
          <w:lang w:val="es-MX"/>
        </w:rPr>
        <w:t>n</w:t>
      </w:r>
      <w:r w:rsidRPr="007A2D2A">
        <w:rPr>
          <w:lang w:val="es-MX"/>
        </w:rPr>
        <w:t xml:space="preserve"> mostrado </w:t>
      </w:r>
      <w:r>
        <w:rPr>
          <w:lang w:val="es-MX"/>
        </w:rPr>
        <w:t xml:space="preserve">los países emergentes </w:t>
      </w:r>
      <w:r w:rsidRPr="007A2D2A">
        <w:rPr>
          <w:lang w:val="es-MX"/>
        </w:rPr>
        <w:t xml:space="preserve">principalmente </w:t>
      </w:r>
      <w:r>
        <w:rPr>
          <w:lang w:val="es-MX"/>
        </w:rPr>
        <w:t>India</w:t>
      </w:r>
      <w:r w:rsidRPr="007A2D2A">
        <w:rPr>
          <w:lang w:val="es-MX"/>
        </w:rPr>
        <w:t xml:space="preserve"> y China, en contraste con las perspectivas menos optimistas del crecimiento d</w:t>
      </w:r>
      <w:r>
        <w:rPr>
          <w:lang w:val="es-MX"/>
        </w:rPr>
        <w:t>e la economía de Estados Unidos, la Zona del Euro y Japón</w:t>
      </w:r>
      <w:r w:rsidRPr="007A2D2A">
        <w:rPr>
          <w:lang w:val="es-MX"/>
        </w:rPr>
        <w:t xml:space="preserve">. En lo que respecta a América Latina y el Caribe, </w:t>
      </w:r>
      <w:r>
        <w:rPr>
          <w:lang w:val="es-MX"/>
        </w:rPr>
        <w:t>se</w:t>
      </w:r>
      <w:r w:rsidRPr="007A2D2A">
        <w:rPr>
          <w:lang w:val="es-MX"/>
        </w:rPr>
        <w:t xml:space="preserve"> estima un crecimiento </w:t>
      </w:r>
      <w:r>
        <w:rPr>
          <w:lang w:val="es-MX"/>
        </w:rPr>
        <w:t>promedio cercano al 2.3</w:t>
      </w:r>
      <w:r w:rsidRPr="007A2D2A">
        <w:rPr>
          <w:lang w:val="es-MX"/>
        </w:rPr>
        <w:t xml:space="preserve">%, principalmente por </w:t>
      </w:r>
      <w:r>
        <w:rPr>
          <w:lang w:val="es-MX"/>
        </w:rPr>
        <w:t>las expectativas de México y Centroamérica que prevén un crecimiento en torno al 2.9</w:t>
      </w:r>
      <w:r w:rsidR="00910F6F">
        <w:rPr>
          <w:lang w:val="es-MX"/>
        </w:rPr>
        <w:t>%</w:t>
      </w:r>
      <w:r>
        <w:rPr>
          <w:lang w:val="es-MX"/>
        </w:rPr>
        <w:t xml:space="preserve"> </w:t>
      </w:r>
      <w:r w:rsidR="00A10761">
        <w:rPr>
          <w:lang w:val="es-MX"/>
        </w:rPr>
        <w:t xml:space="preserve">para </w:t>
      </w:r>
      <w:r>
        <w:rPr>
          <w:lang w:val="es-MX"/>
        </w:rPr>
        <w:t>2017 y para el 2018 un 3.4%.</w:t>
      </w:r>
    </w:p>
    <w:p w:rsidR="005A6477" w:rsidRDefault="005A6477" w:rsidP="005A6477">
      <w:pPr>
        <w:jc w:val="both"/>
        <w:rPr>
          <w:lang w:val="es-MX"/>
        </w:rPr>
      </w:pPr>
    </w:p>
    <w:p w:rsidR="005A6477" w:rsidRPr="0088577C" w:rsidRDefault="005A6477" w:rsidP="005A6477">
      <w:pPr>
        <w:pStyle w:val="Prrafodelista"/>
        <w:ind w:left="360"/>
        <w:jc w:val="center"/>
        <w:rPr>
          <w:b/>
          <w:sz w:val="22"/>
          <w:lang w:val="es-MX"/>
        </w:rPr>
      </w:pPr>
      <w:r w:rsidRPr="0088577C">
        <w:rPr>
          <w:b/>
          <w:sz w:val="22"/>
          <w:lang w:val="es-MX"/>
        </w:rPr>
        <w:t>Cuadro 1</w:t>
      </w:r>
    </w:p>
    <w:p w:rsidR="005A6477" w:rsidRPr="0088577C" w:rsidRDefault="005A6477" w:rsidP="005A6477">
      <w:pPr>
        <w:pStyle w:val="Prrafodelista"/>
        <w:ind w:left="360"/>
        <w:jc w:val="center"/>
        <w:rPr>
          <w:b/>
          <w:sz w:val="22"/>
          <w:lang w:val="es-MX"/>
        </w:rPr>
      </w:pPr>
      <w:r w:rsidRPr="0088577C">
        <w:rPr>
          <w:b/>
          <w:sz w:val="22"/>
          <w:lang w:val="es-MX"/>
        </w:rPr>
        <w:t>Crecimiento Mundial</w:t>
      </w:r>
    </w:p>
    <w:p w:rsidR="005A6477" w:rsidRPr="0088577C" w:rsidRDefault="005A6477" w:rsidP="005A6477">
      <w:pPr>
        <w:pStyle w:val="Prrafodelista"/>
        <w:ind w:left="360"/>
        <w:jc w:val="center"/>
        <w:rPr>
          <w:b/>
          <w:sz w:val="22"/>
          <w:lang w:val="es-MX"/>
        </w:rPr>
      </w:pPr>
      <w:r w:rsidRPr="0088577C">
        <w:rPr>
          <w:b/>
          <w:sz w:val="22"/>
          <w:lang w:val="es-MX"/>
        </w:rPr>
        <w:t>201</w:t>
      </w:r>
      <w:r w:rsidR="00910F6F">
        <w:rPr>
          <w:b/>
          <w:sz w:val="22"/>
          <w:lang w:val="es-MX"/>
        </w:rPr>
        <w:t>5</w:t>
      </w:r>
      <w:r w:rsidRPr="0088577C">
        <w:rPr>
          <w:b/>
          <w:sz w:val="22"/>
          <w:lang w:val="es-MX"/>
        </w:rPr>
        <w:t xml:space="preserve"> – 2018</w:t>
      </w:r>
    </w:p>
    <w:p w:rsidR="005A6477" w:rsidRPr="0088577C" w:rsidRDefault="005A6477" w:rsidP="005A6477">
      <w:pPr>
        <w:pStyle w:val="Prrafodelista"/>
        <w:ind w:left="360"/>
        <w:jc w:val="center"/>
        <w:rPr>
          <w:b/>
          <w:sz w:val="22"/>
          <w:lang w:val="es-MX"/>
        </w:rPr>
      </w:pPr>
      <w:r w:rsidRPr="0088577C">
        <w:rPr>
          <w:b/>
          <w:sz w:val="22"/>
          <w:lang w:val="es-MX"/>
        </w:rPr>
        <w:t>(Cifras en Porcentajes)</w:t>
      </w:r>
    </w:p>
    <w:p w:rsidR="005A6477" w:rsidRDefault="005A6477" w:rsidP="005A6477">
      <w:pPr>
        <w:jc w:val="both"/>
        <w:rPr>
          <w:sz w:val="14"/>
          <w:lang w:val="es-MX"/>
        </w:rPr>
      </w:pPr>
    </w:p>
    <w:tbl>
      <w:tblPr>
        <w:tblW w:w="8480" w:type="dxa"/>
        <w:tblInd w:w="55" w:type="dxa"/>
        <w:tblCellMar>
          <w:left w:w="70" w:type="dxa"/>
          <w:right w:w="70" w:type="dxa"/>
        </w:tblCellMar>
        <w:tblLook w:val="04A0" w:firstRow="1" w:lastRow="0" w:firstColumn="1" w:lastColumn="0" w:noHBand="0" w:noVBand="1"/>
      </w:tblPr>
      <w:tblGrid>
        <w:gridCol w:w="5636"/>
        <w:gridCol w:w="711"/>
        <w:gridCol w:w="711"/>
        <w:gridCol w:w="740"/>
        <w:gridCol w:w="740"/>
      </w:tblGrid>
      <w:tr w:rsidR="005A6477" w:rsidRPr="007A2D2A" w:rsidTr="0083018E">
        <w:trPr>
          <w:trHeight w:val="499"/>
        </w:trPr>
        <w:tc>
          <w:tcPr>
            <w:tcW w:w="8480" w:type="dxa"/>
            <w:gridSpan w:val="5"/>
            <w:tcBorders>
              <w:top w:val="single" w:sz="12" w:space="0" w:color="auto"/>
              <w:left w:val="single" w:sz="12" w:space="0" w:color="auto"/>
              <w:bottom w:val="single" w:sz="12" w:space="0" w:color="auto"/>
              <w:right w:val="single" w:sz="12" w:space="0" w:color="000000"/>
            </w:tcBorders>
            <w:shd w:val="clear" w:color="000000" w:fill="8DB4E2"/>
            <w:vAlign w:val="center"/>
            <w:hideMark/>
          </w:tcPr>
          <w:p w:rsidR="005A6477" w:rsidRPr="007A2D2A" w:rsidRDefault="005A6477" w:rsidP="0083018E">
            <w:pPr>
              <w:jc w:val="center"/>
              <w:rPr>
                <w:b/>
                <w:bCs/>
                <w:color w:val="000000"/>
                <w:lang w:val="es-GT" w:eastAsia="es-GT"/>
              </w:rPr>
            </w:pPr>
            <w:r w:rsidRPr="007A2D2A">
              <w:rPr>
                <w:b/>
                <w:bCs/>
                <w:color w:val="000000"/>
                <w:lang w:val="es-GT" w:eastAsia="es-GT"/>
              </w:rPr>
              <w:t>PERSPECTIVAS DE LA ECONOMÍA MUNDIAL</w:t>
            </w:r>
          </w:p>
        </w:tc>
      </w:tr>
      <w:tr w:rsidR="005A6477" w:rsidRPr="007A2D2A" w:rsidTr="0083018E">
        <w:trPr>
          <w:trHeight w:val="402"/>
        </w:trPr>
        <w:tc>
          <w:tcPr>
            <w:tcW w:w="8480" w:type="dxa"/>
            <w:gridSpan w:val="5"/>
            <w:tcBorders>
              <w:top w:val="single" w:sz="12" w:space="0" w:color="auto"/>
              <w:left w:val="nil"/>
              <w:bottom w:val="single" w:sz="12" w:space="0" w:color="auto"/>
              <w:right w:val="nil"/>
            </w:tcBorders>
            <w:shd w:val="clear" w:color="auto" w:fill="auto"/>
            <w:noWrap/>
            <w:vAlign w:val="center"/>
            <w:hideMark/>
          </w:tcPr>
          <w:p w:rsidR="005A6477" w:rsidRPr="007A2D2A" w:rsidRDefault="005A6477" w:rsidP="0083018E">
            <w:pPr>
              <w:jc w:val="center"/>
              <w:rPr>
                <w:color w:val="000000"/>
                <w:lang w:val="es-GT" w:eastAsia="es-GT"/>
              </w:rPr>
            </w:pPr>
            <w:r w:rsidRPr="007A2D2A">
              <w:rPr>
                <w:color w:val="000000"/>
                <w:lang w:val="es-GT" w:eastAsia="es-GT"/>
              </w:rPr>
              <w:t>Variación Porcentual</w:t>
            </w:r>
          </w:p>
        </w:tc>
      </w:tr>
      <w:tr w:rsidR="005A6477" w:rsidRPr="007A2D2A" w:rsidTr="0083018E">
        <w:trPr>
          <w:trHeight w:val="402"/>
        </w:trPr>
        <w:tc>
          <w:tcPr>
            <w:tcW w:w="5636" w:type="dxa"/>
            <w:tcBorders>
              <w:top w:val="nil"/>
              <w:left w:val="nil"/>
              <w:bottom w:val="single" w:sz="4" w:space="0" w:color="auto"/>
              <w:right w:val="nil"/>
            </w:tcBorders>
            <w:shd w:val="clear" w:color="000000" w:fill="auto"/>
            <w:noWrap/>
            <w:vAlign w:val="bottom"/>
            <w:hideMark/>
          </w:tcPr>
          <w:p w:rsidR="005A6477" w:rsidRPr="007A2D2A" w:rsidRDefault="005A6477" w:rsidP="0083018E">
            <w:pPr>
              <w:rPr>
                <w:color w:val="000000"/>
                <w:lang w:val="es-GT" w:eastAsia="es-GT"/>
              </w:rPr>
            </w:pPr>
            <w:r w:rsidRPr="007A2D2A">
              <w:rPr>
                <w:color w:val="000000"/>
                <w:lang w:val="es-GT" w:eastAsia="es-GT"/>
              </w:rPr>
              <w:t> </w:t>
            </w:r>
          </w:p>
        </w:tc>
        <w:tc>
          <w:tcPr>
            <w:tcW w:w="711" w:type="dxa"/>
            <w:tcBorders>
              <w:top w:val="nil"/>
              <w:left w:val="nil"/>
              <w:bottom w:val="single" w:sz="4" w:space="0" w:color="auto"/>
              <w:right w:val="nil"/>
            </w:tcBorders>
            <w:shd w:val="clear" w:color="000000" w:fill="auto"/>
            <w:noWrap/>
            <w:vAlign w:val="center"/>
            <w:hideMark/>
          </w:tcPr>
          <w:p w:rsidR="005A6477" w:rsidRPr="007A2D2A" w:rsidRDefault="005A6477" w:rsidP="0083018E">
            <w:pPr>
              <w:jc w:val="center"/>
              <w:rPr>
                <w:b/>
                <w:bCs/>
                <w:color w:val="000000"/>
                <w:lang w:val="es-GT" w:eastAsia="es-GT"/>
              </w:rPr>
            </w:pPr>
            <w:r w:rsidRPr="007A2D2A">
              <w:rPr>
                <w:b/>
                <w:bCs/>
                <w:color w:val="000000"/>
                <w:lang w:val="es-GT" w:eastAsia="es-GT"/>
              </w:rPr>
              <w:t>2015</w:t>
            </w:r>
          </w:p>
        </w:tc>
        <w:tc>
          <w:tcPr>
            <w:tcW w:w="711" w:type="dxa"/>
            <w:tcBorders>
              <w:top w:val="nil"/>
              <w:left w:val="nil"/>
              <w:bottom w:val="single" w:sz="4" w:space="0" w:color="auto"/>
              <w:right w:val="nil"/>
            </w:tcBorders>
            <w:shd w:val="clear" w:color="000000" w:fill="auto"/>
            <w:noWrap/>
            <w:vAlign w:val="center"/>
            <w:hideMark/>
          </w:tcPr>
          <w:p w:rsidR="005A6477" w:rsidRPr="007A2D2A" w:rsidRDefault="005A6477" w:rsidP="0083018E">
            <w:pPr>
              <w:jc w:val="center"/>
              <w:rPr>
                <w:b/>
                <w:bCs/>
                <w:color w:val="000000"/>
                <w:lang w:val="es-GT" w:eastAsia="es-GT"/>
              </w:rPr>
            </w:pPr>
            <w:r w:rsidRPr="007A2D2A">
              <w:rPr>
                <w:b/>
                <w:bCs/>
                <w:color w:val="000000"/>
                <w:lang w:val="es-GT" w:eastAsia="es-GT"/>
              </w:rPr>
              <w:t>2016</w:t>
            </w:r>
          </w:p>
        </w:tc>
        <w:tc>
          <w:tcPr>
            <w:tcW w:w="711" w:type="dxa"/>
            <w:tcBorders>
              <w:top w:val="nil"/>
              <w:left w:val="nil"/>
              <w:bottom w:val="single" w:sz="4" w:space="0" w:color="auto"/>
              <w:right w:val="nil"/>
            </w:tcBorders>
            <w:shd w:val="clear" w:color="000000" w:fill="auto"/>
            <w:noWrap/>
            <w:vAlign w:val="center"/>
            <w:hideMark/>
          </w:tcPr>
          <w:p w:rsidR="005A6477" w:rsidRPr="007A2D2A" w:rsidRDefault="005A6477" w:rsidP="0083018E">
            <w:pPr>
              <w:jc w:val="center"/>
              <w:rPr>
                <w:b/>
                <w:bCs/>
                <w:color w:val="000000"/>
                <w:lang w:val="es-GT" w:eastAsia="es-GT"/>
              </w:rPr>
            </w:pPr>
            <w:r w:rsidRPr="007A2D2A">
              <w:rPr>
                <w:b/>
                <w:bCs/>
                <w:color w:val="000000"/>
                <w:lang w:val="es-GT" w:eastAsia="es-GT"/>
              </w:rPr>
              <w:t>2017</w:t>
            </w:r>
            <w:r>
              <w:rPr>
                <w:b/>
                <w:bCs/>
                <w:color w:val="000000"/>
                <w:lang w:val="es-GT" w:eastAsia="es-GT"/>
              </w:rPr>
              <w:t>*</w:t>
            </w:r>
          </w:p>
        </w:tc>
        <w:tc>
          <w:tcPr>
            <w:tcW w:w="711" w:type="dxa"/>
            <w:tcBorders>
              <w:top w:val="nil"/>
              <w:left w:val="nil"/>
              <w:bottom w:val="single" w:sz="4" w:space="0" w:color="auto"/>
              <w:right w:val="nil"/>
            </w:tcBorders>
            <w:shd w:val="clear" w:color="000000" w:fill="auto"/>
            <w:noWrap/>
            <w:vAlign w:val="center"/>
            <w:hideMark/>
          </w:tcPr>
          <w:p w:rsidR="005A6477" w:rsidRPr="007A2D2A" w:rsidRDefault="005A6477" w:rsidP="0083018E">
            <w:pPr>
              <w:jc w:val="center"/>
              <w:rPr>
                <w:b/>
                <w:bCs/>
                <w:color w:val="000000"/>
                <w:lang w:val="es-GT" w:eastAsia="es-GT"/>
              </w:rPr>
            </w:pPr>
            <w:r w:rsidRPr="007A2D2A">
              <w:rPr>
                <w:b/>
                <w:bCs/>
                <w:color w:val="000000"/>
                <w:lang w:val="es-GT" w:eastAsia="es-GT"/>
              </w:rPr>
              <w:t>2018</w:t>
            </w:r>
            <w:r>
              <w:rPr>
                <w:b/>
                <w:bCs/>
                <w:color w:val="000000"/>
                <w:lang w:val="es-GT" w:eastAsia="es-GT"/>
              </w:rPr>
              <w:t>*</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83018E">
            <w:pPr>
              <w:rPr>
                <w:b/>
                <w:bCs/>
                <w:color w:val="000000"/>
                <w:lang w:val="es-GT" w:eastAsia="es-GT"/>
              </w:rPr>
            </w:pPr>
            <w:r w:rsidRPr="007A2D2A">
              <w:rPr>
                <w:b/>
                <w:bCs/>
                <w:color w:val="000000"/>
                <w:lang w:val="es-GT" w:eastAsia="es-GT"/>
              </w:rPr>
              <w:t>Producto Mundial</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2.5</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2.2</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2.7</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2.9</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83018E">
            <w:pPr>
              <w:rPr>
                <w:b/>
                <w:bCs/>
                <w:color w:val="000000"/>
                <w:lang w:val="es-GT" w:eastAsia="es-GT"/>
              </w:rPr>
            </w:pPr>
            <w:r w:rsidRPr="007A2D2A">
              <w:rPr>
                <w:b/>
                <w:bCs/>
                <w:color w:val="000000"/>
                <w:lang w:val="es-GT" w:eastAsia="es-GT"/>
              </w:rPr>
              <w:t>Economías Avanzadas</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1.7</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1.9</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2.2</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2.3</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5A6477">
            <w:pPr>
              <w:ind w:firstLineChars="100" w:firstLine="240"/>
              <w:rPr>
                <w:color w:val="000000"/>
                <w:lang w:val="es-GT" w:eastAsia="es-GT"/>
              </w:rPr>
            </w:pPr>
            <w:r w:rsidRPr="007A2D2A">
              <w:rPr>
                <w:color w:val="000000"/>
                <w:lang w:val="es-GT" w:eastAsia="es-GT"/>
              </w:rPr>
              <w:t>Estados Unidos</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2.6</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1.5</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1.9</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2.0</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5A6477">
            <w:pPr>
              <w:ind w:firstLineChars="100" w:firstLine="240"/>
              <w:rPr>
                <w:color w:val="000000"/>
                <w:lang w:val="es-GT" w:eastAsia="es-GT"/>
              </w:rPr>
            </w:pPr>
            <w:r w:rsidRPr="007A2D2A">
              <w:rPr>
                <w:color w:val="000000"/>
                <w:lang w:val="es-GT" w:eastAsia="es-GT"/>
              </w:rPr>
              <w:t>Zona del Euro</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1.9</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1.6</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1.7</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2.0</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5A6477">
            <w:pPr>
              <w:ind w:firstLineChars="100" w:firstLine="240"/>
              <w:rPr>
                <w:color w:val="000000"/>
                <w:lang w:val="es-GT" w:eastAsia="es-GT"/>
              </w:rPr>
            </w:pPr>
            <w:r w:rsidRPr="007A2D2A">
              <w:rPr>
                <w:color w:val="000000"/>
                <w:lang w:val="es-GT" w:eastAsia="es-GT"/>
              </w:rPr>
              <w:t>Japón</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0.6</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0.5</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0.9</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0.9</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83018E">
            <w:pPr>
              <w:rPr>
                <w:color w:val="000000"/>
                <w:lang w:val="es-GT" w:eastAsia="es-GT"/>
              </w:rPr>
            </w:pP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p>
        </w:tc>
        <w:tc>
          <w:tcPr>
            <w:tcW w:w="711" w:type="dxa"/>
            <w:tcBorders>
              <w:top w:val="nil"/>
              <w:left w:val="nil"/>
              <w:bottom w:val="nil"/>
              <w:right w:val="nil"/>
            </w:tcBorders>
            <w:shd w:val="clear" w:color="000000" w:fill="FFFFFF"/>
            <w:noWrap/>
            <w:vAlign w:val="bottom"/>
            <w:hideMark/>
          </w:tcPr>
          <w:p w:rsidR="005A6477" w:rsidRPr="007A2D2A" w:rsidRDefault="005A6477" w:rsidP="0083018E">
            <w:pPr>
              <w:jc w:val="center"/>
              <w:rPr>
                <w:color w:val="000000"/>
                <w:lang w:val="es-GT" w:eastAsia="es-GT"/>
              </w:rPr>
            </w:pPr>
            <w:r w:rsidRPr="007A2D2A">
              <w:rPr>
                <w:color w:val="000000"/>
                <w:lang w:val="es-GT" w:eastAsia="es-GT"/>
              </w:rPr>
              <w:t> </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83018E">
            <w:pPr>
              <w:rPr>
                <w:b/>
                <w:bCs/>
                <w:color w:val="000000"/>
                <w:lang w:val="es-GT" w:eastAsia="es-GT"/>
              </w:rPr>
            </w:pPr>
            <w:r w:rsidRPr="007A2D2A">
              <w:rPr>
                <w:b/>
                <w:bCs/>
                <w:color w:val="000000"/>
                <w:lang w:val="es-GT" w:eastAsia="es-GT"/>
              </w:rPr>
              <w:t>Economías Emergentes y en Desarrollo</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0.9</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-2.8</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0.8</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1.9</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83018E">
            <w:pPr>
              <w:rPr>
                <w:b/>
                <w:bCs/>
                <w:color w:val="000000"/>
                <w:lang w:val="es-GT" w:eastAsia="es-GT"/>
              </w:rPr>
            </w:pPr>
            <w:r w:rsidRPr="007A2D2A">
              <w:rPr>
                <w:b/>
                <w:bCs/>
                <w:color w:val="000000"/>
                <w:lang w:val="es-GT" w:eastAsia="es-GT"/>
              </w:rPr>
              <w:t>Asia</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6.1</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5.6</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5.6</w:t>
            </w:r>
          </w:p>
        </w:tc>
        <w:tc>
          <w:tcPr>
            <w:tcW w:w="711" w:type="dxa"/>
            <w:tcBorders>
              <w:top w:val="nil"/>
              <w:left w:val="nil"/>
              <w:bottom w:val="nil"/>
              <w:right w:val="nil"/>
            </w:tcBorders>
            <w:shd w:val="clear" w:color="000000" w:fill="FFFFFF"/>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5.6</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5A6477">
            <w:pPr>
              <w:ind w:firstLineChars="200" w:firstLine="480"/>
              <w:rPr>
                <w:color w:val="000000"/>
                <w:lang w:val="es-GT" w:eastAsia="es-GT"/>
              </w:rPr>
            </w:pPr>
            <w:r w:rsidRPr="007A2D2A">
              <w:rPr>
                <w:color w:val="000000"/>
                <w:lang w:val="es-GT" w:eastAsia="es-GT"/>
              </w:rPr>
              <w:t>China</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7.3</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6.8</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6.4</w:t>
            </w:r>
          </w:p>
        </w:tc>
        <w:tc>
          <w:tcPr>
            <w:tcW w:w="711" w:type="dxa"/>
            <w:tcBorders>
              <w:top w:val="nil"/>
              <w:left w:val="nil"/>
              <w:bottom w:val="nil"/>
              <w:right w:val="nil"/>
            </w:tcBorders>
            <w:shd w:val="clear" w:color="000000" w:fill="FFFFFF"/>
            <w:noWrap/>
            <w:vAlign w:val="bottom"/>
            <w:hideMark/>
          </w:tcPr>
          <w:p w:rsidR="005A6477" w:rsidRPr="007A2D2A" w:rsidRDefault="005A6477" w:rsidP="0083018E">
            <w:pPr>
              <w:jc w:val="center"/>
              <w:rPr>
                <w:color w:val="000000"/>
                <w:lang w:val="es-GT" w:eastAsia="es-GT"/>
              </w:rPr>
            </w:pPr>
            <w:r w:rsidRPr="007A2D2A">
              <w:rPr>
                <w:color w:val="000000"/>
                <w:lang w:val="es-GT" w:eastAsia="es-GT"/>
              </w:rPr>
              <w:t>6.5</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5A6477">
            <w:pPr>
              <w:ind w:firstLineChars="200" w:firstLine="480"/>
              <w:rPr>
                <w:color w:val="000000"/>
                <w:lang w:val="es-GT" w:eastAsia="es-GT"/>
              </w:rPr>
            </w:pPr>
            <w:r w:rsidRPr="007A2D2A">
              <w:rPr>
                <w:color w:val="000000"/>
                <w:lang w:val="es-GT" w:eastAsia="es-GT"/>
              </w:rPr>
              <w:t xml:space="preserve">India </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7.2</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7.2</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7.3</w:t>
            </w:r>
          </w:p>
        </w:tc>
        <w:tc>
          <w:tcPr>
            <w:tcW w:w="711" w:type="dxa"/>
            <w:tcBorders>
              <w:top w:val="nil"/>
              <w:left w:val="nil"/>
              <w:bottom w:val="nil"/>
              <w:right w:val="nil"/>
            </w:tcBorders>
            <w:shd w:val="clear" w:color="000000" w:fill="FFFFFF"/>
            <w:noWrap/>
            <w:vAlign w:val="bottom"/>
            <w:hideMark/>
          </w:tcPr>
          <w:p w:rsidR="005A6477" w:rsidRPr="007A2D2A" w:rsidRDefault="005A6477" w:rsidP="0083018E">
            <w:pPr>
              <w:jc w:val="center"/>
              <w:rPr>
                <w:color w:val="000000"/>
                <w:lang w:val="es-GT" w:eastAsia="es-GT"/>
              </w:rPr>
            </w:pPr>
            <w:r w:rsidRPr="007A2D2A">
              <w:rPr>
                <w:color w:val="000000"/>
                <w:lang w:val="es-GT" w:eastAsia="es-GT"/>
              </w:rPr>
              <w:t>7.5</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83018E">
            <w:pPr>
              <w:rPr>
                <w:color w:val="000000"/>
                <w:lang w:val="es-GT" w:eastAsia="es-GT"/>
              </w:rPr>
            </w:pP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p>
        </w:tc>
        <w:tc>
          <w:tcPr>
            <w:tcW w:w="711" w:type="dxa"/>
            <w:tcBorders>
              <w:top w:val="nil"/>
              <w:left w:val="nil"/>
              <w:bottom w:val="nil"/>
              <w:right w:val="nil"/>
            </w:tcBorders>
            <w:shd w:val="clear" w:color="000000" w:fill="FFFFFF"/>
            <w:noWrap/>
            <w:vAlign w:val="bottom"/>
            <w:hideMark/>
          </w:tcPr>
          <w:p w:rsidR="005A6477" w:rsidRPr="007A2D2A" w:rsidRDefault="005A6477" w:rsidP="0083018E">
            <w:pPr>
              <w:jc w:val="center"/>
              <w:rPr>
                <w:color w:val="000000"/>
                <w:lang w:val="es-GT" w:eastAsia="es-GT"/>
              </w:rPr>
            </w:pPr>
            <w:r w:rsidRPr="007A2D2A">
              <w:rPr>
                <w:color w:val="000000"/>
                <w:lang w:val="es-GT" w:eastAsia="es-GT"/>
              </w:rPr>
              <w:t> </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83018E">
            <w:pPr>
              <w:rPr>
                <w:b/>
                <w:bCs/>
                <w:color w:val="000000"/>
                <w:lang w:val="es-GT" w:eastAsia="es-GT"/>
              </w:rPr>
            </w:pPr>
            <w:r w:rsidRPr="007A2D2A">
              <w:rPr>
                <w:b/>
                <w:bCs/>
                <w:color w:val="000000"/>
                <w:lang w:val="es-GT" w:eastAsia="es-GT"/>
              </w:rPr>
              <w:t>América Latina y el Caribe</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0.1</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-2.8</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-0.8</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b/>
                <w:bCs/>
                <w:color w:val="000000"/>
                <w:lang w:val="es-GT" w:eastAsia="es-GT"/>
              </w:rPr>
            </w:pPr>
            <w:r w:rsidRPr="007A2D2A">
              <w:rPr>
                <w:b/>
                <w:bCs/>
                <w:color w:val="000000"/>
                <w:lang w:val="es-GT" w:eastAsia="es-GT"/>
              </w:rPr>
              <w:t>2.3</w:t>
            </w:r>
          </w:p>
        </w:tc>
      </w:tr>
      <w:tr w:rsidR="005A6477" w:rsidRPr="007A2D2A" w:rsidTr="0083018E">
        <w:trPr>
          <w:trHeight w:val="300"/>
        </w:trPr>
        <w:tc>
          <w:tcPr>
            <w:tcW w:w="5636" w:type="dxa"/>
            <w:tcBorders>
              <w:top w:val="nil"/>
              <w:left w:val="nil"/>
              <w:bottom w:val="nil"/>
              <w:right w:val="nil"/>
            </w:tcBorders>
            <w:shd w:val="clear" w:color="000000" w:fill="auto"/>
            <w:noWrap/>
            <w:vAlign w:val="bottom"/>
            <w:hideMark/>
          </w:tcPr>
          <w:p w:rsidR="005A6477" w:rsidRPr="007A2D2A" w:rsidRDefault="005A6477" w:rsidP="005A6477">
            <w:pPr>
              <w:ind w:firstLineChars="200" w:firstLine="480"/>
              <w:rPr>
                <w:color w:val="000000"/>
                <w:lang w:val="es-GT" w:eastAsia="es-GT"/>
              </w:rPr>
            </w:pPr>
            <w:r w:rsidRPr="007A2D2A">
              <w:rPr>
                <w:color w:val="000000"/>
                <w:lang w:val="es-GT" w:eastAsia="es-GT"/>
              </w:rPr>
              <w:t>Brasil</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2.5</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0.1</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0.3</w:t>
            </w:r>
          </w:p>
        </w:tc>
        <w:tc>
          <w:tcPr>
            <w:tcW w:w="711" w:type="dxa"/>
            <w:tcBorders>
              <w:top w:val="nil"/>
              <w:left w:val="nil"/>
              <w:bottom w:val="nil"/>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1.5</w:t>
            </w:r>
          </w:p>
        </w:tc>
      </w:tr>
      <w:tr w:rsidR="005A6477" w:rsidRPr="007A2D2A" w:rsidTr="0083018E">
        <w:trPr>
          <w:trHeight w:val="300"/>
        </w:trPr>
        <w:tc>
          <w:tcPr>
            <w:tcW w:w="5636" w:type="dxa"/>
            <w:tcBorders>
              <w:top w:val="nil"/>
              <w:left w:val="nil"/>
              <w:bottom w:val="single" w:sz="12" w:space="0" w:color="auto"/>
              <w:right w:val="nil"/>
            </w:tcBorders>
            <w:shd w:val="clear" w:color="000000" w:fill="auto"/>
            <w:noWrap/>
            <w:vAlign w:val="bottom"/>
            <w:hideMark/>
          </w:tcPr>
          <w:p w:rsidR="005A6477" w:rsidRPr="007A2D2A" w:rsidRDefault="005A6477" w:rsidP="005A6477">
            <w:pPr>
              <w:ind w:firstLineChars="200" w:firstLine="480"/>
              <w:rPr>
                <w:color w:val="000000"/>
                <w:lang w:val="es-GT" w:eastAsia="es-GT"/>
              </w:rPr>
            </w:pPr>
            <w:r w:rsidRPr="007A2D2A">
              <w:rPr>
                <w:color w:val="000000"/>
                <w:lang w:val="es-GT" w:eastAsia="es-GT"/>
              </w:rPr>
              <w:t>México y Centroamérica</w:t>
            </w:r>
          </w:p>
        </w:tc>
        <w:tc>
          <w:tcPr>
            <w:tcW w:w="711" w:type="dxa"/>
            <w:tcBorders>
              <w:top w:val="nil"/>
              <w:left w:val="nil"/>
              <w:bottom w:val="single" w:sz="12" w:space="0" w:color="auto"/>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2.5</w:t>
            </w:r>
          </w:p>
        </w:tc>
        <w:tc>
          <w:tcPr>
            <w:tcW w:w="711" w:type="dxa"/>
            <w:tcBorders>
              <w:top w:val="nil"/>
              <w:left w:val="nil"/>
              <w:bottom w:val="single" w:sz="12" w:space="0" w:color="auto"/>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2.5</w:t>
            </w:r>
          </w:p>
        </w:tc>
        <w:tc>
          <w:tcPr>
            <w:tcW w:w="711" w:type="dxa"/>
            <w:tcBorders>
              <w:top w:val="nil"/>
              <w:left w:val="nil"/>
              <w:bottom w:val="single" w:sz="12" w:space="0" w:color="auto"/>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2.9</w:t>
            </w:r>
          </w:p>
        </w:tc>
        <w:tc>
          <w:tcPr>
            <w:tcW w:w="711" w:type="dxa"/>
            <w:tcBorders>
              <w:top w:val="nil"/>
              <w:left w:val="nil"/>
              <w:bottom w:val="single" w:sz="12" w:space="0" w:color="auto"/>
              <w:right w:val="nil"/>
            </w:tcBorders>
            <w:shd w:val="clear" w:color="000000" w:fill="auto"/>
            <w:noWrap/>
            <w:vAlign w:val="bottom"/>
            <w:hideMark/>
          </w:tcPr>
          <w:p w:rsidR="005A6477" w:rsidRPr="007A2D2A" w:rsidRDefault="005A6477" w:rsidP="0083018E">
            <w:pPr>
              <w:jc w:val="center"/>
              <w:rPr>
                <w:color w:val="000000"/>
                <w:lang w:val="es-GT" w:eastAsia="es-GT"/>
              </w:rPr>
            </w:pPr>
            <w:r w:rsidRPr="007A2D2A">
              <w:rPr>
                <w:color w:val="000000"/>
                <w:lang w:val="es-GT" w:eastAsia="es-GT"/>
              </w:rPr>
              <w:t>3.4</w:t>
            </w:r>
          </w:p>
        </w:tc>
      </w:tr>
      <w:tr w:rsidR="005A6477" w:rsidRPr="007A2D2A" w:rsidTr="0083018E">
        <w:trPr>
          <w:trHeight w:val="300"/>
        </w:trPr>
        <w:tc>
          <w:tcPr>
            <w:tcW w:w="8480" w:type="dxa"/>
            <w:gridSpan w:val="5"/>
            <w:tcBorders>
              <w:top w:val="nil"/>
              <w:left w:val="nil"/>
              <w:bottom w:val="nil"/>
              <w:right w:val="nil"/>
            </w:tcBorders>
            <w:shd w:val="clear" w:color="000000" w:fill="auto"/>
            <w:vAlign w:val="bottom"/>
            <w:hideMark/>
          </w:tcPr>
          <w:p w:rsidR="005A6477" w:rsidRDefault="005A6477" w:rsidP="0083018E">
            <w:pPr>
              <w:rPr>
                <w:b/>
                <w:bCs/>
                <w:color w:val="000000"/>
                <w:sz w:val="20"/>
                <w:szCs w:val="20"/>
                <w:lang w:val="es-GT" w:eastAsia="es-GT"/>
              </w:rPr>
            </w:pPr>
            <w:r w:rsidRPr="007A2D2A">
              <w:rPr>
                <w:b/>
                <w:bCs/>
                <w:color w:val="000000"/>
                <w:sz w:val="20"/>
                <w:szCs w:val="20"/>
                <w:lang w:val="es-GT" w:eastAsia="es-GT"/>
              </w:rPr>
              <w:t>Fuente: Naciones Unidas "World Economic</w:t>
            </w:r>
            <w:r w:rsidR="006837A4">
              <w:rPr>
                <w:b/>
                <w:bCs/>
                <w:color w:val="000000"/>
                <w:sz w:val="20"/>
                <w:szCs w:val="20"/>
                <w:lang w:val="es-GT" w:eastAsia="es-GT"/>
              </w:rPr>
              <w:t xml:space="preserve"> Situation and Prospects 2017, e</w:t>
            </w:r>
            <w:r w:rsidRPr="007A2D2A">
              <w:rPr>
                <w:b/>
                <w:bCs/>
                <w:color w:val="000000"/>
                <w:sz w:val="20"/>
                <w:szCs w:val="20"/>
                <w:lang w:val="es-GT" w:eastAsia="es-GT"/>
              </w:rPr>
              <w:t>nero de 2017".</w:t>
            </w:r>
          </w:p>
          <w:p w:rsidR="005A6477" w:rsidRPr="007A2D2A" w:rsidRDefault="005A6477" w:rsidP="0083018E">
            <w:pPr>
              <w:rPr>
                <w:b/>
                <w:bCs/>
                <w:color w:val="000000"/>
                <w:sz w:val="20"/>
                <w:szCs w:val="20"/>
                <w:lang w:val="es-GT" w:eastAsia="es-GT"/>
              </w:rPr>
            </w:pPr>
            <w:r>
              <w:rPr>
                <w:b/>
                <w:bCs/>
                <w:color w:val="000000"/>
                <w:sz w:val="20"/>
                <w:szCs w:val="20"/>
                <w:lang w:val="es-GT" w:eastAsia="es-GT"/>
              </w:rPr>
              <w:t>*proyectado</w:t>
            </w:r>
          </w:p>
        </w:tc>
      </w:tr>
    </w:tbl>
    <w:p w:rsidR="005A6477" w:rsidRPr="00B21B05" w:rsidRDefault="005A6477" w:rsidP="005A6477">
      <w:pPr>
        <w:jc w:val="both"/>
        <w:rPr>
          <w:lang w:val="es-MX"/>
        </w:rPr>
      </w:pPr>
    </w:p>
    <w:p w:rsidR="005A6477" w:rsidRDefault="005A6477" w:rsidP="005A6477">
      <w:pPr>
        <w:jc w:val="both"/>
        <w:rPr>
          <w:lang w:val="es-MX"/>
        </w:rPr>
      </w:pPr>
    </w:p>
    <w:p w:rsidR="005A6477" w:rsidRDefault="005A6477" w:rsidP="005A6477">
      <w:pPr>
        <w:jc w:val="both"/>
        <w:rPr>
          <w:lang w:val="es-MX"/>
        </w:rPr>
      </w:pPr>
    </w:p>
    <w:p w:rsidR="005A6477" w:rsidRDefault="005A6477" w:rsidP="005A6477">
      <w:pPr>
        <w:jc w:val="both"/>
        <w:rPr>
          <w:lang w:val="es-MX"/>
        </w:rPr>
      </w:pPr>
    </w:p>
    <w:p w:rsidR="005A6477" w:rsidRDefault="005A6477" w:rsidP="005A6477">
      <w:pPr>
        <w:jc w:val="both"/>
        <w:rPr>
          <w:lang w:val="es-MX"/>
        </w:rPr>
      </w:pPr>
    </w:p>
    <w:p w:rsidR="005A6477" w:rsidRDefault="005A6477" w:rsidP="005A6477">
      <w:pPr>
        <w:jc w:val="both"/>
        <w:rPr>
          <w:lang w:val="es-MX"/>
        </w:rPr>
      </w:pPr>
    </w:p>
    <w:p w:rsidR="005A6477" w:rsidRPr="007A11D0" w:rsidRDefault="005A6477" w:rsidP="005A6477">
      <w:pPr>
        <w:jc w:val="both"/>
        <w:rPr>
          <w:lang w:val="es-MX"/>
        </w:rPr>
      </w:pPr>
      <w:r w:rsidRPr="007A11D0">
        <w:rPr>
          <w:lang w:val="es-MX"/>
        </w:rPr>
        <w:lastRenderedPageBreak/>
        <w:t>En referencia a los precios internacionales del petróleo, posterior al fuerte descenso experimentado en 2014</w:t>
      </w:r>
      <w:r w:rsidR="00A10761">
        <w:rPr>
          <w:lang w:val="es-MX"/>
        </w:rPr>
        <w:t>,</w:t>
      </w:r>
      <w:r w:rsidRPr="007A11D0">
        <w:rPr>
          <w:lang w:val="es-MX"/>
        </w:rPr>
        <w:t xml:space="preserve"> en la actualidad se muestran relativamente estables, ubicándose el precio del barril </w:t>
      </w:r>
      <w:r w:rsidR="00A10761" w:rsidRPr="007A11D0">
        <w:rPr>
          <w:lang w:val="es-MX"/>
        </w:rPr>
        <w:t>de</w:t>
      </w:r>
      <w:r w:rsidRPr="007A11D0">
        <w:rPr>
          <w:lang w:val="es-MX"/>
        </w:rPr>
        <w:t xml:space="preserve"> WTI-NY </w:t>
      </w:r>
      <w:r>
        <w:rPr>
          <w:lang w:val="es-MX"/>
        </w:rPr>
        <w:t>entre US$</w:t>
      </w:r>
      <w:r w:rsidR="001B43D3">
        <w:rPr>
          <w:lang w:val="es-MX"/>
        </w:rPr>
        <w:t>.</w:t>
      </w:r>
      <w:r>
        <w:rPr>
          <w:lang w:val="es-MX"/>
        </w:rPr>
        <w:t xml:space="preserve">45.0 </w:t>
      </w:r>
      <w:r w:rsidR="001B43D3">
        <w:rPr>
          <w:lang w:val="es-MX"/>
        </w:rPr>
        <w:t xml:space="preserve"> </w:t>
      </w:r>
      <w:r>
        <w:rPr>
          <w:lang w:val="es-MX"/>
        </w:rPr>
        <w:t>y</w:t>
      </w:r>
      <w:r w:rsidR="001B43D3">
        <w:rPr>
          <w:lang w:val="es-MX"/>
        </w:rPr>
        <w:t xml:space="preserve"> </w:t>
      </w:r>
      <w:r w:rsidRPr="007A11D0">
        <w:rPr>
          <w:lang w:val="es-MX"/>
        </w:rPr>
        <w:t xml:space="preserve"> US$</w:t>
      </w:r>
      <w:r w:rsidR="001B43D3">
        <w:rPr>
          <w:lang w:val="es-MX"/>
        </w:rPr>
        <w:t>.</w:t>
      </w:r>
      <w:r w:rsidRPr="007A11D0">
        <w:rPr>
          <w:lang w:val="es-MX"/>
        </w:rPr>
        <w:t>51.7 mientras que el Brent se cotizó en</w:t>
      </w:r>
      <w:r>
        <w:rPr>
          <w:lang w:val="es-MX"/>
        </w:rPr>
        <w:t>tre</w:t>
      </w:r>
      <w:r w:rsidRPr="007A11D0">
        <w:rPr>
          <w:lang w:val="es-MX"/>
        </w:rPr>
        <w:t xml:space="preserve"> </w:t>
      </w:r>
      <w:r>
        <w:rPr>
          <w:lang w:val="es-MX"/>
        </w:rPr>
        <w:t>US$</w:t>
      </w:r>
      <w:r w:rsidR="001B43D3">
        <w:rPr>
          <w:lang w:val="es-MX"/>
        </w:rPr>
        <w:t>.</w:t>
      </w:r>
      <w:r>
        <w:rPr>
          <w:lang w:val="es-MX"/>
        </w:rPr>
        <w:t>45.0 y</w:t>
      </w:r>
      <w:r w:rsidRPr="007A11D0">
        <w:rPr>
          <w:lang w:val="es-MX"/>
        </w:rPr>
        <w:t xml:space="preserve"> US$</w:t>
      </w:r>
      <w:r w:rsidR="001B43D3">
        <w:rPr>
          <w:lang w:val="es-MX"/>
        </w:rPr>
        <w:t>.</w:t>
      </w:r>
      <w:r w:rsidRPr="007A11D0">
        <w:rPr>
          <w:lang w:val="es-MX"/>
        </w:rPr>
        <w:t>48.0 por barril, durante el primer semestre de 2017.</w:t>
      </w:r>
    </w:p>
    <w:p w:rsidR="005A6477" w:rsidRPr="001B43D3" w:rsidRDefault="005A6477" w:rsidP="005A6477">
      <w:pPr>
        <w:jc w:val="center"/>
        <w:rPr>
          <w:b/>
          <w:bCs/>
          <w:lang w:val="es-MX"/>
        </w:rPr>
      </w:pPr>
    </w:p>
    <w:p w:rsidR="005A6477" w:rsidRPr="0088577C" w:rsidRDefault="005A6477" w:rsidP="0088577C">
      <w:pPr>
        <w:pStyle w:val="Prrafodelista"/>
        <w:ind w:left="360"/>
        <w:jc w:val="center"/>
        <w:rPr>
          <w:b/>
          <w:sz w:val="22"/>
          <w:lang w:val="es-MX"/>
        </w:rPr>
      </w:pPr>
      <w:r w:rsidRPr="0088577C">
        <w:rPr>
          <w:b/>
          <w:sz w:val="22"/>
          <w:lang w:val="es-MX"/>
        </w:rPr>
        <w:t>Gráfica 1</w:t>
      </w:r>
    </w:p>
    <w:p w:rsidR="005A6477" w:rsidRPr="0088577C" w:rsidRDefault="005A6477" w:rsidP="0088577C">
      <w:pPr>
        <w:pStyle w:val="Prrafodelista"/>
        <w:ind w:left="360"/>
        <w:jc w:val="center"/>
        <w:rPr>
          <w:b/>
          <w:sz w:val="22"/>
          <w:lang w:val="es-MX"/>
        </w:rPr>
      </w:pPr>
      <w:r w:rsidRPr="0088577C">
        <w:rPr>
          <w:b/>
          <w:sz w:val="22"/>
          <w:lang w:val="es-MX"/>
        </w:rPr>
        <w:t>Precio del petróleo WTI-NY y Brent</w:t>
      </w:r>
    </w:p>
    <w:p w:rsidR="005A6477" w:rsidRPr="0088577C" w:rsidRDefault="005A6477" w:rsidP="0088577C">
      <w:pPr>
        <w:pStyle w:val="Prrafodelista"/>
        <w:ind w:left="360"/>
        <w:jc w:val="center"/>
        <w:rPr>
          <w:b/>
          <w:sz w:val="22"/>
          <w:lang w:val="es-MX"/>
        </w:rPr>
      </w:pPr>
      <w:r w:rsidRPr="0088577C">
        <w:rPr>
          <w:b/>
          <w:sz w:val="22"/>
          <w:lang w:val="es-MX"/>
        </w:rPr>
        <w:t>US$ por Barril</w:t>
      </w:r>
    </w:p>
    <w:p w:rsidR="005A6477" w:rsidRDefault="00021644" w:rsidP="005A6477">
      <w:pPr>
        <w:jc w:val="center"/>
        <w:rPr>
          <w:highlight w:val="yellow"/>
          <w:lang w:val="es-MX"/>
        </w:rPr>
      </w:pPr>
      <w:r w:rsidRPr="001829A5">
        <w:rPr>
          <w:noProof/>
          <w:lang w:val="es-GT" w:eastAsia="es-GT"/>
        </w:rPr>
        <w:drawing>
          <wp:inline distT="0" distB="0" distL="0" distR="0">
            <wp:extent cx="4671695" cy="2705100"/>
            <wp:effectExtent l="0" t="0" r="0" b="0"/>
            <wp:docPr id="21"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6477" w:rsidRPr="007A11D0" w:rsidRDefault="005A6477" w:rsidP="005A6477">
      <w:pPr>
        <w:jc w:val="both"/>
        <w:rPr>
          <w:sz w:val="18"/>
          <w:lang w:val="es-MX"/>
        </w:rPr>
      </w:pPr>
      <w:r w:rsidRPr="007A11D0">
        <w:rPr>
          <w:sz w:val="18"/>
          <w:lang w:val="es-MX"/>
        </w:rPr>
        <w:t>Fuente: SEMCA</w:t>
      </w:r>
    </w:p>
    <w:p w:rsidR="005A6477" w:rsidRDefault="005A6477" w:rsidP="005A6477">
      <w:pPr>
        <w:jc w:val="both"/>
        <w:rPr>
          <w:lang w:val="es-MX"/>
        </w:rPr>
      </w:pPr>
    </w:p>
    <w:p w:rsidR="005A6477" w:rsidRDefault="005A6477" w:rsidP="005A6477">
      <w:pPr>
        <w:jc w:val="both"/>
        <w:rPr>
          <w:lang w:val="es-MX"/>
        </w:rPr>
      </w:pPr>
      <w:r>
        <w:rPr>
          <w:lang w:val="es-MX"/>
        </w:rPr>
        <w:t>De acuerdo con la CEPAL, el</w:t>
      </w:r>
      <w:r w:rsidRPr="007A11D0">
        <w:rPr>
          <w:lang w:val="es-MX"/>
        </w:rPr>
        <w:t xml:space="preserve"> precio se habría visto beneficiado a comienzos de 2017 por</w:t>
      </w:r>
      <w:r>
        <w:rPr>
          <w:lang w:val="es-MX"/>
        </w:rPr>
        <w:t xml:space="preserve"> </w:t>
      </w:r>
      <w:r w:rsidRPr="007A11D0">
        <w:rPr>
          <w:lang w:val="es-MX"/>
        </w:rPr>
        <w:t>el acuerdo de los miembros de la Organización de Países Exportadores de Petróleo</w:t>
      </w:r>
      <w:r>
        <w:rPr>
          <w:lang w:val="es-MX"/>
        </w:rPr>
        <w:t xml:space="preserve"> </w:t>
      </w:r>
      <w:r w:rsidRPr="007A11D0">
        <w:rPr>
          <w:lang w:val="es-MX"/>
        </w:rPr>
        <w:t>(OPEP) (de noviembre de 2016) en el sentido de reducir sus cuotas de producción</w:t>
      </w:r>
      <w:r>
        <w:rPr>
          <w:lang w:val="es-MX"/>
        </w:rPr>
        <w:t xml:space="preserve"> </w:t>
      </w:r>
      <w:r w:rsidRPr="007A11D0">
        <w:rPr>
          <w:lang w:val="es-MX"/>
        </w:rPr>
        <w:t>de crudo, al que además adhirieron otros países no miembros, como es el caso de la</w:t>
      </w:r>
      <w:r>
        <w:rPr>
          <w:lang w:val="es-MX"/>
        </w:rPr>
        <w:t xml:space="preserve"> </w:t>
      </w:r>
      <w:r w:rsidRPr="007A11D0">
        <w:rPr>
          <w:lang w:val="es-MX"/>
        </w:rPr>
        <w:t xml:space="preserve">Federación </w:t>
      </w:r>
      <w:r>
        <w:rPr>
          <w:lang w:val="es-MX"/>
        </w:rPr>
        <w:t>Rusa</w:t>
      </w:r>
      <w:r w:rsidRPr="007A11D0">
        <w:rPr>
          <w:lang w:val="es-MX"/>
        </w:rPr>
        <w:t xml:space="preserve">. Sin embargo, a partir del mes de marzo se observó una </w:t>
      </w:r>
      <w:r>
        <w:rPr>
          <w:lang w:val="es-MX"/>
        </w:rPr>
        <w:t>ligera caída</w:t>
      </w:r>
      <w:r w:rsidRPr="007A11D0">
        <w:rPr>
          <w:lang w:val="es-MX"/>
        </w:rPr>
        <w:t xml:space="preserve"> en los precios, como consecuencia principalmente del aumento de</w:t>
      </w:r>
      <w:r>
        <w:rPr>
          <w:lang w:val="es-MX"/>
        </w:rPr>
        <w:t xml:space="preserve"> </w:t>
      </w:r>
      <w:r w:rsidRPr="007A11D0">
        <w:rPr>
          <w:lang w:val="es-MX"/>
        </w:rPr>
        <w:t>las existencias y la producción p</w:t>
      </w:r>
      <w:r w:rsidR="002F0F49">
        <w:rPr>
          <w:lang w:val="es-MX"/>
        </w:rPr>
        <w:t>or parte de los Estados Unidos.</w:t>
      </w:r>
    </w:p>
    <w:p w:rsidR="00A10761" w:rsidRDefault="00A10761" w:rsidP="005A6477">
      <w:pPr>
        <w:jc w:val="both"/>
        <w:rPr>
          <w:lang w:val="es-MX"/>
        </w:rPr>
      </w:pPr>
    </w:p>
    <w:p w:rsidR="005A6477" w:rsidRDefault="005A6477" w:rsidP="005A6477">
      <w:pPr>
        <w:autoSpaceDE w:val="0"/>
        <w:autoSpaceDN w:val="0"/>
        <w:adjustRightInd w:val="0"/>
        <w:jc w:val="both"/>
        <w:rPr>
          <w:lang w:val="es-MX"/>
        </w:rPr>
      </w:pPr>
      <w:r w:rsidRPr="007A11D0">
        <w:rPr>
          <w:lang w:val="es-MX"/>
        </w:rPr>
        <w:t>A pesar de lo anterior,</w:t>
      </w:r>
      <w:r>
        <w:rPr>
          <w:lang w:val="es-MX"/>
        </w:rPr>
        <w:t xml:space="preserve"> </w:t>
      </w:r>
      <w:r w:rsidRPr="007A11D0">
        <w:rPr>
          <w:lang w:val="es-MX"/>
        </w:rPr>
        <w:t>algunas fuentes especializadas coinciden en señalar que en la segunda mitad del año</w:t>
      </w:r>
      <w:r>
        <w:rPr>
          <w:lang w:val="es-MX"/>
        </w:rPr>
        <w:t xml:space="preserve"> </w:t>
      </w:r>
      <w:r w:rsidRPr="007A11D0">
        <w:rPr>
          <w:lang w:val="es-MX"/>
        </w:rPr>
        <w:t>el precio repuntará nuevamente, debido tanto a aumentos de la demanda como al</w:t>
      </w:r>
      <w:r>
        <w:rPr>
          <w:lang w:val="es-MX"/>
        </w:rPr>
        <w:t xml:space="preserve"> </w:t>
      </w:r>
      <w:r w:rsidRPr="007A11D0">
        <w:rPr>
          <w:lang w:val="es-MX"/>
        </w:rPr>
        <w:t>hecho de que los países miembros de la OPEP y otros países productores liderados por</w:t>
      </w:r>
      <w:r>
        <w:rPr>
          <w:lang w:val="es-MX"/>
        </w:rPr>
        <w:t xml:space="preserve"> </w:t>
      </w:r>
      <w:r w:rsidRPr="007A11D0">
        <w:rPr>
          <w:lang w:val="es-MX"/>
        </w:rPr>
        <w:t xml:space="preserve">la Federación </w:t>
      </w:r>
      <w:r w:rsidR="00A10761">
        <w:rPr>
          <w:lang w:val="es-MX"/>
        </w:rPr>
        <w:t>Rusa</w:t>
      </w:r>
      <w:r w:rsidRPr="007A11D0">
        <w:rPr>
          <w:lang w:val="es-MX"/>
        </w:rPr>
        <w:t xml:space="preserve"> extendieron a finales de mayo sus recortes por nueve meses</w:t>
      </w:r>
      <w:r>
        <w:rPr>
          <w:lang w:val="es-MX"/>
        </w:rPr>
        <w:t xml:space="preserve"> </w:t>
      </w:r>
      <w:r w:rsidRPr="007A11D0">
        <w:rPr>
          <w:lang w:val="es-MX"/>
        </w:rPr>
        <w:t>más, hasta marzo de 2018. Además, las tensiones geopolíticas en algunos países</w:t>
      </w:r>
      <w:r>
        <w:rPr>
          <w:lang w:val="es-MX"/>
        </w:rPr>
        <w:t xml:space="preserve"> </w:t>
      </w:r>
      <w:r w:rsidRPr="007A11D0">
        <w:rPr>
          <w:lang w:val="es-MX"/>
        </w:rPr>
        <w:t>productores, así como la posible agudización de la crisis en la República Bolivariana</w:t>
      </w:r>
      <w:r>
        <w:rPr>
          <w:lang w:val="es-MX"/>
        </w:rPr>
        <w:t xml:space="preserve"> </w:t>
      </w:r>
      <w:r w:rsidRPr="007A11D0">
        <w:rPr>
          <w:lang w:val="es-MX"/>
        </w:rPr>
        <w:t>de Venezuela representarían riesgos al alza en el precio del petróleo.</w:t>
      </w:r>
      <w:r>
        <w:rPr>
          <w:lang w:val="es-MX"/>
        </w:rPr>
        <w:t xml:space="preserve"> (CEPAL, </w:t>
      </w:r>
      <w:r w:rsidRPr="00AF6B90">
        <w:rPr>
          <w:lang w:val="es-MX"/>
        </w:rPr>
        <w:t>Estudio Económico de América Latina</w:t>
      </w:r>
      <w:r>
        <w:rPr>
          <w:lang w:val="es-MX"/>
        </w:rPr>
        <w:t xml:space="preserve"> </w:t>
      </w:r>
      <w:r w:rsidRPr="00AF6B90">
        <w:rPr>
          <w:lang w:val="es-MX"/>
        </w:rPr>
        <w:t>y el Caribe, 2017</w:t>
      </w:r>
      <w:r>
        <w:rPr>
          <w:lang w:val="es-MX"/>
        </w:rPr>
        <w:t>).</w:t>
      </w:r>
    </w:p>
    <w:p w:rsidR="005A6477" w:rsidRDefault="005A6477" w:rsidP="005A6477">
      <w:pPr>
        <w:rPr>
          <w:lang w:val="es-MX"/>
        </w:rPr>
      </w:pPr>
      <w:r>
        <w:rPr>
          <w:lang w:val="es-MX"/>
        </w:rPr>
        <w:br w:type="page"/>
      </w:r>
    </w:p>
    <w:p w:rsidR="005A6477" w:rsidRDefault="005A6477" w:rsidP="00D16A2D">
      <w:pPr>
        <w:pStyle w:val="Ttulo2"/>
        <w:numPr>
          <w:ilvl w:val="0"/>
          <w:numId w:val="9"/>
        </w:numPr>
        <w:ind w:left="426"/>
        <w:jc w:val="both"/>
        <w:rPr>
          <w:rFonts w:ascii="Times New Roman" w:hAnsi="Times New Roman"/>
          <w:color w:val="auto"/>
          <w:sz w:val="24"/>
          <w:szCs w:val="24"/>
          <w:lang w:val="es-MX"/>
        </w:rPr>
      </w:pPr>
      <w:bookmarkStart w:id="6" w:name="_Toc441140275"/>
      <w:bookmarkStart w:id="7" w:name="_Toc494450590"/>
      <w:r w:rsidRPr="000767CE">
        <w:rPr>
          <w:rFonts w:ascii="Times New Roman" w:hAnsi="Times New Roman"/>
          <w:color w:val="auto"/>
          <w:sz w:val="24"/>
          <w:szCs w:val="24"/>
          <w:lang w:val="es-MX"/>
        </w:rPr>
        <w:lastRenderedPageBreak/>
        <w:t xml:space="preserve">Economía </w:t>
      </w:r>
      <w:r>
        <w:rPr>
          <w:rFonts w:ascii="Times New Roman" w:hAnsi="Times New Roman"/>
          <w:color w:val="auto"/>
          <w:sz w:val="24"/>
          <w:szCs w:val="24"/>
          <w:lang w:val="es-MX"/>
        </w:rPr>
        <w:t>N</w:t>
      </w:r>
      <w:r w:rsidRPr="000767CE">
        <w:rPr>
          <w:rFonts w:ascii="Times New Roman" w:hAnsi="Times New Roman"/>
          <w:color w:val="auto"/>
          <w:sz w:val="24"/>
          <w:szCs w:val="24"/>
          <w:lang w:val="es-MX"/>
        </w:rPr>
        <w:t>acional</w:t>
      </w:r>
      <w:bookmarkEnd w:id="6"/>
      <w:bookmarkEnd w:id="7"/>
    </w:p>
    <w:p w:rsidR="005A6477" w:rsidRPr="000767CE" w:rsidRDefault="005A6477" w:rsidP="005A6477">
      <w:pPr>
        <w:rPr>
          <w:sz w:val="6"/>
          <w:lang w:val="es-MX" w:eastAsia="x-none"/>
        </w:rPr>
      </w:pPr>
    </w:p>
    <w:p w:rsidR="005A6477" w:rsidRDefault="005A6477" w:rsidP="005A6477">
      <w:pPr>
        <w:pStyle w:val="Default"/>
        <w:jc w:val="both"/>
        <w:rPr>
          <w:rFonts w:ascii="Times New Roman" w:hAnsi="Times New Roman" w:cs="Times New Roman"/>
        </w:rPr>
      </w:pPr>
    </w:p>
    <w:p w:rsidR="005A6477" w:rsidRDefault="005A6477" w:rsidP="005A6477">
      <w:pPr>
        <w:pStyle w:val="Default"/>
        <w:jc w:val="both"/>
        <w:rPr>
          <w:rFonts w:ascii="Times New Roman" w:hAnsi="Times New Roman" w:cs="Times New Roman"/>
        </w:rPr>
      </w:pPr>
      <w:r w:rsidRPr="002B59D6">
        <w:rPr>
          <w:rFonts w:ascii="Times New Roman" w:hAnsi="Times New Roman" w:cs="Times New Roman"/>
        </w:rPr>
        <w:t>La actividad económica en términos reales mostr</w:t>
      </w:r>
      <w:r>
        <w:rPr>
          <w:rFonts w:ascii="Times New Roman" w:hAnsi="Times New Roman" w:cs="Times New Roman"/>
        </w:rPr>
        <w:t xml:space="preserve">ó para 2016 un crecimiento de 3.1, menor al registrado </w:t>
      </w:r>
      <w:r w:rsidRPr="002B59D6">
        <w:rPr>
          <w:rFonts w:ascii="Times New Roman" w:hAnsi="Times New Roman" w:cs="Times New Roman"/>
        </w:rPr>
        <w:t>en 201</w:t>
      </w:r>
      <w:r>
        <w:rPr>
          <w:rFonts w:ascii="Times New Roman" w:hAnsi="Times New Roman" w:cs="Times New Roman"/>
        </w:rPr>
        <w:t>5</w:t>
      </w:r>
      <w:r w:rsidRPr="002B59D6">
        <w:rPr>
          <w:rFonts w:ascii="Times New Roman" w:hAnsi="Times New Roman" w:cs="Times New Roman"/>
        </w:rPr>
        <w:t xml:space="preserve"> </w:t>
      </w:r>
      <w:r>
        <w:rPr>
          <w:rFonts w:ascii="Times New Roman" w:hAnsi="Times New Roman" w:cs="Times New Roman"/>
        </w:rPr>
        <w:t xml:space="preserve">de 4.1%. </w:t>
      </w:r>
      <w:r w:rsidR="00A10761">
        <w:rPr>
          <w:rFonts w:ascii="Times New Roman" w:hAnsi="Times New Roman" w:cs="Times New Roman"/>
        </w:rPr>
        <w:t xml:space="preserve">De </w:t>
      </w:r>
      <w:r>
        <w:rPr>
          <w:rFonts w:ascii="Times New Roman" w:hAnsi="Times New Roman" w:cs="Times New Roman"/>
        </w:rPr>
        <w:t>acuerdo con el BANGUAT lo anterior se debe</w:t>
      </w:r>
      <w:r w:rsidRPr="00526C78">
        <w:rPr>
          <w:rFonts w:ascii="Times New Roman" w:hAnsi="Times New Roman" w:cs="Times New Roman"/>
        </w:rPr>
        <w:t xml:space="preserve"> entre otros factores, a la moderación en el comportamiento de la demanda externa, resultado de la desaceleración en el ritmo de crecimiento de los principales socios comerciales del país, particularmente de Estados Unidos de América. </w:t>
      </w:r>
      <w:r>
        <w:rPr>
          <w:rFonts w:ascii="Times New Roman" w:hAnsi="Times New Roman" w:cs="Times New Roman"/>
        </w:rPr>
        <w:t xml:space="preserve"> </w:t>
      </w:r>
      <w:r w:rsidRPr="00526C78">
        <w:rPr>
          <w:rFonts w:ascii="Times New Roman" w:hAnsi="Times New Roman" w:cs="Times New Roman"/>
        </w:rPr>
        <w:t>Por su parte, el comportamiento de la demanda interna fue positivo, aunque menos dinámico que el año anterior, influenciado por la contracción en el consumo del gobierno general, así como por la desaceleración del consumo privado y de la inversión. No obstante, a pesar de dicha desaceleración, el mantenimiento de la estabilidad macroeconómica, resultado de la aplicación de políticas monetaria y fiscal disciplinadas, contribuyó a que la actividad económica se</w:t>
      </w:r>
      <w:r>
        <w:rPr>
          <w:rFonts w:ascii="Times New Roman" w:hAnsi="Times New Roman" w:cs="Times New Roman"/>
        </w:rPr>
        <w:t xml:space="preserve"> desempeñara de manera positiva (BANGUAT, Estudio de la economía nacional 2016).</w:t>
      </w:r>
    </w:p>
    <w:p w:rsidR="005A6477" w:rsidRPr="001829A5" w:rsidRDefault="005A6477" w:rsidP="005A6477">
      <w:pPr>
        <w:jc w:val="both"/>
        <w:rPr>
          <w:rFonts w:eastAsia="Constantia"/>
          <w:color w:val="000000"/>
          <w:lang w:val="es-MX" w:eastAsia="en-US"/>
        </w:rPr>
      </w:pPr>
    </w:p>
    <w:p w:rsidR="005A6477" w:rsidRPr="0088577C" w:rsidRDefault="005A6477" w:rsidP="0088577C">
      <w:pPr>
        <w:pStyle w:val="Prrafodelista"/>
        <w:ind w:left="360"/>
        <w:jc w:val="center"/>
        <w:rPr>
          <w:b/>
          <w:sz w:val="22"/>
          <w:lang w:val="es-MX"/>
        </w:rPr>
      </w:pPr>
      <w:r w:rsidRPr="0088577C">
        <w:rPr>
          <w:b/>
          <w:sz w:val="22"/>
          <w:lang w:val="es-MX"/>
        </w:rPr>
        <w:t>Gráfica 2</w:t>
      </w:r>
    </w:p>
    <w:p w:rsidR="005A6477" w:rsidRPr="0088577C" w:rsidRDefault="005A6477" w:rsidP="0088577C">
      <w:pPr>
        <w:pStyle w:val="Prrafodelista"/>
        <w:ind w:left="360"/>
        <w:jc w:val="center"/>
        <w:rPr>
          <w:b/>
          <w:sz w:val="22"/>
          <w:lang w:val="es-MX"/>
        </w:rPr>
      </w:pPr>
      <w:r w:rsidRPr="0088577C">
        <w:rPr>
          <w:b/>
          <w:sz w:val="22"/>
          <w:lang w:val="es-MX"/>
        </w:rPr>
        <w:t>Guatemala: Producto Interno Bruto</w:t>
      </w:r>
    </w:p>
    <w:p w:rsidR="005A6477" w:rsidRPr="0088577C" w:rsidRDefault="005A6477" w:rsidP="0088577C">
      <w:pPr>
        <w:pStyle w:val="Prrafodelista"/>
        <w:ind w:left="360"/>
        <w:jc w:val="center"/>
        <w:rPr>
          <w:b/>
          <w:sz w:val="22"/>
          <w:lang w:val="es-MX"/>
        </w:rPr>
      </w:pPr>
      <w:r w:rsidRPr="0088577C">
        <w:rPr>
          <w:b/>
          <w:sz w:val="22"/>
          <w:lang w:val="es-MX"/>
        </w:rPr>
        <w:t>En términos reales</w:t>
      </w:r>
    </w:p>
    <w:p w:rsidR="005A6477" w:rsidRPr="0088577C" w:rsidRDefault="005A6477" w:rsidP="0088577C">
      <w:pPr>
        <w:pStyle w:val="Prrafodelista"/>
        <w:ind w:left="360"/>
        <w:jc w:val="center"/>
        <w:rPr>
          <w:b/>
          <w:sz w:val="22"/>
          <w:lang w:val="es-MX"/>
        </w:rPr>
      </w:pPr>
      <w:r w:rsidRPr="0088577C">
        <w:rPr>
          <w:b/>
          <w:sz w:val="22"/>
          <w:lang w:val="es-MX"/>
        </w:rPr>
        <w:t>(Tasas de Variación Interanual)</w:t>
      </w:r>
    </w:p>
    <w:p w:rsidR="005A6477" w:rsidRPr="0088577C" w:rsidRDefault="005A6477" w:rsidP="0088577C">
      <w:pPr>
        <w:pStyle w:val="Prrafodelista"/>
        <w:ind w:left="360"/>
        <w:jc w:val="center"/>
        <w:rPr>
          <w:b/>
          <w:sz w:val="22"/>
          <w:lang w:val="es-MX"/>
        </w:rPr>
      </w:pPr>
    </w:p>
    <w:p w:rsidR="005A6477" w:rsidRDefault="00021644" w:rsidP="005A6477">
      <w:pPr>
        <w:jc w:val="center"/>
        <w:rPr>
          <w:sz w:val="20"/>
          <w:lang w:val="es-MX"/>
        </w:rPr>
      </w:pPr>
      <w:r w:rsidRPr="001829A5">
        <w:rPr>
          <w:noProof/>
          <w:lang w:val="es-GT" w:eastAsia="es-GT"/>
        </w:rPr>
        <w:drawing>
          <wp:inline distT="0" distB="0" distL="0" distR="0">
            <wp:extent cx="5370195" cy="2858770"/>
            <wp:effectExtent l="0" t="0" r="0" b="0"/>
            <wp:docPr id="20"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6477" w:rsidRDefault="005A6477" w:rsidP="005A6477">
      <w:pPr>
        <w:jc w:val="both"/>
        <w:rPr>
          <w:sz w:val="20"/>
          <w:lang w:val="es-MX"/>
        </w:rPr>
      </w:pPr>
      <w:r w:rsidRPr="004A6BCC">
        <w:rPr>
          <w:sz w:val="20"/>
          <w:lang w:val="es-MX"/>
        </w:rPr>
        <w:t>Fuente: Cifras del Banco de Guatemala</w:t>
      </w:r>
    </w:p>
    <w:p w:rsidR="005A6477" w:rsidRPr="004A6BCC" w:rsidRDefault="005A6477" w:rsidP="005A6477">
      <w:pPr>
        <w:jc w:val="both"/>
        <w:rPr>
          <w:sz w:val="20"/>
          <w:lang w:val="es-MX"/>
        </w:rPr>
      </w:pPr>
      <w:r>
        <w:rPr>
          <w:sz w:val="20"/>
          <w:lang w:val="es-MX"/>
        </w:rPr>
        <w:t>p/</w:t>
      </w:r>
      <w:r w:rsidRPr="004A6BCC">
        <w:rPr>
          <w:sz w:val="20"/>
          <w:lang w:val="es-MX"/>
        </w:rPr>
        <w:t>preliminar</w:t>
      </w:r>
    </w:p>
    <w:p w:rsidR="005A6477" w:rsidRDefault="005A6477" w:rsidP="005A6477">
      <w:pPr>
        <w:jc w:val="both"/>
        <w:rPr>
          <w:sz w:val="20"/>
          <w:lang w:val="es-MX"/>
        </w:rPr>
      </w:pPr>
      <w:r>
        <w:rPr>
          <w:sz w:val="16"/>
          <w:lang w:val="es-MX"/>
        </w:rPr>
        <w:t>py</w:t>
      </w:r>
      <w:r w:rsidRPr="004A6BCC">
        <w:rPr>
          <w:sz w:val="20"/>
          <w:lang w:val="es-MX"/>
        </w:rPr>
        <w:t>/proyectado</w:t>
      </w:r>
    </w:p>
    <w:p w:rsidR="005A6477" w:rsidRDefault="005A6477" w:rsidP="005A6477">
      <w:pPr>
        <w:rPr>
          <w:lang w:val="es-MX"/>
        </w:rPr>
      </w:pPr>
      <w:r>
        <w:rPr>
          <w:lang w:val="es-MX"/>
        </w:rPr>
        <w:br w:type="page"/>
      </w:r>
    </w:p>
    <w:p w:rsidR="005A6477" w:rsidRDefault="005A6477" w:rsidP="005A6477">
      <w:pPr>
        <w:jc w:val="both"/>
        <w:rPr>
          <w:lang w:val="es-MX"/>
        </w:rPr>
      </w:pPr>
      <w:r>
        <w:rPr>
          <w:lang w:val="es-MX"/>
        </w:rPr>
        <w:lastRenderedPageBreak/>
        <w:t xml:space="preserve">De acuerdo con el BANGUAT, </w:t>
      </w:r>
      <w:r w:rsidRPr="00226166">
        <w:rPr>
          <w:lang w:val="es-MX"/>
        </w:rPr>
        <w:t xml:space="preserve">la Inflación </w:t>
      </w:r>
      <w:r w:rsidR="00A10761">
        <w:rPr>
          <w:lang w:val="es-MX"/>
        </w:rPr>
        <w:t>t</w:t>
      </w:r>
      <w:r w:rsidR="00A10761" w:rsidRPr="00226166">
        <w:rPr>
          <w:lang w:val="es-MX"/>
        </w:rPr>
        <w:t xml:space="preserve">otal </w:t>
      </w:r>
      <w:r w:rsidRPr="00226166">
        <w:rPr>
          <w:lang w:val="es-MX"/>
        </w:rPr>
        <w:t xml:space="preserve">terminó en </w:t>
      </w:r>
      <w:r>
        <w:rPr>
          <w:lang w:val="es-MX"/>
        </w:rPr>
        <w:t>4.23</w:t>
      </w:r>
      <w:r w:rsidRPr="00226166">
        <w:rPr>
          <w:lang w:val="es-MX"/>
        </w:rPr>
        <w:t xml:space="preserve">% </w:t>
      </w:r>
      <w:r>
        <w:rPr>
          <w:lang w:val="es-MX"/>
        </w:rPr>
        <w:t>ubicándose dentro</w:t>
      </w:r>
      <w:r w:rsidRPr="000767CE">
        <w:rPr>
          <w:lang w:val="es-MX"/>
        </w:rPr>
        <w:t xml:space="preserve"> del rango meta establecido por la Junta Monetaria (4.0% +/- 1 punto porcentual),</w:t>
      </w:r>
      <w:r>
        <w:rPr>
          <w:lang w:val="es-MX"/>
        </w:rPr>
        <w:t xml:space="preserve"> mientras que </w:t>
      </w:r>
      <w:r w:rsidRPr="00226166">
        <w:rPr>
          <w:lang w:val="es-MX"/>
        </w:rPr>
        <w:t xml:space="preserve">la Inflación Subyacente en </w:t>
      </w:r>
      <w:r>
        <w:rPr>
          <w:lang w:val="es-MX"/>
        </w:rPr>
        <w:t>3.29 %</w:t>
      </w:r>
      <w:r w:rsidR="002F0F49">
        <w:rPr>
          <w:lang w:val="es-MX"/>
        </w:rPr>
        <w:t>. D</w:t>
      </w:r>
      <w:r w:rsidRPr="00226166">
        <w:rPr>
          <w:lang w:val="es-MX"/>
        </w:rPr>
        <w:t xml:space="preserve">estaca </w:t>
      </w:r>
      <w:r>
        <w:rPr>
          <w:lang w:val="es-MX"/>
        </w:rPr>
        <w:t>el BANGUAT que</w:t>
      </w:r>
      <w:r w:rsidR="00AC0A03">
        <w:rPr>
          <w:lang w:val="es-MX"/>
        </w:rPr>
        <w:t xml:space="preserve"> </w:t>
      </w:r>
      <w:r>
        <w:rPr>
          <w:lang w:val="es-MX"/>
        </w:rPr>
        <w:t xml:space="preserve">el </w:t>
      </w:r>
      <w:r w:rsidRPr="00B76825">
        <w:rPr>
          <w:lang w:val="es-MX"/>
        </w:rPr>
        <w:t xml:space="preserve"> ritmo inflacionario revirtió su tendencia a la baja a partir de octubre de 2015 y comenzó a aumentar, debido, </w:t>
      </w:r>
      <w:r>
        <w:rPr>
          <w:lang w:val="es-MX"/>
        </w:rPr>
        <w:t>a</w:t>
      </w:r>
      <w:r w:rsidRPr="00B76825">
        <w:rPr>
          <w:lang w:val="es-MX"/>
        </w:rPr>
        <w:t xml:space="preserve">l efecto que generó la disminución en el precio de los energéticos (incluye las gasolinas superior y regular, el diésel, el gas propano y el servicio de electricidad), comenzó a desvanecerse y, por un choque de oferta asociado al incremento en los precios de varios productos agrícolas (principalmente tomate y otras legumbres y hortalizas), con el consecuente efecto en el precio de los alimentos desde el último trimestre de 2015. </w:t>
      </w:r>
    </w:p>
    <w:p w:rsidR="005A6477" w:rsidRDefault="005A6477" w:rsidP="005A6477">
      <w:pPr>
        <w:jc w:val="center"/>
        <w:rPr>
          <w:b/>
        </w:rPr>
      </w:pPr>
    </w:p>
    <w:p w:rsidR="005A6477" w:rsidRPr="0088577C" w:rsidRDefault="005A6477" w:rsidP="0088577C">
      <w:pPr>
        <w:pStyle w:val="Prrafodelista"/>
        <w:ind w:left="360"/>
        <w:jc w:val="center"/>
        <w:rPr>
          <w:b/>
          <w:sz w:val="22"/>
          <w:lang w:val="es-MX"/>
        </w:rPr>
      </w:pPr>
      <w:r w:rsidRPr="0088577C">
        <w:rPr>
          <w:b/>
          <w:sz w:val="22"/>
          <w:lang w:val="es-MX"/>
        </w:rPr>
        <w:t>Gráfica 3</w:t>
      </w:r>
    </w:p>
    <w:p w:rsidR="005A6477" w:rsidRPr="0088577C" w:rsidRDefault="005A6477" w:rsidP="0088577C">
      <w:pPr>
        <w:pStyle w:val="Prrafodelista"/>
        <w:ind w:left="360"/>
        <w:jc w:val="center"/>
        <w:rPr>
          <w:b/>
          <w:sz w:val="22"/>
          <w:lang w:val="es-MX"/>
        </w:rPr>
      </w:pPr>
      <w:r w:rsidRPr="0088577C">
        <w:rPr>
          <w:b/>
          <w:sz w:val="22"/>
          <w:lang w:val="es-MX"/>
        </w:rPr>
        <w:t>Guatemala: Ritmo Inflacionario</w:t>
      </w:r>
    </w:p>
    <w:p w:rsidR="005A6477" w:rsidRPr="0088577C" w:rsidRDefault="005A6477" w:rsidP="0088577C">
      <w:pPr>
        <w:pStyle w:val="Prrafodelista"/>
        <w:ind w:left="360"/>
        <w:jc w:val="center"/>
        <w:rPr>
          <w:b/>
          <w:sz w:val="22"/>
          <w:lang w:val="es-MX"/>
        </w:rPr>
      </w:pPr>
      <w:r w:rsidRPr="0088577C">
        <w:rPr>
          <w:b/>
          <w:sz w:val="22"/>
          <w:lang w:val="es-MX"/>
        </w:rPr>
        <w:t>(Tasas de Variación Interanual)</w:t>
      </w:r>
    </w:p>
    <w:p w:rsidR="005A6477" w:rsidRPr="001A3BEF" w:rsidRDefault="005A6477" w:rsidP="005A6477">
      <w:pPr>
        <w:jc w:val="center"/>
        <w:rPr>
          <w:b/>
          <w:sz w:val="10"/>
        </w:rPr>
      </w:pPr>
    </w:p>
    <w:p w:rsidR="005A6477" w:rsidRDefault="00021644" w:rsidP="005A6477">
      <w:pPr>
        <w:jc w:val="both"/>
        <w:rPr>
          <w:sz w:val="10"/>
          <w:lang w:val="es-MX"/>
        </w:rPr>
      </w:pPr>
      <w:r w:rsidRPr="001829A5">
        <w:rPr>
          <w:noProof/>
          <w:lang w:val="es-GT" w:eastAsia="es-GT"/>
        </w:rPr>
        <w:drawing>
          <wp:inline distT="0" distB="0" distL="0" distR="0">
            <wp:extent cx="5612130" cy="3492500"/>
            <wp:effectExtent l="0" t="0" r="7620" b="0"/>
            <wp:docPr id="19"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6477" w:rsidRPr="0032413E" w:rsidRDefault="005A6477" w:rsidP="005A6477">
      <w:pPr>
        <w:jc w:val="both"/>
        <w:rPr>
          <w:sz w:val="18"/>
          <w:lang w:val="es-MX"/>
        </w:rPr>
      </w:pPr>
      <w:r w:rsidRPr="0032413E">
        <w:rPr>
          <w:sz w:val="18"/>
          <w:lang w:val="es-MX"/>
        </w:rPr>
        <w:t>Fuente: Cifras del Banco de Guatemala.</w:t>
      </w:r>
    </w:p>
    <w:p w:rsidR="005A6477" w:rsidRDefault="005A6477" w:rsidP="005A6477">
      <w:pPr>
        <w:rPr>
          <w:lang w:val="es-MX"/>
        </w:rPr>
      </w:pPr>
    </w:p>
    <w:p w:rsidR="00A10761" w:rsidRDefault="005A6477" w:rsidP="005A6477">
      <w:pPr>
        <w:shd w:val="clear" w:color="auto" w:fill="FFFFFF"/>
        <w:jc w:val="both"/>
        <w:rPr>
          <w:lang w:val="es-MX"/>
        </w:rPr>
      </w:pPr>
      <w:r w:rsidRPr="002B59D6">
        <w:rPr>
          <w:lang w:val="es-MX"/>
        </w:rPr>
        <w:t xml:space="preserve">Información </w:t>
      </w:r>
      <w:r>
        <w:rPr>
          <w:lang w:val="es-MX"/>
        </w:rPr>
        <w:t>preliminar (</w:t>
      </w:r>
      <w:r w:rsidRPr="006F1555">
        <w:rPr>
          <w:lang w:val="es-MX"/>
        </w:rPr>
        <w:t xml:space="preserve">a </w:t>
      </w:r>
      <w:r>
        <w:rPr>
          <w:lang w:val="es-MX"/>
        </w:rPr>
        <w:t>junio de 2017) del Banco de Guatemala</w:t>
      </w:r>
      <w:r w:rsidRPr="002B59D6">
        <w:rPr>
          <w:lang w:val="es-MX"/>
        </w:rPr>
        <w:t xml:space="preserve">, </w:t>
      </w:r>
      <w:r>
        <w:rPr>
          <w:lang w:val="es-MX"/>
        </w:rPr>
        <w:t>indica que e</w:t>
      </w:r>
      <w:r w:rsidRPr="00793F62">
        <w:rPr>
          <w:lang w:val="es-MX"/>
        </w:rPr>
        <w:t>l monto total de las exportaciones del Comercio General se situó en US$</w:t>
      </w:r>
      <w:r w:rsidR="002F0F49">
        <w:rPr>
          <w:lang w:val="es-MX"/>
        </w:rPr>
        <w:t>.</w:t>
      </w:r>
      <w:r w:rsidRPr="00793F62">
        <w:rPr>
          <w:lang w:val="es-MX"/>
        </w:rPr>
        <w:t>6,646.5 millones, mayor en US$</w:t>
      </w:r>
      <w:r w:rsidR="002F0F49">
        <w:rPr>
          <w:lang w:val="es-MX"/>
        </w:rPr>
        <w:t>.</w:t>
      </w:r>
      <w:r w:rsidRPr="00793F62">
        <w:rPr>
          <w:lang w:val="es-MX"/>
        </w:rPr>
        <w:t>458.5 millones (7.4%) al registrado al mismo periodo de 2016 (US$</w:t>
      </w:r>
      <w:r w:rsidR="002F0F49">
        <w:rPr>
          <w:lang w:val="es-MX"/>
        </w:rPr>
        <w:t>.</w:t>
      </w:r>
      <w:r w:rsidRPr="00793F62">
        <w:rPr>
          <w:lang w:val="es-MX"/>
        </w:rPr>
        <w:t xml:space="preserve">6,187.9 millones). </w:t>
      </w:r>
    </w:p>
    <w:p w:rsidR="00A10761" w:rsidRDefault="00A10761" w:rsidP="005A6477">
      <w:pPr>
        <w:shd w:val="clear" w:color="auto" w:fill="FFFFFF"/>
        <w:jc w:val="both"/>
        <w:rPr>
          <w:lang w:val="es-MX"/>
        </w:rPr>
      </w:pPr>
    </w:p>
    <w:p w:rsidR="005A6477" w:rsidRPr="002A1C55" w:rsidRDefault="005A6477" w:rsidP="005A6477">
      <w:pPr>
        <w:shd w:val="clear" w:color="auto" w:fill="FFFFFF"/>
        <w:jc w:val="both"/>
        <w:rPr>
          <w:color w:val="000000"/>
          <w:lang w:eastAsia="es-GT"/>
        </w:rPr>
      </w:pPr>
      <w:r w:rsidRPr="00793F62">
        <w:rPr>
          <w:lang w:val="es-MX"/>
        </w:rPr>
        <w:t>Los productos más importantes según su participación en el valor total de exportaciones fueron: Artículos de Vestuario con US$</w:t>
      </w:r>
      <w:r w:rsidR="002F0F49">
        <w:rPr>
          <w:lang w:val="es-MX"/>
        </w:rPr>
        <w:t>.</w:t>
      </w:r>
      <w:r w:rsidRPr="00793F62">
        <w:rPr>
          <w:lang w:val="es-MX"/>
        </w:rPr>
        <w:t>801.9 millones (12.1%); Azúcar con US$</w:t>
      </w:r>
      <w:r w:rsidR="002F0F49">
        <w:rPr>
          <w:lang w:val="es-MX"/>
        </w:rPr>
        <w:t>.</w:t>
      </w:r>
      <w:r w:rsidRPr="00793F62">
        <w:rPr>
          <w:lang w:val="es-MX"/>
        </w:rPr>
        <w:t>620.8 millones (9.3%); Café con US$</w:t>
      </w:r>
      <w:r w:rsidR="002F0F49">
        <w:rPr>
          <w:lang w:val="es-MX"/>
        </w:rPr>
        <w:t>.</w:t>
      </w:r>
      <w:r w:rsidRPr="00793F62">
        <w:rPr>
          <w:lang w:val="es-MX"/>
        </w:rPr>
        <w:t>575.3 millones (8.7%); Banano con US$</w:t>
      </w:r>
      <w:r w:rsidR="002F0F49">
        <w:rPr>
          <w:lang w:val="es-MX"/>
        </w:rPr>
        <w:t>.</w:t>
      </w:r>
      <w:r w:rsidRPr="00793F62">
        <w:rPr>
          <w:lang w:val="es-MX"/>
        </w:rPr>
        <w:t xml:space="preserve">441.2 millones (6.6%); y Grasas y </w:t>
      </w:r>
      <w:r w:rsidR="002F0F49">
        <w:rPr>
          <w:lang w:val="es-MX"/>
        </w:rPr>
        <w:t>A</w:t>
      </w:r>
      <w:r w:rsidRPr="00793F62">
        <w:rPr>
          <w:lang w:val="es-MX"/>
        </w:rPr>
        <w:t xml:space="preserve">ceites </w:t>
      </w:r>
      <w:r w:rsidR="002F0F49">
        <w:rPr>
          <w:lang w:val="es-MX"/>
        </w:rPr>
        <w:t>C</w:t>
      </w:r>
      <w:r w:rsidRPr="00793F62">
        <w:rPr>
          <w:lang w:val="es-MX"/>
        </w:rPr>
        <w:t>omestibles con US$</w:t>
      </w:r>
      <w:r w:rsidR="002F0F49">
        <w:rPr>
          <w:lang w:val="es-MX"/>
        </w:rPr>
        <w:t>.</w:t>
      </w:r>
      <w:r w:rsidRPr="00793F62">
        <w:rPr>
          <w:lang w:val="es-MX"/>
        </w:rPr>
        <w:t>272.0 millones (4.1%). Estos productos representaron el 40.8% del total exportado</w:t>
      </w:r>
      <w:r w:rsidRPr="002A1C55">
        <w:rPr>
          <w:rFonts w:ascii="Arial Narrow" w:hAnsi="Arial Narrow"/>
          <w:lang w:val="es-MX" w:eastAsia="es-GT"/>
        </w:rPr>
        <w:t>.</w:t>
      </w:r>
    </w:p>
    <w:p w:rsidR="005A6477" w:rsidRPr="002A1C55" w:rsidRDefault="005A6477" w:rsidP="005A6477">
      <w:pPr>
        <w:shd w:val="clear" w:color="auto" w:fill="FFFFFF"/>
        <w:ind w:left="696"/>
        <w:jc w:val="both"/>
        <w:rPr>
          <w:color w:val="000000"/>
          <w:lang w:eastAsia="es-GT"/>
        </w:rPr>
      </w:pPr>
    </w:p>
    <w:p w:rsidR="00A10761" w:rsidRDefault="00A10761" w:rsidP="005A6477">
      <w:pPr>
        <w:shd w:val="clear" w:color="auto" w:fill="FFFFFF"/>
        <w:jc w:val="both"/>
        <w:rPr>
          <w:lang w:val="es-MX"/>
        </w:rPr>
      </w:pPr>
    </w:p>
    <w:p w:rsidR="00A10761" w:rsidRDefault="00A10761" w:rsidP="005A6477">
      <w:pPr>
        <w:shd w:val="clear" w:color="auto" w:fill="FFFFFF"/>
        <w:jc w:val="both"/>
        <w:rPr>
          <w:lang w:val="es-MX"/>
        </w:rPr>
      </w:pPr>
    </w:p>
    <w:p w:rsidR="005A6477" w:rsidRPr="007C65D7" w:rsidRDefault="005A6477" w:rsidP="005A6477">
      <w:pPr>
        <w:shd w:val="clear" w:color="auto" w:fill="FFFFFF"/>
        <w:jc w:val="both"/>
        <w:rPr>
          <w:lang w:val="es-MX"/>
        </w:rPr>
      </w:pPr>
      <w:r w:rsidRPr="007C65D7">
        <w:rPr>
          <w:lang w:val="es-MX"/>
        </w:rPr>
        <w:lastRenderedPageBreak/>
        <w:t>Los principales destinos de las exportaciones fueron: Estados Unidos de América con US$</w:t>
      </w:r>
      <w:r w:rsidR="002F0F49">
        <w:rPr>
          <w:lang w:val="es-MX"/>
        </w:rPr>
        <w:t>.</w:t>
      </w:r>
      <w:r w:rsidRPr="007C65D7">
        <w:rPr>
          <w:lang w:val="es-MX"/>
        </w:rPr>
        <w:t>2,251.6 millones (33.9%); Centro</w:t>
      </w:r>
      <w:r w:rsidR="0033374C">
        <w:rPr>
          <w:lang w:val="es-MX"/>
        </w:rPr>
        <w:t xml:space="preserve"> A</w:t>
      </w:r>
      <w:r w:rsidRPr="007C65D7">
        <w:rPr>
          <w:lang w:val="es-MX"/>
        </w:rPr>
        <w:t>mérica con US$</w:t>
      </w:r>
      <w:r w:rsidR="002F0F49">
        <w:rPr>
          <w:lang w:val="es-MX"/>
        </w:rPr>
        <w:t>.</w:t>
      </w:r>
      <w:r w:rsidRPr="007C65D7">
        <w:rPr>
          <w:lang w:val="es-MX"/>
        </w:rPr>
        <w:t>1,818.4 millones (27.4%); Eurozona con US$</w:t>
      </w:r>
      <w:r w:rsidR="002F0F49">
        <w:rPr>
          <w:lang w:val="es-MX"/>
        </w:rPr>
        <w:t>.</w:t>
      </w:r>
      <w:r w:rsidRPr="007C65D7">
        <w:rPr>
          <w:lang w:val="es-MX"/>
        </w:rPr>
        <w:t>521.5 millones (7.8%); México con US$</w:t>
      </w:r>
      <w:r w:rsidR="002F0F49">
        <w:rPr>
          <w:lang w:val="es-MX"/>
        </w:rPr>
        <w:t>.</w:t>
      </w:r>
      <w:r w:rsidRPr="007C65D7">
        <w:rPr>
          <w:lang w:val="es-MX"/>
        </w:rPr>
        <w:t>281.4 millones (4.2%); y Canadá con US$</w:t>
      </w:r>
      <w:r w:rsidR="002F0F49">
        <w:rPr>
          <w:lang w:val="es-MX"/>
        </w:rPr>
        <w:t>.</w:t>
      </w:r>
      <w:r w:rsidRPr="007C65D7">
        <w:rPr>
          <w:lang w:val="es-MX"/>
        </w:rPr>
        <w:t>168.0 millones (2.5%); países y regiones que, en conjunto, representaron el 75.8% del total.</w:t>
      </w:r>
    </w:p>
    <w:p w:rsidR="005A6477" w:rsidRPr="00680C5C" w:rsidRDefault="005A6477" w:rsidP="005A6477">
      <w:pPr>
        <w:jc w:val="both"/>
        <w:rPr>
          <w:sz w:val="20"/>
          <w:lang w:val="es-MX"/>
        </w:rPr>
      </w:pPr>
    </w:p>
    <w:p w:rsidR="005A6477" w:rsidRDefault="005A6477" w:rsidP="005A6477">
      <w:pPr>
        <w:shd w:val="clear" w:color="auto" w:fill="FFFFFF"/>
        <w:jc w:val="both"/>
        <w:rPr>
          <w:lang w:val="es-MX"/>
        </w:rPr>
      </w:pPr>
      <w:r w:rsidRPr="007C65D7">
        <w:rPr>
          <w:lang w:val="es-MX"/>
        </w:rPr>
        <w:t>El mo</w:t>
      </w:r>
      <w:r>
        <w:rPr>
          <w:lang w:val="es-MX"/>
        </w:rPr>
        <w:t xml:space="preserve">nto total de las importaciones </w:t>
      </w:r>
      <w:r w:rsidRPr="007C65D7">
        <w:rPr>
          <w:lang w:val="es-MX"/>
        </w:rPr>
        <w:t>se situó en US$</w:t>
      </w:r>
      <w:r w:rsidR="0033374C">
        <w:rPr>
          <w:lang w:val="es-MX"/>
        </w:rPr>
        <w:t>.</w:t>
      </w:r>
      <w:r w:rsidRPr="007C65D7">
        <w:rPr>
          <w:lang w:val="es-MX"/>
        </w:rPr>
        <w:t>10,313.0 millones, superior en US$</w:t>
      </w:r>
      <w:r w:rsidR="0033374C">
        <w:rPr>
          <w:lang w:val="es-MX"/>
        </w:rPr>
        <w:t>.</w:t>
      </w:r>
      <w:r w:rsidRPr="007C65D7">
        <w:rPr>
          <w:lang w:val="es-MX"/>
        </w:rPr>
        <w:t xml:space="preserve">727.8 millones (7.6%) al registrado en el mismo periodo </w:t>
      </w:r>
      <w:r>
        <w:rPr>
          <w:lang w:val="es-MX"/>
        </w:rPr>
        <w:t>en</w:t>
      </w:r>
      <w:r w:rsidRPr="007C65D7">
        <w:rPr>
          <w:lang w:val="es-MX"/>
        </w:rPr>
        <w:t xml:space="preserve"> 2016 (US$</w:t>
      </w:r>
      <w:r w:rsidR="0033374C">
        <w:rPr>
          <w:lang w:val="es-MX"/>
        </w:rPr>
        <w:t>.</w:t>
      </w:r>
      <w:r w:rsidRPr="007C65D7">
        <w:rPr>
          <w:lang w:val="es-MX"/>
        </w:rPr>
        <w:t>9,585.2 millones). El aumento estuvo influenciado principalmente</w:t>
      </w:r>
      <w:r>
        <w:rPr>
          <w:lang w:val="es-MX"/>
        </w:rPr>
        <w:t>,</w:t>
      </w:r>
      <w:r w:rsidRPr="007C65D7">
        <w:rPr>
          <w:lang w:val="es-MX"/>
        </w:rPr>
        <w:t xml:space="preserve"> por la variación positiva observada en Combustibles y Lubricantes, con un alza de US$</w:t>
      </w:r>
      <w:r w:rsidR="0033374C">
        <w:rPr>
          <w:lang w:val="es-MX"/>
        </w:rPr>
        <w:t>.</w:t>
      </w:r>
      <w:r w:rsidRPr="007C65D7">
        <w:rPr>
          <w:lang w:val="es-MX"/>
        </w:rPr>
        <w:t>347.3 millones (28.1%), así como de Materias Primas para la Industria, con US$</w:t>
      </w:r>
      <w:r w:rsidR="0033374C">
        <w:rPr>
          <w:lang w:val="es-MX"/>
        </w:rPr>
        <w:t>.</w:t>
      </w:r>
      <w:r w:rsidRPr="007C65D7">
        <w:rPr>
          <w:lang w:val="es-MX"/>
        </w:rPr>
        <w:t>205.4 millones (7.2%).</w:t>
      </w:r>
      <w:r>
        <w:rPr>
          <w:lang w:val="es-MX"/>
        </w:rPr>
        <w:t xml:space="preserve">  En cuanto a su origen, estas p</w:t>
      </w:r>
      <w:r w:rsidRPr="007C65D7">
        <w:rPr>
          <w:lang w:val="es-MX"/>
        </w:rPr>
        <w:t>rovinieron principalmente de los Estados Unidos de América con US$</w:t>
      </w:r>
      <w:r w:rsidR="0033374C">
        <w:rPr>
          <w:lang w:val="es-MX"/>
        </w:rPr>
        <w:t>.</w:t>
      </w:r>
      <w:r w:rsidRPr="007C65D7">
        <w:rPr>
          <w:lang w:val="es-MX"/>
        </w:rPr>
        <w:t>4,145.7 millones (40.2%); Centro</w:t>
      </w:r>
      <w:r w:rsidR="006F2B8E">
        <w:rPr>
          <w:lang w:val="es-MX"/>
        </w:rPr>
        <w:t xml:space="preserve"> A</w:t>
      </w:r>
      <w:r w:rsidRPr="007C65D7">
        <w:rPr>
          <w:lang w:val="es-MX"/>
        </w:rPr>
        <w:t>mérica con US$</w:t>
      </w:r>
      <w:r w:rsidR="0033374C">
        <w:rPr>
          <w:lang w:val="es-MX"/>
        </w:rPr>
        <w:t>.</w:t>
      </w:r>
      <w:r w:rsidRPr="007C65D7">
        <w:rPr>
          <w:lang w:val="es-MX"/>
        </w:rPr>
        <w:t>1,183.3 millones (11.5%); México con US$</w:t>
      </w:r>
      <w:r w:rsidR="0033374C">
        <w:rPr>
          <w:lang w:val="es-MX"/>
        </w:rPr>
        <w:t>.</w:t>
      </w:r>
      <w:r w:rsidRPr="007C65D7">
        <w:rPr>
          <w:lang w:val="es-MX"/>
        </w:rPr>
        <w:t>1,086.8 millones (10.5%); República Popular China con US$</w:t>
      </w:r>
      <w:r w:rsidR="0033374C">
        <w:rPr>
          <w:lang w:val="es-MX"/>
        </w:rPr>
        <w:t>.</w:t>
      </w:r>
      <w:r w:rsidRPr="007C65D7">
        <w:rPr>
          <w:lang w:val="es-MX"/>
        </w:rPr>
        <w:t>1,085.1 millones (10.5%); y la Eurozona con US$</w:t>
      </w:r>
      <w:r w:rsidR="0033374C">
        <w:rPr>
          <w:lang w:val="es-MX"/>
        </w:rPr>
        <w:t>.</w:t>
      </w:r>
      <w:r w:rsidRPr="007C65D7">
        <w:rPr>
          <w:lang w:val="es-MX"/>
        </w:rPr>
        <w:t>683.2 millones (6.6%); países y regiones que, en conjunto, representaron el 79.3% del total.</w:t>
      </w:r>
    </w:p>
    <w:p w:rsidR="005A6477" w:rsidRPr="00680C5C" w:rsidRDefault="005A6477" w:rsidP="005A6477">
      <w:pPr>
        <w:shd w:val="clear" w:color="auto" w:fill="FFFFFF"/>
        <w:jc w:val="both"/>
        <w:rPr>
          <w:sz w:val="20"/>
          <w:lang w:val="es-MX"/>
        </w:rPr>
      </w:pPr>
    </w:p>
    <w:p w:rsidR="005A6477" w:rsidRDefault="005A6477" w:rsidP="005A6477">
      <w:pPr>
        <w:autoSpaceDE w:val="0"/>
        <w:autoSpaceDN w:val="0"/>
        <w:adjustRightInd w:val="0"/>
        <w:jc w:val="both"/>
        <w:rPr>
          <w:lang w:val="es-MX"/>
        </w:rPr>
      </w:pPr>
      <w:r>
        <w:rPr>
          <w:lang w:val="es-MX"/>
        </w:rPr>
        <w:t xml:space="preserve">Por su parte, </w:t>
      </w:r>
      <w:r w:rsidRPr="002B59D6">
        <w:rPr>
          <w:lang w:val="es-MX"/>
        </w:rPr>
        <w:t xml:space="preserve">las remesas familiares, </w:t>
      </w:r>
      <w:r>
        <w:rPr>
          <w:lang w:val="es-MX"/>
        </w:rPr>
        <w:t xml:space="preserve">se ubicaron en </w:t>
      </w:r>
      <w:r w:rsidR="0033374C">
        <w:rPr>
          <w:lang w:val="es-MX"/>
        </w:rPr>
        <w:t>US$.</w:t>
      </w:r>
      <w:r>
        <w:rPr>
          <w:lang w:val="es-MX"/>
        </w:rPr>
        <w:t>7,160 millones, registra</w:t>
      </w:r>
      <w:r w:rsidRPr="002B59D6">
        <w:rPr>
          <w:lang w:val="es-MX"/>
        </w:rPr>
        <w:t>n</w:t>
      </w:r>
      <w:r>
        <w:rPr>
          <w:lang w:val="es-MX"/>
        </w:rPr>
        <w:t xml:space="preserve">do </w:t>
      </w:r>
      <w:r w:rsidRPr="002B59D6">
        <w:rPr>
          <w:lang w:val="es-MX"/>
        </w:rPr>
        <w:t xml:space="preserve">un crecimiento de </w:t>
      </w:r>
      <w:r>
        <w:rPr>
          <w:lang w:val="es-MX"/>
        </w:rPr>
        <w:t>13.9</w:t>
      </w:r>
      <w:r w:rsidRPr="002B59D6">
        <w:rPr>
          <w:lang w:val="es-MX"/>
        </w:rPr>
        <w:t xml:space="preserve">%, que representa un </w:t>
      </w:r>
      <w:r>
        <w:rPr>
          <w:lang w:val="es-MX"/>
        </w:rPr>
        <w:t xml:space="preserve">mayor </w:t>
      </w:r>
      <w:r w:rsidRPr="002B59D6">
        <w:rPr>
          <w:lang w:val="es-MX"/>
        </w:rPr>
        <w:t>crecimiento con relación a 201</w:t>
      </w:r>
      <w:r>
        <w:rPr>
          <w:lang w:val="es-MX"/>
        </w:rPr>
        <w:t>5 (13.4%)</w:t>
      </w:r>
      <w:r w:rsidRPr="002B59D6">
        <w:rPr>
          <w:lang w:val="es-MX"/>
        </w:rPr>
        <w:t xml:space="preserve">, y marca una trayectoria ascendente, </w:t>
      </w:r>
      <w:r>
        <w:rPr>
          <w:lang w:val="es-MX"/>
        </w:rPr>
        <w:t xml:space="preserve">en función de la recuperación económica y mejora en el empleo en los Estados Unidos de América. Para el primer semestre 2017 se observa un monto acumulado de </w:t>
      </w:r>
      <w:r w:rsidR="0033374C">
        <w:rPr>
          <w:lang w:val="es-MX"/>
        </w:rPr>
        <w:t>US$.</w:t>
      </w:r>
      <w:r>
        <w:rPr>
          <w:lang w:val="es-MX"/>
        </w:rPr>
        <w:t xml:space="preserve">4,052.4 millones. </w:t>
      </w:r>
      <w:r w:rsidRPr="00365EDA">
        <w:rPr>
          <w:lang w:val="es-MX"/>
        </w:rPr>
        <w:t xml:space="preserve">Se </w:t>
      </w:r>
      <w:r>
        <w:rPr>
          <w:lang w:val="es-MX"/>
        </w:rPr>
        <w:t xml:space="preserve">estima </w:t>
      </w:r>
      <w:r w:rsidRPr="00365EDA">
        <w:rPr>
          <w:lang w:val="es-MX"/>
        </w:rPr>
        <w:t xml:space="preserve">que </w:t>
      </w:r>
      <w:r>
        <w:rPr>
          <w:lang w:val="es-MX"/>
        </w:rPr>
        <w:t xml:space="preserve">al final </w:t>
      </w:r>
      <w:r w:rsidRPr="00365EDA">
        <w:rPr>
          <w:lang w:val="es-MX"/>
        </w:rPr>
        <w:t>de</w:t>
      </w:r>
      <w:r>
        <w:rPr>
          <w:lang w:val="es-MX"/>
        </w:rPr>
        <w:t>l</w:t>
      </w:r>
      <w:r w:rsidRPr="00365EDA">
        <w:rPr>
          <w:lang w:val="es-MX"/>
        </w:rPr>
        <w:t xml:space="preserve"> </w:t>
      </w:r>
      <w:r>
        <w:rPr>
          <w:lang w:val="es-MX"/>
        </w:rPr>
        <w:t xml:space="preserve">se sitúen </w:t>
      </w:r>
      <w:r w:rsidRPr="00365EDA">
        <w:rPr>
          <w:lang w:val="es-MX"/>
        </w:rPr>
        <w:t>alrededor de US$</w:t>
      </w:r>
      <w:r w:rsidR="0033374C">
        <w:rPr>
          <w:lang w:val="es-MX"/>
        </w:rPr>
        <w:t>.</w:t>
      </w:r>
      <w:r w:rsidRPr="00365EDA">
        <w:rPr>
          <w:lang w:val="es-MX"/>
        </w:rPr>
        <w:t>7,900 millones</w:t>
      </w:r>
      <w:r>
        <w:rPr>
          <w:lang w:val="es-MX"/>
        </w:rPr>
        <w:t>.</w:t>
      </w:r>
    </w:p>
    <w:p w:rsidR="005A6477" w:rsidRPr="00E21208" w:rsidRDefault="005A6477" w:rsidP="005A6477">
      <w:pPr>
        <w:jc w:val="both"/>
        <w:rPr>
          <w:sz w:val="18"/>
          <w:lang w:val="es-MX"/>
        </w:rPr>
      </w:pPr>
    </w:p>
    <w:p w:rsidR="005A6477" w:rsidRPr="0088577C" w:rsidRDefault="005A6477" w:rsidP="0088577C">
      <w:pPr>
        <w:pStyle w:val="Prrafodelista"/>
        <w:ind w:left="360"/>
        <w:jc w:val="center"/>
        <w:rPr>
          <w:b/>
          <w:sz w:val="22"/>
          <w:lang w:val="es-MX"/>
        </w:rPr>
      </w:pPr>
      <w:r w:rsidRPr="0088577C">
        <w:rPr>
          <w:b/>
          <w:sz w:val="22"/>
          <w:lang w:val="es-MX"/>
        </w:rPr>
        <w:t>Gráfica 4</w:t>
      </w:r>
    </w:p>
    <w:p w:rsidR="005A6477" w:rsidRPr="0088577C" w:rsidRDefault="005A6477" w:rsidP="0088577C">
      <w:pPr>
        <w:pStyle w:val="Prrafodelista"/>
        <w:ind w:left="360"/>
        <w:jc w:val="center"/>
        <w:rPr>
          <w:b/>
          <w:sz w:val="22"/>
          <w:lang w:val="es-MX"/>
        </w:rPr>
      </w:pPr>
      <w:r w:rsidRPr="0088577C">
        <w:rPr>
          <w:b/>
          <w:sz w:val="22"/>
          <w:lang w:val="es-MX"/>
        </w:rPr>
        <w:t xml:space="preserve">Guatemala: Remesas Familiares </w:t>
      </w:r>
    </w:p>
    <w:p w:rsidR="005A6477" w:rsidRPr="0088577C" w:rsidRDefault="005A6477" w:rsidP="0088577C">
      <w:pPr>
        <w:pStyle w:val="Prrafodelista"/>
        <w:ind w:left="360"/>
        <w:jc w:val="center"/>
        <w:rPr>
          <w:b/>
          <w:sz w:val="22"/>
          <w:lang w:val="es-MX"/>
        </w:rPr>
      </w:pPr>
      <w:r w:rsidRPr="0088577C">
        <w:rPr>
          <w:b/>
          <w:sz w:val="22"/>
          <w:lang w:val="es-MX"/>
        </w:rPr>
        <w:t>(Acumulado anual)</w:t>
      </w:r>
    </w:p>
    <w:p w:rsidR="005A6477" w:rsidRDefault="00021644" w:rsidP="00E21208">
      <w:pPr>
        <w:jc w:val="center"/>
        <w:rPr>
          <w:noProof/>
        </w:rPr>
      </w:pPr>
      <w:r w:rsidRPr="001829A5">
        <w:rPr>
          <w:noProof/>
          <w:lang w:val="es-GT" w:eastAsia="es-GT"/>
        </w:rPr>
        <w:drawing>
          <wp:inline distT="0" distB="0" distL="0" distR="0">
            <wp:extent cx="5315585" cy="2333625"/>
            <wp:effectExtent l="0" t="0" r="0" b="0"/>
            <wp:docPr id="1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6477" w:rsidRPr="0032413E" w:rsidRDefault="005A6477" w:rsidP="005A6477">
      <w:pPr>
        <w:jc w:val="both"/>
        <w:rPr>
          <w:sz w:val="18"/>
          <w:lang w:val="es-MX"/>
        </w:rPr>
      </w:pPr>
      <w:r w:rsidRPr="0032413E">
        <w:rPr>
          <w:noProof/>
          <w:sz w:val="18"/>
        </w:rPr>
        <w:t>Fuente: Cifras del Banco de Guatemala.</w:t>
      </w:r>
    </w:p>
    <w:p w:rsidR="005A6477" w:rsidRPr="00680C5C" w:rsidRDefault="005A6477" w:rsidP="005A6477">
      <w:pPr>
        <w:jc w:val="both"/>
        <w:rPr>
          <w:sz w:val="20"/>
          <w:lang w:val="es-MX"/>
        </w:rPr>
      </w:pPr>
    </w:p>
    <w:p w:rsidR="005A6477" w:rsidRDefault="005A6477" w:rsidP="005A6477">
      <w:pPr>
        <w:pStyle w:val="Default"/>
        <w:jc w:val="both"/>
        <w:rPr>
          <w:rFonts w:ascii="Times New Roman" w:hAnsi="Times New Roman" w:cs="Times New Roman"/>
        </w:rPr>
      </w:pPr>
      <w:r>
        <w:rPr>
          <w:rFonts w:ascii="Times New Roman" w:hAnsi="Times New Roman" w:cs="Times New Roman"/>
        </w:rPr>
        <w:t>De acuerdo con el Banco de Guatemala, l</w:t>
      </w:r>
      <w:r w:rsidRPr="003900C9">
        <w:rPr>
          <w:rFonts w:ascii="Times New Roman" w:hAnsi="Times New Roman" w:cs="Times New Roman"/>
        </w:rPr>
        <w:t xml:space="preserve">as </w:t>
      </w:r>
      <w:r>
        <w:rPr>
          <w:rFonts w:ascii="Times New Roman" w:hAnsi="Times New Roman" w:cs="Times New Roman"/>
        </w:rPr>
        <w:t>Reservas Monetarias I</w:t>
      </w:r>
      <w:r w:rsidRPr="003900C9">
        <w:rPr>
          <w:rFonts w:ascii="Times New Roman" w:hAnsi="Times New Roman" w:cs="Times New Roman"/>
        </w:rPr>
        <w:t xml:space="preserve">nternacionales continuaron reflejando </w:t>
      </w:r>
      <w:r>
        <w:rPr>
          <w:rFonts w:ascii="Times New Roman" w:hAnsi="Times New Roman" w:cs="Times New Roman"/>
        </w:rPr>
        <w:t>la</w:t>
      </w:r>
      <w:r w:rsidRPr="003900C9">
        <w:rPr>
          <w:rFonts w:ascii="Times New Roman" w:hAnsi="Times New Roman" w:cs="Times New Roman"/>
        </w:rPr>
        <w:t xml:space="preserve"> só</w:t>
      </w:r>
      <w:r>
        <w:rPr>
          <w:rFonts w:ascii="Times New Roman" w:hAnsi="Times New Roman" w:cs="Times New Roman"/>
        </w:rPr>
        <w:t>lida posición externa del país</w:t>
      </w:r>
      <w:r w:rsidRPr="003900C9">
        <w:rPr>
          <w:rFonts w:ascii="Times New Roman" w:hAnsi="Times New Roman" w:cs="Times New Roman"/>
        </w:rPr>
        <w:t>.</w:t>
      </w:r>
      <w:r>
        <w:rPr>
          <w:rFonts w:ascii="Times New Roman" w:hAnsi="Times New Roman" w:cs="Times New Roman"/>
        </w:rPr>
        <w:t xml:space="preserve"> </w:t>
      </w:r>
      <w:r w:rsidRPr="0032413E">
        <w:rPr>
          <w:rFonts w:ascii="Times New Roman" w:hAnsi="Times New Roman" w:cs="Times New Roman"/>
        </w:rPr>
        <w:t>US$</w:t>
      </w:r>
      <w:r w:rsidR="00E21208">
        <w:rPr>
          <w:rFonts w:ascii="Times New Roman" w:hAnsi="Times New Roman" w:cs="Times New Roman"/>
        </w:rPr>
        <w:t>.</w:t>
      </w:r>
      <w:r w:rsidRPr="0032413E">
        <w:rPr>
          <w:rFonts w:ascii="Times New Roman" w:hAnsi="Times New Roman" w:cs="Times New Roman"/>
        </w:rPr>
        <w:t>9,160.4 millones (US$</w:t>
      </w:r>
      <w:r w:rsidR="00E21208">
        <w:rPr>
          <w:rFonts w:ascii="Times New Roman" w:hAnsi="Times New Roman" w:cs="Times New Roman"/>
        </w:rPr>
        <w:t>.</w:t>
      </w:r>
      <w:r w:rsidRPr="0032413E">
        <w:rPr>
          <w:rFonts w:ascii="Times New Roman" w:hAnsi="Times New Roman" w:cs="Times New Roman"/>
        </w:rPr>
        <w:t>7,751.2 millones en 2015), equivalente a un aumento en los Activos de Reserva del Banco de Guatemala de US$</w:t>
      </w:r>
      <w:r w:rsidR="00E21208">
        <w:rPr>
          <w:rFonts w:ascii="Times New Roman" w:hAnsi="Times New Roman" w:cs="Times New Roman"/>
        </w:rPr>
        <w:t>.</w:t>
      </w:r>
      <w:r w:rsidRPr="0032413E">
        <w:rPr>
          <w:rFonts w:ascii="Times New Roman" w:hAnsi="Times New Roman" w:cs="Times New Roman"/>
        </w:rPr>
        <w:t xml:space="preserve">1,391.7 millones. </w:t>
      </w:r>
      <w:r>
        <w:rPr>
          <w:rFonts w:ascii="Times New Roman" w:hAnsi="Times New Roman" w:cs="Times New Roman"/>
        </w:rPr>
        <w:t xml:space="preserve"> </w:t>
      </w:r>
      <w:r w:rsidRPr="0032413E">
        <w:rPr>
          <w:rFonts w:ascii="Times New Roman" w:hAnsi="Times New Roman" w:cs="Times New Roman"/>
        </w:rPr>
        <w:t xml:space="preserve">El mayor nivel de las RMIN se originó, </w:t>
      </w:r>
      <w:r>
        <w:rPr>
          <w:rFonts w:ascii="Times New Roman" w:hAnsi="Times New Roman" w:cs="Times New Roman"/>
        </w:rPr>
        <w:t>en</w:t>
      </w:r>
      <w:r w:rsidRPr="0032413E">
        <w:rPr>
          <w:rFonts w:ascii="Times New Roman" w:hAnsi="Times New Roman" w:cs="Times New Roman"/>
        </w:rPr>
        <w:t xml:space="preserve"> las participaciones del Banco de Guatemala en el Sistema Electrónico de Negociación de Divisas (SINEDI) y de la colocación de Bonos del Tesoro de la República de Guatemala en el mercado internacional.</w:t>
      </w:r>
    </w:p>
    <w:p w:rsidR="005A6477" w:rsidRDefault="005A6477" w:rsidP="005A6477"/>
    <w:p w:rsidR="004604F4" w:rsidRPr="00680C5C" w:rsidRDefault="004604F4" w:rsidP="00D16A2D">
      <w:pPr>
        <w:pStyle w:val="Ttulo1"/>
        <w:numPr>
          <w:ilvl w:val="0"/>
          <w:numId w:val="8"/>
        </w:numPr>
        <w:suppressAutoHyphens/>
        <w:ind w:left="709"/>
      </w:pPr>
      <w:bookmarkStart w:id="8" w:name="_Toc221950152"/>
      <w:bookmarkStart w:id="9" w:name="_Toc460420492"/>
      <w:bookmarkStart w:id="10" w:name="_Toc494450591"/>
      <w:r w:rsidRPr="00680C5C">
        <w:t>La Política Fiscal en 20</w:t>
      </w:r>
      <w:bookmarkEnd w:id="8"/>
      <w:r w:rsidRPr="00680C5C">
        <w:t>1</w:t>
      </w:r>
      <w:bookmarkEnd w:id="9"/>
      <w:r w:rsidR="009F0557" w:rsidRPr="00680C5C">
        <w:t>7</w:t>
      </w:r>
      <w:bookmarkEnd w:id="10"/>
    </w:p>
    <w:p w:rsidR="004604F4" w:rsidRPr="00C87438" w:rsidRDefault="004604F4" w:rsidP="004604F4">
      <w:pPr>
        <w:autoSpaceDE w:val="0"/>
        <w:autoSpaceDN w:val="0"/>
        <w:adjustRightInd w:val="0"/>
        <w:rPr>
          <w:b/>
          <w:bCs/>
          <w:highlight w:val="yellow"/>
          <w:lang w:val="es-GT"/>
        </w:rPr>
      </w:pPr>
    </w:p>
    <w:p w:rsidR="004604F4" w:rsidRDefault="004604F4" w:rsidP="004604F4">
      <w:pPr>
        <w:jc w:val="both"/>
      </w:pPr>
      <w:r w:rsidRPr="00EB2FBA">
        <w:t>En el primer semestre</w:t>
      </w:r>
      <w:r>
        <w:t xml:space="preserve"> 2017</w:t>
      </w:r>
      <w:r w:rsidRPr="00EB2FBA">
        <w:t xml:space="preserve">, </w:t>
      </w:r>
      <w:r>
        <w:t xml:space="preserve">se </w:t>
      </w:r>
      <w:r w:rsidR="00A10761">
        <w:t xml:space="preserve">continuaron </w:t>
      </w:r>
      <w:r>
        <w:t xml:space="preserve">impulsando las acciones tendentes al cumplimiento de los objetivos plasmados en la Política General de Gobierno, con particular énfasis en el desarrollo del </w:t>
      </w:r>
      <w:r w:rsidR="00BC0C4D">
        <w:t>eje</w:t>
      </w:r>
      <w:r>
        <w:t xml:space="preserve"> de “Tolerancia cero a la corrupción y modernización del Estado”.</w:t>
      </w:r>
    </w:p>
    <w:p w:rsidR="004604F4" w:rsidRDefault="004604F4" w:rsidP="004604F4">
      <w:pPr>
        <w:jc w:val="both"/>
      </w:pPr>
    </w:p>
    <w:p w:rsidR="004604F4" w:rsidRDefault="004604F4" w:rsidP="004604F4">
      <w:pPr>
        <w:jc w:val="both"/>
      </w:pPr>
      <w:r w:rsidRPr="00D826BF">
        <w:t xml:space="preserve">En este marco, la </w:t>
      </w:r>
      <w:r>
        <w:t>P</w:t>
      </w:r>
      <w:r w:rsidRPr="00D826BF">
        <w:t xml:space="preserve">olítica </w:t>
      </w:r>
      <w:r>
        <w:t>F</w:t>
      </w:r>
      <w:r w:rsidRPr="00D826BF">
        <w:t xml:space="preserve">iscal del </w:t>
      </w:r>
      <w:r>
        <w:t>G</w:t>
      </w:r>
      <w:r w:rsidRPr="00D826BF">
        <w:t>obierno plante</w:t>
      </w:r>
      <w:r>
        <w:t>ó desde el 2016</w:t>
      </w:r>
      <w:r w:rsidRPr="00D826BF">
        <w:t xml:space="preserve"> </w:t>
      </w:r>
      <w:r>
        <w:t xml:space="preserve">la puesta en práctica de una política fiscal sostenible a partir del manejo honesto, racional y eficiente de los ingresos públicos; el aseguramiento de una política prudente en materia de crédito público, para atender los estándares recomendados de sostenibilidad de la deuda pública. </w:t>
      </w:r>
    </w:p>
    <w:p w:rsidR="004604F4" w:rsidRPr="003132DD" w:rsidRDefault="004604F4" w:rsidP="004604F4">
      <w:pPr>
        <w:jc w:val="both"/>
        <w:rPr>
          <w:sz w:val="20"/>
          <w:highlight w:val="yellow"/>
        </w:rPr>
      </w:pPr>
    </w:p>
    <w:p w:rsidR="004604F4" w:rsidRDefault="004604F4" w:rsidP="004604F4">
      <w:pPr>
        <w:jc w:val="both"/>
        <w:rPr>
          <w:b/>
        </w:rPr>
      </w:pPr>
      <w:r>
        <w:rPr>
          <w:b/>
        </w:rPr>
        <w:t xml:space="preserve">Avances </w:t>
      </w:r>
      <w:r w:rsidRPr="003C2943">
        <w:rPr>
          <w:b/>
        </w:rPr>
        <w:t>de la política</w:t>
      </w:r>
      <w:r>
        <w:rPr>
          <w:b/>
        </w:rPr>
        <w:t xml:space="preserve"> fiscal</w:t>
      </w:r>
    </w:p>
    <w:p w:rsidR="004604F4" w:rsidRDefault="004604F4" w:rsidP="004604F4">
      <w:pPr>
        <w:jc w:val="both"/>
        <w:rPr>
          <w:b/>
        </w:rPr>
      </w:pPr>
    </w:p>
    <w:p w:rsidR="004604F4" w:rsidRPr="00A36BF3" w:rsidRDefault="004604F4" w:rsidP="004604F4">
      <w:pPr>
        <w:jc w:val="both"/>
      </w:pPr>
      <w:r w:rsidRPr="00A36BF3">
        <w:t xml:space="preserve">Entre los logros más sobresalientes del primer semestre </w:t>
      </w:r>
      <w:r>
        <w:t>2017 se encuentran</w:t>
      </w:r>
      <w:r w:rsidRPr="00A36BF3">
        <w:t>:</w:t>
      </w:r>
    </w:p>
    <w:p w:rsidR="004604F4" w:rsidRPr="00A36BF3" w:rsidRDefault="004604F4" w:rsidP="004604F4">
      <w:pPr>
        <w:jc w:val="both"/>
      </w:pPr>
    </w:p>
    <w:p w:rsidR="004604F4" w:rsidRDefault="004604F4" w:rsidP="00D16A2D">
      <w:pPr>
        <w:pStyle w:val="Prrafodelista"/>
        <w:numPr>
          <w:ilvl w:val="0"/>
          <w:numId w:val="10"/>
        </w:numPr>
        <w:jc w:val="both"/>
      </w:pPr>
      <w:r>
        <w:t xml:space="preserve">Gobierno Abierto y Transparencia </w:t>
      </w:r>
      <w:r w:rsidR="00BC0C4D">
        <w:t>Fiscal</w:t>
      </w:r>
      <w:r>
        <w:t xml:space="preserve">: Respecto al Presupuesto Abierto se implementó la discusión pública de las necesidades presupuestarias de las instituciones para </w:t>
      </w:r>
      <w:r w:rsidR="00BC0C4D">
        <w:t>la formulación del Proyecto de</w:t>
      </w:r>
      <w:r>
        <w:t xml:space="preserve"> Presupuesto General de Ingresos y Egresos del Estado para el Ejercicio Fiscal 2018.</w:t>
      </w:r>
    </w:p>
    <w:p w:rsidR="004604F4" w:rsidRDefault="004604F4" w:rsidP="004604F4">
      <w:pPr>
        <w:pStyle w:val="Prrafodelista"/>
        <w:ind w:left="720"/>
        <w:jc w:val="both"/>
      </w:pPr>
    </w:p>
    <w:p w:rsidR="004604F4" w:rsidRDefault="004604F4" w:rsidP="00D16A2D">
      <w:pPr>
        <w:pStyle w:val="Prrafodelista"/>
        <w:numPr>
          <w:ilvl w:val="0"/>
          <w:numId w:val="5"/>
        </w:numPr>
        <w:jc w:val="both"/>
      </w:pPr>
      <w:r w:rsidRPr="00EB33B5">
        <w:t>La colocación de bonos del tesoro en el mercado internacional destaca el consistente y robusto perfil económico del país, y la buena valoración internacional del mismo, resultado de la buena estabilidad macroeconómica, además de los avances en materia de lucha contra la corrupción, la recuperación en la recaudación tributaria y el fortalecimiento institucional.</w:t>
      </w:r>
      <w:r>
        <w:t xml:space="preserve"> </w:t>
      </w:r>
      <w:r w:rsidRPr="00EB33B5">
        <w:t>Se concretó una transacción de US$</w:t>
      </w:r>
      <w:r w:rsidR="00421DA4">
        <w:t>.</w:t>
      </w:r>
      <w:r w:rsidRPr="00EB33B5">
        <w:t xml:space="preserve">500 millones, con una tasa de </w:t>
      </w:r>
      <w:r>
        <w:t>interés de 4.5% a 10 años plazo</w:t>
      </w:r>
      <w:r w:rsidR="00421DA4">
        <w:t>; esta</w:t>
      </w:r>
      <w:r>
        <w:t xml:space="preserve"> </w:t>
      </w:r>
      <w:r w:rsidRPr="00EB33B5">
        <w:t xml:space="preserve">es la </w:t>
      </w:r>
      <w:r>
        <w:t xml:space="preserve">tasa </w:t>
      </w:r>
      <w:r w:rsidRPr="00EB33B5">
        <w:t xml:space="preserve">más baja en la historia, con lo que </w:t>
      </w:r>
      <w:r>
        <w:t xml:space="preserve">se </w:t>
      </w:r>
      <w:r w:rsidRPr="00EB33B5">
        <w:t>logra un ahorro estimado en Q</w:t>
      </w:r>
      <w:r w:rsidR="00421DA4">
        <w:t>.</w:t>
      </w:r>
      <w:r w:rsidRPr="00EB33B5">
        <w:t xml:space="preserve">94 millones, en intereses, si se compara con las tasas vigentes locales. </w:t>
      </w:r>
      <w:r>
        <w:t xml:space="preserve"> </w:t>
      </w:r>
      <w:r w:rsidRPr="00EB33B5">
        <w:t>La operación se realizó a través del banco Citigroup Global Markets Inc</w:t>
      </w:r>
      <w:r>
        <w:t>.</w:t>
      </w:r>
      <w:r w:rsidRPr="00EB33B5">
        <w:t xml:space="preserve"> </w:t>
      </w:r>
    </w:p>
    <w:p w:rsidR="004604F4" w:rsidRDefault="004604F4" w:rsidP="004604F4">
      <w:pPr>
        <w:pStyle w:val="Prrafodelista"/>
      </w:pPr>
    </w:p>
    <w:p w:rsidR="004604F4" w:rsidRDefault="004604F4" w:rsidP="00D16A2D">
      <w:pPr>
        <w:pStyle w:val="Prrafodelista"/>
        <w:numPr>
          <w:ilvl w:val="0"/>
          <w:numId w:val="5"/>
        </w:numPr>
        <w:jc w:val="both"/>
      </w:pPr>
      <w:r>
        <w:t>El Proyecto del P</w:t>
      </w:r>
      <w:r w:rsidRPr="002C19CF">
        <w:t xml:space="preserve">resupuesto </w:t>
      </w:r>
      <w:r>
        <w:t xml:space="preserve">General </w:t>
      </w:r>
      <w:r w:rsidRPr="002C19CF">
        <w:t xml:space="preserve">de </w:t>
      </w:r>
      <w:r>
        <w:t>I</w:t>
      </w:r>
      <w:r w:rsidRPr="002C19CF">
        <w:t xml:space="preserve">ngresos y </w:t>
      </w:r>
      <w:r>
        <w:t>E</w:t>
      </w:r>
      <w:r w:rsidRPr="002C19CF">
        <w:t>gresos de</w:t>
      </w:r>
      <w:r w:rsidR="00074F01">
        <w:t>l Estado</w:t>
      </w:r>
      <w:r w:rsidRPr="002C19CF">
        <w:t xml:space="preserve"> para el </w:t>
      </w:r>
      <w:r w:rsidR="00074F01">
        <w:t>Ejercicio Fiscal</w:t>
      </w:r>
      <w:r w:rsidRPr="002C19CF">
        <w:t xml:space="preserve"> 201</w:t>
      </w:r>
      <w:r>
        <w:t xml:space="preserve">8 que se presentará al Congreso de la República, </w:t>
      </w:r>
      <w:r w:rsidRPr="00C66227">
        <w:t xml:space="preserve">incluye </w:t>
      </w:r>
      <w:r>
        <w:t xml:space="preserve">por segundo año consecutivo, una separata con </w:t>
      </w:r>
      <w:r w:rsidRPr="00C66227">
        <w:t xml:space="preserve">el análisis de los riesgos </w:t>
      </w:r>
      <w:r>
        <w:t xml:space="preserve">fiscales, en esta oportunidad se realiza el análisis de los riesgos fiscales </w:t>
      </w:r>
      <w:r w:rsidRPr="00C66227">
        <w:t xml:space="preserve">provocados por </w:t>
      </w:r>
      <w:r w:rsidR="00074F01">
        <w:t>s</w:t>
      </w:r>
      <w:r w:rsidRPr="00C66227">
        <w:t xml:space="preserve">hocks macroeconómicos, </w:t>
      </w:r>
      <w:r w:rsidR="00074F01">
        <w:t>c</w:t>
      </w:r>
      <w:r w:rsidRPr="00C66227">
        <w:t xml:space="preserve">lases pasivas civiles del Estado, </w:t>
      </w:r>
      <w:r w:rsidR="00074F01">
        <w:t>d</w:t>
      </w:r>
      <w:r w:rsidRPr="00C66227">
        <w:t xml:space="preserve">esastres ocasionados por fenómenos naturales y </w:t>
      </w:r>
      <w:r w:rsidR="00074F01">
        <w:t>a</w:t>
      </w:r>
      <w:r w:rsidRPr="00C66227">
        <w:t xml:space="preserve">cciones legales en </w:t>
      </w:r>
      <w:r>
        <w:t>contra del Estado, como un paso más en función de la definición de una estrategia integral para mitigarlos.</w:t>
      </w:r>
    </w:p>
    <w:p w:rsidR="004604F4" w:rsidRDefault="004604F4" w:rsidP="004604F4">
      <w:pPr>
        <w:pStyle w:val="Prrafodelista"/>
        <w:ind w:left="0"/>
        <w:jc w:val="both"/>
      </w:pPr>
    </w:p>
    <w:p w:rsidR="004604F4" w:rsidRPr="0059015B" w:rsidRDefault="004604F4" w:rsidP="00D16A2D">
      <w:pPr>
        <w:pStyle w:val="Prrafodelista"/>
        <w:numPr>
          <w:ilvl w:val="0"/>
          <w:numId w:val="5"/>
        </w:numPr>
        <w:jc w:val="both"/>
      </w:pPr>
      <w:r>
        <w:t xml:space="preserve">En el marco de la </w:t>
      </w:r>
      <w:r w:rsidR="00074F01">
        <w:t>f</w:t>
      </w:r>
      <w:r>
        <w:t xml:space="preserve">iscalidad </w:t>
      </w:r>
      <w:r w:rsidR="00074F01">
        <w:t>a</w:t>
      </w:r>
      <w:r>
        <w:t xml:space="preserve">mbiental, el </w:t>
      </w:r>
      <w:r w:rsidRPr="0059015B">
        <w:t>Ministerio de Finanzas Públicas</w:t>
      </w:r>
      <w:r>
        <w:t>, impulsa una iniciativa del Organismo Ejecutivo que se ha denominado “Estrategia Fiscal Verde”</w:t>
      </w:r>
      <w:r w:rsidR="00074F01">
        <w:t>;</w:t>
      </w:r>
      <w:r w:rsidRPr="0059015B">
        <w:t xml:space="preserve"> </w:t>
      </w:r>
      <w:r>
        <w:t>para ello d</w:t>
      </w:r>
      <w:r w:rsidRPr="0059015B">
        <w:t xml:space="preserve">esde </w:t>
      </w:r>
      <w:r>
        <w:t>el</w:t>
      </w:r>
      <w:r w:rsidRPr="0059015B">
        <w:t xml:space="preserve"> 2016 ha iniciado una serie de actividades</w:t>
      </w:r>
      <w:r>
        <w:t xml:space="preserve"> para su diseño e implementación</w:t>
      </w:r>
      <w:r w:rsidRPr="0059015B">
        <w:t>, entre ellas:</w:t>
      </w:r>
    </w:p>
    <w:p w:rsidR="004604F4" w:rsidRPr="0059015B" w:rsidRDefault="004604F4" w:rsidP="004604F4">
      <w:pPr>
        <w:pStyle w:val="Prrafodelista"/>
        <w:ind w:left="0"/>
        <w:jc w:val="both"/>
      </w:pPr>
    </w:p>
    <w:p w:rsidR="004604F4" w:rsidRPr="0059015B" w:rsidRDefault="004604F4" w:rsidP="00D16A2D">
      <w:pPr>
        <w:pStyle w:val="Prrafodelista"/>
        <w:numPr>
          <w:ilvl w:val="0"/>
          <w:numId w:val="11"/>
        </w:numPr>
        <w:spacing w:after="200" w:line="276" w:lineRule="auto"/>
        <w:ind w:left="1080"/>
        <w:contextualSpacing/>
        <w:jc w:val="both"/>
      </w:pPr>
      <w:r w:rsidRPr="0059015B">
        <w:lastRenderedPageBreak/>
        <w:t>Instalación y articulación de Mesas Técnicas: Se conformó una mesa técnica intergubernamental en la cual participan, entre otros: MARN, MSPAS, SAT, CIV, MEM, MINECO, MUNIGUATE</w:t>
      </w:r>
      <w:r w:rsidR="00074F01">
        <w:t xml:space="preserve"> e</w:t>
      </w:r>
      <w:r w:rsidRPr="0059015B">
        <w:t xml:space="preserve"> INFOM.</w:t>
      </w:r>
    </w:p>
    <w:p w:rsidR="004604F4" w:rsidRPr="0059015B" w:rsidRDefault="004604F4" w:rsidP="004604F4">
      <w:pPr>
        <w:pStyle w:val="Prrafodelista"/>
        <w:ind w:left="1068"/>
        <w:jc w:val="both"/>
      </w:pPr>
    </w:p>
    <w:p w:rsidR="004604F4" w:rsidRPr="0059015B" w:rsidRDefault="004604F4" w:rsidP="00D16A2D">
      <w:pPr>
        <w:pStyle w:val="Prrafodelista"/>
        <w:numPr>
          <w:ilvl w:val="0"/>
          <w:numId w:val="11"/>
        </w:numPr>
        <w:spacing w:after="200" w:line="276" w:lineRule="auto"/>
        <w:ind w:left="1080"/>
        <w:contextualSpacing/>
        <w:jc w:val="both"/>
      </w:pPr>
      <w:r w:rsidRPr="0059015B">
        <w:t>Además de la mesa de entidades públicas, desde febrero de 2017 se conformaron mesas técnicas de trabajo con el sector privado, especialmente con la Gremial de Recicladores de la Cámara de Industria</w:t>
      </w:r>
      <w:r w:rsidR="00074F01">
        <w:t xml:space="preserve"> de Guatemala</w:t>
      </w:r>
      <w:r w:rsidRPr="0059015B">
        <w:t xml:space="preserve">. Se ha conversado también con la </w:t>
      </w:r>
      <w:r>
        <w:t xml:space="preserve">Gremial de Exportadores </w:t>
      </w:r>
      <w:r w:rsidRPr="0059015B">
        <w:t>AGEXPORT y otras empresas privadas.</w:t>
      </w:r>
    </w:p>
    <w:p w:rsidR="004604F4" w:rsidRPr="0059015B" w:rsidRDefault="004604F4" w:rsidP="004604F4">
      <w:pPr>
        <w:pStyle w:val="Prrafodelista"/>
        <w:ind w:left="1416"/>
      </w:pPr>
    </w:p>
    <w:p w:rsidR="004604F4" w:rsidRPr="0059015B" w:rsidRDefault="004604F4" w:rsidP="00D16A2D">
      <w:pPr>
        <w:pStyle w:val="Prrafodelista"/>
        <w:numPr>
          <w:ilvl w:val="0"/>
          <w:numId w:val="11"/>
        </w:numPr>
        <w:spacing w:after="200" w:line="276" w:lineRule="auto"/>
        <w:ind w:left="1080"/>
        <w:contextualSpacing/>
        <w:jc w:val="both"/>
      </w:pPr>
      <w:r>
        <w:t>S</w:t>
      </w:r>
      <w:r w:rsidRPr="0059015B">
        <w:t>e intensific</w:t>
      </w:r>
      <w:r>
        <w:t>ó e</w:t>
      </w:r>
      <w:r w:rsidRPr="0059015B">
        <w:t xml:space="preserve">l intercambio de ideas con </w:t>
      </w:r>
      <w:r w:rsidR="007377D3">
        <w:t xml:space="preserve">el sector </w:t>
      </w:r>
      <w:r w:rsidRPr="0059015B">
        <w:t>acad</w:t>
      </w:r>
      <w:r w:rsidR="007377D3">
        <w:t>émico</w:t>
      </w:r>
      <w:r w:rsidRPr="0059015B">
        <w:t xml:space="preserve">, especialmente con las Universidades USAC, UVG y URL, así como con la Red Nacional de Formación e Investigación Ambiental </w:t>
      </w:r>
      <w:r w:rsidR="007377D3">
        <w:t>(</w:t>
      </w:r>
      <w:r w:rsidRPr="0059015B">
        <w:t>REDFIA</w:t>
      </w:r>
      <w:r w:rsidR="007377D3">
        <w:t>)</w:t>
      </w:r>
      <w:r w:rsidRPr="0059015B">
        <w:t>.</w:t>
      </w:r>
    </w:p>
    <w:p w:rsidR="004604F4" w:rsidRPr="0059015B" w:rsidRDefault="004604F4" w:rsidP="004604F4">
      <w:pPr>
        <w:pStyle w:val="Prrafodelista"/>
        <w:ind w:left="1416"/>
      </w:pPr>
    </w:p>
    <w:p w:rsidR="004604F4" w:rsidRPr="0059015B" w:rsidRDefault="004604F4" w:rsidP="00D16A2D">
      <w:pPr>
        <w:pStyle w:val="Prrafodelista"/>
        <w:numPr>
          <w:ilvl w:val="0"/>
          <w:numId w:val="11"/>
        </w:numPr>
        <w:spacing w:after="200" w:line="276" w:lineRule="auto"/>
        <w:ind w:left="1080"/>
        <w:contextualSpacing/>
        <w:jc w:val="both"/>
      </w:pPr>
      <w:r w:rsidRPr="0059015B">
        <w:t>El ejercicio de diálogo y análisis técnico cuenta con amplio apoyo por parte de la cooperación internacional: BID, CEPAL, GIZ y PNUD.</w:t>
      </w:r>
    </w:p>
    <w:p w:rsidR="004604F4" w:rsidRPr="0059015B" w:rsidRDefault="004604F4" w:rsidP="004604F4">
      <w:pPr>
        <w:pStyle w:val="Prrafodelista"/>
      </w:pPr>
    </w:p>
    <w:p w:rsidR="004604F4" w:rsidRPr="0059015B" w:rsidRDefault="004604F4" w:rsidP="004604F4">
      <w:pPr>
        <w:spacing w:after="200" w:line="276" w:lineRule="auto"/>
        <w:contextualSpacing/>
        <w:jc w:val="both"/>
      </w:pPr>
      <w:r w:rsidRPr="0059015B">
        <w:t xml:space="preserve">La </w:t>
      </w:r>
      <w:r w:rsidR="007377D3">
        <w:t>e</w:t>
      </w:r>
      <w:r w:rsidRPr="0059015B">
        <w:t>strategia no se limita a una iniciativa de “impuestos verdes”. Es una estrategia integral que incluye incentivos para el emprendimiento de actividades amigables con el medio ambiente y financieramente sostenibles. Se enfatiza la promoción de las industrias del reciclaje en circuitos de mayor valor agregado para incentivar el crecimiento económico.</w:t>
      </w:r>
      <w:r>
        <w:t xml:space="preserve">  </w:t>
      </w:r>
      <w:r w:rsidRPr="0059015B">
        <w:t>Los principios que orientan estas propuestas son: “El que contamina paga”; la responsabilidad extendida del productor (o importador); y el uso de los recursos recaudados se destina para fines específicamente ambientales</w:t>
      </w:r>
      <w:r>
        <w:t>.</w:t>
      </w:r>
    </w:p>
    <w:p w:rsidR="004604F4" w:rsidRDefault="004604F4" w:rsidP="004604F4"/>
    <w:p w:rsidR="006837A4" w:rsidRDefault="006837A4">
      <w:pPr>
        <w:rPr>
          <w:lang w:val="es-MX"/>
        </w:rPr>
      </w:pPr>
      <w:r>
        <w:rPr>
          <w:lang w:val="es-MX"/>
        </w:rPr>
        <w:br w:type="page"/>
      </w:r>
    </w:p>
    <w:p w:rsidR="005A6477" w:rsidRPr="00554299" w:rsidRDefault="005A6477" w:rsidP="005A6477">
      <w:pPr>
        <w:autoSpaceDE w:val="0"/>
        <w:autoSpaceDN w:val="0"/>
        <w:adjustRightInd w:val="0"/>
        <w:jc w:val="both"/>
        <w:rPr>
          <w:lang w:val="es-MX"/>
        </w:rPr>
      </w:pPr>
    </w:p>
    <w:p w:rsidR="005A6477" w:rsidRPr="00680C5C" w:rsidRDefault="00105EE8" w:rsidP="00D16A2D">
      <w:pPr>
        <w:pStyle w:val="Ttulo1"/>
        <w:numPr>
          <w:ilvl w:val="0"/>
          <w:numId w:val="8"/>
        </w:numPr>
        <w:suppressAutoHyphens/>
        <w:ind w:left="709"/>
      </w:pPr>
      <w:bookmarkStart w:id="11" w:name="_Toc395534109"/>
      <w:bookmarkStart w:id="12" w:name="_Toc494450592"/>
      <w:r w:rsidRPr="00680C5C">
        <w:t>S</w:t>
      </w:r>
      <w:r w:rsidR="005A6477" w:rsidRPr="00680C5C">
        <w:t>ituación Financiera de la Administración Central</w:t>
      </w:r>
      <w:bookmarkEnd w:id="11"/>
      <w:bookmarkEnd w:id="12"/>
      <w:r w:rsidR="005A6477" w:rsidRPr="00680C5C">
        <w:t xml:space="preserve"> </w:t>
      </w:r>
    </w:p>
    <w:p w:rsidR="005A6477" w:rsidRPr="00835314" w:rsidRDefault="005A6477" w:rsidP="005A6477">
      <w:pPr>
        <w:pStyle w:val="Ttulo2"/>
        <w:rPr>
          <w:rFonts w:ascii="Times New Roman" w:hAnsi="Times New Roman"/>
          <w:color w:val="auto"/>
          <w:sz w:val="24"/>
        </w:rPr>
      </w:pPr>
      <w:bookmarkStart w:id="13" w:name="_Toc395534110"/>
      <w:bookmarkStart w:id="14" w:name="_Toc494450593"/>
      <w:r w:rsidRPr="00835314">
        <w:rPr>
          <w:rFonts w:ascii="Times New Roman" w:hAnsi="Times New Roman"/>
          <w:color w:val="auto"/>
          <w:sz w:val="24"/>
        </w:rPr>
        <w:t>Ingresos</w:t>
      </w:r>
      <w:bookmarkEnd w:id="13"/>
      <w:bookmarkEnd w:id="14"/>
    </w:p>
    <w:p w:rsidR="00825766" w:rsidRDefault="00825766" w:rsidP="005A6477">
      <w:pPr>
        <w:pStyle w:val="Default"/>
        <w:jc w:val="both"/>
        <w:rPr>
          <w:rFonts w:ascii="Times New Roman" w:hAnsi="Times New Roman" w:cs="Times New Roman"/>
        </w:rPr>
      </w:pPr>
    </w:p>
    <w:p w:rsidR="005A6477" w:rsidRPr="00923BF4" w:rsidRDefault="005A6477" w:rsidP="005A6477">
      <w:pPr>
        <w:pStyle w:val="Default"/>
        <w:jc w:val="both"/>
        <w:rPr>
          <w:rFonts w:ascii="Times New Roman" w:hAnsi="Times New Roman" w:cs="Times New Roman"/>
        </w:rPr>
      </w:pPr>
      <w:r w:rsidRPr="00923BF4">
        <w:rPr>
          <w:rFonts w:ascii="Times New Roman" w:hAnsi="Times New Roman" w:cs="Times New Roman"/>
        </w:rPr>
        <w:t xml:space="preserve">Los ingresos tributarios acumulados al 30 de junio de 2017 superaron en 4.0 % la recaudación observada para el mismo periodo en 2016. El comportamiento está explicado en el crecimiento de la recaudación por concepto de impuestos internos, en mayor porcentaje: Impuesto al Valor Agregado Doméstico 10.9%; Impuesto Sobre la Renta 9.5%  Impuesto de Solidaridad 6.1%; Adicionalmente muestran un crecimiento extraordinario: Timbres Fiscales, Regalías e Hidrocarburos compartibles, Salidas del País, los cuales se elevaron significativamente (49.2%; 129.1%; </w:t>
      </w:r>
      <w:r w:rsidR="00EB6680">
        <w:rPr>
          <w:rFonts w:ascii="Times New Roman" w:hAnsi="Times New Roman" w:cs="Times New Roman"/>
        </w:rPr>
        <w:t>12</w:t>
      </w:r>
      <w:r w:rsidRPr="00923BF4">
        <w:rPr>
          <w:rFonts w:ascii="Times New Roman" w:hAnsi="Times New Roman" w:cs="Times New Roman"/>
        </w:rPr>
        <w:t>.0% respectivamente).</w:t>
      </w:r>
    </w:p>
    <w:p w:rsidR="005A6477" w:rsidRDefault="005A6477" w:rsidP="005A6477">
      <w:pPr>
        <w:jc w:val="center"/>
        <w:rPr>
          <w:b/>
          <w:sz w:val="20"/>
          <w:lang w:val="es-MX"/>
        </w:rPr>
      </w:pPr>
    </w:p>
    <w:p w:rsidR="005A6477" w:rsidRPr="0088577C" w:rsidRDefault="005A6477" w:rsidP="0088577C">
      <w:pPr>
        <w:pStyle w:val="Prrafodelista"/>
        <w:ind w:left="360"/>
        <w:jc w:val="center"/>
        <w:rPr>
          <w:b/>
          <w:sz w:val="22"/>
          <w:lang w:val="es-MX"/>
        </w:rPr>
      </w:pPr>
      <w:r w:rsidRPr="0088577C">
        <w:rPr>
          <w:b/>
          <w:sz w:val="22"/>
          <w:lang w:val="es-MX"/>
        </w:rPr>
        <w:t xml:space="preserve">Cuadro </w:t>
      </w:r>
      <w:r w:rsidR="00910F6F">
        <w:rPr>
          <w:b/>
          <w:sz w:val="22"/>
          <w:lang w:val="es-MX"/>
        </w:rPr>
        <w:t>2</w:t>
      </w:r>
    </w:p>
    <w:p w:rsidR="005A6477" w:rsidRPr="0088577C" w:rsidRDefault="005A6477" w:rsidP="0088577C">
      <w:pPr>
        <w:pStyle w:val="Prrafodelista"/>
        <w:ind w:left="360"/>
        <w:jc w:val="center"/>
        <w:rPr>
          <w:b/>
          <w:sz w:val="22"/>
          <w:lang w:val="es-MX"/>
        </w:rPr>
      </w:pPr>
      <w:r w:rsidRPr="0088577C">
        <w:rPr>
          <w:b/>
          <w:sz w:val="22"/>
          <w:lang w:val="es-MX"/>
        </w:rPr>
        <w:t>Ingresos Tributarios Netos de la Administración Central</w:t>
      </w:r>
    </w:p>
    <w:p w:rsidR="005A6477" w:rsidRPr="0088577C" w:rsidRDefault="005A6477" w:rsidP="0088577C">
      <w:pPr>
        <w:pStyle w:val="Prrafodelista"/>
        <w:ind w:left="360"/>
        <w:jc w:val="center"/>
        <w:rPr>
          <w:b/>
          <w:sz w:val="22"/>
          <w:lang w:val="es-MX"/>
        </w:rPr>
      </w:pPr>
      <w:r w:rsidRPr="0088577C">
        <w:rPr>
          <w:b/>
          <w:sz w:val="22"/>
          <w:lang w:val="es-MX"/>
        </w:rPr>
        <w:t>2016-2017*</w:t>
      </w:r>
    </w:p>
    <w:p w:rsidR="005A6477" w:rsidRPr="0088577C" w:rsidRDefault="005A6477" w:rsidP="0088577C">
      <w:pPr>
        <w:pStyle w:val="Prrafodelista"/>
        <w:ind w:left="360"/>
        <w:jc w:val="center"/>
        <w:rPr>
          <w:b/>
          <w:sz w:val="22"/>
          <w:lang w:val="es-MX"/>
        </w:rPr>
      </w:pPr>
      <w:r w:rsidRPr="0088577C">
        <w:rPr>
          <w:b/>
          <w:sz w:val="22"/>
          <w:lang w:val="es-MX"/>
        </w:rPr>
        <w:t>Estimado al 30 de junio de cada año</w:t>
      </w:r>
    </w:p>
    <w:p w:rsidR="005A6477" w:rsidRPr="0088577C" w:rsidRDefault="005A6477" w:rsidP="0088577C">
      <w:pPr>
        <w:pStyle w:val="Prrafodelista"/>
        <w:ind w:left="360"/>
        <w:jc w:val="center"/>
        <w:rPr>
          <w:b/>
          <w:sz w:val="22"/>
          <w:lang w:val="es-MX"/>
        </w:rPr>
      </w:pPr>
      <w:r w:rsidRPr="0088577C">
        <w:rPr>
          <w:b/>
          <w:sz w:val="22"/>
          <w:lang w:val="es-MX"/>
        </w:rPr>
        <w:t>(Millones de Quetzales y Porcentajes)</w:t>
      </w:r>
    </w:p>
    <w:p w:rsidR="00AC0A03" w:rsidRDefault="00AC0A03" w:rsidP="005A6477">
      <w:pPr>
        <w:autoSpaceDE w:val="0"/>
        <w:autoSpaceDN w:val="0"/>
        <w:adjustRightInd w:val="0"/>
        <w:jc w:val="both"/>
        <w:rPr>
          <w:sz w:val="16"/>
          <w:szCs w:val="18"/>
          <w:lang w:val="es-GT"/>
        </w:rPr>
      </w:pPr>
      <w:r w:rsidRPr="00AC0A03">
        <w:rPr>
          <w:noProof/>
          <w:lang w:val="es-GT" w:eastAsia="es-GT"/>
        </w:rPr>
        <w:drawing>
          <wp:inline distT="0" distB="0" distL="0" distR="0" wp14:anchorId="50C2EC8D" wp14:editId="60F9B1AA">
            <wp:extent cx="5615324" cy="4817659"/>
            <wp:effectExtent l="0" t="0" r="444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7497" cy="4819523"/>
                    </a:xfrm>
                    <a:prstGeom prst="rect">
                      <a:avLst/>
                    </a:prstGeom>
                    <a:noFill/>
                    <a:ln>
                      <a:noFill/>
                    </a:ln>
                  </pic:spPr>
                </pic:pic>
              </a:graphicData>
            </a:graphic>
          </wp:inline>
        </w:drawing>
      </w:r>
    </w:p>
    <w:p w:rsidR="005A6477" w:rsidRDefault="005A6477" w:rsidP="005A6477">
      <w:pPr>
        <w:autoSpaceDE w:val="0"/>
        <w:autoSpaceDN w:val="0"/>
        <w:adjustRightInd w:val="0"/>
        <w:jc w:val="both"/>
        <w:rPr>
          <w:sz w:val="16"/>
          <w:szCs w:val="18"/>
          <w:lang w:val="es-GT"/>
        </w:rPr>
      </w:pPr>
      <w:r w:rsidRPr="00132C56">
        <w:rPr>
          <w:sz w:val="16"/>
          <w:szCs w:val="18"/>
          <w:lang w:val="es-GT"/>
        </w:rPr>
        <w:t>*cifras preliminares</w:t>
      </w:r>
    </w:p>
    <w:p w:rsidR="005A6477" w:rsidRPr="00C81B67" w:rsidRDefault="005A6477" w:rsidP="005A6477">
      <w:pPr>
        <w:autoSpaceDE w:val="0"/>
        <w:autoSpaceDN w:val="0"/>
        <w:adjustRightInd w:val="0"/>
        <w:jc w:val="both"/>
        <w:rPr>
          <w:sz w:val="16"/>
          <w:szCs w:val="18"/>
          <w:lang w:val="es-GT"/>
        </w:rPr>
      </w:pPr>
      <w:r w:rsidRPr="00C81B67">
        <w:rPr>
          <w:sz w:val="16"/>
          <w:szCs w:val="18"/>
          <w:lang w:val="es-GT"/>
        </w:rPr>
        <w:t xml:space="preserve">Fuente: Ministerio de Finanzas Públicas con base </w:t>
      </w:r>
      <w:r>
        <w:rPr>
          <w:sz w:val="16"/>
          <w:szCs w:val="18"/>
          <w:lang w:val="es-GT"/>
        </w:rPr>
        <w:t xml:space="preserve">al </w:t>
      </w:r>
      <w:r w:rsidRPr="00C81B67">
        <w:rPr>
          <w:sz w:val="16"/>
          <w:szCs w:val="18"/>
          <w:lang w:val="es-GT"/>
        </w:rPr>
        <w:t>SICOIN</w:t>
      </w:r>
      <w:r>
        <w:rPr>
          <w:sz w:val="16"/>
          <w:szCs w:val="18"/>
          <w:lang w:val="es-GT"/>
        </w:rPr>
        <w:t>.</w:t>
      </w:r>
    </w:p>
    <w:p w:rsidR="005A6477" w:rsidRDefault="005A6477" w:rsidP="005A6477">
      <w:pPr>
        <w:jc w:val="both"/>
      </w:pPr>
      <w:r>
        <w:lastRenderedPageBreak/>
        <w:t>En relación a los impuestos asociados al comercio exterior al 30 de junio</w:t>
      </w:r>
      <w:r w:rsidR="00680C5C">
        <w:t xml:space="preserve"> de 2017 estos representaban el 26.1% (mientras que en el 2016 un 27.0%</w:t>
      </w:r>
      <w:r>
        <w:t>), el Impuesto al Valor Agregado a las importaciones presenta un incremento de Q.236.2 millones (4.0%) y los Derechos Arancelarios de Importación se elevaron en 4.0% (Q.42.9 millones).</w:t>
      </w:r>
    </w:p>
    <w:p w:rsidR="00680C5C" w:rsidRDefault="00680C5C" w:rsidP="005A6477">
      <w:pPr>
        <w:tabs>
          <w:tab w:val="left" w:pos="426"/>
        </w:tabs>
        <w:jc w:val="center"/>
        <w:rPr>
          <w:b/>
          <w:sz w:val="20"/>
        </w:rPr>
      </w:pPr>
    </w:p>
    <w:p w:rsidR="005A6477" w:rsidRPr="00A226F3" w:rsidRDefault="005A6477" w:rsidP="005A6477">
      <w:pPr>
        <w:tabs>
          <w:tab w:val="left" w:pos="426"/>
        </w:tabs>
        <w:jc w:val="center"/>
        <w:rPr>
          <w:b/>
          <w:sz w:val="20"/>
        </w:rPr>
      </w:pPr>
      <w:r w:rsidRPr="00A226F3">
        <w:rPr>
          <w:b/>
          <w:sz w:val="20"/>
        </w:rPr>
        <w:t xml:space="preserve">Gráfica </w:t>
      </w:r>
      <w:r>
        <w:rPr>
          <w:b/>
          <w:sz w:val="20"/>
        </w:rPr>
        <w:t>5</w:t>
      </w:r>
    </w:p>
    <w:p w:rsidR="005A6477" w:rsidRPr="0088577C" w:rsidRDefault="005A6477" w:rsidP="0088577C">
      <w:pPr>
        <w:pStyle w:val="Prrafodelista"/>
        <w:ind w:left="360"/>
        <w:jc w:val="center"/>
        <w:rPr>
          <w:b/>
          <w:sz w:val="22"/>
          <w:lang w:val="es-MX"/>
        </w:rPr>
      </w:pPr>
      <w:r w:rsidRPr="0088577C">
        <w:rPr>
          <w:b/>
          <w:sz w:val="22"/>
          <w:lang w:val="es-MX"/>
        </w:rPr>
        <w:t>Estructura tributaria por origen del recaudo</w:t>
      </w:r>
    </w:p>
    <w:p w:rsidR="005A6477" w:rsidRPr="0088577C" w:rsidRDefault="005A6477" w:rsidP="0088577C">
      <w:pPr>
        <w:pStyle w:val="Prrafodelista"/>
        <w:ind w:left="360"/>
        <w:jc w:val="center"/>
        <w:rPr>
          <w:b/>
          <w:sz w:val="22"/>
          <w:lang w:val="es-MX"/>
        </w:rPr>
      </w:pPr>
      <w:r w:rsidRPr="0088577C">
        <w:rPr>
          <w:b/>
          <w:sz w:val="22"/>
          <w:lang w:val="es-MX"/>
        </w:rPr>
        <w:t>Comparativo 2016-2017*</w:t>
      </w:r>
    </w:p>
    <w:p w:rsidR="005A6477" w:rsidRPr="0088577C" w:rsidRDefault="005A6477" w:rsidP="0088577C">
      <w:pPr>
        <w:pStyle w:val="Prrafodelista"/>
        <w:ind w:left="360"/>
        <w:jc w:val="center"/>
        <w:rPr>
          <w:b/>
          <w:sz w:val="22"/>
          <w:lang w:val="es-MX"/>
        </w:rPr>
      </w:pPr>
      <w:r w:rsidRPr="0088577C">
        <w:rPr>
          <w:b/>
          <w:sz w:val="22"/>
          <w:lang w:val="es-MX"/>
        </w:rPr>
        <w:t>Al 30 de junio de cada año</w:t>
      </w:r>
    </w:p>
    <w:p w:rsidR="00680C5C" w:rsidRDefault="00AC0A03" w:rsidP="005A6477">
      <w:pPr>
        <w:tabs>
          <w:tab w:val="left" w:pos="426"/>
        </w:tabs>
        <w:jc w:val="center"/>
        <w:rPr>
          <w:b/>
          <w:sz w:val="20"/>
        </w:rPr>
      </w:pPr>
      <w:r>
        <w:rPr>
          <w:b/>
          <w:noProof/>
          <w:sz w:val="20"/>
          <w:lang w:val="es-GT" w:eastAsia="es-GT"/>
        </w:rPr>
        <w:drawing>
          <wp:inline distT="0" distB="0" distL="0" distR="0" wp14:anchorId="709CB542">
            <wp:extent cx="4774697" cy="2218414"/>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5117" cy="2232548"/>
                    </a:xfrm>
                    <a:prstGeom prst="rect">
                      <a:avLst/>
                    </a:prstGeom>
                    <a:noFill/>
                  </pic:spPr>
                </pic:pic>
              </a:graphicData>
            </a:graphic>
          </wp:inline>
        </w:drawing>
      </w:r>
    </w:p>
    <w:p w:rsidR="005A6477" w:rsidRPr="00132C56" w:rsidRDefault="005A6477" w:rsidP="005A6477">
      <w:pPr>
        <w:jc w:val="both"/>
        <w:rPr>
          <w:sz w:val="18"/>
          <w:szCs w:val="18"/>
          <w:lang w:val="es-GT"/>
        </w:rPr>
      </w:pPr>
      <w:r w:rsidRPr="00132C56">
        <w:rPr>
          <w:sz w:val="18"/>
          <w:szCs w:val="18"/>
          <w:lang w:val="es-GT"/>
        </w:rPr>
        <w:t>*Cifras preliminares</w:t>
      </w:r>
    </w:p>
    <w:p w:rsidR="005A6477" w:rsidRPr="00132C56" w:rsidRDefault="005A6477" w:rsidP="005A6477">
      <w:pPr>
        <w:jc w:val="both"/>
        <w:rPr>
          <w:sz w:val="18"/>
          <w:szCs w:val="18"/>
          <w:lang w:val="es-GT"/>
        </w:rPr>
      </w:pPr>
      <w:r w:rsidRPr="00132C56">
        <w:rPr>
          <w:sz w:val="18"/>
          <w:szCs w:val="18"/>
          <w:lang w:val="es-GT"/>
        </w:rPr>
        <w:t>Fuente: Ministerio de Finanzas Públicas con base al SICOIN.</w:t>
      </w:r>
    </w:p>
    <w:p w:rsidR="005A6477" w:rsidRPr="00D7055A" w:rsidRDefault="005A6477" w:rsidP="005A6477">
      <w:pPr>
        <w:jc w:val="both"/>
        <w:rPr>
          <w:sz w:val="2"/>
          <w:lang w:val="es-GT"/>
        </w:rPr>
      </w:pPr>
    </w:p>
    <w:p w:rsidR="00680C5C" w:rsidRDefault="00680C5C" w:rsidP="005A6477">
      <w:pPr>
        <w:jc w:val="both"/>
        <w:rPr>
          <w:lang w:val="es-GT"/>
        </w:rPr>
      </w:pPr>
    </w:p>
    <w:p w:rsidR="005A6477" w:rsidRDefault="005A6477" w:rsidP="005A6477">
      <w:pPr>
        <w:jc w:val="both"/>
        <w:rPr>
          <w:lang w:val="es-GT"/>
        </w:rPr>
      </w:pPr>
      <w:r>
        <w:rPr>
          <w:lang w:val="es-GT"/>
        </w:rPr>
        <w:t xml:space="preserve">Al observar la recaudación por tipo de impuesto, se puede establecer una estructura tributaria en la cual los impuestos indirectos representan el 62.1% de la recaudación total, (mientras que </w:t>
      </w:r>
      <w:r w:rsidR="00680C5C">
        <w:rPr>
          <w:lang w:val="es-GT"/>
        </w:rPr>
        <w:t xml:space="preserve">al mismo periodo en </w:t>
      </w:r>
      <w:r>
        <w:rPr>
          <w:lang w:val="es-GT"/>
        </w:rPr>
        <w:t>2016 estos representaban un 62.</w:t>
      </w:r>
      <w:r w:rsidR="00AC0A03">
        <w:rPr>
          <w:lang w:val="es-GT"/>
        </w:rPr>
        <w:t>6</w:t>
      </w:r>
      <w:r>
        <w:rPr>
          <w:lang w:val="es-GT"/>
        </w:rPr>
        <w:t>%), por concepto de impuestos directos se tiene una participación del orden del 37.9% en función de la recaudación acumulada (37.</w:t>
      </w:r>
      <w:r w:rsidR="00AC0A03">
        <w:rPr>
          <w:lang w:val="es-GT"/>
        </w:rPr>
        <w:t>4</w:t>
      </w:r>
      <w:r>
        <w:rPr>
          <w:lang w:val="es-GT"/>
        </w:rPr>
        <w:t>% al en 2016).</w:t>
      </w:r>
    </w:p>
    <w:p w:rsidR="00680C5C" w:rsidRPr="00680C5C" w:rsidRDefault="00680C5C" w:rsidP="005A6477">
      <w:pPr>
        <w:jc w:val="center"/>
        <w:rPr>
          <w:b/>
          <w:sz w:val="20"/>
          <w:lang w:val="es-GT"/>
        </w:rPr>
      </w:pPr>
    </w:p>
    <w:p w:rsidR="005A6477" w:rsidRPr="0088577C" w:rsidRDefault="005A6477" w:rsidP="00460A54">
      <w:pPr>
        <w:jc w:val="center"/>
        <w:rPr>
          <w:b/>
          <w:sz w:val="22"/>
          <w:lang w:val="es-MX"/>
        </w:rPr>
      </w:pPr>
      <w:r w:rsidRPr="0088577C">
        <w:rPr>
          <w:b/>
          <w:sz w:val="22"/>
          <w:lang w:val="es-MX"/>
        </w:rPr>
        <w:t>Gráfica  6</w:t>
      </w:r>
    </w:p>
    <w:p w:rsidR="005A6477" w:rsidRPr="0088577C" w:rsidRDefault="005A6477" w:rsidP="005A6477">
      <w:pPr>
        <w:jc w:val="center"/>
        <w:rPr>
          <w:b/>
          <w:sz w:val="22"/>
          <w:lang w:val="es-MX"/>
        </w:rPr>
      </w:pPr>
      <w:r w:rsidRPr="0088577C">
        <w:rPr>
          <w:b/>
          <w:sz w:val="22"/>
          <w:lang w:val="es-MX"/>
        </w:rPr>
        <w:t>Estructura tributaria por tipo de impuesto</w:t>
      </w:r>
    </w:p>
    <w:p w:rsidR="005A6477" w:rsidRPr="0088577C" w:rsidRDefault="005A6477" w:rsidP="005A6477">
      <w:pPr>
        <w:jc w:val="center"/>
        <w:rPr>
          <w:b/>
          <w:sz w:val="22"/>
          <w:lang w:val="es-MX"/>
        </w:rPr>
      </w:pPr>
      <w:r w:rsidRPr="0088577C">
        <w:rPr>
          <w:b/>
          <w:sz w:val="22"/>
          <w:lang w:val="es-MX"/>
        </w:rPr>
        <w:t>Comparativo 2016-2017*</w:t>
      </w:r>
    </w:p>
    <w:p w:rsidR="005A6477" w:rsidRDefault="005A6477" w:rsidP="005A6477">
      <w:pPr>
        <w:jc w:val="center"/>
        <w:rPr>
          <w:b/>
          <w:noProof/>
          <w:lang w:val="es-GT" w:eastAsia="es-GT"/>
        </w:rPr>
      </w:pPr>
      <w:r w:rsidRPr="0088577C">
        <w:rPr>
          <w:b/>
          <w:sz w:val="22"/>
          <w:lang w:val="es-MX"/>
        </w:rPr>
        <w:t>Al 30 de junio de cada año</w:t>
      </w:r>
    </w:p>
    <w:p w:rsidR="00AC0A03" w:rsidRDefault="00AC0A03" w:rsidP="005A6477">
      <w:pPr>
        <w:jc w:val="center"/>
        <w:rPr>
          <w:b/>
          <w:sz w:val="20"/>
          <w:lang w:val="es-MX"/>
        </w:rPr>
      </w:pPr>
      <w:r>
        <w:rPr>
          <w:b/>
          <w:noProof/>
          <w:sz w:val="20"/>
          <w:lang w:val="es-GT" w:eastAsia="es-GT"/>
        </w:rPr>
        <w:drawing>
          <wp:inline distT="0" distB="0" distL="0" distR="0" wp14:anchorId="557F8969">
            <wp:extent cx="4778734" cy="1875953"/>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5650" cy="1886519"/>
                    </a:xfrm>
                    <a:prstGeom prst="rect">
                      <a:avLst/>
                    </a:prstGeom>
                    <a:noFill/>
                  </pic:spPr>
                </pic:pic>
              </a:graphicData>
            </a:graphic>
          </wp:inline>
        </w:drawing>
      </w:r>
    </w:p>
    <w:p w:rsidR="005A6477" w:rsidRPr="005B732C" w:rsidRDefault="005A6477" w:rsidP="005A6477">
      <w:pPr>
        <w:jc w:val="both"/>
        <w:rPr>
          <w:sz w:val="18"/>
          <w:szCs w:val="18"/>
          <w:lang w:val="es-GT"/>
        </w:rPr>
      </w:pPr>
      <w:r w:rsidRPr="005B732C">
        <w:rPr>
          <w:sz w:val="18"/>
          <w:szCs w:val="18"/>
          <w:lang w:val="es-GT"/>
        </w:rPr>
        <w:t>*Cifras preliminares</w:t>
      </w:r>
    </w:p>
    <w:p w:rsidR="005A6477" w:rsidRDefault="005A6477" w:rsidP="005A6477">
      <w:pPr>
        <w:jc w:val="both"/>
        <w:rPr>
          <w:lang w:val="es-GT"/>
        </w:rPr>
      </w:pPr>
      <w:r w:rsidRPr="006C1510">
        <w:rPr>
          <w:sz w:val="18"/>
          <w:szCs w:val="18"/>
          <w:lang w:val="es-GT"/>
        </w:rPr>
        <w:t>Fuente: Ministerio de Finanzas Públicas con base</w:t>
      </w:r>
      <w:r>
        <w:rPr>
          <w:sz w:val="18"/>
          <w:szCs w:val="18"/>
          <w:lang w:val="es-GT"/>
        </w:rPr>
        <w:t xml:space="preserve"> al</w:t>
      </w:r>
      <w:r w:rsidRPr="006C1510">
        <w:rPr>
          <w:sz w:val="18"/>
          <w:szCs w:val="18"/>
          <w:lang w:val="es-GT"/>
        </w:rPr>
        <w:t xml:space="preserve"> SICOIN</w:t>
      </w:r>
      <w:r>
        <w:rPr>
          <w:sz w:val="18"/>
          <w:szCs w:val="18"/>
          <w:lang w:val="es-GT"/>
        </w:rPr>
        <w:t>.</w:t>
      </w:r>
    </w:p>
    <w:p w:rsidR="005A6477" w:rsidRPr="00A76096" w:rsidRDefault="005A6477" w:rsidP="005A6477">
      <w:pPr>
        <w:jc w:val="both"/>
        <w:rPr>
          <w:sz w:val="4"/>
          <w:lang w:val="es-GT"/>
        </w:rPr>
      </w:pPr>
    </w:p>
    <w:p w:rsidR="00EB6680" w:rsidRDefault="00EB6680" w:rsidP="005A6477">
      <w:pPr>
        <w:jc w:val="both"/>
        <w:rPr>
          <w:lang w:val="es-GT"/>
        </w:rPr>
      </w:pPr>
    </w:p>
    <w:p w:rsidR="005A6477" w:rsidRDefault="005A6477" w:rsidP="005A6477">
      <w:pPr>
        <w:jc w:val="both"/>
        <w:rPr>
          <w:lang w:val="es-GT"/>
        </w:rPr>
      </w:pPr>
      <w:r w:rsidRPr="009A4D94">
        <w:rPr>
          <w:lang w:val="es-GT"/>
        </w:rPr>
        <w:lastRenderedPageBreak/>
        <w:t xml:space="preserve">Al </w:t>
      </w:r>
      <w:r>
        <w:rPr>
          <w:lang w:val="es-GT"/>
        </w:rPr>
        <w:t xml:space="preserve">30 </w:t>
      </w:r>
      <w:r w:rsidRPr="009A4D94">
        <w:rPr>
          <w:lang w:val="es-GT"/>
        </w:rPr>
        <w:t xml:space="preserve">de </w:t>
      </w:r>
      <w:r>
        <w:rPr>
          <w:lang w:val="es-GT"/>
        </w:rPr>
        <w:t>junio 2017</w:t>
      </w:r>
      <w:r w:rsidRPr="009A4D94">
        <w:rPr>
          <w:lang w:val="es-GT"/>
        </w:rPr>
        <w:t xml:space="preserve">, los ingresos tributarios </w:t>
      </w:r>
      <w:r>
        <w:rPr>
          <w:lang w:val="es-GT"/>
        </w:rPr>
        <w:t>acumulados netos se sit</w:t>
      </w:r>
      <w:r w:rsidR="00416E34">
        <w:rPr>
          <w:lang w:val="es-GT"/>
        </w:rPr>
        <w:t>uaron</w:t>
      </w:r>
      <w:r>
        <w:rPr>
          <w:lang w:val="es-GT"/>
        </w:rPr>
        <w:t xml:space="preserve"> en Q</w:t>
      </w:r>
      <w:r w:rsidR="007377D3">
        <w:rPr>
          <w:lang w:val="es-GT"/>
        </w:rPr>
        <w:t>.</w:t>
      </w:r>
      <w:r>
        <w:rPr>
          <w:lang w:val="es-GT"/>
        </w:rPr>
        <w:t xml:space="preserve">28,099.1 millones;  mostrando un incremento del orden de </w:t>
      </w:r>
      <w:r w:rsidRPr="009A4D94">
        <w:rPr>
          <w:lang w:val="es-GT"/>
        </w:rPr>
        <w:t>Q.</w:t>
      </w:r>
      <w:r w:rsidR="007377D3">
        <w:rPr>
          <w:lang w:val="es-GT"/>
        </w:rPr>
        <w:t>1,986.6</w:t>
      </w:r>
      <w:r w:rsidRPr="009A4D94">
        <w:rPr>
          <w:lang w:val="es-GT"/>
        </w:rPr>
        <w:t xml:space="preserve"> millones </w:t>
      </w:r>
      <w:r>
        <w:rPr>
          <w:lang w:val="es-GT"/>
        </w:rPr>
        <w:t>(7.</w:t>
      </w:r>
      <w:r w:rsidR="007377D3">
        <w:rPr>
          <w:lang w:val="es-GT"/>
        </w:rPr>
        <w:t>6</w:t>
      </w:r>
      <w:r>
        <w:rPr>
          <w:lang w:val="es-GT"/>
        </w:rPr>
        <w:t xml:space="preserve">%) </w:t>
      </w:r>
      <w:r w:rsidRPr="009A4D94">
        <w:rPr>
          <w:lang w:val="es-GT"/>
        </w:rPr>
        <w:t xml:space="preserve"> respecto a</w:t>
      </w:r>
      <w:r>
        <w:rPr>
          <w:lang w:val="es-GT"/>
        </w:rPr>
        <w:t xml:space="preserve"> lo recaudado durante el mismo periodo </w:t>
      </w:r>
      <w:r w:rsidR="00416E34">
        <w:rPr>
          <w:lang w:val="es-GT"/>
        </w:rPr>
        <w:t xml:space="preserve">en 2016 </w:t>
      </w:r>
      <w:r>
        <w:rPr>
          <w:lang w:val="es-GT"/>
        </w:rPr>
        <w:t>(Q</w:t>
      </w:r>
      <w:r w:rsidR="007377D3">
        <w:rPr>
          <w:lang w:val="es-GT"/>
        </w:rPr>
        <w:t>.</w:t>
      </w:r>
      <w:r>
        <w:rPr>
          <w:lang w:val="es-GT"/>
        </w:rPr>
        <w:t>26,</w:t>
      </w:r>
      <w:r w:rsidR="007377D3">
        <w:rPr>
          <w:lang w:val="es-GT"/>
        </w:rPr>
        <w:t>112.5</w:t>
      </w:r>
      <w:r>
        <w:rPr>
          <w:lang w:val="es-GT"/>
        </w:rPr>
        <w:t xml:space="preserve"> millones)</w:t>
      </w:r>
      <w:r w:rsidRPr="009A4D94">
        <w:rPr>
          <w:lang w:val="es-GT"/>
        </w:rPr>
        <w:t xml:space="preserve">, </w:t>
      </w:r>
      <w:r>
        <w:rPr>
          <w:lang w:val="es-GT"/>
        </w:rPr>
        <w:t xml:space="preserve">la mejora en la recaudación está </w:t>
      </w:r>
      <w:r w:rsidRPr="009A4D94">
        <w:rPr>
          <w:lang w:val="es-GT"/>
        </w:rPr>
        <w:t>influenciad</w:t>
      </w:r>
      <w:r>
        <w:rPr>
          <w:lang w:val="es-GT"/>
        </w:rPr>
        <w:t>a especialmente</w:t>
      </w:r>
      <w:r w:rsidRPr="009A4D94">
        <w:rPr>
          <w:lang w:val="es-GT"/>
        </w:rPr>
        <w:t xml:space="preserve"> por el desempeño </w:t>
      </w:r>
      <w:bookmarkStart w:id="15" w:name="_Toc387938694"/>
      <w:bookmarkStart w:id="16" w:name="_Toc336603953"/>
      <w:r>
        <w:rPr>
          <w:lang w:val="es-GT"/>
        </w:rPr>
        <w:t>de los impuestos internos descrito con anterioridad.</w:t>
      </w:r>
    </w:p>
    <w:p w:rsidR="00825766" w:rsidRDefault="00825766" w:rsidP="005A6477">
      <w:pPr>
        <w:jc w:val="both"/>
        <w:rPr>
          <w:lang w:val="es-GT"/>
        </w:rPr>
      </w:pPr>
    </w:p>
    <w:p w:rsidR="005A6477" w:rsidRPr="0088577C" w:rsidRDefault="005A6477" w:rsidP="005A6477">
      <w:pPr>
        <w:jc w:val="center"/>
        <w:rPr>
          <w:b/>
          <w:sz w:val="22"/>
          <w:szCs w:val="22"/>
          <w:lang w:val="es-MX"/>
        </w:rPr>
      </w:pPr>
      <w:r w:rsidRPr="0088577C">
        <w:rPr>
          <w:b/>
          <w:sz w:val="22"/>
          <w:szCs w:val="22"/>
          <w:lang w:val="es-MX"/>
        </w:rPr>
        <w:t>Gráfica 7</w:t>
      </w:r>
    </w:p>
    <w:p w:rsidR="005A6477" w:rsidRPr="0088577C" w:rsidRDefault="005A6477" w:rsidP="005A6477">
      <w:pPr>
        <w:jc w:val="center"/>
        <w:rPr>
          <w:b/>
          <w:sz w:val="22"/>
          <w:szCs w:val="22"/>
          <w:lang w:val="es-MX"/>
        </w:rPr>
      </w:pPr>
      <w:r w:rsidRPr="0088577C">
        <w:rPr>
          <w:b/>
          <w:sz w:val="22"/>
          <w:szCs w:val="22"/>
          <w:lang w:val="es-MX"/>
        </w:rPr>
        <w:t xml:space="preserve"> Recaudación Neta Acumulada </w:t>
      </w:r>
    </w:p>
    <w:p w:rsidR="005A6477" w:rsidRPr="0088577C" w:rsidRDefault="001B43D3" w:rsidP="005A6477">
      <w:pPr>
        <w:jc w:val="center"/>
        <w:rPr>
          <w:b/>
          <w:sz w:val="22"/>
          <w:szCs w:val="22"/>
          <w:lang w:val="es-MX"/>
        </w:rPr>
      </w:pPr>
      <w:r w:rsidRPr="0088577C">
        <w:rPr>
          <w:b/>
          <w:sz w:val="22"/>
          <w:szCs w:val="22"/>
          <w:lang w:val="es-MX"/>
        </w:rPr>
        <w:t>Al</w:t>
      </w:r>
      <w:r w:rsidR="005A6477" w:rsidRPr="0088577C">
        <w:rPr>
          <w:b/>
          <w:sz w:val="22"/>
          <w:szCs w:val="22"/>
          <w:lang w:val="es-MX"/>
        </w:rPr>
        <w:t xml:space="preserve"> 30 de junio de cada año</w:t>
      </w:r>
    </w:p>
    <w:p w:rsidR="005A6477" w:rsidRPr="0088577C" w:rsidRDefault="005A6477" w:rsidP="005A6477">
      <w:pPr>
        <w:jc w:val="center"/>
        <w:rPr>
          <w:b/>
          <w:sz w:val="22"/>
          <w:szCs w:val="22"/>
          <w:lang w:val="es-MX"/>
        </w:rPr>
      </w:pPr>
      <w:r w:rsidRPr="0088577C">
        <w:rPr>
          <w:b/>
          <w:sz w:val="22"/>
          <w:szCs w:val="22"/>
          <w:lang w:val="es-MX"/>
        </w:rPr>
        <w:t>Período 201</w:t>
      </w:r>
      <w:r w:rsidR="00352723">
        <w:rPr>
          <w:b/>
          <w:sz w:val="22"/>
          <w:szCs w:val="22"/>
          <w:lang w:val="es-MX"/>
        </w:rPr>
        <w:t>0</w:t>
      </w:r>
      <w:r w:rsidRPr="0088577C">
        <w:rPr>
          <w:b/>
          <w:sz w:val="22"/>
          <w:szCs w:val="22"/>
          <w:lang w:val="es-MX"/>
        </w:rPr>
        <w:t>-2017*</w:t>
      </w:r>
    </w:p>
    <w:p w:rsidR="005A6477" w:rsidRPr="00ED5086" w:rsidRDefault="005A6477" w:rsidP="005A6477">
      <w:pPr>
        <w:jc w:val="center"/>
        <w:rPr>
          <w:b/>
          <w:sz w:val="20"/>
          <w:lang w:val="es-MX"/>
        </w:rPr>
      </w:pPr>
    </w:p>
    <w:p w:rsidR="005A6477" w:rsidRDefault="00AC0A03" w:rsidP="005A6477">
      <w:pPr>
        <w:jc w:val="center"/>
        <w:rPr>
          <w:noProof/>
          <w:lang w:val="es-GT" w:eastAsia="es-GT"/>
        </w:rPr>
      </w:pPr>
      <w:r>
        <w:rPr>
          <w:noProof/>
          <w:lang w:val="es-GT" w:eastAsia="es-GT"/>
        </w:rPr>
        <w:drawing>
          <wp:inline distT="0" distB="0" distL="0" distR="0" wp14:anchorId="3B99D497">
            <wp:extent cx="5851431" cy="328388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9836" cy="3288606"/>
                    </a:xfrm>
                    <a:prstGeom prst="rect">
                      <a:avLst/>
                    </a:prstGeom>
                    <a:noFill/>
                  </pic:spPr>
                </pic:pic>
              </a:graphicData>
            </a:graphic>
          </wp:inline>
        </w:drawing>
      </w:r>
    </w:p>
    <w:p w:rsidR="005A6477" w:rsidRDefault="005A6477" w:rsidP="005A6477">
      <w:pPr>
        <w:jc w:val="both"/>
        <w:rPr>
          <w:sz w:val="18"/>
        </w:rPr>
      </w:pPr>
      <w:r>
        <w:rPr>
          <w:sz w:val="18"/>
        </w:rPr>
        <w:t>*</w:t>
      </w:r>
      <w:r w:rsidRPr="007417CD">
        <w:rPr>
          <w:sz w:val="18"/>
        </w:rPr>
        <w:t>cifras preliminares</w:t>
      </w:r>
    </w:p>
    <w:p w:rsidR="005A6477" w:rsidRDefault="005A6477" w:rsidP="005A6477">
      <w:pPr>
        <w:jc w:val="both"/>
      </w:pPr>
      <w:r w:rsidRPr="00693E53">
        <w:rPr>
          <w:sz w:val="18"/>
        </w:rPr>
        <w:t>Fuente: Ministerio de Finanzas Públicas con base al SICOIN.</w:t>
      </w:r>
      <w:bookmarkEnd w:id="15"/>
      <w:bookmarkEnd w:id="16"/>
    </w:p>
    <w:p w:rsidR="006837A4" w:rsidRDefault="006837A4">
      <w:pPr>
        <w:rPr>
          <w:b/>
          <w:bCs/>
          <w:highlight w:val="yellow"/>
          <w:lang w:val="es-MX"/>
        </w:rPr>
      </w:pPr>
    </w:p>
    <w:p w:rsidR="00416E34" w:rsidRPr="00835314" w:rsidRDefault="00416E34" w:rsidP="00416E34">
      <w:pPr>
        <w:pStyle w:val="Ttulo2"/>
        <w:rPr>
          <w:rFonts w:ascii="Times New Roman" w:hAnsi="Times New Roman"/>
          <w:color w:val="auto"/>
          <w:sz w:val="24"/>
        </w:rPr>
      </w:pPr>
      <w:bookmarkStart w:id="17" w:name="_Toc494450594"/>
      <w:r>
        <w:rPr>
          <w:rFonts w:ascii="Times New Roman" w:hAnsi="Times New Roman"/>
          <w:color w:val="auto"/>
          <w:sz w:val="24"/>
        </w:rPr>
        <w:t>Gastos</w:t>
      </w:r>
      <w:bookmarkEnd w:id="17"/>
    </w:p>
    <w:p w:rsidR="00416E34" w:rsidRPr="00C87438" w:rsidRDefault="00416E34" w:rsidP="004F48BD">
      <w:pPr>
        <w:rPr>
          <w:b/>
          <w:bCs/>
          <w:highlight w:val="yellow"/>
          <w:lang w:val="es-MX"/>
        </w:rPr>
      </w:pPr>
    </w:p>
    <w:p w:rsidR="002F3446" w:rsidRPr="00FB641E" w:rsidRDefault="002F3446" w:rsidP="002F3446">
      <w:pPr>
        <w:jc w:val="both"/>
        <w:rPr>
          <w:lang w:val="es-MX"/>
        </w:rPr>
      </w:pPr>
      <w:r w:rsidRPr="00FB641E">
        <w:rPr>
          <w:lang w:val="es-MX"/>
        </w:rPr>
        <w:t>Al 30 de junio de 201</w:t>
      </w:r>
      <w:r>
        <w:rPr>
          <w:lang w:val="es-MX"/>
        </w:rPr>
        <w:t>7</w:t>
      </w:r>
      <w:r w:rsidRPr="00FB641E">
        <w:rPr>
          <w:lang w:val="es-MX"/>
        </w:rPr>
        <w:t xml:space="preserve"> se </w:t>
      </w:r>
      <w:r w:rsidR="00416E34">
        <w:rPr>
          <w:lang w:val="es-MX"/>
        </w:rPr>
        <w:t>ejecutaron</w:t>
      </w:r>
      <w:r w:rsidRPr="00FB641E">
        <w:rPr>
          <w:lang w:val="es-MX"/>
        </w:rPr>
        <w:t xml:space="preserve"> Q</w:t>
      </w:r>
      <w:r w:rsidR="00352723">
        <w:rPr>
          <w:lang w:val="es-MX"/>
        </w:rPr>
        <w:t>.</w:t>
      </w:r>
      <w:r>
        <w:rPr>
          <w:lang w:val="es-MX"/>
        </w:rPr>
        <w:t>30</w:t>
      </w:r>
      <w:r w:rsidRPr="00FB641E">
        <w:rPr>
          <w:lang w:val="es-MX"/>
        </w:rPr>
        <w:t>,6</w:t>
      </w:r>
      <w:r>
        <w:rPr>
          <w:lang w:val="es-MX"/>
        </w:rPr>
        <w:t>44.</w:t>
      </w:r>
      <w:r w:rsidRPr="00FB641E">
        <w:rPr>
          <w:lang w:val="es-MX"/>
        </w:rPr>
        <w:t xml:space="preserve">5 millones, que </w:t>
      </w:r>
      <w:r w:rsidR="00416E34">
        <w:rPr>
          <w:lang w:val="es-MX"/>
        </w:rPr>
        <w:t xml:space="preserve">representan un </w:t>
      </w:r>
      <w:r>
        <w:rPr>
          <w:lang w:val="es-MX"/>
        </w:rPr>
        <w:t>39.6</w:t>
      </w:r>
      <w:r w:rsidRPr="00FB641E">
        <w:rPr>
          <w:lang w:val="es-MX"/>
        </w:rPr>
        <w:t xml:space="preserve">% del presupuesto vigente, </w:t>
      </w:r>
      <w:r w:rsidR="00416E34">
        <w:rPr>
          <w:lang w:val="es-MX"/>
        </w:rPr>
        <w:t xml:space="preserve">el gasto es </w:t>
      </w:r>
      <w:r>
        <w:rPr>
          <w:lang w:val="es-MX"/>
        </w:rPr>
        <w:t>superior en Q</w:t>
      </w:r>
      <w:r w:rsidR="00352723">
        <w:rPr>
          <w:lang w:val="es-MX"/>
        </w:rPr>
        <w:t>.</w:t>
      </w:r>
      <w:r>
        <w:rPr>
          <w:lang w:val="es-MX"/>
        </w:rPr>
        <w:t>1,994.5 millones a lo observado durante el mismo período de 2016</w:t>
      </w:r>
      <w:r w:rsidRPr="00FB641E">
        <w:rPr>
          <w:lang w:val="es-MX"/>
        </w:rPr>
        <w:t xml:space="preserve">. </w:t>
      </w:r>
      <w:r>
        <w:rPr>
          <w:lang w:val="es-MX"/>
        </w:rPr>
        <w:t>El aumento de la ejecución se observa principalmente en los Gastos de Funcionamiento, Q</w:t>
      </w:r>
      <w:r w:rsidR="00791886">
        <w:rPr>
          <w:lang w:val="es-MX"/>
        </w:rPr>
        <w:t>.</w:t>
      </w:r>
      <w:r>
        <w:rPr>
          <w:lang w:val="es-MX"/>
        </w:rPr>
        <w:t xml:space="preserve">1,353.6 millones, un 6.9%, en tanto que el </w:t>
      </w:r>
      <w:r w:rsidR="00791886">
        <w:rPr>
          <w:lang w:val="es-MX"/>
        </w:rPr>
        <w:t>G</w:t>
      </w:r>
      <w:r>
        <w:rPr>
          <w:lang w:val="es-MX"/>
        </w:rPr>
        <w:t xml:space="preserve">asto en </w:t>
      </w:r>
      <w:r w:rsidR="00791886">
        <w:rPr>
          <w:lang w:val="es-MX"/>
        </w:rPr>
        <w:t>I</w:t>
      </w:r>
      <w:r>
        <w:rPr>
          <w:lang w:val="es-MX"/>
        </w:rPr>
        <w:t>nversión y la Deuda Pública en su conjunto aumentaron Q</w:t>
      </w:r>
      <w:r w:rsidR="00791886">
        <w:rPr>
          <w:lang w:val="es-MX"/>
        </w:rPr>
        <w:t>.</w:t>
      </w:r>
      <w:r>
        <w:rPr>
          <w:lang w:val="es-MX"/>
        </w:rPr>
        <w:t xml:space="preserve">640.9 millones.  Este aumento </w:t>
      </w:r>
      <w:r w:rsidR="00416E34">
        <w:rPr>
          <w:lang w:val="es-MX"/>
        </w:rPr>
        <w:t>obedece</w:t>
      </w:r>
      <w:r>
        <w:rPr>
          <w:lang w:val="es-MX"/>
        </w:rPr>
        <w:t xml:space="preserve"> a la solvencia alcanzada por la recuperación de la recaudación tributaria en 2016 y durante el presente año.  </w:t>
      </w:r>
      <w:r w:rsidR="00416E34">
        <w:rPr>
          <w:lang w:val="es-MX"/>
        </w:rPr>
        <w:t>Sin embargo,</w:t>
      </w:r>
      <w:r>
        <w:rPr>
          <w:lang w:val="es-MX"/>
        </w:rPr>
        <w:t xml:space="preserve"> </w:t>
      </w:r>
      <w:r w:rsidR="00416E34">
        <w:rPr>
          <w:lang w:val="es-MX"/>
        </w:rPr>
        <w:t>corresponde</w:t>
      </w:r>
      <w:r>
        <w:rPr>
          <w:lang w:val="es-MX"/>
        </w:rPr>
        <w:t xml:space="preserve"> resaltar que el porcentaje de ejecución en 2017 es menor </w:t>
      </w:r>
      <w:r w:rsidR="00416E34">
        <w:rPr>
          <w:lang w:val="es-MX"/>
        </w:rPr>
        <w:t xml:space="preserve">en 1.8 puntos porcentuales respecto del 2016 (37.8%), </w:t>
      </w:r>
      <w:r>
        <w:rPr>
          <w:lang w:val="es-MX"/>
        </w:rPr>
        <w:t xml:space="preserve">como resultado del aumento del presupuesto aprobado </w:t>
      </w:r>
      <w:r w:rsidR="00416E34">
        <w:rPr>
          <w:lang w:val="es-MX"/>
        </w:rPr>
        <w:t>en</w:t>
      </w:r>
      <w:r>
        <w:rPr>
          <w:lang w:val="es-MX"/>
        </w:rPr>
        <w:t xml:space="preserve"> Q</w:t>
      </w:r>
      <w:r w:rsidR="00791886">
        <w:rPr>
          <w:lang w:val="es-MX"/>
        </w:rPr>
        <w:t>.</w:t>
      </w:r>
      <w:r>
        <w:rPr>
          <w:lang w:val="es-MX"/>
        </w:rPr>
        <w:t>6,337.9 millones</w:t>
      </w:r>
      <w:r w:rsidRPr="00FB641E">
        <w:rPr>
          <w:lang w:val="es-MX"/>
        </w:rPr>
        <w:t>.</w:t>
      </w:r>
    </w:p>
    <w:p w:rsidR="002F3446" w:rsidRDefault="002F3446" w:rsidP="002F3446">
      <w:pPr>
        <w:jc w:val="both"/>
        <w:rPr>
          <w:sz w:val="18"/>
          <w:lang w:val="es-MX"/>
        </w:rPr>
      </w:pPr>
    </w:p>
    <w:p w:rsidR="00460A54" w:rsidRDefault="00460A54">
      <w:pPr>
        <w:rPr>
          <w:b/>
          <w:sz w:val="22"/>
          <w:szCs w:val="22"/>
          <w:lang w:val="es-MX"/>
        </w:rPr>
      </w:pPr>
      <w:r>
        <w:rPr>
          <w:b/>
          <w:sz w:val="22"/>
          <w:szCs w:val="22"/>
          <w:lang w:val="es-MX"/>
        </w:rPr>
        <w:br w:type="page"/>
      </w:r>
    </w:p>
    <w:p w:rsidR="002F3446" w:rsidRPr="0088577C" w:rsidRDefault="002F3446" w:rsidP="002F3446">
      <w:pPr>
        <w:jc w:val="center"/>
        <w:rPr>
          <w:b/>
          <w:sz w:val="22"/>
          <w:szCs w:val="22"/>
          <w:lang w:val="es-MX"/>
        </w:rPr>
      </w:pPr>
      <w:r w:rsidRPr="0088577C">
        <w:rPr>
          <w:b/>
          <w:sz w:val="22"/>
          <w:szCs w:val="22"/>
          <w:lang w:val="es-MX"/>
        </w:rPr>
        <w:lastRenderedPageBreak/>
        <w:t xml:space="preserve">Cuadro </w:t>
      </w:r>
      <w:r w:rsidR="00910F6F">
        <w:rPr>
          <w:b/>
          <w:sz w:val="22"/>
          <w:szCs w:val="22"/>
          <w:lang w:val="es-MX"/>
        </w:rPr>
        <w:t>3</w:t>
      </w:r>
    </w:p>
    <w:p w:rsidR="002F3446" w:rsidRPr="0088577C" w:rsidRDefault="002F3446" w:rsidP="002F3446">
      <w:pPr>
        <w:jc w:val="center"/>
        <w:rPr>
          <w:b/>
          <w:sz w:val="22"/>
          <w:szCs w:val="22"/>
          <w:lang w:val="es-MX"/>
        </w:rPr>
      </w:pPr>
      <w:r w:rsidRPr="0088577C">
        <w:rPr>
          <w:b/>
          <w:sz w:val="22"/>
          <w:szCs w:val="22"/>
          <w:lang w:val="es-MX"/>
        </w:rPr>
        <w:t>Ejecución Presupuestaria por Tipo de Gasto</w:t>
      </w:r>
    </w:p>
    <w:p w:rsidR="002F3446" w:rsidRPr="0088577C" w:rsidRDefault="002F3446" w:rsidP="002F3446">
      <w:pPr>
        <w:jc w:val="center"/>
        <w:rPr>
          <w:b/>
          <w:sz w:val="22"/>
          <w:szCs w:val="22"/>
          <w:lang w:val="es-MX"/>
        </w:rPr>
      </w:pPr>
      <w:r w:rsidRPr="0088577C">
        <w:rPr>
          <w:b/>
          <w:sz w:val="22"/>
          <w:szCs w:val="22"/>
          <w:lang w:val="es-MX"/>
        </w:rPr>
        <w:t>Al 30 de junio de cada año</w:t>
      </w:r>
    </w:p>
    <w:p w:rsidR="002F3446" w:rsidRPr="0088577C" w:rsidRDefault="002F3446" w:rsidP="002F3446">
      <w:pPr>
        <w:jc w:val="center"/>
        <w:rPr>
          <w:b/>
          <w:sz w:val="22"/>
          <w:szCs w:val="22"/>
          <w:lang w:val="es-MX"/>
        </w:rPr>
      </w:pPr>
      <w:r w:rsidRPr="0088577C">
        <w:rPr>
          <w:b/>
          <w:sz w:val="22"/>
          <w:szCs w:val="22"/>
          <w:lang w:val="es-MX"/>
        </w:rPr>
        <w:t>(Cifras en Millones de Quetzales)</w:t>
      </w:r>
    </w:p>
    <w:tbl>
      <w:tblPr>
        <w:tblW w:w="8280" w:type="dxa"/>
        <w:jc w:val="center"/>
        <w:tblCellMar>
          <w:left w:w="70" w:type="dxa"/>
          <w:right w:w="70" w:type="dxa"/>
        </w:tblCellMar>
        <w:tblLook w:val="04A0" w:firstRow="1" w:lastRow="0" w:firstColumn="1" w:lastColumn="0" w:noHBand="0" w:noVBand="1"/>
      </w:tblPr>
      <w:tblGrid>
        <w:gridCol w:w="2920"/>
        <w:gridCol w:w="1340"/>
        <w:gridCol w:w="1340"/>
        <w:gridCol w:w="1375"/>
        <w:gridCol w:w="1305"/>
      </w:tblGrid>
      <w:tr w:rsidR="00AC0A03" w:rsidRPr="00AC0A03" w:rsidTr="00AC0A03">
        <w:trPr>
          <w:trHeight w:val="510"/>
          <w:jc w:val="center"/>
        </w:trPr>
        <w:tc>
          <w:tcPr>
            <w:tcW w:w="2920" w:type="dxa"/>
            <w:vMerge w:val="restart"/>
            <w:tcBorders>
              <w:top w:val="single" w:sz="8" w:space="0" w:color="auto"/>
              <w:left w:val="single" w:sz="8" w:space="0" w:color="auto"/>
              <w:bottom w:val="single" w:sz="4" w:space="0" w:color="000000"/>
              <w:right w:val="nil"/>
            </w:tcBorders>
            <w:shd w:val="clear" w:color="000000" w:fill="8DB4E2"/>
            <w:vAlign w:val="center"/>
            <w:hideMark/>
          </w:tcPr>
          <w:p w:rsidR="00AC0A03" w:rsidRPr="00AC0A03" w:rsidRDefault="00AC0A03" w:rsidP="00AC0A03">
            <w:pPr>
              <w:jc w:val="center"/>
              <w:rPr>
                <w:b/>
                <w:bCs/>
                <w:color w:val="000000"/>
                <w:lang w:val="es-GT" w:eastAsia="es-GT"/>
              </w:rPr>
            </w:pPr>
            <w:r w:rsidRPr="00AC0A03">
              <w:rPr>
                <w:b/>
                <w:bCs/>
                <w:color w:val="000000"/>
                <w:lang w:val="es-GT" w:eastAsia="es-GT"/>
              </w:rPr>
              <w:t>Tipo de Gasto</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8DB4E2"/>
            <w:vAlign w:val="center"/>
            <w:hideMark/>
          </w:tcPr>
          <w:p w:rsidR="00AC0A03" w:rsidRPr="00AC0A03" w:rsidRDefault="00AC0A03" w:rsidP="00AC0A03">
            <w:pPr>
              <w:jc w:val="center"/>
              <w:rPr>
                <w:b/>
                <w:bCs/>
                <w:color w:val="000000"/>
                <w:lang w:val="es-GT" w:eastAsia="es-GT"/>
              </w:rPr>
            </w:pPr>
            <w:r w:rsidRPr="00AC0A03">
              <w:rPr>
                <w:b/>
                <w:bCs/>
                <w:color w:val="000000"/>
                <w:lang w:val="es-GT" w:eastAsia="es-GT"/>
              </w:rPr>
              <w:t>2016</w:t>
            </w:r>
          </w:p>
        </w:tc>
        <w:tc>
          <w:tcPr>
            <w:tcW w:w="1340" w:type="dxa"/>
            <w:vMerge w:val="restart"/>
            <w:tcBorders>
              <w:top w:val="single" w:sz="8" w:space="0" w:color="auto"/>
              <w:left w:val="single" w:sz="4" w:space="0" w:color="auto"/>
              <w:bottom w:val="single" w:sz="4" w:space="0" w:color="000000"/>
              <w:right w:val="single" w:sz="4" w:space="0" w:color="auto"/>
            </w:tcBorders>
            <w:shd w:val="clear" w:color="000000" w:fill="8DB4E2"/>
            <w:vAlign w:val="center"/>
            <w:hideMark/>
          </w:tcPr>
          <w:p w:rsidR="00AC0A03" w:rsidRPr="00AC0A03" w:rsidRDefault="00AC0A03" w:rsidP="00AC0A03">
            <w:pPr>
              <w:jc w:val="center"/>
              <w:rPr>
                <w:b/>
                <w:bCs/>
                <w:color w:val="000000"/>
                <w:lang w:val="es-GT" w:eastAsia="es-GT"/>
              </w:rPr>
            </w:pPr>
            <w:r w:rsidRPr="00AC0A03">
              <w:rPr>
                <w:b/>
                <w:bCs/>
                <w:color w:val="000000"/>
                <w:lang w:val="es-GT" w:eastAsia="es-GT"/>
              </w:rPr>
              <w:t>2017</w:t>
            </w:r>
          </w:p>
        </w:tc>
        <w:tc>
          <w:tcPr>
            <w:tcW w:w="2680" w:type="dxa"/>
            <w:gridSpan w:val="2"/>
            <w:tcBorders>
              <w:top w:val="single" w:sz="8" w:space="0" w:color="auto"/>
              <w:left w:val="nil"/>
              <w:bottom w:val="nil"/>
              <w:right w:val="single" w:sz="8" w:space="0" w:color="000000"/>
            </w:tcBorders>
            <w:shd w:val="clear" w:color="000000" w:fill="8DB4E2"/>
            <w:noWrap/>
            <w:vAlign w:val="bottom"/>
            <w:hideMark/>
          </w:tcPr>
          <w:p w:rsidR="00AC0A03" w:rsidRPr="00AC0A03" w:rsidRDefault="00AC0A03" w:rsidP="005F2F01">
            <w:pPr>
              <w:jc w:val="center"/>
              <w:rPr>
                <w:b/>
                <w:bCs/>
                <w:color w:val="000000"/>
                <w:lang w:val="es-GT" w:eastAsia="es-GT"/>
              </w:rPr>
            </w:pPr>
            <w:r w:rsidRPr="00AC0A03">
              <w:rPr>
                <w:b/>
                <w:bCs/>
                <w:color w:val="000000"/>
                <w:lang w:val="es-GT" w:eastAsia="es-GT"/>
              </w:rPr>
              <w:t>Diferencias</w:t>
            </w:r>
          </w:p>
        </w:tc>
      </w:tr>
      <w:tr w:rsidR="00AC0A03" w:rsidRPr="00AC0A03" w:rsidTr="005F2F01">
        <w:trPr>
          <w:trHeight w:val="510"/>
          <w:jc w:val="center"/>
        </w:trPr>
        <w:tc>
          <w:tcPr>
            <w:tcW w:w="2920" w:type="dxa"/>
            <w:vMerge/>
            <w:tcBorders>
              <w:top w:val="single" w:sz="8" w:space="0" w:color="auto"/>
              <w:left w:val="single" w:sz="8" w:space="0" w:color="auto"/>
              <w:bottom w:val="single" w:sz="4" w:space="0" w:color="000000"/>
              <w:right w:val="nil"/>
            </w:tcBorders>
            <w:vAlign w:val="center"/>
            <w:hideMark/>
          </w:tcPr>
          <w:p w:rsidR="00AC0A03" w:rsidRPr="00AC0A03" w:rsidRDefault="00AC0A03" w:rsidP="00AC0A03">
            <w:pPr>
              <w:rPr>
                <w:b/>
                <w:bCs/>
                <w:color w:val="000000"/>
                <w:lang w:val="es-GT" w:eastAsia="es-GT"/>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AC0A03" w:rsidRPr="00AC0A03" w:rsidRDefault="00AC0A03" w:rsidP="00AC0A03">
            <w:pPr>
              <w:rPr>
                <w:b/>
                <w:bCs/>
                <w:color w:val="000000"/>
                <w:lang w:val="es-GT" w:eastAsia="es-GT"/>
              </w:rPr>
            </w:pPr>
          </w:p>
        </w:tc>
        <w:tc>
          <w:tcPr>
            <w:tcW w:w="1340" w:type="dxa"/>
            <w:vMerge/>
            <w:tcBorders>
              <w:top w:val="single" w:sz="8" w:space="0" w:color="auto"/>
              <w:left w:val="single" w:sz="4" w:space="0" w:color="auto"/>
              <w:bottom w:val="single" w:sz="4" w:space="0" w:color="000000"/>
              <w:right w:val="single" w:sz="4" w:space="0" w:color="auto"/>
            </w:tcBorders>
            <w:vAlign w:val="center"/>
            <w:hideMark/>
          </w:tcPr>
          <w:p w:rsidR="00AC0A03" w:rsidRPr="00AC0A03" w:rsidRDefault="00AC0A03" w:rsidP="00AC0A03">
            <w:pPr>
              <w:rPr>
                <w:b/>
                <w:bCs/>
                <w:color w:val="000000"/>
                <w:lang w:val="es-GT" w:eastAsia="es-GT"/>
              </w:rPr>
            </w:pPr>
          </w:p>
        </w:tc>
        <w:tc>
          <w:tcPr>
            <w:tcW w:w="1375" w:type="dxa"/>
            <w:tcBorders>
              <w:top w:val="single" w:sz="4" w:space="0" w:color="auto"/>
              <w:left w:val="nil"/>
              <w:bottom w:val="single" w:sz="4" w:space="0" w:color="auto"/>
              <w:right w:val="single" w:sz="4" w:space="0" w:color="auto"/>
            </w:tcBorders>
            <w:shd w:val="clear" w:color="000000" w:fill="8DB4E2"/>
            <w:noWrap/>
            <w:vAlign w:val="bottom"/>
            <w:hideMark/>
          </w:tcPr>
          <w:p w:rsidR="00AC0A03" w:rsidRPr="00AC0A03" w:rsidRDefault="00AC0A03" w:rsidP="00AC0A03">
            <w:pPr>
              <w:jc w:val="center"/>
              <w:rPr>
                <w:b/>
                <w:bCs/>
                <w:color w:val="000000"/>
                <w:lang w:val="es-GT" w:eastAsia="es-GT"/>
              </w:rPr>
            </w:pPr>
            <w:r w:rsidRPr="00AC0A03">
              <w:rPr>
                <w:b/>
                <w:bCs/>
                <w:color w:val="000000"/>
                <w:lang w:val="es-GT" w:eastAsia="es-GT"/>
              </w:rPr>
              <w:t>Absolutas</w:t>
            </w:r>
          </w:p>
        </w:tc>
        <w:tc>
          <w:tcPr>
            <w:tcW w:w="1305" w:type="dxa"/>
            <w:tcBorders>
              <w:top w:val="single" w:sz="4" w:space="0" w:color="auto"/>
              <w:left w:val="nil"/>
              <w:bottom w:val="single" w:sz="4" w:space="0" w:color="auto"/>
              <w:right w:val="single" w:sz="8" w:space="0" w:color="auto"/>
            </w:tcBorders>
            <w:shd w:val="clear" w:color="000000" w:fill="8DB4E2"/>
            <w:noWrap/>
            <w:vAlign w:val="bottom"/>
            <w:hideMark/>
          </w:tcPr>
          <w:p w:rsidR="00AC0A03" w:rsidRPr="00AC0A03" w:rsidRDefault="00AC0A03" w:rsidP="00AC0A03">
            <w:pPr>
              <w:jc w:val="center"/>
              <w:rPr>
                <w:b/>
                <w:bCs/>
                <w:color w:val="000000"/>
                <w:lang w:val="es-GT" w:eastAsia="es-GT"/>
              </w:rPr>
            </w:pPr>
            <w:r w:rsidRPr="00AC0A03">
              <w:rPr>
                <w:b/>
                <w:bCs/>
                <w:color w:val="000000"/>
                <w:lang w:val="es-GT" w:eastAsia="es-GT"/>
              </w:rPr>
              <w:t>Relativas</w:t>
            </w:r>
          </w:p>
        </w:tc>
      </w:tr>
      <w:tr w:rsidR="00AC0A03" w:rsidRPr="00AC0A03" w:rsidTr="005F2F01">
        <w:trPr>
          <w:trHeight w:val="510"/>
          <w:jc w:val="center"/>
        </w:trPr>
        <w:tc>
          <w:tcPr>
            <w:tcW w:w="2920" w:type="dxa"/>
            <w:tcBorders>
              <w:top w:val="nil"/>
              <w:left w:val="single" w:sz="8" w:space="0" w:color="auto"/>
              <w:bottom w:val="nil"/>
              <w:right w:val="nil"/>
            </w:tcBorders>
            <w:shd w:val="clear" w:color="000000" w:fill="FFFFFF"/>
            <w:noWrap/>
            <w:vAlign w:val="center"/>
            <w:hideMark/>
          </w:tcPr>
          <w:p w:rsidR="00AC0A03" w:rsidRPr="00AC0A03" w:rsidRDefault="00AC0A03" w:rsidP="00AC0A03">
            <w:pPr>
              <w:jc w:val="center"/>
              <w:rPr>
                <w:b/>
                <w:bCs/>
                <w:color w:val="000000"/>
                <w:lang w:val="es-GT" w:eastAsia="es-GT"/>
              </w:rPr>
            </w:pPr>
            <w:r w:rsidRPr="00AC0A03">
              <w:rPr>
                <w:b/>
                <w:bCs/>
                <w:color w:val="000000"/>
                <w:lang w:val="es-GT" w:eastAsia="es-GT"/>
              </w:rPr>
              <w:t>Total</w:t>
            </w:r>
          </w:p>
        </w:tc>
        <w:tc>
          <w:tcPr>
            <w:tcW w:w="1340" w:type="dxa"/>
            <w:tcBorders>
              <w:top w:val="nil"/>
              <w:left w:val="single" w:sz="4" w:space="0" w:color="auto"/>
              <w:bottom w:val="nil"/>
              <w:right w:val="single" w:sz="4" w:space="0" w:color="auto"/>
            </w:tcBorders>
            <w:shd w:val="clear" w:color="000000" w:fill="FFFFFF"/>
            <w:noWrap/>
            <w:vAlign w:val="center"/>
            <w:hideMark/>
          </w:tcPr>
          <w:p w:rsidR="00AC0A03" w:rsidRPr="00AC0A03" w:rsidRDefault="00AC0A03" w:rsidP="00AC0A03">
            <w:pPr>
              <w:rPr>
                <w:b/>
                <w:bCs/>
                <w:color w:val="000000"/>
                <w:lang w:val="es-GT" w:eastAsia="es-GT"/>
              </w:rPr>
            </w:pPr>
            <w:r w:rsidRPr="00AC0A03">
              <w:rPr>
                <w:b/>
                <w:bCs/>
                <w:color w:val="000000"/>
                <w:lang w:val="es-GT" w:eastAsia="es-GT"/>
              </w:rPr>
              <w:t xml:space="preserve">      28,650.0 </w:t>
            </w:r>
          </w:p>
        </w:tc>
        <w:tc>
          <w:tcPr>
            <w:tcW w:w="1340"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b/>
                <w:bCs/>
                <w:color w:val="000000"/>
                <w:lang w:val="es-GT" w:eastAsia="es-GT"/>
              </w:rPr>
            </w:pPr>
            <w:r w:rsidRPr="00AC0A03">
              <w:rPr>
                <w:b/>
                <w:bCs/>
                <w:color w:val="000000"/>
                <w:lang w:val="es-GT" w:eastAsia="es-GT"/>
              </w:rPr>
              <w:t xml:space="preserve">      30,644.5 </w:t>
            </w:r>
          </w:p>
        </w:tc>
        <w:tc>
          <w:tcPr>
            <w:tcW w:w="1375"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b/>
                <w:bCs/>
                <w:color w:val="000000"/>
                <w:lang w:val="es-GT" w:eastAsia="es-GT"/>
              </w:rPr>
            </w:pPr>
            <w:r w:rsidRPr="00AC0A03">
              <w:rPr>
                <w:b/>
                <w:bCs/>
                <w:color w:val="000000"/>
                <w:lang w:val="es-GT" w:eastAsia="es-GT"/>
              </w:rPr>
              <w:t xml:space="preserve">        1,994.5 </w:t>
            </w:r>
          </w:p>
        </w:tc>
        <w:tc>
          <w:tcPr>
            <w:tcW w:w="1305" w:type="dxa"/>
            <w:tcBorders>
              <w:top w:val="nil"/>
              <w:left w:val="nil"/>
              <w:bottom w:val="nil"/>
              <w:right w:val="single" w:sz="8" w:space="0" w:color="auto"/>
            </w:tcBorders>
            <w:shd w:val="clear" w:color="000000" w:fill="FFFFFF"/>
            <w:noWrap/>
            <w:vAlign w:val="center"/>
            <w:hideMark/>
          </w:tcPr>
          <w:p w:rsidR="00AC0A03" w:rsidRPr="00AC0A03" w:rsidRDefault="00AC0A03" w:rsidP="00AC0A03">
            <w:pPr>
              <w:jc w:val="center"/>
              <w:rPr>
                <w:b/>
                <w:bCs/>
                <w:color w:val="000000"/>
                <w:lang w:val="es-GT" w:eastAsia="es-GT"/>
              </w:rPr>
            </w:pPr>
            <w:r w:rsidRPr="00AC0A03">
              <w:rPr>
                <w:b/>
                <w:bCs/>
                <w:color w:val="000000"/>
                <w:lang w:val="es-GT" w:eastAsia="es-GT"/>
              </w:rPr>
              <w:t>7.0%</w:t>
            </w:r>
          </w:p>
        </w:tc>
      </w:tr>
      <w:tr w:rsidR="00AC0A03" w:rsidRPr="00AC0A03" w:rsidTr="005F2F01">
        <w:trPr>
          <w:trHeight w:val="510"/>
          <w:jc w:val="center"/>
        </w:trPr>
        <w:tc>
          <w:tcPr>
            <w:tcW w:w="2920" w:type="dxa"/>
            <w:tcBorders>
              <w:top w:val="nil"/>
              <w:left w:val="single" w:sz="8" w:space="0" w:color="auto"/>
              <w:bottom w:val="nil"/>
              <w:right w:val="nil"/>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Gastos de Funcionamiento</w:t>
            </w:r>
          </w:p>
        </w:tc>
        <w:tc>
          <w:tcPr>
            <w:tcW w:w="1340" w:type="dxa"/>
            <w:tcBorders>
              <w:top w:val="nil"/>
              <w:left w:val="single" w:sz="4" w:space="0" w:color="auto"/>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19,520.3 </w:t>
            </w:r>
          </w:p>
        </w:tc>
        <w:tc>
          <w:tcPr>
            <w:tcW w:w="1340"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20,873.9 </w:t>
            </w:r>
          </w:p>
        </w:tc>
        <w:tc>
          <w:tcPr>
            <w:tcW w:w="1375"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1,353.6 </w:t>
            </w:r>
          </w:p>
        </w:tc>
        <w:tc>
          <w:tcPr>
            <w:tcW w:w="1305" w:type="dxa"/>
            <w:tcBorders>
              <w:top w:val="nil"/>
              <w:left w:val="nil"/>
              <w:bottom w:val="nil"/>
              <w:right w:val="single" w:sz="8" w:space="0" w:color="auto"/>
            </w:tcBorders>
            <w:shd w:val="clear" w:color="000000" w:fill="FFFFFF"/>
            <w:noWrap/>
            <w:vAlign w:val="center"/>
            <w:hideMark/>
          </w:tcPr>
          <w:p w:rsidR="00AC0A03" w:rsidRPr="00AC0A03" w:rsidRDefault="00AC0A03" w:rsidP="00AC0A03">
            <w:pPr>
              <w:jc w:val="center"/>
              <w:rPr>
                <w:color w:val="000000"/>
                <w:lang w:val="es-GT" w:eastAsia="es-GT"/>
              </w:rPr>
            </w:pPr>
            <w:r w:rsidRPr="00AC0A03">
              <w:rPr>
                <w:color w:val="000000"/>
                <w:lang w:val="es-GT" w:eastAsia="es-GT"/>
              </w:rPr>
              <w:t>6.9%</w:t>
            </w:r>
          </w:p>
        </w:tc>
      </w:tr>
      <w:tr w:rsidR="00AC0A03" w:rsidRPr="00AC0A03" w:rsidTr="005F2F01">
        <w:trPr>
          <w:trHeight w:val="510"/>
          <w:jc w:val="center"/>
        </w:trPr>
        <w:tc>
          <w:tcPr>
            <w:tcW w:w="2920" w:type="dxa"/>
            <w:tcBorders>
              <w:top w:val="nil"/>
              <w:left w:val="single" w:sz="8" w:space="0" w:color="auto"/>
              <w:bottom w:val="nil"/>
              <w:right w:val="nil"/>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Inversión</w:t>
            </w:r>
          </w:p>
        </w:tc>
        <w:tc>
          <w:tcPr>
            <w:tcW w:w="1340" w:type="dxa"/>
            <w:tcBorders>
              <w:top w:val="nil"/>
              <w:left w:val="single" w:sz="4" w:space="0" w:color="auto"/>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4,037.1 </w:t>
            </w:r>
          </w:p>
        </w:tc>
        <w:tc>
          <w:tcPr>
            <w:tcW w:w="1340"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4,457.8 </w:t>
            </w:r>
          </w:p>
        </w:tc>
        <w:tc>
          <w:tcPr>
            <w:tcW w:w="1375"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420.7 </w:t>
            </w:r>
          </w:p>
        </w:tc>
        <w:tc>
          <w:tcPr>
            <w:tcW w:w="1305" w:type="dxa"/>
            <w:tcBorders>
              <w:top w:val="nil"/>
              <w:left w:val="nil"/>
              <w:bottom w:val="nil"/>
              <w:right w:val="single" w:sz="8" w:space="0" w:color="auto"/>
            </w:tcBorders>
            <w:shd w:val="clear" w:color="000000" w:fill="FFFFFF"/>
            <w:noWrap/>
            <w:vAlign w:val="center"/>
            <w:hideMark/>
          </w:tcPr>
          <w:p w:rsidR="00AC0A03" w:rsidRPr="00AC0A03" w:rsidRDefault="00AC0A03" w:rsidP="00AC0A03">
            <w:pPr>
              <w:jc w:val="center"/>
              <w:rPr>
                <w:color w:val="000000"/>
                <w:lang w:val="es-GT" w:eastAsia="es-GT"/>
              </w:rPr>
            </w:pPr>
            <w:r w:rsidRPr="00AC0A03">
              <w:rPr>
                <w:color w:val="000000"/>
                <w:lang w:val="es-GT" w:eastAsia="es-GT"/>
              </w:rPr>
              <w:t>10.4%</w:t>
            </w:r>
          </w:p>
        </w:tc>
      </w:tr>
      <w:tr w:rsidR="00AC0A03" w:rsidRPr="00AC0A03" w:rsidTr="005F2F01">
        <w:trPr>
          <w:trHeight w:val="510"/>
          <w:jc w:val="center"/>
        </w:trPr>
        <w:tc>
          <w:tcPr>
            <w:tcW w:w="2920" w:type="dxa"/>
            <w:tcBorders>
              <w:top w:val="nil"/>
              <w:left w:val="single" w:sz="8" w:space="0" w:color="auto"/>
              <w:bottom w:val="single" w:sz="4" w:space="0" w:color="auto"/>
              <w:right w:val="nil"/>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Deuda Pública</w:t>
            </w:r>
          </w:p>
        </w:tc>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5,092.6 </w:t>
            </w:r>
          </w:p>
        </w:tc>
        <w:tc>
          <w:tcPr>
            <w:tcW w:w="1340" w:type="dxa"/>
            <w:tcBorders>
              <w:top w:val="nil"/>
              <w:left w:val="nil"/>
              <w:bottom w:val="single" w:sz="4" w:space="0" w:color="auto"/>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5,312.8 </w:t>
            </w:r>
          </w:p>
        </w:tc>
        <w:tc>
          <w:tcPr>
            <w:tcW w:w="1375" w:type="dxa"/>
            <w:tcBorders>
              <w:top w:val="nil"/>
              <w:left w:val="nil"/>
              <w:bottom w:val="single" w:sz="4" w:space="0" w:color="auto"/>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220.2 </w:t>
            </w:r>
          </w:p>
        </w:tc>
        <w:tc>
          <w:tcPr>
            <w:tcW w:w="1305" w:type="dxa"/>
            <w:tcBorders>
              <w:top w:val="nil"/>
              <w:left w:val="nil"/>
              <w:bottom w:val="single" w:sz="4" w:space="0" w:color="auto"/>
              <w:right w:val="single" w:sz="8" w:space="0" w:color="auto"/>
            </w:tcBorders>
            <w:shd w:val="clear" w:color="000000" w:fill="FFFFFF"/>
            <w:noWrap/>
            <w:vAlign w:val="center"/>
            <w:hideMark/>
          </w:tcPr>
          <w:p w:rsidR="00AC0A03" w:rsidRPr="00AC0A03" w:rsidRDefault="00AC0A03" w:rsidP="00AC0A03">
            <w:pPr>
              <w:jc w:val="center"/>
              <w:rPr>
                <w:color w:val="000000"/>
                <w:lang w:val="es-GT" w:eastAsia="es-GT"/>
              </w:rPr>
            </w:pPr>
            <w:r w:rsidRPr="00AC0A03">
              <w:rPr>
                <w:color w:val="000000"/>
                <w:lang w:val="es-GT" w:eastAsia="es-GT"/>
              </w:rPr>
              <w:t>4.3%</w:t>
            </w:r>
          </w:p>
        </w:tc>
      </w:tr>
      <w:tr w:rsidR="00AC0A03" w:rsidRPr="00AC0A03" w:rsidTr="005F2F01">
        <w:trPr>
          <w:trHeight w:val="510"/>
          <w:jc w:val="center"/>
        </w:trPr>
        <w:tc>
          <w:tcPr>
            <w:tcW w:w="2920" w:type="dxa"/>
            <w:tcBorders>
              <w:top w:val="nil"/>
              <w:left w:val="single" w:sz="8" w:space="0" w:color="auto"/>
              <w:bottom w:val="nil"/>
              <w:right w:val="nil"/>
            </w:tcBorders>
            <w:shd w:val="clear" w:color="000000" w:fill="FFFFFF"/>
            <w:noWrap/>
            <w:vAlign w:val="center"/>
            <w:hideMark/>
          </w:tcPr>
          <w:p w:rsidR="00AC0A03" w:rsidRPr="00AC0A03" w:rsidRDefault="00AC0A03" w:rsidP="005F2F01">
            <w:pPr>
              <w:rPr>
                <w:color w:val="000000"/>
                <w:lang w:val="es-GT" w:eastAsia="es-GT"/>
              </w:rPr>
            </w:pPr>
            <w:r w:rsidRPr="00AC0A03">
              <w:rPr>
                <w:color w:val="000000"/>
                <w:lang w:val="es-GT" w:eastAsia="es-GT"/>
              </w:rPr>
              <w:t xml:space="preserve">Presupuesto </w:t>
            </w:r>
            <w:r w:rsidR="005F2F01">
              <w:rPr>
                <w:color w:val="000000"/>
                <w:lang w:val="es-GT" w:eastAsia="es-GT"/>
              </w:rPr>
              <w:t>v</w:t>
            </w:r>
            <w:r w:rsidRPr="00AC0A03">
              <w:rPr>
                <w:color w:val="000000"/>
                <w:lang w:val="es-GT" w:eastAsia="es-GT"/>
              </w:rPr>
              <w:t>igente</w:t>
            </w:r>
          </w:p>
        </w:tc>
        <w:tc>
          <w:tcPr>
            <w:tcW w:w="1340" w:type="dxa"/>
            <w:tcBorders>
              <w:top w:val="nil"/>
              <w:left w:val="single" w:sz="4" w:space="0" w:color="auto"/>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71,046.3 </w:t>
            </w:r>
          </w:p>
        </w:tc>
        <w:tc>
          <w:tcPr>
            <w:tcW w:w="1340"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77,384.2 </w:t>
            </w:r>
          </w:p>
        </w:tc>
        <w:tc>
          <w:tcPr>
            <w:tcW w:w="1375" w:type="dxa"/>
            <w:tcBorders>
              <w:top w:val="nil"/>
              <w:left w:val="nil"/>
              <w:bottom w:val="nil"/>
              <w:right w:val="single" w:sz="4" w:space="0" w:color="auto"/>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        6,337.9 </w:t>
            </w:r>
          </w:p>
        </w:tc>
        <w:tc>
          <w:tcPr>
            <w:tcW w:w="1305" w:type="dxa"/>
            <w:tcBorders>
              <w:top w:val="nil"/>
              <w:left w:val="nil"/>
              <w:bottom w:val="nil"/>
              <w:right w:val="single" w:sz="8" w:space="0" w:color="auto"/>
            </w:tcBorders>
            <w:shd w:val="clear" w:color="000000" w:fill="FFFFFF"/>
            <w:noWrap/>
            <w:vAlign w:val="center"/>
            <w:hideMark/>
          </w:tcPr>
          <w:p w:rsidR="00AC0A03" w:rsidRPr="00AC0A03" w:rsidRDefault="00AC0A03" w:rsidP="00AC0A03">
            <w:pPr>
              <w:jc w:val="center"/>
              <w:rPr>
                <w:color w:val="000000"/>
                <w:lang w:val="es-GT" w:eastAsia="es-GT"/>
              </w:rPr>
            </w:pPr>
            <w:r w:rsidRPr="00AC0A03">
              <w:rPr>
                <w:color w:val="000000"/>
                <w:lang w:val="es-GT" w:eastAsia="es-GT"/>
              </w:rPr>
              <w:t>8.9%</w:t>
            </w:r>
          </w:p>
        </w:tc>
      </w:tr>
      <w:tr w:rsidR="00AC0A03" w:rsidRPr="00AC0A03" w:rsidTr="005F2F01">
        <w:trPr>
          <w:trHeight w:val="510"/>
          <w:jc w:val="center"/>
        </w:trPr>
        <w:tc>
          <w:tcPr>
            <w:tcW w:w="2920" w:type="dxa"/>
            <w:tcBorders>
              <w:top w:val="nil"/>
              <w:left w:val="single" w:sz="8" w:space="0" w:color="auto"/>
              <w:bottom w:val="single" w:sz="8" w:space="0" w:color="auto"/>
              <w:right w:val="nil"/>
            </w:tcBorders>
            <w:shd w:val="clear" w:color="000000" w:fill="FFFFFF"/>
            <w:noWrap/>
            <w:vAlign w:val="center"/>
            <w:hideMark/>
          </w:tcPr>
          <w:p w:rsidR="00AC0A03" w:rsidRPr="00AC0A03" w:rsidRDefault="00AC0A03" w:rsidP="00AC0A03">
            <w:pPr>
              <w:rPr>
                <w:color w:val="000000"/>
                <w:lang w:val="es-GT" w:eastAsia="es-GT"/>
              </w:rPr>
            </w:pPr>
            <w:r w:rsidRPr="00AC0A03">
              <w:rPr>
                <w:color w:val="000000"/>
                <w:lang w:val="es-GT" w:eastAsia="es-GT"/>
              </w:rPr>
              <w:t xml:space="preserve">Porcentaje de ejecución </w:t>
            </w:r>
          </w:p>
        </w:tc>
        <w:tc>
          <w:tcPr>
            <w:tcW w:w="1340" w:type="dxa"/>
            <w:tcBorders>
              <w:top w:val="nil"/>
              <w:left w:val="single" w:sz="4" w:space="0" w:color="auto"/>
              <w:bottom w:val="single" w:sz="8" w:space="0" w:color="auto"/>
              <w:right w:val="single" w:sz="4" w:space="0" w:color="auto"/>
            </w:tcBorders>
            <w:shd w:val="clear" w:color="000000" w:fill="FFFFFF"/>
            <w:noWrap/>
            <w:vAlign w:val="center"/>
            <w:hideMark/>
          </w:tcPr>
          <w:p w:rsidR="00AC0A03" w:rsidRPr="00AC0A03" w:rsidRDefault="00AC0A03" w:rsidP="00AC0A03">
            <w:pPr>
              <w:jc w:val="right"/>
              <w:rPr>
                <w:color w:val="000000"/>
                <w:lang w:val="es-GT" w:eastAsia="es-GT"/>
              </w:rPr>
            </w:pPr>
            <w:r w:rsidRPr="00AC0A03">
              <w:rPr>
                <w:color w:val="000000"/>
                <w:lang w:val="es-GT" w:eastAsia="es-GT"/>
              </w:rPr>
              <w:t>40.3%</w:t>
            </w:r>
          </w:p>
        </w:tc>
        <w:tc>
          <w:tcPr>
            <w:tcW w:w="1340" w:type="dxa"/>
            <w:tcBorders>
              <w:top w:val="nil"/>
              <w:left w:val="nil"/>
              <w:bottom w:val="single" w:sz="8" w:space="0" w:color="auto"/>
              <w:right w:val="single" w:sz="4" w:space="0" w:color="auto"/>
            </w:tcBorders>
            <w:shd w:val="clear" w:color="000000" w:fill="FFFFFF"/>
            <w:noWrap/>
            <w:vAlign w:val="center"/>
            <w:hideMark/>
          </w:tcPr>
          <w:p w:rsidR="00AC0A03" w:rsidRPr="00AC0A03" w:rsidRDefault="00AC0A03" w:rsidP="00AC0A03">
            <w:pPr>
              <w:jc w:val="right"/>
              <w:rPr>
                <w:color w:val="000000"/>
                <w:lang w:val="es-GT" w:eastAsia="es-GT"/>
              </w:rPr>
            </w:pPr>
            <w:r w:rsidRPr="00AC0A03">
              <w:rPr>
                <w:color w:val="000000"/>
                <w:lang w:val="es-GT" w:eastAsia="es-GT"/>
              </w:rPr>
              <w:t>39.6%</w:t>
            </w:r>
          </w:p>
        </w:tc>
        <w:tc>
          <w:tcPr>
            <w:tcW w:w="1375" w:type="dxa"/>
            <w:tcBorders>
              <w:top w:val="nil"/>
              <w:left w:val="nil"/>
              <w:bottom w:val="single" w:sz="8" w:space="0" w:color="auto"/>
              <w:right w:val="single" w:sz="4" w:space="0" w:color="auto"/>
            </w:tcBorders>
            <w:shd w:val="clear" w:color="000000" w:fill="FFFFFF"/>
            <w:noWrap/>
            <w:vAlign w:val="center"/>
            <w:hideMark/>
          </w:tcPr>
          <w:p w:rsidR="00AC0A03" w:rsidRPr="00AC0A03" w:rsidRDefault="00AC0A03" w:rsidP="00AC0A03">
            <w:pPr>
              <w:jc w:val="right"/>
              <w:rPr>
                <w:color w:val="000000"/>
                <w:lang w:val="es-GT" w:eastAsia="es-GT"/>
              </w:rPr>
            </w:pPr>
            <w:r w:rsidRPr="00AC0A03">
              <w:rPr>
                <w:color w:val="000000"/>
                <w:lang w:val="es-GT" w:eastAsia="es-GT"/>
              </w:rPr>
              <w:t>-0.7%</w:t>
            </w:r>
          </w:p>
        </w:tc>
        <w:tc>
          <w:tcPr>
            <w:tcW w:w="1305" w:type="dxa"/>
            <w:tcBorders>
              <w:top w:val="nil"/>
              <w:left w:val="nil"/>
              <w:bottom w:val="single" w:sz="8" w:space="0" w:color="auto"/>
              <w:right w:val="single" w:sz="8" w:space="0" w:color="auto"/>
            </w:tcBorders>
            <w:shd w:val="clear" w:color="000000" w:fill="FFFFFF"/>
            <w:noWrap/>
            <w:vAlign w:val="center"/>
            <w:hideMark/>
          </w:tcPr>
          <w:p w:rsidR="00AC0A03" w:rsidRPr="00AC0A03" w:rsidRDefault="00AC0A03" w:rsidP="00AC0A03">
            <w:pPr>
              <w:jc w:val="center"/>
              <w:rPr>
                <w:color w:val="000000"/>
                <w:lang w:val="es-GT" w:eastAsia="es-GT"/>
              </w:rPr>
            </w:pPr>
            <w:r w:rsidRPr="00AC0A03">
              <w:rPr>
                <w:color w:val="000000"/>
                <w:lang w:val="es-GT" w:eastAsia="es-GT"/>
              </w:rPr>
              <w:t>-1.8%</w:t>
            </w:r>
          </w:p>
        </w:tc>
      </w:tr>
    </w:tbl>
    <w:p w:rsidR="002F3446" w:rsidRDefault="002F3446" w:rsidP="002F3446">
      <w:pPr>
        <w:jc w:val="center"/>
        <w:rPr>
          <w:sz w:val="16"/>
          <w:lang w:val="es-MX"/>
        </w:rPr>
      </w:pPr>
    </w:p>
    <w:p w:rsidR="002F3446" w:rsidRPr="003115F3" w:rsidRDefault="002F3446" w:rsidP="002F3446">
      <w:pPr>
        <w:ind w:firstLine="708"/>
        <w:rPr>
          <w:sz w:val="16"/>
          <w:lang w:val="es-MX"/>
        </w:rPr>
      </w:pPr>
      <w:r w:rsidRPr="003115F3">
        <w:rPr>
          <w:sz w:val="16"/>
          <w:lang w:val="es-MX"/>
        </w:rPr>
        <w:t>Fuente: Ministerio de Finanzas Públicas con base al SICOIN.</w:t>
      </w:r>
    </w:p>
    <w:p w:rsidR="002F3446" w:rsidRPr="003115F3" w:rsidRDefault="002F3446" w:rsidP="002F3446">
      <w:pPr>
        <w:ind w:firstLine="708"/>
        <w:rPr>
          <w:sz w:val="16"/>
          <w:lang w:val="es-MX"/>
        </w:rPr>
      </w:pPr>
      <w:r w:rsidRPr="003115F3">
        <w:rPr>
          <w:sz w:val="16"/>
          <w:lang w:val="es-MX"/>
        </w:rPr>
        <w:t>* Cifras preliminares.</w:t>
      </w:r>
    </w:p>
    <w:p w:rsidR="002F3446" w:rsidRPr="00FB641E" w:rsidRDefault="002F3446" w:rsidP="002F3446">
      <w:pPr>
        <w:rPr>
          <w:sz w:val="18"/>
          <w:lang w:val="es-MX"/>
        </w:rPr>
      </w:pPr>
    </w:p>
    <w:p w:rsidR="002F3446" w:rsidRPr="00FB641E" w:rsidRDefault="002F3446" w:rsidP="00D16A2D">
      <w:pPr>
        <w:keepNext/>
        <w:keepLines/>
        <w:numPr>
          <w:ilvl w:val="2"/>
          <w:numId w:val="3"/>
        </w:numPr>
        <w:spacing w:before="200"/>
        <w:outlineLvl w:val="2"/>
        <w:rPr>
          <w:b/>
          <w:bCs/>
          <w:lang w:val="es-MX"/>
        </w:rPr>
      </w:pPr>
      <w:bookmarkStart w:id="18" w:name="_Toc494450595"/>
      <w:r w:rsidRPr="00FB641E">
        <w:rPr>
          <w:b/>
          <w:bCs/>
          <w:lang w:val="es-MX"/>
        </w:rPr>
        <w:t>Destino del gasto por cuenta económica</w:t>
      </w:r>
      <w:bookmarkEnd w:id="18"/>
    </w:p>
    <w:p w:rsidR="002F3446" w:rsidRPr="00FB641E" w:rsidRDefault="002F3446" w:rsidP="002F3446">
      <w:pPr>
        <w:jc w:val="both"/>
        <w:rPr>
          <w:sz w:val="32"/>
          <w:lang w:val="es-MX"/>
        </w:rPr>
      </w:pPr>
    </w:p>
    <w:p w:rsidR="002F3446" w:rsidRPr="00FB641E" w:rsidRDefault="002F3446" w:rsidP="002F3446">
      <w:pPr>
        <w:jc w:val="both"/>
        <w:rPr>
          <w:lang w:val="es-MX"/>
        </w:rPr>
      </w:pPr>
      <w:r w:rsidRPr="00FB641E">
        <w:rPr>
          <w:lang w:val="es-MX"/>
        </w:rPr>
        <w:t>Los gastos totales al 30 de junio de 201</w:t>
      </w:r>
      <w:r>
        <w:rPr>
          <w:lang w:val="es-MX"/>
        </w:rPr>
        <w:t>7</w:t>
      </w:r>
      <w:r w:rsidRPr="00FB641E">
        <w:rPr>
          <w:lang w:val="es-MX"/>
        </w:rPr>
        <w:t xml:space="preserve"> (sin incluir amortizaciones de la deuda pública)</w:t>
      </w:r>
      <w:r>
        <w:rPr>
          <w:lang w:val="es-MX"/>
        </w:rPr>
        <w:t xml:space="preserve"> alcanzaron un monto de </w:t>
      </w:r>
      <w:r w:rsidRPr="00FB641E">
        <w:rPr>
          <w:lang w:val="es-MX"/>
        </w:rPr>
        <w:t>Q</w:t>
      </w:r>
      <w:r w:rsidR="00F45316">
        <w:rPr>
          <w:lang w:val="es-MX"/>
        </w:rPr>
        <w:t>.</w:t>
      </w:r>
      <w:r w:rsidRPr="00FB641E">
        <w:rPr>
          <w:lang w:val="es-MX"/>
        </w:rPr>
        <w:t>2</w:t>
      </w:r>
      <w:r>
        <w:rPr>
          <w:lang w:val="es-MX"/>
        </w:rPr>
        <w:t>9</w:t>
      </w:r>
      <w:r w:rsidRPr="00FB641E">
        <w:rPr>
          <w:lang w:val="es-MX"/>
        </w:rPr>
        <w:t>,</w:t>
      </w:r>
      <w:r>
        <w:rPr>
          <w:lang w:val="es-MX"/>
        </w:rPr>
        <w:t>220.7</w:t>
      </w:r>
      <w:r w:rsidRPr="00FB641E">
        <w:rPr>
          <w:lang w:val="es-MX"/>
        </w:rPr>
        <w:t xml:space="preserve"> millones, </w:t>
      </w:r>
      <w:r>
        <w:rPr>
          <w:lang w:val="es-MX"/>
        </w:rPr>
        <w:t>monto mayor en Q</w:t>
      </w:r>
      <w:r w:rsidR="00F45316">
        <w:rPr>
          <w:lang w:val="es-MX"/>
        </w:rPr>
        <w:t>.</w:t>
      </w:r>
      <w:r>
        <w:rPr>
          <w:lang w:val="es-MX"/>
        </w:rPr>
        <w:t xml:space="preserve">1,881.7 millones a lo observado en el mismo período de 2016 </w:t>
      </w:r>
      <w:r w:rsidRPr="00FB641E">
        <w:rPr>
          <w:lang w:val="es-MX"/>
        </w:rPr>
        <w:t>que</w:t>
      </w:r>
      <w:r>
        <w:rPr>
          <w:lang w:val="es-MX"/>
        </w:rPr>
        <w:t xml:space="preserve"> fue de Q</w:t>
      </w:r>
      <w:r w:rsidR="00F45316">
        <w:rPr>
          <w:lang w:val="es-MX"/>
        </w:rPr>
        <w:t>.</w:t>
      </w:r>
      <w:r>
        <w:rPr>
          <w:lang w:val="es-MX"/>
        </w:rPr>
        <w:t>27,339.1</w:t>
      </w:r>
      <w:r w:rsidRPr="00FB641E">
        <w:rPr>
          <w:lang w:val="es-MX"/>
        </w:rPr>
        <w:t xml:space="preserve"> millones. </w:t>
      </w:r>
      <w:r>
        <w:rPr>
          <w:lang w:val="es-MX"/>
        </w:rPr>
        <w:t xml:space="preserve"> El aumento se dio principalmente en los </w:t>
      </w:r>
      <w:r w:rsidR="00F45316">
        <w:rPr>
          <w:lang w:val="es-MX"/>
        </w:rPr>
        <w:t>G</w:t>
      </w:r>
      <w:r>
        <w:rPr>
          <w:lang w:val="es-MX"/>
        </w:rPr>
        <w:t xml:space="preserve">astos </w:t>
      </w:r>
      <w:r w:rsidR="00F45316">
        <w:rPr>
          <w:lang w:val="es-MX"/>
        </w:rPr>
        <w:t>C</w:t>
      </w:r>
      <w:r>
        <w:rPr>
          <w:lang w:val="es-MX"/>
        </w:rPr>
        <w:t xml:space="preserve">orrientes, en los rubros de </w:t>
      </w:r>
      <w:r w:rsidR="00F45316">
        <w:rPr>
          <w:lang w:val="es-MX"/>
        </w:rPr>
        <w:t>r</w:t>
      </w:r>
      <w:r>
        <w:rPr>
          <w:lang w:val="es-MX"/>
        </w:rPr>
        <w:t xml:space="preserve">emuneraciones, </w:t>
      </w:r>
      <w:r w:rsidR="00F45316">
        <w:rPr>
          <w:lang w:val="es-MX"/>
        </w:rPr>
        <w:t>p</w:t>
      </w:r>
      <w:r>
        <w:rPr>
          <w:lang w:val="es-MX"/>
        </w:rPr>
        <w:t xml:space="preserve">restaciones a la </w:t>
      </w:r>
      <w:r w:rsidR="00F45316">
        <w:rPr>
          <w:lang w:val="es-MX"/>
        </w:rPr>
        <w:t>s</w:t>
      </w:r>
      <w:r>
        <w:rPr>
          <w:lang w:val="es-MX"/>
        </w:rPr>
        <w:t xml:space="preserve">eguridad </w:t>
      </w:r>
      <w:r w:rsidR="00F45316">
        <w:rPr>
          <w:lang w:val="es-MX"/>
        </w:rPr>
        <w:t>s</w:t>
      </w:r>
      <w:r>
        <w:rPr>
          <w:lang w:val="es-MX"/>
        </w:rPr>
        <w:t xml:space="preserve">ocial, </w:t>
      </w:r>
      <w:r w:rsidR="00F45316">
        <w:rPr>
          <w:lang w:val="es-MX"/>
        </w:rPr>
        <w:t>i</w:t>
      </w:r>
      <w:r>
        <w:rPr>
          <w:lang w:val="es-MX"/>
        </w:rPr>
        <w:t xml:space="preserve">ntereses de deuda pública, en las </w:t>
      </w:r>
      <w:r w:rsidR="00F45316">
        <w:rPr>
          <w:lang w:val="es-MX"/>
        </w:rPr>
        <w:t>t</w:t>
      </w:r>
      <w:r>
        <w:rPr>
          <w:lang w:val="es-MX"/>
        </w:rPr>
        <w:t xml:space="preserve">ransferencias </w:t>
      </w:r>
      <w:r w:rsidR="00F45316">
        <w:rPr>
          <w:lang w:val="es-MX"/>
        </w:rPr>
        <w:t>c</w:t>
      </w:r>
      <w:r>
        <w:rPr>
          <w:lang w:val="es-MX"/>
        </w:rPr>
        <w:t xml:space="preserve">orrientes, por el lado de las </w:t>
      </w:r>
      <w:r w:rsidR="00F45316">
        <w:rPr>
          <w:lang w:val="es-MX"/>
        </w:rPr>
        <w:t>correspondientes</w:t>
      </w:r>
      <w:r>
        <w:rPr>
          <w:lang w:val="es-MX"/>
        </w:rPr>
        <w:t xml:space="preserve"> al resto del </w:t>
      </w:r>
      <w:r w:rsidR="00F45316">
        <w:rPr>
          <w:lang w:val="es-MX"/>
        </w:rPr>
        <w:t>s</w:t>
      </w:r>
      <w:r>
        <w:rPr>
          <w:lang w:val="es-MX"/>
        </w:rPr>
        <w:t xml:space="preserve">ector </w:t>
      </w:r>
      <w:r w:rsidR="00F45316">
        <w:rPr>
          <w:lang w:val="es-MX"/>
        </w:rPr>
        <w:t>p</w:t>
      </w:r>
      <w:r>
        <w:rPr>
          <w:lang w:val="es-MX"/>
        </w:rPr>
        <w:t xml:space="preserve">úblico, los rubros con disminución, respecto a la ejecución de 2016, fueron la compra de </w:t>
      </w:r>
      <w:r w:rsidR="00F45316">
        <w:rPr>
          <w:lang w:val="es-MX"/>
        </w:rPr>
        <w:t>b</w:t>
      </w:r>
      <w:r>
        <w:rPr>
          <w:lang w:val="es-MX"/>
        </w:rPr>
        <w:t xml:space="preserve">ienes y </w:t>
      </w:r>
      <w:r w:rsidR="00F45316">
        <w:rPr>
          <w:lang w:val="es-MX"/>
        </w:rPr>
        <w:t>s</w:t>
      </w:r>
      <w:r>
        <w:rPr>
          <w:lang w:val="es-MX"/>
        </w:rPr>
        <w:t>ervicios y las transferencias al sector privado y al sector externo.</w:t>
      </w:r>
    </w:p>
    <w:p w:rsidR="002F3446" w:rsidRPr="00FB641E" w:rsidRDefault="002F3446" w:rsidP="002F3446">
      <w:pPr>
        <w:jc w:val="both"/>
        <w:rPr>
          <w:sz w:val="32"/>
          <w:lang w:val="es-MX"/>
        </w:rPr>
      </w:pPr>
    </w:p>
    <w:p w:rsidR="002F3446" w:rsidRPr="00FB641E" w:rsidRDefault="002F3446" w:rsidP="002F3446">
      <w:pPr>
        <w:jc w:val="both"/>
        <w:rPr>
          <w:lang w:val="es-MX"/>
        </w:rPr>
      </w:pPr>
      <w:r w:rsidRPr="00FB641E">
        <w:rPr>
          <w:lang w:val="es-MX"/>
        </w:rPr>
        <w:t xml:space="preserve">En cuanto a los Gastos de Capital, estos </w:t>
      </w:r>
      <w:r>
        <w:rPr>
          <w:lang w:val="es-MX"/>
        </w:rPr>
        <w:t>aumentaron 10.4% equivalente a Q</w:t>
      </w:r>
      <w:r w:rsidR="00F45316">
        <w:rPr>
          <w:lang w:val="es-MX"/>
        </w:rPr>
        <w:t>.</w:t>
      </w:r>
      <w:r>
        <w:rPr>
          <w:lang w:val="es-MX"/>
        </w:rPr>
        <w:t>420.7 millones, en cuanto a estos rubros todos tuvieron aumento respecto a 2016, principalmente en la inversión real directa con Q</w:t>
      </w:r>
      <w:r w:rsidR="00F45316">
        <w:rPr>
          <w:lang w:val="es-MX"/>
        </w:rPr>
        <w:t>.</w:t>
      </w:r>
      <w:r>
        <w:rPr>
          <w:lang w:val="es-MX"/>
        </w:rPr>
        <w:t>214.7 millones y las transferencias al sector privado y externo con Q</w:t>
      </w:r>
      <w:r w:rsidR="00F45316">
        <w:rPr>
          <w:lang w:val="es-MX"/>
        </w:rPr>
        <w:t>.</w:t>
      </w:r>
      <w:r>
        <w:rPr>
          <w:lang w:val="es-MX"/>
        </w:rPr>
        <w:t>121.2 millones de aumento respecto al año anterior, para dar cumplimiento a lo establecido en el Decreto No. 50-2016 que aprobó el Presupuesto General de Ingresos y Egresos del Estado para el Ejercicio Fiscal 2017</w:t>
      </w:r>
      <w:r w:rsidRPr="00FB641E">
        <w:rPr>
          <w:lang w:val="es-MX"/>
        </w:rPr>
        <w:t>.</w:t>
      </w:r>
      <w:r>
        <w:rPr>
          <w:lang w:val="es-MX"/>
        </w:rPr>
        <w:t xml:space="preserve"> </w:t>
      </w:r>
      <w:r w:rsidRPr="00FB641E">
        <w:rPr>
          <w:lang w:val="es-MX"/>
        </w:rPr>
        <w:t xml:space="preserve">Con el objeto de comparar las cifras de ejecución </w:t>
      </w:r>
      <w:r>
        <w:rPr>
          <w:lang w:val="es-MX"/>
        </w:rPr>
        <w:t xml:space="preserve">presupuestaria </w:t>
      </w:r>
      <w:r w:rsidRPr="00FB641E">
        <w:rPr>
          <w:lang w:val="es-MX"/>
        </w:rPr>
        <w:t>al 30 de junio de 201</w:t>
      </w:r>
      <w:r>
        <w:rPr>
          <w:lang w:val="es-MX"/>
        </w:rPr>
        <w:t>7</w:t>
      </w:r>
      <w:r w:rsidRPr="00FB641E">
        <w:rPr>
          <w:lang w:val="es-MX"/>
        </w:rPr>
        <w:t xml:space="preserve">, a los gastos totales </w:t>
      </w:r>
      <w:r>
        <w:rPr>
          <w:lang w:val="es-MX"/>
        </w:rPr>
        <w:t xml:space="preserve">deben </w:t>
      </w:r>
      <w:r w:rsidRPr="00FB641E">
        <w:rPr>
          <w:lang w:val="es-MX"/>
        </w:rPr>
        <w:t>adicionar</w:t>
      </w:r>
      <w:r>
        <w:rPr>
          <w:lang w:val="es-MX"/>
        </w:rPr>
        <w:t xml:space="preserve">se </w:t>
      </w:r>
      <w:r w:rsidRPr="00FB641E">
        <w:rPr>
          <w:lang w:val="es-MX"/>
        </w:rPr>
        <w:t xml:space="preserve">las amortizaciones de la deuda pública, las </w:t>
      </w:r>
      <w:r>
        <w:rPr>
          <w:lang w:val="es-MX"/>
        </w:rPr>
        <w:t>que</w:t>
      </w:r>
      <w:r w:rsidRPr="00FB641E">
        <w:rPr>
          <w:lang w:val="es-MX"/>
        </w:rPr>
        <w:t xml:space="preserve"> alcanzaron </w:t>
      </w:r>
      <w:r>
        <w:rPr>
          <w:lang w:val="es-MX"/>
        </w:rPr>
        <w:t>los</w:t>
      </w:r>
      <w:r w:rsidRPr="00FB641E">
        <w:rPr>
          <w:lang w:val="es-MX"/>
        </w:rPr>
        <w:t xml:space="preserve"> monto</w:t>
      </w:r>
      <w:r>
        <w:rPr>
          <w:lang w:val="es-MX"/>
        </w:rPr>
        <w:t>s</w:t>
      </w:r>
      <w:r w:rsidRPr="00FB641E">
        <w:rPr>
          <w:lang w:val="es-MX"/>
        </w:rPr>
        <w:t xml:space="preserve"> de Q</w:t>
      </w:r>
      <w:r w:rsidR="00F45316">
        <w:rPr>
          <w:lang w:val="es-MX"/>
        </w:rPr>
        <w:t>.</w:t>
      </w:r>
      <w:r w:rsidRPr="00FB641E">
        <w:rPr>
          <w:lang w:val="es-MX"/>
        </w:rPr>
        <w:t>1,3</w:t>
      </w:r>
      <w:r>
        <w:rPr>
          <w:lang w:val="es-MX"/>
        </w:rPr>
        <w:t>07.2 millones en 2016 y de Q</w:t>
      </w:r>
      <w:r w:rsidR="00F45316">
        <w:rPr>
          <w:lang w:val="es-MX"/>
        </w:rPr>
        <w:t>.</w:t>
      </w:r>
      <w:r>
        <w:rPr>
          <w:lang w:val="es-MX"/>
        </w:rPr>
        <w:t>1,423.7 millones en 2017</w:t>
      </w:r>
      <w:r w:rsidRPr="00FB641E">
        <w:rPr>
          <w:lang w:val="es-MX"/>
        </w:rPr>
        <w:t xml:space="preserve">, </w:t>
      </w:r>
      <w:r>
        <w:rPr>
          <w:lang w:val="es-MX"/>
        </w:rPr>
        <w:t>con aumento de Q</w:t>
      </w:r>
      <w:r w:rsidR="00F45316">
        <w:rPr>
          <w:lang w:val="es-MX"/>
        </w:rPr>
        <w:t>.</w:t>
      </w:r>
      <w:r>
        <w:rPr>
          <w:lang w:val="es-MX"/>
        </w:rPr>
        <w:t>116.5 millones respecto a 2016</w:t>
      </w:r>
      <w:r w:rsidRPr="00FB641E">
        <w:rPr>
          <w:lang w:val="es-MX"/>
        </w:rPr>
        <w:t xml:space="preserve">, </w:t>
      </w:r>
      <w:r>
        <w:rPr>
          <w:lang w:val="es-MX"/>
        </w:rPr>
        <w:t xml:space="preserve">lo </w:t>
      </w:r>
      <w:r w:rsidRPr="00FB641E">
        <w:rPr>
          <w:lang w:val="es-MX"/>
        </w:rPr>
        <w:t>que obedece al programa de pagos de la deuda pública.</w:t>
      </w:r>
    </w:p>
    <w:p w:rsidR="002F3446" w:rsidRDefault="002F3446" w:rsidP="002F3446">
      <w:pPr>
        <w:jc w:val="both"/>
        <w:rPr>
          <w:sz w:val="14"/>
          <w:lang w:val="es-MX"/>
        </w:rPr>
      </w:pPr>
    </w:p>
    <w:p w:rsidR="00825766" w:rsidRDefault="00825766" w:rsidP="002F3446">
      <w:pPr>
        <w:jc w:val="both"/>
        <w:rPr>
          <w:sz w:val="14"/>
          <w:lang w:val="es-MX"/>
        </w:rPr>
      </w:pPr>
    </w:p>
    <w:p w:rsidR="00460A54" w:rsidRDefault="00460A54">
      <w:pPr>
        <w:rPr>
          <w:b/>
          <w:sz w:val="22"/>
          <w:szCs w:val="22"/>
          <w:lang w:val="es-MX"/>
        </w:rPr>
      </w:pPr>
      <w:r>
        <w:rPr>
          <w:b/>
          <w:sz w:val="22"/>
          <w:szCs w:val="22"/>
          <w:lang w:val="es-MX"/>
        </w:rPr>
        <w:br w:type="page"/>
      </w:r>
    </w:p>
    <w:p w:rsidR="002F3446" w:rsidRPr="0088577C" w:rsidRDefault="002F3446" w:rsidP="002F3446">
      <w:pPr>
        <w:jc w:val="center"/>
        <w:rPr>
          <w:b/>
          <w:sz w:val="22"/>
          <w:szCs w:val="22"/>
          <w:lang w:val="es-MX"/>
        </w:rPr>
      </w:pPr>
      <w:r w:rsidRPr="0088577C">
        <w:rPr>
          <w:b/>
          <w:sz w:val="22"/>
          <w:szCs w:val="22"/>
          <w:lang w:val="es-MX"/>
        </w:rPr>
        <w:lastRenderedPageBreak/>
        <w:t xml:space="preserve">Cuadro </w:t>
      </w:r>
      <w:r w:rsidR="00910F6F">
        <w:rPr>
          <w:b/>
          <w:sz w:val="22"/>
          <w:szCs w:val="22"/>
          <w:lang w:val="es-MX"/>
        </w:rPr>
        <w:t>4</w:t>
      </w:r>
    </w:p>
    <w:p w:rsidR="002F3446" w:rsidRPr="0088577C" w:rsidRDefault="002F3446" w:rsidP="002F3446">
      <w:pPr>
        <w:jc w:val="center"/>
        <w:rPr>
          <w:b/>
          <w:sz w:val="22"/>
          <w:szCs w:val="22"/>
          <w:lang w:val="es-MX"/>
        </w:rPr>
      </w:pPr>
      <w:r w:rsidRPr="0088577C">
        <w:rPr>
          <w:b/>
          <w:sz w:val="22"/>
          <w:szCs w:val="22"/>
          <w:lang w:val="es-MX"/>
        </w:rPr>
        <w:t>Detalle del Gasto Público por Cuenta Económica</w:t>
      </w:r>
    </w:p>
    <w:p w:rsidR="002F3446" w:rsidRPr="0088577C" w:rsidRDefault="002F3446" w:rsidP="002F3446">
      <w:pPr>
        <w:jc w:val="center"/>
        <w:rPr>
          <w:b/>
          <w:sz w:val="22"/>
          <w:szCs w:val="22"/>
          <w:lang w:val="es-MX"/>
        </w:rPr>
      </w:pPr>
      <w:r w:rsidRPr="0088577C">
        <w:rPr>
          <w:b/>
          <w:sz w:val="22"/>
          <w:szCs w:val="22"/>
          <w:lang w:val="es-MX"/>
        </w:rPr>
        <w:t>Al 30 de junio de cada año</w:t>
      </w:r>
    </w:p>
    <w:p w:rsidR="002F3446" w:rsidRPr="0088577C" w:rsidRDefault="002F3446" w:rsidP="002F3446">
      <w:pPr>
        <w:jc w:val="center"/>
        <w:rPr>
          <w:b/>
          <w:sz w:val="22"/>
          <w:szCs w:val="22"/>
          <w:lang w:val="es-MX"/>
        </w:rPr>
      </w:pPr>
      <w:r w:rsidRPr="0088577C">
        <w:rPr>
          <w:b/>
          <w:sz w:val="22"/>
          <w:szCs w:val="22"/>
          <w:lang w:val="es-MX"/>
        </w:rPr>
        <w:t>(Cifras en Millones de Quetzales)</w:t>
      </w:r>
    </w:p>
    <w:p w:rsidR="002F3446" w:rsidRDefault="00021644" w:rsidP="002F3446">
      <w:pPr>
        <w:jc w:val="center"/>
        <w:rPr>
          <w:sz w:val="16"/>
          <w:lang w:val="es-MX"/>
        </w:rPr>
      </w:pPr>
      <w:r w:rsidRPr="001829A5">
        <w:rPr>
          <w:noProof/>
          <w:lang w:val="es-GT" w:eastAsia="es-GT"/>
        </w:rPr>
        <w:drawing>
          <wp:inline distT="0" distB="0" distL="0" distR="0">
            <wp:extent cx="4459605" cy="4545965"/>
            <wp:effectExtent l="0" t="0" r="0" b="0"/>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9605" cy="4545965"/>
                    </a:xfrm>
                    <a:prstGeom prst="rect">
                      <a:avLst/>
                    </a:prstGeom>
                    <a:noFill/>
                    <a:ln>
                      <a:noFill/>
                    </a:ln>
                  </pic:spPr>
                </pic:pic>
              </a:graphicData>
            </a:graphic>
          </wp:inline>
        </w:drawing>
      </w:r>
    </w:p>
    <w:p w:rsidR="002F3446" w:rsidRPr="003115F3" w:rsidRDefault="002F3446" w:rsidP="002F3446">
      <w:pPr>
        <w:ind w:firstLine="708"/>
        <w:rPr>
          <w:sz w:val="16"/>
          <w:lang w:val="es-MX"/>
        </w:rPr>
      </w:pPr>
      <w:r>
        <w:rPr>
          <w:sz w:val="16"/>
          <w:lang w:val="es-MX"/>
        </w:rPr>
        <w:t xml:space="preserve">        </w:t>
      </w:r>
      <w:r w:rsidRPr="003115F3">
        <w:rPr>
          <w:sz w:val="16"/>
          <w:lang w:val="es-MX"/>
        </w:rPr>
        <w:t>Fuente: Ministerio de Finanzas Públicas con base al SICOIN.</w:t>
      </w:r>
    </w:p>
    <w:p w:rsidR="002F3446" w:rsidRPr="003115F3" w:rsidRDefault="002F3446" w:rsidP="002F3446">
      <w:pPr>
        <w:ind w:firstLine="708"/>
        <w:rPr>
          <w:sz w:val="16"/>
          <w:lang w:val="es-MX"/>
        </w:rPr>
      </w:pPr>
      <w:r>
        <w:rPr>
          <w:sz w:val="16"/>
          <w:lang w:val="es-MX"/>
        </w:rPr>
        <w:t xml:space="preserve">        </w:t>
      </w:r>
      <w:r w:rsidRPr="003115F3">
        <w:rPr>
          <w:sz w:val="16"/>
          <w:lang w:val="es-MX"/>
        </w:rPr>
        <w:t>* Cifras preliminares</w:t>
      </w:r>
    </w:p>
    <w:p w:rsidR="002F3446" w:rsidRDefault="002F3446" w:rsidP="002F3446">
      <w:pPr>
        <w:rPr>
          <w:sz w:val="18"/>
          <w:lang w:val="es-MX"/>
        </w:rPr>
      </w:pPr>
    </w:p>
    <w:p w:rsidR="002F3446" w:rsidRPr="00FB641E" w:rsidRDefault="002F3446" w:rsidP="00D16A2D">
      <w:pPr>
        <w:keepNext/>
        <w:keepLines/>
        <w:numPr>
          <w:ilvl w:val="2"/>
          <w:numId w:val="3"/>
        </w:numPr>
        <w:spacing w:before="200"/>
        <w:outlineLvl w:val="2"/>
        <w:rPr>
          <w:b/>
          <w:bCs/>
          <w:lang w:val="es-MX"/>
        </w:rPr>
      </w:pPr>
      <w:bookmarkStart w:id="19" w:name="_Toc494450596"/>
      <w:r w:rsidRPr="00FB641E">
        <w:rPr>
          <w:b/>
          <w:bCs/>
          <w:lang w:val="es-MX"/>
        </w:rPr>
        <w:t xml:space="preserve">Ejecución presupuestaria </w:t>
      </w:r>
      <w:r w:rsidR="007771BA">
        <w:rPr>
          <w:b/>
          <w:bCs/>
          <w:lang w:val="es-MX"/>
        </w:rPr>
        <w:t>por Entidad</w:t>
      </w:r>
      <w:bookmarkEnd w:id="19"/>
    </w:p>
    <w:p w:rsidR="002F3446" w:rsidRPr="00FB641E" w:rsidRDefault="002F3446" w:rsidP="002F3446">
      <w:pPr>
        <w:jc w:val="both"/>
        <w:rPr>
          <w:sz w:val="18"/>
          <w:lang w:val="es-MX"/>
        </w:rPr>
      </w:pPr>
    </w:p>
    <w:p w:rsidR="002F3446" w:rsidRDefault="002F3446" w:rsidP="002F3446">
      <w:pPr>
        <w:jc w:val="both"/>
        <w:rPr>
          <w:lang w:val="es-MX"/>
        </w:rPr>
      </w:pPr>
      <w:r>
        <w:rPr>
          <w:lang w:val="es-MX"/>
        </w:rPr>
        <w:t xml:space="preserve">Al comparar el gasto por entidad se observa que en el primer semestre la </w:t>
      </w:r>
      <w:r w:rsidR="00836931">
        <w:rPr>
          <w:lang w:val="es-MX"/>
        </w:rPr>
        <w:t xml:space="preserve">mayor </w:t>
      </w:r>
      <w:r>
        <w:rPr>
          <w:lang w:val="es-MX"/>
        </w:rPr>
        <w:t xml:space="preserve">ejecución </w:t>
      </w:r>
      <w:r w:rsidR="00836931">
        <w:rPr>
          <w:lang w:val="es-MX"/>
        </w:rPr>
        <w:t>la han efectuado</w:t>
      </w:r>
      <w:r>
        <w:rPr>
          <w:lang w:val="es-MX"/>
        </w:rPr>
        <w:t xml:space="preserve"> Educación, Servicio</w:t>
      </w:r>
      <w:r w:rsidR="00F45316">
        <w:rPr>
          <w:lang w:val="es-MX"/>
        </w:rPr>
        <w:t>s</w:t>
      </w:r>
      <w:r>
        <w:rPr>
          <w:lang w:val="es-MX"/>
        </w:rPr>
        <w:t xml:space="preserve"> de la Deuda, Salud y Gobernación, que en conjunto se </w:t>
      </w:r>
      <w:r w:rsidR="00836931">
        <w:rPr>
          <w:lang w:val="es-MX"/>
        </w:rPr>
        <w:t>ubican por encima del 50</w:t>
      </w:r>
      <w:r w:rsidR="00F45316">
        <w:rPr>
          <w:lang w:val="es-MX"/>
        </w:rPr>
        <w:t>.0</w:t>
      </w:r>
      <w:r w:rsidR="00836931">
        <w:rPr>
          <w:lang w:val="es-MX"/>
        </w:rPr>
        <w:t xml:space="preserve">%; </w:t>
      </w:r>
      <w:r>
        <w:rPr>
          <w:lang w:val="es-MX"/>
        </w:rPr>
        <w:t>seguidamente se ubica la ejecución de las Obligaciones del Estado a Cargo del Tesoro por arriba del 35</w:t>
      </w:r>
      <w:r w:rsidR="00F45316">
        <w:rPr>
          <w:lang w:val="es-MX"/>
        </w:rPr>
        <w:t>.0</w:t>
      </w:r>
      <w:r>
        <w:rPr>
          <w:lang w:val="es-MX"/>
        </w:rPr>
        <w:t>%, en tanto que el resto de entidades (14 ministerios), ejecutan alrededor del 12</w:t>
      </w:r>
      <w:r w:rsidR="00F45316">
        <w:rPr>
          <w:lang w:val="es-MX"/>
        </w:rPr>
        <w:t>.0</w:t>
      </w:r>
      <w:r>
        <w:rPr>
          <w:lang w:val="es-MX"/>
        </w:rPr>
        <w:t>% restante.</w:t>
      </w:r>
    </w:p>
    <w:p w:rsidR="002F3446" w:rsidRDefault="002F3446" w:rsidP="002F3446">
      <w:pPr>
        <w:jc w:val="both"/>
        <w:rPr>
          <w:lang w:val="es-MX"/>
        </w:rPr>
      </w:pPr>
    </w:p>
    <w:p w:rsidR="002F3446" w:rsidRPr="00FB641E" w:rsidRDefault="00836931" w:rsidP="002F3446">
      <w:pPr>
        <w:jc w:val="both"/>
        <w:rPr>
          <w:lang w:val="es-MX"/>
        </w:rPr>
      </w:pPr>
      <w:r>
        <w:rPr>
          <w:lang w:val="es-MX"/>
        </w:rPr>
        <w:t>Como parte</w:t>
      </w:r>
      <w:r w:rsidR="002F3446">
        <w:rPr>
          <w:lang w:val="es-MX"/>
        </w:rPr>
        <w:t xml:space="preserve"> de la ejecución de las </w:t>
      </w:r>
      <w:r w:rsidR="002F3446" w:rsidRPr="00FB641E">
        <w:rPr>
          <w:lang w:val="es-MX"/>
        </w:rPr>
        <w:t>Obligaciones del Estado a Cargo del Tesoro</w:t>
      </w:r>
      <w:r w:rsidR="002F3446">
        <w:rPr>
          <w:lang w:val="es-MX"/>
        </w:rPr>
        <w:t>, se encuentran los</w:t>
      </w:r>
      <w:r w:rsidR="002F3446" w:rsidRPr="00FB641E">
        <w:rPr>
          <w:lang w:val="es-MX"/>
        </w:rPr>
        <w:t xml:space="preserve"> compromisos de </w:t>
      </w:r>
      <w:r w:rsidR="002F3446">
        <w:rPr>
          <w:lang w:val="es-MX"/>
        </w:rPr>
        <w:t xml:space="preserve">los </w:t>
      </w:r>
      <w:r w:rsidR="002F3446" w:rsidRPr="00FB641E">
        <w:rPr>
          <w:lang w:val="es-MX"/>
        </w:rPr>
        <w:t>aportes constitucionales</w:t>
      </w:r>
      <w:r w:rsidR="002F3446">
        <w:rPr>
          <w:lang w:val="es-MX"/>
        </w:rPr>
        <w:t xml:space="preserve">, </w:t>
      </w:r>
      <w:r>
        <w:rPr>
          <w:lang w:val="es-MX"/>
        </w:rPr>
        <w:t>en los que</w:t>
      </w:r>
      <w:r w:rsidR="002F3446">
        <w:rPr>
          <w:lang w:val="es-MX"/>
        </w:rPr>
        <w:t xml:space="preserve"> resalta</w:t>
      </w:r>
      <w:r>
        <w:rPr>
          <w:lang w:val="es-MX"/>
        </w:rPr>
        <w:t>n</w:t>
      </w:r>
      <w:r w:rsidR="002F3446">
        <w:rPr>
          <w:lang w:val="es-MX"/>
        </w:rPr>
        <w:t xml:space="preserve"> las transferencias que deben hacerse a favor de</w:t>
      </w:r>
      <w:r w:rsidR="002F3446" w:rsidRPr="00FB641E">
        <w:rPr>
          <w:lang w:val="es-MX"/>
        </w:rPr>
        <w:t xml:space="preserve"> las 340 municipalidades del país, </w:t>
      </w:r>
      <w:r w:rsidR="002F3446">
        <w:rPr>
          <w:lang w:val="es-MX"/>
        </w:rPr>
        <w:t xml:space="preserve">los </w:t>
      </w:r>
      <w:r w:rsidR="002F3446" w:rsidRPr="00FB641E">
        <w:rPr>
          <w:lang w:val="es-MX"/>
        </w:rPr>
        <w:t xml:space="preserve">Consejos Departamentales de Desarrollo, </w:t>
      </w:r>
      <w:r w:rsidR="002F3446">
        <w:rPr>
          <w:lang w:val="es-MX"/>
        </w:rPr>
        <w:t xml:space="preserve">la </w:t>
      </w:r>
      <w:r w:rsidR="002F3446" w:rsidRPr="00FB641E">
        <w:rPr>
          <w:lang w:val="es-MX"/>
        </w:rPr>
        <w:t xml:space="preserve">Universidad de San Carlos de Guatemala, </w:t>
      </w:r>
      <w:r w:rsidR="002F3446">
        <w:rPr>
          <w:lang w:val="es-MX"/>
        </w:rPr>
        <w:t xml:space="preserve">el </w:t>
      </w:r>
      <w:r w:rsidR="002F3446" w:rsidRPr="00FB641E">
        <w:rPr>
          <w:lang w:val="es-MX"/>
        </w:rPr>
        <w:t xml:space="preserve">Organismo Judicial, </w:t>
      </w:r>
      <w:r w:rsidR="002F3446">
        <w:rPr>
          <w:lang w:val="es-MX"/>
        </w:rPr>
        <w:t xml:space="preserve">el </w:t>
      </w:r>
      <w:r w:rsidR="002F3446" w:rsidRPr="00FB641E">
        <w:rPr>
          <w:lang w:val="es-MX"/>
        </w:rPr>
        <w:t xml:space="preserve">Ministerio Público, </w:t>
      </w:r>
      <w:r w:rsidR="002F3446">
        <w:rPr>
          <w:lang w:val="es-MX"/>
        </w:rPr>
        <w:t xml:space="preserve">el </w:t>
      </w:r>
      <w:r w:rsidR="002F3446" w:rsidRPr="00FB641E">
        <w:rPr>
          <w:lang w:val="es-MX"/>
        </w:rPr>
        <w:t xml:space="preserve">Congreso de la República, </w:t>
      </w:r>
      <w:r w:rsidR="002F3446">
        <w:rPr>
          <w:lang w:val="es-MX"/>
        </w:rPr>
        <w:t xml:space="preserve">la </w:t>
      </w:r>
      <w:r w:rsidR="002F3446" w:rsidRPr="00FB641E">
        <w:rPr>
          <w:lang w:val="es-MX"/>
        </w:rPr>
        <w:t xml:space="preserve">Contraloría General de Cuentas, </w:t>
      </w:r>
      <w:r w:rsidR="002F3446">
        <w:rPr>
          <w:lang w:val="es-MX"/>
        </w:rPr>
        <w:t xml:space="preserve">la </w:t>
      </w:r>
      <w:r w:rsidR="002F3446" w:rsidRPr="00FB641E">
        <w:rPr>
          <w:lang w:val="es-MX"/>
        </w:rPr>
        <w:t>Corte de Constitucionalidad, entre otros.</w:t>
      </w:r>
      <w:r w:rsidR="002F3446">
        <w:rPr>
          <w:lang w:val="es-MX"/>
        </w:rPr>
        <w:t xml:space="preserve"> </w:t>
      </w:r>
    </w:p>
    <w:p w:rsidR="002F3446" w:rsidRPr="00FB641E" w:rsidRDefault="002F3446" w:rsidP="002F3446">
      <w:pPr>
        <w:jc w:val="both"/>
        <w:rPr>
          <w:sz w:val="18"/>
          <w:lang w:val="es-MX"/>
        </w:rPr>
      </w:pPr>
    </w:p>
    <w:p w:rsidR="002F3446" w:rsidRDefault="002F3446" w:rsidP="002F3446">
      <w:pPr>
        <w:jc w:val="center"/>
        <w:rPr>
          <w:b/>
          <w:sz w:val="22"/>
          <w:lang w:val="es-MX"/>
        </w:rPr>
      </w:pPr>
    </w:p>
    <w:p w:rsidR="002F3446" w:rsidRPr="0088577C" w:rsidRDefault="002F3446" w:rsidP="002F3446">
      <w:pPr>
        <w:jc w:val="center"/>
        <w:rPr>
          <w:b/>
          <w:sz w:val="22"/>
          <w:szCs w:val="22"/>
          <w:lang w:val="es-MX"/>
        </w:rPr>
      </w:pPr>
      <w:r w:rsidRPr="0088577C">
        <w:rPr>
          <w:b/>
          <w:sz w:val="22"/>
          <w:szCs w:val="22"/>
          <w:lang w:val="es-MX"/>
        </w:rPr>
        <w:t xml:space="preserve">Gráfica </w:t>
      </w:r>
      <w:r w:rsidR="0088577C">
        <w:rPr>
          <w:b/>
          <w:sz w:val="22"/>
          <w:szCs w:val="22"/>
          <w:lang w:val="es-MX"/>
        </w:rPr>
        <w:t>8</w:t>
      </w:r>
    </w:p>
    <w:p w:rsidR="002F3446" w:rsidRPr="0088577C" w:rsidRDefault="002F3446" w:rsidP="002F3446">
      <w:pPr>
        <w:jc w:val="center"/>
        <w:rPr>
          <w:b/>
          <w:sz w:val="22"/>
          <w:szCs w:val="22"/>
          <w:lang w:val="es-MX"/>
        </w:rPr>
      </w:pPr>
      <w:r w:rsidRPr="0088577C">
        <w:rPr>
          <w:b/>
          <w:sz w:val="22"/>
          <w:szCs w:val="22"/>
          <w:lang w:val="es-MX"/>
        </w:rPr>
        <w:t>Ejecución Presupuestaria por Grupo de Entidades</w:t>
      </w:r>
    </w:p>
    <w:p w:rsidR="002F3446" w:rsidRPr="0088577C" w:rsidRDefault="002F3446" w:rsidP="002F3446">
      <w:pPr>
        <w:jc w:val="center"/>
        <w:rPr>
          <w:b/>
          <w:sz w:val="22"/>
          <w:szCs w:val="22"/>
          <w:lang w:val="es-MX"/>
        </w:rPr>
      </w:pPr>
      <w:r w:rsidRPr="0088577C">
        <w:rPr>
          <w:b/>
          <w:sz w:val="22"/>
          <w:szCs w:val="22"/>
          <w:lang w:val="es-MX"/>
        </w:rPr>
        <w:t>Comparativo al 30 de junio 2016 y 2017</w:t>
      </w:r>
    </w:p>
    <w:p w:rsidR="002F3446" w:rsidRPr="0088577C" w:rsidRDefault="002F3446" w:rsidP="002F3446">
      <w:pPr>
        <w:jc w:val="center"/>
        <w:rPr>
          <w:b/>
          <w:sz w:val="22"/>
          <w:szCs w:val="22"/>
          <w:lang w:val="es-MX"/>
        </w:rPr>
      </w:pPr>
      <w:r w:rsidRPr="0088577C">
        <w:rPr>
          <w:b/>
          <w:sz w:val="22"/>
          <w:szCs w:val="22"/>
          <w:lang w:val="es-MX"/>
        </w:rPr>
        <w:t>(</w:t>
      </w:r>
      <w:r w:rsidR="001B43D3" w:rsidRPr="0088577C">
        <w:rPr>
          <w:b/>
          <w:sz w:val="22"/>
          <w:szCs w:val="22"/>
          <w:lang w:val="es-MX"/>
        </w:rPr>
        <w:t>En</w:t>
      </w:r>
      <w:r w:rsidRPr="0088577C">
        <w:rPr>
          <w:b/>
          <w:sz w:val="22"/>
          <w:szCs w:val="22"/>
          <w:lang w:val="es-MX"/>
        </w:rPr>
        <w:t xml:space="preserve"> </w:t>
      </w:r>
      <w:r w:rsidR="00F45316">
        <w:rPr>
          <w:b/>
          <w:sz w:val="22"/>
          <w:szCs w:val="22"/>
          <w:lang w:val="es-MX"/>
        </w:rPr>
        <w:t>p</w:t>
      </w:r>
      <w:r w:rsidRPr="0088577C">
        <w:rPr>
          <w:b/>
          <w:sz w:val="22"/>
          <w:szCs w:val="22"/>
          <w:lang w:val="es-MX"/>
        </w:rPr>
        <w:t>orcentajes de ejecución)</w:t>
      </w:r>
    </w:p>
    <w:p w:rsidR="002F3446" w:rsidRDefault="009C1F9A" w:rsidP="002F3446">
      <w:pPr>
        <w:jc w:val="center"/>
        <w:rPr>
          <w:i/>
          <w:sz w:val="22"/>
          <w:lang w:val="es-MX"/>
        </w:rPr>
      </w:pPr>
      <w:r>
        <w:rPr>
          <w:noProof/>
          <w:lang w:val="es-GT" w:eastAsia="es-GT"/>
        </w:rPr>
        <w:drawing>
          <wp:anchor distT="0" distB="0" distL="114300" distR="114300" simplePos="0" relativeHeight="251659264" behindDoc="0" locked="0" layoutInCell="1" allowOverlap="1">
            <wp:simplePos x="0" y="0"/>
            <wp:positionH relativeFrom="column">
              <wp:posOffset>2471420</wp:posOffset>
            </wp:positionH>
            <wp:positionV relativeFrom="paragraph">
              <wp:posOffset>90170</wp:posOffset>
            </wp:positionV>
            <wp:extent cx="3472815" cy="2136140"/>
            <wp:effectExtent l="0" t="0" r="0" b="0"/>
            <wp:wrapSquare wrapText="bothSides"/>
            <wp:docPr id="22"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1829A5">
        <w:rPr>
          <w:noProof/>
          <w:lang w:val="es-GT" w:eastAsia="es-GT"/>
        </w:rPr>
        <w:drawing>
          <wp:inline distT="0" distB="0" distL="0" distR="0" wp14:anchorId="43FF2E03" wp14:editId="2F9513B7">
            <wp:extent cx="2538730" cy="2081530"/>
            <wp:effectExtent l="0" t="0" r="0" b="0"/>
            <wp:docPr id="10"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3446" w:rsidRDefault="002F3446" w:rsidP="002F3446">
      <w:pPr>
        <w:rPr>
          <w:i/>
          <w:sz w:val="22"/>
          <w:lang w:val="es-MX"/>
        </w:rPr>
      </w:pPr>
    </w:p>
    <w:p w:rsidR="002F3446" w:rsidRPr="003115F3" w:rsidRDefault="002F3446" w:rsidP="002F3446">
      <w:pPr>
        <w:rPr>
          <w:sz w:val="16"/>
          <w:lang w:val="es-MX"/>
        </w:rPr>
      </w:pPr>
      <w:r>
        <w:rPr>
          <w:i/>
          <w:sz w:val="22"/>
          <w:lang w:val="es-MX"/>
        </w:rPr>
        <w:t xml:space="preserve">  </w:t>
      </w:r>
      <w:r w:rsidRPr="00EF0B95">
        <w:rPr>
          <w:sz w:val="14"/>
          <w:lang w:val="es-MX"/>
        </w:rPr>
        <w:t>Fuente: Ministerio de Finanzas Públicas con base al SICOIN.</w:t>
      </w:r>
    </w:p>
    <w:p w:rsidR="002F3446" w:rsidRPr="003115F3" w:rsidRDefault="002F3446" w:rsidP="002F3446">
      <w:pPr>
        <w:ind w:left="142"/>
        <w:rPr>
          <w:sz w:val="16"/>
          <w:lang w:val="es-MX"/>
        </w:rPr>
      </w:pPr>
      <w:r w:rsidRPr="003115F3">
        <w:rPr>
          <w:sz w:val="16"/>
          <w:lang w:val="es-MX"/>
        </w:rPr>
        <w:t>* Cifras preliminares</w:t>
      </w:r>
    </w:p>
    <w:p w:rsidR="002F3446" w:rsidRDefault="002F3446" w:rsidP="002F3446">
      <w:pPr>
        <w:jc w:val="center"/>
        <w:rPr>
          <w:b/>
          <w:sz w:val="22"/>
          <w:lang w:val="es-MX"/>
        </w:rPr>
      </w:pPr>
    </w:p>
    <w:p w:rsidR="002F3446" w:rsidRPr="003E1D05" w:rsidRDefault="003E1D05" w:rsidP="0070257D">
      <w:pPr>
        <w:jc w:val="both"/>
        <w:rPr>
          <w:lang w:val="es-MX"/>
        </w:rPr>
      </w:pPr>
      <w:r w:rsidRPr="003E1D05">
        <w:rPr>
          <w:lang w:val="es-MX"/>
        </w:rPr>
        <w:t>Durante el primer semestre de</w:t>
      </w:r>
      <w:r w:rsidR="002F3446" w:rsidRPr="003E1D05">
        <w:rPr>
          <w:lang w:val="es-MX"/>
        </w:rPr>
        <w:t xml:space="preserve"> 2017, la</w:t>
      </w:r>
      <w:r w:rsidR="002F3446" w:rsidRPr="003E1D05">
        <w:rPr>
          <w:b/>
          <w:lang w:val="es-MX"/>
        </w:rPr>
        <w:t xml:space="preserve"> </w:t>
      </w:r>
      <w:r w:rsidR="002F3446" w:rsidRPr="003E1D05">
        <w:rPr>
          <w:lang w:val="es-MX"/>
        </w:rPr>
        <w:t xml:space="preserve">ejecución por entidad aumentó </w:t>
      </w:r>
      <w:r w:rsidR="00836931">
        <w:rPr>
          <w:lang w:val="es-MX"/>
        </w:rPr>
        <w:t xml:space="preserve">en </w:t>
      </w:r>
      <w:r w:rsidR="002F3446" w:rsidRPr="003E1D05">
        <w:rPr>
          <w:lang w:val="es-MX"/>
        </w:rPr>
        <w:t>Q</w:t>
      </w:r>
      <w:r w:rsidR="00F45316">
        <w:rPr>
          <w:lang w:val="es-MX"/>
        </w:rPr>
        <w:t>.</w:t>
      </w:r>
      <w:r w:rsidR="002F3446" w:rsidRPr="003E1D05">
        <w:rPr>
          <w:lang w:val="es-MX"/>
        </w:rPr>
        <w:t>1,994.5 millones, los cuales se explican principalmente por los siguientes ministerios así: las Obligaciones del Estado a Cargo del Tesoro con Q</w:t>
      </w:r>
      <w:r w:rsidR="00F45316">
        <w:rPr>
          <w:lang w:val="es-MX"/>
        </w:rPr>
        <w:t>.</w:t>
      </w:r>
      <w:r w:rsidR="002F3446" w:rsidRPr="003E1D05">
        <w:rPr>
          <w:lang w:val="es-MX"/>
        </w:rPr>
        <w:t>1,416.0 millones, alcanzando un monto de ejecución de Q</w:t>
      </w:r>
      <w:r w:rsidR="00F45316">
        <w:rPr>
          <w:lang w:val="es-MX"/>
        </w:rPr>
        <w:t>.</w:t>
      </w:r>
      <w:r w:rsidR="002F3446" w:rsidRPr="003E1D05">
        <w:rPr>
          <w:lang w:val="es-MX"/>
        </w:rPr>
        <w:t>11,467.9 millones que significaron el 37.4% de la ejecución total.  Dentro de los montos significativos de la ejecución de 2017, también resalta el Servicio de la Deuda Pública con Q</w:t>
      </w:r>
      <w:r w:rsidR="00F45316">
        <w:rPr>
          <w:lang w:val="es-MX"/>
        </w:rPr>
        <w:t>.</w:t>
      </w:r>
      <w:r w:rsidR="002F3446" w:rsidRPr="003E1D05">
        <w:rPr>
          <w:lang w:val="es-MX"/>
        </w:rPr>
        <w:t xml:space="preserve">220.2 millones más que </w:t>
      </w:r>
      <w:r w:rsidR="00836931">
        <w:rPr>
          <w:lang w:val="es-MX"/>
        </w:rPr>
        <w:t xml:space="preserve">en </w:t>
      </w:r>
      <w:r w:rsidR="002F3446" w:rsidRPr="003E1D05">
        <w:rPr>
          <w:lang w:val="es-MX"/>
        </w:rPr>
        <w:t>2016 equivalente a 17.3% de la ejecución total, el CIV con Q</w:t>
      </w:r>
      <w:r w:rsidR="00F45316">
        <w:rPr>
          <w:lang w:val="es-MX"/>
        </w:rPr>
        <w:t>.</w:t>
      </w:r>
      <w:r w:rsidR="002F3446" w:rsidRPr="003E1D05">
        <w:rPr>
          <w:lang w:val="es-MX"/>
        </w:rPr>
        <w:t>228.5 millones 2.6% de la ejecución total, el Ministerio de Economía con Q</w:t>
      </w:r>
      <w:r w:rsidR="00F45316">
        <w:rPr>
          <w:lang w:val="es-MX"/>
        </w:rPr>
        <w:t>.</w:t>
      </w:r>
      <w:r w:rsidR="002F3446" w:rsidRPr="003E1D05">
        <w:rPr>
          <w:lang w:val="es-MX"/>
        </w:rPr>
        <w:t>159.0 millones por el aporte adicional al INE equivalentes al 0.8% de l</w:t>
      </w:r>
      <w:r w:rsidR="00836931">
        <w:rPr>
          <w:lang w:val="es-MX"/>
        </w:rPr>
        <w:t>a</w:t>
      </w:r>
      <w:r w:rsidR="002F3446" w:rsidRPr="003E1D05">
        <w:rPr>
          <w:lang w:val="es-MX"/>
        </w:rPr>
        <w:t xml:space="preserve"> ejecución total y finalmente, Gobernación con Q</w:t>
      </w:r>
      <w:r w:rsidR="00F45316">
        <w:rPr>
          <w:lang w:val="es-MX"/>
        </w:rPr>
        <w:t>.</w:t>
      </w:r>
      <w:r w:rsidR="002F3446" w:rsidRPr="003E1D05">
        <w:rPr>
          <w:lang w:val="es-MX"/>
        </w:rPr>
        <w:t>102.0 millones más que lo observado en 2016 equivalente al 6.0% de la ejecución total.</w:t>
      </w:r>
    </w:p>
    <w:p w:rsidR="002F3446" w:rsidRDefault="002F3446" w:rsidP="002F3446">
      <w:pPr>
        <w:rPr>
          <w:b/>
          <w:sz w:val="22"/>
          <w:lang w:val="es-MX"/>
        </w:rPr>
      </w:pPr>
    </w:p>
    <w:p w:rsidR="002F3446" w:rsidRDefault="002F3446" w:rsidP="002F3446">
      <w:pPr>
        <w:jc w:val="center"/>
        <w:rPr>
          <w:b/>
          <w:sz w:val="22"/>
          <w:lang w:val="es-MX"/>
        </w:rPr>
      </w:pPr>
    </w:p>
    <w:p w:rsidR="002F3446" w:rsidRDefault="002F3446" w:rsidP="002F3446">
      <w:pPr>
        <w:jc w:val="center"/>
        <w:rPr>
          <w:b/>
          <w:sz w:val="22"/>
          <w:lang w:val="es-MX"/>
        </w:rPr>
      </w:pPr>
    </w:p>
    <w:p w:rsidR="00460A54" w:rsidRDefault="00460A54">
      <w:pPr>
        <w:rPr>
          <w:b/>
          <w:sz w:val="22"/>
          <w:szCs w:val="22"/>
          <w:lang w:val="es-MX"/>
        </w:rPr>
      </w:pPr>
      <w:r>
        <w:rPr>
          <w:b/>
          <w:sz w:val="22"/>
          <w:szCs w:val="22"/>
          <w:lang w:val="es-MX"/>
        </w:rPr>
        <w:br w:type="page"/>
      </w:r>
    </w:p>
    <w:p w:rsidR="002F3446" w:rsidRPr="0088577C" w:rsidRDefault="002F3446" w:rsidP="002F3446">
      <w:pPr>
        <w:jc w:val="center"/>
        <w:rPr>
          <w:b/>
          <w:sz w:val="22"/>
          <w:szCs w:val="22"/>
          <w:lang w:val="es-MX"/>
        </w:rPr>
      </w:pPr>
      <w:r w:rsidRPr="0088577C">
        <w:rPr>
          <w:b/>
          <w:sz w:val="22"/>
          <w:szCs w:val="22"/>
          <w:lang w:val="es-MX"/>
        </w:rPr>
        <w:lastRenderedPageBreak/>
        <w:t xml:space="preserve">Cuadro </w:t>
      </w:r>
      <w:r w:rsidR="00910F6F">
        <w:rPr>
          <w:b/>
          <w:sz w:val="22"/>
          <w:szCs w:val="22"/>
          <w:lang w:val="es-MX"/>
        </w:rPr>
        <w:t>5</w:t>
      </w:r>
    </w:p>
    <w:p w:rsidR="002F3446" w:rsidRPr="0088577C" w:rsidRDefault="002F3446" w:rsidP="002F3446">
      <w:pPr>
        <w:jc w:val="center"/>
        <w:rPr>
          <w:b/>
          <w:sz w:val="22"/>
          <w:szCs w:val="22"/>
          <w:lang w:val="es-MX"/>
        </w:rPr>
      </w:pPr>
      <w:r w:rsidRPr="0088577C">
        <w:rPr>
          <w:b/>
          <w:sz w:val="22"/>
          <w:szCs w:val="22"/>
          <w:lang w:val="es-MX"/>
        </w:rPr>
        <w:t>Ejecución Presupuestaria por Entidad</w:t>
      </w:r>
    </w:p>
    <w:p w:rsidR="002F3446" w:rsidRPr="0088577C" w:rsidRDefault="002F3446" w:rsidP="002F3446">
      <w:pPr>
        <w:jc w:val="center"/>
        <w:rPr>
          <w:b/>
          <w:sz w:val="22"/>
          <w:szCs w:val="22"/>
          <w:lang w:val="es-MX"/>
        </w:rPr>
      </w:pPr>
      <w:r w:rsidRPr="0088577C">
        <w:rPr>
          <w:b/>
          <w:sz w:val="22"/>
          <w:szCs w:val="22"/>
          <w:lang w:val="es-MX"/>
        </w:rPr>
        <w:t>Al 30 de junio 2016 - 2017</w:t>
      </w:r>
    </w:p>
    <w:p w:rsidR="002F3446" w:rsidRPr="0088577C" w:rsidRDefault="002F3446" w:rsidP="002F3446">
      <w:pPr>
        <w:jc w:val="center"/>
        <w:rPr>
          <w:b/>
          <w:sz w:val="22"/>
          <w:szCs w:val="22"/>
          <w:lang w:val="es-MX"/>
        </w:rPr>
      </w:pPr>
      <w:r w:rsidRPr="0088577C">
        <w:rPr>
          <w:b/>
          <w:sz w:val="22"/>
          <w:szCs w:val="22"/>
          <w:lang w:val="es-MX"/>
        </w:rPr>
        <w:t>(Cifras en Millones de Quetzales)</w:t>
      </w:r>
    </w:p>
    <w:p w:rsidR="002F3446" w:rsidRDefault="00021644" w:rsidP="002F3446">
      <w:pPr>
        <w:jc w:val="center"/>
        <w:rPr>
          <w:i/>
          <w:sz w:val="22"/>
          <w:lang w:val="es-MX"/>
        </w:rPr>
      </w:pPr>
      <w:r w:rsidRPr="001829A5">
        <w:rPr>
          <w:noProof/>
          <w:lang w:val="es-GT" w:eastAsia="es-GT"/>
        </w:rPr>
        <w:drawing>
          <wp:inline distT="0" distB="0" distL="0" distR="0">
            <wp:extent cx="5762625" cy="3226435"/>
            <wp:effectExtent l="0" t="0" r="0" b="0"/>
            <wp:docPr id="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3226435"/>
                    </a:xfrm>
                    <a:prstGeom prst="rect">
                      <a:avLst/>
                    </a:prstGeom>
                    <a:noFill/>
                    <a:ln>
                      <a:noFill/>
                    </a:ln>
                  </pic:spPr>
                </pic:pic>
              </a:graphicData>
            </a:graphic>
          </wp:inline>
        </w:drawing>
      </w:r>
    </w:p>
    <w:p w:rsidR="002F3446" w:rsidRPr="003115F3" w:rsidRDefault="002F3446" w:rsidP="002F3446">
      <w:pPr>
        <w:rPr>
          <w:sz w:val="16"/>
          <w:lang w:val="es-MX"/>
        </w:rPr>
      </w:pPr>
      <w:r w:rsidRPr="003115F3">
        <w:rPr>
          <w:sz w:val="16"/>
          <w:lang w:val="es-MX"/>
        </w:rPr>
        <w:t>Fuente: Ministerio de Finanzas Públicas con base al SICOIN.</w:t>
      </w:r>
    </w:p>
    <w:p w:rsidR="002F3446" w:rsidRPr="003115F3" w:rsidRDefault="002F3446" w:rsidP="002F3446">
      <w:pPr>
        <w:rPr>
          <w:sz w:val="16"/>
          <w:lang w:val="es-MX"/>
        </w:rPr>
      </w:pPr>
      <w:r w:rsidRPr="003115F3">
        <w:rPr>
          <w:sz w:val="16"/>
          <w:lang w:val="es-MX"/>
        </w:rPr>
        <w:t>* Cifras preliminares</w:t>
      </w:r>
    </w:p>
    <w:p w:rsidR="002F3446" w:rsidRPr="00FB641E" w:rsidRDefault="002F3446" w:rsidP="002F3446">
      <w:pPr>
        <w:jc w:val="both"/>
        <w:rPr>
          <w:lang w:val="es-MX"/>
        </w:rPr>
      </w:pPr>
    </w:p>
    <w:p w:rsidR="006132CB" w:rsidRDefault="006132CB" w:rsidP="00D16A2D">
      <w:pPr>
        <w:keepNext/>
        <w:keepLines/>
        <w:numPr>
          <w:ilvl w:val="2"/>
          <w:numId w:val="3"/>
        </w:numPr>
        <w:jc w:val="both"/>
        <w:outlineLvl w:val="2"/>
        <w:rPr>
          <w:sz w:val="32"/>
          <w:lang w:val="es-MX"/>
        </w:rPr>
      </w:pPr>
      <w:bookmarkStart w:id="20" w:name="_Toc494450597"/>
      <w:r w:rsidRPr="0072034B">
        <w:rPr>
          <w:b/>
          <w:bCs/>
          <w:lang w:val="es-MX"/>
        </w:rPr>
        <w:t>Gasto Público por Fuente de Financiamiento</w:t>
      </w:r>
      <w:bookmarkEnd w:id="20"/>
    </w:p>
    <w:p w:rsidR="006132CB" w:rsidRPr="0072034B" w:rsidRDefault="006132CB" w:rsidP="006132CB">
      <w:pPr>
        <w:keepNext/>
        <w:keepLines/>
        <w:ind w:left="720"/>
        <w:jc w:val="both"/>
        <w:outlineLvl w:val="2"/>
        <w:rPr>
          <w:sz w:val="32"/>
          <w:lang w:val="es-MX"/>
        </w:rPr>
      </w:pPr>
    </w:p>
    <w:p w:rsidR="006132CB" w:rsidRDefault="006132CB" w:rsidP="006132CB">
      <w:pPr>
        <w:jc w:val="both"/>
        <w:rPr>
          <w:lang w:val="es-MX"/>
        </w:rPr>
      </w:pPr>
      <w:r w:rsidRPr="00FB641E">
        <w:rPr>
          <w:lang w:val="es-MX"/>
        </w:rPr>
        <w:t>La</w:t>
      </w:r>
      <w:r>
        <w:rPr>
          <w:lang w:val="es-MX"/>
        </w:rPr>
        <w:t xml:space="preserve"> ejecución presupuestaria con</w:t>
      </w:r>
      <w:r w:rsidRPr="00FB641E">
        <w:rPr>
          <w:lang w:val="es-MX"/>
        </w:rPr>
        <w:t xml:space="preserve"> fuente de financiamiento 11 “Ingresos corrientes</w:t>
      </w:r>
      <w:r>
        <w:rPr>
          <w:lang w:val="es-MX"/>
        </w:rPr>
        <w:t>,</w:t>
      </w:r>
      <w:r w:rsidRPr="00FB641E">
        <w:rPr>
          <w:lang w:val="es-MX"/>
        </w:rPr>
        <w:t xml:space="preserve">” al 30 de </w:t>
      </w:r>
      <w:r w:rsidRPr="001829A5">
        <w:rPr>
          <w:lang w:val="es-MX"/>
        </w:rPr>
        <w:t>junio de 2017 tuvo un aumento neto de Q</w:t>
      </w:r>
      <w:r w:rsidR="00F45316">
        <w:rPr>
          <w:lang w:val="es-MX"/>
        </w:rPr>
        <w:t>.</w:t>
      </w:r>
      <w:r w:rsidRPr="001829A5">
        <w:rPr>
          <w:lang w:val="es-MX"/>
        </w:rPr>
        <w:t xml:space="preserve">257.7 millones, equivalente al 42.1% del presupuesto vigente en 2017, en tanto que en 2016 fue de 45.0% la disminución </w:t>
      </w:r>
      <w:r w:rsidR="001829A5">
        <w:rPr>
          <w:lang w:val="es-MX"/>
        </w:rPr>
        <w:t>porcentual</w:t>
      </w:r>
      <w:r w:rsidRPr="001829A5">
        <w:rPr>
          <w:lang w:val="es-MX"/>
        </w:rPr>
        <w:t xml:space="preserve"> se debe a que la asignación para 2017 aumentó en Q</w:t>
      </w:r>
      <w:r w:rsidR="00F45316">
        <w:rPr>
          <w:lang w:val="es-MX"/>
        </w:rPr>
        <w:t>.</w:t>
      </w:r>
      <w:r w:rsidRPr="001829A5">
        <w:rPr>
          <w:lang w:val="es-MX"/>
        </w:rPr>
        <w:t xml:space="preserve">3,179.4 millones </w:t>
      </w:r>
      <w:r w:rsidR="001829A5" w:rsidRPr="001829A5">
        <w:rPr>
          <w:lang w:val="es-MX"/>
        </w:rPr>
        <w:t>respecto de</w:t>
      </w:r>
      <w:r w:rsidRPr="001829A5">
        <w:rPr>
          <w:lang w:val="es-MX"/>
        </w:rPr>
        <w:t xml:space="preserve"> 2016, esto como resultado de la recuperación de los ingresos que se ha venido observando desde inicios de 2016. Al observar las cifras la ejecución institucional hay montos más significativos, </w:t>
      </w:r>
      <w:r w:rsidR="00836931" w:rsidRPr="001829A5">
        <w:rPr>
          <w:lang w:val="es-MX"/>
        </w:rPr>
        <w:t>como</w:t>
      </w:r>
      <w:r w:rsidRPr="001829A5">
        <w:rPr>
          <w:lang w:val="es-MX"/>
        </w:rPr>
        <w:t xml:space="preserve"> las Obligaciones del Estado a Cargo del Tesoro con un aumento en su ejecución de Q</w:t>
      </w:r>
      <w:r w:rsidR="00F45316">
        <w:rPr>
          <w:lang w:val="es-MX"/>
        </w:rPr>
        <w:t>.</w:t>
      </w:r>
      <w:r w:rsidRPr="001829A5">
        <w:rPr>
          <w:lang w:val="es-MX"/>
        </w:rPr>
        <w:t xml:space="preserve">1,080.3 millones respecto </w:t>
      </w:r>
      <w:r w:rsidR="001829A5">
        <w:rPr>
          <w:lang w:val="es-MX"/>
        </w:rPr>
        <w:t>a</w:t>
      </w:r>
      <w:r w:rsidRPr="001829A5">
        <w:rPr>
          <w:lang w:val="es-MX"/>
        </w:rPr>
        <w:t xml:space="preserve"> 2016, otro monto relevante es </w:t>
      </w:r>
      <w:r w:rsidR="00836931" w:rsidRPr="001829A5">
        <w:rPr>
          <w:lang w:val="es-MX"/>
        </w:rPr>
        <w:t>el</w:t>
      </w:r>
      <w:r w:rsidRPr="001829A5">
        <w:rPr>
          <w:lang w:val="es-MX"/>
        </w:rPr>
        <w:t xml:space="preserve"> Ministerio de Comunicaciones, Infraestructura y Vivienda (CIV), el cual pasó de una ejecución de Q</w:t>
      </w:r>
      <w:r w:rsidR="00F45316">
        <w:rPr>
          <w:lang w:val="es-MX"/>
        </w:rPr>
        <w:t>.</w:t>
      </w:r>
      <w:r w:rsidRPr="001829A5">
        <w:rPr>
          <w:lang w:val="es-MX"/>
        </w:rPr>
        <w:t>134.2 millones en 2016 a Q</w:t>
      </w:r>
      <w:r w:rsidR="00F45316">
        <w:rPr>
          <w:lang w:val="es-MX"/>
        </w:rPr>
        <w:t>.</w:t>
      </w:r>
      <w:r w:rsidRPr="001829A5">
        <w:rPr>
          <w:lang w:val="es-MX"/>
        </w:rPr>
        <w:t>363.5 millones en 2017, también se puede observar que el Ministerio de Gobernación pasó de Q</w:t>
      </w:r>
      <w:r w:rsidR="00F45316">
        <w:rPr>
          <w:lang w:val="es-MX"/>
        </w:rPr>
        <w:t>.</w:t>
      </w:r>
      <w:r w:rsidRPr="001829A5">
        <w:rPr>
          <w:lang w:val="es-MX"/>
        </w:rPr>
        <w:t>1,260.8 millones en 2016 a Q</w:t>
      </w:r>
      <w:r w:rsidR="00F45316">
        <w:rPr>
          <w:lang w:val="es-MX"/>
        </w:rPr>
        <w:t>.</w:t>
      </w:r>
      <w:r w:rsidRPr="001829A5">
        <w:rPr>
          <w:lang w:val="es-MX"/>
        </w:rPr>
        <w:t>1,420.0 millones en 2017, con aumento de Q</w:t>
      </w:r>
      <w:r w:rsidR="00F45316">
        <w:rPr>
          <w:lang w:val="es-MX"/>
        </w:rPr>
        <w:t>.</w:t>
      </w:r>
      <w:r w:rsidRPr="001829A5">
        <w:rPr>
          <w:lang w:val="es-MX"/>
        </w:rPr>
        <w:t>159.2 millones.</w:t>
      </w:r>
    </w:p>
    <w:p w:rsidR="006132CB" w:rsidRDefault="006132CB" w:rsidP="006132CB">
      <w:pPr>
        <w:jc w:val="both"/>
        <w:rPr>
          <w:lang w:val="es-MX"/>
        </w:rPr>
      </w:pPr>
    </w:p>
    <w:p w:rsidR="006132CB" w:rsidRDefault="006132CB" w:rsidP="006132CB">
      <w:pPr>
        <w:jc w:val="both"/>
        <w:rPr>
          <w:lang w:val="es-MX"/>
        </w:rPr>
      </w:pPr>
      <w:r>
        <w:rPr>
          <w:lang w:val="es-MX"/>
        </w:rPr>
        <w:t>La ejecución presupuestaria de</w:t>
      </w:r>
      <w:r w:rsidR="00F45316">
        <w:rPr>
          <w:lang w:val="es-MX"/>
        </w:rPr>
        <w:t xml:space="preserve"> </w:t>
      </w:r>
      <w:r>
        <w:rPr>
          <w:lang w:val="es-MX"/>
        </w:rPr>
        <w:t>l</w:t>
      </w:r>
      <w:r w:rsidR="00F45316">
        <w:rPr>
          <w:lang w:val="es-MX"/>
        </w:rPr>
        <w:t>os</w:t>
      </w:r>
      <w:r>
        <w:rPr>
          <w:lang w:val="es-MX"/>
        </w:rPr>
        <w:t xml:space="preserve"> Servicio</w:t>
      </w:r>
      <w:r w:rsidR="00F45316">
        <w:rPr>
          <w:lang w:val="es-MX"/>
        </w:rPr>
        <w:t>s</w:t>
      </w:r>
      <w:r>
        <w:rPr>
          <w:lang w:val="es-MX"/>
        </w:rPr>
        <w:t xml:space="preserve"> de la Deuda Pública</w:t>
      </w:r>
      <w:r w:rsidRPr="00FB641E">
        <w:rPr>
          <w:lang w:val="es-MX"/>
        </w:rPr>
        <w:t xml:space="preserve"> </w:t>
      </w:r>
      <w:r>
        <w:rPr>
          <w:lang w:val="es-MX"/>
        </w:rPr>
        <w:t>pasó de una ejecución de Q</w:t>
      </w:r>
      <w:r w:rsidR="00F45316">
        <w:rPr>
          <w:lang w:val="es-MX"/>
        </w:rPr>
        <w:t>.</w:t>
      </w:r>
      <w:r>
        <w:rPr>
          <w:lang w:val="es-MX"/>
        </w:rPr>
        <w:t>2,308.9 millones en 2016 a Q</w:t>
      </w:r>
      <w:r w:rsidR="00F45316">
        <w:rPr>
          <w:lang w:val="es-MX"/>
        </w:rPr>
        <w:t>.</w:t>
      </w:r>
      <w:r>
        <w:rPr>
          <w:lang w:val="es-MX"/>
        </w:rPr>
        <w:t>1,038.7 millones en 2017</w:t>
      </w:r>
      <w:r w:rsidR="00F45316">
        <w:rPr>
          <w:lang w:val="es-MX"/>
        </w:rPr>
        <w:t>;</w:t>
      </w:r>
      <w:r>
        <w:rPr>
          <w:lang w:val="es-MX"/>
        </w:rPr>
        <w:t xml:space="preserve"> es decir, tuvo una disminución de Q</w:t>
      </w:r>
      <w:r w:rsidR="00F45316">
        <w:rPr>
          <w:lang w:val="es-MX"/>
        </w:rPr>
        <w:t>.</w:t>
      </w:r>
      <w:r>
        <w:rPr>
          <w:lang w:val="es-MX"/>
        </w:rPr>
        <w:t xml:space="preserve">1,270.2 millones, entre otras de menor valor, en virtud que la mayor ejecución se hizo a través de las fuentes de </w:t>
      </w:r>
      <w:r w:rsidR="00F45316">
        <w:rPr>
          <w:lang w:val="es-MX"/>
        </w:rPr>
        <w:t>p</w:t>
      </w:r>
      <w:r>
        <w:rPr>
          <w:lang w:val="es-MX"/>
        </w:rPr>
        <w:t xml:space="preserve">réstamos y </w:t>
      </w:r>
      <w:r w:rsidR="00F45316">
        <w:rPr>
          <w:lang w:val="es-MX"/>
        </w:rPr>
        <w:t>c</w:t>
      </w:r>
      <w:r>
        <w:rPr>
          <w:lang w:val="es-MX"/>
        </w:rPr>
        <w:t>olocaciones, pasando de Q</w:t>
      </w:r>
      <w:r w:rsidR="00F45316">
        <w:rPr>
          <w:lang w:val="es-MX"/>
        </w:rPr>
        <w:t>.</w:t>
      </w:r>
      <w:r>
        <w:rPr>
          <w:lang w:val="es-MX"/>
        </w:rPr>
        <w:t>2,783.7 millones en 2016 a Q</w:t>
      </w:r>
      <w:r w:rsidR="00F45316">
        <w:rPr>
          <w:lang w:val="es-MX"/>
        </w:rPr>
        <w:t>.</w:t>
      </w:r>
      <w:r>
        <w:rPr>
          <w:lang w:val="es-MX"/>
        </w:rPr>
        <w:t>4,274.1 millones en 2017.</w:t>
      </w:r>
    </w:p>
    <w:p w:rsidR="006132CB" w:rsidRDefault="006132CB" w:rsidP="006132CB">
      <w:pPr>
        <w:jc w:val="both"/>
        <w:rPr>
          <w:lang w:val="es-MX"/>
        </w:rPr>
      </w:pPr>
    </w:p>
    <w:p w:rsidR="00771A67" w:rsidRDefault="00771A67" w:rsidP="006132CB">
      <w:pPr>
        <w:jc w:val="both"/>
        <w:rPr>
          <w:lang w:val="es-MX"/>
        </w:rPr>
      </w:pPr>
    </w:p>
    <w:p w:rsidR="00771A67" w:rsidRDefault="00771A67" w:rsidP="006132CB">
      <w:pPr>
        <w:jc w:val="both"/>
        <w:rPr>
          <w:lang w:val="es-MX"/>
        </w:rPr>
      </w:pPr>
    </w:p>
    <w:p w:rsidR="006132CB" w:rsidRPr="00FB641E" w:rsidRDefault="006132CB" w:rsidP="006132CB">
      <w:pPr>
        <w:jc w:val="both"/>
        <w:rPr>
          <w:lang w:val="es-MX"/>
        </w:rPr>
      </w:pPr>
      <w:r>
        <w:rPr>
          <w:lang w:val="es-MX"/>
        </w:rPr>
        <w:t>La fuente Ingresos Tributarios IVA-Paz, pasó de Q</w:t>
      </w:r>
      <w:r w:rsidR="00925570">
        <w:rPr>
          <w:lang w:val="es-MX"/>
        </w:rPr>
        <w:t>.</w:t>
      </w:r>
      <w:r>
        <w:rPr>
          <w:lang w:val="es-MX"/>
        </w:rPr>
        <w:t>3,675.7 millo</w:t>
      </w:r>
      <w:r w:rsidR="001829A5">
        <w:rPr>
          <w:lang w:val="es-MX"/>
        </w:rPr>
        <w:t>nes en 2016 a Q</w:t>
      </w:r>
      <w:r w:rsidR="00925570">
        <w:rPr>
          <w:lang w:val="es-MX"/>
        </w:rPr>
        <w:t>.</w:t>
      </w:r>
      <w:r w:rsidR="001829A5">
        <w:rPr>
          <w:lang w:val="es-MX"/>
        </w:rPr>
        <w:t>3,276.7 millones</w:t>
      </w:r>
      <w:r>
        <w:rPr>
          <w:lang w:val="es-MX"/>
        </w:rPr>
        <w:t xml:space="preserve"> y fue Obligaciones del Estado a Cargo del Tesoro donde tuvo su principal disminución</w:t>
      </w:r>
      <w:r w:rsidR="00925570">
        <w:rPr>
          <w:lang w:val="es-MX"/>
        </w:rPr>
        <w:t>;</w:t>
      </w:r>
      <w:r>
        <w:rPr>
          <w:lang w:val="es-MX"/>
        </w:rPr>
        <w:t xml:space="preserve"> bajo esta fuente se hace el aporte a las municipalidades y a los Consejos</w:t>
      </w:r>
      <w:r w:rsidR="00925570">
        <w:rPr>
          <w:lang w:val="es-MX"/>
        </w:rPr>
        <w:t xml:space="preserve"> Departamentales</w:t>
      </w:r>
      <w:r>
        <w:rPr>
          <w:lang w:val="es-MX"/>
        </w:rPr>
        <w:t xml:space="preserve"> de Desarrollo.  </w:t>
      </w:r>
      <w:r w:rsidR="00836931">
        <w:rPr>
          <w:lang w:val="es-MX"/>
        </w:rPr>
        <w:t xml:space="preserve">En </w:t>
      </w:r>
      <w:r>
        <w:rPr>
          <w:lang w:val="es-MX"/>
        </w:rPr>
        <w:t>el caso de</w:t>
      </w:r>
      <w:r w:rsidR="00836931">
        <w:rPr>
          <w:lang w:val="es-MX"/>
        </w:rPr>
        <w:t>l Ministerio de</w:t>
      </w:r>
      <w:r>
        <w:rPr>
          <w:lang w:val="es-MX"/>
        </w:rPr>
        <w:t xml:space="preserve"> Educación, </w:t>
      </w:r>
      <w:r w:rsidR="00836931">
        <w:rPr>
          <w:lang w:val="es-MX"/>
        </w:rPr>
        <w:t xml:space="preserve">a efecto de </w:t>
      </w:r>
      <w:r>
        <w:rPr>
          <w:lang w:val="es-MX"/>
        </w:rPr>
        <w:t xml:space="preserve">cubrir varios programas relacionados con la educación primaria principalmente. Gobernación también es otra entidad que buena parte de su ejecución la efectúa a través de esta fuente de financiamiento y lo utiliza </w:t>
      </w:r>
      <w:r w:rsidR="00836931">
        <w:rPr>
          <w:lang w:val="es-MX"/>
        </w:rPr>
        <w:t xml:space="preserve">en </w:t>
      </w:r>
      <w:r>
        <w:rPr>
          <w:lang w:val="es-MX"/>
        </w:rPr>
        <w:t xml:space="preserve">los programas de Servicios de Seguridad a las Personas y su Patrimonio y al programa de Servicios de Custodia y Rehabilitación de Privados de Libertad.  Otro gasto fuerte bajo esta fuente de financiamiento se ejecuta a través del Ministerio de Agricultura, Ganadería y Alimentación </w:t>
      </w:r>
      <w:r w:rsidR="00836931">
        <w:rPr>
          <w:lang w:val="es-MX"/>
        </w:rPr>
        <w:t xml:space="preserve">en </w:t>
      </w:r>
      <w:r>
        <w:rPr>
          <w:lang w:val="es-MX"/>
        </w:rPr>
        <w:t>el gasto de</w:t>
      </w:r>
      <w:r w:rsidR="00925570">
        <w:rPr>
          <w:lang w:val="es-MX"/>
        </w:rPr>
        <w:t>l programa</w:t>
      </w:r>
      <w:r>
        <w:rPr>
          <w:lang w:val="es-MX"/>
        </w:rPr>
        <w:t xml:space="preserve"> Asistencia Alimentaria a Población </w:t>
      </w:r>
      <w:r w:rsidR="00925570">
        <w:rPr>
          <w:lang w:val="es-MX"/>
        </w:rPr>
        <w:t>V</w:t>
      </w:r>
      <w:r>
        <w:rPr>
          <w:lang w:val="es-MX"/>
        </w:rPr>
        <w:t xml:space="preserve">ulnerable al Riesgo y Desastres, transferencias a diferentes entidades, tales como: la Comisión Trinacional del Plan Trifinio, Escuela Nacional Central de Agricultura </w:t>
      </w:r>
      <w:r w:rsidR="00925570">
        <w:rPr>
          <w:lang w:val="es-MX"/>
        </w:rPr>
        <w:t>(</w:t>
      </w:r>
      <w:r>
        <w:rPr>
          <w:lang w:val="es-MX"/>
        </w:rPr>
        <w:t>ENCA</w:t>
      </w:r>
      <w:r w:rsidR="00925570">
        <w:rPr>
          <w:lang w:val="es-MX"/>
        </w:rPr>
        <w:t>)</w:t>
      </w:r>
      <w:r>
        <w:rPr>
          <w:lang w:val="es-MX"/>
        </w:rPr>
        <w:t xml:space="preserve">, Fondo de Tierras </w:t>
      </w:r>
      <w:r w:rsidR="00925570">
        <w:rPr>
          <w:lang w:val="es-MX"/>
        </w:rPr>
        <w:t>(</w:t>
      </w:r>
      <w:r>
        <w:rPr>
          <w:lang w:val="es-MX"/>
        </w:rPr>
        <w:t>FONTIERRA</w:t>
      </w:r>
      <w:r w:rsidR="00925570">
        <w:rPr>
          <w:lang w:val="es-MX"/>
        </w:rPr>
        <w:t>)</w:t>
      </w:r>
      <w:r>
        <w:rPr>
          <w:lang w:val="es-MX"/>
        </w:rPr>
        <w:t xml:space="preserve">, Instituto de Ciencia y Tecnología </w:t>
      </w:r>
      <w:r w:rsidR="00925570">
        <w:rPr>
          <w:lang w:val="es-MX"/>
        </w:rPr>
        <w:t>(</w:t>
      </w:r>
      <w:r>
        <w:rPr>
          <w:lang w:val="es-MX"/>
        </w:rPr>
        <w:t>ICTA</w:t>
      </w:r>
      <w:r w:rsidR="00925570">
        <w:rPr>
          <w:lang w:val="es-MX"/>
        </w:rPr>
        <w:t>)</w:t>
      </w:r>
      <w:r>
        <w:rPr>
          <w:lang w:val="es-MX"/>
        </w:rPr>
        <w:t xml:space="preserve">, Instituto Nacional de Bosques </w:t>
      </w:r>
      <w:r w:rsidR="00925570">
        <w:rPr>
          <w:lang w:val="es-MX"/>
        </w:rPr>
        <w:t>(</w:t>
      </w:r>
      <w:r>
        <w:rPr>
          <w:lang w:val="es-MX"/>
        </w:rPr>
        <w:t>INAB</w:t>
      </w:r>
      <w:r w:rsidR="00925570">
        <w:rPr>
          <w:lang w:val="es-MX"/>
        </w:rPr>
        <w:t>)</w:t>
      </w:r>
      <w:r>
        <w:rPr>
          <w:lang w:val="es-MX"/>
        </w:rPr>
        <w:t xml:space="preserve">, Instituto Nacional de Comercialización Agrícola </w:t>
      </w:r>
      <w:r w:rsidR="00925570">
        <w:rPr>
          <w:lang w:val="es-MX"/>
        </w:rPr>
        <w:t>(</w:t>
      </w:r>
      <w:r>
        <w:rPr>
          <w:lang w:val="es-MX"/>
        </w:rPr>
        <w:t>INDECA</w:t>
      </w:r>
      <w:r w:rsidR="00925570">
        <w:rPr>
          <w:lang w:val="es-MX"/>
        </w:rPr>
        <w:t>)</w:t>
      </w:r>
      <w:r>
        <w:rPr>
          <w:lang w:val="es-MX"/>
        </w:rPr>
        <w:t xml:space="preserve"> entre los </w:t>
      </w:r>
      <w:r w:rsidR="00836931">
        <w:rPr>
          <w:lang w:val="es-MX"/>
        </w:rPr>
        <w:t>aportes</w:t>
      </w:r>
      <w:r>
        <w:rPr>
          <w:lang w:val="es-MX"/>
        </w:rPr>
        <w:t xml:space="preserve"> más fuertes.</w:t>
      </w:r>
    </w:p>
    <w:p w:rsidR="006132CB" w:rsidRDefault="006132CB" w:rsidP="006132CB">
      <w:pPr>
        <w:jc w:val="center"/>
        <w:rPr>
          <w:b/>
          <w:sz w:val="22"/>
          <w:lang w:val="es-MX"/>
        </w:rPr>
      </w:pPr>
    </w:p>
    <w:p w:rsidR="006132CB" w:rsidRPr="0088577C" w:rsidRDefault="006132CB" w:rsidP="006132CB">
      <w:pPr>
        <w:jc w:val="center"/>
        <w:rPr>
          <w:b/>
          <w:sz w:val="22"/>
          <w:szCs w:val="22"/>
          <w:lang w:val="es-MX"/>
        </w:rPr>
      </w:pPr>
      <w:r w:rsidRPr="0088577C">
        <w:rPr>
          <w:b/>
          <w:sz w:val="22"/>
          <w:szCs w:val="22"/>
          <w:lang w:val="es-MX"/>
        </w:rPr>
        <w:t xml:space="preserve">Cuadro </w:t>
      </w:r>
      <w:r w:rsidR="00910F6F">
        <w:rPr>
          <w:b/>
          <w:sz w:val="22"/>
          <w:szCs w:val="22"/>
          <w:lang w:val="es-MX"/>
        </w:rPr>
        <w:t>6</w:t>
      </w:r>
    </w:p>
    <w:p w:rsidR="006132CB" w:rsidRPr="0088577C" w:rsidRDefault="006132CB" w:rsidP="006132CB">
      <w:pPr>
        <w:jc w:val="center"/>
        <w:rPr>
          <w:b/>
          <w:sz w:val="22"/>
          <w:szCs w:val="22"/>
          <w:lang w:val="es-MX"/>
        </w:rPr>
      </w:pPr>
      <w:r w:rsidRPr="0088577C">
        <w:rPr>
          <w:b/>
          <w:sz w:val="22"/>
          <w:szCs w:val="22"/>
          <w:lang w:val="es-MX"/>
        </w:rPr>
        <w:t>Ejecución Presupuestaria por Fuente de Financiamiento</w:t>
      </w:r>
    </w:p>
    <w:p w:rsidR="006132CB" w:rsidRPr="0088577C" w:rsidRDefault="006132CB" w:rsidP="006132CB">
      <w:pPr>
        <w:jc w:val="center"/>
        <w:rPr>
          <w:b/>
          <w:sz w:val="22"/>
          <w:szCs w:val="22"/>
          <w:lang w:val="es-MX"/>
        </w:rPr>
      </w:pPr>
      <w:r w:rsidRPr="0088577C">
        <w:rPr>
          <w:b/>
          <w:sz w:val="22"/>
          <w:szCs w:val="22"/>
          <w:lang w:val="es-MX"/>
        </w:rPr>
        <w:t>Al 30 de junio de 2016 - 2017*</w:t>
      </w:r>
    </w:p>
    <w:p w:rsidR="006132CB" w:rsidRPr="0088577C" w:rsidRDefault="006132CB" w:rsidP="006132CB">
      <w:pPr>
        <w:jc w:val="center"/>
        <w:rPr>
          <w:b/>
          <w:sz w:val="22"/>
          <w:szCs w:val="22"/>
          <w:lang w:val="es-MX"/>
        </w:rPr>
      </w:pPr>
      <w:r w:rsidRPr="0088577C">
        <w:rPr>
          <w:b/>
          <w:sz w:val="22"/>
          <w:szCs w:val="22"/>
          <w:lang w:val="es-MX"/>
        </w:rPr>
        <w:t>(Millones de Quetzales)</w:t>
      </w:r>
    </w:p>
    <w:p w:rsidR="006132CB" w:rsidRDefault="00021644" w:rsidP="006132CB">
      <w:pPr>
        <w:jc w:val="center"/>
        <w:rPr>
          <w:sz w:val="16"/>
          <w:lang w:val="es-MX"/>
        </w:rPr>
      </w:pPr>
      <w:r w:rsidRPr="001829A5">
        <w:rPr>
          <w:noProof/>
          <w:lang w:val="es-GT" w:eastAsia="es-GT"/>
        </w:rPr>
        <w:drawing>
          <wp:inline distT="0" distB="0" distL="0" distR="0">
            <wp:extent cx="5762625" cy="3588385"/>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588385"/>
                    </a:xfrm>
                    <a:prstGeom prst="rect">
                      <a:avLst/>
                    </a:prstGeom>
                    <a:noFill/>
                    <a:ln>
                      <a:noFill/>
                    </a:ln>
                  </pic:spPr>
                </pic:pic>
              </a:graphicData>
            </a:graphic>
          </wp:inline>
        </w:drawing>
      </w:r>
    </w:p>
    <w:p w:rsidR="006132CB" w:rsidRPr="00B21B47" w:rsidRDefault="006132CB" w:rsidP="006132CB">
      <w:pPr>
        <w:rPr>
          <w:sz w:val="16"/>
          <w:lang w:val="es-MX"/>
        </w:rPr>
      </w:pPr>
      <w:r w:rsidRPr="00B21B47">
        <w:rPr>
          <w:sz w:val="16"/>
          <w:lang w:val="es-MX"/>
        </w:rPr>
        <w:t>Fuente: Ministerio de Finanzas Públicas con base al SICOIN.</w:t>
      </w:r>
    </w:p>
    <w:p w:rsidR="006132CB" w:rsidRDefault="006132CB" w:rsidP="006132CB">
      <w:pPr>
        <w:rPr>
          <w:sz w:val="16"/>
          <w:lang w:val="es-MX"/>
        </w:rPr>
      </w:pPr>
      <w:r w:rsidRPr="00B21B47">
        <w:rPr>
          <w:sz w:val="16"/>
          <w:lang w:val="es-MX"/>
        </w:rPr>
        <w:t>* Cifras preliminares</w:t>
      </w:r>
    </w:p>
    <w:p w:rsidR="006132CB" w:rsidRDefault="006132CB" w:rsidP="006132CB">
      <w:pPr>
        <w:rPr>
          <w:sz w:val="16"/>
          <w:lang w:val="es-MX"/>
        </w:rPr>
      </w:pPr>
    </w:p>
    <w:p w:rsidR="002F3446" w:rsidRDefault="002F3446" w:rsidP="002F3446">
      <w:pPr>
        <w:rPr>
          <w:sz w:val="16"/>
          <w:lang w:val="es-MX"/>
        </w:rPr>
      </w:pPr>
    </w:p>
    <w:p w:rsidR="009E05CC" w:rsidRDefault="009E05CC" w:rsidP="002F3446">
      <w:pPr>
        <w:rPr>
          <w:sz w:val="16"/>
          <w:lang w:val="es-MX"/>
        </w:rPr>
      </w:pPr>
    </w:p>
    <w:p w:rsidR="002F3446" w:rsidRPr="009E05CC" w:rsidRDefault="002F3446" w:rsidP="00D16A2D">
      <w:pPr>
        <w:keepNext/>
        <w:keepLines/>
        <w:numPr>
          <w:ilvl w:val="2"/>
          <w:numId w:val="3"/>
        </w:numPr>
        <w:spacing w:before="200"/>
        <w:outlineLvl w:val="2"/>
        <w:rPr>
          <w:b/>
          <w:bCs/>
          <w:lang w:val="es-MX"/>
        </w:rPr>
      </w:pPr>
      <w:bookmarkStart w:id="21" w:name="_Toc494450598"/>
      <w:r w:rsidRPr="009E05CC">
        <w:rPr>
          <w:b/>
          <w:bCs/>
          <w:lang w:val="es-MX"/>
        </w:rPr>
        <w:lastRenderedPageBreak/>
        <w:t>Gasto Social y Acuerdos de Paz</w:t>
      </w:r>
      <w:r w:rsidRPr="009E05CC">
        <w:rPr>
          <w:rStyle w:val="Refdenotaalpie"/>
          <w:b/>
          <w:bCs/>
          <w:lang w:val="es-MX"/>
        </w:rPr>
        <w:footnoteReference w:id="1"/>
      </w:r>
      <w:bookmarkEnd w:id="21"/>
    </w:p>
    <w:p w:rsidR="002F3446" w:rsidRPr="009E05CC" w:rsidRDefault="002F3446" w:rsidP="002F3446">
      <w:pPr>
        <w:jc w:val="both"/>
        <w:rPr>
          <w:lang w:val="es-MX"/>
        </w:rPr>
      </w:pPr>
    </w:p>
    <w:p w:rsidR="002F3446" w:rsidRPr="009E05CC" w:rsidRDefault="002F3446" w:rsidP="002F3446">
      <w:pPr>
        <w:jc w:val="both"/>
      </w:pPr>
      <w:r w:rsidRPr="009E05CC">
        <w:t>Uno de los objetivos prioritarios de la actual administración es continuar apoyando el Gasto Social para dar cumplimiento a lo establecido por los Acuerdos de Paz, en el Plan Nacional de Desarrollo K’atun, Nuestra Guatemala 2032 y en la Política General de Gobierno 2016-2020, el monto de ejecución presupuestaria del Gasto Social pasó de Q</w:t>
      </w:r>
      <w:r w:rsidR="00992608">
        <w:t>.</w:t>
      </w:r>
      <w:r w:rsidRPr="009E05CC">
        <w:t>12,692.9 millones en 2016 a Q</w:t>
      </w:r>
      <w:r w:rsidR="00992608">
        <w:t>.</w:t>
      </w:r>
      <w:r w:rsidRPr="009E05CC">
        <w:t>13,129.2 millones en 2017, es decir, tuvo un aumento de Q</w:t>
      </w:r>
      <w:r w:rsidR="00992608">
        <w:t>.</w:t>
      </w:r>
      <w:r w:rsidRPr="009E05CC">
        <w:t xml:space="preserve">436.3 millones </w:t>
      </w:r>
      <w:r w:rsidR="00836931">
        <w:t>(</w:t>
      </w:r>
      <w:r w:rsidRPr="009E05CC">
        <w:t>3.4% mayor a lo observado en 2016</w:t>
      </w:r>
      <w:r w:rsidR="00836931">
        <w:t>)</w:t>
      </w:r>
      <w:r w:rsidR="00992608">
        <w:t>. E</w:t>
      </w:r>
      <w:r w:rsidRPr="009E05CC">
        <w:t>ste aumento favoreció principalmente el gasto en Salud y Asistencia Social con Q</w:t>
      </w:r>
      <w:r w:rsidR="00992608">
        <w:t>.</w:t>
      </w:r>
      <w:r w:rsidRPr="009E05CC">
        <w:t>231.0 millones, Educación con Q</w:t>
      </w:r>
      <w:r w:rsidR="00992608">
        <w:t>.</w:t>
      </w:r>
      <w:r w:rsidRPr="009E05CC">
        <w:t>120.2 millones y Vivienda en Q</w:t>
      </w:r>
      <w:r w:rsidR="00992608">
        <w:t>.</w:t>
      </w:r>
      <w:r w:rsidRPr="009E05CC">
        <w:t>85.2 millones.</w:t>
      </w:r>
    </w:p>
    <w:p w:rsidR="002F3446" w:rsidRPr="009E05CC" w:rsidRDefault="002F3446" w:rsidP="002F3446">
      <w:pPr>
        <w:jc w:val="both"/>
      </w:pPr>
    </w:p>
    <w:p w:rsidR="002F3446" w:rsidRPr="009E05CC" w:rsidRDefault="002F3446" w:rsidP="002F3446">
      <w:pPr>
        <w:jc w:val="both"/>
      </w:pPr>
      <w:r w:rsidRPr="009E05CC">
        <w:t xml:space="preserve">Los Acuerdos de Paz incluyen </w:t>
      </w:r>
      <w:r w:rsidR="00836931">
        <w:t xml:space="preserve">adicionalmente, </w:t>
      </w:r>
      <w:r w:rsidRPr="009E05CC">
        <w:t>el gasto destinado al Sector Justicia</w:t>
      </w:r>
      <w:r w:rsidR="00836931">
        <w:t xml:space="preserve"> el cual</w:t>
      </w:r>
      <w:r w:rsidRPr="009E05CC">
        <w:t xml:space="preserve"> para </w:t>
      </w:r>
      <w:r w:rsidR="00836931">
        <w:t xml:space="preserve">el primer semestre </w:t>
      </w:r>
      <w:r w:rsidRPr="009E05CC">
        <w:t>2017 aumentó Q</w:t>
      </w:r>
      <w:r w:rsidR="00992608">
        <w:t>.</w:t>
      </w:r>
      <w:r w:rsidRPr="009E05CC">
        <w:t>583.7 millones, pasando de Q</w:t>
      </w:r>
      <w:r w:rsidR="00992608">
        <w:t>.</w:t>
      </w:r>
      <w:r w:rsidRPr="009E05CC">
        <w:t>3,380.9 millones en 2016 a Q</w:t>
      </w:r>
      <w:r w:rsidR="00992608">
        <w:t>.</w:t>
      </w:r>
      <w:r w:rsidRPr="009E05CC">
        <w:t xml:space="preserve">3,964.5 millones, </w:t>
      </w:r>
      <w:r w:rsidR="00992608">
        <w:t>e</w:t>
      </w:r>
      <w:r w:rsidRPr="009E05CC">
        <w:t xml:space="preserve">ste aumento se destinó </w:t>
      </w:r>
      <w:r w:rsidR="00836931">
        <w:t>en su mayor porcentaje</w:t>
      </w:r>
      <w:r w:rsidRPr="009E05CC">
        <w:t xml:space="preserve"> al Ministerio Público con Q</w:t>
      </w:r>
      <w:r w:rsidR="00992608">
        <w:t>.</w:t>
      </w:r>
      <w:r w:rsidRPr="009E05CC">
        <w:t>321.5 millones, al Organismo Judicial y a la Corte de Constitucionalidad en conjunto con un monto de Q</w:t>
      </w:r>
      <w:r w:rsidR="00992608">
        <w:t>.</w:t>
      </w:r>
      <w:r w:rsidRPr="009E05CC">
        <w:t>135.1 millones, finalmente a Seguridad Social con Q</w:t>
      </w:r>
      <w:r w:rsidR="00992608">
        <w:t>.</w:t>
      </w:r>
      <w:r w:rsidRPr="009E05CC">
        <w:t>127.0 millones.</w:t>
      </w:r>
    </w:p>
    <w:p w:rsidR="002F3446" w:rsidRPr="009E05CC" w:rsidRDefault="002F3446" w:rsidP="002F3446">
      <w:pPr>
        <w:jc w:val="both"/>
      </w:pPr>
    </w:p>
    <w:p w:rsidR="002F3446" w:rsidRPr="009E05CC" w:rsidRDefault="002F3446" w:rsidP="002F3446">
      <w:pPr>
        <w:jc w:val="both"/>
      </w:pPr>
      <w:r w:rsidRPr="009E05CC">
        <w:t>Estos dos sectores conforman</w:t>
      </w:r>
      <w:r w:rsidR="00836931">
        <w:t xml:space="preserve"> el gasto en</w:t>
      </w:r>
      <w:r w:rsidRPr="009E05CC">
        <w:t xml:space="preserve"> los </w:t>
      </w:r>
      <w:r w:rsidR="00992608">
        <w:t>A</w:t>
      </w:r>
      <w:r w:rsidRPr="009E05CC">
        <w:t xml:space="preserve">cuerdos de </w:t>
      </w:r>
      <w:r w:rsidR="00992608">
        <w:t>P</w:t>
      </w:r>
      <w:r w:rsidRPr="009E05CC">
        <w:t>az, los cuales tuvieron un aumento de Q</w:t>
      </w:r>
      <w:r w:rsidR="00992608">
        <w:t>.</w:t>
      </w:r>
      <w:r w:rsidRPr="009E05CC">
        <w:t xml:space="preserve">1,020.0 millones para la ejecución de 2017, teniendo mayor impacto en el gasto destinado al Sector Justicia, </w:t>
      </w:r>
      <w:r w:rsidR="00836931">
        <w:t>descrito</w:t>
      </w:r>
      <w:r w:rsidRPr="009E05CC">
        <w:t xml:space="preserve"> en el párrafo anterior.</w:t>
      </w:r>
    </w:p>
    <w:p w:rsidR="002F3446" w:rsidRPr="009E05CC" w:rsidRDefault="002F3446" w:rsidP="002F3446">
      <w:pPr>
        <w:jc w:val="both"/>
      </w:pPr>
    </w:p>
    <w:p w:rsidR="002F3446" w:rsidRPr="0088577C" w:rsidRDefault="002F3446" w:rsidP="002F3446">
      <w:pPr>
        <w:jc w:val="center"/>
        <w:rPr>
          <w:b/>
          <w:sz w:val="22"/>
          <w:szCs w:val="22"/>
          <w:lang w:val="es-MX"/>
        </w:rPr>
      </w:pPr>
      <w:r w:rsidRPr="0088577C">
        <w:rPr>
          <w:b/>
          <w:sz w:val="22"/>
          <w:szCs w:val="22"/>
          <w:lang w:val="es-MX"/>
        </w:rPr>
        <w:t xml:space="preserve">Cuadro </w:t>
      </w:r>
      <w:r w:rsidR="00910F6F">
        <w:rPr>
          <w:b/>
          <w:sz w:val="22"/>
          <w:szCs w:val="22"/>
          <w:lang w:val="es-MX"/>
        </w:rPr>
        <w:t>7</w:t>
      </w:r>
    </w:p>
    <w:p w:rsidR="002F3446" w:rsidRPr="0088577C" w:rsidRDefault="002F3446" w:rsidP="002F3446">
      <w:pPr>
        <w:jc w:val="center"/>
        <w:rPr>
          <w:b/>
          <w:sz w:val="22"/>
          <w:szCs w:val="22"/>
          <w:lang w:val="es-MX"/>
        </w:rPr>
      </w:pPr>
      <w:r w:rsidRPr="0088577C">
        <w:rPr>
          <w:b/>
          <w:sz w:val="22"/>
          <w:szCs w:val="22"/>
          <w:lang w:val="es-MX"/>
        </w:rPr>
        <w:t>Ejecución Presupuestaria del Gasto Social y Acuerdos de Paz</w:t>
      </w:r>
    </w:p>
    <w:p w:rsidR="002F3446" w:rsidRPr="0088577C" w:rsidRDefault="002F3446" w:rsidP="002F3446">
      <w:pPr>
        <w:jc w:val="center"/>
        <w:rPr>
          <w:b/>
          <w:sz w:val="22"/>
          <w:szCs w:val="22"/>
          <w:lang w:val="es-MX"/>
        </w:rPr>
      </w:pPr>
      <w:r w:rsidRPr="0088577C">
        <w:rPr>
          <w:b/>
          <w:sz w:val="22"/>
          <w:szCs w:val="22"/>
          <w:lang w:val="es-MX"/>
        </w:rPr>
        <w:t>Al 30 de junio 2016 - 2017</w:t>
      </w:r>
    </w:p>
    <w:p w:rsidR="002F3446" w:rsidRPr="0088577C" w:rsidRDefault="002F3446" w:rsidP="002F3446">
      <w:pPr>
        <w:jc w:val="center"/>
        <w:rPr>
          <w:b/>
          <w:sz w:val="22"/>
          <w:szCs w:val="22"/>
          <w:lang w:val="es-MX"/>
        </w:rPr>
      </w:pPr>
      <w:r w:rsidRPr="0088577C">
        <w:rPr>
          <w:b/>
          <w:sz w:val="22"/>
          <w:szCs w:val="22"/>
          <w:lang w:val="es-MX"/>
        </w:rPr>
        <w:t>(Cifras en Millones de Quetzales)</w:t>
      </w:r>
    </w:p>
    <w:tbl>
      <w:tblPr>
        <w:tblW w:w="8960" w:type="dxa"/>
        <w:tblInd w:w="55" w:type="dxa"/>
        <w:tblCellMar>
          <w:left w:w="70" w:type="dxa"/>
          <w:right w:w="70" w:type="dxa"/>
        </w:tblCellMar>
        <w:tblLook w:val="04A0" w:firstRow="1" w:lastRow="0" w:firstColumn="1" w:lastColumn="0" w:noHBand="0" w:noVBand="1"/>
      </w:tblPr>
      <w:tblGrid>
        <w:gridCol w:w="3241"/>
        <w:gridCol w:w="1430"/>
        <w:gridCol w:w="1430"/>
        <w:gridCol w:w="1520"/>
        <w:gridCol w:w="1339"/>
      </w:tblGrid>
      <w:tr w:rsidR="002F3446" w:rsidRPr="009E05CC" w:rsidTr="002F3446">
        <w:trPr>
          <w:trHeight w:val="339"/>
        </w:trPr>
        <w:tc>
          <w:tcPr>
            <w:tcW w:w="3241" w:type="dxa"/>
            <w:vMerge w:val="restart"/>
            <w:tcBorders>
              <w:top w:val="single" w:sz="8" w:space="0" w:color="auto"/>
              <w:left w:val="single" w:sz="8" w:space="0" w:color="auto"/>
              <w:bottom w:val="single" w:sz="4" w:space="0" w:color="auto"/>
              <w:right w:val="nil"/>
            </w:tcBorders>
            <w:shd w:val="clear" w:color="000000" w:fill="8DB4E2"/>
            <w:vAlign w:val="center"/>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Sector</w:t>
            </w:r>
          </w:p>
        </w:tc>
        <w:tc>
          <w:tcPr>
            <w:tcW w:w="1430" w:type="dxa"/>
            <w:vMerge w:val="restart"/>
            <w:tcBorders>
              <w:top w:val="single" w:sz="8" w:space="0" w:color="auto"/>
              <w:left w:val="single" w:sz="4" w:space="0" w:color="auto"/>
              <w:bottom w:val="single" w:sz="4" w:space="0" w:color="auto"/>
              <w:right w:val="single" w:sz="4" w:space="0" w:color="auto"/>
            </w:tcBorders>
            <w:shd w:val="clear" w:color="000000" w:fill="8DB4E2"/>
            <w:vAlign w:val="center"/>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2016</w:t>
            </w:r>
          </w:p>
        </w:tc>
        <w:tc>
          <w:tcPr>
            <w:tcW w:w="1430" w:type="dxa"/>
            <w:vMerge w:val="restart"/>
            <w:tcBorders>
              <w:top w:val="single" w:sz="8" w:space="0" w:color="auto"/>
              <w:left w:val="single" w:sz="4" w:space="0" w:color="auto"/>
              <w:bottom w:val="single" w:sz="4" w:space="0" w:color="auto"/>
              <w:right w:val="single" w:sz="4" w:space="0" w:color="auto"/>
            </w:tcBorders>
            <w:shd w:val="clear" w:color="000000" w:fill="8DB4E2"/>
            <w:vAlign w:val="center"/>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2017</w:t>
            </w:r>
          </w:p>
        </w:tc>
        <w:tc>
          <w:tcPr>
            <w:tcW w:w="2859" w:type="dxa"/>
            <w:gridSpan w:val="2"/>
            <w:tcBorders>
              <w:top w:val="single" w:sz="8" w:space="0" w:color="auto"/>
              <w:left w:val="nil"/>
              <w:bottom w:val="single" w:sz="4" w:space="0" w:color="auto"/>
              <w:right w:val="single" w:sz="8" w:space="0" w:color="000000"/>
            </w:tcBorders>
            <w:shd w:val="clear" w:color="000000" w:fill="8DB4E2"/>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Diferencias</w:t>
            </w:r>
          </w:p>
        </w:tc>
      </w:tr>
      <w:tr w:rsidR="002F3446" w:rsidRPr="009E05CC" w:rsidTr="002F3446">
        <w:trPr>
          <w:trHeight w:val="339"/>
        </w:trPr>
        <w:tc>
          <w:tcPr>
            <w:tcW w:w="3241" w:type="dxa"/>
            <w:vMerge/>
            <w:tcBorders>
              <w:top w:val="single" w:sz="8" w:space="0" w:color="auto"/>
              <w:left w:val="single" w:sz="8" w:space="0" w:color="auto"/>
              <w:bottom w:val="single" w:sz="4" w:space="0" w:color="auto"/>
              <w:right w:val="nil"/>
            </w:tcBorders>
            <w:vAlign w:val="center"/>
            <w:hideMark/>
          </w:tcPr>
          <w:p w:rsidR="002F3446" w:rsidRPr="009E05CC" w:rsidRDefault="002F3446" w:rsidP="002F3446">
            <w:pPr>
              <w:rPr>
                <w:b/>
                <w:bCs/>
                <w:color w:val="000000"/>
                <w:sz w:val="22"/>
                <w:szCs w:val="22"/>
                <w:lang w:val="es-GT" w:eastAsia="es-GT"/>
              </w:rPr>
            </w:pPr>
          </w:p>
        </w:tc>
        <w:tc>
          <w:tcPr>
            <w:tcW w:w="1430" w:type="dxa"/>
            <w:vMerge/>
            <w:tcBorders>
              <w:top w:val="single" w:sz="8" w:space="0" w:color="auto"/>
              <w:left w:val="single" w:sz="4" w:space="0" w:color="auto"/>
              <w:bottom w:val="single" w:sz="4" w:space="0" w:color="auto"/>
              <w:right w:val="single" w:sz="4" w:space="0" w:color="auto"/>
            </w:tcBorders>
            <w:vAlign w:val="center"/>
            <w:hideMark/>
          </w:tcPr>
          <w:p w:rsidR="002F3446" w:rsidRPr="009E05CC" w:rsidRDefault="002F3446" w:rsidP="002F3446">
            <w:pPr>
              <w:rPr>
                <w:b/>
                <w:bCs/>
                <w:color w:val="000000"/>
                <w:sz w:val="22"/>
                <w:szCs w:val="22"/>
                <w:lang w:val="es-GT" w:eastAsia="es-GT"/>
              </w:rPr>
            </w:pPr>
          </w:p>
        </w:tc>
        <w:tc>
          <w:tcPr>
            <w:tcW w:w="1430" w:type="dxa"/>
            <w:vMerge/>
            <w:tcBorders>
              <w:top w:val="single" w:sz="8" w:space="0" w:color="auto"/>
              <w:left w:val="single" w:sz="4" w:space="0" w:color="auto"/>
              <w:bottom w:val="single" w:sz="4" w:space="0" w:color="auto"/>
              <w:right w:val="single" w:sz="4" w:space="0" w:color="auto"/>
            </w:tcBorders>
            <w:vAlign w:val="center"/>
            <w:hideMark/>
          </w:tcPr>
          <w:p w:rsidR="002F3446" w:rsidRPr="009E05CC" w:rsidRDefault="002F3446" w:rsidP="002F3446">
            <w:pPr>
              <w:rPr>
                <w:b/>
                <w:bCs/>
                <w:color w:val="000000"/>
                <w:sz w:val="22"/>
                <w:szCs w:val="22"/>
                <w:lang w:val="es-GT" w:eastAsia="es-GT"/>
              </w:rPr>
            </w:pPr>
          </w:p>
        </w:tc>
        <w:tc>
          <w:tcPr>
            <w:tcW w:w="1520" w:type="dxa"/>
            <w:tcBorders>
              <w:top w:val="single" w:sz="4" w:space="0" w:color="auto"/>
              <w:left w:val="nil"/>
              <w:bottom w:val="single" w:sz="4" w:space="0" w:color="auto"/>
              <w:right w:val="single" w:sz="4" w:space="0" w:color="auto"/>
            </w:tcBorders>
            <w:shd w:val="clear" w:color="000000" w:fill="8DB4E2"/>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Absolutas</w:t>
            </w:r>
          </w:p>
        </w:tc>
        <w:tc>
          <w:tcPr>
            <w:tcW w:w="1339" w:type="dxa"/>
            <w:tcBorders>
              <w:top w:val="nil"/>
              <w:left w:val="nil"/>
              <w:bottom w:val="single" w:sz="4" w:space="0" w:color="auto"/>
              <w:right w:val="single" w:sz="8" w:space="0" w:color="auto"/>
            </w:tcBorders>
            <w:shd w:val="clear" w:color="000000" w:fill="8DB4E2"/>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Relativas</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Total</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16,073.7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17,093.7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1,020.0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b/>
                <w:bCs/>
                <w:color w:val="000000"/>
                <w:sz w:val="22"/>
                <w:szCs w:val="22"/>
                <w:lang w:val="es-GT" w:eastAsia="es-GT"/>
              </w:rPr>
            </w:pPr>
            <w:r w:rsidRPr="009E05CC">
              <w:rPr>
                <w:b/>
                <w:bCs/>
                <w:color w:val="000000"/>
                <w:sz w:val="22"/>
                <w:szCs w:val="22"/>
                <w:lang w:val="es-GT" w:eastAsia="es-GT"/>
              </w:rPr>
              <w:t>6.3%</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Salud y Asistencia Social</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5,312.2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5,543.1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231.0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color w:val="000000"/>
                <w:sz w:val="22"/>
                <w:szCs w:val="22"/>
                <w:lang w:val="es-GT" w:eastAsia="es-GT"/>
              </w:rPr>
            </w:pPr>
            <w:r w:rsidRPr="009E05CC">
              <w:rPr>
                <w:color w:val="000000"/>
                <w:sz w:val="22"/>
                <w:szCs w:val="22"/>
                <w:lang w:val="es-GT" w:eastAsia="es-GT"/>
              </w:rPr>
              <w:t>4.3%</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Educación, Ciencia y Cultura</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7,358.9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7,479.1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120.2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color w:val="000000"/>
                <w:sz w:val="22"/>
                <w:szCs w:val="22"/>
                <w:lang w:val="es-GT" w:eastAsia="es-GT"/>
              </w:rPr>
            </w:pPr>
            <w:r w:rsidRPr="009E05CC">
              <w:rPr>
                <w:color w:val="000000"/>
                <w:sz w:val="22"/>
                <w:szCs w:val="22"/>
                <w:lang w:val="es-GT" w:eastAsia="es-GT"/>
              </w:rPr>
              <w:t>1.6%</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Vivienda</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21.8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107.0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85.2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color w:val="000000"/>
                <w:sz w:val="22"/>
                <w:szCs w:val="22"/>
                <w:lang w:val="es-GT" w:eastAsia="es-GT"/>
              </w:rPr>
            </w:pPr>
            <w:r w:rsidRPr="009E05CC">
              <w:rPr>
                <w:color w:val="000000"/>
                <w:sz w:val="22"/>
                <w:szCs w:val="22"/>
                <w:lang w:val="es-GT" w:eastAsia="es-GT"/>
              </w:rPr>
              <w:t>390.7%</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Gasto Social</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12,692.9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13,129.2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436.3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b/>
                <w:bCs/>
                <w:color w:val="000000"/>
                <w:sz w:val="22"/>
                <w:szCs w:val="22"/>
                <w:lang w:val="es-GT" w:eastAsia="es-GT"/>
              </w:rPr>
            </w:pPr>
            <w:r w:rsidRPr="009E05CC">
              <w:rPr>
                <w:b/>
                <w:bCs/>
                <w:color w:val="000000"/>
                <w:sz w:val="22"/>
                <w:szCs w:val="22"/>
                <w:lang w:val="es-GT" w:eastAsia="es-GT"/>
              </w:rPr>
              <w:t>3.4%</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Seguridad Interna</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1,757.7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1,884.7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127.0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color w:val="000000"/>
                <w:sz w:val="22"/>
                <w:szCs w:val="22"/>
                <w:lang w:val="es-GT" w:eastAsia="es-GT"/>
              </w:rPr>
            </w:pPr>
            <w:r w:rsidRPr="009E05CC">
              <w:rPr>
                <w:color w:val="000000"/>
                <w:sz w:val="22"/>
                <w:szCs w:val="22"/>
                <w:lang w:val="es-GT" w:eastAsia="es-GT"/>
              </w:rPr>
              <w:t>7.2%</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Organismo Judicial y C.C</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988.7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1,123.8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135.1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color w:val="000000"/>
                <w:sz w:val="22"/>
                <w:szCs w:val="22"/>
                <w:lang w:val="es-GT" w:eastAsia="es-GT"/>
              </w:rPr>
            </w:pPr>
            <w:r w:rsidRPr="009E05CC">
              <w:rPr>
                <w:color w:val="000000"/>
                <w:sz w:val="22"/>
                <w:szCs w:val="22"/>
                <w:lang w:val="es-GT" w:eastAsia="es-GT"/>
              </w:rPr>
              <w:t>13.7%</w:t>
            </w:r>
          </w:p>
        </w:tc>
      </w:tr>
      <w:tr w:rsidR="002F3446" w:rsidRPr="009E05CC" w:rsidTr="002F3446">
        <w:trPr>
          <w:trHeight w:val="339"/>
        </w:trPr>
        <w:tc>
          <w:tcPr>
            <w:tcW w:w="3241"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Ministerio Público</w:t>
            </w:r>
          </w:p>
        </w:tc>
        <w:tc>
          <w:tcPr>
            <w:tcW w:w="1430"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634.5 </w:t>
            </w:r>
          </w:p>
        </w:tc>
        <w:tc>
          <w:tcPr>
            <w:tcW w:w="143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956.0 </w:t>
            </w:r>
          </w:p>
        </w:tc>
        <w:tc>
          <w:tcPr>
            <w:tcW w:w="1520" w:type="dxa"/>
            <w:tcBorders>
              <w:top w:val="nil"/>
              <w:left w:val="nil"/>
              <w:bottom w:val="nil"/>
              <w:right w:val="single" w:sz="4" w:space="0" w:color="auto"/>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 xml:space="preserve">         321.5 </w:t>
            </w:r>
          </w:p>
        </w:tc>
        <w:tc>
          <w:tcPr>
            <w:tcW w:w="1339"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right"/>
              <w:rPr>
                <w:color w:val="000000"/>
                <w:sz w:val="22"/>
                <w:szCs w:val="22"/>
                <w:lang w:val="es-GT" w:eastAsia="es-GT"/>
              </w:rPr>
            </w:pPr>
            <w:r w:rsidRPr="009E05CC">
              <w:rPr>
                <w:color w:val="000000"/>
                <w:sz w:val="22"/>
                <w:szCs w:val="22"/>
                <w:lang w:val="es-GT" w:eastAsia="es-GT"/>
              </w:rPr>
              <w:t>50.7%</w:t>
            </w:r>
          </w:p>
        </w:tc>
      </w:tr>
      <w:tr w:rsidR="002F3446" w:rsidRPr="009E05CC" w:rsidTr="002F3446">
        <w:trPr>
          <w:trHeight w:val="356"/>
        </w:trPr>
        <w:tc>
          <w:tcPr>
            <w:tcW w:w="3241" w:type="dxa"/>
            <w:tcBorders>
              <w:top w:val="nil"/>
              <w:left w:val="single" w:sz="8" w:space="0" w:color="auto"/>
              <w:bottom w:val="single" w:sz="8" w:space="0" w:color="auto"/>
              <w:right w:val="single" w:sz="4" w:space="0" w:color="auto"/>
            </w:tcBorders>
            <w:shd w:val="clear" w:color="auto" w:fill="auto"/>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Sector Justicia</w:t>
            </w:r>
          </w:p>
        </w:tc>
        <w:tc>
          <w:tcPr>
            <w:tcW w:w="1430" w:type="dxa"/>
            <w:tcBorders>
              <w:top w:val="nil"/>
              <w:left w:val="single" w:sz="4" w:space="0" w:color="auto"/>
              <w:bottom w:val="single" w:sz="8" w:space="0" w:color="auto"/>
              <w:right w:val="single" w:sz="4" w:space="0" w:color="auto"/>
            </w:tcBorders>
            <w:shd w:val="clear" w:color="auto" w:fill="auto"/>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3,380.9 </w:t>
            </w:r>
          </w:p>
        </w:tc>
        <w:tc>
          <w:tcPr>
            <w:tcW w:w="1430" w:type="dxa"/>
            <w:tcBorders>
              <w:top w:val="nil"/>
              <w:left w:val="nil"/>
              <w:bottom w:val="single" w:sz="8" w:space="0" w:color="auto"/>
              <w:right w:val="single" w:sz="4" w:space="0" w:color="auto"/>
            </w:tcBorders>
            <w:shd w:val="clear" w:color="auto" w:fill="auto"/>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3,964.5 </w:t>
            </w:r>
          </w:p>
        </w:tc>
        <w:tc>
          <w:tcPr>
            <w:tcW w:w="1520" w:type="dxa"/>
            <w:tcBorders>
              <w:top w:val="nil"/>
              <w:left w:val="nil"/>
              <w:bottom w:val="single" w:sz="8" w:space="0" w:color="auto"/>
              <w:right w:val="single" w:sz="4" w:space="0" w:color="auto"/>
            </w:tcBorders>
            <w:shd w:val="clear" w:color="000000" w:fill="FFFFFF"/>
            <w:noWrap/>
            <w:vAlign w:val="bottom"/>
            <w:hideMark/>
          </w:tcPr>
          <w:p w:rsidR="002F3446" w:rsidRPr="009E05CC" w:rsidRDefault="002F3446" w:rsidP="002F3446">
            <w:pPr>
              <w:rPr>
                <w:b/>
                <w:bCs/>
                <w:color w:val="000000"/>
                <w:sz w:val="22"/>
                <w:szCs w:val="22"/>
                <w:lang w:val="es-GT" w:eastAsia="es-GT"/>
              </w:rPr>
            </w:pPr>
            <w:r w:rsidRPr="009E05CC">
              <w:rPr>
                <w:b/>
                <w:bCs/>
                <w:color w:val="000000"/>
                <w:sz w:val="22"/>
                <w:szCs w:val="22"/>
                <w:lang w:val="es-GT" w:eastAsia="es-GT"/>
              </w:rPr>
              <w:t xml:space="preserve">        583.7 </w:t>
            </w:r>
          </w:p>
        </w:tc>
        <w:tc>
          <w:tcPr>
            <w:tcW w:w="1339" w:type="dxa"/>
            <w:tcBorders>
              <w:top w:val="nil"/>
              <w:left w:val="nil"/>
              <w:bottom w:val="single" w:sz="8" w:space="0" w:color="auto"/>
              <w:right w:val="single" w:sz="8" w:space="0" w:color="auto"/>
            </w:tcBorders>
            <w:shd w:val="clear" w:color="000000" w:fill="FFFFFF"/>
            <w:noWrap/>
            <w:vAlign w:val="bottom"/>
            <w:hideMark/>
          </w:tcPr>
          <w:p w:rsidR="002F3446" w:rsidRPr="009E05CC" w:rsidRDefault="002F3446" w:rsidP="002F3446">
            <w:pPr>
              <w:jc w:val="right"/>
              <w:rPr>
                <w:b/>
                <w:bCs/>
                <w:color w:val="000000"/>
                <w:sz w:val="22"/>
                <w:szCs w:val="22"/>
                <w:lang w:val="es-GT" w:eastAsia="es-GT"/>
              </w:rPr>
            </w:pPr>
            <w:r w:rsidRPr="009E05CC">
              <w:rPr>
                <w:b/>
                <w:bCs/>
                <w:color w:val="000000"/>
                <w:sz w:val="22"/>
                <w:szCs w:val="22"/>
                <w:lang w:val="es-GT" w:eastAsia="es-GT"/>
              </w:rPr>
              <w:t>17.3%</w:t>
            </w:r>
          </w:p>
        </w:tc>
      </w:tr>
    </w:tbl>
    <w:p w:rsidR="002F3446" w:rsidRPr="009E05CC" w:rsidRDefault="002F3446" w:rsidP="002F3446">
      <w:pPr>
        <w:rPr>
          <w:sz w:val="16"/>
          <w:lang w:val="es-MX"/>
        </w:rPr>
      </w:pPr>
      <w:r w:rsidRPr="009E05CC">
        <w:rPr>
          <w:sz w:val="16"/>
          <w:lang w:val="es-MX"/>
        </w:rPr>
        <w:t>Fuente: Ministerio de Finanzas Públicas con base al SICOIN.</w:t>
      </w:r>
    </w:p>
    <w:p w:rsidR="002F3446" w:rsidRPr="009E05CC" w:rsidRDefault="002F3446" w:rsidP="002F3446">
      <w:pPr>
        <w:rPr>
          <w:sz w:val="16"/>
          <w:lang w:val="es-MX"/>
        </w:rPr>
      </w:pPr>
      <w:r w:rsidRPr="009E05CC">
        <w:rPr>
          <w:sz w:val="16"/>
          <w:lang w:val="es-MX"/>
        </w:rPr>
        <w:t>* Cifras preliminares</w:t>
      </w:r>
    </w:p>
    <w:p w:rsidR="002F3446" w:rsidRPr="009E05CC" w:rsidRDefault="002F3446" w:rsidP="002F3446">
      <w:pPr>
        <w:rPr>
          <w:lang w:val="es-MX"/>
        </w:rPr>
      </w:pPr>
    </w:p>
    <w:p w:rsidR="002F3446" w:rsidRPr="009E05CC" w:rsidRDefault="002F3446" w:rsidP="002F3446">
      <w:pPr>
        <w:jc w:val="both"/>
        <w:rPr>
          <w:lang w:val="es-MX"/>
        </w:rPr>
      </w:pPr>
      <w:r w:rsidRPr="009E05CC">
        <w:rPr>
          <w:lang w:val="es-MX"/>
        </w:rPr>
        <w:t>Dentro del porcentaje de ejecución presupuestaria total, de acuerdo a las cifras observadas, el año de mayor ejecución</w:t>
      </w:r>
      <w:r w:rsidR="00836931">
        <w:rPr>
          <w:lang w:val="es-MX"/>
        </w:rPr>
        <w:t xml:space="preserve"> </w:t>
      </w:r>
      <w:r w:rsidR="00836931" w:rsidRPr="009E05CC">
        <w:rPr>
          <w:lang w:val="es-MX"/>
        </w:rPr>
        <w:t>es 2015</w:t>
      </w:r>
      <w:r w:rsidRPr="009E05CC">
        <w:rPr>
          <w:lang w:val="es-MX"/>
        </w:rPr>
        <w:t xml:space="preserve">, no obstante, el gasto destinado a los sectores de los </w:t>
      </w:r>
      <w:r w:rsidRPr="009E05CC">
        <w:rPr>
          <w:lang w:val="es-MX"/>
        </w:rPr>
        <w:lastRenderedPageBreak/>
        <w:t xml:space="preserve">Acuerdos de Paz fue de 54.3%, en tanto que el 2016 es el año que mayor atención </w:t>
      </w:r>
      <w:r w:rsidR="00836931">
        <w:rPr>
          <w:lang w:val="es-MX"/>
        </w:rPr>
        <w:t>prestó</w:t>
      </w:r>
      <w:r w:rsidRPr="009E05CC">
        <w:rPr>
          <w:lang w:val="es-MX"/>
        </w:rPr>
        <w:t xml:space="preserve"> a mejorar la condición de vida de los guatemaltecos, con un porcentaje de ejecución del total del gasto del 56.1%, en tanto que en 2017 el porcentaje fue de 55.8% del total al 30 de junio.</w:t>
      </w:r>
    </w:p>
    <w:p w:rsidR="002F3446" w:rsidRPr="009E05CC" w:rsidRDefault="002F3446" w:rsidP="002F3446">
      <w:pPr>
        <w:jc w:val="both"/>
        <w:rPr>
          <w:lang w:val="es-MX"/>
        </w:rPr>
      </w:pPr>
    </w:p>
    <w:p w:rsidR="002F3446" w:rsidRPr="009E05CC" w:rsidRDefault="002F3446" w:rsidP="002F3446">
      <w:pPr>
        <w:jc w:val="both"/>
        <w:rPr>
          <w:lang w:val="es-MX"/>
        </w:rPr>
      </w:pPr>
      <w:r w:rsidRPr="009E05CC">
        <w:rPr>
          <w:lang w:val="es-MX"/>
        </w:rPr>
        <w:t>Al observar las cifras desagregadas, el gasto social reporta la mayor ejecución</w:t>
      </w:r>
      <w:r w:rsidR="00836931">
        <w:rPr>
          <w:lang w:val="es-MX"/>
        </w:rPr>
        <w:t xml:space="preserve"> d</w:t>
      </w:r>
      <w:r w:rsidRPr="009E05CC">
        <w:rPr>
          <w:lang w:val="es-MX"/>
        </w:rPr>
        <w:t xml:space="preserve">el período </w:t>
      </w:r>
      <w:r w:rsidR="00836931">
        <w:rPr>
          <w:lang w:val="es-MX"/>
        </w:rPr>
        <w:t>con un monto de</w:t>
      </w:r>
      <w:r w:rsidRPr="009E05CC">
        <w:rPr>
          <w:lang w:val="es-MX"/>
        </w:rPr>
        <w:t xml:space="preserve"> </w:t>
      </w:r>
      <w:r w:rsidR="00836931">
        <w:rPr>
          <w:lang w:val="es-MX"/>
        </w:rPr>
        <w:t>42.8</w:t>
      </w:r>
      <w:r w:rsidRPr="009E05CC">
        <w:rPr>
          <w:lang w:val="es-MX"/>
        </w:rPr>
        <w:t xml:space="preserve">% del gasto total, en tanto que </w:t>
      </w:r>
      <w:r w:rsidR="00836931">
        <w:rPr>
          <w:lang w:val="es-MX"/>
        </w:rPr>
        <w:t>e</w:t>
      </w:r>
      <w:r w:rsidRPr="009E05CC">
        <w:rPr>
          <w:lang w:val="es-MX"/>
        </w:rPr>
        <w:t>l gasto destinado al sector justicia, ha mantenido un aumento constante, pasando de 10.9% en 2015 a 11.8% en 2016 y para 2017 se le ha brindado un mayor apoyo, alcanzando una ejecución del 12.9%, principalmente en lo relacionad</w:t>
      </w:r>
      <w:r w:rsidR="00836931">
        <w:rPr>
          <w:lang w:val="es-MX"/>
        </w:rPr>
        <w:t>o</w:t>
      </w:r>
      <w:r w:rsidRPr="009E05CC">
        <w:rPr>
          <w:lang w:val="es-MX"/>
        </w:rPr>
        <w:t xml:space="preserve"> a Salud, Educación y a </w:t>
      </w:r>
      <w:r w:rsidR="00836931">
        <w:rPr>
          <w:lang w:val="es-MX"/>
        </w:rPr>
        <w:t xml:space="preserve">seguridad interna, </w:t>
      </w:r>
      <w:r w:rsidRPr="009E05CC">
        <w:rPr>
          <w:lang w:val="es-MX"/>
        </w:rPr>
        <w:t>como se muestra en el cuadro siguiente:</w:t>
      </w:r>
    </w:p>
    <w:p w:rsidR="002F3446" w:rsidRPr="009E05CC" w:rsidRDefault="002F3446" w:rsidP="002F3446">
      <w:pPr>
        <w:rPr>
          <w:lang w:val="es-MX"/>
        </w:rPr>
      </w:pPr>
    </w:p>
    <w:p w:rsidR="008672D0" w:rsidRPr="0088577C" w:rsidRDefault="008672D0" w:rsidP="008672D0">
      <w:pPr>
        <w:jc w:val="center"/>
        <w:rPr>
          <w:b/>
          <w:sz w:val="22"/>
          <w:szCs w:val="22"/>
          <w:lang w:val="es-MX"/>
        </w:rPr>
      </w:pPr>
      <w:r w:rsidRPr="0088577C">
        <w:rPr>
          <w:b/>
          <w:sz w:val="22"/>
          <w:szCs w:val="22"/>
          <w:lang w:val="es-MX"/>
        </w:rPr>
        <w:t xml:space="preserve">Cuadro </w:t>
      </w:r>
      <w:r w:rsidR="00910F6F">
        <w:rPr>
          <w:b/>
          <w:sz w:val="22"/>
          <w:szCs w:val="22"/>
          <w:lang w:val="es-MX"/>
        </w:rPr>
        <w:t>8</w:t>
      </w:r>
    </w:p>
    <w:p w:rsidR="008672D0" w:rsidRPr="0088577C" w:rsidRDefault="008672D0" w:rsidP="008672D0">
      <w:pPr>
        <w:jc w:val="center"/>
        <w:rPr>
          <w:b/>
          <w:sz w:val="22"/>
          <w:szCs w:val="22"/>
          <w:lang w:val="es-MX"/>
        </w:rPr>
      </w:pPr>
      <w:r w:rsidRPr="0088577C">
        <w:rPr>
          <w:b/>
          <w:sz w:val="22"/>
          <w:szCs w:val="22"/>
          <w:lang w:val="es-MX"/>
        </w:rPr>
        <w:t>Ejecución Presupuestaria del Gasto Social y Acuerdos de Paz</w:t>
      </w:r>
    </w:p>
    <w:p w:rsidR="008672D0" w:rsidRPr="0088577C" w:rsidRDefault="008672D0" w:rsidP="008672D0">
      <w:pPr>
        <w:jc w:val="center"/>
        <w:rPr>
          <w:b/>
          <w:sz w:val="22"/>
          <w:szCs w:val="22"/>
          <w:lang w:val="es-MX"/>
        </w:rPr>
      </w:pPr>
      <w:r w:rsidRPr="0088577C">
        <w:rPr>
          <w:b/>
          <w:sz w:val="22"/>
          <w:szCs w:val="22"/>
          <w:lang w:val="es-MX"/>
        </w:rPr>
        <w:t>Al 30 de junio de cada año 2015 – 2017*</w:t>
      </w:r>
    </w:p>
    <w:p w:rsidR="008672D0" w:rsidRPr="0088577C" w:rsidRDefault="008672D0" w:rsidP="008672D0">
      <w:pPr>
        <w:jc w:val="center"/>
        <w:rPr>
          <w:b/>
          <w:sz w:val="22"/>
          <w:szCs w:val="22"/>
          <w:lang w:val="es-MX"/>
        </w:rPr>
      </w:pPr>
      <w:r w:rsidRPr="0088577C">
        <w:rPr>
          <w:b/>
          <w:sz w:val="22"/>
          <w:szCs w:val="22"/>
          <w:lang w:val="es-MX"/>
        </w:rPr>
        <w:t xml:space="preserve"> (Cifras como porcentaje del Presupuesto Total Ejecutado)</w:t>
      </w:r>
    </w:p>
    <w:p w:rsidR="002F3446" w:rsidRPr="009E05CC" w:rsidRDefault="002F3446" w:rsidP="002F3446">
      <w:pPr>
        <w:jc w:val="center"/>
        <w:rPr>
          <w:i/>
          <w:sz w:val="22"/>
        </w:rPr>
      </w:pPr>
    </w:p>
    <w:tbl>
      <w:tblPr>
        <w:tblW w:w="7889" w:type="dxa"/>
        <w:jc w:val="center"/>
        <w:tblCellMar>
          <w:left w:w="70" w:type="dxa"/>
          <w:right w:w="70" w:type="dxa"/>
        </w:tblCellMar>
        <w:tblLook w:val="04A0" w:firstRow="1" w:lastRow="0" w:firstColumn="1" w:lastColumn="0" w:noHBand="0" w:noVBand="1"/>
      </w:tblPr>
      <w:tblGrid>
        <w:gridCol w:w="3395"/>
        <w:gridCol w:w="1498"/>
        <w:gridCol w:w="1498"/>
        <w:gridCol w:w="1498"/>
      </w:tblGrid>
      <w:tr w:rsidR="002F3446" w:rsidRPr="009E05CC" w:rsidTr="002F3446">
        <w:trPr>
          <w:trHeight w:val="331"/>
          <w:jc w:val="center"/>
        </w:trPr>
        <w:tc>
          <w:tcPr>
            <w:tcW w:w="3395" w:type="dxa"/>
            <w:tcBorders>
              <w:top w:val="single" w:sz="8" w:space="0" w:color="auto"/>
              <w:left w:val="single" w:sz="8" w:space="0" w:color="auto"/>
              <w:bottom w:val="single" w:sz="4" w:space="0" w:color="auto"/>
              <w:right w:val="nil"/>
            </w:tcBorders>
            <w:shd w:val="clear" w:color="000000" w:fill="8DB4E2"/>
            <w:noWrap/>
            <w:vAlign w:val="center"/>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Sector</w:t>
            </w:r>
          </w:p>
        </w:tc>
        <w:tc>
          <w:tcPr>
            <w:tcW w:w="1498" w:type="dxa"/>
            <w:tcBorders>
              <w:top w:val="single" w:sz="8" w:space="0" w:color="auto"/>
              <w:left w:val="single" w:sz="4" w:space="0" w:color="auto"/>
              <w:bottom w:val="single" w:sz="4" w:space="0" w:color="auto"/>
              <w:right w:val="single" w:sz="4" w:space="0" w:color="auto"/>
            </w:tcBorders>
            <w:shd w:val="clear" w:color="000000" w:fill="8DB4E2"/>
            <w:noWrap/>
            <w:vAlign w:val="center"/>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2015</w:t>
            </w:r>
          </w:p>
        </w:tc>
        <w:tc>
          <w:tcPr>
            <w:tcW w:w="1498" w:type="dxa"/>
            <w:tcBorders>
              <w:top w:val="single" w:sz="8" w:space="0" w:color="auto"/>
              <w:left w:val="nil"/>
              <w:bottom w:val="single" w:sz="4" w:space="0" w:color="auto"/>
              <w:right w:val="single" w:sz="4" w:space="0" w:color="auto"/>
            </w:tcBorders>
            <w:shd w:val="clear" w:color="000000" w:fill="8DB4E2"/>
            <w:noWrap/>
            <w:vAlign w:val="center"/>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2016</w:t>
            </w:r>
          </w:p>
        </w:tc>
        <w:tc>
          <w:tcPr>
            <w:tcW w:w="1498" w:type="dxa"/>
            <w:tcBorders>
              <w:top w:val="single" w:sz="8" w:space="0" w:color="auto"/>
              <w:left w:val="single" w:sz="4" w:space="0" w:color="auto"/>
              <w:bottom w:val="single" w:sz="4" w:space="0" w:color="auto"/>
              <w:right w:val="single" w:sz="8" w:space="0" w:color="auto"/>
            </w:tcBorders>
            <w:shd w:val="clear" w:color="000000" w:fill="8DB4E2"/>
            <w:noWrap/>
            <w:vAlign w:val="center"/>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2017</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Total</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54.3%</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56.1%</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55.8%</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Salud y Asistencia Social</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18.8%</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18.5%</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18.1%</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Educación, Ciencia y Cultura</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24.0%</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25.7%</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24.4%</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Vivienda</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0.6%</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0.1%</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0.3%</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Gasto Social</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43.4%</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44.3%</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42.8%</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Seguridad Interna</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6.8%</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6.1%</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6.2%</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Organismo Judicial y C.C</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2.7%</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3.5%</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3.7%</w:t>
            </w:r>
          </w:p>
        </w:tc>
      </w:tr>
      <w:tr w:rsidR="002F3446" w:rsidRPr="009E05CC" w:rsidTr="002F3446">
        <w:trPr>
          <w:trHeight w:val="331"/>
          <w:jc w:val="center"/>
        </w:trPr>
        <w:tc>
          <w:tcPr>
            <w:tcW w:w="3395" w:type="dxa"/>
            <w:tcBorders>
              <w:top w:val="nil"/>
              <w:left w:val="single" w:sz="8" w:space="0" w:color="auto"/>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Ministerio Público</w:t>
            </w:r>
          </w:p>
        </w:tc>
        <w:tc>
          <w:tcPr>
            <w:tcW w:w="1498" w:type="dxa"/>
            <w:tcBorders>
              <w:top w:val="nil"/>
              <w:left w:val="single" w:sz="4" w:space="0" w:color="auto"/>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1.5%</w:t>
            </w:r>
          </w:p>
        </w:tc>
        <w:tc>
          <w:tcPr>
            <w:tcW w:w="1498" w:type="dxa"/>
            <w:tcBorders>
              <w:top w:val="nil"/>
              <w:left w:val="nil"/>
              <w:bottom w:val="nil"/>
              <w:right w:val="single" w:sz="4"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2.2%</w:t>
            </w:r>
          </w:p>
        </w:tc>
        <w:tc>
          <w:tcPr>
            <w:tcW w:w="1498" w:type="dxa"/>
            <w:tcBorders>
              <w:top w:val="nil"/>
              <w:left w:val="nil"/>
              <w:bottom w:val="nil"/>
              <w:right w:val="single" w:sz="8" w:space="0" w:color="auto"/>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3.1%</w:t>
            </w:r>
          </w:p>
        </w:tc>
      </w:tr>
      <w:tr w:rsidR="002F3446" w:rsidRPr="009E05CC" w:rsidTr="002F3446">
        <w:trPr>
          <w:trHeight w:val="347"/>
          <w:jc w:val="center"/>
        </w:trPr>
        <w:tc>
          <w:tcPr>
            <w:tcW w:w="3395" w:type="dxa"/>
            <w:tcBorders>
              <w:top w:val="nil"/>
              <w:left w:val="single" w:sz="8" w:space="0" w:color="auto"/>
              <w:bottom w:val="single" w:sz="8" w:space="0" w:color="auto"/>
              <w:right w:val="nil"/>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Sector Justicia</w:t>
            </w:r>
          </w:p>
        </w:tc>
        <w:tc>
          <w:tcPr>
            <w:tcW w:w="1498" w:type="dxa"/>
            <w:tcBorders>
              <w:top w:val="nil"/>
              <w:left w:val="single" w:sz="4" w:space="0" w:color="auto"/>
              <w:bottom w:val="single" w:sz="8" w:space="0" w:color="auto"/>
              <w:right w:val="single" w:sz="4"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10.9%</w:t>
            </w:r>
          </w:p>
        </w:tc>
        <w:tc>
          <w:tcPr>
            <w:tcW w:w="1498" w:type="dxa"/>
            <w:tcBorders>
              <w:top w:val="nil"/>
              <w:left w:val="nil"/>
              <w:bottom w:val="single" w:sz="8" w:space="0" w:color="auto"/>
              <w:right w:val="single" w:sz="4"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11.8%</w:t>
            </w:r>
          </w:p>
        </w:tc>
        <w:tc>
          <w:tcPr>
            <w:tcW w:w="1498" w:type="dxa"/>
            <w:tcBorders>
              <w:top w:val="nil"/>
              <w:left w:val="nil"/>
              <w:bottom w:val="single" w:sz="8" w:space="0" w:color="auto"/>
              <w:right w:val="single" w:sz="8" w:space="0" w:color="auto"/>
            </w:tcBorders>
            <w:shd w:val="clear" w:color="000000" w:fill="FFFFFF"/>
            <w:noWrap/>
            <w:vAlign w:val="bottom"/>
            <w:hideMark/>
          </w:tcPr>
          <w:p w:rsidR="002F3446" w:rsidRPr="009E05CC" w:rsidRDefault="002F3446" w:rsidP="002F3446">
            <w:pPr>
              <w:jc w:val="center"/>
              <w:rPr>
                <w:b/>
                <w:bCs/>
                <w:color w:val="000000"/>
                <w:sz w:val="22"/>
                <w:szCs w:val="22"/>
                <w:lang w:val="es-GT" w:eastAsia="es-GT"/>
              </w:rPr>
            </w:pPr>
            <w:r w:rsidRPr="009E05CC">
              <w:rPr>
                <w:b/>
                <w:bCs/>
                <w:color w:val="000000"/>
                <w:sz w:val="22"/>
                <w:szCs w:val="22"/>
                <w:lang w:val="es-GT" w:eastAsia="es-GT"/>
              </w:rPr>
              <w:t>12.9%</w:t>
            </w:r>
          </w:p>
        </w:tc>
      </w:tr>
      <w:tr w:rsidR="002F3446" w:rsidRPr="005C3AB1" w:rsidTr="002F3446">
        <w:trPr>
          <w:trHeight w:val="331"/>
          <w:jc w:val="center"/>
        </w:trPr>
        <w:tc>
          <w:tcPr>
            <w:tcW w:w="3395" w:type="dxa"/>
            <w:tcBorders>
              <w:top w:val="nil"/>
              <w:left w:val="nil"/>
              <w:bottom w:val="nil"/>
              <w:right w:val="nil"/>
            </w:tcBorders>
            <w:shd w:val="clear" w:color="000000" w:fill="FFFFFF"/>
            <w:noWrap/>
            <w:vAlign w:val="bottom"/>
            <w:hideMark/>
          </w:tcPr>
          <w:p w:rsidR="002F3446" w:rsidRPr="009E05CC" w:rsidRDefault="002F3446" w:rsidP="002F3446">
            <w:pPr>
              <w:rPr>
                <w:color w:val="000000"/>
                <w:sz w:val="22"/>
                <w:szCs w:val="22"/>
                <w:lang w:val="es-GT" w:eastAsia="es-GT"/>
              </w:rPr>
            </w:pPr>
            <w:r w:rsidRPr="009E05CC">
              <w:rPr>
                <w:color w:val="000000"/>
                <w:sz w:val="22"/>
                <w:szCs w:val="22"/>
                <w:lang w:val="es-GT" w:eastAsia="es-GT"/>
              </w:rPr>
              <w:t>Ejecución Presupuestaria</w:t>
            </w:r>
          </w:p>
        </w:tc>
        <w:tc>
          <w:tcPr>
            <w:tcW w:w="1498" w:type="dxa"/>
            <w:tcBorders>
              <w:top w:val="nil"/>
              <w:left w:val="nil"/>
              <w:bottom w:val="nil"/>
              <w:right w:val="nil"/>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 xml:space="preserve">31,074.4 </w:t>
            </w:r>
          </w:p>
        </w:tc>
        <w:tc>
          <w:tcPr>
            <w:tcW w:w="1498" w:type="dxa"/>
            <w:tcBorders>
              <w:top w:val="nil"/>
              <w:left w:val="nil"/>
              <w:bottom w:val="nil"/>
              <w:right w:val="nil"/>
            </w:tcBorders>
            <w:shd w:val="clear" w:color="000000" w:fill="FFFFFF"/>
            <w:noWrap/>
            <w:vAlign w:val="bottom"/>
            <w:hideMark/>
          </w:tcPr>
          <w:p w:rsidR="002F3446" w:rsidRPr="009E05CC" w:rsidRDefault="002F3446" w:rsidP="002F3446">
            <w:pPr>
              <w:jc w:val="center"/>
              <w:rPr>
                <w:color w:val="000000"/>
                <w:sz w:val="22"/>
                <w:szCs w:val="22"/>
                <w:lang w:val="es-GT" w:eastAsia="es-GT"/>
              </w:rPr>
            </w:pPr>
            <w:r w:rsidRPr="009E05CC">
              <w:rPr>
                <w:color w:val="000000"/>
                <w:sz w:val="22"/>
                <w:szCs w:val="22"/>
                <w:lang w:val="es-GT" w:eastAsia="es-GT"/>
              </w:rPr>
              <w:t xml:space="preserve">28,650.0 </w:t>
            </w:r>
          </w:p>
        </w:tc>
        <w:tc>
          <w:tcPr>
            <w:tcW w:w="1498" w:type="dxa"/>
            <w:tcBorders>
              <w:top w:val="nil"/>
              <w:left w:val="nil"/>
              <w:bottom w:val="nil"/>
              <w:right w:val="nil"/>
            </w:tcBorders>
            <w:shd w:val="clear" w:color="000000" w:fill="FFFFFF"/>
            <w:noWrap/>
            <w:vAlign w:val="bottom"/>
            <w:hideMark/>
          </w:tcPr>
          <w:p w:rsidR="002F3446" w:rsidRPr="005C3AB1" w:rsidRDefault="002F3446" w:rsidP="002F3446">
            <w:pPr>
              <w:jc w:val="center"/>
              <w:rPr>
                <w:color w:val="000000"/>
                <w:sz w:val="22"/>
                <w:szCs w:val="22"/>
                <w:lang w:val="es-GT" w:eastAsia="es-GT"/>
              </w:rPr>
            </w:pPr>
            <w:r w:rsidRPr="009E05CC">
              <w:rPr>
                <w:color w:val="000000"/>
                <w:sz w:val="22"/>
                <w:szCs w:val="22"/>
                <w:lang w:val="es-GT" w:eastAsia="es-GT"/>
              </w:rPr>
              <w:t>30,644.5</w:t>
            </w:r>
            <w:r w:rsidRPr="005C3AB1">
              <w:rPr>
                <w:color w:val="000000"/>
                <w:sz w:val="22"/>
                <w:szCs w:val="22"/>
                <w:lang w:val="es-GT" w:eastAsia="es-GT"/>
              </w:rPr>
              <w:t xml:space="preserve"> </w:t>
            </w:r>
          </w:p>
        </w:tc>
      </w:tr>
    </w:tbl>
    <w:p w:rsidR="00400334" w:rsidRDefault="00400334" w:rsidP="002F3446">
      <w:pPr>
        <w:ind w:left="708"/>
        <w:rPr>
          <w:sz w:val="16"/>
          <w:lang w:val="es-MX"/>
        </w:rPr>
      </w:pPr>
    </w:p>
    <w:p w:rsidR="002F3446" w:rsidRPr="003115F3" w:rsidRDefault="002F3446" w:rsidP="002F3446">
      <w:pPr>
        <w:ind w:left="708"/>
        <w:rPr>
          <w:sz w:val="16"/>
          <w:lang w:val="es-MX"/>
        </w:rPr>
      </w:pPr>
      <w:r w:rsidRPr="003115F3">
        <w:rPr>
          <w:sz w:val="16"/>
          <w:lang w:val="es-MX"/>
        </w:rPr>
        <w:t>Fuente: Ministerio de Finanzas Públicas con base al SICOIN.</w:t>
      </w:r>
    </w:p>
    <w:p w:rsidR="002F3446" w:rsidRDefault="002F3446" w:rsidP="002F3446">
      <w:pPr>
        <w:ind w:left="708"/>
        <w:rPr>
          <w:sz w:val="16"/>
          <w:lang w:val="es-MX"/>
        </w:rPr>
      </w:pPr>
      <w:r w:rsidRPr="003115F3">
        <w:rPr>
          <w:sz w:val="16"/>
          <w:lang w:val="es-MX"/>
        </w:rPr>
        <w:t>* Cifras preliminares</w:t>
      </w:r>
    </w:p>
    <w:p w:rsidR="002F3446" w:rsidRPr="004C2E12" w:rsidRDefault="002F3446" w:rsidP="002F3446">
      <w:pPr>
        <w:rPr>
          <w:sz w:val="16"/>
        </w:rPr>
      </w:pPr>
    </w:p>
    <w:p w:rsidR="00836931" w:rsidRDefault="00836931">
      <w:pPr>
        <w:rPr>
          <w:sz w:val="16"/>
          <w:lang w:val="es-MX"/>
        </w:rPr>
      </w:pPr>
      <w:r>
        <w:rPr>
          <w:sz w:val="16"/>
          <w:lang w:val="es-MX"/>
        </w:rPr>
        <w:br w:type="page"/>
      </w:r>
    </w:p>
    <w:p w:rsidR="002F3446" w:rsidRPr="003115F3" w:rsidRDefault="002F3446" w:rsidP="002F3446">
      <w:pPr>
        <w:rPr>
          <w:sz w:val="16"/>
          <w:lang w:val="es-MX"/>
        </w:rPr>
      </w:pPr>
    </w:p>
    <w:p w:rsidR="002F3446" w:rsidRPr="00FB641E" w:rsidRDefault="002F3446" w:rsidP="00D16A2D">
      <w:pPr>
        <w:keepNext/>
        <w:keepLines/>
        <w:numPr>
          <w:ilvl w:val="2"/>
          <w:numId w:val="3"/>
        </w:numPr>
        <w:spacing w:before="200"/>
        <w:outlineLvl w:val="2"/>
        <w:rPr>
          <w:b/>
          <w:bCs/>
          <w:lang w:val="es-MX"/>
        </w:rPr>
      </w:pPr>
      <w:bookmarkStart w:id="22" w:name="_Toc494450599"/>
      <w:r w:rsidRPr="00FB641E">
        <w:rPr>
          <w:b/>
          <w:bCs/>
          <w:lang w:val="es-MX"/>
        </w:rPr>
        <w:t xml:space="preserve">Gasto </w:t>
      </w:r>
      <w:r>
        <w:rPr>
          <w:b/>
          <w:bCs/>
          <w:lang w:val="es-MX"/>
        </w:rPr>
        <w:t>E</w:t>
      </w:r>
      <w:r w:rsidRPr="00FB641E">
        <w:rPr>
          <w:b/>
          <w:bCs/>
          <w:lang w:val="es-MX"/>
        </w:rPr>
        <w:t xml:space="preserve">jecutado a través de </w:t>
      </w:r>
      <w:r>
        <w:rPr>
          <w:b/>
          <w:bCs/>
          <w:lang w:val="es-MX"/>
        </w:rPr>
        <w:t>F</w:t>
      </w:r>
      <w:r w:rsidRPr="00FB641E">
        <w:rPr>
          <w:b/>
          <w:bCs/>
          <w:lang w:val="es-MX"/>
        </w:rPr>
        <w:t>ideicomisos</w:t>
      </w:r>
      <w:r>
        <w:rPr>
          <w:rStyle w:val="Refdenotaalpie"/>
          <w:b/>
          <w:bCs/>
          <w:lang w:val="es-MX"/>
        </w:rPr>
        <w:footnoteReference w:id="2"/>
      </w:r>
      <w:bookmarkEnd w:id="22"/>
    </w:p>
    <w:p w:rsidR="002F3446" w:rsidRPr="00FB641E" w:rsidRDefault="002F3446" w:rsidP="002F3446">
      <w:pPr>
        <w:jc w:val="both"/>
        <w:rPr>
          <w:lang w:val="es-MX"/>
        </w:rPr>
      </w:pPr>
    </w:p>
    <w:p w:rsidR="002F3446" w:rsidRDefault="002F3446" w:rsidP="002F3446">
      <w:pPr>
        <w:jc w:val="both"/>
        <w:rPr>
          <w:lang w:val="es-MX"/>
        </w:rPr>
      </w:pPr>
      <w:r w:rsidRPr="00FB641E">
        <w:rPr>
          <w:lang w:val="es-MX"/>
        </w:rPr>
        <w:t>Al 30 de junio de 201</w:t>
      </w:r>
      <w:r>
        <w:rPr>
          <w:lang w:val="es-MX"/>
        </w:rPr>
        <w:t>7</w:t>
      </w:r>
      <w:r w:rsidRPr="00FB641E">
        <w:rPr>
          <w:lang w:val="es-MX"/>
        </w:rPr>
        <w:t xml:space="preserve">, la ejecución </w:t>
      </w:r>
      <w:r>
        <w:rPr>
          <w:lang w:val="es-MX"/>
        </w:rPr>
        <w:t xml:space="preserve">a través de </w:t>
      </w:r>
      <w:r w:rsidRPr="00FB641E">
        <w:rPr>
          <w:lang w:val="es-MX"/>
        </w:rPr>
        <w:t>fideicomisos</w:t>
      </w:r>
      <w:r>
        <w:rPr>
          <w:lang w:val="es-MX"/>
        </w:rPr>
        <w:t xml:space="preserve"> disminuyó</w:t>
      </w:r>
      <w:r w:rsidR="00836931">
        <w:rPr>
          <w:lang w:val="es-MX"/>
        </w:rPr>
        <w:t xml:space="preserve"> en Q</w:t>
      </w:r>
      <w:r w:rsidR="002C5F29">
        <w:rPr>
          <w:lang w:val="es-MX"/>
        </w:rPr>
        <w:t>.</w:t>
      </w:r>
      <w:r w:rsidR="00836931">
        <w:rPr>
          <w:lang w:val="es-MX"/>
        </w:rPr>
        <w:t>241.8 millones</w:t>
      </w:r>
      <w:r>
        <w:rPr>
          <w:lang w:val="es-MX"/>
        </w:rPr>
        <w:t xml:space="preserve"> respecto a lo observado en el mismo período de 2016, pasando de Q</w:t>
      </w:r>
      <w:r w:rsidR="002C5F29">
        <w:rPr>
          <w:lang w:val="es-MX"/>
        </w:rPr>
        <w:t>.</w:t>
      </w:r>
      <w:r>
        <w:rPr>
          <w:lang w:val="es-MX"/>
        </w:rPr>
        <w:t>388.1 millones</w:t>
      </w:r>
      <w:r w:rsidR="003F4D2D">
        <w:rPr>
          <w:lang w:val="es-MX"/>
        </w:rPr>
        <w:t xml:space="preserve"> (1.4%) </w:t>
      </w:r>
      <w:r>
        <w:rPr>
          <w:lang w:val="es-MX"/>
        </w:rPr>
        <w:t xml:space="preserve"> a Q</w:t>
      </w:r>
      <w:r w:rsidR="002C5F29">
        <w:rPr>
          <w:lang w:val="es-MX"/>
        </w:rPr>
        <w:t>.</w:t>
      </w:r>
      <w:r>
        <w:rPr>
          <w:lang w:val="es-MX"/>
        </w:rPr>
        <w:t xml:space="preserve">146.3 millones en 2017, </w:t>
      </w:r>
      <w:r w:rsidR="003F4D2D">
        <w:rPr>
          <w:lang w:val="es-MX"/>
        </w:rPr>
        <w:t>(</w:t>
      </w:r>
      <w:r>
        <w:rPr>
          <w:lang w:val="es-MX"/>
        </w:rPr>
        <w:t>0.5</w:t>
      </w:r>
      <w:r w:rsidR="00AD6356">
        <w:rPr>
          <w:lang w:val="es-MX"/>
        </w:rPr>
        <w:t>%)</w:t>
      </w:r>
      <w:r w:rsidR="003F4D2D">
        <w:rPr>
          <w:lang w:val="es-MX"/>
        </w:rPr>
        <w:t xml:space="preserve"> </w:t>
      </w:r>
      <w:r>
        <w:rPr>
          <w:lang w:val="es-MX"/>
        </w:rPr>
        <w:t>de la ejecución total.</w:t>
      </w:r>
      <w:r w:rsidRPr="00FB641E">
        <w:rPr>
          <w:lang w:val="es-MX"/>
        </w:rPr>
        <w:t xml:space="preserve"> </w:t>
      </w:r>
    </w:p>
    <w:p w:rsidR="002F3446" w:rsidRDefault="002F3446" w:rsidP="002F3446">
      <w:pPr>
        <w:jc w:val="both"/>
        <w:rPr>
          <w:lang w:val="es-MX"/>
        </w:rPr>
      </w:pPr>
    </w:p>
    <w:p w:rsidR="002F3446" w:rsidRDefault="002F3446" w:rsidP="002F3446">
      <w:pPr>
        <w:jc w:val="both"/>
        <w:rPr>
          <w:lang w:val="es-MX"/>
        </w:rPr>
      </w:pPr>
      <w:r>
        <w:rPr>
          <w:lang w:val="es-MX"/>
        </w:rPr>
        <w:t>L</w:t>
      </w:r>
      <w:r w:rsidRPr="00FB641E">
        <w:rPr>
          <w:lang w:val="es-MX"/>
        </w:rPr>
        <w:t>a disminución obedece</w:t>
      </w:r>
      <w:r>
        <w:rPr>
          <w:lang w:val="es-MX"/>
        </w:rPr>
        <w:t>,</w:t>
      </w:r>
      <w:r w:rsidRPr="00FB641E">
        <w:rPr>
          <w:lang w:val="es-MX"/>
        </w:rPr>
        <w:t xml:space="preserve"> principalmente</w:t>
      </w:r>
      <w:r>
        <w:rPr>
          <w:lang w:val="es-MX"/>
        </w:rPr>
        <w:t>,</w:t>
      </w:r>
      <w:r w:rsidRPr="00FB641E">
        <w:rPr>
          <w:lang w:val="es-MX"/>
        </w:rPr>
        <w:t xml:space="preserve"> a que los fideicomisos están financiados en su mayoría con fuente 21 “Ingresos tributarios IVA-Paz” cuyas cuotas de compromiso y devengado se aprueban de conformidad con el nivel de recaudación de los ingresos tributarios; asimismo, el Fondo Nacional de Desarrollo (FONADES) y el Fondo de Desarrollo Indígena Guatemalteco (FODIGUA) </w:t>
      </w:r>
      <w:r>
        <w:rPr>
          <w:lang w:val="es-MX"/>
        </w:rPr>
        <w:t xml:space="preserve">se encuentran </w:t>
      </w:r>
      <w:r w:rsidRPr="00FB641E">
        <w:rPr>
          <w:lang w:val="es-MX"/>
        </w:rPr>
        <w:t>en etapa de liquidación.</w:t>
      </w:r>
    </w:p>
    <w:p w:rsidR="002F3446" w:rsidRDefault="002F3446" w:rsidP="002F3446">
      <w:pPr>
        <w:jc w:val="both"/>
        <w:rPr>
          <w:lang w:val="es-MX"/>
        </w:rPr>
      </w:pPr>
    </w:p>
    <w:p w:rsidR="002F3446" w:rsidRPr="00FB641E" w:rsidRDefault="002F3446" w:rsidP="002F3446">
      <w:pPr>
        <w:jc w:val="both"/>
        <w:rPr>
          <w:lang w:val="es-MX"/>
        </w:rPr>
      </w:pPr>
      <w:r>
        <w:rPr>
          <w:lang w:val="es-MX"/>
        </w:rPr>
        <w:t>Es importante resaltar que a la presente fecha los fideicomisos de Fondo Vial y de Protección Social no reportan ejecución</w:t>
      </w:r>
      <w:r w:rsidR="00AD6356">
        <w:rPr>
          <w:lang w:val="es-MX"/>
        </w:rPr>
        <w:t>,</w:t>
      </w:r>
      <w:r>
        <w:rPr>
          <w:lang w:val="es-MX"/>
        </w:rPr>
        <w:t xml:space="preserve"> y esos son los montos en los que la ejecución disminuyó</w:t>
      </w:r>
      <w:r w:rsidR="00AD6356">
        <w:rPr>
          <w:lang w:val="es-MX"/>
        </w:rPr>
        <w:t xml:space="preserve"> en relación a lo observado en 2016</w:t>
      </w:r>
      <w:r>
        <w:rPr>
          <w:lang w:val="es-MX"/>
        </w:rPr>
        <w:t xml:space="preserve"> siendo éstos de Q</w:t>
      </w:r>
      <w:r w:rsidR="002C5F29">
        <w:rPr>
          <w:lang w:val="es-MX"/>
        </w:rPr>
        <w:t>.</w:t>
      </w:r>
      <w:r>
        <w:rPr>
          <w:lang w:val="es-MX"/>
        </w:rPr>
        <w:t xml:space="preserve">195.4 millones y </w:t>
      </w:r>
      <w:r w:rsidR="002C5F29">
        <w:rPr>
          <w:lang w:val="es-MX"/>
        </w:rPr>
        <w:t>Q.</w:t>
      </w:r>
      <w:r>
        <w:rPr>
          <w:lang w:val="es-MX"/>
        </w:rPr>
        <w:t>119.2 millones</w:t>
      </w:r>
      <w:r w:rsidR="002C5F29">
        <w:rPr>
          <w:lang w:val="es-MX"/>
        </w:rPr>
        <w:t>,</w:t>
      </w:r>
      <w:r>
        <w:rPr>
          <w:lang w:val="es-MX"/>
        </w:rPr>
        <w:t xml:space="preserve"> respectivamente.</w:t>
      </w:r>
    </w:p>
    <w:p w:rsidR="002F3446" w:rsidRPr="00FB641E" w:rsidRDefault="002F3446" w:rsidP="002F3446">
      <w:pPr>
        <w:jc w:val="both"/>
        <w:rPr>
          <w:sz w:val="28"/>
          <w:lang w:val="es-MX"/>
        </w:rPr>
      </w:pPr>
    </w:p>
    <w:p w:rsidR="002F3446" w:rsidRPr="0088577C" w:rsidRDefault="002F3446" w:rsidP="002F3446">
      <w:pPr>
        <w:jc w:val="center"/>
        <w:rPr>
          <w:b/>
          <w:sz w:val="22"/>
          <w:szCs w:val="22"/>
          <w:lang w:val="es-MX"/>
        </w:rPr>
      </w:pPr>
      <w:r w:rsidRPr="0088577C">
        <w:rPr>
          <w:b/>
          <w:sz w:val="22"/>
          <w:szCs w:val="22"/>
          <w:lang w:val="es-MX"/>
        </w:rPr>
        <w:t xml:space="preserve">Cuadro </w:t>
      </w:r>
      <w:r w:rsidR="00910F6F">
        <w:rPr>
          <w:b/>
          <w:sz w:val="22"/>
          <w:szCs w:val="22"/>
          <w:lang w:val="es-MX"/>
        </w:rPr>
        <w:t>9</w:t>
      </w:r>
    </w:p>
    <w:p w:rsidR="002F3446" w:rsidRPr="0088577C" w:rsidRDefault="002F3446" w:rsidP="002F3446">
      <w:pPr>
        <w:jc w:val="center"/>
        <w:rPr>
          <w:b/>
          <w:sz w:val="22"/>
          <w:szCs w:val="22"/>
          <w:lang w:val="es-MX"/>
        </w:rPr>
      </w:pPr>
      <w:r w:rsidRPr="0088577C">
        <w:rPr>
          <w:b/>
          <w:sz w:val="22"/>
          <w:szCs w:val="22"/>
          <w:lang w:val="es-MX"/>
        </w:rPr>
        <w:t>Ejecución Presupuestaria a través de Fideicomisos</w:t>
      </w:r>
    </w:p>
    <w:p w:rsidR="002F3446" w:rsidRPr="0088577C" w:rsidRDefault="002F3446" w:rsidP="002F3446">
      <w:pPr>
        <w:jc w:val="center"/>
        <w:rPr>
          <w:b/>
          <w:sz w:val="22"/>
          <w:szCs w:val="22"/>
          <w:lang w:val="es-MX"/>
        </w:rPr>
      </w:pPr>
      <w:r w:rsidRPr="0088577C">
        <w:rPr>
          <w:b/>
          <w:sz w:val="22"/>
          <w:szCs w:val="22"/>
          <w:lang w:val="es-MX"/>
        </w:rPr>
        <w:t>Al 30 de junio 2016 - 2017</w:t>
      </w:r>
    </w:p>
    <w:p w:rsidR="002F3446" w:rsidRPr="0088577C" w:rsidRDefault="002F3446" w:rsidP="002F3446">
      <w:pPr>
        <w:jc w:val="center"/>
        <w:rPr>
          <w:b/>
          <w:sz w:val="22"/>
          <w:szCs w:val="22"/>
          <w:lang w:val="es-MX"/>
        </w:rPr>
      </w:pPr>
      <w:r w:rsidRPr="0088577C">
        <w:rPr>
          <w:b/>
          <w:sz w:val="22"/>
          <w:szCs w:val="22"/>
          <w:lang w:val="es-MX"/>
        </w:rPr>
        <w:t>(Cifras en Millones de Quetzales)</w:t>
      </w:r>
    </w:p>
    <w:p w:rsidR="002F3446" w:rsidRPr="003115F3" w:rsidRDefault="00021644" w:rsidP="002F3446">
      <w:pPr>
        <w:rPr>
          <w:sz w:val="16"/>
          <w:lang w:val="es-MX"/>
        </w:rPr>
      </w:pPr>
      <w:r w:rsidRPr="001829A5">
        <w:rPr>
          <w:noProof/>
          <w:lang w:val="es-GT" w:eastAsia="es-GT"/>
        </w:rPr>
        <w:drawing>
          <wp:inline distT="0" distB="0" distL="0" distR="0">
            <wp:extent cx="5762625" cy="1845945"/>
            <wp:effectExtent l="0" t="0" r="0" b="0"/>
            <wp:docPr id="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1845945"/>
                    </a:xfrm>
                    <a:prstGeom prst="rect">
                      <a:avLst/>
                    </a:prstGeom>
                    <a:noFill/>
                    <a:ln>
                      <a:noFill/>
                    </a:ln>
                  </pic:spPr>
                </pic:pic>
              </a:graphicData>
            </a:graphic>
          </wp:inline>
        </w:drawing>
      </w:r>
      <w:r w:rsidR="002F3446" w:rsidRPr="003115F3">
        <w:rPr>
          <w:sz w:val="16"/>
          <w:lang w:val="es-MX"/>
        </w:rPr>
        <w:t>Fuente: Ministerio de Finanzas Públicas con base al SICOIN.</w:t>
      </w:r>
    </w:p>
    <w:p w:rsidR="002F3446" w:rsidRDefault="002F3446" w:rsidP="002F3446">
      <w:pPr>
        <w:rPr>
          <w:sz w:val="16"/>
          <w:lang w:val="es-MX"/>
        </w:rPr>
      </w:pPr>
      <w:r w:rsidRPr="003115F3">
        <w:rPr>
          <w:sz w:val="16"/>
          <w:lang w:val="es-MX"/>
        </w:rPr>
        <w:t>* Cifras preliminares</w:t>
      </w:r>
    </w:p>
    <w:p w:rsidR="002F3446" w:rsidRDefault="002F3446" w:rsidP="002F3446">
      <w:pPr>
        <w:rPr>
          <w:sz w:val="16"/>
          <w:lang w:val="es-MX"/>
        </w:rPr>
      </w:pPr>
    </w:p>
    <w:p w:rsidR="002F3446" w:rsidRPr="003115F3" w:rsidRDefault="002F3446" w:rsidP="002F3446">
      <w:pPr>
        <w:rPr>
          <w:sz w:val="16"/>
          <w:lang w:val="es-MX"/>
        </w:rPr>
      </w:pPr>
    </w:p>
    <w:p w:rsidR="002F3446" w:rsidRPr="00FB641E" w:rsidRDefault="002F3446" w:rsidP="00D16A2D">
      <w:pPr>
        <w:keepNext/>
        <w:keepLines/>
        <w:numPr>
          <w:ilvl w:val="2"/>
          <w:numId w:val="3"/>
        </w:numPr>
        <w:spacing w:before="200"/>
        <w:outlineLvl w:val="2"/>
        <w:rPr>
          <w:b/>
          <w:bCs/>
          <w:lang w:val="es-MX"/>
        </w:rPr>
      </w:pPr>
      <w:bookmarkStart w:id="23" w:name="_Toc494450600"/>
      <w:r>
        <w:rPr>
          <w:b/>
          <w:bCs/>
          <w:lang w:val="es-MX"/>
        </w:rPr>
        <w:lastRenderedPageBreak/>
        <w:t>G</w:t>
      </w:r>
      <w:r w:rsidRPr="00FB641E">
        <w:rPr>
          <w:b/>
          <w:bCs/>
          <w:lang w:val="es-MX"/>
        </w:rPr>
        <w:t xml:space="preserve">asto </w:t>
      </w:r>
      <w:r>
        <w:rPr>
          <w:b/>
          <w:bCs/>
          <w:lang w:val="es-MX"/>
        </w:rPr>
        <w:t>E</w:t>
      </w:r>
      <w:r w:rsidRPr="00FB641E">
        <w:rPr>
          <w:b/>
          <w:bCs/>
          <w:lang w:val="es-MX"/>
        </w:rPr>
        <w:t>jecutado a través de Organizaciones No Gubernamentales</w:t>
      </w:r>
      <w:r>
        <w:rPr>
          <w:rStyle w:val="Refdenotaalpie"/>
          <w:b/>
          <w:bCs/>
          <w:lang w:val="es-MX"/>
        </w:rPr>
        <w:footnoteReference w:id="3"/>
      </w:r>
      <w:bookmarkEnd w:id="23"/>
    </w:p>
    <w:p w:rsidR="002F3446" w:rsidRPr="00FB641E" w:rsidRDefault="002F3446" w:rsidP="002F3446">
      <w:pPr>
        <w:jc w:val="both"/>
        <w:rPr>
          <w:lang w:val="es-MX"/>
        </w:rPr>
      </w:pPr>
    </w:p>
    <w:p w:rsidR="002F3446" w:rsidRPr="00FB641E" w:rsidRDefault="002F3446" w:rsidP="002F3446">
      <w:pPr>
        <w:jc w:val="both"/>
        <w:rPr>
          <w:lang w:val="es-MX"/>
        </w:rPr>
      </w:pPr>
      <w:r>
        <w:rPr>
          <w:lang w:val="es-MX"/>
        </w:rPr>
        <w:t>A</w:t>
      </w:r>
      <w:r w:rsidRPr="00FB641E">
        <w:rPr>
          <w:lang w:val="es-MX"/>
        </w:rPr>
        <w:t>l 30 de junio de 201</w:t>
      </w:r>
      <w:r>
        <w:rPr>
          <w:lang w:val="es-MX"/>
        </w:rPr>
        <w:t>7,</w:t>
      </w:r>
      <w:r w:rsidRPr="00FB641E">
        <w:rPr>
          <w:lang w:val="es-MX"/>
        </w:rPr>
        <w:t xml:space="preserve"> se ha ejecutado</w:t>
      </w:r>
      <w:r>
        <w:rPr>
          <w:lang w:val="es-MX"/>
        </w:rPr>
        <w:t xml:space="preserve"> a través de Organizaciones No Gubernamentales el monto de</w:t>
      </w:r>
      <w:r w:rsidRPr="00FB641E">
        <w:rPr>
          <w:lang w:val="es-MX"/>
        </w:rPr>
        <w:t xml:space="preserve"> Q</w:t>
      </w:r>
      <w:r w:rsidR="00BD2C64">
        <w:rPr>
          <w:lang w:val="es-MX"/>
        </w:rPr>
        <w:t>.</w:t>
      </w:r>
      <w:r w:rsidRPr="00FB641E">
        <w:rPr>
          <w:lang w:val="es-MX"/>
        </w:rPr>
        <w:t>5</w:t>
      </w:r>
      <w:r>
        <w:rPr>
          <w:lang w:val="es-MX"/>
        </w:rPr>
        <w:t>61.9 millones</w:t>
      </w:r>
      <w:r w:rsidRPr="00FB641E">
        <w:rPr>
          <w:lang w:val="es-MX"/>
        </w:rPr>
        <w:t>, equivalen</w:t>
      </w:r>
      <w:r>
        <w:rPr>
          <w:lang w:val="es-MX"/>
        </w:rPr>
        <w:t>tes</w:t>
      </w:r>
      <w:r w:rsidRPr="00FB641E">
        <w:rPr>
          <w:lang w:val="es-MX"/>
        </w:rPr>
        <w:t xml:space="preserve"> al 1.</w:t>
      </w:r>
      <w:r>
        <w:rPr>
          <w:lang w:val="es-MX"/>
        </w:rPr>
        <w:t>8</w:t>
      </w:r>
      <w:r w:rsidRPr="00FB641E">
        <w:rPr>
          <w:lang w:val="es-MX"/>
        </w:rPr>
        <w:t xml:space="preserve">% de la ejecución presupuestaria total, </w:t>
      </w:r>
      <w:r>
        <w:rPr>
          <w:lang w:val="es-MX"/>
        </w:rPr>
        <w:t>superior</w:t>
      </w:r>
      <w:r w:rsidRPr="00FB641E">
        <w:rPr>
          <w:lang w:val="es-MX"/>
        </w:rPr>
        <w:t xml:space="preserve"> en Q</w:t>
      </w:r>
      <w:r w:rsidR="00BD2C64">
        <w:rPr>
          <w:lang w:val="es-MX"/>
        </w:rPr>
        <w:t>.</w:t>
      </w:r>
      <w:r>
        <w:rPr>
          <w:lang w:val="es-MX"/>
        </w:rPr>
        <w:t>269.7</w:t>
      </w:r>
      <w:r w:rsidRPr="00FB641E">
        <w:rPr>
          <w:lang w:val="es-MX"/>
        </w:rPr>
        <w:t xml:space="preserve"> millones respecto a</w:t>
      </w:r>
      <w:r>
        <w:rPr>
          <w:lang w:val="es-MX"/>
        </w:rPr>
        <w:t xml:space="preserve"> la  misma fecha de</w:t>
      </w:r>
      <w:r w:rsidRPr="00FB641E">
        <w:rPr>
          <w:lang w:val="es-MX"/>
        </w:rPr>
        <w:t xml:space="preserve"> 201</w:t>
      </w:r>
      <w:r>
        <w:rPr>
          <w:lang w:val="es-MX"/>
        </w:rPr>
        <w:t>6 en el cual, la ejecución bajo esta modalidad significó el 1.0%</w:t>
      </w:r>
      <w:r w:rsidRPr="00FB641E">
        <w:rPr>
          <w:lang w:val="es-MX"/>
        </w:rPr>
        <w:t>, siendo los principales ejecutores</w:t>
      </w:r>
      <w:r>
        <w:rPr>
          <w:lang w:val="es-MX"/>
        </w:rPr>
        <w:t xml:space="preserve"> en 2017</w:t>
      </w:r>
      <w:r w:rsidRPr="00FB641E">
        <w:rPr>
          <w:lang w:val="es-MX"/>
        </w:rPr>
        <w:t xml:space="preserve">, el Ministerio de Salud Pública y Asistencia Social con </w:t>
      </w:r>
      <w:r>
        <w:rPr>
          <w:lang w:val="es-MX"/>
        </w:rPr>
        <w:t>Q</w:t>
      </w:r>
      <w:r w:rsidR="00BD2C64">
        <w:rPr>
          <w:lang w:val="es-MX"/>
        </w:rPr>
        <w:t>.</w:t>
      </w:r>
      <w:r>
        <w:rPr>
          <w:lang w:val="es-MX"/>
        </w:rPr>
        <w:t>280.5 millones</w:t>
      </w:r>
      <w:r w:rsidRPr="00FB641E">
        <w:rPr>
          <w:lang w:val="es-MX"/>
        </w:rPr>
        <w:t xml:space="preserve">, </w:t>
      </w:r>
      <w:r>
        <w:rPr>
          <w:lang w:val="es-MX"/>
        </w:rPr>
        <w:t>las Obligaciones del Estado a Cargo del Tesoro con Q</w:t>
      </w:r>
      <w:r w:rsidR="00BD2C64">
        <w:rPr>
          <w:lang w:val="es-MX"/>
        </w:rPr>
        <w:t>.</w:t>
      </w:r>
      <w:r>
        <w:rPr>
          <w:lang w:val="es-MX"/>
        </w:rPr>
        <w:t xml:space="preserve">186.9 millones, </w:t>
      </w:r>
      <w:r w:rsidRPr="00FB641E">
        <w:rPr>
          <w:lang w:val="es-MX"/>
        </w:rPr>
        <w:t>seguido</w:t>
      </w:r>
      <w:r>
        <w:rPr>
          <w:lang w:val="es-MX"/>
        </w:rPr>
        <w:t>s</w:t>
      </w:r>
      <w:r w:rsidRPr="00FB641E">
        <w:rPr>
          <w:lang w:val="es-MX"/>
        </w:rPr>
        <w:t xml:space="preserve"> de</w:t>
      </w:r>
      <w:r>
        <w:rPr>
          <w:lang w:val="es-MX"/>
        </w:rPr>
        <w:t>l Ministerio de Educación con Q</w:t>
      </w:r>
      <w:r w:rsidR="00BD2C64">
        <w:rPr>
          <w:lang w:val="es-MX"/>
        </w:rPr>
        <w:t>.</w:t>
      </w:r>
      <w:r>
        <w:rPr>
          <w:lang w:val="es-MX"/>
        </w:rPr>
        <w:t>62.2 millones,</w:t>
      </w:r>
      <w:r w:rsidRPr="00FB641E">
        <w:rPr>
          <w:lang w:val="es-MX"/>
        </w:rPr>
        <w:t xml:space="preserve"> entre otros. </w:t>
      </w:r>
    </w:p>
    <w:p w:rsidR="002F3446" w:rsidRDefault="002F3446" w:rsidP="002F3446">
      <w:pPr>
        <w:rPr>
          <w:b/>
          <w:sz w:val="22"/>
          <w:lang w:val="es-MX"/>
        </w:rPr>
      </w:pPr>
    </w:p>
    <w:p w:rsidR="002F3446" w:rsidRPr="0088577C" w:rsidRDefault="002F3446" w:rsidP="002F3446">
      <w:pPr>
        <w:jc w:val="center"/>
        <w:rPr>
          <w:b/>
          <w:sz w:val="22"/>
          <w:szCs w:val="22"/>
          <w:lang w:val="es-MX"/>
        </w:rPr>
      </w:pPr>
      <w:r w:rsidRPr="0088577C">
        <w:rPr>
          <w:b/>
          <w:sz w:val="22"/>
          <w:szCs w:val="22"/>
          <w:lang w:val="es-MX"/>
        </w:rPr>
        <w:t xml:space="preserve">Cuadro </w:t>
      </w:r>
      <w:r w:rsidR="00416E34" w:rsidRPr="0088577C">
        <w:rPr>
          <w:b/>
          <w:sz w:val="22"/>
          <w:szCs w:val="22"/>
          <w:lang w:val="es-MX"/>
        </w:rPr>
        <w:t>1</w:t>
      </w:r>
      <w:r w:rsidR="00910F6F">
        <w:rPr>
          <w:b/>
          <w:sz w:val="22"/>
          <w:szCs w:val="22"/>
          <w:lang w:val="es-MX"/>
        </w:rPr>
        <w:t>0</w:t>
      </w:r>
    </w:p>
    <w:p w:rsidR="002F3446" w:rsidRPr="0088577C" w:rsidRDefault="002F3446" w:rsidP="002F3446">
      <w:pPr>
        <w:jc w:val="center"/>
        <w:rPr>
          <w:b/>
          <w:sz w:val="22"/>
          <w:szCs w:val="22"/>
          <w:lang w:val="es-MX"/>
        </w:rPr>
      </w:pPr>
      <w:r w:rsidRPr="0088577C">
        <w:rPr>
          <w:b/>
          <w:sz w:val="22"/>
          <w:szCs w:val="22"/>
          <w:lang w:val="es-MX"/>
        </w:rPr>
        <w:t>Aportes Realizados a Organizaciones No Gubernamentales -ONG-</w:t>
      </w:r>
    </w:p>
    <w:p w:rsidR="002F3446" w:rsidRPr="0088577C" w:rsidRDefault="002F3446" w:rsidP="002F3446">
      <w:pPr>
        <w:jc w:val="center"/>
        <w:rPr>
          <w:b/>
          <w:sz w:val="22"/>
          <w:szCs w:val="22"/>
          <w:lang w:val="es-MX"/>
        </w:rPr>
      </w:pPr>
      <w:r w:rsidRPr="0088577C">
        <w:rPr>
          <w:b/>
          <w:sz w:val="22"/>
          <w:szCs w:val="22"/>
          <w:lang w:val="es-MX"/>
        </w:rPr>
        <w:t>Al 30 de junio de cada año</w:t>
      </w:r>
    </w:p>
    <w:p w:rsidR="002F3446" w:rsidRPr="0088577C" w:rsidRDefault="002F3446" w:rsidP="002F3446">
      <w:pPr>
        <w:jc w:val="center"/>
        <w:rPr>
          <w:b/>
          <w:sz w:val="22"/>
          <w:szCs w:val="22"/>
          <w:lang w:val="es-MX"/>
        </w:rPr>
      </w:pPr>
      <w:r w:rsidRPr="0088577C">
        <w:rPr>
          <w:b/>
          <w:sz w:val="22"/>
          <w:szCs w:val="22"/>
          <w:lang w:val="es-MX"/>
        </w:rPr>
        <w:t>(Cifras en Millones de Quetzales)</w:t>
      </w:r>
    </w:p>
    <w:tbl>
      <w:tblPr>
        <w:tblW w:w="9420" w:type="dxa"/>
        <w:tblInd w:w="55" w:type="dxa"/>
        <w:tblCellMar>
          <w:left w:w="70" w:type="dxa"/>
          <w:right w:w="70" w:type="dxa"/>
        </w:tblCellMar>
        <w:tblLook w:val="04A0" w:firstRow="1" w:lastRow="0" w:firstColumn="1" w:lastColumn="0" w:noHBand="0" w:noVBand="1"/>
      </w:tblPr>
      <w:tblGrid>
        <w:gridCol w:w="4620"/>
        <w:gridCol w:w="1200"/>
        <w:gridCol w:w="1200"/>
        <w:gridCol w:w="1200"/>
        <w:gridCol w:w="1200"/>
      </w:tblGrid>
      <w:tr w:rsidR="002F3446" w:rsidRPr="00EA1B55" w:rsidTr="002F3446">
        <w:trPr>
          <w:trHeight w:val="300"/>
        </w:trPr>
        <w:tc>
          <w:tcPr>
            <w:tcW w:w="4620" w:type="dxa"/>
            <w:vMerge w:val="restart"/>
            <w:tcBorders>
              <w:top w:val="single" w:sz="8" w:space="0" w:color="auto"/>
              <w:left w:val="single" w:sz="8" w:space="0" w:color="auto"/>
              <w:bottom w:val="single" w:sz="4" w:space="0" w:color="000000"/>
              <w:right w:val="nil"/>
            </w:tcBorders>
            <w:shd w:val="clear" w:color="000000" w:fill="8DB4E2"/>
            <w:vAlign w:val="center"/>
            <w:hideMark/>
          </w:tcPr>
          <w:p w:rsidR="002F3446" w:rsidRPr="00EA1B55" w:rsidRDefault="002F3446" w:rsidP="002F3446">
            <w:pPr>
              <w:jc w:val="center"/>
              <w:rPr>
                <w:b/>
                <w:bCs/>
                <w:lang w:val="es-GT" w:eastAsia="es-GT"/>
              </w:rPr>
            </w:pPr>
            <w:r w:rsidRPr="00EA1B55">
              <w:rPr>
                <w:b/>
                <w:bCs/>
                <w:lang w:val="es-GT" w:eastAsia="es-GT"/>
              </w:rPr>
              <w:t>Entidad</w:t>
            </w:r>
          </w:p>
        </w:tc>
        <w:tc>
          <w:tcPr>
            <w:tcW w:w="1200" w:type="dxa"/>
            <w:vMerge w:val="restart"/>
            <w:tcBorders>
              <w:top w:val="single" w:sz="8" w:space="0" w:color="auto"/>
              <w:left w:val="single" w:sz="4" w:space="0" w:color="auto"/>
              <w:bottom w:val="single" w:sz="4" w:space="0" w:color="000000"/>
              <w:right w:val="single" w:sz="4" w:space="0" w:color="auto"/>
            </w:tcBorders>
            <w:shd w:val="clear" w:color="000000" w:fill="8DB4E2"/>
            <w:vAlign w:val="center"/>
            <w:hideMark/>
          </w:tcPr>
          <w:p w:rsidR="002F3446" w:rsidRPr="00EA1B55" w:rsidRDefault="002F3446" w:rsidP="002F3446">
            <w:pPr>
              <w:jc w:val="center"/>
              <w:rPr>
                <w:b/>
                <w:bCs/>
                <w:lang w:val="es-GT" w:eastAsia="es-GT"/>
              </w:rPr>
            </w:pPr>
            <w:r w:rsidRPr="00EA1B55">
              <w:rPr>
                <w:b/>
                <w:bCs/>
                <w:lang w:val="es-GT" w:eastAsia="es-GT"/>
              </w:rPr>
              <w:t>2016</w:t>
            </w:r>
          </w:p>
        </w:tc>
        <w:tc>
          <w:tcPr>
            <w:tcW w:w="1200" w:type="dxa"/>
            <w:vMerge w:val="restart"/>
            <w:tcBorders>
              <w:top w:val="single" w:sz="8" w:space="0" w:color="auto"/>
              <w:left w:val="single" w:sz="4" w:space="0" w:color="auto"/>
              <w:bottom w:val="single" w:sz="4" w:space="0" w:color="000000"/>
              <w:right w:val="single" w:sz="4" w:space="0" w:color="auto"/>
            </w:tcBorders>
            <w:shd w:val="clear" w:color="000000" w:fill="8DB4E2"/>
            <w:vAlign w:val="center"/>
            <w:hideMark/>
          </w:tcPr>
          <w:p w:rsidR="002F3446" w:rsidRPr="00EA1B55" w:rsidRDefault="002F3446" w:rsidP="002F3446">
            <w:pPr>
              <w:jc w:val="center"/>
              <w:rPr>
                <w:b/>
                <w:bCs/>
                <w:lang w:val="es-GT" w:eastAsia="es-GT"/>
              </w:rPr>
            </w:pPr>
            <w:r w:rsidRPr="00EA1B55">
              <w:rPr>
                <w:b/>
                <w:bCs/>
                <w:lang w:val="es-GT" w:eastAsia="es-GT"/>
              </w:rPr>
              <w:t>2017</w:t>
            </w:r>
          </w:p>
        </w:tc>
        <w:tc>
          <w:tcPr>
            <w:tcW w:w="1200" w:type="dxa"/>
            <w:tcBorders>
              <w:top w:val="single" w:sz="8" w:space="0" w:color="auto"/>
              <w:left w:val="single" w:sz="4" w:space="0" w:color="auto"/>
              <w:bottom w:val="single" w:sz="4" w:space="0" w:color="auto"/>
              <w:right w:val="single" w:sz="4" w:space="0" w:color="auto"/>
            </w:tcBorders>
            <w:shd w:val="clear" w:color="000000" w:fill="8DB4E2"/>
            <w:noWrap/>
            <w:vAlign w:val="bottom"/>
            <w:hideMark/>
          </w:tcPr>
          <w:p w:rsidR="002F3446" w:rsidRPr="00EA1B55" w:rsidRDefault="002F3446" w:rsidP="002F3446">
            <w:pPr>
              <w:jc w:val="center"/>
              <w:rPr>
                <w:b/>
                <w:bCs/>
                <w:sz w:val="20"/>
                <w:szCs w:val="20"/>
                <w:lang w:val="es-GT" w:eastAsia="es-GT"/>
              </w:rPr>
            </w:pPr>
            <w:r w:rsidRPr="00EA1B55">
              <w:rPr>
                <w:b/>
                <w:bCs/>
                <w:sz w:val="20"/>
                <w:szCs w:val="20"/>
                <w:lang w:val="es-GT" w:eastAsia="es-GT"/>
              </w:rPr>
              <w:t>Diferencias</w:t>
            </w:r>
          </w:p>
        </w:tc>
        <w:tc>
          <w:tcPr>
            <w:tcW w:w="1200" w:type="dxa"/>
            <w:tcBorders>
              <w:top w:val="single" w:sz="8" w:space="0" w:color="auto"/>
              <w:left w:val="single" w:sz="4" w:space="0" w:color="auto"/>
              <w:bottom w:val="single" w:sz="4" w:space="0" w:color="auto"/>
              <w:right w:val="single" w:sz="8" w:space="0" w:color="auto"/>
            </w:tcBorders>
            <w:shd w:val="clear" w:color="000000" w:fill="8DB4E2"/>
            <w:noWrap/>
            <w:vAlign w:val="bottom"/>
            <w:hideMark/>
          </w:tcPr>
          <w:p w:rsidR="002F3446" w:rsidRPr="00EA1B55" w:rsidRDefault="002F3446" w:rsidP="002F3446">
            <w:pPr>
              <w:rPr>
                <w:b/>
                <w:bCs/>
                <w:sz w:val="20"/>
                <w:szCs w:val="20"/>
                <w:lang w:val="es-GT" w:eastAsia="es-GT"/>
              </w:rPr>
            </w:pPr>
            <w:r w:rsidRPr="00EA1B55">
              <w:rPr>
                <w:b/>
                <w:bCs/>
                <w:sz w:val="20"/>
                <w:szCs w:val="20"/>
                <w:lang w:val="es-GT" w:eastAsia="es-GT"/>
              </w:rPr>
              <w:t> </w:t>
            </w:r>
          </w:p>
        </w:tc>
      </w:tr>
      <w:tr w:rsidR="002F3446" w:rsidRPr="00EA1B55" w:rsidTr="002F3446">
        <w:trPr>
          <w:trHeight w:val="300"/>
        </w:trPr>
        <w:tc>
          <w:tcPr>
            <w:tcW w:w="4620" w:type="dxa"/>
            <w:vMerge/>
            <w:tcBorders>
              <w:top w:val="single" w:sz="8" w:space="0" w:color="auto"/>
              <w:left w:val="single" w:sz="8" w:space="0" w:color="auto"/>
              <w:bottom w:val="single" w:sz="4" w:space="0" w:color="000000"/>
              <w:right w:val="nil"/>
            </w:tcBorders>
            <w:vAlign w:val="center"/>
            <w:hideMark/>
          </w:tcPr>
          <w:p w:rsidR="002F3446" w:rsidRPr="00EA1B55" w:rsidRDefault="002F3446" w:rsidP="002F3446">
            <w:pPr>
              <w:rPr>
                <w:b/>
                <w:bCs/>
                <w:lang w:val="es-GT" w:eastAsia="es-GT"/>
              </w:rPr>
            </w:pPr>
          </w:p>
        </w:tc>
        <w:tc>
          <w:tcPr>
            <w:tcW w:w="1200" w:type="dxa"/>
            <w:vMerge/>
            <w:tcBorders>
              <w:top w:val="single" w:sz="8" w:space="0" w:color="auto"/>
              <w:left w:val="single" w:sz="4" w:space="0" w:color="auto"/>
              <w:bottom w:val="single" w:sz="4" w:space="0" w:color="000000"/>
              <w:right w:val="single" w:sz="4" w:space="0" w:color="auto"/>
            </w:tcBorders>
            <w:vAlign w:val="center"/>
            <w:hideMark/>
          </w:tcPr>
          <w:p w:rsidR="002F3446" w:rsidRPr="00EA1B55" w:rsidRDefault="002F3446" w:rsidP="002F3446">
            <w:pPr>
              <w:rPr>
                <w:b/>
                <w:bCs/>
                <w:lang w:val="es-GT" w:eastAsia="es-GT"/>
              </w:rPr>
            </w:pPr>
          </w:p>
        </w:tc>
        <w:tc>
          <w:tcPr>
            <w:tcW w:w="1200" w:type="dxa"/>
            <w:vMerge/>
            <w:tcBorders>
              <w:top w:val="single" w:sz="8" w:space="0" w:color="auto"/>
              <w:left w:val="single" w:sz="4" w:space="0" w:color="auto"/>
              <w:bottom w:val="single" w:sz="4" w:space="0" w:color="000000"/>
              <w:right w:val="single" w:sz="4" w:space="0" w:color="auto"/>
            </w:tcBorders>
            <w:vAlign w:val="center"/>
            <w:hideMark/>
          </w:tcPr>
          <w:p w:rsidR="002F3446" w:rsidRPr="00EA1B55" w:rsidRDefault="002F3446" w:rsidP="002F3446">
            <w:pPr>
              <w:rPr>
                <w:b/>
                <w:bCs/>
                <w:lang w:val="es-GT" w:eastAsia="es-GT"/>
              </w:rPr>
            </w:pPr>
          </w:p>
        </w:tc>
        <w:tc>
          <w:tcPr>
            <w:tcW w:w="1200" w:type="dxa"/>
            <w:tcBorders>
              <w:top w:val="single" w:sz="4" w:space="0" w:color="auto"/>
              <w:left w:val="nil"/>
              <w:bottom w:val="single" w:sz="4" w:space="0" w:color="auto"/>
              <w:right w:val="single" w:sz="4" w:space="0" w:color="auto"/>
            </w:tcBorders>
            <w:shd w:val="clear" w:color="000000" w:fill="8DB4E2"/>
            <w:noWrap/>
            <w:vAlign w:val="bottom"/>
            <w:hideMark/>
          </w:tcPr>
          <w:p w:rsidR="002F3446" w:rsidRPr="00EA1B55" w:rsidRDefault="003F4D2D" w:rsidP="003F4D2D">
            <w:pPr>
              <w:jc w:val="center"/>
              <w:rPr>
                <w:b/>
                <w:bCs/>
                <w:sz w:val="20"/>
                <w:szCs w:val="20"/>
                <w:lang w:val="es-GT" w:eastAsia="es-GT"/>
              </w:rPr>
            </w:pPr>
            <w:r>
              <w:rPr>
                <w:b/>
                <w:bCs/>
                <w:sz w:val="20"/>
                <w:szCs w:val="20"/>
                <w:lang w:val="es-GT" w:eastAsia="es-GT"/>
              </w:rPr>
              <w:t>Absolut</w:t>
            </w:r>
            <w:r w:rsidR="002F3446" w:rsidRPr="00EA1B55">
              <w:rPr>
                <w:b/>
                <w:bCs/>
                <w:sz w:val="20"/>
                <w:szCs w:val="20"/>
                <w:lang w:val="es-GT" w:eastAsia="es-GT"/>
              </w:rPr>
              <w:t xml:space="preserve">as </w:t>
            </w:r>
          </w:p>
        </w:tc>
        <w:tc>
          <w:tcPr>
            <w:tcW w:w="1200" w:type="dxa"/>
            <w:tcBorders>
              <w:top w:val="single" w:sz="4" w:space="0" w:color="auto"/>
              <w:left w:val="nil"/>
              <w:bottom w:val="single" w:sz="4" w:space="0" w:color="auto"/>
              <w:right w:val="single" w:sz="8" w:space="0" w:color="auto"/>
            </w:tcBorders>
            <w:shd w:val="clear" w:color="000000" w:fill="8DB4E2"/>
            <w:noWrap/>
            <w:vAlign w:val="bottom"/>
            <w:hideMark/>
          </w:tcPr>
          <w:p w:rsidR="002F3446" w:rsidRPr="00EA1B55" w:rsidRDefault="002F3446" w:rsidP="002F3446">
            <w:pPr>
              <w:jc w:val="center"/>
              <w:rPr>
                <w:b/>
                <w:bCs/>
                <w:sz w:val="20"/>
                <w:szCs w:val="20"/>
                <w:lang w:val="es-GT" w:eastAsia="es-GT"/>
              </w:rPr>
            </w:pPr>
            <w:r w:rsidRPr="00EA1B55">
              <w:rPr>
                <w:b/>
                <w:bCs/>
                <w:sz w:val="20"/>
                <w:szCs w:val="20"/>
                <w:lang w:val="es-GT" w:eastAsia="es-GT"/>
              </w:rPr>
              <w:t>Relativas</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jc w:val="center"/>
              <w:rPr>
                <w:b/>
                <w:bCs/>
                <w:color w:val="000000"/>
                <w:sz w:val="22"/>
                <w:szCs w:val="22"/>
                <w:lang w:val="es-GT" w:eastAsia="es-GT"/>
              </w:rPr>
            </w:pPr>
            <w:r w:rsidRPr="00EA1B55">
              <w:rPr>
                <w:b/>
                <w:bCs/>
                <w:color w:val="000000"/>
                <w:sz w:val="22"/>
                <w:szCs w:val="22"/>
                <w:lang w:val="es-GT" w:eastAsia="es-GT"/>
              </w:rPr>
              <w:t>Total</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b/>
                <w:bCs/>
                <w:color w:val="000000"/>
                <w:sz w:val="22"/>
                <w:szCs w:val="22"/>
                <w:lang w:val="es-GT" w:eastAsia="es-GT"/>
              </w:rPr>
            </w:pPr>
            <w:r w:rsidRPr="00EA1B55">
              <w:rPr>
                <w:b/>
                <w:bCs/>
                <w:color w:val="000000"/>
                <w:sz w:val="22"/>
                <w:szCs w:val="22"/>
                <w:lang w:val="es-GT" w:eastAsia="es-GT"/>
              </w:rPr>
              <w:t xml:space="preserve">        292.2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b/>
                <w:bCs/>
                <w:color w:val="000000"/>
                <w:sz w:val="22"/>
                <w:szCs w:val="22"/>
                <w:lang w:val="es-GT" w:eastAsia="es-GT"/>
              </w:rPr>
            </w:pPr>
            <w:r w:rsidRPr="00EA1B55">
              <w:rPr>
                <w:b/>
                <w:bCs/>
                <w:color w:val="000000"/>
                <w:sz w:val="22"/>
                <w:szCs w:val="22"/>
                <w:lang w:val="es-GT" w:eastAsia="es-GT"/>
              </w:rPr>
              <w:t xml:space="preserve">        561.9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b/>
                <w:bCs/>
                <w:color w:val="000000"/>
                <w:sz w:val="22"/>
                <w:szCs w:val="22"/>
                <w:lang w:val="es-GT" w:eastAsia="es-GT"/>
              </w:rPr>
            </w:pPr>
            <w:r w:rsidRPr="00EA1B55">
              <w:rPr>
                <w:b/>
                <w:bCs/>
                <w:color w:val="000000"/>
                <w:sz w:val="22"/>
                <w:szCs w:val="22"/>
                <w:lang w:val="es-GT" w:eastAsia="es-GT"/>
              </w:rPr>
              <w:t>269.7</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jc w:val="right"/>
              <w:rPr>
                <w:b/>
                <w:bCs/>
                <w:color w:val="000000"/>
                <w:sz w:val="22"/>
                <w:szCs w:val="22"/>
                <w:lang w:val="es-GT" w:eastAsia="es-GT"/>
              </w:rPr>
            </w:pPr>
            <w:r w:rsidRPr="00EA1B55">
              <w:rPr>
                <w:b/>
                <w:bCs/>
                <w:color w:val="000000"/>
                <w:sz w:val="22"/>
                <w:szCs w:val="22"/>
                <w:lang w:val="es-GT" w:eastAsia="es-GT"/>
              </w:rPr>
              <w:t>92.3%</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1829A5" w:rsidP="002F3446">
            <w:pPr>
              <w:rPr>
                <w:color w:val="000000"/>
                <w:sz w:val="22"/>
                <w:szCs w:val="22"/>
                <w:lang w:val="es-GT" w:eastAsia="es-GT"/>
              </w:rPr>
            </w:pPr>
            <w:r>
              <w:rPr>
                <w:color w:val="000000"/>
                <w:sz w:val="22"/>
                <w:szCs w:val="22"/>
                <w:lang w:val="es-GT" w:eastAsia="es-GT"/>
              </w:rPr>
              <w:t>Mi</w:t>
            </w:r>
            <w:r w:rsidR="002F3446" w:rsidRPr="00EA1B55">
              <w:rPr>
                <w:color w:val="000000"/>
                <w:sz w:val="22"/>
                <w:szCs w:val="22"/>
                <w:lang w:val="es-GT" w:eastAsia="es-GT"/>
              </w:rPr>
              <w:t>nisterio de Gobernación</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3.7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3.7</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Ministerio de Finanzas Públicas</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0.02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0.0</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1829A5" w:rsidP="002F3446">
            <w:pPr>
              <w:rPr>
                <w:color w:val="000000"/>
                <w:sz w:val="22"/>
                <w:szCs w:val="22"/>
                <w:lang w:val="es-GT" w:eastAsia="es-GT"/>
              </w:rPr>
            </w:pPr>
            <w:r>
              <w:rPr>
                <w:color w:val="000000"/>
                <w:sz w:val="22"/>
                <w:szCs w:val="22"/>
                <w:lang w:val="es-GT" w:eastAsia="es-GT"/>
              </w:rPr>
              <w:t>M</w:t>
            </w:r>
            <w:r w:rsidR="002F3446" w:rsidRPr="00EA1B55">
              <w:rPr>
                <w:color w:val="000000"/>
                <w:sz w:val="22"/>
                <w:szCs w:val="22"/>
                <w:lang w:val="es-GT" w:eastAsia="es-GT"/>
              </w:rPr>
              <w:t>inisterio de Educación</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75.5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62.2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-13.3</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-17.6%</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Ministerio de Salud Pública y Asistencia Social</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186.6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280.5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93.8</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50.3%</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Ministerio de </w:t>
            </w:r>
            <w:r w:rsidR="001829A5" w:rsidRPr="00EA1B55">
              <w:rPr>
                <w:color w:val="000000"/>
                <w:sz w:val="22"/>
                <w:szCs w:val="22"/>
                <w:lang w:val="es-GT" w:eastAsia="es-GT"/>
              </w:rPr>
              <w:t>Economía</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2.9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1.2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-1.7</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-58.3%</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Ministerio de Agricultura</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10.4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25.4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14.9</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143.2%</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Ministerio de Cultura y Deportes</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2.0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2.0</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Secretarias y Otras Dependencias del Ejecutivo</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0.6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-0.6</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-100.0%</w:t>
            </w:r>
          </w:p>
        </w:tc>
      </w:tr>
      <w:tr w:rsidR="002F3446" w:rsidRPr="00EA1B55" w:rsidTr="002F3446">
        <w:trPr>
          <w:trHeight w:val="300"/>
        </w:trPr>
        <w:tc>
          <w:tcPr>
            <w:tcW w:w="4620" w:type="dxa"/>
            <w:tcBorders>
              <w:top w:val="nil"/>
              <w:left w:val="single" w:sz="8" w:space="0" w:color="auto"/>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Ministerio de Ambiente y Recursos Naturales</w:t>
            </w:r>
          </w:p>
        </w:tc>
        <w:tc>
          <w:tcPr>
            <w:tcW w:w="1200" w:type="dxa"/>
            <w:tcBorders>
              <w:top w:val="nil"/>
              <w:left w:val="single" w:sz="4" w:space="0" w:color="auto"/>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0.02 </w:t>
            </w:r>
          </w:p>
        </w:tc>
        <w:tc>
          <w:tcPr>
            <w:tcW w:w="1200" w:type="dxa"/>
            <w:tcBorders>
              <w:top w:val="nil"/>
              <w:left w:val="nil"/>
              <w:bottom w:val="nil"/>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0.0</w:t>
            </w:r>
          </w:p>
        </w:tc>
        <w:tc>
          <w:tcPr>
            <w:tcW w:w="1200" w:type="dxa"/>
            <w:tcBorders>
              <w:top w:val="nil"/>
              <w:left w:val="nil"/>
              <w:bottom w:val="nil"/>
              <w:right w:val="single" w:sz="8"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r>
      <w:tr w:rsidR="002F3446" w:rsidRPr="00EA1B55" w:rsidTr="002F3446">
        <w:trPr>
          <w:trHeight w:val="315"/>
        </w:trPr>
        <w:tc>
          <w:tcPr>
            <w:tcW w:w="4620" w:type="dxa"/>
            <w:tcBorders>
              <w:top w:val="nil"/>
              <w:left w:val="single" w:sz="8" w:space="0" w:color="auto"/>
              <w:bottom w:val="single" w:sz="8" w:space="0" w:color="auto"/>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Obligaciones del Estado a Cargo del Tesoro</w:t>
            </w:r>
          </w:p>
        </w:tc>
        <w:tc>
          <w:tcPr>
            <w:tcW w:w="1200" w:type="dxa"/>
            <w:tcBorders>
              <w:top w:val="nil"/>
              <w:left w:val="single" w:sz="4" w:space="0" w:color="auto"/>
              <w:bottom w:val="single" w:sz="8" w:space="0" w:color="auto"/>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16.0 </w:t>
            </w:r>
          </w:p>
        </w:tc>
        <w:tc>
          <w:tcPr>
            <w:tcW w:w="1200" w:type="dxa"/>
            <w:tcBorders>
              <w:top w:val="nil"/>
              <w:left w:val="nil"/>
              <w:bottom w:val="single" w:sz="8" w:space="0" w:color="auto"/>
              <w:right w:val="single" w:sz="4" w:space="0" w:color="auto"/>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xml:space="preserve">         186.9 </w:t>
            </w:r>
          </w:p>
        </w:tc>
        <w:tc>
          <w:tcPr>
            <w:tcW w:w="1200" w:type="dxa"/>
            <w:tcBorders>
              <w:top w:val="nil"/>
              <w:left w:val="nil"/>
              <w:bottom w:val="single" w:sz="8" w:space="0" w:color="auto"/>
              <w:right w:val="single" w:sz="4"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170.8</w:t>
            </w:r>
          </w:p>
        </w:tc>
        <w:tc>
          <w:tcPr>
            <w:tcW w:w="1200" w:type="dxa"/>
            <w:tcBorders>
              <w:top w:val="nil"/>
              <w:left w:val="nil"/>
              <w:bottom w:val="single" w:sz="8" w:space="0" w:color="auto"/>
              <w:right w:val="single" w:sz="8" w:space="0" w:color="auto"/>
            </w:tcBorders>
            <w:shd w:val="clear" w:color="000000" w:fill="FFFFFF"/>
            <w:noWrap/>
            <w:vAlign w:val="bottom"/>
            <w:hideMark/>
          </w:tcPr>
          <w:p w:rsidR="002F3446" w:rsidRPr="00EA1B55" w:rsidRDefault="002F3446" w:rsidP="002F3446">
            <w:pPr>
              <w:jc w:val="right"/>
              <w:rPr>
                <w:color w:val="000000"/>
                <w:sz w:val="22"/>
                <w:szCs w:val="22"/>
                <w:lang w:val="es-GT" w:eastAsia="es-GT"/>
              </w:rPr>
            </w:pPr>
            <w:r w:rsidRPr="00EA1B55">
              <w:rPr>
                <w:color w:val="000000"/>
                <w:sz w:val="22"/>
                <w:szCs w:val="22"/>
                <w:lang w:val="es-GT" w:eastAsia="es-GT"/>
              </w:rPr>
              <w:t>1064.6%</w:t>
            </w:r>
          </w:p>
        </w:tc>
      </w:tr>
      <w:tr w:rsidR="002F3446" w:rsidRPr="00EA1B55" w:rsidTr="002F3446">
        <w:trPr>
          <w:trHeight w:val="300"/>
        </w:trPr>
        <w:tc>
          <w:tcPr>
            <w:tcW w:w="4620" w:type="dxa"/>
            <w:tcBorders>
              <w:top w:val="nil"/>
              <w:left w:val="nil"/>
              <w:bottom w:val="nil"/>
              <w:right w:val="nil"/>
            </w:tcBorders>
            <w:shd w:val="clear" w:color="000000" w:fill="FFFFFF"/>
            <w:noWrap/>
            <w:vAlign w:val="bottom"/>
            <w:hideMark/>
          </w:tcPr>
          <w:p w:rsidR="002F3446" w:rsidRPr="00EA1B55" w:rsidRDefault="002F3446" w:rsidP="002F3446">
            <w:pPr>
              <w:rPr>
                <w:b/>
                <w:bCs/>
                <w:color w:val="000000"/>
                <w:sz w:val="20"/>
                <w:szCs w:val="20"/>
                <w:lang w:val="es-GT" w:eastAsia="es-GT"/>
              </w:rPr>
            </w:pPr>
            <w:r w:rsidRPr="00EA1B55">
              <w:rPr>
                <w:b/>
                <w:bCs/>
                <w:color w:val="000000"/>
                <w:sz w:val="20"/>
                <w:szCs w:val="20"/>
                <w:lang w:val="es-GT" w:eastAsia="es-GT"/>
              </w:rPr>
              <w:t>Porcentaje de ejecución presupuestaria</w:t>
            </w:r>
          </w:p>
        </w:tc>
        <w:tc>
          <w:tcPr>
            <w:tcW w:w="1200" w:type="dxa"/>
            <w:tcBorders>
              <w:top w:val="nil"/>
              <w:left w:val="nil"/>
              <w:bottom w:val="nil"/>
              <w:right w:val="nil"/>
            </w:tcBorders>
            <w:shd w:val="clear" w:color="000000" w:fill="FFFFFF"/>
            <w:noWrap/>
            <w:vAlign w:val="bottom"/>
            <w:hideMark/>
          </w:tcPr>
          <w:p w:rsidR="002F3446" w:rsidRPr="00EA1B55" w:rsidRDefault="002F3446" w:rsidP="002F3446">
            <w:pPr>
              <w:jc w:val="right"/>
              <w:rPr>
                <w:b/>
                <w:bCs/>
                <w:color w:val="000000"/>
                <w:sz w:val="20"/>
                <w:szCs w:val="20"/>
                <w:lang w:val="es-GT" w:eastAsia="es-GT"/>
              </w:rPr>
            </w:pPr>
            <w:r w:rsidRPr="00EA1B55">
              <w:rPr>
                <w:b/>
                <w:bCs/>
                <w:color w:val="000000"/>
                <w:sz w:val="20"/>
                <w:szCs w:val="20"/>
                <w:lang w:val="es-GT" w:eastAsia="es-GT"/>
              </w:rPr>
              <w:t>1.0%</w:t>
            </w:r>
          </w:p>
        </w:tc>
        <w:tc>
          <w:tcPr>
            <w:tcW w:w="1200" w:type="dxa"/>
            <w:tcBorders>
              <w:top w:val="nil"/>
              <w:left w:val="nil"/>
              <w:bottom w:val="nil"/>
              <w:right w:val="nil"/>
            </w:tcBorders>
            <w:shd w:val="clear" w:color="000000" w:fill="FFFFFF"/>
            <w:noWrap/>
            <w:vAlign w:val="bottom"/>
            <w:hideMark/>
          </w:tcPr>
          <w:p w:rsidR="002F3446" w:rsidRPr="00EA1B55" w:rsidRDefault="002F3446" w:rsidP="002F3446">
            <w:pPr>
              <w:jc w:val="right"/>
              <w:rPr>
                <w:b/>
                <w:bCs/>
                <w:color w:val="000000"/>
                <w:sz w:val="20"/>
                <w:szCs w:val="20"/>
                <w:lang w:val="es-GT" w:eastAsia="es-GT"/>
              </w:rPr>
            </w:pPr>
            <w:r w:rsidRPr="00EA1B55">
              <w:rPr>
                <w:b/>
                <w:bCs/>
                <w:color w:val="000000"/>
                <w:sz w:val="20"/>
                <w:szCs w:val="20"/>
                <w:lang w:val="es-GT" w:eastAsia="es-GT"/>
              </w:rPr>
              <w:t>1.8%</w:t>
            </w:r>
          </w:p>
        </w:tc>
        <w:tc>
          <w:tcPr>
            <w:tcW w:w="1200" w:type="dxa"/>
            <w:tcBorders>
              <w:top w:val="nil"/>
              <w:left w:val="nil"/>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c>
          <w:tcPr>
            <w:tcW w:w="1200" w:type="dxa"/>
            <w:tcBorders>
              <w:top w:val="nil"/>
              <w:left w:val="nil"/>
              <w:bottom w:val="nil"/>
              <w:right w:val="nil"/>
            </w:tcBorders>
            <w:shd w:val="clear" w:color="000000" w:fill="FFFFFF"/>
            <w:noWrap/>
            <w:vAlign w:val="bottom"/>
            <w:hideMark/>
          </w:tcPr>
          <w:p w:rsidR="002F3446" w:rsidRPr="00EA1B55" w:rsidRDefault="002F3446" w:rsidP="002F3446">
            <w:pPr>
              <w:rPr>
                <w:color w:val="000000"/>
                <w:sz w:val="22"/>
                <w:szCs w:val="22"/>
                <w:lang w:val="es-GT" w:eastAsia="es-GT"/>
              </w:rPr>
            </w:pPr>
            <w:r w:rsidRPr="00EA1B55">
              <w:rPr>
                <w:color w:val="000000"/>
                <w:sz w:val="22"/>
                <w:szCs w:val="22"/>
                <w:lang w:val="es-GT" w:eastAsia="es-GT"/>
              </w:rPr>
              <w:t> </w:t>
            </w:r>
          </w:p>
        </w:tc>
      </w:tr>
    </w:tbl>
    <w:p w:rsidR="00BD2C64" w:rsidRDefault="00BD2C64" w:rsidP="002F3446">
      <w:pPr>
        <w:rPr>
          <w:sz w:val="16"/>
          <w:lang w:val="es-MX"/>
        </w:rPr>
      </w:pPr>
    </w:p>
    <w:p w:rsidR="002F3446" w:rsidRPr="003132DD" w:rsidRDefault="002F3446" w:rsidP="002F3446">
      <w:pPr>
        <w:rPr>
          <w:sz w:val="16"/>
          <w:lang w:val="es-MX"/>
        </w:rPr>
      </w:pPr>
      <w:r w:rsidRPr="003132DD">
        <w:rPr>
          <w:sz w:val="16"/>
          <w:lang w:val="es-MX"/>
        </w:rPr>
        <w:t>Fuente: Ministerio de Finanzas Públicas con base al SICOIN.</w:t>
      </w:r>
    </w:p>
    <w:p w:rsidR="002F3446" w:rsidRPr="003132DD" w:rsidRDefault="002F3446" w:rsidP="002F3446">
      <w:pPr>
        <w:rPr>
          <w:sz w:val="16"/>
          <w:lang w:val="es-MX"/>
        </w:rPr>
      </w:pPr>
      <w:r w:rsidRPr="003132DD">
        <w:rPr>
          <w:sz w:val="16"/>
          <w:lang w:val="es-MX"/>
        </w:rPr>
        <w:t>* Cifras preliminares</w:t>
      </w:r>
    </w:p>
    <w:p w:rsidR="00350285" w:rsidRDefault="00350285" w:rsidP="00350285">
      <w:pPr>
        <w:rPr>
          <w:sz w:val="16"/>
          <w:lang w:val="es-MX"/>
        </w:rPr>
      </w:pPr>
    </w:p>
    <w:p w:rsidR="00AF2CF8" w:rsidRDefault="00AF2CF8">
      <w:pPr>
        <w:rPr>
          <w:b/>
          <w:bCs/>
          <w:lang w:val="es-MX"/>
        </w:rPr>
      </w:pPr>
      <w:r>
        <w:rPr>
          <w:b/>
          <w:bCs/>
          <w:lang w:val="es-MX"/>
        </w:rPr>
        <w:br w:type="page"/>
      </w:r>
    </w:p>
    <w:p w:rsidR="00350285" w:rsidRPr="00FB641E" w:rsidRDefault="00350285" w:rsidP="00D16A2D">
      <w:pPr>
        <w:keepNext/>
        <w:keepLines/>
        <w:numPr>
          <w:ilvl w:val="2"/>
          <w:numId w:val="3"/>
        </w:numPr>
        <w:spacing w:before="200"/>
        <w:outlineLvl w:val="2"/>
        <w:rPr>
          <w:b/>
          <w:bCs/>
          <w:lang w:val="es-MX"/>
        </w:rPr>
      </w:pPr>
      <w:bookmarkStart w:id="24" w:name="_Toc494450601"/>
      <w:r w:rsidRPr="00FB641E">
        <w:rPr>
          <w:b/>
          <w:bCs/>
          <w:lang w:val="es-MX"/>
        </w:rPr>
        <w:lastRenderedPageBreak/>
        <w:t>Déficit Fiscal</w:t>
      </w:r>
      <w:bookmarkEnd w:id="24"/>
    </w:p>
    <w:p w:rsidR="00350285" w:rsidRPr="00FB641E" w:rsidRDefault="00350285" w:rsidP="00350285">
      <w:pPr>
        <w:jc w:val="both"/>
        <w:rPr>
          <w:lang w:val="es-MX"/>
        </w:rPr>
      </w:pPr>
    </w:p>
    <w:p w:rsidR="00350285" w:rsidRPr="00FB641E" w:rsidRDefault="00350285" w:rsidP="00350285">
      <w:pPr>
        <w:jc w:val="both"/>
        <w:rPr>
          <w:lang w:val="es-MX"/>
        </w:rPr>
      </w:pPr>
      <w:r>
        <w:rPr>
          <w:lang w:val="es-MX"/>
        </w:rPr>
        <w:t xml:space="preserve">La Política General de Gobierno </w:t>
      </w:r>
      <w:r w:rsidRPr="00CD2CCE">
        <w:rPr>
          <w:lang w:val="es-MX"/>
        </w:rPr>
        <w:t>parte del análisis de la situación</w:t>
      </w:r>
      <w:r>
        <w:rPr>
          <w:lang w:val="es-MX"/>
        </w:rPr>
        <w:t xml:space="preserve"> </w:t>
      </w:r>
      <w:r w:rsidRPr="00CD2CCE">
        <w:rPr>
          <w:lang w:val="es-MX"/>
        </w:rPr>
        <w:t>sociopolítica y económica actual</w:t>
      </w:r>
      <w:r>
        <w:rPr>
          <w:lang w:val="es-MX"/>
        </w:rPr>
        <w:t xml:space="preserve">, proponiendo </w:t>
      </w:r>
      <w:r w:rsidRPr="00CD2CCE">
        <w:rPr>
          <w:lang w:val="es-MX"/>
        </w:rPr>
        <w:t>enfrentar</w:t>
      </w:r>
      <w:r>
        <w:rPr>
          <w:lang w:val="es-MX"/>
        </w:rPr>
        <w:t xml:space="preserve"> </w:t>
      </w:r>
      <w:r w:rsidRPr="00CD2CCE">
        <w:rPr>
          <w:lang w:val="es-MX"/>
        </w:rPr>
        <w:t>y solucionar problemas como la corrupción, la</w:t>
      </w:r>
      <w:r>
        <w:rPr>
          <w:lang w:val="es-MX"/>
        </w:rPr>
        <w:t xml:space="preserve"> </w:t>
      </w:r>
      <w:r w:rsidRPr="00CD2CCE">
        <w:rPr>
          <w:lang w:val="es-MX"/>
        </w:rPr>
        <w:t>violencia, la agudización de la pobreza, la debilidad</w:t>
      </w:r>
      <w:r>
        <w:rPr>
          <w:lang w:val="es-MX"/>
        </w:rPr>
        <w:t xml:space="preserve"> </w:t>
      </w:r>
      <w:r w:rsidRPr="00CD2CCE">
        <w:rPr>
          <w:lang w:val="es-MX"/>
        </w:rPr>
        <w:t>institucional</w:t>
      </w:r>
      <w:r>
        <w:rPr>
          <w:lang w:val="es-MX"/>
        </w:rPr>
        <w:t xml:space="preserve"> y</w:t>
      </w:r>
      <w:r w:rsidRPr="00CD2CCE">
        <w:rPr>
          <w:lang w:val="es-MX"/>
        </w:rPr>
        <w:t xml:space="preserve"> la ineficacia del Estado</w:t>
      </w:r>
      <w:r>
        <w:rPr>
          <w:lang w:val="es-MX"/>
        </w:rPr>
        <w:t>, todo esto</w:t>
      </w:r>
      <w:r w:rsidRPr="00CD2CCE">
        <w:rPr>
          <w:lang w:val="es-MX"/>
        </w:rPr>
        <w:t xml:space="preserve"> para garantizar el</w:t>
      </w:r>
      <w:r>
        <w:rPr>
          <w:lang w:val="es-MX"/>
        </w:rPr>
        <w:t xml:space="preserve"> </w:t>
      </w:r>
      <w:r w:rsidRPr="00CD2CCE">
        <w:rPr>
          <w:lang w:val="es-MX"/>
        </w:rPr>
        <w:t>ejercicio de los derechos humanos</w:t>
      </w:r>
      <w:r>
        <w:rPr>
          <w:lang w:val="es-MX"/>
        </w:rPr>
        <w:t xml:space="preserve">. Congruente con dichos objetivos, </w:t>
      </w:r>
      <w:r w:rsidRPr="001F2900">
        <w:rPr>
          <w:lang w:val="es-MX"/>
        </w:rPr>
        <w:t>la política fiscal</w:t>
      </w:r>
      <w:r>
        <w:rPr>
          <w:lang w:val="es-MX"/>
        </w:rPr>
        <w:t xml:space="preserve"> persigue</w:t>
      </w:r>
      <w:r w:rsidRPr="001F2900">
        <w:rPr>
          <w:lang w:val="es-MX"/>
        </w:rPr>
        <w:t xml:space="preserve"> elevar </w:t>
      </w:r>
      <w:r>
        <w:rPr>
          <w:lang w:val="es-MX"/>
        </w:rPr>
        <w:t>el nivel de</w:t>
      </w:r>
      <w:r w:rsidRPr="001F2900">
        <w:rPr>
          <w:lang w:val="es-MX"/>
        </w:rPr>
        <w:t xml:space="preserve"> recaudación de los ingresos tributarios, combatir la evasión y el contrabando aduanero, lograr la sostenibilidad de los niveles de endeudamiento, así como alcanzar la transparencia y calidad del gasto público, </w:t>
      </w:r>
      <w:r>
        <w:rPr>
          <w:lang w:val="es-MX"/>
        </w:rPr>
        <w:t xml:space="preserve">asignando los recursos presupuestarios en sectores prioritarios como educación, salud, seguridad y vivienda, </w:t>
      </w:r>
      <w:r w:rsidRPr="001F2900">
        <w:rPr>
          <w:lang w:val="es-MX"/>
        </w:rPr>
        <w:t>enfocados en el logro de l</w:t>
      </w:r>
      <w:r>
        <w:rPr>
          <w:lang w:val="es-MX"/>
        </w:rPr>
        <w:t>a</w:t>
      </w:r>
      <w:r w:rsidRPr="001F2900">
        <w:rPr>
          <w:lang w:val="es-MX"/>
        </w:rPr>
        <w:t xml:space="preserve">s </w:t>
      </w:r>
      <w:r>
        <w:rPr>
          <w:lang w:val="es-MX"/>
        </w:rPr>
        <w:t xml:space="preserve">metas y </w:t>
      </w:r>
      <w:r w:rsidRPr="001F2900">
        <w:rPr>
          <w:lang w:val="es-MX"/>
        </w:rPr>
        <w:t xml:space="preserve">resultados </w:t>
      </w:r>
      <w:r>
        <w:rPr>
          <w:lang w:val="es-MX"/>
        </w:rPr>
        <w:t>que impacten en la sociedad guatemalteca.</w:t>
      </w:r>
    </w:p>
    <w:p w:rsidR="00350285" w:rsidRDefault="00350285" w:rsidP="00350285">
      <w:pPr>
        <w:jc w:val="both"/>
        <w:rPr>
          <w:lang w:val="es-MX"/>
        </w:rPr>
      </w:pPr>
    </w:p>
    <w:p w:rsidR="00350285" w:rsidRDefault="00AF2CF8" w:rsidP="00350285">
      <w:pPr>
        <w:jc w:val="both"/>
        <w:rPr>
          <w:lang w:val="es-MX"/>
        </w:rPr>
      </w:pPr>
      <w:r>
        <w:rPr>
          <w:lang w:val="es-MX"/>
        </w:rPr>
        <w:t>D</w:t>
      </w:r>
      <w:r w:rsidR="00350285">
        <w:rPr>
          <w:lang w:val="es-MX"/>
        </w:rPr>
        <w:t>urante los últimos años</w:t>
      </w:r>
      <w:r>
        <w:rPr>
          <w:lang w:val="es-MX"/>
        </w:rPr>
        <w:t xml:space="preserve"> la</w:t>
      </w:r>
      <w:r w:rsidRPr="003162F2">
        <w:rPr>
          <w:lang w:val="es-MX"/>
        </w:rPr>
        <w:t xml:space="preserve"> disciplina fiscal</w:t>
      </w:r>
      <w:r w:rsidR="00350285">
        <w:rPr>
          <w:lang w:val="es-MX"/>
        </w:rPr>
        <w:t xml:space="preserve"> </w:t>
      </w:r>
      <w:r w:rsidR="00350285" w:rsidRPr="003162F2">
        <w:rPr>
          <w:lang w:val="es-MX"/>
        </w:rPr>
        <w:t>se ha mantenido, pese a la crisis institucional de la Superintendencia de Administración Tributaria (SAT)</w:t>
      </w:r>
      <w:r w:rsidR="00350285">
        <w:rPr>
          <w:lang w:val="es-MX"/>
        </w:rPr>
        <w:t xml:space="preserve"> </w:t>
      </w:r>
      <w:r w:rsidR="00350285" w:rsidRPr="003162F2">
        <w:rPr>
          <w:lang w:val="es-MX"/>
        </w:rPr>
        <w:t>y el incumplimiento de las metas de recaudación tributaria</w:t>
      </w:r>
      <w:r>
        <w:rPr>
          <w:lang w:val="es-MX"/>
        </w:rPr>
        <w:t>.  Como aspecto importante</w:t>
      </w:r>
      <w:r w:rsidR="00350285" w:rsidRPr="003162F2">
        <w:rPr>
          <w:lang w:val="es-MX"/>
        </w:rPr>
        <w:t xml:space="preserve"> </w:t>
      </w:r>
      <w:r w:rsidR="00350285">
        <w:rPr>
          <w:lang w:val="es-MX"/>
        </w:rPr>
        <w:t xml:space="preserve">se puede observar que durante el primer año de cada gobierno, es recurrente que al cierre del primer semestre </w:t>
      </w:r>
      <w:r w:rsidR="009370F6">
        <w:rPr>
          <w:lang w:val="es-MX"/>
        </w:rPr>
        <w:t xml:space="preserve">exista </w:t>
      </w:r>
      <w:r w:rsidR="00350285">
        <w:rPr>
          <w:lang w:val="es-MX"/>
        </w:rPr>
        <w:t xml:space="preserve">superávit, en </w:t>
      </w:r>
      <w:r w:rsidR="009370F6">
        <w:rPr>
          <w:lang w:val="es-MX"/>
        </w:rPr>
        <w:t xml:space="preserve">la administración de la Unidad Nacional de la Esperanza </w:t>
      </w:r>
      <w:r w:rsidR="00350285">
        <w:rPr>
          <w:lang w:val="es-MX"/>
        </w:rPr>
        <w:t>UNE (2008) fue de Q</w:t>
      </w:r>
      <w:r w:rsidR="00FA5638">
        <w:rPr>
          <w:lang w:val="es-MX"/>
        </w:rPr>
        <w:t>.</w:t>
      </w:r>
      <w:r w:rsidR="00350285">
        <w:rPr>
          <w:lang w:val="es-MX"/>
        </w:rPr>
        <w:t xml:space="preserve">1,344.7 millones, en el primer año </w:t>
      </w:r>
      <w:r w:rsidR="009370F6">
        <w:rPr>
          <w:lang w:val="es-MX"/>
        </w:rPr>
        <w:t xml:space="preserve">de gestión </w:t>
      </w:r>
      <w:r w:rsidR="00350285">
        <w:rPr>
          <w:lang w:val="es-MX"/>
        </w:rPr>
        <w:t>del P</w:t>
      </w:r>
      <w:r w:rsidR="009370F6">
        <w:rPr>
          <w:lang w:val="es-MX"/>
        </w:rPr>
        <w:t xml:space="preserve">artido </w:t>
      </w:r>
      <w:r w:rsidR="00350285">
        <w:rPr>
          <w:lang w:val="es-MX"/>
        </w:rPr>
        <w:t>P</w:t>
      </w:r>
      <w:r w:rsidR="009370F6">
        <w:rPr>
          <w:lang w:val="es-MX"/>
        </w:rPr>
        <w:t>atriota</w:t>
      </w:r>
      <w:r w:rsidR="00350285">
        <w:rPr>
          <w:lang w:val="es-MX"/>
        </w:rPr>
        <w:t xml:space="preserve"> (2012) fue de Q</w:t>
      </w:r>
      <w:r w:rsidR="00FA5638">
        <w:rPr>
          <w:lang w:val="es-MX"/>
        </w:rPr>
        <w:t>.</w:t>
      </w:r>
      <w:r w:rsidR="00350285">
        <w:rPr>
          <w:lang w:val="es-MX"/>
        </w:rPr>
        <w:t xml:space="preserve">209.2 millones y </w:t>
      </w:r>
      <w:r w:rsidR="009370F6">
        <w:rPr>
          <w:lang w:val="es-MX"/>
        </w:rPr>
        <w:t>para la actual administración</w:t>
      </w:r>
      <w:r w:rsidR="00350285">
        <w:rPr>
          <w:lang w:val="es-MX"/>
        </w:rPr>
        <w:t xml:space="preserve"> (2016) fue de Q</w:t>
      </w:r>
      <w:r w:rsidR="00FA5638">
        <w:rPr>
          <w:lang w:val="es-MX"/>
        </w:rPr>
        <w:t>.</w:t>
      </w:r>
      <w:r w:rsidR="00350285">
        <w:rPr>
          <w:lang w:val="es-MX"/>
        </w:rPr>
        <w:t>515.2 millones, equivalentes a 0.5%, 0.1% y 0.1% del PIB</w:t>
      </w:r>
      <w:r w:rsidR="00FA5638">
        <w:rPr>
          <w:lang w:val="es-MX"/>
        </w:rPr>
        <w:t>,</w:t>
      </w:r>
      <w:r w:rsidR="00350285">
        <w:rPr>
          <w:lang w:val="es-MX"/>
        </w:rPr>
        <w:t xml:space="preserve"> respectivamente.</w:t>
      </w:r>
    </w:p>
    <w:p w:rsidR="00350285" w:rsidRDefault="00350285" w:rsidP="00350285">
      <w:pPr>
        <w:jc w:val="both"/>
        <w:rPr>
          <w:lang w:val="es-MX"/>
        </w:rPr>
      </w:pPr>
    </w:p>
    <w:p w:rsidR="00350285" w:rsidRPr="00FB641E" w:rsidRDefault="00350285" w:rsidP="00350285">
      <w:pPr>
        <w:jc w:val="center"/>
        <w:rPr>
          <w:b/>
          <w:sz w:val="22"/>
          <w:lang w:val="es-MX"/>
        </w:rPr>
      </w:pPr>
      <w:r w:rsidRPr="00FB641E">
        <w:rPr>
          <w:b/>
          <w:sz w:val="22"/>
          <w:lang w:val="es-MX"/>
        </w:rPr>
        <w:t xml:space="preserve">Gráfica </w:t>
      </w:r>
      <w:r w:rsidR="0088577C">
        <w:rPr>
          <w:b/>
          <w:sz w:val="22"/>
          <w:lang w:val="es-MX"/>
        </w:rPr>
        <w:t>9</w:t>
      </w:r>
    </w:p>
    <w:p w:rsidR="00350285" w:rsidRPr="0088577C" w:rsidRDefault="00350285" w:rsidP="00350285">
      <w:pPr>
        <w:jc w:val="center"/>
        <w:rPr>
          <w:b/>
          <w:sz w:val="22"/>
          <w:szCs w:val="22"/>
          <w:lang w:val="es-MX"/>
        </w:rPr>
      </w:pPr>
      <w:r w:rsidRPr="0088577C">
        <w:rPr>
          <w:b/>
          <w:sz w:val="22"/>
          <w:szCs w:val="22"/>
          <w:lang w:val="es-MX"/>
        </w:rPr>
        <w:t xml:space="preserve">Resultado Presupuestario </w:t>
      </w:r>
    </w:p>
    <w:p w:rsidR="00350285" w:rsidRPr="0088577C" w:rsidRDefault="00350285" w:rsidP="00350285">
      <w:pPr>
        <w:jc w:val="center"/>
        <w:rPr>
          <w:b/>
          <w:sz w:val="22"/>
          <w:szCs w:val="22"/>
          <w:lang w:val="es-MX"/>
        </w:rPr>
      </w:pPr>
      <w:r w:rsidRPr="0088577C">
        <w:rPr>
          <w:b/>
          <w:sz w:val="22"/>
          <w:szCs w:val="22"/>
          <w:lang w:val="es-MX"/>
        </w:rPr>
        <w:t>Al 30 de junio 2008 – 2017*</w:t>
      </w:r>
    </w:p>
    <w:p w:rsidR="00350285" w:rsidRPr="0088577C" w:rsidRDefault="00350285" w:rsidP="00350285">
      <w:pPr>
        <w:jc w:val="center"/>
        <w:rPr>
          <w:b/>
          <w:sz w:val="22"/>
          <w:szCs w:val="22"/>
          <w:lang w:val="es-MX"/>
        </w:rPr>
      </w:pPr>
      <w:r w:rsidRPr="0088577C">
        <w:rPr>
          <w:b/>
          <w:sz w:val="22"/>
          <w:szCs w:val="22"/>
          <w:lang w:val="es-MX"/>
        </w:rPr>
        <w:t>(Cifras en Millones de Quetzales y Porcentajes del PIB)</w:t>
      </w:r>
    </w:p>
    <w:p w:rsidR="00350285" w:rsidRDefault="00021644" w:rsidP="00350285">
      <w:pPr>
        <w:jc w:val="center"/>
        <w:rPr>
          <w:lang w:val="es-MX"/>
        </w:rPr>
      </w:pPr>
      <w:r w:rsidRPr="001829A5">
        <w:rPr>
          <w:noProof/>
          <w:lang w:val="es-GT" w:eastAsia="es-GT"/>
        </w:rPr>
        <w:drawing>
          <wp:inline distT="0" distB="0" distL="0" distR="0">
            <wp:extent cx="5627370" cy="3023870"/>
            <wp:effectExtent l="0" t="0" r="0" b="0"/>
            <wp:docPr id="6"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50285" w:rsidRPr="000C3FEC" w:rsidRDefault="00350285" w:rsidP="00350285">
      <w:pPr>
        <w:jc w:val="both"/>
        <w:rPr>
          <w:sz w:val="16"/>
          <w:lang w:val="es-MX"/>
        </w:rPr>
      </w:pPr>
      <w:r w:rsidRPr="000C3FEC">
        <w:rPr>
          <w:sz w:val="16"/>
          <w:lang w:val="es-MX"/>
        </w:rPr>
        <w:t>Fuente: Ministerio de Finanzas Públicas con base al SICOIN.</w:t>
      </w:r>
    </w:p>
    <w:p w:rsidR="00350285" w:rsidRPr="000C3FEC" w:rsidRDefault="00350285" w:rsidP="00350285">
      <w:pPr>
        <w:jc w:val="both"/>
        <w:rPr>
          <w:sz w:val="16"/>
          <w:lang w:val="es-MX"/>
        </w:rPr>
      </w:pPr>
      <w:r w:rsidRPr="000C3FEC">
        <w:rPr>
          <w:sz w:val="16"/>
          <w:lang w:val="es-MX"/>
        </w:rPr>
        <w:t>* Cifras preliminares</w:t>
      </w:r>
    </w:p>
    <w:p w:rsidR="00350285" w:rsidRDefault="00350285" w:rsidP="00350285">
      <w:pPr>
        <w:jc w:val="both"/>
        <w:rPr>
          <w:lang w:val="es-MX"/>
        </w:rPr>
      </w:pPr>
    </w:p>
    <w:p w:rsidR="00350285" w:rsidRDefault="00350285" w:rsidP="00350285">
      <w:pPr>
        <w:jc w:val="both"/>
        <w:rPr>
          <w:lang w:val="es-MX"/>
        </w:rPr>
      </w:pPr>
    </w:p>
    <w:p w:rsidR="00350285" w:rsidRDefault="00350285" w:rsidP="00350285">
      <w:pPr>
        <w:jc w:val="both"/>
        <w:rPr>
          <w:lang w:val="es-MX"/>
        </w:rPr>
      </w:pPr>
    </w:p>
    <w:p w:rsidR="00350285" w:rsidRDefault="00350285" w:rsidP="00350285">
      <w:pPr>
        <w:jc w:val="center"/>
        <w:rPr>
          <w:lang w:val="es-MX"/>
        </w:rPr>
      </w:pPr>
    </w:p>
    <w:p w:rsidR="00350285" w:rsidRDefault="00021644" w:rsidP="00021644">
      <w:pPr>
        <w:tabs>
          <w:tab w:val="left" w:pos="1100"/>
        </w:tabs>
        <w:jc w:val="both"/>
        <w:rPr>
          <w:b/>
          <w:sz w:val="22"/>
          <w:lang w:val="es-MX"/>
        </w:rPr>
      </w:pPr>
      <w:r>
        <w:rPr>
          <w:lang w:val="es-MX"/>
        </w:rPr>
        <w:tab/>
      </w:r>
    </w:p>
    <w:p w:rsidR="00350285" w:rsidRPr="0088577C" w:rsidRDefault="00350285" w:rsidP="00350285">
      <w:pPr>
        <w:jc w:val="center"/>
        <w:rPr>
          <w:b/>
          <w:sz w:val="22"/>
          <w:lang w:val="es-MX"/>
        </w:rPr>
      </w:pPr>
      <w:r w:rsidRPr="0088577C">
        <w:rPr>
          <w:b/>
          <w:sz w:val="22"/>
          <w:lang w:val="es-MX"/>
        </w:rPr>
        <w:t xml:space="preserve">Cuadro </w:t>
      </w:r>
      <w:r w:rsidR="00416E34" w:rsidRPr="0088577C">
        <w:rPr>
          <w:b/>
          <w:sz w:val="22"/>
          <w:lang w:val="es-MX"/>
        </w:rPr>
        <w:t>1</w:t>
      </w:r>
      <w:r w:rsidR="00910F6F">
        <w:rPr>
          <w:b/>
          <w:sz w:val="22"/>
          <w:lang w:val="es-MX"/>
        </w:rPr>
        <w:t>1</w:t>
      </w:r>
    </w:p>
    <w:p w:rsidR="00350285" w:rsidRPr="0088577C" w:rsidRDefault="00350285" w:rsidP="00350285">
      <w:pPr>
        <w:jc w:val="center"/>
        <w:rPr>
          <w:b/>
          <w:sz w:val="22"/>
          <w:lang w:val="es-MX"/>
        </w:rPr>
      </w:pPr>
      <w:r w:rsidRPr="0088577C">
        <w:rPr>
          <w:b/>
          <w:sz w:val="22"/>
          <w:lang w:val="es-MX"/>
        </w:rPr>
        <w:t>Situación Financiera de la Administración Central</w:t>
      </w:r>
    </w:p>
    <w:p w:rsidR="00350285" w:rsidRPr="0088577C" w:rsidRDefault="00350285" w:rsidP="00350285">
      <w:pPr>
        <w:jc w:val="center"/>
        <w:rPr>
          <w:b/>
          <w:sz w:val="22"/>
          <w:lang w:val="es-MX"/>
        </w:rPr>
      </w:pPr>
      <w:r w:rsidRPr="0088577C">
        <w:rPr>
          <w:b/>
          <w:sz w:val="22"/>
          <w:lang w:val="es-MX"/>
        </w:rPr>
        <w:t>Al 30 de junio de cada año</w:t>
      </w:r>
    </w:p>
    <w:p w:rsidR="00350285" w:rsidRPr="0088577C" w:rsidRDefault="00350285" w:rsidP="00350285">
      <w:pPr>
        <w:jc w:val="center"/>
        <w:rPr>
          <w:b/>
          <w:sz w:val="22"/>
          <w:lang w:val="es-MX"/>
        </w:rPr>
      </w:pPr>
      <w:r w:rsidRPr="0088577C">
        <w:rPr>
          <w:b/>
          <w:sz w:val="22"/>
          <w:lang w:val="es-MX"/>
        </w:rPr>
        <w:t>(Cifras en Millones de Quetzales)</w:t>
      </w:r>
    </w:p>
    <w:tbl>
      <w:tblPr>
        <w:tblW w:w="8763" w:type="dxa"/>
        <w:tblInd w:w="55" w:type="dxa"/>
        <w:tblCellMar>
          <w:left w:w="70" w:type="dxa"/>
          <w:right w:w="70" w:type="dxa"/>
        </w:tblCellMar>
        <w:tblLook w:val="04A0" w:firstRow="1" w:lastRow="0" w:firstColumn="1" w:lastColumn="0" w:noHBand="0" w:noVBand="1"/>
      </w:tblPr>
      <w:tblGrid>
        <w:gridCol w:w="3683"/>
        <w:gridCol w:w="1222"/>
        <w:gridCol w:w="1222"/>
        <w:gridCol w:w="1362"/>
        <w:gridCol w:w="1274"/>
      </w:tblGrid>
      <w:tr w:rsidR="00350285" w:rsidRPr="00FF386A" w:rsidTr="0083018E">
        <w:trPr>
          <w:trHeight w:val="302"/>
        </w:trPr>
        <w:tc>
          <w:tcPr>
            <w:tcW w:w="3683" w:type="dxa"/>
            <w:vMerge w:val="restart"/>
            <w:tcBorders>
              <w:top w:val="single" w:sz="8" w:space="0" w:color="auto"/>
              <w:left w:val="single" w:sz="8" w:space="0" w:color="auto"/>
              <w:bottom w:val="single" w:sz="4" w:space="0" w:color="000000"/>
              <w:right w:val="nil"/>
            </w:tcBorders>
            <w:shd w:val="clear" w:color="000000" w:fill="8DB4E2"/>
            <w:vAlign w:val="center"/>
            <w:hideMark/>
          </w:tcPr>
          <w:p w:rsidR="00350285" w:rsidRPr="00FF386A" w:rsidRDefault="00350285" w:rsidP="0083018E">
            <w:pPr>
              <w:jc w:val="center"/>
              <w:rPr>
                <w:b/>
                <w:bCs/>
                <w:color w:val="000000"/>
                <w:sz w:val="22"/>
                <w:szCs w:val="22"/>
                <w:lang w:val="es-GT" w:eastAsia="es-GT"/>
              </w:rPr>
            </w:pPr>
            <w:r w:rsidRPr="00FF386A">
              <w:rPr>
                <w:b/>
                <w:bCs/>
                <w:color w:val="000000"/>
                <w:sz w:val="22"/>
                <w:szCs w:val="22"/>
                <w:lang w:val="es-GT" w:eastAsia="es-GT"/>
              </w:rPr>
              <w:t>Concepto</w:t>
            </w:r>
          </w:p>
        </w:tc>
        <w:tc>
          <w:tcPr>
            <w:tcW w:w="1222" w:type="dxa"/>
            <w:vMerge w:val="restart"/>
            <w:tcBorders>
              <w:top w:val="single" w:sz="8" w:space="0" w:color="auto"/>
              <w:left w:val="single" w:sz="4" w:space="0" w:color="auto"/>
              <w:bottom w:val="single" w:sz="4" w:space="0" w:color="000000"/>
              <w:right w:val="single" w:sz="4" w:space="0" w:color="auto"/>
            </w:tcBorders>
            <w:shd w:val="clear" w:color="000000" w:fill="8DB4E2"/>
            <w:vAlign w:val="center"/>
            <w:hideMark/>
          </w:tcPr>
          <w:p w:rsidR="00350285" w:rsidRPr="00FF386A" w:rsidRDefault="00350285" w:rsidP="0083018E">
            <w:pPr>
              <w:jc w:val="center"/>
              <w:rPr>
                <w:b/>
                <w:bCs/>
                <w:color w:val="000000"/>
                <w:sz w:val="22"/>
                <w:szCs w:val="22"/>
                <w:lang w:val="es-GT" w:eastAsia="es-GT"/>
              </w:rPr>
            </w:pPr>
            <w:r w:rsidRPr="00FF386A">
              <w:rPr>
                <w:b/>
                <w:bCs/>
                <w:color w:val="000000"/>
                <w:sz w:val="22"/>
                <w:szCs w:val="22"/>
                <w:lang w:val="es-GT" w:eastAsia="es-GT"/>
              </w:rPr>
              <w:t>2016</w:t>
            </w:r>
          </w:p>
        </w:tc>
        <w:tc>
          <w:tcPr>
            <w:tcW w:w="1222" w:type="dxa"/>
            <w:vMerge w:val="restart"/>
            <w:tcBorders>
              <w:top w:val="single" w:sz="8" w:space="0" w:color="auto"/>
              <w:left w:val="single" w:sz="4" w:space="0" w:color="auto"/>
              <w:bottom w:val="single" w:sz="4" w:space="0" w:color="000000"/>
              <w:right w:val="single" w:sz="4" w:space="0" w:color="auto"/>
            </w:tcBorders>
            <w:shd w:val="clear" w:color="000000" w:fill="8DB4E2"/>
            <w:vAlign w:val="center"/>
            <w:hideMark/>
          </w:tcPr>
          <w:p w:rsidR="00350285" w:rsidRPr="00FF386A" w:rsidRDefault="00350285" w:rsidP="0083018E">
            <w:pPr>
              <w:jc w:val="center"/>
              <w:rPr>
                <w:b/>
                <w:bCs/>
                <w:color w:val="000000"/>
                <w:sz w:val="22"/>
                <w:szCs w:val="22"/>
                <w:lang w:val="es-GT" w:eastAsia="es-GT"/>
              </w:rPr>
            </w:pPr>
            <w:r w:rsidRPr="00FF386A">
              <w:rPr>
                <w:b/>
                <w:bCs/>
                <w:color w:val="000000"/>
                <w:sz w:val="22"/>
                <w:szCs w:val="22"/>
                <w:lang w:val="es-GT" w:eastAsia="es-GT"/>
              </w:rPr>
              <w:t>2017</w:t>
            </w:r>
          </w:p>
        </w:tc>
        <w:tc>
          <w:tcPr>
            <w:tcW w:w="2636" w:type="dxa"/>
            <w:gridSpan w:val="2"/>
            <w:tcBorders>
              <w:top w:val="single" w:sz="8" w:space="0" w:color="auto"/>
              <w:left w:val="nil"/>
              <w:bottom w:val="single" w:sz="4" w:space="0" w:color="auto"/>
              <w:right w:val="single" w:sz="8" w:space="0" w:color="000000"/>
            </w:tcBorders>
            <w:shd w:val="clear" w:color="000000" w:fill="8DB4E2"/>
            <w:noWrap/>
            <w:vAlign w:val="bottom"/>
            <w:hideMark/>
          </w:tcPr>
          <w:p w:rsidR="00350285" w:rsidRPr="00FF386A" w:rsidRDefault="00350285" w:rsidP="00907A87">
            <w:pPr>
              <w:jc w:val="center"/>
              <w:rPr>
                <w:b/>
                <w:bCs/>
                <w:color w:val="000000"/>
                <w:sz w:val="22"/>
                <w:szCs w:val="22"/>
                <w:lang w:val="es-GT" w:eastAsia="es-GT"/>
              </w:rPr>
            </w:pPr>
            <w:r w:rsidRPr="00FF386A">
              <w:rPr>
                <w:b/>
                <w:bCs/>
                <w:color w:val="000000"/>
                <w:sz w:val="22"/>
                <w:szCs w:val="22"/>
                <w:lang w:val="es-GT" w:eastAsia="es-GT"/>
              </w:rPr>
              <w:t>Diferencias</w:t>
            </w:r>
          </w:p>
        </w:tc>
      </w:tr>
      <w:tr w:rsidR="00350285" w:rsidRPr="00FF386A" w:rsidTr="0083018E">
        <w:trPr>
          <w:trHeight w:val="302"/>
        </w:trPr>
        <w:tc>
          <w:tcPr>
            <w:tcW w:w="3683" w:type="dxa"/>
            <w:vMerge/>
            <w:tcBorders>
              <w:top w:val="single" w:sz="8" w:space="0" w:color="auto"/>
              <w:left w:val="single" w:sz="8" w:space="0" w:color="auto"/>
              <w:bottom w:val="single" w:sz="4" w:space="0" w:color="000000"/>
              <w:right w:val="nil"/>
            </w:tcBorders>
            <w:vAlign w:val="center"/>
            <w:hideMark/>
          </w:tcPr>
          <w:p w:rsidR="00350285" w:rsidRPr="00FF386A" w:rsidRDefault="00350285" w:rsidP="0083018E">
            <w:pPr>
              <w:rPr>
                <w:b/>
                <w:bCs/>
                <w:color w:val="000000"/>
                <w:sz w:val="22"/>
                <w:szCs w:val="22"/>
                <w:lang w:val="es-GT" w:eastAsia="es-GT"/>
              </w:rPr>
            </w:pPr>
          </w:p>
        </w:tc>
        <w:tc>
          <w:tcPr>
            <w:tcW w:w="1222" w:type="dxa"/>
            <w:vMerge/>
            <w:tcBorders>
              <w:top w:val="single" w:sz="8" w:space="0" w:color="auto"/>
              <w:left w:val="single" w:sz="4" w:space="0" w:color="auto"/>
              <w:bottom w:val="single" w:sz="4" w:space="0" w:color="000000"/>
              <w:right w:val="single" w:sz="4" w:space="0" w:color="auto"/>
            </w:tcBorders>
            <w:vAlign w:val="center"/>
            <w:hideMark/>
          </w:tcPr>
          <w:p w:rsidR="00350285" w:rsidRPr="00FF386A" w:rsidRDefault="00350285" w:rsidP="0083018E">
            <w:pPr>
              <w:rPr>
                <w:b/>
                <w:bCs/>
                <w:color w:val="000000"/>
                <w:sz w:val="22"/>
                <w:szCs w:val="22"/>
                <w:lang w:val="es-GT" w:eastAsia="es-GT"/>
              </w:rPr>
            </w:pPr>
          </w:p>
        </w:tc>
        <w:tc>
          <w:tcPr>
            <w:tcW w:w="1222" w:type="dxa"/>
            <w:vMerge/>
            <w:tcBorders>
              <w:top w:val="single" w:sz="8" w:space="0" w:color="auto"/>
              <w:left w:val="single" w:sz="4" w:space="0" w:color="auto"/>
              <w:bottom w:val="single" w:sz="4" w:space="0" w:color="000000"/>
              <w:right w:val="single" w:sz="4" w:space="0" w:color="auto"/>
            </w:tcBorders>
            <w:vAlign w:val="center"/>
            <w:hideMark/>
          </w:tcPr>
          <w:p w:rsidR="00350285" w:rsidRPr="00FF386A" w:rsidRDefault="00350285" w:rsidP="0083018E">
            <w:pPr>
              <w:rPr>
                <w:b/>
                <w:bCs/>
                <w:color w:val="000000"/>
                <w:sz w:val="22"/>
                <w:szCs w:val="22"/>
                <w:lang w:val="es-GT" w:eastAsia="es-GT"/>
              </w:rPr>
            </w:pPr>
          </w:p>
        </w:tc>
        <w:tc>
          <w:tcPr>
            <w:tcW w:w="1362" w:type="dxa"/>
            <w:tcBorders>
              <w:top w:val="single" w:sz="4" w:space="0" w:color="auto"/>
              <w:left w:val="nil"/>
              <w:bottom w:val="single" w:sz="4" w:space="0" w:color="auto"/>
              <w:right w:val="single" w:sz="4" w:space="0" w:color="auto"/>
            </w:tcBorders>
            <w:shd w:val="clear" w:color="000000" w:fill="8DB4E2"/>
            <w:noWrap/>
            <w:vAlign w:val="bottom"/>
            <w:hideMark/>
          </w:tcPr>
          <w:p w:rsidR="00350285" w:rsidRPr="00FF386A" w:rsidRDefault="00350285" w:rsidP="0083018E">
            <w:pPr>
              <w:jc w:val="center"/>
              <w:rPr>
                <w:b/>
                <w:bCs/>
                <w:color w:val="000000"/>
                <w:sz w:val="22"/>
                <w:szCs w:val="22"/>
                <w:lang w:val="es-GT" w:eastAsia="es-GT"/>
              </w:rPr>
            </w:pPr>
            <w:r w:rsidRPr="00FF386A">
              <w:rPr>
                <w:b/>
                <w:bCs/>
                <w:color w:val="000000"/>
                <w:sz w:val="22"/>
                <w:szCs w:val="22"/>
                <w:lang w:val="es-GT" w:eastAsia="es-GT"/>
              </w:rPr>
              <w:t>Absolutas</w:t>
            </w:r>
          </w:p>
        </w:tc>
        <w:tc>
          <w:tcPr>
            <w:tcW w:w="1274" w:type="dxa"/>
            <w:tcBorders>
              <w:top w:val="single" w:sz="4" w:space="0" w:color="auto"/>
              <w:left w:val="nil"/>
              <w:bottom w:val="single" w:sz="4" w:space="0" w:color="auto"/>
              <w:right w:val="single" w:sz="8" w:space="0" w:color="auto"/>
            </w:tcBorders>
            <w:shd w:val="clear" w:color="000000" w:fill="8DB4E2"/>
            <w:noWrap/>
            <w:vAlign w:val="bottom"/>
            <w:hideMark/>
          </w:tcPr>
          <w:p w:rsidR="00350285" w:rsidRPr="00FF386A" w:rsidRDefault="00350285" w:rsidP="0083018E">
            <w:pPr>
              <w:jc w:val="center"/>
              <w:rPr>
                <w:b/>
                <w:bCs/>
                <w:color w:val="000000"/>
                <w:sz w:val="22"/>
                <w:szCs w:val="22"/>
                <w:lang w:val="es-GT" w:eastAsia="es-GT"/>
              </w:rPr>
            </w:pPr>
            <w:r w:rsidRPr="00FF386A">
              <w:rPr>
                <w:b/>
                <w:bCs/>
                <w:color w:val="000000"/>
                <w:sz w:val="22"/>
                <w:szCs w:val="22"/>
                <w:lang w:val="es-GT" w:eastAsia="es-GT"/>
              </w:rPr>
              <w:t>Relativas</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rPr>
                <w:rFonts w:ascii="CG Times" w:hAnsi="CG Times"/>
                <w:b/>
                <w:bCs/>
                <w:sz w:val="20"/>
                <w:szCs w:val="20"/>
                <w:lang w:val="es-GT" w:eastAsia="es-GT"/>
              </w:rPr>
            </w:pPr>
            <w:r w:rsidRPr="00FF386A">
              <w:rPr>
                <w:rFonts w:ascii="CG Times" w:hAnsi="CG Times"/>
                <w:b/>
                <w:bCs/>
                <w:sz w:val="20"/>
                <w:szCs w:val="20"/>
                <w:lang w:val="es-GT" w:eastAsia="es-GT"/>
              </w:rPr>
              <w:t>Ingresos Totales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27,854.2</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29,675.0</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1,820.8</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6.5%</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100" w:firstLine="200"/>
              <w:rPr>
                <w:rFonts w:ascii="CG Times" w:hAnsi="CG Times"/>
                <w:sz w:val="20"/>
                <w:szCs w:val="20"/>
                <w:lang w:val="es-GT" w:eastAsia="es-GT"/>
              </w:rPr>
            </w:pPr>
            <w:r w:rsidRPr="00FF386A">
              <w:rPr>
                <w:rFonts w:ascii="CG Times" w:hAnsi="CG Times"/>
                <w:sz w:val="20"/>
                <w:szCs w:val="20"/>
                <w:lang w:val="es-GT" w:eastAsia="es-GT"/>
              </w:rPr>
              <w:t>Ingresos Corrientes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27,851.9</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29,673.3</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1,821.4</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6.5%</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300" w:firstLine="600"/>
              <w:rPr>
                <w:rFonts w:ascii="CG Times" w:hAnsi="CG Times"/>
                <w:sz w:val="20"/>
                <w:szCs w:val="20"/>
                <w:lang w:val="es-GT" w:eastAsia="es-GT"/>
              </w:rPr>
            </w:pPr>
            <w:r w:rsidRPr="00FF386A">
              <w:rPr>
                <w:rFonts w:ascii="CG Times" w:hAnsi="CG Times"/>
                <w:sz w:val="20"/>
                <w:szCs w:val="20"/>
                <w:lang w:val="es-GT" w:eastAsia="es-GT"/>
              </w:rPr>
              <w:t>Ingresos Tributarios</w:t>
            </w:r>
          </w:p>
        </w:tc>
        <w:tc>
          <w:tcPr>
            <w:tcW w:w="1222" w:type="dxa"/>
            <w:tcBorders>
              <w:top w:val="nil"/>
              <w:left w:val="single" w:sz="4" w:space="0" w:color="auto"/>
              <w:bottom w:val="nil"/>
              <w:right w:val="single" w:sz="4" w:space="0" w:color="auto"/>
            </w:tcBorders>
            <w:shd w:val="clear" w:color="auto" w:fill="auto"/>
            <w:noWrap/>
            <w:vAlign w:val="bottom"/>
            <w:hideMark/>
          </w:tcPr>
          <w:p w:rsidR="00350285" w:rsidRPr="00FF386A" w:rsidRDefault="00350285" w:rsidP="0083018E">
            <w:pPr>
              <w:jc w:val="right"/>
              <w:rPr>
                <w:rFonts w:ascii="Calibri" w:hAnsi="Calibri"/>
                <w:color w:val="000000"/>
                <w:sz w:val="22"/>
                <w:szCs w:val="22"/>
                <w:lang w:val="es-GT" w:eastAsia="es-GT"/>
              </w:rPr>
            </w:pPr>
            <w:r w:rsidRPr="00FF386A">
              <w:rPr>
                <w:rFonts w:ascii="Calibri" w:hAnsi="Calibri"/>
                <w:color w:val="000000"/>
                <w:sz w:val="22"/>
                <w:szCs w:val="22"/>
                <w:lang w:val="es-GT" w:eastAsia="es-GT"/>
              </w:rPr>
              <w:t>26,112.5</w:t>
            </w:r>
          </w:p>
        </w:tc>
        <w:tc>
          <w:tcPr>
            <w:tcW w:w="1222" w:type="dxa"/>
            <w:tcBorders>
              <w:top w:val="nil"/>
              <w:left w:val="nil"/>
              <w:bottom w:val="nil"/>
              <w:right w:val="single" w:sz="4" w:space="0" w:color="auto"/>
            </w:tcBorders>
            <w:shd w:val="clear" w:color="auto" w:fill="auto"/>
            <w:noWrap/>
            <w:vAlign w:val="bottom"/>
            <w:hideMark/>
          </w:tcPr>
          <w:p w:rsidR="00350285" w:rsidRPr="00FF386A" w:rsidRDefault="00350285" w:rsidP="0083018E">
            <w:pPr>
              <w:jc w:val="right"/>
              <w:rPr>
                <w:rFonts w:ascii="Calibri" w:hAnsi="Calibri"/>
                <w:color w:val="000000"/>
                <w:sz w:val="22"/>
                <w:szCs w:val="22"/>
                <w:lang w:val="es-GT" w:eastAsia="es-GT"/>
              </w:rPr>
            </w:pPr>
            <w:r w:rsidRPr="00FF386A">
              <w:rPr>
                <w:rFonts w:ascii="Calibri" w:hAnsi="Calibri"/>
                <w:color w:val="000000"/>
                <w:sz w:val="22"/>
                <w:szCs w:val="22"/>
                <w:lang w:val="es-GT" w:eastAsia="es-GT"/>
              </w:rPr>
              <w:t>28,099.1</w:t>
            </w:r>
          </w:p>
        </w:tc>
        <w:tc>
          <w:tcPr>
            <w:tcW w:w="1362" w:type="dxa"/>
            <w:tcBorders>
              <w:top w:val="nil"/>
              <w:left w:val="nil"/>
              <w:bottom w:val="nil"/>
              <w:right w:val="single" w:sz="4" w:space="0" w:color="auto"/>
            </w:tcBorders>
            <w:shd w:val="clear" w:color="auto" w:fill="auto"/>
            <w:noWrap/>
            <w:vAlign w:val="bottom"/>
            <w:hideMark/>
          </w:tcPr>
          <w:p w:rsidR="00350285" w:rsidRPr="00FF386A" w:rsidRDefault="00350285" w:rsidP="0083018E">
            <w:pPr>
              <w:jc w:val="right"/>
              <w:rPr>
                <w:rFonts w:ascii="Calibri" w:hAnsi="Calibri"/>
                <w:color w:val="000000"/>
                <w:sz w:val="22"/>
                <w:szCs w:val="22"/>
                <w:lang w:val="es-GT" w:eastAsia="es-GT"/>
              </w:rPr>
            </w:pPr>
            <w:r w:rsidRPr="00FF386A">
              <w:rPr>
                <w:rFonts w:ascii="Calibri" w:hAnsi="Calibri"/>
                <w:color w:val="000000"/>
                <w:sz w:val="22"/>
                <w:szCs w:val="22"/>
                <w:lang w:val="es-GT" w:eastAsia="es-GT"/>
              </w:rPr>
              <w:t>1,986.6</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7.6%</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500" w:firstLine="1000"/>
              <w:rPr>
                <w:rFonts w:ascii="CG Times" w:hAnsi="CG Times"/>
                <w:sz w:val="20"/>
                <w:szCs w:val="20"/>
                <w:lang w:val="es-GT" w:eastAsia="es-GT"/>
              </w:rPr>
            </w:pPr>
            <w:r w:rsidRPr="00FF386A">
              <w:rPr>
                <w:rFonts w:ascii="CG Times" w:hAnsi="CG Times"/>
                <w:sz w:val="20"/>
                <w:szCs w:val="20"/>
                <w:lang w:val="es-GT" w:eastAsia="es-GT"/>
              </w:rPr>
              <w:t>Impuestos Directos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9,775.4</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10,661.1</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885.8</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9.1%</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500" w:firstLine="1000"/>
              <w:rPr>
                <w:rFonts w:ascii="CG Times" w:hAnsi="CG Times"/>
                <w:sz w:val="20"/>
                <w:szCs w:val="20"/>
                <w:lang w:val="es-GT" w:eastAsia="es-GT"/>
              </w:rPr>
            </w:pPr>
            <w:r w:rsidRPr="00FF386A">
              <w:rPr>
                <w:rFonts w:ascii="CG Times" w:hAnsi="CG Times"/>
                <w:sz w:val="20"/>
                <w:szCs w:val="20"/>
                <w:lang w:val="es-GT" w:eastAsia="es-GT"/>
              </w:rPr>
              <w:t>Impuestos Indirectos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16,337.1</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17,438.0</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1,100.9</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6.7%</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300" w:firstLine="600"/>
              <w:rPr>
                <w:rFonts w:ascii="CG Times" w:hAnsi="CG Times"/>
                <w:sz w:val="20"/>
                <w:szCs w:val="20"/>
                <w:lang w:val="es-GT" w:eastAsia="es-GT"/>
              </w:rPr>
            </w:pPr>
            <w:r w:rsidRPr="00FF386A">
              <w:rPr>
                <w:rFonts w:ascii="CG Times" w:hAnsi="CG Times"/>
                <w:sz w:val="20"/>
                <w:szCs w:val="20"/>
                <w:lang w:val="es-GT" w:eastAsia="es-GT"/>
              </w:rPr>
              <w:t>No Tributarios y Transferencias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1,739.4</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1,574.1</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-165.2</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-9.5%</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100" w:firstLine="200"/>
              <w:rPr>
                <w:rFonts w:ascii="CG Times" w:hAnsi="CG Times"/>
                <w:sz w:val="20"/>
                <w:szCs w:val="20"/>
                <w:lang w:val="es-GT" w:eastAsia="es-GT"/>
              </w:rPr>
            </w:pPr>
            <w:r w:rsidRPr="00FF386A">
              <w:rPr>
                <w:rFonts w:ascii="CG Times" w:hAnsi="CG Times"/>
                <w:sz w:val="20"/>
                <w:szCs w:val="20"/>
                <w:lang w:val="es-GT" w:eastAsia="es-GT"/>
              </w:rPr>
              <w:t>Ingresos de Capital</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2.4</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1.7</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-0.6</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-26.0%</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rPr>
                <w:rFonts w:ascii="CG Times" w:hAnsi="CG Times"/>
                <w:b/>
                <w:bCs/>
                <w:sz w:val="20"/>
                <w:szCs w:val="20"/>
                <w:lang w:val="es-GT" w:eastAsia="es-GT"/>
              </w:rPr>
            </w:pPr>
            <w:r w:rsidRPr="00FF386A">
              <w:rPr>
                <w:rFonts w:ascii="CG Times" w:hAnsi="CG Times"/>
                <w:b/>
                <w:bCs/>
                <w:sz w:val="20"/>
                <w:szCs w:val="20"/>
                <w:lang w:val="es-GT" w:eastAsia="es-GT"/>
              </w:rPr>
              <w:t>Gastos Totales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27,339.1</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29,220.7</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1,881.7</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6.9%</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100" w:firstLine="200"/>
              <w:rPr>
                <w:rFonts w:ascii="CG Times" w:hAnsi="CG Times"/>
                <w:sz w:val="20"/>
                <w:szCs w:val="20"/>
                <w:lang w:val="es-GT" w:eastAsia="es-GT"/>
              </w:rPr>
            </w:pPr>
            <w:r w:rsidRPr="00FF386A">
              <w:rPr>
                <w:rFonts w:ascii="CG Times" w:hAnsi="CG Times"/>
                <w:sz w:val="20"/>
                <w:szCs w:val="20"/>
                <w:lang w:val="es-GT" w:eastAsia="es-GT"/>
              </w:rPr>
              <w:t>Gastos Corrientes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23,302.0</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24,762.9</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1,461.0</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6.3%</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300" w:firstLine="600"/>
              <w:rPr>
                <w:rFonts w:ascii="CG Times" w:hAnsi="CG Times"/>
                <w:sz w:val="20"/>
                <w:szCs w:val="20"/>
                <w:lang w:val="es-GT" w:eastAsia="es-GT"/>
              </w:rPr>
            </w:pPr>
            <w:r w:rsidRPr="00FF386A">
              <w:rPr>
                <w:rFonts w:ascii="CG Times" w:hAnsi="CG Times"/>
                <w:sz w:val="20"/>
                <w:szCs w:val="20"/>
                <w:lang w:val="es-GT" w:eastAsia="es-GT"/>
              </w:rPr>
              <w:t>Intereses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3,781.7</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3,889.0</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107.3</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2.8%</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100" w:firstLine="200"/>
              <w:rPr>
                <w:rFonts w:ascii="CG Times" w:hAnsi="CG Times"/>
                <w:sz w:val="20"/>
                <w:szCs w:val="20"/>
                <w:lang w:val="es-GT" w:eastAsia="es-GT"/>
              </w:rPr>
            </w:pPr>
            <w:r w:rsidRPr="00FF386A">
              <w:rPr>
                <w:rFonts w:ascii="CG Times" w:hAnsi="CG Times"/>
                <w:sz w:val="20"/>
                <w:szCs w:val="20"/>
                <w:lang w:val="es-GT" w:eastAsia="es-GT"/>
              </w:rPr>
              <w:t>Gastos de Capital</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4,037.1</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4,457.8</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420.7</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10.4%</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rPr>
                <w:rFonts w:ascii="CG Times" w:hAnsi="CG Times"/>
                <w:b/>
                <w:bCs/>
                <w:sz w:val="20"/>
                <w:szCs w:val="20"/>
                <w:lang w:val="es-GT" w:eastAsia="es-GT"/>
              </w:rPr>
            </w:pPr>
            <w:r w:rsidRPr="00FF386A">
              <w:rPr>
                <w:rFonts w:ascii="CG Times" w:hAnsi="CG Times"/>
                <w:b/>
                <w:bCs/>
                <w:sz w:val="20"/>
                <w:szCs w:val="20"/>
                <w:lang w:val="es-GT" w:eastAsia="es-GT"/>
              </w:rPr>
              <w:t>Resultado en Cuenta Corriente</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4,549.9</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4,910.3</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360.4</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7.9%</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rPr>
                <w:rFonts w:ascii="CG Times" w:hAnsi="CG Times"/>
                <w:b/>
                <w:bCs/>
                <w:sz w:val="20"/>
                <w:szCs w:val="20"/>
                <w:lang w:val="es-GT" w:eastAsia="es-GT"/>
              </w:rPr>
            </w:pPr>
            <w:r w:rsidRPr="00FF386A">
              <w:rPr>
                <w:rFonts w:ascii="CG Times" w:hAnsi="CG Times"/>
                <w:b/>
                <w:bCs/>
                <w:sz w:val="20"/>
                <w:szCs w:val="20"/>
                <w:lang w:val="es-GT" w:eastAsia="es-GT"/>
              </w:rPr>
              <w:t>Resultado Primario</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4,296.9</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4,343.3</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46.4</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1.1%</w:t>
            </w:r>
          </w:p>
        </w:tc>
      </w:tr>
      <w:tr w:rsidR="00350285" w:rsidRPr="00FF386A" w:rsidTr="0083018E">
        <w:trPr>
          <w:trHeight w:val="317"/>
        </w:trPr>
        <w:tc>
          <w:tcPr>
            <w:tcW w:w="3683" w:type="dxa"/>
            <w:tcBorders>
              <w:top w:val="nil"/>
              <w:left w:val="single" w:sz="8" w:space="0" w:color="auto"/>
              <w:bottom w:val="single" w:sz="8" w:space="0" w:color="auto"/>
              <w:right w:val="nil"/>
            </w:tcBorders>
            <w:shd w:val="clear" w:color="000000" w:fill="FFFFFF"/>
            <w:noWrap/>
            <w:vAlign w:val="bottom"/>
            <w:hideMark/>
          </w:tcPr>
          <w:p w:rsidR="00350285" w:rsidRPr="00FF386A" w:rsidRDefault="00350285" w:rsidP="0083018E">
            <w:pPr>
              <w:rPr>
                <w:rFonts w:ascii="CG Times" w:hAnsi="CG Times"/>
                <w:b/>
                <w:bCs/>
                <w:sz w:val="20"/>
                <w:szCs w:val="20"/>
                <w:lang w:val="es-GT" w:eastAsia="es-GT"/>
              </w:rPr>
            </w:pPr>
            <w:r w:rsidRPr="00FF386A">
              <w:rPr>
                <w:rFonts w:ascii="CG Times" w:hAnsi="CG Times"/>
                <w:b/>
                <w:bCs/>
                <w:sz w:val="20"/>
                <w:szCs w:val="20"/>
                <w:lang w:val="es-GT" w:eastAsia="es-GT"/>
              </w:rPr>
              <w:t>Resultado Presupuestario</w:t>
            </w:r>
          </w:p>
        </w:tc>
        <w:tc>
          <w:tcPr>
            <w:tcW w:w="1222" w:type="dxa"/>
            <w:tcBorders>
              <w:top w:val="nil"/>
              <w:left w:val="single" w:sz="4" w:space="0" w:color="auto"/>
              <w:bottom w:val="single" w:sz="8" w:space="0" w:color="auto"/>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515.2</w:t>
            </w:r>
          </w:p>
        </w:tc>
        <w:tc>
          <w:tcPr>
            <w:tcW w:w="1222" w:type="dxa"/>
            <w:tcBorders>
              <w:top w:val="nil"/>
              <w:left w:val="nil"/>
              <w:bottom w:val="single" w:sz="8" w:space="0" w:color="auto"/>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454.3</w:t>
            </w:r>
          </w:p>
        </w:tc>
        <w:tc>
          <w:tcPr>
            <w:tcW w:w="1362" w:type="dxa"/>
            <w:tcBorders>
              <w:top w:val="nil"/>
              <w:left w:val="nil"/>
              <w:bottom w:val="single" w:sz="8" w:space="0" w:color="auto"/>
              <w:right w:val="single" w:sz="4"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-60.9</w:t>
            </w:r>
          </w:p>
        </w:tc>
        <w:tc>
          <w:tcPr>
            <w:tcW w:w="1274" w:type="dxa"/>
            <w:tcBorders>
              <w:top w:val="nil"/>
              <w:left w:val="nil"/>
              <w:bottom w:val="single" w:sz="8" w:space="0" w:color="auto"/>
              <w:right w:val="single" w:sz="8" w:space="0" w:color="auto"/>
            </w:tcBorders>
            <w:shd w:val="clear" w:color="000000" w:fill="FFFFFF"/>
            <w:noWrap/>
            <w:vAlign w:val="bottom"/>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-11.8%</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rPr>
                <w:rFonts w:ascii="CG Times" w:hAnsi="CG Times"/>
                <w:sz w:val="20"/>
                <w:szCs w:val="20"/>
                <w:lang w:val="es-GT" w:eastAsia="es-GT"/>
              </w:rPr>
            </w:pPr>
            <w:r w:rsidRPr="00FF386A">
              <w:rPr>
                <w:rFonts w:ascii="CG Times" w:hAnsi="CG Times"/>
                <w:sz w:val="20"/>
                <w:szCs w:val="20"/>
                <w:lang w:val="es-GT" w:eastAsia="es-GT"/>
              </w:rPr>
              <w:t>Financiamiento Total</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-515.2</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-454.3</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60.9</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-11.8%</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200" w:firstLine="400"/>
              <w:rPr>
                <w:rFonts w:ascii="CG Times" w:hAnsi="CG Times"/>
                <w:sz w:val="20"/>
                <w:szCs w:val="20"/>
                <w:lang w:val="es-GT" w:eastAsia="es-GT"/>
              </w:rPr>
            </w:pPr>
            <w:r w:rsidRPr="00FF386A">
              <w:rPr>
                <w:rFonts w:ascii="CG Times" w:hAnsi="CG Times"/>
                <w:sz w:val="20"/>
                <w:szCs w:val="20"/>
                <w:lang w:val="es-GT" w:eastAsia="es-GT"/>
              </w:rPr>
              <w:t>Financiamiento Externo Neto</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4,293.0</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2,350.8</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-1,942.2</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-45.2%</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300" w:firstLine="600"/>
              <w:rPr>
                <w:rFonts w:ascii="CG Times" w:hAnsi="CG Times"/>
                <w:sz w:val="20"/>
                <w:szCs w:val="20"/>
                <w:lang w:val="es-GT" w:eastAsia="es-GT"/>
              </w:rPr>
            </w:pPr>
            <w:r w:rsidRPr="00FF386A">
              <w:rPr>
                <w:rFonts w:ascii="CG Times" w:hAnsi="CG Times"/>
                <w:sz w:val="20"/>
                <w:szCs w:val="20"/>
                <w:lang w:val="es-GT" w:eastAsia="es-GT"/>
              </w:rPr>
              <w:t>Préstamos</w:t>
            </w:r>
          </w:p>
        </w:tc>
        <w:tc>
          <w:tcPr>
            <w:tcW w:w="1222" w:type="dxa"/>
            <w:tcBorders>
              <w:top w:val="nil"/>
              <w:left w:val="single" w:sz="4" w:space="0" w:color="auto"/>
              <w:bottom w:val="nil"/>
              <w:right w:val="single" w:sz="4" w:space="0" w:color="auto"/>
            </w:tcBorders>
            <w:shd w:val="clear" w:color="auto" w:fill="auto"/>
            <w:noWrap/>
            <w:vAlign w:val="bottom"/>
            <w:hideMark/>
          </w:tcPr>
          <w:p w:rsidR="00350285" w:rsidRPr="00FF386A" w:rsidRDefault="00350285" w:rsidP="0083018E">
            <w:pPr>
              <w:jc w:val="right"/>
              <w:rPr>
                <w:rFonts w:ascii="Calibri" w:hAnsi="Calibri"/>
                <w:color w:val="000000"/>
                <w:sz w:val="22"/>
                <w:szCs w:val="22"/>
                <w:lang w:val="es-GT" w:eastAsia="es-GT"/>
              </w:rPr>
            </w:pPr>
            <w:r w:rsidRPr="00FF386A">
              <w:rPr>
                <w:rFonts w:ascii="Calibri" w:hAnsi="Calibri"/>
                <w:color w:val="000000"/>
                <w:sz w:val="22"/>
                <w:szCs w:val="22"/>
                <w:lang w:val="es-GT" w:eastAsia="es-GT"/>
              </w:rPr>
              <w:t>-1,114.9</w:t>
            </w:r>
          </w:p>
        </w:tc>
        <w:tc>
          <w:tcPr>
            <w:tcW w:w="1222" w:type="dxa"/>
            <w:tcBorders>
              <w:top w:val="nil"/>
              <w:left w:val="nil"/>
              <w:bottom w:val="nil"/>
              <w:right w:val="single" w:sz="4" w:space="0" w:color="auto"/>
            </w:tcBorders>
            <w:shd w:val="clear" w:color="auto" w:fill="auto"/>
            <w:noWrap/>
            <w:vAlign w:val="bottom"/>
            <w:hideMark/>
          </w:tcPr>
          <w:p w:rsidR="00350285" w:rsidRPr="00FF386A" w:rsidRDefault="00350285" w:rsidP="0083018E">
            <w:pPr>
              <w:jc w:val="right"/>
              <w:rPr>
                <w:rFonts w:ascii="Calibri" w:hAnsi="Calibri"/>
                <w:color w:val="000000"/>
                <w:sz w:val="22"/>
                <w:szCs w:val="22"/>
                <w:lang w:val="es-GT" w:eastAsia="es-GT"/>
              </w:rPr>
            </w:pPr>
            <w:r w:rsidRPr="00FF386A">
              <w:rPr>
                <w:rFonts w:ascii="Calibri" w:hAnsi="Calibri"/>
                <w:color w:val="000000"/>
                <w:sz w:val="22"/>
                <w:szCs w:val="22"/>
                <w:lang w:val="es-GT" w:eastAsia="es-GT"/>
              </w:rPr>
              <w:t>-1,327.0</w:t>
            </w:r>
          </w:p>
        </w:tc>
        <w:tc>
          <w:tcPr>
            <w:tcW w:w="1362" w:type="dxa"/>
            <w:tcBorders>
              <w:top w:val="nil"/>
              <w:left w:val="nil"/>
              <w:bottom w:val="nil"/>
              <w:right w:val="single" w:sz="4" w:space="0" w:color="auto"/>
            </w:tcBorders>
            <w:shd w:val="clear" w:color="auto" w:fill="auto"/>
            <w:noWrap/>
            <w:vAlign w:val="bottom"/>
            <w:hideMark/>
          </w:tcPr>
          <w:p w:rsidR="00350285" w:rsidRPr="00FF386A" w:rsidRDefault="00350285" w:rsidP="0083018E">
            <w:pPr>
              <w:jc w:val="right"/>
              <w:rPr>
                <w:rFonts w:ascii="Calibri" w:hAnsi="Calibri"/>
                <w:color w:val="000000"/>
                <w:sz w:val="22"/>
                <w:szCs w:val="22"/>
                <w:lang w:val="es-GT" w:eastAsia="es-GT"/>
              </w:rPr>
            </w:pPr>
            <w:r w:rsidRPr="00FF386A">
              <w:rPr>
                <w:rFonts w:ascii="Calibri" w:hAnsi="Calibri"/>
                <w:color w:val="000000"/>
                <w:sz w:val="22"/>
                <w:szCs w:val="22"/>
                <w:lang w:val="es-GT" w:eastAsia="es-GT"/>
              </w:rPr>
              <w:t>-212.1</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19.0%</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500" w:firstLine="1000"/>
              <w:rPr>
                <w:rFonts w:ascii="CG Times" w:hAnsi="CG Times"/>
                <w:sz w:val="20"/>
                <w:szCs w:val="20"/>
                <w:lang w:val="es-GT" w:eastAsia="es-GT"/>
              </w:rPr>
            </w:pPr>
            <w:r w:rsidRPr="00FF386A">
              <w:rPr>
                <w:rFonts w:ascii="CG Times" w:hAnsi="CG Times"/>
                <w:sz w:val="20"/>
                <w:szCs w:val="20"/>
                <w:lang w:val="es-GT" w:eastAsia="es-GT"/>
              </w:rPr>
              <w:t>Desembolsos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192.3</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87.7</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-104.6</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-54.4%</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500" w:firstLine="1000"/>
              <w:rPr>
                <w:rFonts w:ascii="CG Times" w:hAnsi="CG Times"/>
                <w:sz w:val="20"/>
                <w:szCs w:val="20"/>
                <w:lang w:val="es-GT" w:eastAsia="es-GT"/>
              </w:rPr>
            </w:pPr>
            <w:r w:rsidRPr="00FF386A">
              <w:rPr>
                <w:rFonts w:ascii="CG Times" w:hAnsi="CG Times"/>
                <w:sz w:val="20"/>
                <w:szCs w:val="20"/>
                <w:lang w:val="es-GT" w:eastAsia="es-GT"/>
              </w:rPr>
              <w:t>Amortizaciones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1,307.2</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1,414.8</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107.5</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8.2%</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300" w:firstLine="600"/>
              <w:rPr>
                <w:rFonts w:ascii="CG Times" w:hAnsi="CG Times"/>
                <w:sz w:val="20"/>
                <w:szCs w:val="20"/>
                <w:lang w:val="es-GT" w:eastAsia="es-GT"/>
              </w:rPr>
            </w:pPr>
            <w:r w:rsidRPr="00FF386A">
              <w:rPr>
                <w:rFonts w:ascii="CG Times" w:hAnsi="CG Times"/>
                <w:sz w:val="20"/>
                <w:szCs w:val="20"/>
                <w:lang w:val="es-GT" w:eastAsia="es-GT"/>
              </w:rPr>
              <w:t>Eurobonos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5,407.9</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3,677.9</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-1,730.0</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-32.0%</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200" w:firstLine="400"/>
              <w:rPr>
                <w:rFonts w:ascii="CG Times" w:hAnsi="CG Times"/>
                <w:sz w:val="20"/>
                <w:szCs w:val="20"/>
                <w:lang w:val="es-GT" w:eastAsia="es-GT"/>
              </w:rPr>
            </w:pPr>
            <w:r w:rsidRPr="00FF386A">
              <w:rPr>
                <w:rFonts w:ascii="CG Times" w:hAnsi="CG Times"/>
                <w:sz w:val="20"/>
                <w:szCs w:val="20"/>
                <w:lang w:val="es-GT" w:eastAsia="es-GT"/>
              </w:rPr>
              <w:t>Financiamiento Interno Neto</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-4,808.2</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-2,805.1</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2,003.1</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-41.7%</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200" w:firstLine="400"/>
              <w:rPr>
                <w:rFonts w:ascii="CG Times" w:hAnsi="CG Times"/>
                <w:sz w:val="20"/>
                <w:szCs w:val="20"/>
                <w:lang w:val="es-GT" w:eastAsia="es-GT"/>
              </w:rPr>
            </w:pPr>
            <w:r w:rsidRPr="00FF386A">
              <w:rPr>
                <w:rFonts w:ascii="CG Times" w:hAnsi="CG Times"/>
                <w:sz w:val="20"/>
                <w:szCs w:val="20"/>
                <w:lang w:val="es-GT" w:eastAsia="es-GT"/>
              </w:rPr>
              <w:t>Negociación neta de bonos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1,980.4</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4,151.8</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2,171.3</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109.6%</w:t>
            </w:r>
          </w:p>
        </w:tc>
      </w:tr>
      <w:tr w:rsidR="00350285" w:rsidRPr="00FF386A" w:rsidTr="0083018E">
        <w:trPr>
          <w:trHeight w:val="302"/>
        </w:trPr>
        <w:tc>
          <w:tcPr>
            <w:tcW w:w="3683" w:type="dxa"/>
            <w:tcBorders>
              <w:top w:val="nil"/>
              <w:left w:val="single" w:sz="8" w:space="0" w:color="auto"/>
              <w:bottom w:val="nil"/>
              <w:right w:val="nil"/>
            </w:tcBorders>
            <w:shd w:val="clear" w:color="000000" w:fill="FFFFFF"/>
            <w:noWrap/>
            <w:vAlign w:val="bottom"/>
            <w:hideMark/>
          </w:tcPr>
          <w:p w:rsidR="00350285" w:rsidRPr="00FF386A" w:rsidRDefault="00350285" w:rsidP="0083018E">
            <w:pPr>
              <w:ind w:firstLineChars="200" w:firstLine="400"/>
              <w:rPr>
                <w:rFonts w:ascii="CG Times" w:hAnsi="CG Times"/>
                <w:sz w:val="20"/>
                <w:szCs w:val="20"/>
                <w:lang w:val="es-GT" w:eastAsia="es-GT"/>
              </w:rPr>
            </w:pPr>
            <w:r w:rsidRPr="00FF386A">
              <w:rPr>
                <w:rFonts w:ascii="CG Times" w:hAnsi="CG Times"/>
                <w:sz w:val="20"/>
                <w:szCs w:val="20"/>
                <w:lang w:val="es-GT" w:eastAsia="es-GT"/>
              </w:rPr>
              <w:t>Primas netas por colocación de bonos</w:t>
            </w:r>
          </w:p>
        </w:tc>
        <w:tc>
          <w:tcPr>
            <w:tcW w:w="1222" w:type="dxa"/>
            <w:tcBorders>
              <w:top w:val="nil"/>
              <w:left w:val="single" w:sz="4" w:space="0" w:color="auto"/>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6.8</w:t>
            </w:r>
          </w:p>
        </w:tc>
        <w:tc>
          <w:tcPr>
            <w:tcW w:w="122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104.9</w:t>
            </w:r>
          </w:p>
        </w:tc>
        <w:tc>
          <w:tcPr>
            <w:tcW w:w="1362" w:type="dxa"/>
            <w:tcBorders>
              <w:top w:val="nil"/>
              <w:left w:val="nil"/>
              <w:bottom w:val="nil"/>
              <w:right w:val="single" w:sz="4"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98.1</w:t>
            </w:r>
          </w:p>
        </w:tc>
        <w:tc>
          <w:tcPr>
            <w:tcW w:w="1274" w:type="dxa"/>
            <w:tcBorders>
              <w:top w:val="nil"/>
              <w:left w:val="nil"/>
              <w:bottom w:val="nil"/>
              <w:right w:val="single" w:sz="8" w:space="0" w:color="auto"/>
            </w:tcBorders>
            <w:shd w:val="clear" w:color="000000" w:fill="FFFFFF"/>
            <w:noWrap/>
            <w:vAlign w:val="bottom"/>
            <w:hideMark/>
          </w:tcPr>
          <w:p w:rsidR="00350285" w:rsidRPr="00FF386A" w:rsidRDefault="00350285" w:rsidP="0083018E">
            <w:pPr>
              <w:jc w:val="right"/>
              <w:rPr>
                <w:rFonts w:ascii="CG Times" w:hAnsi="CG Times"/>
                <w:sz w:val="20"/>
                <w:szCs w:val="20"/>
                <w:lang w:val="es-GT" w:eastAsia="es-GT"/>
              </w:rPr>
            </w:pPr>
            <w:r w:rsidRPr="00FF386A">
              <w:rPr>
                <w:rFonts w:ascii="CG Times" w:hAnsi="CG Times"/>
                <w:sz w:val="20"/>
                <w:szCs w:val="20"/>
                <w:lang w:val="es-GT" w:eastAsia="es-GT"/>
              </w:rPr>
              <w:t>1446.1%</w:t>
            </w:r>
          </w:p>
        </w:tc>
      </w:tr>
      <w:tr w:rsidR="00350285" w:rsidRPr="00FF386A" w:rsidTr="0083018E">
        <w:trPr>
          <w:trHeight w:val="543"/>
        </w:trPr>
        <w:tc>
          <w:tcPr>
            <w:tcW w:w="3683" w:type="dxa"/>
            <w:tcBorders>
              <w:top w:val="nil"/>
              <w:left w:val="single" w:sz="8" w:space="0" w:color="auto"/>
              <w:bottom w:val="single" w:sz="8" w:space="0" w:color="auto"/>
              <w:right w:val="nil"/>
            </w:tcBorders>
            <w:shd w:val="clear" w:color="000000" w:fill="FFFFFF"/>
            <w:vAlign w:val="bottom"/>
            <w:hideMark/>
          </w:tcPr>
          <w:p w:rsidR="00350285" w:rsidRPr="00FF386A" w:rsidRDefault="00350285" w:rsidP="0083018E">
            <w:pPr>
              <w:rPr>
                <w:rFonts w:ascii="CG Times" w:hAnsi="CG Times"/>
                <w:b/>
                <w:bCs/>
                <w:sz w:val="20"/>
                <w:szCs w:val="20"/>
                <w:lang w:val="es-GT" w:eastAsia="es-GT"/>
              </w:rPr>
            </w:pPr>
            <w:r w:rsidRPr="00FF386A">
              <w:rPr>
                <w:rFonts w:ascii="CG Times" w:hAnsi="CG Times"/>
                <w:b/>
                <w:bCs/>
                <w:sz w:val="20"/>
                <w:szCs w:val="20"/>
                <w:lang w:val="es-GT" w:eastAsia="es-GT"/>
              </w:rPr>
              <w:t>Variación de Caja (+) disminución (-) aumento</w:t>
            </w:r>
          </w:p>
        </w:tc>
        <w:tc>
          <w:tcPr>
            <w:tcW w:w="1222" w:type="dxa"/>
            <w:tcBorders>
              <w:top w:val="nil"/>
              <w:left w:val="single" w:sz="4" w:space="0" w:color="auto"/>
              <w:bottom w:val="single" w:sz="8" w:space="0" w:color="auto"/>
              <w:right w:val="single" w:sz="4" w:space="0" w:color="auto"/>
            </w:tcBorders>
            <w:shd w:val="clear" w:color="000000" w:fill="FFFFFF"/>
            <w:noWrap/>
            <w:vAlign w:val="center"/>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-6,795.4</w:t>
            </w:r>
          </w:p>
        </w:tc>
        <w:tc>
          <w:tcPr>
            <w:tcW w:w="1222" w:type="dxa"/>
            <w:tcBorders>
              <w:top w:val="nil"/>
              <w:left w:val="nil"/>
              <w:bottom w:val="single" w:sz="8" w:space="0" w:color="auto"/>
              <w:right w:val="single" w:sz="4" w:space="0" w:color="auto"/>
            </w:tcBorders>
            <w:shd w:val="clear" w:color="000000" w:fill="FFFFFF"/>
            <w:noWrap/>
            <w:vAlign w:val="center"/>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-7,061.7</w:t>
            </w:r>
          </w:p>
        </w:tc>
        <w:tc>
          <w:tcPr>
            <w:tcW w:w="1362" w:type="dxa"/>
            <w:tcBorders>
              <w:top w:val="nil"/>
              <w:left w:val="nil"/>
              <w:bottom w:val="single" w:sz="8" w:space="0" w:color="auto"/>
              <w:right w:val="single" w:sz="4" w:space="0" w:color="auto"/>
            </w:tcBorders>
            <w:shd w:val="clear" w:color="000000" w:fill="FFFFFF"/>
            <w:noWrap/>
            <w:vAlign w:val="center"/>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-266.4</w:t>
            </w:r>
          </w:p>
        </w:tc>
        <w:tc>
          <w:tcPr>
            <w:tcW w:w="1274" w:type="dxa"/>
            <w:tcBorders>
              <w:top w:val="nil"/>
              <w:left w:val="nil"/>
              <w:bottom w:val="single" w:sz="8" w:space="0" w:color="auto"/>
              <w:right w:val="single" w:sz="8" w:space="0" w:color="auto"/>
            </w:tcBorders>
            <w:shd w:val="clear" w:color="000000" w:fill="FFFFFF"/>
            <w:noWrap/>
            <w:vAlign w:val="center"/>
            <w:hideMark/>
          </w:tcPr>
          <w:p w:rsidR="00350285" w:rsidRPr="00FF386A" w:rsidRDefault="00350285" w:rsidP="0083018E">
            <w:pPr>
              <w:jc w:val="right"/>
              <w:rPr>
                <w:rFonts w:ascii="CG Times" w:hAnsi="CG Times"/>
                <w:b/>
                <w:bCs/>
                <w:sz w:val="20"/>
                <w:szCs w:val="20"/>
                <w:lang w:val="es-GT" w:eastAsia="es-GT"/>
              </w:rPr>
            </w:pPr>
            <w:r w:rsidRPr="00FF386A">
              <w:rPr>
                <w:rFonts w:ascii="CG Times" w:hAnsi="CG Times"/>
                <w:b/>
                <w:bCs/>
                <w:sz w:val="20"/>
                <w:szCs w:val="20"/>
                <w:lang w:val="es-GT" w:eastAsia="es-GT"/>
              </w:rPr>
              <w:t>3.9%</w:t>
            </w:r>
          </w:p>
        </w:tc>
      </w:tr>
    </w:tbl>
    <w:p w:rsidR="00350285" w:rsidRPr="000C3FEC" w:rsidRDefault="00350285" w:rsidP="00350285">
      <w:pPr>
        <w:rPr>
          <w:sz w:val="16"/>
          <w:lang w:val="es-MX"/>
        </w:rPr>
      </w:pPr>
      <w:r w:rsidRPr="000C3FEC">
        <w:rPr>
          <w:sz w:val="16"/>
          <w:lang w:val="es-MX"/>
        </w:rPr>
        <w:t>Fuente: Ministerio de Finanzas Públicas con base al SICOIN.</w:t>
      </w:r>
    </w:p>
    <w:p w:rsidR="00350285" w:rsidRPr="000C3FEC" w:rsidRDefault="00350285" w:rsidP="00350285">
      <w:pPr>
        <w:rPr>
          <w:sz w:val="16"/>
          <w:lang w:val="es-MX"/>
        </w:rPr>
      </w:pPr>
      <w:r w:rsidRPr="000C3FEC">
        <w:rPr>
          <w:sz w:val="16"/>
          <w:lang w:val="es-MX"/>
        </w:rPr>
        <w:t>* Cifras preliminares</w:t>
      </w:r>
    </w:p>
    <w:p w:rsidR="00350285" w:rsidRPr="00FB641E" w:rsidRDefault="00350285" w:rsidP="00350285">
      <w:pPr>
        <w:jc w:val="both"/>
        <w:rPr>
          <w:sz w:val="12"/>
          <w:lang w:val="es-MX"/>
        </w:rPr>
      </w:pPr>
    </w:p>
    <w:p w:rsidR="00350285" w:rsidRPr="00FB641E" w:rsidRDefault="00350285" w:rsidP="00350285">
      <w:pPr>
        <w:jc w:val="both"/>
        <w:rPr>
          <w:lang w:val="es-MX"/>
        </w:rPr>
      </w:pPr>
    </w:p>
    <w:p w:rsidR="00350285" w:rsidRPr="00FB641E" w:rsidRDefault="00350285" w:rsidP="00350285">
      <w:pPr>
        <w:jc w:val="both"/>
        <w:rPr>
          <w:lang w:val="es-MX"/>
        </w:rPr>
      </w:pPr>
    </w:p>
    <w:p w:rsidR="00350285" w:rsidRDefault="00350285" w:rsidP="00350285">
      <w:pPr>
        <w:rPr>
          <w:b/>
          <w:bCs/>
          <w:szCs w:val="26"/>
          <w:highlight w:val="yellow"/>
        </w:rPr>
      </w:pPr>
      <w:r>
        <w:rPr>
          <w:highlight w:val="yellow"/>
        </w:rPr>
        <w:br w:type="page"/>
      </w:r>
    </w:p>
    <w:p w:rsidR="000C3FEC" w:rsidRPr="00C87438" w:rsidRDefault="000C3FEC">
      <w:pPr>
        <w:rPr>
          <w:b/>
          <w:sz w:val="22"/>
          <w:highlight w:val="yellow"/>
          <w:lang w:val="es-MX"/>
        </w:rPr>
      </w:pPr>
    </w:p>
    <w:p w:rsidR="00B37EC2" w:rsidRPr="00615FD2" w:rsidRDefault="00B37EC2" w:rsidP="00B37EC2">
      <w:pPr>
        <w:pStyle w:val="Ttulo2"/>
        <w:rPr>
          <w:rFonts w:ascii="Times New Roman" w:hAnsi="Times New Roman"/>
          <w:color w:val="auto"/>
          <w:sz w:val="24"/>
        </w:rPr>
      </w:pPr>
      <w:bookmarkStart w:id="25" w:name="_Toc460422677"/>
      <w:bookmarkStart w:id="26" w:name="_Toc494450602"/>
      <w:r w:rsidRPr="00615FD2">
        <w:rPr>
          <w:rFonts w:ascii="Times New Roman" w:hAnsi="Times New Roman"/>
          <w:color w:val="auto"/>
          <w:sz w:val="24"/>
        </w:rPr>
        <w:t>Crédito Público</w:t>
      </w:r>
      <w:bookmarkEnd w:id="25"/>
      <w:bookmarkEnd w:id="26"/>
    </w:p>
    <w:p w:rsidR="00B37EC2" w:rsidRPr="00615FD2" w:rsidRDefault="00B37EC2" w:rsidP="00B37EC2">
      <w:pPr>
        <w:rPr>
          <w:sz w:val="14"/>
        </w:rPr>
      </w:pPr>
    </w:p>
    <w:p w:rsidR="00B37EC2" w:rsidRPr="00615FD2" w:rsidRDefault="00B37EC2" w:rsidP="00B37EC2">
      <w:pPr>
        <w:rPr>
          <w:sz w:val="14"/>
        </w:rPr>
      </w:pPr>
    </w:p>
    <w:p w:rsidR="00B37EC2" w:rsidRPr="00615FD2" w:rsidRDefault="00B37EC2" w:rsidP="00D16A2D">
      <w:pPr>
        <w:keepNext/>
        <w:keepLines/>
        <w:numPr>
          <w:ilvl w:val="1"/>
          <w:numId w:val="2"/>
        </w:numPr>
        <w:ind w:left="567" w:hanging="567"/>
        <w:outlineLvl w:val="2"/>
        <w:rPr>
          <w:b/>
          <w:bCs/>
        </w:rPr>
      </w:pPr>
      <w:bookmarkStart w:id="27" w:name="_Toc426531165"/>
      <w:bookmarkStart w:id="28" w:name="_Toc460422678"/>
      <w:bookmarkStart w:id="29" w:name="_Toc494450603"/>
      <w:r w:rsidRPr="00615FD2">
        <w:rPr>
          <w:b/>
          <w:bCs/>
        </w:rPr>
        <w:t>Indicadores de la deuda pública</w:t>
      </w:r>
      <w:bookmarkEnd w:id="27"/>
      <w:bookmarkEnd w:id="28"/>
      <w:bookmarkEnd w:id="29"/>
    </w:p>
    <w:p w:rsidR="00B37EC2" w:rsidRPr="00615FD2" w:rsidRDefault="00B37EC2" w:rsidP="00B37EC2">
      <w:pPr>
        <w:autoSpaceDE w:val="0"/>
        <w:autoSpaceDN w:val="0"/>
        <w:adjustRightInd w:val="0"/>
        <w:jc w:val="both"/>
        <w:rPr>
          <w:sz w:val="18"/>
        </w:rPr>
      </w:pPr>
    </w:p>
    <w:p w:rsidR="00B37EC2" w:rsidRPr="00615FD2" w:rsidRDefault="00B37EC2" w:rsidP="00B37EC2">
      <w:pPr>
        <w:autoSpaceDE w:val="0"/>
        <w:autoSpaceDN w:val="0"/>
        <w:adjustRightInd w:val="0"/>
        <w:jc w:val="both"/>
      </w:pPr>
      <w:r w:rsidRPr="00615FD2">
        <w:t>Guatemala se mantiene en niveles aceptables de endeudamiento dado que no se ha</w:t>
      </w:r>
      <w:r w:rsidR="009370F6">
        <w:t>n</w:t>
      </w:r>
      <w:r w:rsidRPr="00615FD2">
        <w:t xml:space="preserve"> sobrepasado los estándares internacionalmente aceptados.</w:t>
      </w:r>
    </w:p>
    <w:p w:rsidR="00B37EC2" w:rsidRPr="00615FD2" w:rsidRDefault="00B37EC2" w:rsidP="00B37EC2">
      <w:pPr>
        <w:autoSpaceDE w:val="0"/>
        <w:autoSpaceDN w:val="0"/>
        <w:adjustRightInd w:val="0"/>
        <w:jc w:val="both"/>
      </w:pPr>
    </w:p>
    <w:p w:rsidR="00B37EC2" w:rsidRPr="00615FD2" w:rsidRDefault="00B37EC2" w:rsidP="00B37EC2">
      <w:pPr>
        <w:jc w:val="center"/>
        <w:rPr>
          <w:b/>
          <w:sz w:val="22"/>
          <w:lang w:val="es-MX"/>
        </w:rPr>
      </w:pPr>
      <w:r w:rsidRPr="00615FD2">
        <w:rPr>
          <w:b/>
          <w:sz w:val="22"/>
          <w:lang w:val="es-MX"/>
        </w:rPr>
        <w:t xml:space="preserve">Cuadro </w:t>
      </w:r>
      <w:r w:rsidR="009370F6">
        <w:rPr>
          <w:b/>
          <w:sz w:val="22"/>
          <w:lang w:val="es-MX"/>
        </w:rPr>
        <w:t>1</w:t>
      </w:r>
      <w:r w:rsidR="00910F6F">
        <w:rPr>
          <w:b/>
          <w:sz w:val="22"/>
          <w:lang w:val="es-MX"/>
        </w:rPr>
        <w:t>2</w:t>
      </w:r>
    </w:p>
    <w:p w:rsidR="00B37EC2" w:rsidRPr="00615FD2" w:rsidRDefault="00B37EC2" w:rsidP="00B37EC2">
      <w:pPr>
        <w:jc w:val="center"/>
        <w:rPr>
          <w:b/>
          <w:sz w:val="22"/>
          <w:lang w:val="es-MX"/>
        </w:rPr>
      </w:pPr>
      <w:r w:rsidRPr="00615FD2">
        <w:rPr>
          <w:b/>
          <w:sz w:val="22"/>
          <w:lang w:val="es-MX"/>
        </w:rPr>
        <w:t>Indicadores de la Deuda Pública</w:t>
      </w:r>
    </w:p>
    <w:p w:rsidR="00B37EC2" w:rsidRDefault="00B37EC2" w:rsidP="00B37EC2">
      <w:pPr>
        <w:jc w:val="center"/>
        <w:rPr>
          <w:sz w:val="22"/>
          <w:lang w:val="es-MX"/>
        </w:rPr>
      </w:pPr>
      <w:r w:rsidRPr="00615FD2">
        <w:rPr>
          <w:i/>
          <w:sz w:val="22"/>
          <w:lang w:val="es-MX"/>
        </w:rPr>
        <w:t>(Cifras en Porcentajes)</w:t>
      </w:r>
    </w:p>
    <w:tbl>
      <w:tblPr>
        <w:tblW w:w="9360" w:type="dxa"/>
        <w:tblInd w:w="55" w:type="dxa"/>
        <w:tblCellMar>
          <w:left w:w="70" w:type="dxa"/>
          <w:right w:w="70" w:type="dxa"/>
        </w:tblCellMar>
        <w:tblLook w:val="04A0" w:firstRow="1" w:lastRow="0" w:firstColumn="1" w:lastColumn="0" w:noHBand="0" w:noVBand="1"/>
      </w:tblPr>
      <w:tblGrid>
        <w:gridCol w:w="2740"/>
        <w:gridCol w:w="540"/>
        <w:gridCol w:w="740"/>
        <w:gridCol w:w="740"/>
        <w:gridCol w:w="740"/>
        <w:gridCol w:w="740"/>
        <w:gridCol w:w="740"/>
        <w:gridCol w:w="740"/>
        <w:gridCol w:w="740"/>
        <w:gridCol w:w="900"/>
      </w:tblGrid>
      <w:tr w:rsidR="00B37EC2" w:rsidRPr="00C41A5F" w:rsidTr="00B37EC2">
        <w:trPr>
          <w:trHeight w:val="360"/>
        </w:trPr>
        <w:tc>
          <w:tcPr>
            <w:tcW w:w="2740" w:type="dxa"/>
            <w:tcBorders>
              <w:top w:val="single" w:sz="4" w:space="0" w:color="auto"/>
              <w:left w:val="single" w:sz="4" w:space="0" w:color="auto"/>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Indicador</w:t>
            </w:r>
          </w:p>
        </w:tc>
        <w:tc>
          <w:tcPr>
            <w:tcW w:w="5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2010</w:t>
            </w:r>
          </w:p>
        </w:tc>
        <w:tc>
          <w:tcPr>
            <w:tcW w:w="7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2011</w:t>
            </w:r>
          </w:p>
        </w:tc>
        <w:tc>
          <w:tcPr>
            <w:tcW w:w="7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2012</w:t>
            </w:r>
          </w:p>
        </w:tc>
        <w:tc>
          <w:tcPr>
            <w:tcW w:w="7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2013</w:t>
            </w:r>
          </w:p>
        </w:tc>
        <w:tc>
          <w:tcPr>
            <w:tcW w:w="7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2014</w:t>
            </w:r>
          </w:p>
        </w:tc>
        <w:tc>
          <w:tcPr>
            <w:tcW w:w="7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2015</w:t>
            </w:r>
          </w:p>
        </w:tc>
        <w:tc>
          <w:tcPr>
            <w:tcW w:w="740" w:type="dxa"/>
            <w:tcBorders>
              <w:top w:val="single" w:sz="4" w:space="0" w:color="auto"/>
              <w:left w:val="nil"/>
              <w:bottom w:val="single" w:sz="4" w:space="0" w:color="auto"/>
              <w:right w:val="nil"/>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2016</w:t>
            </w:r>
          </w:p>
        </w:tc>
        <w:tc>
          <w:tcPr>
            <w:tcW w:w="900" w:type="dxa"/>
            <w:tcBorders>
              <w:top w:val="single" w:sz="4" w:space="0" w:color="auto"/>
              <w:left w:val="nil"/>
              <w:bottom w:val="single" w:sz="4" w:space="0" w:color="auto"/>
              <w:right w:val="single" w:sz="4" w:space="0" w:color="auto"/>
            </w:tcBorders>
            <w:shd w:val="clear" w:color="000000" w:fill="95B3D7"/>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 xml:space="preserve">2017 </w:t>
            </w:r>
            <w:r w:rsidRPr="00C41A5F">
              <w:rPr>
                <w:color w:val="000000"/>
                <w:sz w:val="22"/>
                <w:szCs w:val="22"/>
                <w:vertAlign w:val="superscript"/>
                <w:lang w:val="es-GT" w:eastAsia="es-GT"/>
              </w:rPr>
              <w:t>/1</w:t>
            </w:r>
          </w:p>
        </w:tc>
      </w:tr>
      <w:tr w:rsidR="00B37EC2" w:rsidRPr="00C41A5F" w:rsidTr="00B37EC2">
        <w:trPr>
          <w:trHeight w:val="360"/>
        </w:trPr>
        <w:tc>
          <w:tcPr>
            <w:tcW w:w="2740" w:type="dxa"/>
            <w:tcBorders>
              <w:top w:val="nil"/>
              <w:left w:val="single" w:sz="4" w:space="0" w:color="auto"/>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xml:space="preserve">Saldo deuda pública / PIB </w:t>
            </w:r>
            <w:r w:rsidRPr="00C41A5F">
              <w:rPr>
                <w:color w:val="000000"/>
                <w:sz w:val="22"/>
                <w:szCs w:val="22"/>
                <w:vertAlign w:val="superscript"/>
                <w:lang w:val="es-GT" w:eastAsia="es-GT"/>
              </w:rPr>
              <w:t>/2</w:t>
            </w:r>
          </w:p>
        </w:tc>
        <w:tc>
          <w:tcPr>
            <w:tcW w:w="540" w:type="dxa"/>
            <w:tcBorders>
              <w:top w:val="nil"/>
              <w:left w:val="nil"/>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24.4</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23.9</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24.6</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24.8</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24.4</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24.3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24.0</w:t>
            </w:r>
          </w:p>
        </w:tc>
        <w:tc>
          <w:tcPr>
            <w:tcW w:w="900" w:type="dxa"/>
            <w:tcBorders>
              <w:top w:val="nil"/>
              <w:left w:val="nil"/>
              <w:bottom w:val="nil"/>
              <w:right w:val="single" w:sz="4" w:space="0" w:color="auto"/>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23.4</w:t>
            </w:r>
          </w:p>
        </w:tc>
      </w:tr>
      <w:tr w:rsidR="00B37EC2" w:rsidRPr="00C41A5F" w:rsidTr="00B37EC2">
        <w:trPr>
          <w:trHeight w:val="960"/>
        </w:trPr>
        <w:tc>
          <w:tcPr>
            <w:tcW w:w="2740" w:type="dxa"/>
            <w:tcBorders>
              <w:top w:val="nil"/>
              <w:left w:val="single" w:sz="4" w:space="0" w:color="auto"/>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Saldo deuda externa / Exportaciones de bienes y servicios</w:t>
            </w:r>
            <w:r w:rsidRPr="00C41A5F">
              <w:rPr>
                <w:color w:val="000000"/>
                <w:sz w:val="22"/>
                <w:szCs w:val="22"/>
                <w:vertAlign w:val="superscript"/>
                <w:lang w:val="es-GT" w:eastAsia="es-GT"/>
              </w:rPr>
              <w:t>/3</w:t>
            </w:r>
          </w:p>
        </w:tc>
        <w:tc>
          <w:tcPr>
            <w:tcW w:w="540" w:type="dxa"/>
            <w:tcBorders>
              <w:top w:val="nil"/>
              <w:left w:val="nil"/>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51.9</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44.3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50.8</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55.2</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50.9</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55.3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59.1</w:t>
            </w:r>
          </w:p>
        </w:tc>
        <w:tc>
          <w:tcPr>
            <w:tcW w:w="900" w:type="dxa"/>
            <w:tcBorders>
              <w:top w:val="nil"/>
              <w:left w:val="nil"/>
              <w:bottom w:val="nil"/>
              <w:right w:val="single" w:sz="4" w:space="0" w:color="auto"/>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58.7</w:t>
            </w:r>
          </w:p>
        </w:tc>
      </w:tr>
      <w:tr w:rsidR="00B37EC2" w:rsidRPr="00C41A5F" w:rsidTr="00B37EC2">
        <w:trPr>
          <w:trHeight w:val="660"/>
        </w:trPr>
        <w:tc>
          <w:tcPr>
            <w:tcW w:w="2740" w:type="dxa"/>
            <w:tcBorders>
              <w:top w:val="nil"/>
              <w:left w:val="single" w:sz="4" w:space="0" w:color="auto"/>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Saldo deuda Admón. Central / Ingresos totales</w:t>
            </w:r>
            <w:r w:rsidRPr="00C41A5F">
              <w:rPr>
                <w:color w:val="000000"/>
                <w:sz w:val="22"/>
                <w:szCs w:val="22"/>
                <w:vertAlign w:val="superscript"/>
                <w:lang w:val="es-GT" w:eastAsia="es-GT"/>
              </w:rPr>
              <w:t>/4</w:t>
            </w:r>
          </w:p>
        </w:tc>
        <w:tc>
          <w:tcPr>
            <w:tcW w:w="540" w:type="dxa"/>
            <w:tcBorders>
              <w:top w:val="nil"/>
              <w:left w:val="nil"/>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214.5</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203.5</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209.4</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211.3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211.1</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223.3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218.0</w:t>
            </w:r>
          </w:p>
        </w:tc>
        <w:tc>
          <w:tcPr>
            <w:tcW w:w="900" w:type="dxa"/>
            <w:tcBorders>
              <w:top w:val="nil"/>
              <w:left w:val="nil"/>
              <w:bottom w:val="nil"/>
              <w:right w:val="single" w:sz="4" w:space="0" w:color="auto"/>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207.8</w:t>
            </w:r>
          </w:p>
        </w:tc>
      </w:tr>
      <w:tr w:rsidR="00B37EC2" w:rsidRPr="00C41A5F" w:rsidTr="00B37EC2">
        <w:trPr>
          <w:trHeight w:val="360"/>
        </w:trPr>
        <w:tc>
          <w:tcPr>
            <w:tcW w:w="2740" w:type="dxa"/>
            <w:tcBorders>
              <w:top w:val="nil"/>
              <w:left w:val="single" w:sz="4" w:space="0" w:color="auto"/>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Saldo deuda / Ingresos totales</w:t>
            </w:r>
            <w:r w:rsidRPr="00C41A5F">
              <w:rPr>
                <w:color w:val="000000"/>
                <w:sz w:val="22"/>
                <w:szCs w:val="22"/>
                <w:vertAlign w:val="superscript"/>
                <w:lang w:val="es-GT" w:eastAsia="es-GT"/>
              </w:rPr>
              <w:t>/4</w:t>
            </w:r>
          </w:p>
        </w:tc>
        <w:tc>
          <w:tcPr>
            <w:tcW w:w="540" w:type="dxa"/>
            <w:tcBorders>
              <w:top w:val="nil"/>
              <w:left w:val="nil"/>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217.4</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205.8</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211.4</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212.8</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212.4</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224.3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218.9</w:t>
            </w:r>
          </w:p>
        </w:tc>
        <w:tc>
          <w:tcPr>
            <w:tcW w:w="900" w:type="dxa"/>
            <w:tcBorders>
              <w:top w:val="nil"/>
              <w:left w:val="nil"/>
              <w:bottom w:val="nil"/>
              <w:right w:val="single" w:sz="4" w:space="0" w:color="auto"/>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208.5</w:t>
            </w:r>
          </w:p>
        </w:tc>
      </w:tr>
      <w:tr w:rsidR="00B37EC2" w:rsidRPr="00C41A5F" w:rsidTr="00B37EC2">
        <w:trPr>
          <w:trHeight w:val="300"/>
        </w:trPr>
        <w:tc>
          <w:tcPr>
            <w:tcW w:w="3280" w:type="dxa"/>
            <w:gridSpan w:val="2"/>
            <w:tcBorders>
              <w:top w:val="nil"/>
              <w:left w:val="single" w:sz="4" w:space="0" w:color="auto"/>
              <w:bottom w:val="nil"/>
              <w:right w:val="nil"/>
            </w:tcBorders>
            <w:shd w:val="clear" w:color="000000" w:fill="FFFFFF"/>
            <w:vAlign w:val="bottom"/>
            <w:hideMark/>
          </w:tcPr>
          <w:p w:rsidR="00B37EC2" w:rsidRPr="00C41A5F" w:rsidRDefault="00B37EC2" w:rsidP="00B37EC2">
            <w:pPr>
              <w:jc w:val="center"/>
              <w:rPr>
                <w:i/>
                <w:iCs/>
                <w:color w:val="000000"/>
                <w:sz w:val="22"/>
                <w:szCs w:val="22"/>
                <w:lang w:val="es-GT" w:eastAsia="es-GT"/>
              </w:rPr>
            </w:pPr>
            <w:r w:rsidRPr="00C41A5F">
              <w:rPr>
                <w:i/>
                <w:iCs/>
                <w:color w:val="000000"/>
                <w:sz w:val="22"/>
                <w:szCs w:val="22"/>
                <w:lang w:val="es-GT" w:eastAsia="es-GT"/>
              </w:rPr>
              <w:t>Indicadores de liquidez</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c>
          <w:tcPr>
            <w:tcW w:w="900" w:type="dxa"/>
            <w:tcBorders>
              <w:top w:val="nil"/>
              <w:left w:val="nil"/>
              <w:bottom w:val="nil"/>
              <w:right w:val="single" w:sz="4" w:space="0" w:color="auto"/>
            </w:tcBorders>
            <w:shd w:val="clear" w:color="000000" w:fill="FFFFFF"/>
            <w:noWrap/>
            <w:vAlign w:val="bottom"/>
            <w:hideMark/>
          </w:tcPr>
          <w:p w:rsidR="00B37EC2" w:rsidRPr="00C41A5F" w:rsidRDefault="00B37EC2" w:rsidP="00B37EC2">
            <w:pPr>
              <w:jc w:val="center"/>
              <w:rPr>
                <w:color w:val="000000"/>
                <w:sz w:val="22"/>
                <w:szCs w:val="22"/>
                <w:lang w:val="es-GT" w:eastAsia="es-GT"/>
              </w:rPr>
            </w:pPr>
          </w:p>
        </w:tc>
      </w:tr>
      <w:tr w:rsidR="00B37EC2" w:rsidRPr="00C41A5F" w:rsidTr="00B37EC2">
        <w:trPr>
          <w:trHeight w:val="960"/>
        </w:trPr>
        <w:tc>
          <w:tcPr>
            <w:tcW w:w="2740" w:type="dxa"/>
            <w:tcBorders>
              <w:top w:val="nil"/>
              <w:left w:val="single" w:sz="4" w:space="0" w:color="auto"/>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Servicio deuda externa / Exportaciones de bienes y servicios</w:t>
            </w:r>
            <w:r w:rsidRPr="00C41A5F">
              <w:rPr>
                <w:color w:val="000000"/>
                <w:sz w:val="22"/>
                <w:szCs w:val="22"/>
                <w:vertAlign w:val="superscript"/>
                <w:lang w:val="es-GT" w:eastAsia="es-GT"/>
              </w:rPr>
              <w:t>/3</w:t>
            </w:r>
          </w:p>
        </w:tc>
        <w:tc>
          <w:tcPr>
            <w:tcW w:w="540" w:type="dxa"/>
            <w:tcBorders>
              <w:top w:val="nil"/>
              <w:left w:val="nil"/>
              <w:bottom w:val="nil"/>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4.9</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4.3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4.2</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4.7</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4.3</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5.0</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5.1</w:t>
            </w:r>
          </w:p>
        </w:tc>
        <w:tc>
          <w:tcPr>
            <w:tcW w:w="900" w:type="dxa"/>
            <w:tcBorders>
              <w:top w:val="nil"/>
              <w:left w:val="nil"/>
              <w:bottom w:val="nil"/>
              <w:right w:val="single" w:sz="4" w:space="0" w:color="auto"/>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2.6</w:t>
            </w:r>
          </w:p>
        </w:tc>
      </w:tr>
      <w:tr w:rsidR="00B37EC2" w:rsidRPr="00C41A5F" w:rsidTr="00B37EC2">
        <w:trPr>
          <w:trHeight w:val="660"/>
        </w:trPr>
        <w:tc>
          <w:tcPr>
            <w:tcW w:w="2740" w:type="dxa"/>
            <w:tcBorders>
              <w:top w:val="nil"/>
              <w:left w:val="single" w:sz="4" w:space="0" w:color="auto"/>
              <w:bottom w:val="single" w:sz="4" w:space="0" w:color="auto"/>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Servicio de deuda / Ingresos totales</w:t>
            </w:r>
            <w:r w:rsidRPr="00C41A5F">
              <w:rPr>
                <w:color w:val="000000"/>
                <w:sz w:val="22"/>
                <w:szCs w:val="22"/>
                <w:vertAlign w:val="superscript"/>
                <w:lang w:val="es-GT" w:eastAsia="es-GT"/>
              </w:rPr>
              <w:t>/4</w:t>
            </w:r>
          </w:p>
        </w:tc>
        <w:tc>
          <w:tcPr>
            <w:tcW w:w="540" w:type="dxa"/>
            <w:tcBorders>
              <w:top w:val="nil"/>
              <w:left w:val="nil"/>
              <w:bottom w:val="single" w:sz="4" w:space="0" w:color="auto"/>
              <w:right w:val="nil"/>
            </w:tcBorders>
            <w:shd w:val="clear" w:color="000000" w:fill="FFFFFF"/>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single" w:sz="4" w:space="0" w:color="auto"/>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18.7</w:t>
            </w:r>
          </w:p>
        </w:tc>
        <w:tc>
          <w:tcPr>
            <w:tcW w:w="740" w:type="dxa"/>
            <w:tcBorders>
              <w:top w:val="nil"/>
              <w:left w:val="nil"/>
              <w:bottom w:val="single" w:sz="4" w:space="0" w:color="auto"/>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17.6</w:t>
            </w:r>
          </w:p>
        </w:tc>
        <w:tc>
          <w:tcPr>
            <w:tcW w:w="740" w:type="dxa"/>
            <w:tcBorders>
              <w:top w:val="nil"/>
              <w:left w:val="nil"/>
              <w:bottom w:val="single" w:sz="4" w:space="0" w:color="auto"/>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18.4</w:t>
            </w:r>
          </w:p>
        </w:tc>
        <w:tc>
          <w:tcPr>
            <w:tcW w:w="740" w:type="dxa"/>
            <w:tcBorders>
              <w:top w:val="nil"/>
              <w:left w:val="nil"/>
              <w:bottom w:val="single" w:sz="4" w:space="0" w:color="auto"/>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17.9</w:t>
            </w:r>
          </w:p>
        </w:tc>
        <w:tc>
          <w:tcPr>
            <w:tcW w:w="740" w:type="dxa"/>
            <w:tcBorders>
              <w:top w:val="nil"/>
              <w:left w:val="nil"/>
              <w:bottom w:val="single" w:sz="4" w:space="0" w:color="auto"/>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17.1</w:t>
            </w:r>
          </w:p>
        </w:tc>
        <w:tc>
          <w:tcPr>
            <w:tcW w:w="740" w:type="dxa"/>
            <w:tcBorders>
              <w:top w:val="nil"/>
              <w:left w:val="nil"/>
              <w:bottom w:val="single" w:sz="4" w:space="0" w:color="auto"/>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19.3</w:t>
            </w:r>
          </w:p>
        </w:tc>
        <w:tc>
          <w:tcPr>
            <w:tcW w:w="740" w:type="dxa"/>
            <w:tcBorders>
              <w:top w:val="nil"/>
              <w:left w:val="nil"/>
              <w:bottom w:val="single" w:sz="4" w:space="0" w:color="auto"/>
              <w:right w:val="nil"/>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18.0</w:t>
            </w:r>
          </w:p>
        </w:tc>
        <w:tc>
          <w:tcPr>
            <w:tcW w:w="900" w:type="dxa"/>
            <w:tcBorders>
              <w:top w:val="nil"/>
              <w:left w:val="nil"/>
              <w:bottom w:val="single" w:sz="4" w:space="0" w:color="auto"/>
              <w:right w:val="single" w:sz="4" w:space="0" w:color="auto"/>
            </w:tcBorders>
            <w:shd w:val="clear" w:color="000000" w:fill="FFFFFF"/>
            <w:noWrap/>
            <w:vAlign w:val="bottom"/>
            <w:hideMark/>
          </w:tcPr>
          <w:p w:rsidR="00B37EC2" w:rsidRPr="00C41A5F" w:rsidRDefault="00B37EC2" w:rsidP="00B37EC2">
            <w:pPr>
              <w:jc w:val="center"/>
              <w:rPr>
                <w:color w:val="000000"/>
                <w:sz w:val="22"/>
                <w:szCs w:val="22"/>
                <w:lang w:val="es-GT" w:eastAsia="es-GT"/>
              </w:rPr>
            </w:pPr>
            <w:r w:rsidRPr="00C41A5F">
              <w:rPr>
                <w:color w:val="000000"/>
                <w:sz w:val="22"/>
                <w:szCs w:val="22"/>
                <w:lang w:val="es-GT" w:eastAsia="es-GT"/>
              </w:rPr>
              <w:t>8.5</w:t>
            </w:r>
          </w:p>
        </w:tc>
      </w:tr>
      <w:tr w:rsidR="00B37EC2" w:rsidRPr="00C41A5F" w:rsidTr="00B37EC2">
        <w:trPr>
          <w:trHeight w:val="300"/>
        </w:trPr>
        <w:tc>
          <w:tcPr>
            <w:tcW w:w="6980" w:type="dxa"/>
            <w:gridSpan w:val="7"/>
            <w:tcBorders>
              <w:top w:val="nil"/>
              <w:left w:val="nil"/>
              <w:bottom w:val="nil"/>
              <w:right w:val="nil"/>
            </w:tcBorders>
            <w:shd w:val="clear" w:color="000000" w:fill="FFFFFF"/>
            <w:noWrap/>
            <w:vAlign w:val="bottom"/>
            <w:hideMark/>
          </w:tcPr>
          <w:p w:rsidR="00B37EC2" w:rsidRPr="00C41A5F" w:rsidRDefault="00B37EC2" w:rsidP="00B37EC2">
            <w:pPr>
              <w:rPr>
                <w:color w:val="000000"/>
                <w:sz w:val="16"/>
                <w:szCs w:val="16"/>
                <w:lang w:val="es-GT" w:eastAsia="es-GT"/>
              </w:rPr>
            </w:pPr>
            <w:r w:rsidRPr="00C41A5F">
              <w:rPr>
                <w:color w:val="000000"/>
                <w:sz w:val="16"/>
                <w:szCs w:val="16"/>
                <w:vertAlign w:val="superscript"/>
                <w:lang w:val="es-GT" w:eastAsia="es-GT"/>
              </w:rPr>
              <w:t>1/</w:t>
            </w:r>
            <w:r w:rsidRPr="00C41A5F">
              <w:rPr>
                <w:color w:val="000000"/>
                <w:sz w:val="16"/>
                <w:szCs w:val="16"/>
                <w:lang w:val="es-GT" w:eastAsia="es-GT"/>
              </w:rPr>
              <w:t xml:space="preserve"> Saldo y servicio acumulado de las operaciones de crédito público al 30 de junio de 2017.</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90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r>
      <w:tr w:rsidR="00B37EC2" w:rsidRPr="00C41A5F" w:rsidTr="00B37EC2">
        <w:trPr>
          <w:trHeight w:val="300"/>
        </w:trPr>
        <w:tc>
          <w:tcPr>
            <w:tcW w:w="4760" w:type="dxa"/>
            <w:gridSpan w:val="4"/>
            <w:tcBorders>
              <w:top w:val="nil"/>
              <w:left w:val="nil"/>
              <w:bottom w:val="nil"/>
              <w:right w:val="nil"/>
            </w:tcBorders>
            <w:shd w:val="clear" w:color="000000" w:fill="FFFFFF"/>
            <w:noWrap/>
            <w:vAlign w:val="bottom"/>
            <w:hideMark/>
          </w:tcPr>
          <w:p w:rsidR="00B37EC2" w:rsidRPr="00C41A5F" w:rsidRDefault="00B37EC2" w:rsidP="00B37EC2">
            <w:pPr>
              <w:rPr>
                <w:color w:val="000000"/>
                <w:sz w:val="16"/>
                <w:szCs w:val="16"/>
                <w:lang w:val="es-GT" w:eastAsia="es-GT"/>
              </w:rPr>
            </w:pPr>
            <w:r w:rsidRPr="00C41A5F">
              <w:rPr>
                <w:color w:val="000000"/>
                <w:sz w:val="16"/>
                <w:szCs w:val="16"/>
                <w:vertAlign w:val="superscript"/>
                <w:lang w:val="es-GT" w:eastAsia="es-GT"/>
              </w:rPr>
              <w:t>2/</w:t>
            </w:r>
            <w:r w:rsidRPr="00C41A5F">
              <w:rPr>
                <w:color w:val="000000"/>
                <w:sz w:val="16"/>
                <w:szCs w:val="16"/>
                <w:lang w:val="es-GT" w:eastAsia="es-GT"/>
              </w:rPr>
              <w:t xml:space="preserve"> BANGUAT: Proyección baja del PIB para el año 2017.</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90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r>
      <w:tr w:rsidR="00B37EC2" w:rsidRPr="00C41A5F" w:rsidTr="00B37EC2">
        <w:trPr>
          <w:trHeight w:val="300"/>
        </w:trPr>
        <w:tc>
          <w:tcPr>
            <w:tcW w:w="3280" w:type="dxa"/>
            <w:gridSpan w:val="2"/>
            <w:tcBorders>
              <w:top w:val="nil"/>
              <w:left w:val="nil"/>
              <w:bottom w:val="nil"/>
              <w:right w:val="nil"/>
            </w:tcBorders>
            <w:shd w:val="clear" w:color="000000" w:fill="FFFFFF"/>
            <w:noWrap/>
            <w:vAlign w:val="bottom"/>
            <w:hideMark/>
          </w:tcPr>
          <w:p w:rsidR="00B37EC2" w:rsidRPr="00C41A5F" w:rsidRDefault="00B37EC2" w:rsidP="00B37EC2">
            <w:pPr>
              <w:rPr>
                <w:color w:val="000000"/>
                <w:sz w:val="16"/>
                <w:szCs w:val="16"/>
                <w:lang w:val="es-GT" w:eastAsia="es-GT"/>
              </w:rPr>
            </w:pPr>
            <w:r w:rsidRPr="00C41A5F">
              <w:rPr>
                <w:color w:val="000000"/>
                <w:sz w:val="16"/>
                <w:szCs w:val="16"/>
                <w:vertAlign w:val="superscript"/>
                <w:lang w:val="es-GT" w:eastAsia="es-GT"/>
              </w:rPr>
              <w:t xml:space="preserve">3/ </w:t>
            </w:r>
            <w:r w:rsidRPr="00C41A5F">
              <w:rPr>
                <w:color w:val="000000"/>
                <w:sz w:val="16"/>
                <w:szCs w:val="16"/>
                <w:lang w:val="es-GT" w:eastAsia="es-GT"/>
              </w:rPr>
              <w:t>Estimación con datos del BANGUAT.</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90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r>
      <w:tr w:rsidR="00B37EC2" w:rsidRPr="00C41A5F" w:rsidTr="00B37EC2">
        <w:trPr>
          <w:trHeight w:val="300"/>
        </w:trPr>
        <w:tc>
          <w:tcPr>
            <w:tcW w:w="2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16"/>
                <w:szCs w:val="16"/>
                <w:lang w:val="es-GT" w:eastAsia="es-GT"/>
              </w:rPr>
            </w:pPr>
            <w:r w:rsidRPr="00C41A5F">
              <w:rPr>
                <w:color w:val="000000"/>
                <w:sz w:val="16"/>
                <w:szCs w:val="16"/>
                <w:vertAlign w:val="superscript"/>
                <w:lang w:val="es-GT" w:eastAsia="es-GT"/>
              </w:rPr>
              <w:t xml:space="preserve">4/ </w:t>
            </w:r>
            <w:r w:rsidRPr="00C41A5F">
              <w:rPr>
                <w:color w:val="000000"/>
                <w:sz w:val="16"/>
                <w:szCs w:val="16"/>
                <w:lang w:val="es-GT" w:eastAsia="es-GT"/>
              </w:rPr>
              <w:t>Ministerio de Finanzas Públicas.</w:t>
            </w:r>
          </w:p>
        </w:tc>
        <w:tc>
          <w:tcPr>
            <w:tcW w:w="5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74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c>
          <w:tcPr>
            <w:tcW w:w="900" w:type="dxa"/>
            <w:tcBorders>
              <w:top w:val="nil"/>
              <w:left w:val="nil"/>
              <w:bottom w:val="nil"/>
              <w:right w:val="nil"/>
            </w:tcBorders>
            <w:shd w:val="clear" w:color="000000" w:fill="FFFFFF"/>
            <w:noWrap/>
            <w:vAlign w:val="bottom"/>
            <w:hideMark/>
          </w:tcPr>
          <w:p w:rsidR="00B37EC2" w:rsidRPr="00C41A5F" w:rsidRDefault="00B37EC2" w:rsidP="00B37EC2">
            <w:pPr>
              <w:rPr>
                <w:color w:val="000000"/>
                <w:sz w:val="22"/>
                <w:szCs w:val="22"/>
                <w:lang w:val="es-GT" w:eastAsia="es-GT"/>
              </w:rPr>
            </w:pPr>
            <w:r w:rsidRPr="00C41A5F">
              <w:rPr>
                <w:color w:val="000000"/>
                <w:sz w:val="22"/>
                <w:szCs w:val="22"/>
                <w:lang w:val="es-GT" w:eastAsia="es-GT"/>
              </w:rPr>
              <w:t> </w:t>
            </w:r>
          </w:p>
        </w:tc>
      </w:tr>
    </w:tbl>
    <w:p w:rsidR="00B37EC2" w:rsidRDefault="00B37EC2" w:rsidP="00B37EC2">
      <w:pPr>
        <w:jc w:val="center"/>
        <w:rPr>
          <w:sz w:val="22"/>
          <w:lang w:val="es-MX"/>
        </w:rPr>
      </w:pPr>
    </w:p>
    <w:p w:rsidR="00B37EC2" w:rsidRPr="00615FD2" w:rsidRDefault="00B37EC2" w:rsidP="00B37EC2">
      <w:pPr>
        <w:jc w:val="both"/>
      </w:pPr>
    </w:p>
    <w:p w:rsidR="00B37EC2" w:rsidRPr="00F24100" w:rsidRDefault="00B37EC2" w:rsidP="00D16A2D">
      <w:pPr>
        <w:keepNext/>
        <w:keepLines/>
        <w:numPr>
          <w:ilvl w:val="1"/>
          <w:numId w:val="2"/>
        </w:numPr>
        <w:ind w:left="567" w:hanging="567"/>
        <w:outlineLvl w:val="2"/>
        <w:rPr>
          <w:b/>
          <w:bCs/>
        </w:rPr>
      </w:pPr>
      <w:bookmarkStart w:id="30" w:name="_Toc426531164"/>
      <w:bookmarkStart w:id="31" w:name="_Toc460422679"/>
      <w:bookmarkStart w:id="32" w:name="_Toc494450604"/>
      <w:r w:rsidRPr="00F24100">
        <w:rPr>
          <w:b/>
          <w:bCs/>
        </w:rPr>
        <w:t>Deuda pública vigente y su composición</w:t>
      </w:r>
      <w:bookmarkEnd w:id="30"/>
      <w:bookmarkEnd w:id="31"/>
      <w:bookmarkEnd w:id="32"/>
    </w:p>
    <w:p w:rsidR="00B37EC2" w:rsidRPr="00AA65E6" w:rsidRDefault="00B37EC2" w:rsidP="00B37EC2">
      <w:pPr>
        <w:jc w:val="both"/>
        <w:rPr>
          <w:highlight w:val="yellow"/>
          <w:lang w:val="es-MX"/>
        </w:rPr>
      </w:pPr>
    </w:p>
    <w:p w:rsidR="00B37EC2" w:rsidRPr="005A5D0B" w:rsidRDefault="00B37EC2" w:rsidP="00B37EC2">
      <w:pPr>
        <w:autoSpaceDE w:val="0"/>
        <w:autoSpaceDN w:val="0"/>
        <w:adjustRightInd w:val="0"/>
        <w:jc w:val="both"/>
        <w:rPr>
          <w:rFonts w:eastAsia="Calibri"/>
          <w:color w:val="000000"/>
          <w:lang w:val="es-GT" w:eastAsia="en-US"/>
        </w:rPr>
      </w:pPr>
      <w:r w:rsidRPr="00F24100">
        <w:rPr>
          <w:rFonts w:eastAsia="Calibri"/>
          <w:color w:val="000000"/>
          <w:lang w:val="es-MX" w:eastAsia="en-US"/>
        </w:rPr>
        <w:t>Al 31 de diciembre del 2015 la deuda de la Administración Central sumó Q</w:t>
      </w:r>
      <w:r w:rsidR="009E136C">
        <w:rPr>
          <w:rFonts w:eastAsia="Calibri"/>
          <w:color w:val="000000"/>
          <w:lang w:val="es-MX" w:eastAsia="en-US"/>
        </w:rPr>
        <w:t>.</w:t>
      </w:r>
      <w:r w:rsidRPr="00F24100">
        <w:rPr>
          <w:rFonts w:eastAsia="Calibri"/>
          <w:color w:val="000000"/>
          <w:lang w:val="es-MX" w:eastAsia="en-US"/>
        </w:rPr>
        <w:t>118,625.74 millones (24.3% del PIB), mientras que al 31 de diciembre del 2016 el monto alcanzó un total de Q</w:t>
      </w:r>
      <w:r w:rsidR="009E136C">
        <w:rPr>
          <w:rFonts w:eastAsia="Calibri"/>
          <w:color w:val="000000"/>
          <w:lang w:val="es-MX" w:eastAsia="en-US"/>
        </w:rPr>
        <w:t>.</w:t>
      </w:r>
      <w:r w:rsidRPr="00F24100">
        <w:rPr>
          <w:rFonts w:eastAsia="Calibri"/>
          <w:color w:val="000000"/>
          <w:lang w:val="es-MX" w:eastAsia="en-US"/>
        </w:rPr>
        <w:t>125,676.09 millones (24.0% del PIB).  Al 30 de junio de 2017, la deuda pública alcanzó un total de Q</w:t>
      </w:r>
      <w:r w:rsidR="009E136C">
        <w:rPr>
          <w:rFonts w:eastAsia="Calibri"/>
          <w:color w:val="000000"/>
          <w:lang w:val="es-MX" w:eastAsia="en-US"/>
        </w:rPr>
        <w:t>.</w:t>
      </w:r>
      <w:r w:rsidRPr="00F24100">
        <w:rPr>
          <w:rFonts w:eastAsia="Calibri"/>
          <w:color w:val="000000"/>
          <w:lang w:val="es-MX" w:eastAsia="en-US"/>
        </w:rPr>
        <w:t>130,579.40 millones (23.4% del PIB). La composición de la deuda pública mantiene la siguiente estructura:</w:t>
      </w:r>
      <w:r>
        <w:rPr>
          <w:rFonts w:eastAsia="Calibri"/>
          <w:color w:val="000000"/>
          <w:lang w:val="es-MX" w:eastAsia="en-US"/>
        </w:rPr>
        <w:t xml:space="preserve"> </w:t>
      </w:r>
    </w:p>
    <w:p w:rsidR="00B37EC2" w:rsidRPr="005A5D0B" w:rsidRDefault="00B37EC2" w:rsidP="00B37EC2">
      <w:pPr>
        <w:jc w:val="both"/>
        <w:rPr>
          <w:lang w:val="es-GT"/>
        </w:rPr>
      </w:pPr>
    </w:p>
    <w:p w:rsidR="00B37EC2" w:rsidRPr="00AA65E6" w:rsidRDefault="00B37EC2" w:rsidP="00B37EC2">
      <w:pPr>
        <w:jc w:val="both"/>
        <w:rPr>
          <w:highlight w:val="yellow"/>
          <w:lang w:val="es-GT"/>
        </w:rPr>
      </w:pPr>
    </w:p>
    <w:p w:rsidR="00B37EC2" w:rsidRPr="00AA65E6" w:rsidRDefault="00B37EC2" w:rsidP="00B37EC2">
      <w:pPr>
        <w:jc w:val="both"/>
        <w:rPr>
          <w:highlight w:val="yellow"/>
          <w:lang w:val="es-GT"/>
        </w:rPr>
      </w:pPr>
    </w:p>
    <w:p w:rsidR="00B37EC2" w:rsidRPr="00AA65E6" w:rsidRDefault="00B37EC2" w:rsidP="00B37EC2">
      <w:pPr>
        <w:jc w:val="both"/>
        <w:rPr>
          <w:highlight w:val="yellow"/>
          <w:lang w:val="es-GT"/>
        </w:rPr>
      </w:pPr>
    </w:p>
    <w:p w:rsidR="00B37EC2" w:rsidRPr="00AA65E6" w:rsidRDefault="00B37EC2" w:rsidP="00B37EC2">
      <w:pPr>
        <w:jc w:val="both"/>
        <w:rPr>
          <w:highlight w:val="yellow"/>
          <w:lang w:val="es-GT"/>
        </w:rPr>
      </w:pPr>
    </w:p>
    <w:p w:rsidR="00B37EC2" w:rsidRPr="00AA65E6" w:rsidRDefault="00B37EC2" w:rsidP="00B37EC2">
      <w:pPr>
        <w:jc w:val="both"/>
        <w:rPr>
          <w:highlight w:val="yellow"/>
          <w:lang w:val="es-GT"/>
        </w:rPr>
      </w:pPr>
    </w:p>
    <w:p w:rsidR="00B37EC2" w:rsidRPr="00F24100" w:rsidRDefault="00B37EC2" w:rsidP="00B37EC2">
      <w:pPr>
        <w:jc w:val="center"/>
        <w:rPr>
          <w:b/>
          <w:sz w:val="22"/>
          <w:lang w:val="es-MX"/>
        </w:rPr>
      </w:pPr>
      <w:r w:rsidRPr="00F24100">
        <w:rPr>
          <w:b/>
          <w:sz w:val="22"/>
          <w:lang w:val="es-MX"/>
        </w:rPr>
        <w:t>Cuadro 1</w:t>
      </w:r>
      <w:r w:rsidR="00910F6F">
        <w:rPr>
          <w:b/>
          <w:sz w:val="22"/>
          <w:lang w:val="es-MX"/>
        </w:rPr>
        <w:t>3</w:t>
      </w:r>
    </w:p>
    <w:p w:rsidR="00B37EC2" w:rsidRPr="00F24100" w:rsidRDefault="00B37EC2" w:rsidP="00B37EC2">
      <w:pPr>
        <w:jc w:val="center"/>
        <w:rPr>
          <w:b/>
          <w:sz w:val="22"/>
          <w:lang w:val="es-MX"/>
        </w:rPr>
      </w:pPr>
      <w:r w:rsidRPr="00F24100">
        <w:rPr>
          <w:b/>
          <w:sz w:val="22"/>
          <w:lang w:val="es-MX"/>
        </w:rPr>
        <w:t>Composición de la Deuda Pública</w:t>
      </w:r>
    </w:p>
    <w:tbl>
      <w:tblPr>
        <w:tblW w:w="8923" w:type="dxa"/>
        <w:jc w:val="right"/>
        <w:tblCellMar>
          <w:left w:w="70" w:type="dxa"/>
          <w:right w:w="70" w:type="dxa"/>
        </w:tblCellMar>
        <w:tblLook w:val="04A0" w:firstRow="1" w:lastRow="0" w:firstColumn="1" w:lastColumn="0" w:noHBand="0" w:noVBand="1"/>
      </w:tblPr>
      <w:tblGrid>
        <w:gridCol w:w="966"/>
        <w:gridCol w:w="1221"/>
        <w:gridCol w:w="1222"/>
        <w:gridCol w:w="919"/>
        <w:gridCol w:w="919"/>
        <w:gridCol w:w="887"/>
        <w:gridCol w:w="951"/>
        <w:gridCol w:w="776"/>
        <w:gridCol w:w="1062"/>
      </w:tblGrid>
      <w:tr w:rsidR="00B37EC2" w:rsidRPr="00F24100" w:rsidTr="00B37EC2">
        <w:trPr>
          <w:trHeight w:val="797"/>
          <w:jc w:val="right"/>
        </w:trPr>
        <w:tc>
          <w:tcPr>
            <w:tcW w:w="966" w:type="dxa"/>
            <w:tcBorders>
              <w:top w:val="single" w:sz="8" w:space="0" w:color="auto"/>
              <w:left w:val="single" w:sz="8" w:space="0" w:color="auto"/>
              <w:bottom w:val="single" w:sz="8" w:space="0" w:color="auto"/>
              <w:right w:val="nil"/>
            </w:tcBorders>
            <w:shd w:val="clear" w:color="000000" w:fill="8DB3E2"/>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Deuda</w:t>
            </w:r>
          </w:p>
        </w:tc>
        <w:tc>
          <w:tcPr>
            <w:tcW w:w="2442" w:type="dxa"/>
            <w:gridSpan w:val="2"/>
            <w:tcBorders>
              <w:top w:val="single" w:sz="8" w:space="0" w:color="auto"/>
              <w:left w:val="nil"/>
              <w:bottom w:val="single" w:sz="8" w:space="0" w:color="auto"/>
              <w:right w:val="nil"/>
            </w:tcBorders>
            <w:shd w:val="clear" w:color="000000" w:fill="8DB3E2"/>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Distribución Porcentual</w:t>
            </w:r>
          </w:p>
        </w:tc>
        <w:tc>
          <w:tcPr>
            <w:tcW w:w="1839" w:type="dxa"/>
            <w:gridSpan w:val="2"/>
            <w:tcBorders>
              <w:top w:val="single" w:sz="8" w:space="0" w:color="auto"/>
              <w:left w:val="nil"/>
              <w:bottom w:val="single" w:sz="8" w:space="0" w:color="auto"/>
              <w:right w:val="nil"/>
            </w:tcBorders>
            <w:shd w:val="clear" w:color="000000" w:fill="8DB3E2"/>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Porcentaje del PIB</w:t>
            </w:r>
          </w:p>
        </w:tc>
        <w:tc>
          <w:tcPr>
            <w:tcW w:w="1838" w:type="dxa"/>
            <w:gridSpan w:val="2"/>
            <w:tcBorders>
              <w:top w:val="single" w:sz="8" w:space="0" w:color="auto"/>
              <w:left w:val="nil"/>
              <w:bottom w:val="single" w:sz="8" w:space="0" w:color="auto"/>
              <w:right w:val="nil"/>
            </w:tcBorders>
            <w:shd w:val="clear" w:color="000000" w:fill="8DB3E2"/>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 xml:space="preserve">Tasa Promedio </w:t>
            </w:r>
          </w:p>
        </w:tc>
        <w:tc>
          <w:tcPr>
            <w:tcW w:w="1838" w:type="dxa"/>
            <w:gridSpan w:val="2"/>
            <w:tcBorders>
              <w:top w:val="single" w:sz="8" w:space="0" w:color="auto"/>
              <w:left w:val="nil"/>
              <w:bottom w:val="single" w:sz="8" w:space="0" w:color="auto"/>
              <w:right w:val="single" w:sz="8" w:space="0" w:color="000000"/>
            </w:tcBorders>
            <w:shd w:val="clear" w:color="000000" w:fill="8DB3E2"/>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Plazo Promedio de madurez (años)</w:t>
            </w:r>
          </w:p>
        </w:tc>
      </w:tr>
      <w:tr w:rsidR="00B37EC2" w:rsidRPr="00F24100" w:rsidTr="00B37EC2">
        <w:trPr>
          <w:trHeight w:val="566"/>
          <w:jc w:val="right"/>
        </w:trPr>
        <w:tc>
          <w:tcPr>
            <w:tcW w:w="966" w:type="dxa"/>
            <w:tcBorders>
              <w:top w:val="nil"/>
              <w:left w:val="single" w:sz="8" w:space="0" w:color="auto"/>
              <w:bottom w:val="nil"/>
              <w:right w:val="nil"/>
            </w:tcBorders>
            <w:shd w:val="clear" w:color="000000" w:fill="FFFFFF"/>
            <w:noWrap/>
            <w:vAlign w:val="center"/>
            <w:hideMark/>
          </w:tcPr>
          <w:p w:rsidR="00B37EC2" w:rsidRPr="00F24100" w:rsidRDefault="00B37EC2" w:rsidP="00B37EC2">
            <w:pPr>
              <w:jc w:val="center"/>
              <w:rPr>
                <w:color w:val="000000"/>
                <w:sz w:val="22"/>
                <w:szCs w:val="22"/>
                <w:lang w:val="es-GT" w:eastAsia="es-GT"/>
              </w:rPr>
            </w:pPr>
            <w:r w:rsidRPr="00F24100">
              <w:rPr>
                <w:color w:val="000000"/>
                <w:sz w:val="22"/>
                <w:szCs w:val="22"/>
                <w:lang w:val="es-GT" w:eastAsia="es-GT"/>
              </w:rPr>
              <w:t> </w:t>
            </w:r>
          </w:p>
        </w:tc>
        <w:tc>
          <w:tcPr>
            <w:tcW w:w="1221" w:type="dxa"/>
            <w:tcBorders>
              <w:top w:val="nil"/>
              <w:left w:val="nil"/>
              <w:bottom w:val="nil"/>
              <w:right w:val="nil"/>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2016</w:t>
            </w:r>
          </w:p>
        </w:tc>
        <w:tc>
          <w:tcPr>
            <w:tcW w:w="1222" w:type="dxa"/>
            <w:tcBorders>
              <w:top w:val="nil"/>
              <w:left w:val="nil"/>
              <w:bottom w:val="nil"/>
              <w:right w:val="nil"/>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jun-17</w:t>
            </w:r>
          </w:p>
        </w:tc>
        <w:tc>
          <w:tcPr>
            <w:tcW w:w="919" w:type="dxa"/>
            <w:tcBorders>
              <w:top w:val="nil"/>
              <w:left w:val="nil"/>
              <w:bottom w:val="nil"/>
              <w:right w:val="nil"/>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2016</w:t>
            </w:r>
          </w:p>
        </w:tc>
        <w:tc>
          <w:tcPr>
            <w:tcW w:w="919" w:type="dxa"/>
            <w:tcBorders>
              <w:top w:val="nil"/>
              <w:left w:val="nil"/>
              <w:bottom w:val="nil"/>
              <w:right w:val="nil"/>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jun-17</w:t>
            </w:r>
          </w:p>
        </w:tc>
        <w:tc>
          <w:tcPr>
            <w:tcW w:w="887" w:type="dxa"/>
            <w:tcBorders>
              <w:top w:val="nil"/>
              <w:left w:val="nil"/>
              <w:bottom w:val="nil"/>
              <w:right w:val="nil"/>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2016</w:t>
            </w:r>
          </w:p>
        </w:tc>
        <w:tc>
          <w:tcPr>
            <w:tcW w:w="951" w:type="dxa"/>
            <w:tcBorders>
              <w:top w:val="nil"/>
              <w:left w:val="nil"/>
              <w:bottom w:val="nil"/>
              <w:right w:val="nil"/>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jun-17</w:t>
            </w:r>
          </w:p>
        </w:tc>
        <w:tc>
          <w:tcPr>
            <w:tcW w:w="776" w:type="dxa"/>
            <w:tcBorders>
              <w:top w:val="nil"/>
              <w:left w:val="nil"/>
              <w:bottom w:val="nil"/>
              <w:right w:val="nil"/>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2016</w:t>
            </w:r>
          </w:p>
        </w:tc>
        <w:tc>
          <w:tcPr>
            <w:tcW w:w="1062" w:type="dxa"/>
            <w:tcBorders>
              <w:top w:val="nil"/>
              <w:left w:val="nil"/>
              <w:bottom w:val="nil"/>
              <w:right w:val="single" w:sz="8" w:space="0" w:color="auto"/>
            </w:tcBorders>
            <w:shd w:val="clear" w:color="000000" w:fill="FFFFFF"/>
            <w:noWrap/>
            <w:vAlign w:val="center"/>
            <w:hideMark/>
          </w:tcPr>
          <w:p w:rsidR="00B37EC2" w:rsidRPr="00F24100" w:rsidRDefault="00B37EC2" w:rsidP="00B37EC2">
            <w:pPr>
              <w:jc w:val="center"/>
              <w:rPr>
                <w:b/>
                <w:bCs/>
                <w:color w:val="000000"/>
                <w:sz w:val="22"/>
                <w:szCs w:val="22"/>
                <w:lang w:val="es-GT" w:eastAsia="es-GT"/>
              </w:rPr>
            </w:pPr>
            <w:r w:rsidRPr="00F24100">
              <w:rPr>
                <w:b/>
                <w:bCs/>
                <w:color w:val="000000"/>
                <w:sz w:val="22"/>
                <w:szCs w:val="22"/>
                <w:lang w:val="es-GT" w:eastAsia="es-GT"/>
              </w:rPr>
              <w:t>jun-17</w:t>
            </w:r>
            <w:r w:rsidRPr="00A30CA3">
              <w:rPr>
                <w:b/>
                <w:bCs/>
                <w:color w:val="000000"/>
                <w:sz w:val="22"/>
                <w:szCs w:val="22"/>
                <w:vertAlign w:val="superscript"/>
                <w:lang w:val="es-GT" w:eastAsia="es-GT"/>
              </w:rPr>
              <w:t>/1</w:t>
            </w:r>
          </w:p>
        </w:tc>
      </w:tr>
      <w:tr w:rsidR="00B37EC2" w:rsidRPr="00F24100" w:rsidTr="00B37EC2">
        <w:trPr>
          <w:trHeight w:val="566"/>
          <w:jc w:val="right"/>
        </w:trPr>
        <w:tc>
          <w:tcPr>
            <w:tcW w:w="966" w:type="dxa"/>
            <w:tcBorders>
              <w:top w:val="nil"/>
              <w:left w:val="single" w:sz="8" w:space="0" w:color="auto"/>
              <w:bottom w:val="nil"/>
              <w:right w:val="nil"/>
            </w:tcBorders>
            <w:shd w:val="clear" w:color="000000" w:fill="FFFFFF"/>
            <w:noWrap/>
            <w:vAlign w:val="center"/>
            <w:hideMark/>
          </w:tcPr>
          <w:p w:rsidR="00B37EC2" w:rsidRPr="00F24100" w:rsidRDefault="00B37EC2" w:rsidP="00B37EC2">
            <w:pPr>
              <w:rPr>
                <w:b/>
                <w:bCs/>
                <w:color w:val="000000"/>
                <w:sz w:val="22"/>
                <w:szCs w:val="22"/>
                <w:lang w:val="es-GT" w:eastAsia="es-GT"/>
              </w:rPr>
            </w:pPr>
            <w:r w:rsidRPr="00F24100">
              <w:rPr>
                <w:b/>
                <w:bCs/>
                <w:color w:val="000000"/>
                <w:sz w:val="22"/>
                <w:szCs w:val="22"/>
                <w:lang w:val="es-GT" w:eastAsia="es-GT"/>
              </w:rPr>
              <w:t>Interna</w:t>
            </w:r>
          </w:p>
        </w:tc>
        <w:tc>
          <w:tcPr>
            <w:tcW w:w="1221" w:type="dxa"/>
            <w:tcBorders>
              <w:top w:val="nil"/>
              <w:left w:val="nil"/>
              <w:bottom w:val="nil"/>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52.0%</w:t>
            </w:r>
          </w:p>
        </w:tc>
        <w:tc>
          <w:tcPr>
            <w:tcW w:w="1222" w:type="dxa"/>
            <w:tcBorders>
              <w:top w:val="nil"/>
              <w:left w:val="nil"/>
              <w:bottom w:val="nil"/>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53.1%</w:t>
            </w:r>
          </w:p>
        </w:tc>
        <w:tc>
          <w:tcPr>
            <w:tcW w:w="919" w:type="dxa"/>
            <w:tcBorders>
              <w:top w:val="nil"/>
              <w:left w:val="nil"/>
              <w:bottom w:val="nil"/>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12.5%</w:t>
            </w:r>
          </w:p>
        </w:tc>
        <w:tc>
          <w:tcPr>
            <w:tcW w:w="919" w:type="dxa"/>
            <w:tcBorders>
              <w:top w:val="nil"/>
              <w:left w:val="nil"/>
              <w:bottom w:val="nil"/>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12.4%</w:t>
            </w:r>
          </w:p>
        </w:tc>
        <w:tc>
          <w:tcPr>
            <w:tcW w:w="887" w:type="dxa"/>
            <w:tcBorders>
              <w:top w:val="nil"/>
              <w:left w:val="nil"/>
              <w:bottom w:val="nil"/>
              <w:right w:val="nil"/>
            </w:tcBorders>
            <w:shd w:val="clear" w:color="000000" w:fill="FFFFFF"/>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7.</w:t>
            </w:r>
            <w:r w:rsidR="0018412B">
              <w:rPr>
                <w:color w:val="000000"/>
                <w:sz w:val="22"/>
                <w:szCs w:val="22"/>
                <w:lang w:val="es-GT" w:eastAsia="es-GT"/>
              </w:rPr>
              <w:t>7</w:t>
            </w:r>
            <w:r w:rsidRPr="00F24100">
              <w:rPr>
                <w:color w:val="000000"/>
                <w:sz w:val="22"/>
                <w:szCs w:val="22"/>
                <w:lang w:val="es-GT" w:eastAsia="es-GT"/>
              </w:rPr>
              <w:t>%</w:t>
            </w:r>
          </w:p>
        </w:tc>
        <w:tc>
          <w:tcPr>
            <w:tcW w:w="951" w:type="dxa"/>
            <w:tcBorders>
              <w:top w:val="nil"/>
              <w:left w:val="nil"/>
              <w:bottom w:val="nil"/>
              <w:right w:val="nil"/>
            </w:tcBorders>
            <w:shd w:val="clear" w:color="000000" w:fill="FFFFFF"/>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7.8%</w:t>
            </w:r>
          </w:p>
        </w:tc>
        <w:tc>
          <w:tcPr>
            <w:tcW w:w="776" w:type="dxa"/>
            <w:tcBorders>
              <w:top w:val="nil"/>
              <w:left w:val="nil"/>
              <w:bottom w:val="nil"/>
              <w:right w:val="nil"/>
            </w:tcBorders>
            <w:shd w:val="clear" w:color="auto" w:fill="auto"/>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8.7</w:t>
            </w:r>
          </w:p>
        </w:tc>
        <w:tc>
          <w:tcPr>
            <w:tcW w:w="1062" w:type="dxa"/>
            <w:tcBorders>
              <w:top w:val="nil"/>
              <w:left w:val="nil"/>
              <w:bottom w:val="nil"/>
              <w:right w:val="single" w:sz="8" w:space="0" w:color="auto"/>
            </w:tcBorders>
            <w:shd w:val="clear" w:color="auto" w:fill="auto"/>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8.</w:t>
            </w:r>
            <w:r w:rsidR="0018412B">
              <w:rPr>
                <w:color w:val="000000"/>
                <w:sz w:val="22"/>
                <w:szCs w:val="22"/>
                <w:lang w:val="es-GT" w:eastAsia="es-GT"/>
              </w:rPr>
              <w:t>8</w:t>
            </w:r>
          </w:p>
        </w:tc>
      </w:tr>
      <w:tr w:rsidR="00B37EC2" w:rsidRPr="00F24100" w:rsidTr="00B37EC2">
        <w:trPr>
          <w:trHeight w:val="566"/>
          <w:jc w:val="right"/>
        </w:trPr>
        <w:tc>
          <w:tcPr>
            <w:tcW w:w="966" w:type="dxa"/>
            <w:tcBorders>
              <w:top w:val="nil"/>
              <w:left w:val="single" w:sz="8" w:space="0" w:color="auto"/>
              <w:bottom w:val="single" w:sz="8" w:space="0" w:color="auto"/>
              <w:right w:val="nil"/>
            </w:tcBorders>
            <w:shd w:val="clear" w:color="000000" w:fill="FFFFFF"/>
            <w:noWrap/>
            <w:vAlign w:val="center"/>
            <w:hideMark/>
          </w:tcPr>
          <w:p w:rsidR="00B37EC2" w:rsidRPr="00F24100" w:rsidRDefault="00B37EC2" w:rsidP="00B37EC2">
            <w:pPr>
              <w:rPr>
                <w:b/>
                <w:bCs/>
                <w:color w:val="000000"/>
                <w:sz w:val="22"/>
                <w:szCs w:val="22"/>
                <w:lang w:val="es-GT" w:eastAsia="es-GT"/>
              </w:rPr>
            </w:pPr>
            <w:r w:rsidRPr="00F24100">
              <w:rPr>
                <w:b/>
                <w:bCs/>
                <w:color w:val="000000"/>
                <w:sz w:val="22"/>
                <w:szCs w:val="22"/>
                <w:lang w:val="es-GT" w:eastAsia="es-GT"/>
              </w:rPr>
              <w:t>Externa</w:t>
            </w:r>
          </w:p>
        </w:tc>
        <w:tc>
          <w:tcPr>
            <w:tcW w:w="1221" w:type="dxa"/>
            <w:tcBorders>
              <w:top w:val="nil"/>
              <w:left w:val="nil"/>
              <w:bottom w:val="single" w:sz="8" w:space="0" w:color="auto"/>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48.0%</w:t>
            </w:r>
          </w:p>
        </w:tc>
        <w:tc>
          <w:tcPr>
            <w:tcW w:w="1222" w:type="dxa"/>
            <w:tcBorders>
              <w:top w:val="nil"/>
              <w:left w:val="nil"/>
              <w:bottom w:val="single" w:sz="8" w:space="0" w:color="auto"/>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46.9%</w:t>
            </w:r>
          </w:p>
        </w:tc>
        <w:tc>
          <w:tcPr>
            <w:tcW w:w="919" w:type="dxa"/>
            <w:tcBorders>
              <w:top w:val="nil"/>
              <w:left w:val="nil"/>
              <w:bottom w:val="single" w:sz="8" w:space="0" w:color="auto"/>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11.5%</w:t>
            </w:r>
          </w:p>
        </w:tc>
        <w:tc>
          <w:tcPr>
            <w:tcW w:w="919" w:type="dxa"/>
            <w:tcBorders>
              <w:top w:val="nil"/>
              <w:left w:val="nil"/>
              <w:bottom w:val="single" w:sz="8" w:space="0" w:color="auto"/>
              <w:right w:val="nil"/>
            </w:tcBorders>
            <w:shd w:val="clear" w:color="000000" w:fill="FFFFFF"/>
            <w:noWrap/>
            <w:vAlign w:val="center"/>
            <w:hideMark/>
          </w:tcPr>
          <w:p w:rsidR="00B37EC2" w:rsidRPr="00F24100" w:rsidRDefault="00B37EC2" w:rsidP="009E136C">
            <w:pPr>
              <w:jc w:val="center"/>
              <w:rPr>
                <w:color w:val="000000"/>
                <w:sz w:val="22"/>
                <w:szCs w:val="22"/>
                <w:lang w:val="es-GT" w:eastAsia="es-GT"/>
              </w:rPr>
            </w:pPr>
            <w:r w:rsidRPr="00F24100">
              <w:rPr>
                <w:color w:val="000000"/>
                <w:sz w:val="22"/>
                <w:szCs w:val="22"/>
                <w:lang w:val="es-GT" w:eastAsia="es-GT"/>
              </w:rPr>
              <w:t>11.0%</w:t>
            </w:r>
          </w:p>
        </w:tc>
        <w:tc>
          <w:tcPr>
            <w:tcW w:w="887" w:type="dxa"/>
            <w:tcBorders>
              <w:top w:val="nil"/>
              <w:left w:val="nil"/>
              <w:bottom w:val="single" w:sz="8" w:space="0" w:color="auto"/>
              <w:right w:val="nil"/>
            </w:tcBorders>
            <w:shd w:val="clear" w:color="000000" w:fill="FFFFFF"/>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4.5%</w:t>
            </w:r>
          </w:p>
        </w:tc>
        <w:tc>
          <w:tcPr>
            <w:tcW w:w="951" w:type="dxa"/>
            <w:tcBorders>
              <w:top w:val="nil"/>
              <w:left w:val="nil"/>
              <w:bottom w:val="single" w:sz="8" w:space="0" w:color="auto"/>
              <w:right w:val="nil"/>
            </w:tcBorders>
            <w:shd w:val="clear" w:color="000000" w:fill="FFFFFF"/>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4.</w:t>
            </w:r>
            <w:r w:rsidR="0018412B">
              <w:rPr>
                <w:color w:val="000000"/>
                <w:sz w:val="22"/>
                <w:szCs w:val="22"/>
                <w:lang w:val="es-GT" w:eastAsia="es-GT"/>
              </w:rPr>
              <w:t>5</w:t>
            </w:r>
            <w:r w:rsidRPr="00F24100">
              <w:rPr>
                <w:color w:val="000000"/>
                <w:sz w:val="22"/>
                <w:szCs w:val="22"/>
                <w:lang w:val="es-GT" w:eastAsia="es-GT"/>
              </w:rPr>
              <w:t>%</w:t>
            </w:r>
          </w:p>
        </w:tc>
        <w:tc>
          <w:tcPr>
            <w:tcW w:w="776" w:type="dxa"/>
            <w:tcBorders>
              <w:top w:val="nil"/>
              <w:left w:val="nil"/>
              <w:bottom w:val="single" w:sz="8" w:space="0" w:color="auto"/>
              <w:right w:val="nil"/>
            </w:tcBorders>
            <w:shd w:val="clear" w:color="auto" w:fill="auto"/>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9.1</w:t>
            </w:r>
          </w:p>
        </w:tc>
        <w:tc>
          <w:tcPr>
            <w:tcW w:w="1062" w:type="dxa"/>
            <w:tcBorders>
              <w:top w:val="nil"/>
              <w:left w:val="nil"/>
              <w:bottom w:val="single" w:sz="8" w:space="0" w:color="auto"/>
              <w:right w:val="single" w:sz="8" w:space="0" w:color="auto"/>
            </w:tcBorders>
            <w:shd w:val="clear" w:color="auto" w:fill="auto"/>
            <w:noWrap/>
            <w:vAlign w:val="center"/>
            <w:hideMark/>
          </w:tcPr>
          <w:p w:rsidR="00B37EC2" w:rsidRPr="00F24100" w:rsidRDefault="00B37EC2" w:rsidP="0018412B">
            <w:pPr>
              <w:jc w:val="center"/>
              <w:rPr>
                <w:color w:val="000000"/>
                <w:sz w:val="22"/>
                <w:szCs w:val="22"/>
                <w:lang w:val="es-GT" w:eastAsia="es-GT"/>
              </w:rPr>
            </w:pPr>
            <w:r w:rsidRPr="00F24100">
              <w:rPr>
                <w:color w:val="000000"/>
                <w:sz w:val="22"/>
                <w:szCs w:val="22"/>
                <w:lang w:val="es-GT" w:eastAsia="es-GT"/>
              </w:rPr>
              <w:t>8.8</w:t>
            </w:r>
          </w:p>
        </w:tc>
      </w:tr>
    </w:tbl>
    <w:p w:rsidR="00B37EC2" w:rsidRPr="00F24100" w:rsidRDefault="00B37EC2" w:rsidP="00B37EC2">
      <w:pPr>
        <w:ind w:left="142"/>
        <w:rPr>
          <w:sz w:val="16"/>
          <w:lang w:val="es-MX"/>
        </w:rPr>
      </w:pPr>
      <w:r w:rsidRPr="00A30CA3">
        <w:rPr>
          <w:sz w:val="16"/>
          <w:vertAlign w:val="superscript"/>
          <w:lang w:val="es-MX"/>
        </w:rPr>
        <w:t>1/</w:t>
      </w:r>
      <w:r>
        <w:rPr>
          <w:sz w:val="16"/>
          <w:lang w:val="es-MX"/>
        </w:rPr>
        <w:t xml:space="preserve"> No incluye colocaciones por anotación en cuenta.</w:t>
      </w:r>
    </w:p>
    <w:p w:rsidR="00B37EC2" w:rsidRPr="00F24100" w:rsidRDefault="00B37EC2" w:rsidP="00B37EC2">
      <w:pPr>
        <w:ind w:left="142"/>
        <w:rPr>
          <w:sz w:val="16"/>
          <w:lang w:val="es-MX"/>
        </w:rPr>
      </w:pPr>
      <w:r w:rsidRPr="00F24100">
        <w:rPr>
          <w:sz w:val="16"/>
          <w:lang w:val="es-MX"/>
        </w:rPr>
        <w:t>Fuente: Ministerio de Finanzas Públicas con base al SICOIN.</w:t>
      </w:r>
    </w:p>
    <w:p w:rsidR="00B37EC2" w:rsidRPr="00F24100" w:rsidRDefault="00B37EC2" w:rsidP="00B37EC2">
      <w:pPr>
        <w:ind w:left="142"/>
        <w:rPr>
          <w:sz w:val="16"/>
          <w:lang w:val="es-MX"/>
        </w:rPr>
      </w:pPr>
      <w:r w:rsidRPr="00F24100">
        <w:rPr>
          <w:sz w:val="16"/>
          <w:lang w:val="es-MX"/>
        </w:rPr>
        <w:t>* Cifras preliminares al 30 de junio de 2017.</w:t>
      </w:r>
    </w:p>
    <w:p w:rsidR="00B37EC2" w:rsidRPr="00AA65E6" w:rsidRDefault="00B37EC2" w:rsidP="00B37EC2">
      <w:pPr>
        <w:rPr>
          <w:highlight w:val="yellow"/>
          <w:lang w:val="es-MX"/>
        </w:rPr>
      </w:pPr>
    </w:p>
    <w:p w:rsidR="00B37EC2" w:rsidRPr="00F24100" w:rsidRDefault="00B37EC2" w:rsidP="00B37EC2">
      <w:pPr>
        <w:jc w:val="both"/>
        <w:rPr>
          <w:lang w:val="es-MX"/>
        </w:rPr>
      </w:pPr>
      <w:r w:rsidRPr="00F24100">
        <w:rPr>
          <w:lang w:val="es-MX"/>
        </w:rPr>
        <w:t>En 2017 se distingue que la distribución porcentual de la deuda externa, con relación al total de la deuda pública, decrece 1.1% con respecto de lo observado en 2016.  Este cambio de la estructura de la deuda se explica por la utilización de los préstamos externos como fuente de financiamiento; sin embargo, precisa destacar que se desarrolla un proceso de colocación de bonos lo que refleja que los inversionistas tienen confianza en el sistema financiero guatemalteco, lo que ha permitido un cambio en esta estructura.</w:t>
      </w:r>
    </w:p>
    <w:p w:rsidR="00B37EC2" w:rsidRPr="00615FD2" w:rsidRDefault="00B37EC2" w:rsidP="00B37EC2">
      <w:pPr>
        <w:jc w:val="both"/>
      </w:pPr>
    </w:p>
    <w:p w:rsidR="00B37EC2" w:rsidRPr="00615FD2" w:rsidRDefault="00B37EC2" w:rsidP="00D16A2D">
      <w:pPr>
        <w:keepNext/>
        <w:keepLines/>
        <w:numPr>
          <w:ilvl w:val="1"/>
          <w:numId w:val="2"/>
        </w:numPr>
        <w:ind w:left="567" w:hanging="567"/>
        <w:outlineLvl w:val="2"/>
        <w:rPr>
          <w:b/>
          <w:bCs/>
        </w:rPr>
      </w:pPr>
      <w:bookmarkStart w:id="33" w:name="_Toc426531162"/>
      <w:bookmarkStart w:id="34" w:name="_Toc460422680"/>
      <w:bookmarkStart w:id="35" w:name="_Toc494450605"/>
      <w:r w:rsidRPr="00615FD2">
        <w:rPr>
          <w:b/>
          <w:bCs/>
        </w:rPr>
        <w:t>Colocación de Bonos del Tesoro</w:t>
      </w:r>
      <w:bookmarkEnd w:id="33"/>
      <w:bookmarkEnd w:id="34"/>
      <w:bookmarkEnd w:id="35"/>
    </w:p>
    <w:p w:rsidR="00B37EC2" w:rsidRPr="00615FD2" w:rsidRDefault="00B37EC2" w:rsidP="00B37EC2">
      <w:pPr>
        <w:rPr>
          <w:sz w:val="14"/>
        </w:rPr>
      </w:pPr>
    </w:p>
    <w:p w:rsidR="00B37EC2" w:rsidRPr="00615FD2" w:rsidRDefault="00B37EC2" w:rsidP="00B37EC2">
      <w:pPr>
        <w:autoSpaceDE w:val="0"/>
        <w:autoSpaceDN w:val="0"/>
        <w:adjustRightInd w:val="0"/>
        <w:jc w:val="both"/>
        <w:rPr>
          <w:b/>
          <w:color w:val="000000"/>
          <w:sz w:val="2"/>
        </w:rPr>
      </w:pPr>
    </w:p>
    <w:p w:rsidR="00B37EC2" w:rsidRDefault="00B37EC2" w:rsidP="00B37EC2">
      <w:pPr>
        <w:autoSpaceDE w:val="0"/>
        <w:autoSpaceDN w:val="0"/>
        <w:adjustRightInd w:val="0"/>
        <w:jc w:val="both"/>
        <w:rPr>
          <w:color w:val="000000"/>
        </w:rPr>
      </w:pPr>
      <w:r w:rsidRPr="00615FD2">
        <w:rPr>
          <w:color w:val="000000"/>
        </w:rPr>
        <w:t>Para el Ejercicio Fiscal 201</w:t>
      </w:r>
      <w:r>
        <w:rPr>
          <w:color w:val="000000"/>
        </w:rPr>
        <w:t xml:space="preserve">7, </w:t>
      </w:r>
      <w:r w:rsidRPr="00197B49">
        <w:t>el Congreso de la República de Guatemala aprobó el Presupuesto General de Ingresos y Egresos del Estado</w:t>
      </w:r>
      <w:r>
        <w:t xml:space="preserve">, el cual </w:t>
      </w:r>
      <w:r w:rsidRPr="000A3E62">
        <w:t>contempla la emisión, negociación y colocación de los Bonos del Tesoro de la República por un monto total de Q</w:t>
      </w:r>
      <w:r w:rsidR="0018412B">
        <w:t>.</w:t>
      </w:r>
      <w:r w:rsidRPr="000A3E62">
        <w:t>1</w:t>
      </w:r>
      <w:r>
        <w:t>3</w:t>
      </w:r>
      <w:r w:rsidRPr="000A3E62">
        <w:t>,</w:t>
      </w:r>
      <w:r>
        <w:t>150</w:t>
      </w:r>
      <w:r w:rsidRPr="000A3E62">
        <w:t>.</w:t>
      </w:r>
      <w:r>
        <w:t>3</w:t>
      </w:r>
      <w:r w:rsidRPr="000A3E62">
        <w:t xml:space="preserve"> millones</w:t>
      </w:r>
      <w:r w:rsidRPr="00615FD2">
        <w:rPr>
          <w:color w:val="000000"/>
        </w:rPr>
        <w:t xml:space="preserve">, de conformidad con el Decreto No. </w:t>
      </w:r>
      <w:r>
        <w:rPr>
          <w:color w:val="000000"/>
        </w:rPr>
        <w:t>50</w:t>
      </w:r>
      <w:r w:rsidRPr="00615FD2">
        <w:rPr>
          <w:color w:val="000000"/>
        </w:rPr>
        <w:t>-201</w:t>
      </w:r>
      <w:r>
        <w:rPr>
          <w:color w:val="000000"/>
        </w:rPr>
        <w:t>6</w:t>
      </w:r>
      <w:r w:rsidRPr="00615FD2">
        <w:rPr>
          <w:color w:val="000000"/>
        </w:rPr>
        <w:t>. El referido monto incluye Q</w:t>
      </w:r>
      <w:r w:rsidR="0018412B">
        <w:rPr>
          <w:color w:val="000000"/>
        </w:rPr>
        <w:t>.</w:t>
      </w:r>
      <w:r>
        <w:rPr>
          <w:color w:val="000000"/>
        </w:rPr>
        <w:t>10</w:t>
      </w:r>
      <w:r w:rsidRPr="00615FD2">
        <w:rPr>
          <w:color w:val="000000"/>
        </w:rPr>
        <w:t>,</w:t>
      </w:r>
      <w:r>
        <w:rPr>
          <w:color w:val="000000"/>
        </w:rPr>
        <w:t>8</w:t>
      </w:r>
      <w:r w:rsidRPr="00615FD2">
        <w:rPr>
          <w:color w:val="000000"/>
        </w:rPr>
        <w:t>6</w:t>
      </w:r>
      <w:r>
        <w:rPr>
          <w:color w:val="000000"/>
        </w:rPr>
        <w:t>3</w:t>
      </w:r>
      <w:r w:rsidRPr="00615FD2">
        <w:rPr>
          <w:color w:val="000000"/>
        </w:rPr>
        <w:t>.5 millones de nuevo endeudamiento y Q</w:t>
      </w:r>
      <w:r w:rsidR="0018412B">
        <w:rPr>
          <w:color w:val="000000"/>
        </w:rPr>
        <w:t>.</w:t>
      </w:r>
      <w:r>
        <w:rPr>
          <w:color w:val="000000"/>
        </w:rPr>
        <w:t>2</w:t>
      </w:r>
      <w:r w:rsidRPr="00615FD2">
        <w:rPr>
          <w:color w:val="000000"/>
        </w:rPr>
        <w:t>,</w:t>
      </w:r>
      <w:r>
        <w:rPr>
          <w:color w:val="000000"/>
        </w:rPr>
        <w:t>286</w:t>
      </w:r>
      <w:r w:rsidRPr="00615FD2">
        <w:rPr>
          <w:color w:val="000000"/>
        </w:rPr>
        <w:t>.</w:t>
      </w:r>
      <w:r>
        <w:rPr>
          <w:color w:val="000000"/>
        </w:rPr>
        <w:t>8</w:t>
      </w:r>
      <w:r w:rsidRPr="00615FD2">
        <w:rPr>
          <w:color w:val="000000"/>
        </w:rPr>
        <w:t xml:space="preserve"> millones de </w:t>
      </w:r>
      <w:r w:rsidRPr="00615FD2">
        <w:rPr>
          <w:i/>
          <w:color w:val="000000"/>
        </w:rPr>
        <w:t>roll over</w:t>
      </w:r>
      <w:r w:rsidRPr="00615FD2">
        <w:rPr>
          <w:color w:val="000000"/>
        </w:rPr>
        <w:t>.</w:t>
      </w:r>
      <w:r w:rsidRPr="00615FD2">
        <w:rPr>
          <w:color w:val="000000"/>
          <w:vertAlign w:val="superscript"/>
        </w:rPr>
        <w:footnoteReference w:id="4"/>
      </w:r>
    </w:p>
    <w:p w:rsidR="00B37EC2" w:rsidRDefault="00B37EC2" w:rsidP="00B37EC2">
      <w:pPr>
        <w:autoSpaceDE w:val="0"/>
        <w:autoSpaceDN w:val="0"/>
        <w:adjustRightInd w:val="0"/>
        <w:jc w:val="both"/>
        <w:rPr>
          <w:color w:val="000000"/>
        </w:rPr>
      </w:pPr>
    </w:p>
    <w:p w:rsidR="00B37EC2" w:rsidRPr="00615FD2" w:rsidRDefault="00B37EC2" w:rsidP="00B37EC2">
      <w:pPr>
        <w:autoSpaceDE w:val="0"/>
        <w:autoSpaceDN w:val="0"/>
        <w:adjustRightInd w:val="0"/>
        <w:jc w:val="both"/>
        <w:rPr>
          <w:color w:val="000000"/>
        </w:rPr>
      </w:pPr>
      <w:r w:rsidRPr="00452399">
        <w:rPr>
          <w:color w:val="000000"/>
        </w:rPr>
        <w:t>Al 30 de junio de 2017 las colocaciones de Bonos del Tesoro sumaron la cantidad de Q</w:t>
      </w:r>
      <w:r w:rsidR="0018412B">
        <w:rPr>
          <w:color w:val="000000"/>
        </w:rPr>
        <w:t>.</w:t>
      </w:r>
      <w:r w:rsidRPr="00452399">
        <w:rPr>
          <w:color w:val="000000"/>
        </w:rPr>
        <w:t>9,253.74 millones que constituyen el 70.4% del monto total autorizado a colocar. De este monto el 60.3% corresponde a colocaciones realizadas en el mercado nacional y el 39.7% restante en el mercado internacional. La colocación de bonos del tesoro ha reflejado la liquidez del mercado de dinero y la confianza de los inversionistas para adquirir títulos de deuda pública guatemalteca.</w:t>
      </w:r>
    </w:p>
    <w:p w:rsidR="00B37EC2" w:rsidRDefault="00B37EC2" w:rsidP="00B37EC2">
      <w:pPr>
        <w:autoSpaceDE w:val="0"/>
        <w:autoSpaceDN w:val="0"/>
        <w:adjustRightInd w:val="0"/>
        <w:jc w:val="both"/>
      </w:pPr>
    </w:p>
    <w:p w:rsidR="00B37EC2" w:rsidRDefault="00B37EC2" w:rsidP="00B37EC2">
      <w:pPr>
        <w:autoSpaceDE w:val="0"/>
        <w:autoSpaceDN w:val="0"/>
        <w:adjustRightInd w:val="0"/>
        <w:jc w:val="both"/>
      </w:pPr>
      <w:r w:rsidRPr="00452399">
        <w:t xml:space="preserve">Con respecto a la colocación en el mercado nacional, el costo financiero expresado en la tasa de cupón promedio ponderado, manifestó un aumento de 27 puntos básicos con relación a lo observado en el año anterior, lo cual se deriva a que en el presente ejercicio fiscal la mayor parte de las colocaciones se realizaron a la fecha de vencimiento de 15 años. </w:t>
      </w:r>
    </w:p>
    <w:p w:rsidR="00B37EC2" w:rsidRDefault="00B37EC2" w:rsidP="00B37EC2">
      <w:pPr>
        <w:autoSpaceDE w:val="0"/>
        <w:autoSpaceDN w:val="0"/>
        <w:adjustRightInd w:val="0"/>
        <w:jc w:val="both"/>
      </w:pPr>
    </w:p>
    <w:p w:rsidR="00B37EC2" w:rsidRDefault="00B37EC2" w:rsidP="00B37EC2">
      <w:pPr>
        <w:autoSpaceDE w:val="0"/>
        <w:autoSpaceDN w:val="0"/>
        <w:adjustRightInd w:val="0"/>
        <w:jc w:val="both"/>
      </w:pPr>
    </w:p>
    <w:p w:rsidR="00B37EC2" w:rsidRDefault="00B37EC2" w:rsidP="00B37EC2">
      <w:pPr>
        <w:autoSpaceDE w:val="0"/>
        <w:autoSpaceDN w:val="0"/>
        <w:adjustRightInd w:val="0"/>
        <w:jc w:val="both"/>
      </w:pPr>
    </w:p>
    <w:p w:rsidR="00B37EC2" w:rsidRDefault="00B37EC2" w:rsidP="00B37EC2">
      <w:pPr>
        <w:autoSpaceDE w:val="0"/>
        <w:autoSpaceDN w:val="0"/>
        <w:adjustRightInd w:val="0"/>
        <w:jc w:val="both"/>
      </w:pPr>
    </w:p>
    <w:p w:rsidR="00B37EC2" w:rsidRPr="00771A67" w:rsidRDefault="00B37EC2" w:rsidP="00B37EC2">
      <w:pPr>
        <w:jc w:val="center"/>
        <w:rPr>
          <w:b/>
          <w:sz w:val="22"/>
          <w:lang w:val="es-MX"/>
        </w:rPr>
      </w:pPr>
      <w:r w:rsidRPr="00771A67">
        <w:rPr>
          <w:b/>
          <w:sz w:val="22"/>
          <w:lang w:val="es-MX"/>
        </w:rPr>
        <w:t xml:space="preserve">Gráfica </w:t>
      </w:r>
      <w:r w:rsidR="009370F6" w:rsidRPr="00771A67">
        <w:rPr>
          <w:b/>
          <w:sz w:val="22"/>
          <w:lang w:val="es-MX"/>
        </w:rPr>
        <w:t>10</w:t>
      </w:r>
    </w:p>
    <w:p w:rsidR="00B37EC2" w:rsidRPr="00771A67" w:rsidRDefault="00B37EC2" w:rsidP="00B37EC2">
      <w:pPr>
        <w:jc w:val="center"/>
        <w:rPr>
          <w:sz w:val="22"/>
          <w:lang w:val="es-MX"/>
        </w:rPr>
      </w:pPr>
      <w:r w:rsidRPr="00771A67">
        <w:rPr>
          <w:b/>
          <w:sz w:val="22"/>
          <w:lang w:val="es-MX"/>
        </w:rPr>
        <w:t>Tasa de Cupón Promedio Ponderado de las Colocaciones de Bonos del Tesoro</w:t>
      </w:r>
      <w:r w:rsidRPr="00771A67">
        <w:rPr>
          <w:b/>
          <w:sz w:val="22"/>
          <w:lang w:val="es-MX"/>
        </w:rPr>
        <w:br/>
      </w:r>
      <w:r w:rsidRPr="00771A67">
        <w:rPr>
          <w:sz w:val="22"/>
          <w:lang w:val="es-MX"/>
        </w:rPr>
        <w:t>Período 2005-2017*/</w:t>
      </w:r>
    </w:p>
    <w:p w:rsidR="00B37EC2" w:rsidRPr="00771A67" w:rsidRDefault="00B37EC2" w:rsidP="00B37EC2">
      <w:pPr>
        <w:jc w:val="center"/>
        <w:rPr>
          <w:sz w:val="22"/>
          <w:lang w:val="es-MX"/>
        </w:rPr>
      </w:pPr>
      <w:r w:rsidRPr="00771A67">
        <w:rPr>
          <w:sz w:val="22"/>
          <w:lang w:val="es-MX"/>
        </w:rPr>
        <w:t>(Cifras en Porcentajes)</w:t>
      </w:r>
    </w:p>
    <w:p w:rsidR="00B37EC2" w:rsidRDefault="00B37EC2" w:rsidP="00B37EC2">
      <w:pPr>
        <w:autoSpaceDE w:val="0"/>
        <w:autoSpaceDN w:val="0"/>
        <w:adjustRightInd w:val="0"/>
        <w:jc w:val="both"/>
      </w:pPr>
      <w:r>
        <w:rPr>
          <w:noProof/>
          <w:lang w:val="es-GT" w:eastAsia="es-GT"/>
        </w:rPr>
        <w:drawing>
          <wp:inline distT="0" distB="0" distL="0" distR="0" wp14:anchorId="625D719A" wp14:editId="35DBFE9B">
            <wp:extent cx="5612130" cy="3583305"/>
            <wp:effectExtent l="0" t="0" r="762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7EC2" w:rsidRPr="00452399" w:rsidRDefault="00B37EC2" w:rsidP="00B37EC2">
      <w:pPr>
        <w:autoSpaceDE w:val="0"/>
        <w:autoSpaceDN w:val="0"/>
        <w:adjustRightInd w:val="0"/>
        <w:jc w:val="both"/>
        <w:rPr>
          <w:sz w:val="16"/>
          <w:szCs w:val="16"/>
          <w:lang w:val="es-MX"/>
        </w:rPr>
      </w:pPr>
      <w:r w:rsidRPr="00452399">
        <w:rPr>
          <w:sz w:val="16"/>
          <w:szCs w:val="16"/>
          <w:lang w:val="es-MX"/>
        </w:rPr>
        <w:t>Fuente: Ministerio de Finanzas Públicas.</w:t>
      </w:r>
    </w:p>
    <w:p w:rsidR="00B37EC2" w:rsidRPr="00452399" w:rsidRDefault="00B37EC2" w:rsidP="00B37EC2">
      <w:pPr>
        <w:autoSpaceDE w:val="0"/>
        <w:autoSpaceDN w:val="0"/>
        <w:adjustRightInd w:val="0"/>
        <w:jc w:val="both"/>
        <w:rPr>
          <w:sz w:val="16"/>
          <w:szCs w:val="16"/>
          <w:lang w:val="es-MX"/>
        </w:rPr>
      </w:pPr>
      <w:r w:rsidRPr="00452399">
        <w:rPr>
          <w:sz w:val="16"/>
          <w:szCs w:val="16"/>
          <w:lang w:val="es-MX"/>
        </w:rPr>
        <w:t>*/ Cifras preliminares al 30 de junio de 2017.</w:t>
      </w:r>
    </w:p>
    <w:p w:rsidR="00B37EC2" w:rsidRDefault="00B37EC2" w:rsidP="00B37EC2">
      <w:pPr>
        <w:autoSpaceDE w:val="0"/>
        <w:autoSpaceDN w:val="0"/>
        <w:adjustRightInd w:val="0"/>
        <w:jc w:val="both"/>
      </w:pPr>
    </w:p>
    <w:p w:rsidR="00B37EC2" w:rsidRDefault="00B37EC2" w:rsidP="00B37EC2">
      <w:pPr>
        <w:autoSpaceDE w:val="0"/>
        <w:autoSpaceDN w:val="0"/>
        <w:adjustRightInd w:val="0"/>
        <w:jc w:val="both"/>
      </w:pPr>
      <w:r>
        <w:t>Como ha sucedido en años anteriores, en el presente ejercicio fiscal se ha observado en el mercado nacional una  preferencia por la adquisición de títulos a más largo plazo, ya que el 82.0% de las colocaciones correspondientes al primer semestre de 2017 fueron realizadas al plazo de vencimiento de 15 años (Q</w:t>
      </w:r>
      <w:r w:rsidR="0018412B">
        <w:t>.</w:t>
      </w:r>
      <w:r>
        <w:t>4,572.5 millones).</w:t>
      </w:r>
    </w:p>
    <w:p w:rsidR="00B37EC2" w:rsidRDefault="00B37EC2" w:rsidP="00B37EC2">
      <w:pPr>
        <w:autoSpaceDE w:val="0"/>
        <w:autoSpaceDN w:val="0"/>
        <w:adjustRightInd w:val="0"/>
        <w:jc w:val="both"/>
      </w:pPr>
    </w:p>
    <w:p w:rsidR="00B37EC2" w:rsidRDefault="00B37EC2" w:rsidP="00B37EC2">
      <w:pPr>
        <w:autoSpaceDE w:val="0"/>
        <w:autoSpaceDN w:val="0"/>
        <w:adjustRightInd w:val="0"/>
        <w:jc w:val="both"/>
      </w:pPr>
      <w:r>
        <w:t>Por otra parte, el impacto del comportamiento de la tasa de rendimiento sobre el costo financiero del stock de deuda en quetzales, tuvo una disminución de 10 puntos básicos, de un 8.1% al cierre de 2016 a un 8.0% al 30 de junio de 2017, lo cual ha contribuido a que en los eventos de colocación de bonos del tesoro, la adjudicación haya sido realizada principalmente a precios con prima</w:t>
      </w:r>
      <w:r>
        <w:rPr>
          <w:rStyle w:val="Refdenotaalpie"/>
        </w:rPr>
        <w:footnoteReference w:id="5"/>
      </w:r>
      <w:r>
        <w:t>. Por otra parte, el plazo promedio del stock de deuda interna en quetzales aumentó de una vida media de 13.5 a 13.7 años al 30 de junio de 2017</w:t>
      </w:r>
      <w:r>
        <w:rPr>
          <w:rStyle w:val="Refdenotaalpie"/>
        </w:rPr>
        <w:footnoteReference w:id="6"/>
      </w:r>
      <w:r>
        <w:t>. En lo que se refiere a la tasa de interés promedio ponderada del stock de deuda interna en dólares y la vida media del portafolio, éstas se mantuvieron constantes debido a que en el presente año no se han realizado emisiones de títulos valores en dólares en el mercado doméstico.</w:t>
      </w:r>
    </w:p>
    <w:p w:rsidR="00B37EC2" w:rsidRDefault="00B37EC2" w:rsidP="00B37EC2">
      <w:pPr>
        <w:autoSpaceDE w:val="0"/>
        <w:autoSpaceDN w:val="0"/>
        <w:adjustRightInd w:val="0"/>
        <w:jc w:val="both"/>
      </w:pPr>
    </w:p>
    <w:p w:rsidR="00B37EC2" w:rsidRPr="00615FD2" w:rsidRDefault="00B37EC2" w:rsidP="00B37EC2">
      <w:pPr>
        <w:autoSpaceDE w:val="0"/>
        <w:autoSpaceDN w:val="0"/>
        <w:adjustRightInd w:val="0"/>
        <w:ind w:firstLine="426"/>
        <w:jc w:val="both"/>
        <w:rPr>
          <w:sz w:val="18"/>
        </w:rPr>
      </w:pPr>
    </w:p>
    <w:p w:rsidR="00B37EC2" w:rsidRDefault="00B37EC2" w:rsidP="00B37EC2">
      <w:pPr>
        <w:autoSpaceDE w:val="0"/>
        <w:autoSpaceDN w:val="0"/>
        <w:adjustRightInd w:val="0"/>
        <w:jc w:val="both"/>
        <w:rPr>
          <w:color w:val="000000"/>
        </w:rPr>
      </w:pPr>
      <w:r w:rsidRPr="00615FD2">
        <w:rPr>
          <w:color w:val="000000"/>
        </w:rPr>
        <w:lastRenderedPageBreak/>
        <w:t xml:space="preserve">Además, cabe indicar que </w:t>
      </w:r>
      <w:r w:rsidRPr="00E15437">
        <w:rPr>
          <w:color w:val="000000"/>
        </w:rPr>
        <w:t>la República de Guatemala a través del Ministerio de Finanzas Públicas, incursionó por octava ocasión en el mercado internacional a través de una emisión global de bonos del tesoro</w:t>
      </w:r>
      <w:r>
        <w:rPr>
          <w:color w:val="000000"/>
        </w:rPr>
        <w:t>.</w:t>
      </w:r>
    </w:p>
    <w:p w:rsidR="00B37EC2" w:rsidRDefault="00B37EC2" w:rsidP="00B37EC2">
      <w:pPr>
        <w:autoSpaceDE w:val="0"/>
        <w:autoSpaceDN w:val="0"/>
        <w:adjustRightInd w:val="0"/>
        <w:jc w:val="both"/>
        <w:rPr>
          <w:color w:val="000000"/>
        </w:rPr>
      </w:pPr>
    </w:p>
    <w:p w:rsidR="00B37EC2" w:rsidRDefault="00B37EC2" w:rsidP="00B37EC2">
      <w:pPr>
        <w:autoSpaceDE w:val="0"/>
        <w:autoSpaceDN w:val="0"/>
        <w:adjustRightInd w:val="0"/>
        <w:jc w:val="both"/>
      </w:pPr>
      <w:r>
        <w:t>El 31 de mayo de 2017 se establecieron las condiciones financieras de esta operación, con un objetivo de colocación de hasta US$</w:t>
      </w:r>
      <w:r w:rsidR="00752172">
        <w:t>.</w:t>
      </w:r>
      <w:r>
        <w:t>500.0 millones, obteniendo un precio de 99.002%, tasa cupón de 4.375% y rendimiento de 4.500%, al plazo de 10 años (fecha de vencimiento 05 de junio de 2027), recibiendo los recursos el 5 de junio del presente año (fecha de liquidación).</w:t>
      </w:r>
    </w:p>
    <w:p w:rsidR="00B37EC2" w:rsidRDefault="00B37EC2" w:rsidP="00B37EC2">
      <w:pPr>
        <w:autoSpaceDE w:val="0"/>
        <w:autoSpaceDN w:val="0"/>
        <w:adjustRightInd w:val="0"/>
        <w:jc w:val="both"/>
      </w:pPr>
      <w:r>
        <w:t xml:space="preserve">                                       </w:t>
      </w:r>
    </w:p>
    <w:p w:rsidR="00B37EC2" w:rsidRDefault="00B37EC2" w:rsidP="00B37EC2">
      <w:pPr>
        <w:autoSpaceDE w:val="0"/>
        <w:autoSpaceDN w:val="0"/>
        <w:adjustRightInd w:val="0"/>
        <w:jc w:val="both"/>
      </w:pPr>
      <w:r>
        <w:t xml:space="preserve">En dicho evento se observó </w:t>
      </w:r>
      <w:r w:rsidR="00752172">
        <w:t>interés</w:t>
      </w:r>
      <w:r>
        <w:t xml:space="preserve"> de los inversionistas por colocar su capital en instrumentos seguros como los papeles guatemaltecos, recibiendo un monto de demanda que sumó US$</w:t>
      </w:r>
      <w:r w:rsidR="00752172">
        <w:t>.</w:t>
      </w:r>
      <w:r>
        <w:t>1,690.00 millones, más que el doble de lo ofertado.</w:t>
      </w:r>
    </w:p>
    <w:p w:rsidR="00B37EC2" w:rsidRPr="00E15437" w:rsidRDefault="00B37EC2" w:rsidP="00B37EC2">
      <w:pPr>
        <w:autoSpaceDE w:val="0"/>
        <w:autoSpaceDN w:val="0"/>
        <w:adjustRightInd w:val="0"/>
        <w:jc w:val="both"/>
        <w:rPr>
          <w:color w:val="000000"/>
        </w:rPr>
      </w:pPr>
    </w:p>
    <w:p w:rsidR="00B37EC2" w:rsidRPr="00E15437" w:rsidRDefault="00B37EC2" w:rsidP="00B37EC2">
      <w:pPr>
        <w:autoSpaceDE w:val="0"/>
        <w:autoSpaceDN w:val="0"/>
        <w:adjustRightInd w:val="0"/>
        <w:jc w:val="both"/>
      </w:pPr>
      <w:r w:rsidRPr="00E15437">
        <w:t xml:space="preserve">Dentro de los aspectos a resaltar de la emisión internacional de bonos realizada en el año 2017 se encuentran: </w:t>
      </w:r>
    </w:p>
    <w:p w:rsidR="00B37EC2" w:rsidRPr="00E15437" w:rsidRDefault="00B37EC2" w:rsidP="00B37EC2">
      <w:pPr>
        <w:autoSpaceDE w:val="0"/>
        <w:autoSpaceDN w:val="0"/>
        <w:adjustRightInd w:val="0"/>
        <w:jc w:val="both"/>
      </w:pPr>
    </w:p>
    <w:p w:rsidR="00B37EC2" w:rsidRDefault="00B37EC2" w:rsidP="00D16A2D">
      <w:pPr>
        <w:pStyle w:val="Prrafodelista"/>
        <w:numPr>
          <w:ilvl w:val="0"/>
          <w:numId w:val="12"/>
        </w:numPr>
        <w:autoSpaceDE w:val="0"/>
        <w:autoSpaceDN w:val="0"/>
        <w:adjustRightInd w:val="0"/>
        <w:spacing w:after="200" w:line="276" w:lineRule="auto"/>
        <w:contextualSpacing/>
        <w:jc w:val="both"/>
        <w:rPr>
          <w:lang w:val="es-GT"/>
        </w:rPr>
      </w:pPr>
      <w:r w:rsidRPr="00E15437">
        <w:rPr>
          <w:lang w:val="es-GT"/>
        </w:rPr>
        <w:t xml:space="preserve">Se alcanzó la tasa de interés más baja en la historia de colocaciones de este tipo para la República de Guatemala; </w:t>
      </w:r>
    </w:p>
    <w:p w:rsidR="00B37EC2" w:rsidRPr="00E15437" w:rsidRDefault="00B37EC2" w:rsidP="00B37EC2">
      <w:pPr>
        <w:pStyle w:val="Prrafodelista"/>
        <w:autoSpaceDE w:val="0"/>
        <w:autoSpaceDN w:val="0"/>
        <w:adjustRightInd w:val="0"/>
        <w:jc w:val="both"/>
        <w:rPr>
          <w:lang w:val="es-GT"/>
        </w:rPr>
      </w:pPr>
    </w:p>
    <w:p w:rsidR="00B37EC2" w:rsidRPr="00E15437" w:rsidRDefault="00B37EC2" w:rsidP="00D16A2D">
      <w:pPr>
        <w:pStyle w:val="Prrafodelista"/>
        <w:numPr>
          <w:ilvl w:val="0"/>
          <w:numId w:val="12"/>
        </w:numPr>
        <w:autoSpaceDE w:val="0"/>
        <w:autoSpaceDN w:val="0"/>
        <w:adjustRightInd w:val="0"/>
        <w:spacing w:after="200" w:line="276" w:lineRule="auto"/>
        <w:contextualSpacing/>
        <w:jc w:val="both"/>
        <w:rPr>
          <w:lang w:val="es-GT"/>
        </w:rPr>
      </w:pPr>
      <w:r w:rsidRPr="00E15437">
        <w:rPr>
          <w:lang w:val="es-GT"/>
        </w:rPr>
        <w:t xml:space="preserve">Se recibe un mensaje de confianza de los inversionistas nacionales e internacionales, sobre las condiciones económicas del país; </w:t>
      </w:r>
    </w:p>
    <w:p w:rsidR="00B37EC2" w:rsidRPr="00E15437" w:rsidRDefault="00B37EC2" w:rsidP="00B37EC2">
      <w:pPr>
        <w:autoSpaceDE w:val="0"/>
        <w:autoSpaceDN w:val="0"/>
        <w:adjustRightInd w:val="0"/>
        <w:jc w:val="both"/>
        <w:rPr>
          <w:lang w:val="es-GT"/>
        </w:rPr>
      </w:pPr>
    </w:p>
    <w:p w:rsidR="00B37EC2" w:rsidRPr="00E15437" w:rsidRDefault="00B37EC2" w:rsidP="00D16A2D">
      <w:pPr>
        <w:pStyle w:val="Prrafodelista"/>
        <w:numPr>
          <w:ilvl w:val="0"/>
          <w:numId w:val="12"/>
        </w:numPr>
        <w:autoSpaceDE w:val="0"/>
        <w:autoSpaceDN w:val="0"/>
        <w:adjustRightInd w:val="0"/>
        <w:spacing w:after="200" w:line="276" w:lineRule="auto"/>
        <w:contextualSpacing/>
        <w:jc w:val="both"/>
        <w:rPr>
          <w:lang w:val="es-GT"/>
        </w:rPr>
      </w:pPr>
      <w:r w:rsidRPr="00E15437">
        <w:rPr>
          <w:lang w:val="es-GT"/>
        </w:rPr>
        <w:t xml:space="preserve">El Eurobono colocado se constituye en un referente para emisores privados locales que aspiran en incursionar en el mercado financiero internacional; </w:t>
      </w:r>
    </w:p>
    <w:p w:rsidR="00B37EC2" w:rsidRPr="00E15437" w:rsidRDefault="00B37EC2" w:rsidP="00B37EC2">
      <w:pPr>
        <w:autoSpaceDE w:val="0"/>
        <w:autoSpaceDN w:val="0"/>
        <w:adjustRightInd w:val="0"/>
        <w:jc w:val="both"/>
      </w:pPr>
    </w:p>
    <w:p w:rsidR="00B37EC2" w:rsidRPr="00E15437" w:rsidRDefault="00B37EC2" w:rsidP="00D16A2D">
      <w:pPr>
        <w:pStyle w:val="Prrafodelista"/>
        <w:numPr>
          <w:ilvl w:val="0"/>
          <w:numId w:val="12"/>
        </w:numPr>
        <w:autoSpaceDE w:val="0"/>
        <w:autoSpaceDN w:val="0"/>
        <w:adjustRightInd w:val="0"/>
        <w:spacing w:after="200" w:line="276" w:lineRule="auto"/>
        <w:contextualSpacing/>
        <w:jc w:val="both"/>
        <w:rPr>
          <w:lang w:val="es-GT"/>
        </w:rPr>
      </w:pPr>
      <w:r w:rsidRPr="00E15437">
        <w:rPr>
          <w:lang w:val="es-GT"/>
        </w:rPr>
        <w:t xml:space="preserve">La colocación en el mercado internacional constituye un 41.5% del cupo total aprobado mediante el Decreto </w:t>
      </w:r>
      <w:r w:rsidR="00752172">
        <w:rPr>
          <w:lang w:val="es-GT"/>
        </w:rPr>
        <w:t>No.</w:t>
      </w:r>
      <w:r w:rsidRPr="00E15437">
        <w:rPr>
          <w:lang w:val="es-GT"/>
        </w:rPr>
        <w:t xml:space="preserve"> 50-2016, lo cual restó presión a la colocación de bonos del tesoro en el mercado local, preservando la estabilidad macroeconómica.</w:t>
      </w:r>
    </w:p>
    <w:p w:rsidR="00460A54" w:rsidRDefault="00460A54">
      <w:pPr>
        <w:rPr>
          <w:color w:val="000000"/>
        </w:rPr>
      </w:pPr>
      <w:r>
        <w:rPr>
          <w:color w:val="000000"/>
        </w:rPr>
        <w:br w:type="page"/>
      </w:r>
    </w:p>
    <w:p w:rsidR="00B37EC2" w:rsidRPr="00E15437" w:rsidRDefault="00B37EC2" w:rsidP="00B37EC2">
      <w:pPr>
        <w:autoSpaceDE w:val="0"/>
        <w:autoSpaceDN w:val="0"/>
        <w:adjustRightInd w:val="0"/>
        <w:jc w:val="both"/>
        <w:rPr>
          <w:color w:val="000000"/>
        </w:rPr>
      </w:pPr>
    </w:p>
    <w:p w:rsidR="00B37EC2" w:rsidRPr="00936D08" w:rsidRDefault="00B37EC2" w:rsidP="00D16A2D">
      <w:pPr>
        <w:keepNext/>
        <w:keepLines/>
        <w:numPr>
          <w:ilvl w:val="1"/>
          <w:numId w:val="2"/>
        </w:numPr>
        <w:ind w:left="567" w:hanging="567"/>
        <w:outlineLvl w:val="2"/>
        <w:rPr>
          <w:b/>
          <w:bCs/>
        </w:rPr>
      </w:pPr>
      <w:bookmarkStart w:id="36" w:name="_Toc426531163"/>
      <w:bookmarkStart w:id="37" w:name="_Toc460422681"/>
      <w:bookmarkStart w:id="38" w:name="_Toc494450606"/>
      <w:r w:rsidRPr="00936D08">
        <w:rPr>
          <w:b/>
          <w:bCs/>
        </w:rPr>
        <w:t>Desembolsos de préstamos externos</w:t>
      </w:r>
      <w:bookmarkEnd w:id="36"/>
      <w:bookmarkEnd w:id="37"/>
      <w:bookmarkEnd w:id="38"/>
    </w:p>
    <w:p w:rsidR="00B37EC2" w:rsidRPr="00AA65E6" w:rsidRDefault="00B37EC2" w:rsidP="00B37EC2">
      <w:pPr>
        <w:autoSpaceDE w:val="0"/>
        <w:autoSpaceDN w:val="0"/>
        <w:adjustRightInd w:val="0"/>
        <w:rPr>
          <w:b/>
          <w:color w:val="000000"/>
          <w:sz w:val="14"/>
          <w:highlight w:val="yellow"/>
        </w:rPr>
      </w:pPr>
    </w:p>
    <w:p w:rsidR="00B37EC2" w:rsidRDefault="00B37EC2" w:rsidP="00B37EC2">
      <w:pPr>
        <w:autoSpaceDE w:val="0"/>
        <w:autoSpaceDN w:val="0"/>
        <w:adjustRightInd w:val="0"/>
        <w:jc w:val="both"/>
        <w:rPr>
          <w:rFonts w:eastAsia="Calibri"/>
          <w:color w:val="000000"/>
          <w:lang w:val="es-GT" w:eastAsia="en-US"/>
        </w:rPr>
      </w:pPr>
      <w:r w:rsidRPr="00936D08">
        <w:rPr>
          <w:rFonts w:eastAsia="Calibri"/>
          <w:color w:val="000000"/>
          <w:lang w:val="es-GT" w:eastAsia="en-US"/>
        </w:rPr>
        <w:t>Los desembolsos de préstamos externos al 30 de junio de 2017 ascendieron a Q</w:t>
      </w:r>
      <w:r w:rsidR="00776D5B">
        <w:rPr>
          <w:rFonts w:eastAsia="Calibri"/>
          <w:color w:val="000000"/>
          <w:lang w:val="es-GT" w:eastAsia="en-US"/>
        </w:rPr>
        <w:t>.</w:t>
      </w:r>
      <w:r w:rsidRPr="00936D08">
        <w:rPr>
          <w:rFonts w:eastAsia="Calibri"/>
          <w:color w:val="000000"/>
          <w:lang w:val="es-GT" w:eastAsia="en-US"/>
        </w:rPr>
        <w:t>87.7 millones. El mayor aporte se obtuvo del Banco Interamericano de Desarrollo (BID) con Q</w:t>
      </w:r>
      <w:r w:rsidR="00776D5B">
        <w:rPr>
          <w:rFonts w:eastAsia="Calibri"/>
          <w:color w:val="000000"/>
          <w:lang w:val="es-GT" w:eastAsia="en-US"/>
        </w:rPr>
        <w:t>.</w:t>
      </w:r>
      <w:r w:rsidRPr="00936D08">
        <w:rPr>
          <w:rFonts w:eastAsia="Calibri"/>
          <w:color w:val="000000"/>
          <w:lang w:val="es-GT" w:eastAsia="en-US"/>
        </w:rPr>
        <w:t xml:space="preserve">57.9 millones, representando el 66.0% del total; le sigue la Organización de Países Exportadores de Petróleo (OPEP) con </w:t>
      </w:r>
      <w:r w:rsidR="00776D5B">
        <w:rPr>
          <w:rFonts w:eastAsia="Calibri"/>
          <w:color w:val="000000"/>
          <w:lang w:val="es-GT" w:eastAsia="en-US"/>
        </w:rPr>
        <w:t>Q.</w:t>
      </w:r>
      <w:r w:rsidRPr="00936D08">
        <w:rPr>
          <w:rFonts w:eastAsia="Calibri"/>
          <w:color w:val="000000"/>
          <w:lang w:val="es-GT" w:eastAsia="en-US"/>
        </w:rPr>
        <w:t>13.5 millones y el Fondo Internacional de Desarrollo Agrícola (FIDA) con Q</w:t>
      </w:r>
      <w:r w:rsidR="00776D5B">
        <w:rPr>
          <w:rFonts w:eastAsia="Calibri"/>
          <w:color w:val="000000"/>
          <w:lang w:val="es-GT" w:eastAsia="en-US"/>
        </w:rPr>
        <w:t>.</w:t>
      </w:r>
      <w:r w:rsidRPr="00936D08">
        <w:rPr>
          <w:rFonts w:eastAsia="Calibri"/>
          <w:color w:val="000000"/>
          <w:lang w:val="es-GT" w:eastAsia="en-US"/>
        </w:rPr>
        <w:t>8.9 millones.  Los desembolsos provenientes de préstamos externos representan el 0.11% del Presupuesto de Egresos vigente para el Ejercicio Fiscal 2017.</w:t>
      </w:r>
    </w:p>
    <w:p w:rsidR="009370F6" w:rsidRDefault="009370F6" w:rsidP="00B37EC2">
      <w:pPr>
        <w:jc w:val="center"/>
        <w:rPr>
          <w:b/>
          <w:sz w:val="22"/>
          <w:lang w:val="es-MX"/>
        </w:rPr>
      </w:pPr>
    </w:p>
    <w:p w:rsidR="00B37EC2" w:rsidRPr="00771A67" w:rsidRDefault="00B37EC2" w:rsidP="00B37EC2">
      <w:pPr>
        <w:jc w:val="center"/>
        <w:rPr>
          <w:b/>
          <w:sz w:val="22"/>
          <w:lang w:val="es-MX"/>
        </w:rPr>
      </w:pPr>
      <w:r w:rsidRPr="00771A67">
        <w:rPr>
          <w:b/>
          <w:sz w:val="22"/>
          <w:lang w:val="es-MX"/>
        </w:rPr>
        <w:t xml:space="preserve">Cuadro </w:t>
      </w:r>
      <w:r w:rsidR="009370F6" w:rsidRPr="00771A67">
        <w:rPr>
          <w:b/>
          <w:sz w:val="22"/>
          <w:lang w:val="es-MX"/>
        </w:rPr>
        <w:t>1</w:t>
      </w:r>
      <w:r w:rsidR="00910F6F">
        <w:rPr>
          <w:b/>
          <w:sz w:val="22"/>
          <w:lang w:val="es-MX"/>
        </w:rPr>
        <w:t>4</w:t>
      </w:r>
    </w:p>
    <w:p w:rsidR="00B37EC2" w:rsidRPr="00771A67" w:rsidRDefault="00B37EC2" w:rsidP="00B37EC2">
      <w:pPr>
        <w:jc w:val="center"/>
        <w:rPr>
          <w:b/>
          <w:sz w:val="22"/>
          <w:lang w:val="es-MX"/>
        </w:rPr>
      </w:pPr>
      <w:r w:rsidRPr="00771A67">
        <w:rPr>
          <w:b/>
          <w:sz w:val="22"/>
          <w:lang w:val="es-MX"/>
        </w:rPr>
        <w:t>Organismos Financieros Internacionales: Desembolsos Recibidos</w:t>
      </w:r>
    </w:p>
    <w:p w:rsidR="00B37EC2" w:rsidRPr="00771A67" w:rsidRDefault="00B37EC2" w:rsidP="00B37EC2">
      <w:pPr>
        <w:jc w:val="center"/>
        <w:rPr>
          <w:sz w:val="22"/>
          <w:lang w:val="es-MX"/>
        </w:rPr>
      </w:pPr>
      <w:r w:rsidRPr="00771A67">
        <w:rPr>
          <w:sz w:val="22"/>
          <w:lang w:val="es-MX"/>
        </w:rPr>
        <w:t>Al 30 de junio de 2017*</w:t>
      </w:r>
    </w:p>
    <w:p w:rsidR="00B37EC2" w:rsidRPr="00771A67" w:rsidRDefault="00B37EC2" w:rsidP="00B37EC2">
      <w:pPr>
        <w:jc w:val="center"/>
        <w:rPr>
          <w:sz w:val="22"/>
          <w:lang w:val="es-MX"/>
        </w:rPr>
      </w:pPr>
      <w:r w:rsidRPr="00771A67">
        <w:rPr>
          <w:sz w:val="22"/>
          <w:lang w:val="es-MX"/>
        </w:rPr>
        <w:t>(Cifras en Millones de Quetzales y Porcentajes)</w:t>
      </w:r>
    </w:p>
    <w:p w:rsidR="00B37EC2" w:rsidRPr="00AA65E6" w:rsidRDefault="00B37EC2" w:rsidP="00B37EC2">
      <w:pPr>
        <w:jc w:val="center"/>
        <w:rPr>
          <w:b/>
          <w:i/>
          <w:sz w:val="22"/>
          <w:highlight w:val="yellow"/>
          <w:lang w:val="es-MX"/>
        </w:rPr>
      </w:pPr>
    </w:p>
    <w:tbl>
      <w:tblPr>
        <w:tblW w:w="8710" w:type="dxa"/>
        <w:tblInd w:w="55" w:type="dxa"/>
        <w:tblCellMar>
          <w:left w:w="70" w:type="dxa"/>
          <w:right w:w="70" w:type="dxa"/>
        </w:tblCellMar>
        <w:tblLook w:val="04A0" w:firstRow="1" w:lastRow="0" w:firstColumn="1" w:lastColumn="0" w:noHBand="0" w:noVBand="1"/>
      </w:tblPr>
      <w:tblGrid>
        <w:gridCol w:w="5526"/>
        <w:gridCol w:w="1592"/>
        <w:gridCol w:w="1592"/>
      </w:tblGrid>
      <w:tr w:rsidR="00B37EC2" w:rsidRPr="00936D08" w:rsidTr="00B37EC2">
        <w:trPr>
          <w:trHeight w:val="331"/>
        </w:trPr>
        <w:tc>
          <w:tcPr>
            <w:tcW w:w="5526" w:type="dxa"/>
            <w:tcBorders>
              <w:top w:val="single" w:sz="8" w:space="0" w:color="auto"/>
              <w:left w:val="single" w:sz="8" w:space="0" w:color="auto"/>
              <w:bottom w:val="single" w:sz="8" w:space="0" w:color="auto"/>
              <w:right w:val="single" w:sz="8" w:space="0" w:color="auto"/>
            </w:tcBorders>
            <w:shd w:val="clear" w:color="000000" w:fill="8DB4E2"/>
            <w:noWrap/>
            <w:vAlign w:val="center"/>
            <w:hideMark/>
          </w:tcPr>
          <w:p w:rsidR="00B37EC2" w:rsidRPr="00936D08" w:rsidRDefault="00B37EC2" w:rsidP="00B37EC2">
            <w:pPr>
              <w:jc w:val="center"/>
              <w:rPr>
                <w:b/>
                <w:bCs/>
                <w:color w:val="000000"/>
                <w:sz w:val="22"/>
                <w:szCs w:val="22"/>
                <w:lang w:val="es-GT" w:eastAsia="es-GT"/>
              </w:rPr>
            </w:pPr>
            <w:r w:rsidRPr="00936D08">
              <w:rPr>
                <w:b/>
                <w:bCs/>
                <w:color w:val="000000"/>
                <w:sz w:val="22"/>
                <w:szCs w:val="22"/>
                <w:lang w:val="es-GT" w:eastAsia="es-GT"/>
              </w:rPr>
              <w:t>Entidad</w:t>
            </w:r>
          </w:p>
        </w:tc>
        <w:tc>
          <w:tcPr>
            <w:tcW w:w="1592" w:type="dxa"/>
            <w:tcBorders>
              <w:top w:val="single" w:sz="8" w:space="0" w:color="auto"/>
              <w:left w:val="nil"/>
              <w:bottom w:val="single" w:sz="8" w:space="0" w:color="auto"/>
              <w:right w:val="nil"/>
            </w:tcBorders>
            <w:shd w:val="clear" w:color="000000" w:fill="8DB4E2"/>
            <w:noWrap/>
            <w:vAlign w:val="center"/>
            <w:hideMark/>
          </w:tcPr>
          <w:p w:rsidR="00B37EC2" w:rsidRPr="00936D08" w:rsidRDefault="00B37EC2" w:rsidP="00B37EC2">
            <w:pPr>
              <w:jc w:val="center"/>
              <w:rPr>
                <w:b/>
                <w:bCs/>
                <w:color w:val="000000"/>
                <w:sz w:val="22"/>
                <w:szCs w:val="22"/>
                <w:lang w:val="es-GT" w:eastAsia="es-GT"/>
              </w:rPr>
            </w:pPr>
            <w:r w:rsidRPr="00936D08">
              <w:rPr>
                <w:b/>
                <w:bCs/>
                <w:color w:val="000000"/>
                <w:sz w:val="22"/>
                <w:szCs w:val="22"/>
                <w:lang w:val="es-GT" w:eastAsia="es-GT"/>
              </w:rPr>
              <w:t>Desembolsos</w:t>
            </w:r>
          </w:p>
        </w:tc>
        <w:tc>
          <w:tcPr>
            <w:tcW w:w="1592" w:type="dxa"/>
            <w:tcBorders>
              <w:top w:val="single" w:sz="8" w:space="0" w:color="auto"/>
              <w:left w:val="nil"/>
              <w:bottom w:val="single" w:sz="8" w:space="0" w:color="auto"/>
              <w:right w:val="single" w:sz="8" w:space="0" w:color="auto"/>
            </w:tcBorders>
            <w:shd w:val="clear" w:color="000000" w:fill="8DB4E2"/>
            <w:noWrap/>
            <w:vAlign w:val="center"/>
            <w:hideMark/>
          </w:tcPr>
          <w:p w:rsidR="00B37EC2" w:rsidRPr="00936D08" w:rsidRDefault="00B37EC2" w:rsidP="00B37EC2">
            <w:pPr>
              <w:jc w:val="center"/>
              <w:rPr>
                <w:b/>
                <w:bCs/>
                <w:color w:val="000000"/>
                <w:sz w:val="22"/>
                <w:szCs w:val="22"/>
                <w:lang w:val="es-GT" w:eastAsia="es-GT"/>
              </w:rPr>
            </w:pPr>
            <w:r w:rsidRPr="00936D08">
              <w:rPr>
                <w:b/>
                <w:bCs/>
                <w:color w:val="000000"/>
                <w:sz w:val="22"/>
                <w:szCs w:val="22"/>
                <w:lang w:val="es-GT" w:eastAsia="es-GT"/>
              </w:rPr>
              <w:t>Porcentaje</w:t>
            </w:r>
          </w:p>
        </w:tc>
      </w:tr>
      <w:tr w:rsidR="00B37EC2" w:rsidRPr="00936D08" w:rsidTr="00B37EC2">
        <w:trPr>
          <w:trHeight w:val="316"/>
        </w:trPr>
        <w:tc>
          <w:tcPr>
            <w:tcW w:w="5526" w:type="dxa"/>
            <w:tcBorders>
              <w:top w:val="nil"/>
              <w:left w:val="single" w:sz="8" w:space="0" w:color="auto"/>
              <w:bottom w:val="nil"/>
              <w:right w:val="single" w:sz="8" w:space="0" w:color="auto"/>
            </w:tcBorders>
            <w:shd w:val="clear" w:color="auto" w:fill="auto"/>
            <w:noWrap/>
            <w:vAlign w:val="center"/>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Banco Interamericano de Desarrollo</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 xml:space="preserve">                   57.9 </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jc w:val="right"/>
              <w:rPr>
                <w:color w:val="000000"/>
                <w:sz w:val="22"/>
                <w:szCs w:val="22"/>
                <w:lang w:val="es-GT" w:eastAsia="es-GT"/>
              </w:rPr>
            </w:pPr>
            <w:r w:rsidRPr="00936D08">
              <w:rPr>
                <w:color w:val="000000"/>
                <w:sz w:val="22"/>
                <w:szCs w:val="22"/>
                <w:lang w:val="es-GT" w:eastAsia="es-GT"/>
              </w:rPr>
              <w:t>66.0%</w:t>
            </w:r>
          </w:p>
        </w:tc>
      </w:tr>
      <w:tr w:rsidR="00B37EC2" w:rsidRPr="00936D08" w:rsidTr="00B37EC2">
        <w:trPr>
          <w:trHeight w:val="316"/>
        </w:trPr>
        <w:tc>
          <w:tcPr>
            <w:tcW w:w="5526" w:type="dxa"/>
            <w:tcBorders>
              <w:top w:val="nil"/>
              <w:left w:val="single" w:sz="8" w:space="0" w:color="auto"/>
              <w:bottom w:val="nil"/>
              <w:right w:val="single" w:sz="8" w:space="0" w:color="auto"/>
            </w:tcBorders>
            <w:shd w:val="clear" w:color="auto" w:fill="auto"/>
            <w:noWrap/>
            <w:vAlign w:val="center"/>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Organización de Países Exportadores de Petróleo</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 xml:space="preserve">                   13.5 </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jc w:val="right"/>
              <w:rPr>
                <w:color w:val="000000"/>
                <w:sz w:val="22"/>
                <w:szCs w:val="22"/>
                <w:lang w:val="es-GT" w:eastAsia="es-GT"/>
              </w:rPr>
            </w:pPr>
            <w:r w:rsidRPr="00936D08">
              <w:rPr>
                <w:color w:val="000000"/>
                <w:sz w:val="22"/>
                <w:szCs w:val="22"/>
                <w:lang w:val="es-GT" w:eastAsia="es-GT"/>
              </w:rPr>
              <w:t>15.4%</w:t>
            </w:r>
          </w:p>
        </w:tc>
      </w:tr>
      <w:tr w:rsidR="00B37EC2" w:rsidRPr="00936D08" w:rsidTr="00B37EC2">
        <w:trPr>
          <w:trHeight w:val="316"/>
        </w:trPr>
        <w:tc>
          <w:tcPr>
            <w:tcW w:w="5526" w:type="dxa"/>
            <w:tcBorders>
              <w:top w:val="nil"/>
              <w:left w:val="single" w:sz="8" w:space="0" w:color="auto"/>
              <w:bottom w:val="nil"/>
              <w:right w:val="single" w:sz="8" w:space="0" w:color="auto"/>
            </w:tcBorders>
            <w:shd w:val="clear" w:color="auto" w:fill="auto"/>
            <w:noWrap/>
            <w:vAlign w:val="center"/>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Fondo Internacional de Desarrollo Agrícola</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 xml:space="preserve">                     8.9 </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jc w:val="right"/>
              <w:rPr>
                <w:color w:val="000000"/>
                <w:sz w:val="22"/>
                <w:szCs w:val="22"/>
                <w:lang w:val="es-GT" w:eastAsia="es-GT"/>
              </w:rPr>
            </w:pPr>
            <w:r w:rsidRPr="00936D08">
              <w:rPr>
                <w:color w:val="000000"/>
                <w:sz w:val="22"/>
                <w:szCs w:val="22"/>
                <w:lang w:val="es-GT" w:eastAsia="es-GT"/>
              </w:rPr>
              <w:t>10.1%</w:t>
            </w:r>
          </w:p>
        </w:tc>
      </w:tr>
      <w:tr w:rsidR="00B37EC2" w:rsidRPr="00936D08" w:rsidTr="00B37EC2">
        <w:trPr>
          <w:trHeight w:val="316"/>
        </w:trPr>
        <w:tc>
          <w:tcPr>
            <w:tcW w:w="5526" w:type="dxa"/>
            <w:tcBorders>
              <w:top w:val="nil"/>
              <w:left w:val="single" w:sz="8" w:space="0" w:color="auto"/>
              <w:bottom w:val="nil"/>
              <w:right w:val="single" w:sz="8" w:space="0" w:color="auto"/>
            </w:tcBorders>
            <w:shd w:val="clear" w:color="auto" w:fill="auto"/>
            <w:noWrap/>
            <w:vAlign w:val="center"/>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Banco Centroamericano de Integración Económica</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 xml:space="preserve">                     5.3 </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jc w:val="right"/>
              <w:rPr>
                <w:color w:val="000000"/>
                <w:sz w:val="22"/>
                <w:szCs w:val="22"/>
                <w:lang w:val="es-GT" w:eastAsia="es-GT"/>
              </w:rPr>
            </w:pPr>
            <w:r w:rsidRPr="00936D08">
              <w:rPr>
                <w:color w:val="000000"/>
                <w:sz w:val="22"/>
                <w:szCs w:val="22"/>
                <w:lang w:val="es-GT" w:eastAsia="es-GT"/>
              </w:rPr>
              <w:t>6.0%</w:t>
            </w:r>
          </w:p>
        </w:tc>
      </w:tr>
      <w:tr w:rsidR="00B37EC2" w:rsidRPr="00936D08" w:rsidTr="00B37EC2">
        <w:trPr>
          <w:trHeight w:val="331"/>
        </w:trPr>
        <w:tc>
          <w:tcPr>
            <w:tcW w:w="5526" w:type="dxa"/>
            <w:tcBorders>
              <w:top w:val="nil"/>
              <w:left w:val="single" w:sz="8" w:space="0" w:color="auto"/>
              <w:bottom w:val="single" w:sz="8" w:space="0" w:color="auto"/>
              <w:right w:val="single" w:sz="8" w:space="0" w:color="auto"/>
            </w:tcBorders>
            <w:shd w:val="clear" w:color="auto" w:fill="auto"/>
            <w:noWrap/>
            <w:vAlign w:val="center"/>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Agencia de Cooperación Internacional del Japón</w:t>
            </w:r>
          </w:p>
        </w:tc>
        <w:tc>
          <w:tcPr>
            <w:tcW w:w="1592" w:type="dxa"/>
            <w:tcBorders>
              <w:top w:val="nil"/>
              <w:left w:val="nil"/>
              <w:bottom w:val="single" w:sz="8" w:space="0" w:color="auto"/>
              <w:right w:val="single" w:sz="8" w:space="0" w:color="auto"/>
            </w:tcBorders>
            <w:shd w:val="clear" w:color="auto" w:fill="auto"/>
            <w:noWrap/>
            <w:vAlign w:val="bottom"/>
            <w:hideMark/>
          </w:tcPr>
          <w:p w:rsidR="00B37EC2" w:rsidRPr="00936D08" w:rsidRDefault="00B37EC2" w:rsidP="00B37EC2">
            <w:pPr>
              <w:rPr>
                <w:color w:val="000000"/>
                <w:sz w:val="22"/>
                <w:szCs w:val="22"/>
                <w:lang w:val="es-GT" w:eastAsia="es-GT"/>
              </w:rPr>
            </w:pPr>
            <w:r w:rsidRPr="00936D08">
              <w:rPr>
                <w:color w:val="000000"/>
                <w:sz w:val="22"/>
                <w:szCs w:val="22"/>
                <w:lang w:val="es-GT" w:eastAsia="es-GT"/>
              </w:rPr>
              <w:t xml:space="preserve">                     2.2 </w:t>
            </w:r>
          </w:p>
        </w:tc>
        <w:tc>
          <w:tcPr>
            <w:tcW w:w="1592" w:type="dxa"/>
            <w:tcBorders>
              <w:top w:val="nil"/>
              <w:left w:val="nil"/>
              <w:bottom w:val="nil"/>
              <w:right w:val="single" w:sz="8" w:space="0" w:color="auto"/>
            </w:tcBorders>
            <w:shd w:val="clear" w:color="auto" w:fill="auto"/>
            <w:noWrap/>
            <w:vAlign w:val="bottom"/>
            <w:hideMark/>
          </w:tcPr>
          <w:p w:rsidR="00B37EC2" w:rsidRPr="00936D08" w:rsidRDefault="00B37EC2" w:rsidP="00B37EC2">
            <w:pPr>
              <w:jc w:val="right"/>
              <w:rPr>
                <w:color w:val="000000"/>
                <w:sz w:val="22"/>
                <w:szCs w:val="22"/>
                <w:lang w:val="es-GT" w:eastAsia="es-GT"/>
              </w:rPr>
            </w:pPr>
            <w:r w:rsidRPr="00936D08">
              <w:rPr>
                <w:color w:val="000000"/>
                <w:sz w:val="22"/>
                <w:szCs w:val="22"/>
                <w:lang w:val="es-GT" w:eastAsia="es-GT"/>
              </w:rPr>
              <w:t>2.5%</w:t>
            </w:r>
          </w:p>
        </w:tc>
      </w:tr>
      <w:tr w:rsidR="00B37EC2" w:rsidRPr="00936D08" w:rsidTr="00B37EC2">
        <w:trPr>
          <w:trHeight w:val="331"/>
        </w:trPr>
        <w:tc>
          <w:tcPr>
            <w:tcW w:w="5526" w:type="dxa"/>
            <w:tcBorders>
              <w:top w:val="nil"/>
              <w:left w:val="single" w:sz="8" w:space="0" w:color="auto"/>
              <w:bottom w:val="single" w:sz="8" w:space="0" w:color="auto"/>
              <w:right w:val="single" w:sz="8" w:space="0" w:color="auto"/>
            </w:tcBorders>
            <w:shd w:val="clear" w:color="auto" w:fill="auto"/>
            <w:noWrap/>
            <w:vAlign w:val="center"/>
            <w:hideMark/>
          </w:tcPr>
          <w:p w:rsidR="00B37EC2" w:rsidRPr="00936D08" w:rsidRDefault="00B37EC2" w:rsidP="00B37EC2">
            <w:pPr>
              <w:jc w:val="center"/>
              <w:rPr>
                <w:b/>
                <w:bCs/>
                <w:color w:val="000000"/>
                <w:sz w:val="22"/>
                <w:szCs w:val="22"/>
                <w:lang w:val="es-GT" w:eastAsia="es-GT"/>
              </w:rPr>
            </w:pPr>
            <w:r w:rsidRPr="00936D08">
              <w:rPr>
                <w:b/>
                <w:bCs/>
                <w:color w:val="000000"/>
                <w:sz w:val="22"/>
                <w:szCs w:val="22"/>
                <w:lang w:val="es-GT" w:eastAsia="es-GT"/>
              </w:rPr>
              <w:t>Total</w:t>
            </w:r>
          </w:p>
        </w:tc>
        <w:tc>
          <w:tcPr>
            <w:tcW w:w="1592" w:type="dxa"/>
            <w:tcBorders>
              <w:top w:val="nil"/>
              <w:left w:val="nil"/>
              <w:bottom w:val="single" w:sz="8" w:space="0" w:color="auto"/>
              <w:right w:val="single" w:sz="8" w:space="0" w:color="auto"/>
            </w:tcBorders>
            <w:shd w:val="clear" w:color="auto" w:fill="auto"/>
            <w:noWrap/>
            <w:vAlign w:val="bottom"/>
            <w:hideMark/>
          </w:tcPr>
          <w:p w:rsidR="00B37EC2" w:rsidRPr="00936D08" w:rsidRDefault="00B37EC2" w:rsidP="00B37EC2">
            <w:pPr>
              <w:rPr>
                <w:b/>
                <w:bCs/>
                <w:color w:val="000000"/>
                <w:sz w:val="22"/>
                <w:szCs w:val="22"/>
                <w:lang w:val="es-GT" w:eastAsia="es-GT"/>
              </w:rPr>
            </w:pPr>
            <w:r w:rsidRPr="00936D08">
              <w:rPr>
                <w:b/>
                <w:bCs/>
                <w:color w:val="000000"/>
                <w:sz w:val="22"/>
                <w:szCs w:val="22"/>
                <w:lang w:val="es-GT" w:eastAsia="es-GT"/>
              </w:rPr>
              <w:t xml:space="preserve">                   87.7 </w:t>
            </w:r>
          </w:p>
        </w:tc>
        <w:tc>
          <w:tcPr>
            <w:tcW w:w="1592" w:type="dxa"/>
            <w:tcBorders>
              <w:top w:val="single" w:sz="8" w:space="0" w:color="auto"/>
              <w:left w:val="nil"/>
              <w:bottom w:val="single" w:sz="8" w:space="0" w:color="auto"/>
              <w:right w:val="single" w:sz="8" w:space="0" w:color="auto"/>
            </w:tcBorders>
            <w:shd w:val="clear" w:color="auto" w:fill="auto"/>
            <w:noWrap/>
            <w:vAlign w:val="bottom"/>
            <w:hideMark/>
          </w:tcPr>
          <w:p w:rsidR="00B37EC2" w:rsidRPr="00936D08" w:rsidRDefault="00B37EC2" w:rsidP="00B37EC2">
            <w:pPr>
              <w:jc w:val="right"/>
              <w:rPr>
                <w:b/>
                <w:bCs/>
                <w:color w:val="000000"/>
                <w:sz w:val="22"/>
                <w:szCs w:val="22"/>
                <w:lang w:val="es-GT" w:eastAsia="es-GT"/>
              </w:rPr>
            </w:pPr>
            <w:r w:rsidRPr="00936D08">
              <w:rPr>
                <w:b/>
                <w:bCs/>
                <w:color w:val="000000"/>
                <w:sz w:val="22"/>
                <w:szCs w:val="22"/>
                <w:lang w:val="es-GT" w:eastAsia="es-GT"/>
              </w:rPr>
              <w:t>100.0%</w:t>
            </w:r>
          </w:p>
        </w:tc>
      </w:tr>
    </w:tbl>
    <w:p w:rsidR="00B37EC2" w:rsidRPr="00936D08" w:rsidRDefault="00B37EC2" w:rsidP="00B37EC2">
      <w:pPr>
        <w:rPr>
          <w:sz w:val="16"/>
          <w:lang w:val="es-MX"/>
        </w:rPr>
      </w:pPr>
      <w:r w:rsidRPr="00936D08">
        <w:rPr>
          <w:sz w:val="16"/>
          <w:lang w:val="es-MX"/>
        </w:rPr>
        <w:t>Fuente: Ministerio de Finanzas Públicas con base al SICOIN.</w:t>
      </w:r>
    </w:p>
    <w:p w:rsidR="00B37EC2" w:rsidRPr="00615FD2" w:rsidRDefault="00B37EC2" w:rsidP="00B37EC2">
      <w:pPr>
        <w:rPr>
          <w:sz w:val="16"/>
          <w:lang w:val="es-MX"/>
        </w:rPr>
      </w:pPr>
      <w:r w:rsidRPr="00936D08">
        <w:rPr>
          <w:sz w:val="16"/>
          <w:lang w:val="es-MX"/>
        </w:rPr>
        <w:t>* Cifras preliminares.</w:t>
      </w:r>
    </w:p>
    <w:p w:rsidR="00B37EC2" w:rsidRPr="00615FD2" w:rsidRDefault="00B37EC2" w:rsidP="00B37EC2">
      <w:pPr>
        <w:jc w:val="both"/>
        <w:rPr>
          <w:lang w:val="es-MX"/>
        </w:rPr>
      </w:pPr>
    </w:p>
    <w:p w:rsidR="00B37EC2" w:rsidRPr="00615FD2" w:rsidRDefault="00B37EC2" w:rsidP="00D16A2D">
      <w:pPr>
        <w:keepNext/>
        <w:keepLines/>
        <w:numPr>
          <w:ilvl w:val="1"/>
          <w:numId w:val="2"/>
        </w:numPr>
        <w:ind w:left="567" w:hanging="567"/>
        <w:outlineLvl w:val="2"/>
        <w:rPr>
          <w:b/>
          <w:bCs/>
        </w:rPr>
      </w:pPr>
      <w:bookmarkStart w:id="39" w:name="_Toc426531166"/>
      <w:bookmarkStart w:id="40" w:name="_Toc460422682"/>
      <w:bookmarkStart w:id="41" w:name="_Toc494450607"/>
      <w:r w:rsidRPr="00615FD2">
        <w:rPr>
          <w:b/>
          <w:bCs/>
        </w:rPr>
        <w:t>Servicio de la deuda pública</w:t>
      </w:r>
      <w:bookmarkEnd w:id="39"/>
      <w:bookmarkEnd w:id="40"/>
      <w:bookmarkEnd w:id="41"/>
    </w:p>
    <w:p w:rsidR="00B37EC2" w:rsidRPr="00615FD2" w:rsidRDefault="00B37EC2" w:rsidP="00B37EC2">
      <w:pPr>
        <w:jc w:val="both"/>
      </w:pPr>
    </w:p>
    <w:p w:rsidR="00B37EC2" w:rsidRPr="00615FD2" w:rsidRDefault="00B37EC2" w:rsidP="00B37EC2">
      <w:pPr>
        <w:jc w:val="both"/>
        <w:rPr>
          <w:lang w:val="es-MX"/>
        </w:rPr>
      </w:pPr>
      <w:r w:rsidRPr="00615FD2">
        <w:rPr>
          <w:lang w:val="es-MX"/>
        </w:rPr>
        <w:t>El Ministerio de Finanzas Públicas</w:t>
      </w:r>
      <w:r>
        <w:rPr>
          <w:lang w:val="es-MX"/>
        </w:rPr>
        <w:t>, a través de la Dirección de Crédito Público,</w:t>
      </w:r>
      <w:r w:rsidRPr="00615FD2">
        <w:rPr>
          <w:lang w:val="es-MX"/>
        </w:rPr>
        <w:t xml:space="preserve"> ha efectuado el pago de las obligaciones programadas del servicio de la deuda pública, alcanzando una ejecución al 30 de junio de 201</w:t>
      </w:r>
      <w:r>
        <w:rPr>
          <w:lang w:val="es-MX"/>
        </w:rPr>
        <w:t>7</w:t>
      </w:r>
      <w:r w:rsidRPr="00615FD2">
        <w:rPr>
          <w:lang w:val="es-MX"/>
        </w:rPr>
        <w:t xml:space="preserve"> de Q</w:t>
      </w:r>
      <w:r w:rsidR="00776D5B">
        <w:rPr>
          <w:lang w:val="es-MX"/>
        </w:rPr>
        <w:t>.</w:t>
      </w:r>
      <w:r w:rsidRPr="00615FD2">
        <w:rPr>
          <w:lang w:val="es-MX"/>
        </w:rPr>
        <w:t>5,</w:t>
      </w:r>
      <w:r>
        <w:rPr>
          <w:lang w:val="es-MX"/>
        </w:rPr>
        <w:t>312.8 millones, equivalente</w:t>
      </w:r>
      <w:r w:rsidRPr="00615FD2">
        <w:rPr>
          <w:lang w:val="es-MX"/>
        </w:rPr>
        <w:t xml:space="preserve"> al </w:t>
      </w:r>
      <w:r>
        <w:rPr>
          <w:lang w:val="es-MX"/>
        </w:rPr>
        <w:t>44.8</w:t>
      </w:r>
      <w:r w:rsidRPr="00615FD2">
        <w:rPr>
          <w:lang w:val="es-MX"/>
        </w:rPr>
        <w:t xml:space="preserve">% del presupuesto </w:t>
      </w:r>
      <w:r>
        <w:rPr>
          <w:lang w:val="es-MX"/>
        </w:rPr>
        <w:t>vigente</w:t>
      </w:r>
      <w:r w:rsidRPr="00615FD2">
        <w:rPr>
          <w:lang w:val="es-MX"/>
        </w:rPr>
        <w:t xml:space="preserve">. Dicho monto </w:t>
      </w:r>
      <w:r>
        <w:rPr>
          <w:lang w:val="es-MX"/>
        </w:rPr>
        <w:t xml:space="preserve">está conformado por deuda </w:t>
      </w:r>
      <w:r w:rsidRPr="00615FD2">
        <w:rPr>
          <w:lang w:val="es-MX"/>
        </w:rPr>
        <w:t>interna</w:t>
      </w:r>
      <w:r>
        <w:rPr>
          <w:lang w:val="es-MX"/>
        </w:rPr>
        <w:t xml:space="preserve"> (bonificada)</w:t>
      </w:r>
      <w:r w:rsidRPr="00615FD2">
        <w:rPr>
          <w:lang w:val="es-MX"/>
        </w:rPr>
        <w:t xml:space="preserve"> por Q</w:t>
      </w:r>
      <w:r w:rsidR="00776D5B">
        <w:rPr>
          <w:lang w:val="es-MX"/>
        </w:rPr>
        <w:t>.</w:t>
      </w:r>
      <w:r w:rsidRPr="00615FD2">
        <w:rPr>
          <w:lang w:val="es-MX"/>
        </w:rPr>
        <w:t>2,5</w:t>
      </w:r>
      <w:r>
        <w:rPr>
          <w:lang w:val="es-MX"/>
        </w:rPr>
        <w:t>92.4</w:t>
      </w:r>
      <w:r w:rsidRPr="00615FD2">
        <w:rPr>
          <w:lang w:val="es-MX"/>
        </w:rPr>
        <w:t xml:space="preserve"> millones, equivalentes al 48.</w:t>
      </w:r>
      <w:r>
        <w:rPr>
          <w:lang w:val="es-MX"/>
        </w:rPr>
        <w:t>8</w:t>
      </w:r>
      <w:r w:rsidRPr="00615FD2">
        <w:rPr>
          <w:lang w:val="es-MX"/>
        </w:rPr>
        <w:t>%; y deuda externa</w:t>
      </w:r>
      <w:r>
        <w:rPr>
          <w:lang w:val="es-MX"/>
        </w:rPr>
        <w:t xml:space="preserve"> (eurobonos y préstamos externos)</w:t>
      </w:r>
      <w:r w:rsidRPr="00615FD2">
        <w:rPr>
          <w:lang w:val="es-MX"/>
        </w:rPr>
        <w:t>, con una ejecución de Q</w:t>
      </w:r>
      <w:r w:rsidR="00776D5B">
        <w:rPr>
          <w:lang w:val="es-MX"/>
        </w:rPr>
        <w:t>.</w:t>
      </w:r>
      <w:r w:rsidRPr="00615FD2">
        <w:rPr>
          <w:lang w:val="es-MX"/>
        </w:rPr>
        <w:t>2,</w:t>
      </w:r>
      <w:r>
        <w:rPr>
          <w:lang w:val="es-MX"/>
        </w:rPr>
        <w:t>720.3</w:t>
      </w:r>
      <w:r w:rsidRPr="00615FD2">
        <w:rPr>
          <w:lang w:val="es-MX"/>
        </w:rPr>
        <w:t xml:space="preserve"> millones, correspondientes al 51.</w:t>
      </w:r>
      <w:r>
        <w:rPr>
          <w:lang w:val="es-MX"/>
        </w:rPr>
        <w:t>2</w:t>
      </w:r>
      <w:r w:rsidRPr="00615FD2">
        <w:rPr>
          <w:lang w:val="es-MX"/>
        </w:rPr>
        <w:t>%.</w:t>
      </w:r>
    </w:p>
    <w:p w:rsidR="00B37EC2" w:rsidRPr="00615FD2" w:rsidRDefault="00B37EC2" w:rsidP="00B37EC2">
      <w:pPr>
        <w:jc w:val="both"/>
        <w:rPr>
          <w:lang w:val="es-MX"/>
        </w:rPr>
      </w:pPr>
    </w:p>
    <w:p w:rsidR="00B37EC2" w:rsidRPr="00615FD2" w:rsidRDefault="00B37EC2" w:rsidP="00B37EC2">
      <w:pPr>
        <w:jc w:val="both"/>
        <w:rPr>
          <w:lang w:val="es-MX"/>
        </w:rPr>
      </w:pPr>
    </w:p>
    <w:p w:rsidR="00B37EC2" w:rsidRPr="00615FD2" w:rsidRDefault="00B37EC2" w:rsidP="00D16A2D">
      <w:pPr>
        <w:keepNext/>
        <w:keepLines/>
        <w:numPr>
          <w:ilvl w:val="1"/>
          <w:numId w:val="2"/>
        </w:numPr>
        <w:ind w:left="567" w:hanging="567"/>
        <w:outlineLvl w:val="2"/>
        <w:rPr>
          <w:b/>
          <w:bCs/>
        </w:rPr>
      </w:pPr>
      <w:bookmarkStart w:id="42" w:name="_Toc426531167"/>
      <w:bookmarkStart w:id="43" w:name="_Toc460422683"/>
      <w:bookmarkStart w:id="44" w:name="_Toc494450608"/>
      <w:r w:rsidRPr="00615FD2">
        <w:rPr>
          <w:b/>
          <w:bCs/>
        </w:rPr>
        <w:t>Cooperación financiera internacional reembolsable</w:t>
      </w:r>
      <w:bookmarkEnd w:id="42"/>
      <w:bookmarkEnd w:id="43"/>
      <w:bookmarkEnd w:id="44"/>
    </w:p>
    <w:p w:rsidR="00B37EC2" w:rsidRPr="00615FD2" w:rsidRDefault="00B37EC2" w:rsidP="00B37EC2">
      <w:pPr>
        <w:jc w:val="both"/>
        <w:rPr>
          <w:lang w:val="es-MX"/>
        </w:rPr>
      </w:pPr>
    </w:p>
    <w:p w:rsidR="00B37EC2" w:rsidRPr="00615FD2" w:rsidRDefault="00B37EC2" w:rsidP="00B37EC2">
      <w:pPr>
        <w:jc w:val="both"/>
        <w:rPr>
          <w:lang w:val="es-MX"/>
        </w:rPr>
      </w:pPr>
      <w:r>
        <w:rPr>
          <w:lang w:val="es-MX"/>
        </w:rPr>
        <w:t>Al 30 de junio d</w:t>
      </w:r>
      <w:r w:rsidRPr="00615FD2">
        <w:rPr>
          <w:lang w:val="es-MX"/>
        </w:rPr>
        <w:t>el año 201</w:t>
      </w:r>
      <w:r>
        <w:rPr>
          <w:lang w:val="es-MX"/>
        </w:rPr>
        <w:t>7</w:t>
      </w:r>
      <w:r w:rsidRPr="00615FD2">
        <w:rPr>
          <w:lang w:val="es-MX"/>
        </w:rPr>
        <w:t xml:space="preserve">, </w:t>
      </w:r>
      <w:r>
        <w:rPr>
          <w:lang w:val="es-MX"/>
        </w:rPr>
        <w:t>se encuentra en etapa de legalización, previo a su formalización o firma, una cartera de 10 operaciones de préstamos con los distintos Organismos Financieros Internacionales, hasta por un monto total de US$</w:t>
      </w:r>
      <w:r w:rsidR="00776D5B">
        <w:rPr>
          <w:lang w:val="es-MX"/>
        </w:rPr>
        <w:t>.</w:t>
      </w:r>
      <w:r>
        <w:rPr>
          <w:lang w:val="es-MX"/>
        </w:rPr>
        <w:t>1,264.0 millones, con los cuales se persigue apoyar diversos programas/proyectos priorizados por la actual administración de Gobierno</w:t>
      </w:r>
      <w:r w:rsidRPr="00615FD2">
        <w:rPr>
          <w:lang w:val="es-MX"/>
        </w:rPr>
        <w:t>.</w:t>
      </w:r>
      <w:r>
        <w:rPr>
          <w:lang w:val="es-MX"/>
        </w:rPr>
        <w:t xml:space="preserve"> De esa cartera, 8 operaciones de préstamo se encuentran en el Congreso de la República pendientes de aprobación, según se aprecia en el cuadro siguiente.  </w:t>
      </w:r>
    </w:p>
    <w:p w:rsidR="00B37EC2" w:rsidRDefault="00B37EC2" w:rsidP="00B37EC2">
      <w:pPr>
        <w:jc w:val="both"/>
        <w:rPr>
          <w:lang w:val="es-MX"/>
        </w:rPr>
      </w:pPr>
    </w:p>
    <w:p w:rsidR="00B37EC2" w:rsidRDefault="00B37EC2" w:rsidP="00B37EC2">
      <w:pPr>
        <w:jc w:val="both"/>
        <w:rPr>
          <w:lang w:val="es-MX"/>
        </w:rPr>
      </w:pPr>
    </w:p>
    <w:p w:rsidR="00B37EC2" w:rsidRDefault="00B37EC2" w:rsidP="00B37EC2">
      <w:pPr>
        <w:jc w:val="both"/>
        <w:rPr>
          <w:lang w:val="es-MX"/>
        </w:rPr>
      </w:pPr>
    </w:p>
    <w:p w:rsidR="00B37EC2" w:rsidRPr="00615FD2" w:rsidRDefault="00B37EC2" w:rsidP="00B37EC2">
      <w:pPr>
        <w:jc w:val="center"/>
        <w:rPr>
          <w:b/>
          <w:sz w:val="22"/>
          <w:lang w:val="es-MX"/>
        </w:rPr>
      </w:pPr>
    </w:p>
    <w:p w:rsidR="00B37EC2" w:rsidRPr="00771A67" w:rsidRDefault="00B37EC2" w:rsidP="00B37EC2">
      <w:pPr>
        <w:jc w:val="center"/>
        <w:rPr>
          <w:b/>
          <w:sz w:val="22"/>
          <w:lang w:val="es-MX"/>
        </w:rPr>
      </w:pPr>
      <w:r w:rsidRPr="00771A67">
        <w:rPr>
          <w:b/>
          <w:sz w:val="22"/>
          <w:lang w:val="es-MX"/>
        </w:rPr>
        <w:lastRenderedPageBreak/>
        <w:t xml:space="preserve">Cuadro </w:t>
      </w:r>
      <w:r w:rsidR="009370F6" w:rsidRPr="00771A67">
        <w:rPr>
          <w:b/>
          <w:sz w:val="22"/>
          <w:lang w:val="es-MX"/>
        </w:rPr>
        <w:t>1</w:t>
      </w:r>
      <w:r w:rsidR="00910F6F">
        <w:rPr>
          <w:b/>
          <w:sz w:val="22"/>
          <w:lang w:val="es-MX"/>
        </w:rPr>
        <w:t>5</w:t>
      </w:r>
    </w:p>
    <w:p w:rsidR="00B37EC2" w:rsidRPr="00771A67" w:rsidRDefault="00B37EC2" w:rsidP="00B37EC2">
      <w:pPr>
        <w:jc w:val="center"/>
        <w:rPr>
          <w:b/>
          <w:sz w:val="22"/>
          <w:lang w:val="es-MX"/>
        </w:rPr>
      </w:pPr>
      <w:r w:rsidRPr="00771A67">
        <w:rPr>
          <w:b/>
          <w:sz w:val="22"/>
          <w:lang w:val="es-MX"/>
        </w:rPr>
        <w:t>Préstamos Pendientes de Aprobación en el Congreso de la República</w:t>
      </w:r>
    </w:p>
    <w:p w:rsidR="00B37EC2" w:rsidRPr="00771A67" w:rsidRDefault="00B37EC2" w:rsidP="00B37EC2">
      <w:pPr>
        <w:jc w:val="center"/>
        <w:rPr>
          <w:sz w:val="22"/>
          <w:lang w:val="es-MX"/>
        </w:rPr>
      </w:pPr>
      <w:r w:rsidRPr="00771A67">
        <w:rPr>
          <w:sz w:val="22"/>
          <w:lang w:val="es-MX"/>
        </w:rPr>
        <w:t>(En Millones de Dólares)</w:t>
      </w:r>
    </w:p>
    <w:p w:rsidR="00B37EC2" w:rsidRDefault="00CE043C" w:rsidP="00B37EC2">
      <w:pPr>
        <w:jc w:val="center"/>
        <w:rPr>
          <w:i/>
          <w:sz w:val="22"/>
          <w:lang w:val="es-MX"/>
        </w:rPr>
      </w:pPr>
      <w:r w:rsidRPr="00CE043C">
        <w:rPr>
          <w:noProof/>
          <w:lang w:val="es-GT" w:eastAsia="es-GT"/>
        </w:rPr>
        <w:drawing>
          <wp:inline distT="0" distB="0" distL="0" distR="0" wp14:anchorId="76DF8AE4" wp14:editId="78E04396">
            <wp:extent cx="5760720" cy="2791170"/>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791170"/>
                    </a:xfrm>
                    <a:prstGeom prst="rect">
                      <a:avLst/>
                    </a:prstGeom>
                    <a:noFill/>
                    <a:ln>
                      <a:noFill/>
                    </a:ln>
                  </pic:spPr>
                </pic:pic>
              </a:graphicData>
            </a:graphic>
          </wp:inline>
        </w:drawing>
      </w:r>
    </w:p>
    <w:p w:rsidR="00B37EC2" w:rsidRPr="00615FD2" w:rsidRDefault="00B37EC2" w:rsidP="00B37EC2">
      <w:pPr>
        <w:rPr>
          <w:sz w:val="16"/>
          <w:szCs w:val="16"/>
        </w:rPr>
      </w:pPr>
      <w:r w:rsidRPr="00615FD2">
        <w:rPr>
          <w:sz w:val="16"/>
          <w:szCs w:val="16"/>
        </w:rPr>
        <w:t>*</w:t>
      </w:r>
      <w:r>
        <w:rPr>
          <w:sz w:val="16"/>
          <w:szCs w:val="16"/>
        </w:rPr>
        <w:t>*</w:t>
      </w:r>
      <w:r w:rsidRPr="00615FD2">
        <w:rPr>
          <w:sz w:val="16"/>
          <w:szCs w:val="16"/>
        </w:rPr>
        <w:t>/ El monto del financiamiento fue negociado en Euros.</w:t>
      </w:r>
    </w:p>
    <w:p w:rsidR="00B37EC2" w:rsidRPr="00615FD2" w:rsidRDefault="00B37EC2" w:rsidP="00B37EC2">
      <w:pPr>
        <w:rPr>
          <w:sz w:val="16"/>
          <w:lang w:val="es-MX"/>
        </w:rPr>
      </w:pPr>
      <w:r w:rsidRPr="00615FD2">
        <w:rPr>
          <w:sz w:val="16"/>
          <w:lang w:val="es-MX"/>
        </w:rPr>
        <w:t>Fuente: Ministerio de Finanzas Públicas.</w:t>
      </w:r>
    </w:p>
    <w:p w:rsidR="00B37EC2" w:rsidRPr="00615FD2" w:rsidRDefault="00B37EC2" w:rsidP="00B37EC2">
      <w:pPr>
        <w:jc w:val="both"/>
        <w:rPr>
          <w:lang w:val="es-MX"/>
        </w:rPr>
      </w:pPr>
    </w:p>
    <w:p w:rsidR="00B37EC2" w:rsidRDefault="00B37EC2" w:rsidP="00B37EC2">
      <w:pPr>
        <w:jc w:val="both"/>
      </w:pPr>
      <w:r>
        <w:rPr>
          <w:lang w:val="es-MX"/>
        </w:rPr>
        <w:t>Vale señalar que también de la cartera referida, se encuentran pendientes de envío a la Secretaría General de la Presidencia de la República, para su remisión al Congreso de la República, 2 operaciones de préstamo en gestión con el BIRF: 1) Programa de Infraestructura Urbana y Prevención de la Violencia,</w:t>
      </w:r>
      <w:r w:rsidR="00771A67">
        <w:rPr>
          <w:lang w:val="es-MX"/>
        </w:rPr>
        <w:t xml:space="preserve"> hasta por US$</w:t>
      </w:r>
      <w:r w:rsidR="00776D5B">
        <w:rPr>
          <w:lang w:val="es-MX"/>
        </w:rPr>
        <w:t>.</w:t>
      </w:r>
      <w:r w:rsidR="00771A67">
        <w:rPr>
          <w:lang w:val="es-MX"/>
        </w:rPr>
        <w:t>45.0 millones; y 2)</w:t>
      </w:r>
      <w:r>
        <w:rPr>
          <w:lang w:val="es-MX"/>
        </w:rPr>
        <w:t xml:space="preserve"> </w:t>
      </w:r>
      <w:r w:rsidRPr="000A5A42">
        <w:rPr>
          <w:lang w:val="es-MX"/>
        </w:rPr>
        <w:t>Crecer Sano: Proyecto de Nutrición y Salud en Guatemala, hasta por US$</w:t>
      </w:r>
      <w:r w:rsidR="00776D5B">
        <w:rPr>
          <w:lang w:val="es-MX"/>
        </w:rPr>
        <w:t>.</w:t>
      </w:r>
      <w:r w:rsidRPr="000A5A42">
        <w:rPr>
          <w:lang w:val="es-MX"/>
        </w:rPr>
        <w:t xml:space="preserve">100.0 millones. </w:t>
      </w:r>
    </w:p>
    <w:p w:rsidR="000C3FEC" w:rsidRPr="00C87438" w:rsidRDefault="000C3FEC" w:rsidP="008F5FCE">
      <w:pPr>
        <w:jc w:val="both"/>
        <w:rPr>
          <w:highlight w:val="yellow"/>
        </w:rPr>
      </w:pPr>
    </w:p>
    <w:p w:rsidR="00173EAE" w:rsidRPr="00C87438" w:rsidRDefault="00173EAE">
      <w:pPr>
        <w:rPr>
          <w:highlight w:val="yellow"/>
        </w:rPr>
      </w:pPr>
    </w:p>
    <w:p w:rsidR="001E579E" w:rsidRPr="00C87438" w:rsidRDefault="001E579E">
      <w:pPr>
        <w:rPr>
          <w:highlight w:val="yellow"/>
        </w:rPr>
      </w:pPr>
    </w:p>
    <w:p w:rsidR="001E579E" w:rsidRPr="00C87438" w:rsidRDefault="001E579E">
      <w:pPr>
        <w:rPr>
          <w:highlight w:val="yellow"/>
        </w:rPr>
      </w:pPr>
    </w:p>
    <w:p w:rsidR="001E579E" w:rsidRPr="00C87438" w:rsidRDefault="001E579E">
      <w:pPr>
        <w:rPr>
          <w:highlight w:val="yellow"/>
        </w:rPr>
      </w:pPr>
    </w:p>
    <w:p w:rsidR="001E579E" w:rsidRPr="00C87438" w:rsidRDefault="001E579E">
      <w:pPr>
        <w:rPr>
          <w:highlight w:val="yellow"/>
        </w:rPr>
      </w:pPr>
    </w:p>
    <w:p w:rsidR="009370F6" w:rsidRDefault="009370F6">
      <w:pPr>
        <w:rPr>
          <w:highlight w:val="yellow"/>
        </w:rPr>
      </w:pPr>
      <w:r>
        <w:rPr>
          <w:highlight w:val="yellow"/>
        </w:rPr>
        <w:br w:type="page"/>
      </w:r>
    </w:p>
    <w:p w:rsidR="005B1AE1" w:rsidRPr="00836931" w:rsidRDefault="005B1AE1" w:rsidP="00D16A2D">
      <w:pPr>
        <w:pStyle w:val="Ttulo1"/>
        <w:numPr>
          <w:ilvl w:val="0"/>
          <w:numId w:val="8"/>
        </w:numPr>
        <w:suppressAutoHyphens/>
        <w:ind w:left="709"/>
      </w:pPr>
      <w:bookmarkStart w:id="45" w:name="_Toc494288650"/>
      <w:bookmarkStart w:id="46" w:name="_Toc494450609"/>
      <w:r w:rsidRPr="00836931">
        <w:lastRenderedPageBreak/>
        <w:t>Perspectivas de Cierre 2017</w:t>
      </w:r>
      <w:bookmarkEnd w:id="45"/>
      <w:bookmarkEnd w:id="46"/>
    </w:p>
    <w:p w:rsidR="005B1AE1" w:rsidRDefault="005B1AE1" w:rsidP="005B1AE1">
      <w:pPr>
        <w:jc w:val="both"/>
      </w:pPr>
    </w:p>
    <w:p w:rsidR="005B1AE1" w:rsidRPr="007771BA" w:rsidRDefault="005B1AE1" w:rsidP="00D16A2D">
      <w:pPr>
        <w:keepNext/>
        <w:keepLines/>
        <w:numPr>
          <w:ilvl w:val="1"/>
          <w:numId w:val="19"/>
        </w:numPr>
        <w:ind w:left="0" w:firstLine="0"/>
        <w:outlineLvl w:val="2"/>
        <w:rPr>
          <w:b/>
          <w:bCs/>
        </w:rPr>
      </w:pPr>
      <w:bookmarkStart w:id="47" w:name="_Toc494450610"/>
      <w:r w:rsidRPr="007771BA">
        <w:rPr>
          <w:b/>
          <w:bCs/>
        </w:rPr>
        <w:t xml:space="preserve">Perspectivas </w:t>
      </w:r>
      <w:r w:rsidR="00930B59">
        <w:rPr>
          <w:b/>
          <w:bCs/>
        </w:rPr>
        <w:t>E</w:t>
      </w:r>
      <w:r w:rsidRPr="007771BA">
        <w:rPr>
          <w:b/>
          <w:bCs/>
        </w:rPr>
        <w:t>conómicas</w:t>
      </w:r>
      <w:bookmarkEnd w:id="47"/>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r>
        <w:rPr>
          <w:rFonts w:ascii="Times New Roman" w:hAnsi="Times New Roman"/>
          <w:lang w:val="es-MX"/>
        </w:rPr>
        <w:t>Con base en la información de las proyecciones macroeconómicas proporcionadas por el Banco de Guatemala, se realiza el análisis de las principales variables de incidencia fiscal.  En ese sentido, para 2017 nuevamente se observa una leve reducción en las expectativas en el comportamiento de las variables macroeconómicas, al menos hasta la última revisión que hiciera el Banco de Guatemala en abril de este año.  Sin embargo, es importante mencionar que en términos de la actividad económica con cifras recientes se puede observar que el IMAE mantiene una variación interanual en su tendencia ciclo de 3.1% al 30 de junio, a esta misma fecha el año anterior se ubicaba en 2.6%, lo cual muestra que al menos en el primer semestre del año la actividad económica ha sido más dinámica que el año anterior.</w:t>
      </w:r>
    </w:p>
    <w:p w:rsidR="005B1AE1" w:rsidRDefault="005B1AE1" w:rsidP="005B1AE1">
      <w:pPr>
        <w:pStyle w:val="Sinespaciado"/>
        <w:jc w:val="both"/>
        <w:rPr>
          <w:rFonts w:ascii="Times New Roman" w:hAnsi="Times New Roman"/>
          <w:lang w:val="es-MX"/>
        </w:rPr>
      </w:pPr>
    </w:p>
    <w:p w:rsidR="005B1AE1" w:rsidRPr="00F77B69" w:rsidRDefault="005B1AE1" w:rsidP="005B1AE1">
      <w:pPr>
        <w:pStyle w:val="Sinespaciado"/>
        <w:jc w:val="center"/>
        <w:rPr>
          <w:rFonts w:ascii="Times New Roman" w:hAnsi="Times New Roman"/>
          <w:b/>
          <w:lang w:val="es-MX"/>
        </w:rPr>
      </w:pPr>
      <w:r w:rsidRPr="00F77B69">
        <w:rPr>
          <w:rFonts w:ascii="Times New Roman" w:hAnsi="Times New Roman"/>
          <w:b/>
          <w:lang w:val="es-MX"/>
        </w:rPr>
        <w:t>Cuadro 1</w:t>
      </w:r>
      <w:r w:rsidR="00910F6F">
        <w:rPr>
          <w:rFonts w:ascii="Times New Roman" w:hAnsi="Times New Roman"/>
          <w:b/>
          <w:lang w:val="es-MX"/>
        </w:rPr>
        <w:t>6</w:t>
      </w:r>
    </w:p>
    <w:p w:rsidR="005B1AE1" w:rsidRPr="000973C4" w:rsidRDefault="005B1AE1" w:rsidP="005B1AE1">
      <w:pPr>
        <w:pStyle w:val="Sinespaciado"/>
        <w:jc w:val="center"/>
        <w:rPr>
          <w:rFonts w:ascii="Times New Roman" w:hAnsi="Times New Roman"/>
          <w:b/>
          <w:lang w:val="es-MX"/>
        </w:rPr>
      </w:pPr>
      <w:r w:rsidRPr="000973C4">
        <w:rPr>
          <w:rFonts w:ascii="Times New Roman" w:hAnsi="Times New Roman"/>
          <w:b/>
          <w:lang w:val="es-MX"/>
        </w:rPr>
        <w:t>Variables Macroeconómicas</w:t>
      </w:r>
      <w:r>
        <w:rPr>
          <w:rFonts w:ascii="Times New Roman" w:hAnsi="Times New Roman"/>
          <w:b/>
          <w:lang w:val="es-MX"/>
        </w:rPr>
        <w:t xml:space="preserve"> (Escenario bajo)</w:t>
      </w:r>
    </w:p>
    <w:p w:rsidR="005B1AE1" w:rsidRPr="000973C4" w:rsidRDefault="005B1AE1" w:rsidP="005B1AE1">
      <w:pPr>
        <w:pStyle w:val="Sinespaciado"/>
        <w:jc w:val="center"/>
        <w:rPr>
          <w:rFonts w:ascii="Times New Roman" w:hAnsi="Times New Roman"/>
          <w:sz w:val="20"/>
          <w:lang w:val="es-MX"/>
        </w:rPr>
      </w:pPr>
      <w:r w:rsidRPr="000973C4">
        <w:rPr>
          <w:rFonts w:ascii="Times New Roman" w:hAnsi="Times New Roman"/>
          <w:sz w:val="20"/>
          <w:lang w:val="es-MX"/>
        </w:rPr>
        <w:t>Estimación Presupuesto y Estimación Actual 2017</w:t>
      </w:r>
    </w:p>
    <w:p w:rsidR="005B1AE1" w:rsidRPr="000973C4" w:rsidRDefault="005B1AE1" w:rsidP="005B1AE1">
      <w:pPr>
        <w:pStyle w:val="Sinespaciado"/>
        <w:jc w:val="center"/>
        <w:rPr>
          <w:rFonts w:ascii="Times New Roman" w:hAnsi="Times New Roman"/>
          <w:sz w:val="20"/>
          <w:lang w:val="es-MX"/>
        </w:rPr>
      </w:pPr>
      <w:r w:rsidRPr="000973C4">
        <w:rPr>
          <w:rFonts w:ascii="Times New Roman" w:hAnsi="Times New Roman"/>
          <w:sz w:val="20"/>
          <w:lang w:val="es-MX"/>
        </w:rPr>
        <w:t>Variación Relativa</w:t>
      </w:r>
    </w:p>
    <w:tbl>
      <w:tblPr>
        <w:tblpPr w:leftFromText="141" w:rightFromText="141" w:vertAnchor="text" w:horzAnchor="margin" w:tblpXSpec="center" w:tblpY="184"/>
        <w:tblW w:w="5812" w:type="dxa"/>
        <w:tblLayout w:type="fixed"/>
        <w:tblCellMar>
          <w:left w:w="70" w:type="dxa"/>
          <w:right w:w="70" w:type="dxa"/>
        </w:tblCellMar>
        <w:tblLook w:val="04A0" w:firstRow="1" w:lastRow="0" w:firstColumn="1" w:lastColumn="0" w:noHBand="0" w:noVBand="1"/>
      </w:tblPr>
      <w:tblGrid>
        <w:gridCol w:w="1771"/>
        <w:gridCol w:w="1418"/>
        <w:gridCol w:w="1347"/>
        <w:gridCol w:w="1276"/>
      </w:tblGrid>
      <w:tr w:rsidR="005B1AE1" w:rsidRPr="0019669A" w:rsidTr="00910F6F">
        <w:trPr>
          <w:trHeight w:val="532"/>
        </w:trPr>
        <w:tc>
          <w:tcPr>
            <w:tcW w:w="1771" w:type="dxa"/>
            <w:tcBorders>
              <w:top w:val="nil"/>
              <w:left w:val="nil"/>
              <w:bottom w:val="single" w:sz="8" w:space="0" w:color="auto"/>
              <w:right w:val="nil"/>
            </w:tcBorders>
            <w:shd w:val="clear" w:color="auto" w:fill="auto"/>
            <w:noWrap/>
            <w:vAlign w:val="bottom"/>
            <w:hideMark/>
          </w:tcPr>
          <w:p w:rsidR="005B1AE1" w:rsidRPr="0019669A" w:rsidRDefault="005B1AE1" w:rsidP="00910F6F">
            <w:pPr>
              <w:rPr>
                <w:color w:val="000000"/>
                <w:lang w:eastAsia="es-GT"/>
              </w:rPr>
            </w:pPr>
            <w:r w:rsidRPr="0019669A">
              <w:rPr>
                <w:color w:val="000000"/>
                <w:lang w:eastAsia="es-GT"/>
              </w:rPr>
              <w:t> </w:t>
            </w:r>
          </w:p>
        </w:tc>
        <w:tc>
          <w:tcPr>
            <w:tcW w:w="1418" w:type="dxa"/>
            <w:tcBorders>
              <w:top w:val="single" w:sz="8" w:space="0" w:color="auto"/>
              <w:left w:val="single" w:sz="8" w:space="0" w:color="auto"/>
              <w:bottom w:val="single" w:sz="8" w:space="0" w:color="auto"/>
              <w:right w:val="single" w:sz="4" w:space="0" w:color="auto"/>
            </w:tcBorders>
            <w:shd w:val="clear" w:color="auto" w:fill="EAEAEA" w:themeFill="accent1" w:themeFillTint="99"/>
            <w:vAlign w:val="center"/>
            <w:hideMark/>
          </w:tcPr>
          <w:p w:rsidR="005B1AE1" w:rsidRPr="0019669A" w:rsidRDefault="005B1AE1" w:rsidP="00910F6F">
            <w:pPr>
              <w:jc w:val="center"/>
              <w:rPr>
                <w:b/>
                <w:bCs/>
                <w:color w:val="000000"/>
                <w:lang w:eastAsia="es-GT"/>
              </w:rPr>
            </w:pPr>
            <w:r w:rsidRPr="0019669A">
              <w:rPr>
                <w:b/>
                <w:bCs/>
                <w:color w:val="000000"/>
                <w:lang w:eastAsia="es-GT"/>
              </w:rPr>
              <w:t xml:space="preserve">Estimación Presupuesto </w:t>
            </w:r>
          </w:p>
        </w:tc>
        <w:tc>
          <w:tcPr>
            <w:tcW w:w="1347" w:type="dxa"/>
            <w:tcBorders>
              <w:top w:val="single" w:sz="8" w:space="0" w:color="auto"/>
              <w:left w:val="nil"/>
              <w:bottom w:val="single" w:sz="8" w:space="0" w:color="auto"/>
              <w:right w:val="single" w:sz="4" w:space="0" w:color="auto"/>
            </w:tcBorders>
            <w:shd w:val="clear" w:color="auto" w:fill="EAEAEA" w:themeFill="accent1" w:themeFillTint="99"/>
            <w:vAlign w:val="center"/>
            <w:hideMark/>
          </w:tcPr>
          <w:p w:rsidR="005B1AE1" w:rsidRPr="0019669A" w:rsidRDefault="005B1AE1" w:rsidP="00910F6F">
            <w:pPr>
              <w:jc w:val="center"/>
              <w:rPr>
                <w:b/>
                <w:bCs/>
                <w:color w:val="000000"/>
                <w:lang w:eastAsia="es-GT"/>
              </w:rPr>
            </w:pPr>
            <w:r w:rsidRPr="0019669A">
              <w:rPr>
                <w:b/>
                <w:bCs/>
                <w:color w:val="000000"/>
                <w:lang w:eastAsia="es-GT"/>
              </w:rPr>
              <w:t>Estimación Actual</w:t>
            </w:r>
          </w:p>
        </w:tc>
        <w:tc>
          <w:tcPr>
            <w:tcW w:w="1276" w:type="dxa"/>
            <w:tcBorders>
              <w:top w:val="single" w:sz="8" w:space="0" w:color="auto"/>
              <w:left w:val="nil"/>
              <w:bottom w:val="single" w:sz="8" w:space="0" w:color="auto"/>
              <w:right w:val="single" w:sz="8" w:space="0" w:color="auto"/>
            </w:tcBorders>
            <w:shd w:val="clear" w:color="auto" w:fill="EAEAEA" w:themeFill="accent1" w:themeFillTint="99"/>
            <w:vAlign w:val="center"/>
            <w:hideMark/>
          </w:tcPr>
          <w:p w:rsidR="005B1AE1" w:rsidRPr="0019669A" w:rsidRDefault="005B1AE1" w:rsidP="00910F6F">
            <w:pPr>
              <w:jc w:val="center"/>
              <w:rPr>
                <w:b/>
                <w:bCs/>
                <w:color w:val="000000"/>
                <w:lang w:eastAsia="es-GT"/>
              </w:rPr>
            </w:pPr>
            <w:r w:rsidRPr="0019669A">
              <w:rPr>
                <w:b/>
                <w:bCs/>
                <w:color w:val="000000"/>
                <w:lang w:eastAsia="es-GT"/>
              </w:rPr>
              <w:t>Desviación</w:t>
            </w:r>
          </w:p>
        </w:tc>
      </w:tr>
      <w:tr w:rsidR="005B1AE1" w:rsidRPr="0019669A" w:rsidTr="00910F6F">
        <w:trPr>
          <w:trHeight w:val="395"/>
        </w:trPr>
        <w:tc>
          <w:tcPr>
            <w:tcW w:w="1771" w:type="dxa"/>
            <w:tcBorders>
              <w:top w:val="nil"/>
              <w:left w:val="single" w:sz="8" w:space="0" w:color="auto"/>
              <w:bottom w:val="nil"/>
              <w:right w:val="nil"/>
            </w:tcBorders>
            <w:shd w:val="clear" w:color="auto" w:fill="auto"/>
            <w:noWrap/>
            <w:vAlign w:val="bottom"/>
            <w:hideMark/>
          </w:tcPr>
          <w:p w:rsidR="005B1AE1" w:rsidRPr="0019669A" w:rsidRDefault="005B1AE1" w:rsidP="00910F6F">
            <w:pPr>
              <w:rPr>
                <w:color w:val="000000"/>
                <w:lang w:eastAsia="es-GT"/>
              </w:rPr>
            </w:pPr>
            <w:r w:rsidRPr="0019669A">
              <w:rPr>
                <w:color w:val="000000"/>
                <w:lang w:eastAsia="es-GT"/>
              </w:rPr>
              <w:t>PIB nominal</w:t>
            </w:r>
            <w:r>
              <w:rPr>
                <w:color w:val="000000"/>
                <w:lang w:eastAsia="es-GT"/>
              </w:rPr>
              <w:t>*</w:t>
            </w:r>
          </w:p>
        </w:tc>
        <w:tc>
          <w:tcPr>
            <w:tcW w:w="1418" w:type="dxa"/>
            <w:tcBorders>
              <w:top w:val="nil"/>
              <w:left w:val="single" w:sz="8" w:space="0" w:color="auto"/>
              <w:bottom w:val="nil"/>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3.20</w:t>
            </w:r>
          </w:p>
        </w:tc>
        <w:tc>
          <w:tcPr>
            <w:tcW w:w="1347" w:type="dxa"/>
            <w:tcBorders>
              <w:top w:val="nil"/>
              <w:left w:val="nil"/>
              <w:bottom w:val="nil"/>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3.00</w:t>
            </w:r>
          </w:p>
        </w:tc>
        <w:tc>
          <w:tcPr>
            <w:tcW w:w="1276" w:type="dxa"/>
            <w:tcBorders>
              <w:top w:val="nil"/>
              <w:left w:val="nil"/>
              <w:bottom w:val="nil"/>
              <w:right w:val="single" w:sz="8"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-0.20</w:t>
            </w:r>
          </w:p>
        </w:tc>
      </w:tr>
      <w:tr w:rsidR="005B1AE1" w:rsidRPr="0019669A" w:rsidTr="00910F6F">
        <w:trPr>
          <w:trHeight w:val="395"/>
        </w:trPr>
        <w:tc>
          <w:tcPr>
            <w:tcW w:w="1771" w:type="dxa"/>
            <w:tcBorders>
              <w:top w:val="nil"/>
              <w:left w:val="single" w:sz="8" w:space="0" w:color="auto"/>
              <w:bottom w:val="nil"/>
              <w:right w:val="nil"/>
            </w:tcBorders>
            <w:shd w:val="clear" w:color="auto" w:fill="auto"/>
            <w:noWrap/>
            <w:vAlign w:val="bottom"/>
            <w:hideMark/>
          </w:tcPr>
          <w:p w:rsidR="005B1AE1" w:rsidRPr="0019669A" w:rsidRDefault="005B1AE1" w:rsidP="00910F6F">
            <w:pPr>
              <w:rPr>
                <w:color w:val="000000"/>
                <w:lang w:eastAsia="es-GT"/>
              </w:rPr>
            </w:pPr>
            <w:r w:rsidRPr="0019669A">
              <w:rPr>
                <w:color w:val="000000"/>
                <w:lang w:eastAsia="es-GT"/>
              </w:rPr>
              <w:t>PIB real</w:t>
            </w:r>
            <w:r>
              <w:rPr>
                <w:color w:val="000000"/>
                <w:lang w:eastAsia="es-GT"/>
              </w:rPr>
              <w:t>*</w:t>
            </w:r>
          </w:p>
        </w:tc>
        <w:tc>
          <w:tcPr>
            <w:tcW w:w="1418" w:type="dxa"/>
            <w:tcBorders>
              <w:top w:val="nil"/>
              <w:left w:val="single" w:sz="8" w:space="0" w:color="auto"/>
              <w:bottom w:val="nil"/>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7.00</w:t>
            </w:r>
          </w:p>
        </w:tc>
        <w:tc>
          <w:tcPr>
            <w:tcW w:w="1347" w:type="dxa"/>
            <w:tcBorders>
              <w:top w:val="nil"/>
              <w:left w:val="nil"/>
              <w:bottom w:val="nil"/>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6.70</w:t>
            </w:r>
          </w:p>
        </w:tc>
        <w:tc>
          <w:tcPr>
            <w:tcW w:w="1276" w:type="dxa"/>
            <w:tcBorders>
              <w:top w:val="nil"/>
              <w:left w:val="nil"/>
              <w:bottom w:val="nil"/>
              <w:right w:val="single" w:sz="8"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-0.30</w:t>
            </w:r>
          </w:p>
        </w:tc>
      </w:tr>
      <w:tr w:rsidR="005B1AE1" w:rsidRPr="0019669A" w:rsidTr="00910F6F">
        <w:trPr>
          <w:trHeight w:val="395"/>
        </w:trPr>
        <w:tc>
          <w:tcPr>
            <w:tcW w:w="1771" w:type="dxa"/>
            <w:tcBorders>
              <w:top w:val="nil"/>
              <w:left w:val="single" w:sz="8" w:space="0" w:color="auto"/>
              <w:bottom w:val="nil"/>
              <w:right w:val="nil"/>
            </w:tcBorders>
            <w:shd w:val="clear" w:color="auto" w:fill="auto"/>
            <w:noWrap/>
            <w:vAlign w:val="bottom"/>
            <w:hideMark/>
          </w:tcPr>
          <w:p w:rsidR="005B1AE1" w:rsidRPr="0019669A" w:rsidRDefault="005B1AE1" w:rsidP="00910F6F">
            <w:pPr>
              <w:rPr>
                <w:color w:val="000000"/>
                <w:lang w:eastAsia="es-GT"/>
              </w:rPr>
            </w:pPr>
            <w:r w:rsidRPr="0019669A">
              <w:rPr>
                <w:color w:val="000000"/>
                <w:lang w:eastAsia="es-GT"/>
              </w:rPr>
              <w:t>Importaciones</w:t>
            </w:r>
            <w:r>
              <w:rPr>
                <w:color w:val="000000"/>
                <w:lang w:eastAsia="es-GT"/>
              </w:rPr>
              <w:t>*</w:t>
            </w:r>
          </w:p>
        </w:tc>
        <w:tc>
          <w:tcPr>
            <w:tcW w:w="1418" w:type="dxa"/>
            <w:tcBorders>
              <w:top w:val="nil"/>
              <w:left w:val="single" w:sz="8" w:space="0" w:color="auto"/>
              <w:bottom w:val="nil"/>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4.50</w:t>
            </w:r>
          </w:p>
        </w:tc>
        <w:tc>
          <w:tcPr>
            <w:tcW w:w="1347" w:type="dxa"/>
            <w:tcBorders>
              <w:top w:val="nil"/>
              <w:left w:val="nil"/>
              <w:bottom w:val="nil"/>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3.50</w:t>
            </w:r>
          </w:p>
        </w:tc>
        <w:tc>
          <w:tcPr>
            <w:tcW w:w="1276" w:type="dxa"/>
            <w:tcBorders>
              <w:top w:val="nil"/>
              <w:left w:val="nil"/>
              <w:bottom w:val="nil"/>
              <w:right w:val="single" w:sz="8"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-1.00</w:t>
            </w:r>
          </w:p>
        </w:tc>
      </w:tr>
      <w:tr w:rsidR="005B1AE1" w:rsidRPr="0019669A" w:rsidTr="00910F6F">
        <w:trPr>
          <w:trHeight w:val="436"/>
        </w:trPr>
        <w:tc>
          <w:tcPr>
            <w:tcW w:w="1771" w:type="dxa"/>
            <w:tcBorders>
              <w:top w:val="nil"/>
              <w:left w:val="single" w:sz="8" w:space="0" w:color="auto"/>
              <w:bottom w:val="single" w:sz="8" w:space="0" w:color="auto"/>
              <w:right w:val="nil"/>
            </w:tcBorders>
            <w:shd w:val="clear" w:color="auto" w:fill="auto"/>
            <w:noWrap/>
            <w:vAlign w:val="bottom"/>
            <w:hideMark/>
          </w:tcPr>
          <w:p w:rsidR="005B1AE1" w:rsidRPr="0019669A" w:rsidRDefault="005B1AE1" w:rsidP="00910F6F">
            <w:pPr>
              <w:rPr>
                <w:color w:val="000000"/>
                <w:lang w:eastAsia="es-GT"/>
              </w:rPr>
            </w:pPr>
            <w:r w:rsidRPr="0019669A">
              <w:rPr>
                <w:color w:val="000000"/>
                <w:lang w:eastAsia="es-GT"/>
              </w:rPr>
              <w:t>Tipo de Cambio</w:t>
            </w:r>
          </w:p>
        </w:tc>
        <w:tc>
          <w:tcPr>
            <w:tcW w:w="1418" w:type="dxa"/>
            <w:tcBorders>
              <w:top w:val="nil"/>
              <w:left w:val="single" w:sz="8" w:space="0" w:color="auto"/>
              <w:bottom w:val="single" w:sz="8" w:space="0" w:color="auto"/>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0.00</w:t>
            </w:r>
          </w:p>
        </w:tc>
        <w:tc>
          <w:tcPr>
            <w:tcW w:w="1347" w:type="dxa"/>
            <w:tcBorders>
              <w:top w:val="nil"/>
              <w:left w:val="nil"/>
              <w:bottom w:val="single" w:sz="8" w:space="0" w:color="auto"/>
              <w:right w:val="single" w:sz="4"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-4.00</w:t>
            </w:r>
          </w:p>
        </w:tc>
        <w:tc>
          <w:tcPr>
            <w:tcW w:w="1276" w:type="dxa"/>
            <w:tcBorders>
              <w:top w:val="nil"/>
              <w:left w:val="nil"/>
              <w:bottom w:val="single" w:sz="8" w:space="0" w:color="auto"/>
              <w:right w:val="single" w:sz="8" w:space="0" w:color="auto"/>
            </w:tcBorders>
            <w:shd w:val="clear" w:color="auto" w:fill="auto"/>
            <w:noWrap/>
            <w:vAlign w:val="bottom"/>
            <w:hideMark/>
          </w:tcPr>
          <w:p w:rsidR="005B1AE1" w:rsidRPr="0019669A" w:rsidRDefault="005B1AE1" w:rsidP="00910F6F">
            <w:pPr>
              <w:jc w:val="center"/>
              <w:rPr>
                <w:color w:val="000000"/>
                <w:lang w:eastAsia="es-GT"/>
              </w:rPr>
            </w:pPr>
            <w:r w:rsidRPr="0019669A">
              <w:rPr>
                <w:color w:val="000000"/>
                <w:lang w:eastAsia="es-GT"/>
              </w:rPr>
              <w:t>-4.00</w:t>
            </w:r>
          </w:p>
        </w:tc>
      </w:tr>
    </w:tbl>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p>
    <w:p w:rsidR="005B1AE1" w:rsidRPr="00CC66A7" w:rsidRDefault="005B1AE1" w:rsidP="005B1AE1">
      <w:pPr>
        <w:pStyle w:val="Sinespaciado"/>
        <w:ind w:left="1485"/>
        <w:jc w:val="both"/>
        <w:rPr>
          <w:rFonts w:ascii="Times New Roman" w:hAnsi="Times New Roman"/>
          <w:sz w:val="18"/>
          <w:lang w:val="es-MX"/>
        </w:rPr>
      </w:pPr>
      <w:r>
        <w:rPr>
          <w:rFonts w:ascii="Times New Roman" w:hAnsi="Times New Roman"/>
          <w:sz w:val="18"/>
          <w:lang w:val="es-MX"/>
        </w:rPr>
        <w:t xml:space="preserve">  *</w:t>
      </w:r>
      <w:r w:rsidRPr="00CC66A7">
        <w:rPr>
          <w:rFonts w:ascii="Times New Roman" w:hAnsi="Times New Roman"/>
          <w:sz w:val="18"/>
          <w:lang w:val="es-MX"/>
        </w:rPr>
        <w:t xml:space="preserve">Fuente Banco de Guatemala </w:t>
      </w: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r>
        <w:rPr>
          <w:rFonts w:ascii="Times New Roman" w:hAnsi="Times New Roman"/>
          <w:lang w:val="es-MX"/>
        </w:rPr>
        <w:t>Por su parte, las importaciones de comercio general muestran un crecimiento interanual al 3</w:t>
      </w:r>
      <w:r w:rsidR="00CC433F">
        <w:rPr>
          <w:rFonts w:ascii="Times New Roman" w:hAnsi="Times New Roman"/>
          <w:lang w:val="es-MX"/>
        </w:rPr>
        <w:t>0</w:t>
      </w:r>
      <w:r>
        <w:rPr>
          <w:rFonts w:ascii="Times New Roman" w:hAnsi="Times New Roman"/>
          <w:lang w:val="es-MX"/>
        </w:rPr>
        <w:t xml:space="preserve"> de junio de 2017 de 6.3%, muy arriba del comportamiento que se observó a junio de 2016, en donde se tuvo una variación negativa de 3.9%, esta mejora es motivada por un efecto precio derivado del aumento promedio de los derivados del petróleo, aunque también se observa un incremento en el volumen de las importaciones principalmente de materiales de construcción, combustibles, bienes de capital y menor medida en bienes de consumo.  Los factores que contribuyen al crecimiento de las importaciones podrían propiciar al final del año un nivel mayor que el observado.</w:t>
      </w: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r>
        <w:rPr>
          <w:rFonts w:ascii="Times New Roman" w:hAnsi="Times New Roman"/>
          <w:lang w:val="es-MX"/>
        </w:rPr>
        <w:t>Sin embargo, la principal variable que muestra un nivel muy diferente a lo esperado es el tipo de cambio nominal, se tenía previsto una variación neutral pero el comportamiento de las remesas familiares y las exportaciones han incidido en un aumento de las divisas en el mercado interno que ha apreciado la moneda nacional, se espera que en el segundo semestre esta apreciación disminuya por la desaceleración de las remesas familiares y un posible aumento adicional de las importaciones.</w:t>
      </w:r>
    </w:p>
    <w:p w:rsidR="005B1AE1" w:rsidRDefault="005B1AE1" w:rsidP="005B1AE1">
      <w:pPr>
        <w:pStyle w:val="Sinespaciado"/>
        <w:jc w:val="both"/>
        <w:rPr>
          <w:rFonts w:ascii="Times New Roman" w:hAnsi="Times New Roman"/>
          <w:lang w:val="es-MX"/>
        </w:rPr>
      </w:pPr>
    </w:p>
    <w:p w:rsidR="005B1AE1" w:rsidRDefault="005B1AE1" w:rsidP="005B1AE1">
      <w:pPr>
        <w:pStyle w:val="Sinespaciado"/>
        <w:jc w:val="both"/>
        <w:rPr>
          <w:rFonts w:ascii="Times New Roman" w:hAnsi="Times New Roman"/>
          <w:lang w:val="es-MX"/>
        </w:rPr>
      </w:pPr>
      <w:r>
        <w:rPr>
          <w:rFonts w:ascii="Times New Roman" w:hAnsi="Times New Roman"/>
          <w:lang w:val="es-MX"/>
        </w:rPr>
        <w:t xml:space="preserve">  </w:t>
      </w:r>
    </w:p>
    <w:p w:rsidR="005B1AE1" w:rsidRPr="00A13209" w:rsidRDefault="005B1AE1" w:rsidP="005B1AE1">
      <w:pPr>
        <w:jc w:val="both"/>
        <w:rPr>
          <w:lang w:val="es-MX"/>
        </w:rPr>
      </w:pPr>
    </w:p>
    <w:p w:rsidR="005B1AE1" w:rsidRPr="007771BA" w:rsidRDefault="005B1AE1" w:rsidP="00D16A2D">
      <w:pPr>
        <w:keepNext/>
        <w:keepLines/>
        <w:numPr>
          <w:ilvl w:val="1"/>
          <w:numId w:val="19"/>
        </w:numPr>
        <w:ind w:left="0" w:firstLine="0"/>
        <w:outlineLvl w:val="2"/>
        <w:rPr>
          <w:b/>
          <w:bCs/>
        </w:rPr>
      </w:pPr>
      <w:bookmarkStart w:id="48" w:name="_Toc494450611"/>
      <w:r w:rsidRPr="007771BA">
        <w:rPr>
          <w:b/>
          <w:bCs/>
        </w:rPr>
        <w:lastRenderedPageBreak/>
        <w:t>Perspectivas Fiscales</w:t>
      </w:r>
      <w:bookmarkEnd w:id="48"/>
    </w:p>
    <w:p w:rsidR="005B1AE1" w:rsidRDefault="005B1AE1" w:rsidP="005B1AE1">
      <w:pPr>
        <w:jc w:val="both"/>
      </w:pPr>
    </w:p>
    <w:p w:rsidR="005B1AE1" w:rsidRDefault="005B1AE1" w:rsidP="005B1AE1">
      <w:pPr>
        <w:jc w:val="both"/>
      </w:pPr>
      <w:r w:rsidRPr="00E66DE2">
        <w:t>Dado el comportamiento de las cuentas fiscales al cierre del primer semestre de 201</w:t>
      </w:r>
      <w:r>
        <w:t>7</w:t>
      </w:r>
      <w:r w:rsidRPr="00E66DE2">
        <w:t xml:space="preserve">, así como la revisión del Banco de Guatemala de las variables macroeconómicas y considerando </w:t>
      </w:r>
      <w:r>
        <w:t>el comportamiento estacional de la ejecución financiera del gobierno del segundo semestre</w:t>
      </w:r>
      <w:r w:rsidRPr="00E66DE2">
        <w:t xml:space="preserve">, se realizó una revisión de las estimaciones fiscales, para contar con una visión más clara de cómo las finanzas públicas pudieran cerrar al final del presente ejercicio fiscal.  </w:t>
      </w:r>
    </w:p>
    <w:p w:rsidR="007771BA" w:rsidRDefault="007771BA" w:rsidP="007771BA">
      <w:pPr>
        <w:keepNext/>
        <w:keepLines/>
        <w:outlineLvl w:val="2"/>
      </w:pPr>
    </w:p>
    <w:p w:rsidR="005B1AE1" w:rsidRPr="007771BA" w:rsidRDefault="005B1AE1" w:rsidP="00D16A2D">
      <w:pPr>
        <w:keepNext/>
        <w:keepLines/>
        <w:numPr>
          <w:ilvl w:val="0"/>
          <w:numId w:val="20"/>
        </w:numPr>
        <w:outlineLvl w:val="2"/>
        <w:rPr>
          <w:b/>
          <w:bCs/>
        </w:rPr>
      </w:pPr>
      <w:bookmarkStart w:id="49" w:name="_Toc494450612"/>
      <w:r w:rsidRPr="007771BA">
        <w:rPr>
          <w:b/>
          <w:bCs/>
        </w:rPr>
        <w:t>Recaudación Fiscal</w:t>
      </w:r>
      <w:bookmarkEnd w:id="49"/>
    </w:p>
    <w:p w:rsidR="005B1AE1" w:rsidRDefault="005B1AE1" w:rsidP="005B1AE1">
      <w:pPr>
        <w:jc w:val="both"/>
        <w:rPr>
          <w:highlight w:val="yellow"/>
          <w:lang w:val="es-ES_tradnl"/>
        </w:rPr>
      </w:pPr>
    </w:p>
    <w:p w:rsidR="005B1AE1" w:rsidRPr="009E77C8" w:rsidRDefault="005B1AE1" w:rsidP="00D16A2D">
      <w:pPr>
        <w:pStyle w:val="Prrafodelista"/>
        <w:numPr>
          <w:ilvl w:val="0"/>
          <w:numId w:val="18"/>
        </w:numPr>
        <w:ind w:left="720"/>
        <w:jc w:val="both"/>
        <w:rPr>
          <w:lang w:val="es-ES_tradnl"/>
        </w:rPr>
      </w:pPr>
      <w:r w:rsidRPr="009E77C8">
        <w:rPr>
          <w:lang w:val="es-ES_tradnl"/>
        </w:rPr>
        <w:t>La estimación de recaudación tributaria para el ejercicio fiscal 2017 se fundamentó principalmente en supuestos establecidos en abril de 2017 de los cuales destacan:</w:t>
      </w:r>
    </w:p>
    <w:p w:rsidR="005B1AE1" w:rsidRPr="009E77C8" w:rsidRDefault="005B1AE1" w:rsidP="005B1AE1">
      <w:pPr>
        <w:ind w:left="708"/>
        <w:jc w:val="both"/>
        <w:rPr>
          <w:lang w:val="es-ES_tradnl"/>
        </w:rPr>
      </w:pPr>
    </w:p>
    <w:p w:rsidR="005B1AE1" w:rsidRPr="009E77C8" w:rsidRDefault="005B1AE1" w:rsidP="00D16A2D">
      <w:pPr>
        <w:pStyle w:val="Prrafodelista"/>
        <w:numPr>
          <w:ilvl w:val="0"/>
          <w:numId w:val="17"/>
        </w:numPr>
        <w:ind w:left="1418" w:hanging="426"/>
        <w:jc w:val="both"/>
        <w:rPr>
          <w:lang w:val="es-ES_tradnl"/>
        </w:rPr>
      </w:pPr>
      <w:r w:rsidRPr="009E77C8">
        <w:rPr>
          <w:lang w:val="es-ES_tradnl"/>
        </w:rPr>
        <w:t>Crecimiento de la economía nacional en torno a 3.2%</w:t>
      </w:r>
    </w:p>
    <w:p w:rsidR="005B1AE1" w:rsidRPr="009E77C8" w:rsidRDefault="005B1AE1" w:rsidP="00D16A2D">
      <w:pPr>
        <w:pStyle w:val="Prrafodelista"/>
        <w:numPr>
          <w:ilvl w:val="0"/>
          <w:numId w:val="17"/>
        </w:numPr>
        <w:ind w:left="1418" w:hanging="426"/>
        <w:jc w:val="both"/>
        <w:rPr>
          <w:lang w:val="es-ES_tradnl"/>
        </w:rPr>
      </w:pPr>
      <w:r w:rsidRPr="009E77C8">
        <w:rPr>
          <w:lang w:val="es-ES_tradnl"/>
        </w:rPr>
        <w:t>Cierre del ejercicio fiscal de 2016 (Q</w:t>
      </w:r>
      <w:r w:rsidR="00CC433F">
        <w:rPr>
          <w:lang w:val="es-ES_tradnl"/>
        </w:rPr>
        <w:t>.</w:t>
      </w:r>
      <w:r w:rsidRPr="009E77C8">
        <w:rPr>
          <w:lang w:val="es-ES_tradnl"/>
        </w:rPr>
        <w:t>51,911.7 millones no incluye efecto de adeudos tributarios)</w:t>
      </w:r>
    </w:p>
    <w:p w:rsidR="005B1AE1" w:rsidRPr="009E77C8" w:rsidRDefault="005B1AE1" w:rsidP="00D16A2D">
      <w:pPr>
        <w:pStyle w:val="Prrafodelista"/>
        <w:numPr>
          <w:ilvl w:val="0"/>
          <w:numId w:val="17"/>
        </w:numPr>
        <w:ind w:left="1418" w:hanging="426"/>
        <w:jc w:val="both"/>
        <w:rPr>
          <w:lang w:val="es-ES_tradnl"/>
        </w:rPr>
      </w:pPr>
      <w:r w:rsidRPr="009E77C8">
        <w:rPr>
          <w:lang w:val="es-ES_tradnl"/>
        </w:rPr>
        <w:t xml:space="preserve">Estimación del precio internacional del petróleo en torno a los </w:t>
      </w:r>
      <w:r w:rsidR="00A62C52">
        <w:rPr>
          <w:lang w:val="es-ES_tradnl"/>
        </w:rPr>
        <w:t>US</w:t>
      </w:r>
      <w:r w:rsidRPr="009E77C8">
        <w:rPr>
          <w:lang w:val="es-ES_tradnl"/>
        </w:rPr>
        <w:t>$</w:t>
      </w:r>
      <w:r w:rsidR="00A62C52">
        <w:rPr>
          <w:lang w:val="es-ES_tradnl"/>
        </w:rPr>
        <w:t>.</w:t>
      </w:r>
      <w:r w:rsidRPr="009E77C8">
        <w:rPr>
          <w:lang w:val="es-ES_tradnl"/>
        </w:rPr>
        <w:t>50.</w:t>
      </w:r>
    </w:p>
    <w:p w:rsidR="005B1AE1" w:rsidRPr="009E77C8" w:rsidRDefault="005B1AE1" w:rsidP="00D16A2D">
      <w:pPr>
        <w:pStyle w:val="Prrafodelista"/>
        <w:numPr>
          <w:ilvl w:val="0"/>
          <w:numId w:val="17"/>
        </w:numPr>
        <w:ind w:left="1418" w:hanging="426"/>
        <w:jc w:val="both"/>
        <w:rPr>
          <w:lang w:val="es-ES_tradnl"/>
        </w:rPr>
      </w:pPr>
      <w:r w:rsidRPr="009E77C8">
        <w:rPr>
          <w:lang w:val="es-ES_tradnl"/>
        </w:rPr>
        <w:t>Tipo de cambio neutro</w:t>
      </w:r>
    </w:p>
    <w:p w:rsidR="005B1AE1" w:rsidRPr="009E77C8" w:rsidRDefault="005B1AE1" w:rsidP="00D16A2D">
      <w:pPr>
        <w:pStyle w:val="Prrafodelista"/>
        <w:numPr>
          <w:ilvl w:val="0"/>
          <w:numId w:val="17"/>
        </w:numPr>
        <w:ind w:left="1418" w:hanging="426"/>
        <w:jc w:val="both"/>
        <w:rPr>
          <w:lang w:val="es-ES_tradnl"/>
        </w:rPr>
      </w:pPr>
      <w:r w:rsidRPr="009E77C8">
        <w:rPr>
          <w:lang w:val="es-ES_tradnl"/>
        </w:rPr>
        <w:t>Mejoras en la administración tributaria</w:t>
      </w:r>
    </w:p>
    <w:p w:rsidR="005B1AE1" w:rsidRPr="009E77C8" w:rsidRDefault="005B1AE1" w:rsidP="00D16A2D">
      <w:pPr>
        <w:pStyle w:val="Prrafodelista"/>
        <w:numPr>
          <w:ilvl w:val="0"/>
          <w:numId w:val="17"/>
        </w:numPr>
        <w:ind w:left="1418" w:hanging="426"/>
        <w:jc w:val="both"/>
        <w:rPr>
          <w:lang w:val="es-ES_tradnl"/>
        </w:rPr>
      </w:pPr>
      <w:r w:rsidRPr="009E77C8">
        <w:rPr>
          <w:lang w:val="es-ES_tradnl"/>
        </w:rPr>
        <w:t>Crecimiento de las importaciones en torno al 4.5%</w:t>
      </w:r>
    </w:p>
    <w:p w:rsidR="005B1AE1" w:rsidRPr="009E77C8" w:rsidRDefault="005B1AE1" w:rsidP="005B1AE1">
      <w:pPr>
        <w:jc w:val="both"/>
        <w:rPr>
          <w:lang w:val="es-ES_tradnl"/>
        </w:rPr>
      </w:pPr>
    </w:p>
    <w:p w:rsidR="005B1AE1" w:rsidRPr="009E77C8" w:rsidRDefault="005B1AE1" w:rsidP="00D16A2D">
      <w:pPr>
        <w:pStyle w:val="Prrafodelista"/>
        <w:numPr>
          <w:ilvl w:val="0"/>
          <w:numId w:val="18"/>
        </w:numPr>
        <w:ind w:left="720"/>
        <w:jc w:val="both"/>
        <w:rPr>
          <w:lang w:val="es-ES_tradnl"/>
        </w:rPr>
      </w:pPr>
      <w:r w:rsidRPr="009E77C8">
        <w:rPr>
          <w:lang w:val="es-ES_tradnl"/>
        </w:rPr>
        <w:t>De conformidad a la revisión realizada por B</w:t>
      </w:r>
      <w:r w:rsidR="00004220">
        <w:rPr>
          <w:lang w:val="es-ES_tradnl"/>
        </w:rPr>
        <w:t>ANGUAT</w:t>
      </w:r>
      <w:r w:rsidRPr="009E77C8">
        <w:rPr>
          <w:lang w:val="es-ES_tradnl"/>
        </w:rPr>
        <w:t xml:space="preserve"> en abril de 2017, se pueden establecer cambios en el escenario macroeconómico</w:t>
      </w:r>
      <w:r w:rsidR="00004220">
        <w:rPr>
          <w:lang w:val="es-ES_tradnl"/>
        </w:rPr>
        <w:t>;</w:t>
      </w:r>
      <w:r w:rsidRPr="009E77C8">
        <w:rPr>
          <w:lang w:val="es-ES_tradnl"/>
        </w:rPr>
        <w:t xml:space="preserve"> la economía nacional decrece levemente y se ubica en 3</w:t>
      </w:r>
      <w:r w:rsidR="00004220">
        <w:rPr>
          <w:lang w:val="es-ES_tradnl"/>
        </w:rPr>
        <w:t>.0</w:t>
      </w:r>
      <w:r w:rsidRPr="009E77C8">
        <w:rPr>
          <w:lang w:val="es-ES_tradnl"/>
        </w:rPr>
        <w:t>%, el ritmo de las importaciones es menor y se ubica en 3.5%, para el caso del tipo de cambio de conformidad a cifras observadas se aprecia una variación negativa del 4</w:t>
      </w:r>
      <w:r w:rsidR="00004220">
        <w:rPr>
          <w:lang w:val="es-ES_tradnl"/>
        </w:rPr>
        <w:t>.0</w:t>
      </w:r>
      <w:r w:rsidRPr="009E77C8">
        <w:rPr>
          <w:lang w:val="es-ES_tradnl"/>
        </w:rPr>
        <w:t xml:space="preserve">%. </w:t>
      </w:r>
    </w:p>
    <w:p w:rsidR="005B1AE1" w:rsidRPr="009E77C8" w:rsidRDefault="005B1AE1" w:rsidP="005B1AE1">
      <w:pPr>
        <w:jc w:val="both"/>
        <w:rPr>
          <w:lang w:val="es-ES_tradnl"/>
        </w:rPr>
      </w:pPr>
    </w:p>
    <w:p w:rsidR="005B1AE1" w:rsidRPr="009E77C8" w:rsidRDefault="005B1AE1" w:rsidP="00D16A2D">
      <w:pPr>
        <w:pStyle w:val="Prrafodelista"/>
        <w:numPr>
          <w:ilvl w:val="0"/>
          <w:numId w:val="18"/>
        </w:numPr>
        <w:ind w:left="720"/>
        <w:jc w:val="both"/>
        <w:rPr>
          <w:lang w:val="es-ES_tradnl"/>
        </w:rPr>
      </w:pPr>
      <w:r>
        <w:rPr>
          <w:lang w:val="es-ES_tradnl"/>
        </w:rPr>
        <w:t>Tomando en cuenta que l</w:t>
      </w:r>
      <w:r w:rsidRPr="009E77C8">
        <w:rPr>
          <w:lang w:val="es-ES_tradnl"/>
        </w:rPr>
        <w:t>a recaudación tributaria al 30 de junio muestra una brecha fiscal de Q</w:t>
      </w:r>
      <w:r w:rsidR="00004220">
        <w:rPr>
          <w:lang w:val="es-ES_tradnl"/>
        </w:rPr>
        <w:t>.</w:t>
      </w:r>
      <w:r w:rsidRPr="009E77C8">
        <w:rPr>
          <w:lang w:val="es-ES_tradnl"/>
        </w:rPr>
        <w:t xml:space="preserve">318.9 millones la cual se generó principalmente por el deterioro en la recaudación </w:t>
      </w:r>
      <w:r w:rsidR="00004220">
        <w:rPr>
          <w:lang w:val="es-ES_tradnl"/>
        </w:rPr>
        <w:t>a</w:t>
      </w:r>
      <w:r w:rsidRPr="009E77C8">
        <w:rPr>
          <w:lang w:val="es-ES_tradnl"/>
        </w:rPr>
        <w:t>sociada al comercio exterior (IVA de importaciones y derechos arancelarios) la cual dej</w:t>
      </w:r>
      <w:r w:rsidR="00004220">
        <w:rPr>
          <w:lang w:val="es-ES_tradnl"/>
        </w:rPr>
        <w:t>ó</w:t>
      </w:r>
      <w:r w:rsidRPr="009E77C8">
        <w:rPr>
          <w:lang w:val="es-ES_tradnl"/>
        </w:rPr>
        <w:t xml:space="preserve"> de percibir Q</w:t>
      </w:r>
      <w:r w:rsidR="00004220">
        <w:rPr>
          <w:lang w:val="es-ES_tradnl"/>
        </w:rPr>
        <w:t>.</w:t>
      </w:r>
      <w:r w:rsidRPr="009E77C8">
        <w:rPr>
          <w:lang w:val="es-ES_tradnl"/>
        </w:rPr>
        <w:t xml:space="preserve">480.9 millones, el Impuesto al </w:t>
      </w:r>
      <w:r w:rsidR="00004220">
        <w:rPr>
          <w:lang w:val="es-ES_tradnl"/>
        </w:rPr>
        <w:t>V</w:t>
      </w:r>
      <w:r w:rsidRPr="009E77C8">
        <w:rPr>
          <w:lang w:val="es-ES_tradnl"/>
        </w:rPr>
        <w:t xml:space="preserve">alor </w:t>
      </w:r>
      <w:r w:rsidR="00004220">
        <w:rPr>
          <w:lang w:val="es-ES_tradnl"/>
        </w:rPr>
        <w:t>A</w:t>
      </w:r>
      <w:r w:rsidRPr="009E77C8">
        <w:rPr>
          <w:lang w:val="es-ES_tradnl"/>
        </w:rPr>
        <w:t>gregado asociado a las importaciones al 30 de junio gener</w:t>
      </w:r>
      <w:r w:rsidR="00004220">
        <w:rPr>
          <w:lang w:val="es-ES_tradnl"/>
        </w:rPr>
        <w:t>ó</w:t>
      </w:r>
      <w:r w:rsidRPr="009E77C8">
        <w:rPr>
          <w:lang w:val="es-ES_tradnl"/>
        </w:rPr>
        <w:t xml:space="preserve"> una brecha negativa de recaudación de Q</w:t>
      </w:r>
      <w:r w:rsidR="00004220">
        <w:rPr>
          <w:lang w:val="es-ES_tradnl"/>
        </w:rPr>
        <w:t>.</w:t>
      </w:r>
      <w:r w:rsidRPr="009E77C8">
        <w:rPr>
          <w:lang w:val="es-ES_tradnl"/>
        </w:rPr>
        <w:t>381.6 millones</w:t>
      </w:r>
      <w:r w:rsidR="00004220">
        <w:rPr>
          <w:lang w:val="es-ES_tradnl"/>
        </w:rPr>
        <w:t>;</w:t>
      </w:r>
      <w:r w:rsidRPr="009E77C8">
        <w:rPr>
          <w:lang w:val="es-ES_tradnl"/>
        </w:rPr>
        <w:t xml:space="preserve"> por su parte los derechos arancelarios a la importación también dejaron de percibir Q</w:t>
      </w:r>
      <w:r w:rsidR="00004220">
        <w:rPr>
          <w:lang w:val="es-ES_tradnl"/>
        </w:rPr>
        <w:t>.</w:t>
      </w:r>
      <w:r w:rsidRPr="009E77C8">
        <w:rPr>
          <w:lang w:val="es-ES_tradnl"/>
        </w:rPr>
        <w:t xml:space="preserve">99.1 millones, estas caídas en estos impuestos pueden estar explicadas principalmente por el efecto de la apreciación del quetzal ante el dólar que según cifras de </w:t>
      </w:r>
      <w:r w:rsidR="00004220">
        <w:rPr>
          <w:lang w:val="es-ES_tradnl"/>
        </w:rPr>
        <w:t xml:space="preserve">la </w:t>
      </w:r>
      <w:r w:rsidRPr="009E77C8">
        <w:rPr>
          <w:lang w:val="es-ES_tradnl"/>
        </w:rPr>
        <w:t>SAT se estima que a junio dej</w:t>
      </w:r>
      <w:r w:rsidR="00004220">
        <w:rPr>
          <w:lang w:val="es-ES_tradnl"/>
        </w:rPr>
        <w:t>ó</w:t>
      </w:r>
      <w:r w:rsidRPr="009E77C8">
        <w:rPr>
          <w:lang w:val="es-ES_tradnl"/>
        </w:rPr>
        <w:t xml:space="preserve"> Q</w:t>
      </w:r>
      <w:r w:rsidR="00004220">
        <w:rPr>
          <w:lang w:val="es-ES_tradnl"/>
        </w:rPr>
        <w:t>.</w:t>
      </w:r>
      <w:r w:rsidRPr="009E77C8">
        <w:rPr>
          <w:lang w:val="es-ES_tradnl"/>
        </w:rPr>
        <w:t>264.7 millones por concepto de IVA importaciones y Q</w:t>
      </w:r>
      <w:r w:rsidR="00004220">
        <w:rPr>
          <w:lang w:val="es-ES_tradnl"/>
        </w:rPr>
        <w:t>.</w:t>
      </w:r>
      <w:r w:rsidRPr="009E77C8">
        <w:rPr>
          <w:lang w:val="es-ES_tradnl"/>
        </w:rPr>
        <w:t>44.2 millones por derechos arancelarios a la importación</w:t>
      </w:r>
      <w:r w:rsidR="00004220">
        <w:rPr>
          <w:lang w:val="es-ES_tradnl"/>
        </w:rPr>
        <w:t>. C</w:t>
      </w:r>
      <w:r w:rsidRPr="009E77C8">
        <w:rPr>
          <w:lang w:val="es-ES_tradnl"/>
        </w:rPr>
        <w:t xml:space="preserve">abe destacar que el </w:t>
      </w:r>
      <w:r w:rsidR="00004220">
        <w:rPr>
          <w:lang w:val="es-ES_tradnl"/>
        </w:rPr>
        <w:t>I</w:t>
      </w:r>
      <w:r w:rsidRPr="009E77C8">
        <w:rPr>
          <w:lang w:val="es-ES_tradnl"/>
        </w:rPr>
        <w:t xml:space="preserve">mpuesto </w:t>
      </w:r>
      <w:r w:rsidR="00004220">
        <w:rPr>
          <w:lang w:val="es-ES_tradnl"/>
        </w:rPr>
        <w:t>sobre</w:t>
      </w:r>
      <w:r w:rsidRPr="009E77C8">
        <w:rPr>
          <w:lang w:val="es-ES_tradnl"/>
        </w:rPr>
        <w:t xml:space="preserve"> la </w:t>
      </w:r>
      <w:r w:rsidR="00004220">
        <w:rPr>
          <w:lang w:val="es-ES_tradnl"/>
        </w:rPr>
        <w:t>R</w:t>
      </w:r>
      <w:r w:rsidRPr="009E77C8">
        <w:rPr>
          <w:lang w:val="es-ES_tradnl"/>
        </w:rPr>
        <w:t>enta logró superar la meta establecida en</w:t>
      </w:r>
      <w:r w:rsidR="00004220">
        <w:rPr>
          <w:lang w:val="es-ES_tradnl"/>
        </w:rPr>
        <w:t xml:space="preserve"> el</w:t>
      </w:r>
      <w:r w:rsidRPr="009E77C8">
        <w:rPr>
          <w:lang w:val="es-ES_tradnl"/>
        </w:rPr>
        <w:t xml:space="preserve"> presupuesto generando una brecha positiva de Q</w:t>
      </w:r>
      <w:r w:rsidR="00004220">
        <w:rPr>
          <w:lang w:val="es-ES_tradnl"/>
        </w:rPr>
        <w:t>.</w:t>
      </w:r>
      <w:r w:rsidRPr="009E77C8">
        <w:rPr>
          <w:lang w:val="es-ES_tradnl"/>
        </w:rPr>
        <w:t>560.1 millones lo cual permitió que la brecha total de recaudación no fuera mayor.</w:t>
      </w:r>
    </w:p>
    <w:p w:rsidR="005B1AE1" w:rsidRPr="009E77C8" w:rsidRDefault="005B1AE1" w:rsidP="005B1AE1">
      <w:pPr>
        <w:jc w:val="both"/>
        <w:rPr>
          <w:lang w:val="es-ES_tradnl"/>
        </w:rPr>
      </w:pPr>
    </w:p>
    <w:p w:rsidR="005B1AE1" w:rsidRPr="009E77C8" w:rsidRDefault="005B1AE1" w:rsidP="005B1AE1">
      <w:pPr>
        <w:pStyle w:val="Prrafodelista"/>
        <w:ind w:left="720"/>
        <w:jc w:val="both"/>
        <w:rPr>
          <w:lang w:val="es-ES_tradnl"/>
        </w:rPr>
      </w:pPr>
      <w:r>
        <w:rPr>
          <w:lang w:val="es-ES_tradnl"/>
        </w:rPr>
        <w:t>Asimismo, d</w:t>
      </w:r>
      <w:r w:rsidRPr="009E77C8">
        <w:rPr>
          <w:lang w:val="es-ES_tradnl"/>
        </w:rPr>
        <w:t xml:space="preserve">el </w:t>
      </w:r>
      <w:r w:rsidR="00004220">
        <w:rPr>
          <w:lang w:val="es-ES_tradnl"/>
        </w:rPr>
        <w:t>I</w:t>
      </w:r>
      <w:r w:rsidRPr="009E77C8">
        <w:rPr>
          <w:lang w:val="es-ES_tradnl"/>
        </w:rPr>
        <w:t xml:space="preserve">mpuesto </w:t>
      </w:r>
      <w:r w:rsidR="00004220">
        <w:rPr>
          <w:lang w:val="es-ES_tradnl"/>
        </w:rPr>
        <w:t>sobre</w:t>
      </w:r>
      <w:r w:rsidRPr="009E77C8">
        <w:rPr>
          <w:lang w:val="es-ES_tradnl"/>
        </w:rPr>
        <w:t xml:space="preserve"> la </w:t>
      </w:r>
      <w:r w:rsidR="00004220">
        <w:rPr>
          <w:lang w:val="es-ES_tradnl"/>
        </w:rPr>
        <w:t>R</w:t>
      </w:r>
      <w:r w:rsidRPr="009E77C8">
        <w:rPr>
          <w:lang w:val="es-ES_tradnl"/>
        </w:rPr>
        <w:t>enta es preciso indicar que presenta una ejecución del 107.1% respecto a la meta de presupuesto</w:t>
      </w:r>
      <w:r w:rsidR="00004220">
        <w:rPr>
          <w:lang w:val="es-ES_tradnl"/>
        </w:rPr>
        <w:t>;</w:t>
      </w:r>
      <w:r w:rsidRPr="009E77C8">
        <w:rPr>
          <w:lang w:val="es-ES_tradnl"/>
        </w:rPr>
        <w:t xml:space="preserve"> este impuesto contiene recaudación extraordinaria producto del Acuerdo </w:t>
      </w:r>
      <w:r w:rsidR="00004220">
        <w:rPr>
          <w:lang w:val="es-ES_tradnl"/>
        </w:rPr>
        <w:t>G</w:t>
      </w:r>
      <w:r w:rsidRPr="009E77C8">
        <w:rPr>
          <w:lang w:val="es-ES_tradnl"/>
        </w:rPr>
        <w:t xml:space="preserve">ubernativo </w:t>
      </w:r>
      <w:r w:rsidR="00004220">
        <w:rPr>
          <w:lang w:val="es-ES_tradnl"/>
        </w:rPr>
        <w:t xml:space="preserve">No. </w:t>
      </w:r>
      <w:r w:rsidRPr="009E77C8">
        <w:rPr>
          <w:lang w:val="es-ES_tradnl"/>
        </w:rPr>
        <w:t>82-2017 que cobr</w:t>
      </w:r>
      <w:r w:rsidR="00004220">
        <w:rPr>
          <w:lang w:val="es-ES_tradnl"/>
        </w:rPr>
        <w:t>ó vigencia en el mes de junio del presente año.</w:t>
      </w:r>
    </w:p>
    <w:p w:rsidR="005B1AE1" w:rsidRPr="009E77C8" w:rsidRDefault="005B1AE1" w:rsidP="005B1AE1">
      <w:pPr>
        <w:jc w:val="both"/>
        <w:rPr>
          <w:lang w:val="es-ES_tradnl"/>
        </w:rPr>
      </w:pPr>
    </w:p>
    <w:p w:rsidR="005B1AE1" w:rsidRDefault="005B1AE1" w:rsidP="00D16A2D">
      <w:pPr>
        <w:pStyle w:val="Prrafodelista"/>
        <w:numPr>
          <w:ilvl w:val="0"/>
          <w:numId w:val="18"/>
        </w:numPr>
        <w:ind w:left="720"/>
        <w:jc w:val="both"/>
        <w:rPr>
          <w:lang w:val="es-ES_tradnl"/>
        </w:rPr>
      </w:pPr>
      <w:r>
        <w:rPr>
          <w:lang w:val="es-ES_tradnl"/>
        </w:rPr>
        <w:lastRenderedPageBreak/>
        <w:t>De esa cuenta, p</w:t>
      </w:r>
      <w:r w:rsidRPr="009E77C8">
        <w:rPr>
          <w:lang w:val="es-ES_tradnl"/>
        </w:rPr>
        <w:t>ara el segundo semestre de 2017 se espera que el ritmo de la recaudación se mantenga y que con ello se logré ubicar la carga tributaria en torno a 10.4</w:t>
      </w:r>
      <w:r w:rsidR="00004220">
        <w:rPr>
          <w:lang w:val="es-ES_tradnl"/>
        </w:rPr>
        <w:t>%. P</w:t>
      </w:r>
      <w:r w:rsidRPr="009E77C8">
        <w:rPr>
          <w:lang w:val="es-ES_tradnl"/>
        </w:rPr>
        <w:t xml:space="preserve">ara alcanzar este </w:t>
      </w:r>
      <w:r w:rsidR="00004220">
        <w:rPr>
          <w:lang w:val="es-ES_tradnl"/>
        </w:rPr>
        <w:t>nivel</w:t>
      </w:r>
      <w:r w:rsidRPr="009E77C8">
        <w:rPr>
          <w:lang w:val="es-ES_tradnl"/>
        </w:rPr>
        <w:t xml:space="preserve"> de carga es preciso que la recaudación tributaria asociada al comercio exterior muestre una mejoría, además que los programas de fiscalización</w:t>
      </w:r>
      <w:r w:rsidR="00004220">
        <w:rPr>
          <w:lang w:val="es-ES_tradnl"/>
        </w:rPr>
        <w:t xml:space="preserve"> y</w:t>
      </w:r>
      <w:r w:rsidRPr="009E77C8">
        <w:rPr>
          <w:lang w:val="es-ES_tradnl"/>
        </w:rPr>
        <w:t xml:space="preserve"> los programas de auditor</w:t>
      </w:r>
      <w:r w:rsidR="00004220">
        <w:rPr>
          <w:lang w:val="es-ES_tradnl"/>
        </w:rPr>
        <w:t>í</w:t>
      </w:r>
      <w:r w:rsidRPr="009E77C8">
        <w:rPr>
          <w:lang w:val="es-ES_tradnl"/>
        </w:rPr>
        <w:t>a sean más extensivos y que la percepción de riesgo aumente.</w:t>
      </w:r>
    </w:p>
    <w:p w:rsidR="005B1AE1" w:rsidRPr="009E77C8" w:rsidRDefault="005B1AE1" w:rsidP="005B1AE1">
      <w:pPr>
        <w:pStyle w:val="Prrafodelista"/>
        <w:rPr>
          <w:lang w:val="es-ES_tradnl"/>
        </w:rPr>
      </w:pPr>
    </w:p>
    <w:p w:rsidR="005B1AE1" w:rsidRPr="009E77C8" w:rsidRDefault="005B1AE1" w:rsidP="005B1AE1">
      <w:pPr>
        <w:pStyle w:val="Prrafodelista"/>
        <w:ind w:left="720"/>
        <w:jc w:val="both"/>
        <w:rPr>
          <w:lang w:val="es-ES_tradnl"/>
        </w:rPr>
      </w:pPr>
      <w:r w:rsidRPr="009E77C8">
        <w:rPr>
          <w:lang w:val="es-ES_tradnl"/>
        </w:rPr>
        <w:t xml:space="preserve">Las principales diferencias que existen entre lo establecido en el </w:t>
      </w:r>
      <w:r w:rsidR="00004220">
        <w:rPr>
          <w:lang w:val="es-ES_tradnl"/>
        </w:rPr>
        <w:t>P</w:t>
      </w:r>
      <w:r w:rsidRPr="009E77C8">
        <w:rPr>
          <w:lang w:val="es-ES_tradnl"/>
        </w:rPr>
        <w:t xml:space="preserve">resupuesto </w:t>
      </w:r>
      <w:r w:rsidR="00004220">
        <w:rPr>
          <w:lang w:val="es-ES_tradnl"/>
        </w:rPr>
        <w:t>G</w:t>
      </w:r>
      <w:r w:rsidRPr="009E77C8">
        <w:rPr>
          <w:lang w:val="es-ES_tradnl"/>
        </w:rPr>
        <w:t xml:space="preserve">eneral de </w:t>
      </w:r>
      <w:r w:rsidR="00004220">
        <w:rPr>
          <w:lang w:val="es-ES_tradnl"/>
        </w:rPr>
        <w:t>I</w:t>
      </w:r>
      <w:r w:rsidRPr="009E77C8">
        <w:rPr>
          <w:lang w:val="es-ES_tradnl"/>
        </w:rPr>
        <w:t>ngresos y la estimación de cierre son la distribución del rubro de otros impuestos directos y otros impuestos indirectos</w:t>
      </w:r>
      <w:r w:rsidR="00004220">
        <w:rPr>
          <w:lang w:val="es-ES_tradnl"/>
        </w:rPr>
        <w:t>,</w:t>
      </w:r>
      <w:r w:rsidRPr="009E77C8">
        <w:rPr>
          <w:lang w:val="es-ES_tradnl"/>
        </w:rPr>
        <w:t xml:space="preserve"> tal y como se aprecia en la tabla </w:t>
      </w:r>
      <w:r w:rsidR="00004220">
        <w:rPr>
          <w:lang w:val="es-ES_tradnl"/>
        </w:rPr>
        <w:t xml:space="preserve">siguiente. </w:t>
      </w:r>
      <w:r w:rsidR="001B43D3">
        <w:rPr>
          <w:lang w:val="es-ES_tradnl"/>
        </w:rPr>
        <w:t>P</w:t>
      </w:r>
      <w:r w:rsidR="001B43D3" w:rsidRPr="009E77C8">
        <w:rPr>
          <w:lang w:val="es-ES_tradnl"/>
        </w:rPr>
        <w:t>ara</w:t>
      </w:r>
      <w:r w:rsidRPr="009E77C8">
        <w:rPr>
          <w:lang w:val="es-ES_tradnl"/>
        </w:rPr>
        <w:t xml:space="preserve"> el caso de los impuestos directos se distribuyeron en ISR e ISO, y para los indirectos en impuestos como el IVA doméstico, IVA de importaciones, los derechos arancelarios, derivados del petróleo, timbres fiscales, circulación de vehículos y el de bebidas alcohólicas</w:t>
      </w:r>
      <w:r w:rsidR="00004220">
        <w:rPr>
          <w:lang w:val="es-ES_tradnl"/>
        </w:rPr>
        <w:t>;</w:t>
      </w:r>
      <w:r w:rsidRPr="009E77C8">
        <w:rPr>
          <w:lang w:val="es-ES_tradnl"/>
        </w:rPr>
        <w:t xml:space="preserve"> esta distribución obedece a medidas adicionales de control que </w:t>
      </w:r>
      <w:r w:rsidR="00004220">
        <w:rPr>
          <w:lang w:val="es-ES_tradnl"/>
        </w:rPr>
        <w:t xml:space="preserve">la </w:t>
      </w:r>
      <w:r w:rsidRPr="009E77C8">
        <w:rPr>
          <w:lang w:val="es-ES_tradnl"/>
        </w:rPr>
        <w:t>SAT ejecutará.</w:t>
      </w:r>
    </w:p>
    <w:p w:rsidR="005B1AE1" w:rsidRPr="00B916D7" w:rsidRDefault="00B916D7" w:rsidP="00B916D7">
      <w:pPr>
        <w:jc w:val="center"/>
        <w:rPr>
          <w:b/>
          <w:lang w:val="es-ES_tradnl"/>
        </w:rPr>
      </w:pPr>
      <w:r w:rsidRPr="00B916D7">
        <w:rPr>
          <w:b/>
          <w:lang w:val="es-ES_tradnl"/>
        </w:rPr>
        <w:t>Cuadro 1</w:t>
      </w:r>
      <w:r w:rsidR="00910F6F">
        <w:rPr>
          <w:b/>
          <w:lang w:val="es-ES_tradnl"/>
        </w:rPr>
        <w:t>7</w:t>
      </w:r>
    </w:p>
    <w:tbl>
      <w:tblPr>
        <w:tblW w:w="8395" w:type="dxa"/>
        <w:jc w:val="center"/>
        <w:tblCellMar>
          <w:left w:w="70" w:type="dxa"/>
          <w:right w:w="70" w:type="dxa"/>
        </w:tblCellMar>
        <w:tblLook w:val="04A0" w:firstRow="1" w:lastRow="0" w:firstColumn="1" w:lastColumn="0" w:noHBand="0" w:noVBand="1"/>
      </w:tblPr>
      <w:tblGrid>
        <w:gridCol w:w="3847"/>
        <w:gridCol w:w="1185"/>
        <w:gridCol w:w="1137"/>
        <w:gridCol w:w="1137"/>
        <w:gridCol w:w="1137"/>
      </w:tblGrid>
      <w:tr w:rsidR="005B1AE1" w:rsidRPr="00465CAD" w:rsidTr="00910F6F">
        <w:trPr>
          <w:trHeight w:val="431"/>
          <w:jc w:val="center"/>
        </w:trPr>
        <w:tc>
          <w:tcPr>
            <w:tcW w:w="8395" w:type="dxa"/>
            <w:gridSpan w:val="5"/>
            <w:tcBorders>
              <w:top w:val="nil"/>
              <w:left w:val="nil"/>
              <w:bottom w:val="nil"/>
              <w:right w:val="nil"/>
            </w:tcBorders>
            <w:shd w:val="clear" w:color="auto" w:fill="auto"/>
            <w:noWrap/>
            <w:vAlign w:val="center"/>
            <w:hideMark/>
          </w:tcPr>
          <w:p w:rsidR="005B1AE1" w:rsidRPr="00B916D7" w:rsidRDefault="005B1AE1" w:rsidP="00B916D7">
            <w:pPr>
              <w:pStyle w:val="Sinespaciado"/>
              <w:jc w:val="center"/>
              <w:rPr>
                <w:rFonts w:ascii="Times New Roman" w:hAnsi="Times New Roman"/>
                <w:b/>
                <w:lang w:val="es-MX"/>
              </w:rPr>
            </w:pPr>
            <w:r w:rsidRPr="00B916D7">
              <w:rPr>
                <w:rFonts w:ascii="Times New Roman" w:hAnsi="Times New Roman"/>
                <w:b/>
                <w:lang w:val="es-MX"/>
              </w:rPr>
              <w:t xml:space="preserve">   Ingresos Tributarios  2017</w:t>
            </w:r>
          </w:p>
        </w:tc>
      </w:tr>
      <w:tr w:rsidR="005B1AE1" w:rsidRPr="00465CAD" w:rsidTr="00910F6F">
        <w:trPr>
          <w:trHeight w:val="316"/>
          <w:jc w:val="center"/>
        </w:trPr>
        <w:tc>
          <w:tcPr>
            <w:tcW w:w="8395" w:type="dxa"/>
            <w:gridSpan w:val="5"/>
            <w:tcBorders>
              <w:top w:val="nil"/>
              <w:left w:val="nil"/>
              <w:bottom w:val="nil"/>
              <w:right w:val="nil"/>
            </w:tcBorders>
            <w:shd w:val="clear" w:color="auto" w:fill="auto"/>
            <w:noWrap/>
            <w:vAlign w:val="center"/>
            <w:hideMark/>
          </w:tcPr>
          <w:p w:rsidR="005B1AE1" w:rsidRPr="00B916D7" w:rsidRDefault="005B1AE1" w:rsidP="00004220">
            <w:pPr>
              <w:pStyle w:val="Sinespaciado"/>
              <w:jc w:val="center"/>
              <w:rPr>
                <w:rFonts w:ascii="Times New Roman" w:hAnsi="Times New Roman"/>
                <w:b/>
                <w:lang w:val="es-MX"/>
              </w:rPr>
            </w:pPr>
            <w:r w:rsidRPr="00B916D7">
              <w:rPr>
                <w:rFonts w:ascii="Times New Roman" w:hAnsi="Times New Roman"/>
                <w:b/>
                <w:lang w:val="es-MX"/>
              </w:rPr>
              <w:t xml:space="preserve">Millones de </w:t>
            </w:r>
            <w:r w:rsidR="00004220">
              <w:rPr>
                <w:rFonts w:ascii="Times New Roman" w:hAnsi="Times New Roman"/>
                <w:b/>
                <w:lang w:val="es-MX"/>
              </w:rPr>
              <w:t>Q</w:t>
            </w:r>
            <w:r w:rsidRPr="00B916D7">
              <w:rPr>
                <w:rFonts w:ascii="Times New Roman" w:hAnsi="Times New Roman"/>
                <w:b/>
                <w:lang w:val="es-MX"/>
              </w:rPr>
              <w:t xml:space="preserve">uetzales y </w:t>
            </w:r>
            <w:r w:rsidR="00004220">
              <w:rPr>
                <w:rFonts w:ascii="Times New Roman" w:hAnsi="Times New Roman"/>
                <w:b/>
                <w:lang w:val="es-MX"/>
              </w:rPr>
              <w:t>P</w:t>
            </w:r>
            <w:r w:rsidRPr="00B916D7">
              <w:rPr>
                <w:rFonts w:ascii="Times New Roman" w:hAnsi="Times New Roman"/>
                <w:b/>
                <w:lang w:val="es-MX"/>
              </w:rPr>
              <w:t>orcentajes</w:t>
            </w:r>
          </w:p>
        </w:tc>
      </w:tr>
      <w:tr w:rsidR="005B1AE1" w:rsidRPr="00465CAD" w:rsidTr="00910F6F">
        <w:trPr>
          <w:trHeight w:val="258"/>
          <w:jc w:val="center"/>
        </w:trPr>
        <w:tc>
          <w:tcPr>
            <w:tcW w:w="3847" w:type="dxa"/>
            <w:tcBorders>
              <w:top w:val="nil"/>
              <w:left w:val="nil"/>
              <w:bottom w:val="nil"/>
              <w:right w:val="nil"/>
            </w:tcBorders>
            <w:shd w:val="clear" w:color="auto" w:fill="auto"/>
            <w:noWrap/>
            <w:vAlign w:val="center"/>
            <w:hideMark/>
          </w:tcPr>
          <w:p w:rsidR="005B1AE1" w:rsidRPr="00465CAD" w:rsidRDefault="005B1AE1" w:rsidP="00910F6F">
            <w:pPr>
              <w:jc w:val="center"/>
              <w:rPr>
                <w:b/>
                <w:bCs/>
                <w:lang w:val="es-GT" w:eastAsia="es-GT"/>
              </w:rPr>
            </w:pPr>
          </w:p>
        </w:tc>
        <w:tc>
          <w:tcPr>
            <w:tcW w:w="1137" w:type="dxa"/>
            <w:tcBorders>
              <w:top w:val="nil"/>
              <w:left w:val="nil"/>
              <w:bottom w:val="nil"/>
              <w:right w:val="nil"/>
            </w:tcBorders>
            <w:shd w:val="clear" w:color="auto" w:fill="auto"/>
            <w:noWrap/>
            <w:vAlign w:val="center"/>
            <w:hideMark/>
          </w:tcPr>
          <w:p w:rsidR="005B1AE1" w:rsidRPr="00465CAD" w:rsidRDefault="005B1AE1" w:rsidP="00910F6F">
            <w:pPr>
              <w:rPr>
                <w:sz w:val="20"/>
                <w:szCs w:val="20"/>
                <w:lang w:val="es-GT" w:eastAsia="es-GT"/>
              </w:rPr>
            </w:pPr>
          </w:p>
        </w:tc>
        <w:tc>
          <w:tcPr>
            <w:tcW w:w="1137" w:type="dxa"/>
            <w:tcBorders>
              <w:top w:val="nil"/>
              <w:left w:val="nil"/>
              <w:bottom w:val="nil"/>
              <w:right w:val="nil"/>
            </w:tcBorders>
            <w:shd w:val="clear" w:color="auto" w:fill="auto"/>
            <w:noWrap/>
            <w:vAlign w:val="center"/>
            <w:hideMark/>
          </w:tcPr>
          <w:p w:rsidR="005B1AE1" w:rsidRPr="00465CAD" w:rsidRDefault="005B1AE1" w:rsidP="00910F6F">
            <w:pPr>
              <w:rPr>
                <w:sz w:val="20"/>
                <w:szCs w:val="20"/>
                <w:lang w:val="es-GT" w:eastAsia="es-GT"/>
              </w:rPr>
            </w:pPr>
          </w:p>
        </w:tc>
        <w:tc>
          <w:tcPr>
            <w:tcW w:w="2274" w:type="dxa"/>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Variación</w:t>
            </w:r>
          </w:p>
        </w:tc>
      </w:tr>
      <w:tr w:rsidR="005B1AE1" w:rsidRPr="00465CAD" w:rsidTr="00910F6F">
        <w:trPr>
          <w:trHeight w:val="503"/>
          <w:jc w:val="center"/>
        </w:trPr>
        <w:tc>
          <w:tcPr>
            <w:tcW w:w="3847" w:type="dxa"/>
            <w:tcBorders>
              <w:top w:val="nil"/>
              <w:left w:val="nil"/>
              <w:bottom w:val="nil"/>
              <w:right w:val="nil"/>
            </w:tcBorders>
            <w:shd w:val="clear" w:color="auto" w:fill="auto"/>
            <w:vAlign w:val="center"/>
            <w:hideMark/>
          </w:tcPr>
          <w:p w:rsidR="005B1AE1" w:rsidRPr="00465CAD" w:rsidRDefault="005B1AE1" w:rsidP="00910F6F">
            <w:pPr>
              <w:jc w:val="center"/>
              <w:rPr>
                <w:b/>
                <w:bCs/>
                <w:sz w:val="20"/>
                <w:szCs w:val="20"/>
                <w:lang w:val="es-GT" w:eastAsia="es-GT"/>
              </w:rPr>
            </w:pPr>
          </w:p>
        </w:tc>
        <w:tc>
          <w:tcPr>
            <w:tcW w:w="1137"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Presupuesto</w:t>
            </w:r>
          </w:p>
        </w:tc>
        <w:tc>
          <w:tcPr>
            <w:tcW w:w="1137" w:type="dxa"/>
            <w:tcBorders>
              <w:top w:val="single" w:sz="8" w:space="0" w:color="auto"/>
              <w:left w:val="nil"/>
              <w:bottom w:val="single" w:sz="8" w:space="0" w:color="auto"/>
              <w:right w:val="single" w:sz="8" w:space="0" w:color="auto"/>
            </w:tcBorders>
            <w:shd w:val="clear" w:color="000000" w:fill="BDD7EE"/>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Cierre Estimado</w:t>
            </w:r>
          </w:p>
        </w:tc>
        <w:tc>
          <w:tcPr>
            <w:tcW w:w="1137" w:type="dxa"/>
            <w:tcBorders>
              <w:top w:val="nil"/>
              <w:left w:val="nil"/>
              <w:bottom w:val="single" w:sz="8" w:space="0" w:color="auto"/>
              <w:right w:val="single" w:sz="8" w:space="0" w:color="auto"/>
            </w:tcBorders>
            <w:shd w:val="clear" w:color="000000" w:fill="BDD7EE"/>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Absoluta</w:t>
            </w:r>
          </w:p>
        </w:tc>
        <w:tc>
          <w:tcPr>
            <w:tcW w:w="1137" w:type="dxa"/>
            <w:tcBorders>
              <w:top w:val="nil"/>
              <w:left w:val="nil"/>
              <w:bottom w:val="single" w:sz="8" w:space="0" w:color="auto"/>
              <w:right w:val="single" w:sz="8" w:space="0" w:color="auto"/>
            </w:tcBorders>
            <w:shd w:val="clear" w:color="000000" w:fill="BDD7EE"/>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Relativa</w:t>
            </w:r>
          </w:p>
        </w:tc>
      </w:tr>
      <w:tr w:rsidR="005B1AE1" w:rsidRPr="00465CAD" w:rsidTr="00CF46ED">
        <w:trPr>
          <w:trHeight w:val="359"/>
          <w:jc w:val="center"/>
        </w:trPr>
        <w:tc>
          <w:tcPr>
            <w:tcW w:w="38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1AE1" w:rsidRPr="00465CAD" w:rsidRDefault="005B1AE1" w:rsidP="00910F6F">
            <w:pPr>
              <w:rPr>
                <w:b/>
                <w:bCs/>
                <w:sz w:val="20"/>
                <w:szCs w:val="20"/>
                <w:lang w:val="es-GT" w:eastAsia="es-GT"/>
              </w:rPr>
            </w:pPr>
            <w:r w:rsidRPr="00465CAD">
              <w:rPr>
                <w:b/>
                <w:bCs/>
                <w:sz w:val="20"/>
                <w:szCs w:val="20"/>
                <w:lang w:val="es-GT" w:eastAsia="es-GT"/>
              </w:rPr>
              <w:t xml:space="preserve">Ingresos Tributarios </w:t>
            </w:r>
          </w:p>
        </w:tc>
        <w:tc>
          <w:tcPr>
            <w:tcW w:w="11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1AE1" w:rsidRPr="00465CAD" w:rsidRDefault="005B1AE1" w:rsidP="00004220">
            <w:pPr>
              <w:jc w:val="center"/>
              <w:rPr>
                <w:b/>
                <w:bCs/>
                <w:sz w:val="20"/>
                <w:szCs w:val="20"/>
                <w:lang w:val="es-GT" w:eastAsia="es-GT"/>
              </w:rPr>
            </w:pPr>
            <w:r w:rsidRPr="00465CAD">
              <w:rPr>
                <w:b/>
                <w:bCs/>
                <w:sz w:val="20"/>
                <w:szCs w:val="20"/>
                <w:lang w:val="es-GT" w:eastAsia="es-GT"/>
              </w:rPr>
              <w:t>57,994.8</w:t>
            </w:r>
          </w:p>
        </w:tc>
        <w:tc>
          <w:tcPr>
            <w:tcW w:w="11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B1AE1" w:rsidRPr="00465CAD" w:rsidRDefault="005B1AE1" w:rsidP="00004220">
            <w:pPr>
              <w:jc w:val="center"/>
              <w:rPr>
                <w:b/>
                <w:bCs/>
                <w:sz w:val="20"/>
                <w:szCs w:val="20"/>
                <w:lang w:val="es-GT" w:eastAsia="es-GT"/>
              </w:rPr>
            </w:pPr>
            <w:r w:rsidRPr="00465CAD">
              <w:rPr>
                <w:b/>
                <w:bCs/>
                <w:sz w:val="20"/>
                <w:szCs w:val="20"/>
                <w:lang w:val="es-GT" w:eastAsia="es-GT"/>
              </w:rPr>
              <w:t>57,99</w:t>
            </w:r>
            <w:r w:rsidR="00004220">
              <w:rPr>
                <w:b/>
                <w:bCs/>
                <w:sz w:val="20"/>
                <w:szCs w:val="20"/>
                <w:lang w:val="es-GT" w:eastAsia="es-GT"/>
              </w:rPr>
              <w:t>5</w:t>
            </w:r>
            <w:r w:rsidRPr="00465CAD">
              <w:rPr>
                <w:b/>
                <w:bCs/>
                <w:sz w:val="20"/>
                <w:szCs w:val="20"/>
                <w:lang w:val="es-GT" w:eastAsia="es-GT"/>
              </w:rPr>
              <w:t>.</w:t>
            </w:r>
            <w:r w:rsidR="00004220">
              <w:rPr>
                <w:b/>
                <w:bCs/>
                <w:sz w:val="20"/>
                <w:szCs w:val="20"/>
                <w:lang w:val="es-GT" w:eastAsia="es-GT"/>
              </w:rPr>
              <w:t>0</w:t>
            </w:r>
          </w:p>
        </w:tc>
        <w:tc>
          <w:tcPr>
            <w:tcW w:w="1137" w:type="dxa"/>
            <w:tcBorders>
              <w:top w:val="nil"/>
              <w:left w:val="nil"/>
              <w:bottom w:val="single" w:sz="8" w:space="0" w:color="auto"/>
              <w:right w:val="single" w:sz="8" w:space="0" w:color="auto"/>
            </w:tcBorders>
            <w:shd w:val="clear" w:color="auto" w:fill="auto"/>
            <w:noWrap/>
            <w:vAlign w:val="center"/>
            <w:hideMark/>
          </w:tcPr>
          <w:p w:rsidR="005B1AE1" w:rsidRPr="00004220" w:rsidRDefault="005B1AE1" w:rsidP="00CF46ED">
            <w:pPr>
              <w:jc w:val="center"/>
              <w:rPr>
                <w:b/>
                <w:sz w:val="20"/>
                <w:szCs w:val="20"/>
                <w:lang w:val="es-GT" w:eastAsia="es-GT"/>
              </w:rPr>
            </w:pPr>
            <w:r w:rsidRPr="00004220">
              <w:rPr>
                <w:b/>
                <w:sz w:val="20"/>
                <w:szCs w:val="20"/>
                <w:lang w:val="es-GT" w:eastAsia="es-GT"/>
              </w:rPr>
              <w:t>0.</w:t>
            </w:r>
            <w:r w:rsidR="00CF46ED">
              <w:rPr>
                <w:b/>
                <w:sz w:val="20"/>
                <w:szCs w:val="20"/>
                <w:lang w:val="es-GT" w:eastAsia="es-GT"/>
              </w:rPr>
              <w:t>2</w:t>
            </w:r>
          </w:p>
        </w:tc>
        <w:tc>
          <w:tcPr>
            <w:tcW w:w="1137" w:type="dxa"/>
            <w:tcBorders>
              <w:top w:val="nil"/>
              <w:left w:val="nil"/>
              <w:bottom w:val="single" w:sz="8" w:space="0" w:color="auto"/>
              <w:right w:val="single" w:sz="8" w:space="0" w:color="auto"/>
            </w:tcBorders>
            <w:shd w:val="clear" w:color="auto" w:fill="auto"/>
            <w:noWrap/>
            <w:vAlign w:val="center"/>
          </w:tcPr>
          <w:p w:rsidR="005B1AE1" w:rsidRPr="00004220" w:rsidRDefault="005B1AE1" w:rsidP="00910F6F">
            <w:pPr>
              <w:jc w:val="center"/>
              <w:rPr>
                <w:b/>
                <w:sz w:val="20"/>
                <w:szCs w:val="20"/>
                <w:lang w:val="es-GT" w:eastAsia="es-GT"/>
              </w:rPr>
            </w:pPr>
          </w:p>
        </w:tc>
      </w:tr>
      <w:tr w:rsidR="005B1AE1" w:rsidRPr="00465CAD" w:rsidTr="00CF46ED">
        <w:trPr>
          <w:trHeight w:val="330"/>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b/>
                <w:bCs/>
                <w:sz w:val="20"/>
                <w:szCs w:val="20"/>
                <w:lang w:val="es-GT" w:eastAsia="es-GT"/>
              </w:rPr>
            </w:pPr>
            <w:r w:rsidRPr="00465CAD">
              <w:rPr>
                <w:b/>
                <w:bCs/>
                <w:sz w:val="20"/>
                <w:szCs w:val="20"/>
                <w:lang w:val="es-GT" w:eastAsia="es-GT"/>
              </w:rPr>
              <w:t>Impuestos Directos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21,004.3</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21,014.5</w:t>
            </w:r>
          </w:p>
        </w:tc>
        <w:tc>
          <w:tcPr>
            <w:tcW w:w="1137" w:type="dxa"/>
            <w:tcBorders>
              <w:top w:val="nil"/>
              <w:left w:val="nil"/>
              <w:bottom w:val="nil"/>
              <w:right w:val="single" w:sz="8" w:space="0" w:color="auto"/>
            </w:tcBorders>
            <w:shd w:val="clear" w:color="auto" w:fill="auto"/>
            <w:noWrap/>
            <w:vAlign w:val="center"/>
            <w:hideMark/>
          </w:tcPr>
          <w:p w:rsidR="005B1AE1" w:rsidRPr="00004220" w:rsidRDefault="005B1AE1" w:rsidP="00004220">
            <w:pPr>
              <w:jc w:val="center"/>
              <w:rPr>
                <w:b/>
                <w:sz w:val="20"/>
                <w:szCs w:val="20"/>
                <w:lang w:val="es-GT" w:eastAsia="es-GT"/>
              </w:rPr>
            </w:pPr>
            <w:r w:rsidRPr="00004220">
              <w:rPr>
                <w:b/>
                <w:sz w:val="20"/>
                <w:szCs w:val="20"/>
                <w:lang w:val="es-GT" w:eastAsia="es-GT"/>
              </w:rPr>
              <w:t>10.</w:t>
            </w:r>
            <w:r w:rsidR="00004220">
              <w:rPr>
                <w:b/>
                <w:sz w:val="20"/>
                <w:szCs w:val="20"/>
                <w:lang w:val="es-GT" w:eastAsia="es-GT"/>
              </w:rPr>
              <w:t>2</w:t>
            </w:r>
          </w:p>
        </w:tc>
        <w:tc>
          <w:tcPr>
            <w:tcW w:w="1137" w:type="dxa"/>
            <w:tcBorders>
              <w:top w:val="nil"/>
              <w:left w:val="nil"/>
              <w:bottom w:val="nil"/>
              <w:right w:val="single" w:sz="8" w:space="0" w:color="auto"/>
            </w:tcBorders>
            <w:shd w:val="clear" w:color="auto" w:fill="auto"/>
            <w:noWrap/>
            <w:vAlign w:val="center"/>
          </w:tcPr>
          <w:p w:rsidR="005B1AE1" w:rsidRPr="00004220" w:rsidRDefault="005B1AE1" w:rsidP="00910F6F">
            <w:pPr>
              <w:jc w:val="center"/>
              <w:rPr>
                <w:b/>
                <w:sz w:val="20"/>
                <w:szCs w:val="20"/>
                <w:lang w:val="es-GT" w:eastAsia="es-GT"/>
              </w:rPr>
            </w:pP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 xml:space="preserve">  Impuesto sobre la Renta</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15,112.0</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16,242.0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1,130.0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7.5%</w:t>
            </w:r>
          </w:p>
        </w:tc>
      </w:tr>
      <w:tr w:rsidR="005B1AE1" w:rsidRPr="00465CAD" w:rsidTr="00004220">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 xml:space="preserve">  Impuesto sobre la propiedad y otros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24.7</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24.7</w:t>
            </w: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004220">
            <w:pPr>
              <w:jc w:val="center"/>
              <w:rPr>
                <w:sz w:val="20"/>
                <w:szCs w:val="20"/>
                <w:lang w:val="es-GT" w:eastAsia="es-GT"/>
              </w:rPr>
            </w:pP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910F6F">
            <w:pPr>
              <w:jc w:val="center"/>
              <w:rPr>
                <w:sz w:val="20"/>
                <w:szCs w:val="20"/>
                <w:lang w:val="es-GT" w:eastAsia="es-GT"/>
              </w:rPr>
            </w:pP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 xml:space="preserve">  A las Empresas Mercantiles y Agropecuarias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 </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0.2</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0.2</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 </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 xml:space="preserve">  IETAAP </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 </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8.3</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8.3</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 </w:t>
            </w:r>
          </w:p>
        </w:tc>
      </w:tr>
      <w:tr w:rsidR="005B1AE1" w:rsidRPr="00465CAD" w:rsidTr="00910F6F">
        <w:trPr>
          <w:trHeight w:val="258"/>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 xml:space="preserve">  Impues</w:t>
            </w:r>
            <w:r>
              <w:rPr>
                <w:sz w:val="20"/>
                <w:szCs w:val="20"/>
                <w:lang w:val="es-GT" w:eastAsia="es-GT"/>
              </w:rPr>
              <w:t>t</w:t>
            </w:r>
            <w:r w:rsidRPr="00465CAD">
              <w:rPr>
                <w:sz w:val="20"/>
                <w:szCs w:val="20"/>
                <w:lang w:val="es-GT" w:eastAsia="es-GT"/>
              </w:rPr>
              <w:t>o de Solidaridad</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4,467.6</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4,739.2</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271.6</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6.1%</w:t>
            </w:r>
          </w:p>
        </w:tc>
      </w:tr>
      <w:tr w:rsidR="005B1AE1" w:rsidRPr="00465CAD" w:rsidTr="00910F6F">
        <w:trPr>
          <w:trHeight w:val="258"/>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Otros Directos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1,400.0</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 </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-1,400.0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-100.0%</w:t>
            </w:r>
          </w:p>
        </w:tc>
      </w:tr>
      <w:tr w:rsidR="005B1AE1" w:rsidRPr="00465CAD" w:rsidTr="00910F6F">
        <w:trPr>
          <w:trHeight w:val="301"/>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b/>
                <w:bCs/>
                <w:sz w:val="20"/>
                <w:szCs w:val="20"/>
                <w:lang w:val="es-GT" w:eastAsia="es-GT"/>
              </w:rPr>
            </w:pPr>
            <w:r w:rsidRPr="00465CAD">
              <w:rPr>
                <w:b/>
                <w:bCs/>
                <w:sz w:val="20"/>
                <w:szCs w:val="20"/>
                <w:lang w:val="es-GT" w:eastAsia="es-GT"/>
              </w:rPr>
              <w:t>Impuestos Indirectos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36,990.5</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b/>
                <w:bCs/>
                <w:sz w:val="20"/>
                <w:szCs w:val="20"/>
                <w:lang w:val="es-GT" w:eastAsia="es-GT"/>
              </w:rPr>
            </w:pPr>
            <w:r w:rsidRPr="00465CAD">
              <w:rPr>
                <w:b/>
                <w:bCs/>
                <w:sz w:val="20"/>
                <w:szCs w:val="20"/>
                <w:lang w:val="es-GT" w:eastAsia="es-GT"/>
              </w:rPr>
              <w:t>36,980.5</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b/>
                <w:bCs/>
                <w:sz w:val="20"/>
                <w:szCs w:val="20"/>
                <w:lang w:val="es-GT" w:eastAsia="es-GT"/>
              </w:rPr>
            </w:pPr>
            <w:r w:rsidRPr="00465CAD">
              <w:rPr>
                <w:b/>
                <w:bCs/>
                <w:sz w:val="20"/>
                <w:szCs w:val="20"/>
                <w:lang w:val="es-GT" w:eastAsia="es-GT"/>
              </w:rPr>
              <w:t>-10.0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b/>
                <w:bCs/>
                <w:sz w:val="20"/>
                <w:szCs w:val="20"/>
                <w:lang w:val="es-GT" w:eastAsia="es-GT"/>
              </w:rPr>
            </w:pP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Impuesto al Valor Agregado</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25,353.2</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26,543.2</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1,190.0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4.7%</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Doméstico</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12,062.7</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13,012.7</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950.0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7.9%</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Importaciones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13,290.5</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13,530.5</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240.0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1.8%</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Derechos Arancelarios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2,477.4</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2,637.4</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160.0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6.5%</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Petróleo</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3,256.0</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3,496.0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240.0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7.4%</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Timbres Fiscales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395.0</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489.5</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94.5</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23.9%</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Vehículos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850.2</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920.2</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70.0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8.2%</w:t>
            </w:r>
          </w:p>
        </w:tc>
      </w:tr>
      <w:tr w:rsidR="005B1AE1" w:rsidRPr="00465CAD" w:rsidTr="00004220">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IPRIMA</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1,031.1</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1,031.1</w:t>
            </w: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004220">
            <w:pPr>
              <w:jc w:val="center"/>
              <w:rPr>
                <w:sz w:val="20"/>
                <w:szCs w:val="20"/>
                <w:lang w:val="es-GT" w:eastAsia="es-GT"/>
              </w:rPr>
            </w:pP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910F6F">
            <w:pPr>
              <w:jc w:val="center"/>
              <w:rPr>
                <w:sz w:val="20"/>
                <w:szCs w:val="20"/>
                <w:lang w:val="es-GT" w:eastAsia="es-GT"/>
              </w:rPr>
            </w:pPr>
          </w:p>
        </w:tc>
      </w:tr>
      <w:tr w:rsidR="005B1AE1" w:rsidRPr="00465CAD" w:rsidTr="00004220">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Regalías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188.6</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188.6</w:t>
            </w: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004220">
            <w:pPr>
              <w:jc w:val="center"/>
              <w:rPr>
                <w:sz w:val="20"/>
                <w:szCs w:val="20"/>
                <w:lang w:val="es-GT" w:eastAsia="es-GT"/>
              </w:rPr>
            </w:pP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910F6F">
            <w:pPr>
              <w:jc w:val="center"/>
              <w:rPr>
                <w:sz w:val="20"/>
                <w:szCs w:val="20"/>
                <w:lang w:val="es-GT" w:eastAsia="es-GT"/>
              </w:rPr>
            </w:pPr>
          </w:p>
        </w:tc>
      </w:tr>
      <w:tr w:rsidR="005B1AE1" w:rsidRPr="00465CAD" w:rsidTr="00004220">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Salida del País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343.2</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343.2</w:t>
            </w: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004220">
            <w:pPr>
              <w:jc w:val="center"/>
              <w:rPr>
                <w:sz w:val="20"/>
                <w:szCs w:val="20"/>
                <w:lang w:val="es-GT" w:eastAsia="es-GT"/>
              </w:rPr>
            </w:pP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910F6F">
            <w:pPr>
              <w:jc w:val="center"/>
              <w:rPr>
                <w:sz w:val="20"/>
                <w:szCs w:val="20"/>
                <w:lang w:val="es-GT" w:eastAsia="es-GT"/>
              </w:rPr>
            </w:pP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Impuestos Específicos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1,186.1</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1,216.1</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30.0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2.5%</w:t>
            </w:r>
          </w:p>
        </w:tc>
      </w:tr>
      <w:tr w:rsidR="005B1AE1" w:rsidRPr="00465CAD" w:rsidTr="00910F6F">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Alcoholes y bebidas</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787.6</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817.6</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30.0</w:t>
            </w:r>
          </w:p>
        </w:tc>
        <w:tc>
          <w:tcPr>
            <w:tcW w:w="1137" w:type="dxa"/>
            <w:tcBorders>
              <w:top w:val="nil"/>
              <w:left w:val="nil"/>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3.8%</w:t>
            </w:r>
          </w:p>
        </w:tc>
      </w:tr>
      <w:tr w:rsidR="005B1AE1" w:rsidRPr="00465CAD" w:rsidTr="00004220">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Tabaco</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398.5</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398.5</w:t>
            </w: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004220">
            <w:pPr>
              <w:jc w:val="center"/>
              <w:rPr>
                <w:sz w:val="20"/>
                <w:szCs w:val="20"/>
                <w:lang w:val="es-GT" w:eastAsia="es-GT"/>
              </w:rPr>
            </w:pP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910F6F">
            <w:pPr>
              <w:jc w:val="center"/>
              <w:rPr>
                <w:sz w:val="20"/>
                <w:szCs w:val="20"/>
                <w:lang w:val="es-GT" w:eastAsia="es-GT"/>
              </w:rPr>
            </w:pPr>
          </w:p>
        </w:tc>
      </w:tr>
      <w:tr w:rsidR="005B1AE1" w:rsidRPr="00465CAD" w:rsidTr="00004220">
        <w:trPr>
          <w:trHeight w:val="244"/>
          <w:jc w:val="center"/>
        </w:trPr>
        <w:tc>
          <w:tcPr>
            <w:tcW w:w="3847" w:type="dxa"/>
            <w:tcBorders>
              <w:top w:val="nil"/>
              <w:left w:val="single" w:sz="8" w:space="0" w:color="auto"/>
              <w:bottom w:val="nil"/>
              <w:right w:val="nil"/>
            </w:tcBorders>
            <w:shd w:val="clear" w:color="auto" w:fill="auto"/>
            <w:noWrap/>
            <w:vAlign w:val="center"/>
            <w:hideMark/>
          </w:tcPr>
          <w:p w:rsidR="005B1AE1" w:rsidRPr="00465CAD" w:rsidRDefault="005B1AE1" w:rsidP="00910F6F">
            <w:pPr>
              <w:rPr>
                <w:sz w:val="20"/>
                <w:szCs w:val="20"/>
                <w:lang w:val="es-GT" w:eastAsia="es-GT"/>
              </w:rPr>
            </w:pPr>
            <w:r>
              <w:rPr>
                <w:sz w:val="20"/>
                <w:szCs w:val="20"/>
                <w:lang w:val="es-GT" w:eastAsia="es-GT"/>
              </w:rPr>
              <w:t xml:space="preserve">     </w:t>
            </w:r>
            <w:r w:rsidRPr="00465CAD">
              <w:rPr>
                <w:sz w:val="20"/>
                <w:szCs w:val="20"/>
                <w:lang w:val="es-GT" w:eastAsia="es-GT"/>
              </w:rPr>
              <w:t>Distribución de Cemento</w:t>
            </w:r>
          </w:p>
        </w:tc>
        <w:tc>
          <w:tcPr>
            <w:tcW w:w="1137" w:type="dxa"/>
            <w:tcBorders>
              <w:top w:val="nil"/>
              <w:left w:val="single" w:sz="8" w:space="0" w:color="auto"/>
              <w:bottom w:val="nil"/>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109.7</w:t>
            </w:r>
          </w:p>
        </w:tc>
        <w:tc>
          <w:tcPr>
            <w:tcW w:w="1137" w:type="dxa"/>
            <w:tcBorders>
              <w:top w:val="nil"/>
              <w:left w:val="single" w:sz="4" w:space="0" w:color="auto"/>
              <w:bottom w:val="nil"/>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109.7</w:t>
            </w: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004220">
            <w:pPr>
              <w:jc w:val="center"/>
              <w:rPr>
                <w:sz w:val="20"/>
                <w:szCs w:val="20"/>
                <w:lang w:val="es-GT" w:eastAsia="es-GT"/>
              </w:rPr>
            </w:pPr>
          </w:p>
        </w:tc>
        <w:tc>
          <w:tcPr>
            <w:tcW w:w="1137" w:type="dxa"/>
            <w:tcBorders>
              <w:top w:val="nil"/>
              <w:left w:val="nil"/>
              <w:bottom w:val="nil"/>
              <w:right w:val="single" w:sz="8" w:space="0" w:color="auto"/>
            </w:tcBorders>
            <w:shd w:val="clear" w:color="auto" w:fill="auto"/>
            <w:noWrap/>
            <w:vAlign w:val="center"/>
          </w:tcPr>
          <w:p w:rsidR="005B1AE1" w:rsidRPr="00465CAD" w:rsidRDefault="005B1AE1" w:rsidP="00910F6F">
            <w:pPr>
              <w:jc w:val="center"/>
              <w:rPr>
                <w:sz w:val="20"/>
                <w:szCs w:val="20"/>
                <w:lang w:val="es-GT" w:eastAsia="es-GT"/>
              </w:rPr>
            </w:pPr>
          </w:p>
        </w:tc>
      </w:tr>
      <w:tr w:rsidR="005B1AE1" w:rsidRPr="00465CAD" w:rsidTr="00910F6F">
        <w:trPr>
          <w:trHeight w:val="258"/>
          <w:jc w:val="center"/>
        </w:trPr>
        <w:tc>
          <w:tcPr>
            <w:tcW w:w="3847" w:type="dxa"/>
            <w:tcBorders>
              <w:top w:val="nil"/>
              <w:left w:val="single" w:sz="8" w:space="0" w:color="auto"/>
              <w:bottom w:val="single" w:sz="8" w:space="0" w:color="auto"/>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Otros indirectos</w:t>
            </w:r>
          </w:p>
        </w:tc>
        <w:tc>
          <w:tcPr>
            <w:tcW w:w="1137" w:type="dxa"/>
            <w:tcBorders>
              <w:top w:val="nil"/>
              <w:left w:val="single" w:sz="8" w:space="0" w:color="auto"/>
              <w:bottom w:val="single" w:sz="8" w:space="0" w:color="auto"/>
              <w:right w:val="single" w:sz="4"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1,800.0</w:t>
            </w:r>
          </w:p>
        </w:tc>
        <w:tc>
          <w:tcPr>
            <w:tcW w:w="1137" w:type="dxa"/>
            <w:tcBorders>
              <w:top w:val="nil"/>
              <w:left w:val="nil"/>
              <w:bottom w:val="single" w:sz="8" w:space="0" w:color="auto"/>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5.5</w:t>
            </w:r>
          </w:p>
        </w:tc>
        <w:tc>
          <w:tcPr>
            <w:tcW w:w="1137" w:type="dxa"/>
            <w:tcBorders>
              <w:top w:val="nil"/>
              <w:left w:val="nil"/>
              <w:bottom w:val="single" w:sz="8" w:space="0" w:color="auto"/>
              <w:right w:val="single" w:sz="8" w:space="0" w:color="auto"/>
            </w:tcBorders>
            <w:shd w:val="clear" w:color="auto" w:fill="auto"/>
            <w:noWrap/>
            <w:vAlign w:val="center"/>
            <w:hideMark/>
          </w:tcPr>
          <w:p w:rsidR="005B1AE1" w:rsidRPr="00465CAD" w:rsidRDefault="005B1AE1" w:rsidP="00004220">
            <w:pPr>
              <w:jc w:val="center"/>
              <w:rPr>
                <w:sz w:val="20"/>
                <w:szCs w:val="20"/>
                <w:lang w:val="es-GT" w:eastAsia="es-GT"/>
              </w:rPr>
            </w:pPr>
            <w:r w:rsidRPr="00465CAD">
              <w:rPr>
                <w:sz w:val="20"/>
                <w:szCs w:val="20"/>
                <w:lang w:val="es-GT" w:eastAsia="es-GT"/>
              </w:rPr>
              <w:t>-1,794.5</w:t>
            </w:r>
          </w:p>
        </w:tc>
        <w:tc>
          <w:tcPr>
            <w:tcW w:w="1137" w:type="dxa"/>
            <w:tcBorders>
              <w:top w:val="nil"/>
              <w:left w:val="nil"/>
              <w:bottom w:val="single" w:sz="8" w:space="0" w:color="auto"/>
              <w:right w:val="single" w:sz="8" w:space="0" w:color="auto"/>
            </w:tcBorders>
            <w:shd w:val="clear" w:color="auto" w:fill="auto"/>
            <w:noWrap/>
            <w:vAlign w:val="center"/>
            <w:hideMark/>
          </w:tcPr>
          <w:p w:rsidR="005B1AE1" w:rsidRPr="00465CAD" w:rsidRDefault="005B1AE1" w:rsidP="00910F6F">
            <w:pPr>
              <w:jc w:val="center"/>
              <w:rPr>
                <w:sz w:val="20"/>
                <w:szCs w:val="20"/>
                <w:lang w:val="es-GT" w:eastAsia="es-GT"/>
              </w:rPr>
            </w:pPr>
            <w:r w:rsidRPr="00465CAD">
              <w:rPr>
                <w:sz w:val="20"/>
                <w:szCs w:val="20"/>
                <w:lang w:val="es-GT" w:eastAsia="es-GT"/>
              </w:rPr>
              <w:t>-99.7%</w:t>
            </w:r>
          </w:p>
        </w:tc>
      </w:tr>
      <w:tr w:rsidR="005B1AE1" w:rsidRPr="00465CAD" w:rsidTr="00910F6F">
        <w:trPr>
          <w:trHeight w:val="244"/>
          <w:jc w:val="center"/>
        </w:trPr>
        <w:tc>
          <w:tcPr>
            <w:tcW w:w="3847" w:type="dxa"/>
            <w:tcBorders>
              <w:top w:val="nil"/>
              <w:left w:val="nil"/>
              <w:bottom w:val="nil"/>
              <w:right w:val="nil"/>
            </w:tcBorders>
            <w:shd w:val="clear" w:color="auto" w:fill="auto"/>
            <w:noWrap/>
            <w:vAlign w:val="center"/>
            <w:hideMark/>
          </w:tcPr>
          <w:p w:rsidR="005B1AE1" w:rsidRPr="00465CAD" w:rsidRDefault="005B1AE1" w:rsidP="00910F6F">
            <w:pPr>
              <w:rPr>
                <w:sz w:val="20"/>
                <w:szCs w:val="20"/>
                <w:lang w:val="es-GT" w:eastAsia="es-GT"/>
              </w:rPr>
            </w:pPr>
            <w:r w:rsidRPr="00465CAD">
              <w:rPr>
                <w:sz w:val="20"/>
                <w:szCs w:val="20"/>
                <w:lang w:val="es-GT" w:eastAsia="es-GT"/>
              </w:rPr>
              <w:t>*/Pueden existir diferencias por redondeo</w:t>
            </w:r>
          </w:p>
        </w:tc>
        <w:tc>
          <w:tcPr>
            <w:tcW w:w="1137" w:type="dxa"/>
            <w:tcBorders>
              <w:top w:val="nil"/>
              <w:left w:val="nil"/>
              <w:bottom w:val="nil"/>
              <w:right w:val="nil"/>
            </w:tcBorders>
            <w:shd w:val="clear" w:color="auto" w:fill="auto"/>
            <w:noWrap/>
            <w:vAlign w:val="center"/>
            <w:hideMark/>
          </w:tcPr>
          <w:p w:rsidR="005B1AE1" w:rsidRPr="00465CAD" w:rsidRDefault="005B1AE1" w:rsidP="00910F6F">
            <w:pPr>
              <w:rPr>
                <w:sz w:val="20"/>
                <w:szCs w:val="20"/>
                <w:lang w:val="es-GT" w:eastAsia="es-GT"/>
              </w:rPr>
            </w:pPr>
          </w:p>
        </w:tc>
        <w:tc>
          <w:tcPr>
            <w:tcW w:w="1137" w:type="dxa"/>
            <w:tcBorders>
              <w:top w:val="nil"/>
              <w:left w:val="nil"/>
              <w:bottom w:val="nil"/>
              <w:right w:val="nil"/>
            </w:tcBorders>
            <w:shd w:val="clear" w:color="auto" w:fill="auto"/>
            <w:noWrap/>
            <w:vAlign w:val="center"/>
            <w:hideMark/>
          </w:tcPr>
          <w:p w:rsidR="005B1AE1" w:rsidRPr="00465CAD" w:rsidRDefault="005B1AE1" w:rsidP="00910F6F">
            <w:pPr>
              <w:rPr>
                <w:sz w:val="20"/>
                <w:szCs w:val="20"/>
                <w:lang w:val="es-GT" w:eastAsia="es-GT"/>
              </w:rPr>
            </w:pPr>
          </w:p>
        </w:tc>
        <w:tc>
          <w:tcPr>
            <w:tcW w:w="1137" w:type="dxa"/>
            <w:tcBorders>
              <w:top w:val="nil"/>
              <w:left w:val="nil"/>
              <w:bottom w:val="nil"/>
              <w:right w:val="nil"/>
            </w:tcBorders>
            <w:shd w:val="clear" w:color="auto" w:fill="auto"/>
            <w:noWrap/>
            <w:vAlign w:val="center"/>
            <w:hideMark/>
          </w:tcPr>
          <w:p w:rsidR="005B1AE1" w:rsidRPr="00465CAD" w:rsidRDefault="005B1AE1" w:rsidP="00910F6F">
            <w:pPr>
              <w:rPr>
                <w:sz w:val="20"/>
                <w:szCs w:val="20"/>
                <w:lang w:val="es-GT" w:eastAsia="es-GT"/>
              </w:rPr>
            </w:pPr>
          </w:p>
        </w:tc>
        <w:tc>
          <w:tcPr>
            <w:tcW w:w="1137" w:type="dxa"/>
            <w:tcBorders>
              <w:top w:val="nil"/>
              <w:left w:val="nil"/>
              <w:bottom w:val="nil"/>
              <w:right w:val="nil"/>
            </w:tcBorders>
            <w:shd w:val="clear" w:color="auto" w:fill="auto"/>
            <w:noWrap/>
            <w:vAlign w:val="center"/>
            <w:hideMark/>
          </w:tcPr>
          <w:p w:rsidR="005B1AE1" w:rsidRPr="00465CAD" w:rsidRDefault="005B1AE1" w:rsidP="00910F6F">
            <w:pPr>
              <w:rPr>
                <w:sz w:val="20"/>
                <w:szCs w:val="20"/>
                <w:lang w:val="es-GT" w:eastAsia="es-GT"/>
              </w:rPr>
            </w:pPr>
          </w:p>
        </w:tc>
      </w:tr>
    </w:tbl>
    <w:p w:rsidR="005B1AE1" w:rsidRPr="00465CAD" w:rsidRDefault="005B1AE1" w:rsidP="005B1AE1">
      <w:pPr>
        <w:jc w:val="both"/>
        <w:rPr>
          <w:lang w:val="es-GT"/>
        </w:rPr>
      </w:pPr>
    </w:p>
    <w:p w:rsidR="005B1AE1" w:rsidRDefault="005B1AE1" w:rsidP="005B1AE1">
      <w:pPr>
        <w:jc w:val="both"/>
      </w:pPr>
    </w:p>
    <w:p w:rsidR="005B1AE1" w:rsidRPr="007771BA" w:rsidRDefault="005B1AE1" w:rsidP="00D16A2D">
      <w:pPr>
        <w:keepNext/>
        <w:keepLines/>
        <w:numPr>
          <w:ilvl w:val="0"/>
          <w:numId w:val="20"/>
        </w:numPr>
        <w:outlineLvl w:val="2"/>
        <w:rPr>
          <w:b/>
          <w:bCs/>
        </w:rPr>
      </w:pPr>
      <w:bookmarkStart w:id="50" w:name="_Toc494450613"/>
      <w:r w:rsidRPr="007771BA">
        <w:rPr>
          <w:b/>
          <w:bCs/>
        </w:rPr>
        <w:lastRenderedPageBreak/>
        <w:t>Gasto y Financiamiento</w:t>
      </w:r>
      <w:bookmarkEnd w:id="50"/>
    </w:p>
    <w:p w:rsidR="005B1AE1" w:rsidRPr="00F96939" w:rsidRDefault="005B1AE1" w:rsidP="005B1AE1">
      <w:pPr>
        <w:rPr>
          <w:lang w:val="es-MX"/>
        </w:rPr>
      </w:pPr>
    </w:p>
    <w:p w:rsidR="005B1AE1" w:rsidRDefault="005B1AE1" w:rsidP="005B1AE1">
      <w:pPr>
        <w:jc w:val="both"/>
        <w:rPr>
          <w:lang w:val="es-MX"/>
        </w:rPr>
      </w:pPr>
      <w:r>
        <w:rPr>
          <w:lang w:val="es-MX"/>
        </w:rPr>
        <w:t>Generalmente el gasto público, en buena medida, se ajusta al nivel de recaudación. Sin embargo, hay variables que son totalmente independientes al nivel de ingreso como la nómina, los intereses de la deuda, las clases pasivas, los aportes</w:t>
      </w:r>
      <w:r w:rsidR="00EA2204">
        <w:rPr>
          <w:lang w:val="es-MX"/>
        </w:rPr>
        <w:t xml:space="preserve"> institucionales</w:t>
      </w:r>
      <w:r>
        <w:rPr>
          <w:lang w:val="es-MX"/>
        </w:rPr>
        <w:t>, entre otros rubros</w:t>
      </w:r>
      <w:r w:rsidR="00EA2204">
        <w:rPr>
          <w:lang w:val="es-MX"/>
        </w:rPr>
        <w:t>. E</w:t>
      </w:r>
      <w:r>
        <w:rPr>
          <w:lang w:val="es-MX"/>
        </w:rPr>
        <w:t>ste tipo de variables son consideradas como rigideces del gasto público.   Entre los principales supuestos de la estimación de gasto se encuentran los siguientes:</w:t>
      </w:r>
    </w:p>
    <w:p w:rsidR="005B1AE1" w:rsidRDefault="005B1AE1" w:rsidP="005B1AE1">
      <w:pPr>
        <w:pStyle w:val="Sinespaciado"/>
        <w:spacing w:line="276" w:lineRule="auto"/>
        <w:jc w:val="both"/>
        <w:rPr>
          <w:rFonts w:ascii="Times New Roman" w:hAnsi="Times New Roman"/>
          <w:lang w:val="es-MX"/>
        </w:rPr>
      </w:pPr>
    </w:p>
    <w:p w:rsidR="005B1AE1" w:rsidRPr="00EC58F3" w:rsidRDefault="005B1AE1" w:rsidP="00D16A2D">
      <w:pPr>
        <w:pStyle w:val="Prrafodelista"/>
        <w:numPr>
          <w:ilvl w:val="0"/>
          <w:numId w:val="16"/>
        </w:numPr>
        <w:jc w:val="both"/>
        <w:rPr>
          <w:lang w:val="es-MX"/>
        </w:rPr>
      </w:pPr>
      <w:r w:rsidRPr="00EC58F3">
        <w:rPr>
          <w:lang w:val="es-MX"/>
        </w:rPr>
        <w:t xml:space="preserve">Se estima que las remuneraciones del gobierno quedarán </w:t>
      </w:r>
      <w:r w:rsidR="00CE2706">
        <w:rPr>
          <w:lang w:val="es-MX"/>
        </w:rPr>
        <w:t xml:space="preserve">en </w:t>
      </w:r>
      <w:r w:rsidRPr="00EC58F3">
        <w:rPr>
          <w:lang w:val="es-MX"/>
        </w:rPr>
        <w:t xml:space="preserve">1.1% por debajo del presupuesto vigente considerando que podrían quedar algunas economías en </w:t>
      </w:r>
      <w:r w:rsidR="00CE2706">
        <w:rPr>
          <w:lang w:val="es-MX"/>
        </w:rPr>
        <w:t>los M</w:t>
      </w:r>
      <w:r w:rsidRPr="00EC58F3">
        <w:rPr>
          <w:lang w:val="es-MX"/>
        </w:rPr>
        <w:t xml:space="preserve">inisterios </w:t>
      </w:r>
      <w:r w:rsidR="00CE2706">
        <w:rPr>
          <w:lang w:val="es-MX"/>
        </w:rPr>
        <w:t>de E</w:t>
      </w:r>
      <w:r w:rsidRPr="00EC58F3">
        <w:rPr>
          <w:lang w:val="es-MX"/>
        </w:rPr>
        <w:t xml:space="preserve">ducación y </w:t>
      </w:r>
      <w:r w:rsidR="00CE2706">
        <w:rPr>
          <w:lang w:val="es-MX"/>
        </w:rPr>
        <w:t>G</w:t>
      </w:r>
      <w:r w:rsidRPr="00EC58F3">
        <w:rPr>
          <w:lang w:val="es-MX"/>
        </w:rPr>
        <w:t>obernación</w:t>
      </w:r>
      <w:r w:rsidR="00CE2706">
        <w:rPr>
          <w:lang w:val="es-MX"/>
        </w:rPr>
        <w:t>,</w:t>
      </w:r>
      <w:r w:rsidRPr="00EC58F3">
        <w:rPr>
          <w:lang w:val="es-MX"/>
        </w:rPr>
        <w:t xml:space="preserve"> principalmente</w:t>
      </w:r>
      <w:r w:rsidR="00CE2706">
        <w:rPr>
          <w:lang w:val="es-MX"/>
        </w:rPr>
        <w:t>,</w:t>
      </w:r>
      <w:r w:rsidRPr="00EC58F3">
        <w:rPr>
          <w:lang w:val="es-MX"/>
        </w:rPr>
        <w:t xml:space="preserve"> relacionadas a personal temporal. </w:t>
      </w:r>
    </w:p>
    <w:p w:rsidR="005B1AE1" w:rsidRPr="00EC58F3" w:rsidRDefault="005B1AE1" w:rsidP="00D16A2D">
      <w:pPr>
        <w:pStyle w:val="Prrafodelista"/>
        <w:numPr>
          <w:ilvl w:val="0"/>
          <w:numId w:val="16"/>
        </w:numPr>
        <w:jc w:val="both"/>
        <w:rPr>
          <w:lang w:val="es-MX"/>
        </w:rPr>
      </w:pPr>
      <w:r w:rsidRPr="00EC58F3">
        <w:rPr>
          <w:lang w:val="es-MX"/>
        </w:rPr>
        <w:t>Se prevé que el rubro de bienes y servicios muestre una fuerte caída en su ejecución con respecto al presupuesto (16.3%) derivado de los problemas que han aducido algunas entidades en las compras y contrataciones. Sin embargo, el nivel de gasto se espera supere lo ejecutado en 2016</w:t>
      </w:r>
      <w:r>
        <w:rPr>
          <w:lang w:val="es-MX"/>
        </w:rPr>
        <w:t xml:space="preserve">.  </w:t>
      </w:r>
      <w:r w:rsidRPr="00EC58F3">
        <w:rPr>
          <w:lang w:val="es-MX"/>
        </w:rPr>
        <w:t xml:space="preserve"> </w:t>
      </w:r>
      <w:r>
        <w:rPr>
          <w:lang w:val="es-MX"/>
        </w:rPr>
        <w:t>L</w:t>
      </w:r>
      <w:r w:rsidRPr="00EC58F3">
        <w:rPr>
          <w:lang w:val="es-MX"/>
        </w:rPr>
        <w:t>o anterior tiene una incidencia negativa en el pago de impuestos que realizan las entidades del Estado debido a que las compras realizadas serán menores a las programadas</w:t>
      </w:r>
      <w:r w:rsidR="00CE2706">
        <w:rPr>
          <w:lang w:val="es-MX"/>
        </w:rPr>
        <w:t>;</w:t>
      </w:r>
      <w:r w:rsidRPr="00EC58F3">
        <w:rPr>
          <w:lang w:val="es-MX"/>
        </w:rPr>
        <w:t xml:space="preserve"> en igual sentido se prevé una reducción en los rubros de derechos sobre bienes intangibles y </w:t>
      </w:r>
      <w:r>
        <w:rPr>
          <w:lang w:val="es-MX"/>
        </w:rPr>
        <w:t xml:space="preserve">en </w:t>
      </w:r>
      <w:r w:rsidRPr="00EC58F3">
        <w:rPr>
          <w:lang w:val="es-MX"/>
        </w:rPr>
        <w:t>arrendamientos de tierras y terrenos.</w:t>
      </w:r>
    </w:p>
    <w:p w:rsidR="005B1AE1" w:rsidRPr="00EC58F3" w:rsidRDefault="005B1AE1" w:rsidP="00D16A2D">
      <w:pPr>
        <w:pStyle w:val="Prrafodelista"/>
        <w:numPr>
          <w:ilvl w:val="0"/>
          <w:numId w:val="16"/>
        </w:numPr>
        <w:jc w:val="both"/>
        <w:rPr>
          <w:lang w:val="es-MX"/>
        </w:rPr>
      </w:pPr>
      <w:r w:rsidRPr="00EC58F3">
        <w:rPr>
          <w:lang w:val="es-MX"/>
        </w:rPr>
        <w:t>Las transferencias corrientes se prevé un cumplimiento prácticamente pleno con respecto a lo previsto en el presupuesto, aunque podría</w:t>
      </w:r>
      <w:r w:rsidR="00CE2706">
        <w:rPr>
          <w:lang w:val="es-MX"/>
        </w:rPr>
        <w:t>n</w:t>
      </w:r>
      <w:r w:rsidRPr="00EC58F3">
        <w:rPr>
          <w:lang w:val="es-MX"/>
        </w:rPr>
        <w:t xml:space="preserve"> reducirse los aportes al sector privado, especialmente las transferencias </w:t>
      </w:r>
      <w:r w:rsidR="00CE2706">
        <w:rPr>
          <w:lang w:val="es-MX"/>
        </w:rPr>
        <w:t xml:space="preserve">monetarias </w:t>
      </w:r>
      <w:r w:rsidRPr="00EC58F3">
        <w:rPr>
          <w:lang w:val="es-MX"/>
        </w:rPr>
        <w:t xml:space="preserve">condicionadas por el efecto de la normativa presupuestaria que condiciona los aportes de los programas sociales a la elaboración de un censo de beneficiarios, que aún no ha sido finiquitado por la entidad competente, cuya demora podría incidir en la ejecución de dichos programas. </w:t>
      </w:r>
    </w:p>
    <w:p w:rsidR="005B1AE1" w:rsidRPr="00EC58F3" w:rsidRDefault="005B1AE1" w:rsidP="00D16A2D">
      <w:pPr>
        <w:pStyle w:val="Prrafodelista"/>
        <w:numPr>
          <w:ilvl w:val="0"/>
          <w:numId w:val="16"/>
        </w:numPr>
        <w:jc w:val="both"/>
        <w:rPr>
          <w:lang w:val="es-MX"/>
        </w:rPr>
      </w:pPr>
      <w:r w:rsidRPr="00EC58F3">
        <w:rPr>
          <w:lang w:val="es-MX"/>
        </w:rPr>
        <w:t>Los intereses de la deuda pública se esperan se ejecuten plenamente y lo que se prevé es un cambio leve en su composición, aunque es importante indicar que podrían surgir economías por el efecto del tipo de cambio (apreciación) y en tasa de interés que podría reducir el costo de la deuda en los próximos meses.</w:t>
      </w:r>
    </w:p>
    <w:p w:rsidR="005B1AE1" w:rsidRPr="00EC58F3" w:rsidRDefault="005B1AE1" w:rsidP="00D16A2D">
      <w:pPr>
        <w:pStyle w:val="Prrafodelista"/>
        <w:numPr>
          <w:ilvl w:val="0"/>
          <w:numId w:val="16"/>
        </w:numPr>
        <w:jc w:val="both"/>
        <w:rPr>
          <w:lang w:val="es-MX"/>
        </w:rPr>
      </w:pPr>
      <w:r w:rsidRPr="00EC58F3">
        <w:rPr>
          <w:lang w:val="es-MX"/>
        </w:rPr>
        <w:t>Por su parte la estimación de la inversión real directa, es uno de los rubros que muestran la mayor reducción con respecto al presupuesto (31.8%) debido a los problemas con la ejecución de obras asociadas a los desfases entre la programación, la licitación, la adjudicación y la ejecución de los contratos, lo cual incide también en un rezago importante en los desembolsos de préstamos y donaciones.</w:t>
      </w:r>
    </w:p>
    <w:p w:rsidR="005B1AE1" w:rsidRPr="00EC58F3" w:rsidRDefault="005B1AE1" w:rsidP="00D16A2D">
      <w:pPr>
        <w:pStyle w:val="Prrafodelista"/>
        <w:numPr>
          <w:ilvl w:val="0"/>
          <w:numId w:val="16"/>
        </w:numPr>
        <w:jc w:val="both"/>
        <w:rPr>
          <w:lang w:val="es-MX"/>
        </w:rPr>
      </w:pPr>
      <w:r w:rsidRPr="00EC58F3">
        <w:rPr>
          <w:lang w:val="es-MX"/>
        </w:rPr>
        <w:t>Las trasferencias de capital se prevé tengan una reducción de apenas 0.3% con respecto al presupuesto vigente, ya que podría existir una subejecución principalmente en los Consejos Departamentales de Desarrollo que impida el traslado total de los aportes respectivos.  Sin embargo, se prevé que a la</w:t>
      </w:r>
      <w:r>
        <w:rPr>
          <w:lang w:val="es-MX"/>
        </w:rPr>
        <w:t>s</w:t>
      </w:r>
      <w:r w:rsidRPr="00EC58F3">
        <w:rPr>
          <w:lang w:val="es-MX"/>
        </w:rPr>
        <w:t xml:space="preserve"> Municipalidades se les trasladará la totalidad de sus aportes</w:t>
      </w:r>
      <w:r w:rsidR="00CE2706">
        <w:rPr>
          <w:lang w:val="es-MX"/>
        </w:rPr>
        <w:t>,</w:t>
      </w:r>
      <w:r w:rsidRPr="00EC58F3">
        <w:rPr>
          <w:lang w:val="es-MX"/>
        </w:rPr>
        <w:t xml:space="preserve"> si</w:t>
      </w:r>
      <w:r>
        <w:rPr>
          <w:lang w:val="es-MX"/>
        </w:rPr>
        <w:t>empre y cuando</w:t>
      </w:r>
      <w:r w:rsidRPr="00EC58F3">
        <w:rPr>
          <w:lang w:val="es-MX"/>
        </w:rPr>
        <w:t xml:space="preserve"> la recaudación tributaria se comport</w:t>
      </w:r>
      <w:r>
        <w:rPr>
          <w:lang w:val="es-MX"/>
        </w:rPr>
        <w:t>e</w:t>
      </w:r>
      <w:r w:rsidRPr="00EC58F3">
        <w:rPr>
          <w:lang w:val="es-MX"/>
        </w:rPr>
        <w:t xml:space="preserve"> como lo previsto en las estimaciones.</w:t>
      </w:r>
    </w:p>
    <w:p w:rsidR="005B1AE1" w:rsidRDefault="005B1AE1" w:rsidP="005B1AE1">
      <w:pPr>
        <w:pStyle w:val="Sinespaciado"/>
        <w:spacing w:line="276" w:lineRule="auto"/>
        <w:ind w:left="720"/>
        <w:jc w:val="both"/>
        <w:rPr>
          <w:rFonts w:ascii="Times New Roman" w:hAnsi="Times New Roman"/>
          <w:lang w:val="es-MX"/>
        </w:rPr>
      </w:pPr>
    </w:p>
    <w:p w:rsidR="005B1AE1" w:rsidRDefault="005B1AE1" w:rsidP="005B1AE1">
      <w:pPr>
        <w:jc w:val="both"/>
        <w:rPr>
          <w:lang w:val="es-MX"/>
        </w:rPr>
      </w:pPr>
      <w:r>
        <w:rPr>
          <w:lang w:val="es-MX"/>
        </w:rPr>
        <w:t>De esa cuenta, el gasto público estimado para 2017 (sin incluir las amortizaciones de la deuda) podría situarse en Q</w:t>
      </w:r>
      <w:r w:rsidR="00CE2706">
        <w:rPr>
          <w:lang w:val="es-MX"/>
        </w:rPr>
        <w:t>.</w:t>
      </w:r>
      <w:r>
        <w:rPr>
          <w:lang w:val="es-MX"/>
        </w:rPr>
        <w:t xml:space="preserve">69,643.4 millones, es decir, tendrán una reducción de 4.6% con respecto a lo que se prevé en el presupuesto vigente para este año.   Asimismo, dicho monto será equivalente al 12.5% del PIB, mayor al obtenido en 2016 que fue de 12.1% del PIB.   </w:t>
      </w:r>
    </w:p>
    <w:p w:rsidR="005B1AE1" w:rsidRPr="00F5143F" w:rsidRDefault="005B1AE1" w:rsidP="005B1AE1">
      <w:pPr>
        <w:jc w:val="center"/>
        <w:rPr>
          <w:b/>
          <w:sz w:val="22"/>
          <w:lang w:val="es-MX"/>
        </w:rPr>
      </w:pPr>
    </w:p>
    <w:p w:rsidR="005B1AE1" w:rsidRPr="00296BB6" w:rsidRDefault="005B1AE1" w:rsidP="005B1AE1">
      <w:pPr>
        <w:jc w:val="center"/>
        <w:rPr>
          <w:b/>
          <w:sz w:val="22"/>
        </w:rPr>
      </w:pPr>
      <w:r>
        <w:rPr>
          <w:b/>
          <w:sz w:val="22"/>
        </w:rPr>
        <w:t>Cuadro 1</w:t>
      </w:r>
      <w:r w:rsidR="00910F6F">
        <w:rPr>
          <w:b/>
          <w:sz w:val="22"/>
        </w:rPr>
        <w:t>8</w:t>
      </w:r>
    </w:p>
    <w:p w:rsidR="005B1AE1" w:rsidRPr="00296BB6" w:rsidRDefault="005B1AE1" w:rsidP="005B1AE1">
      <w:pPr>
        <w:jc w:val="center"/>
        <w:rPr>
          <w:b/>
          <w:sz w:val="22"/>
        </w:rPr>
      </w:pPr>
      <w:r>
        <w:rPr>
          <w:b/>
          <w:sz w:val="22"/>
        </w:rPr>
        <w:t>Gasto Público Cuenta Económica</w:t>
      </w:r>
    </w:p>
    <w:p w:rsidR="005B1AE1" w:rsidRPr="00296BB6" w:rsidRDefault="005B1AE1" w:rsidP="005B1AE1">
      <w:pPr>
        <w:jc w:val="center"/>
        <w:rPr>
          <w:b/>
          <w:sz w:val="22"/>
        </w:rPr>
      </w:pPr>
      <w:r w:rsidRPr="00296BB6">
        <w:rPr>
          <w:b/>
          <w:sz w:val="22"/>
        </w:rPr>
        <w:t>Presupuesto -  Estimación 2017</w:t>
      </w:r>
    </w:p>
    <w:p w:rsidR="005B1AE1" w:rsidRPr="00296BB6" w:rsidRDefault="005B1AE1" w:rsidP="005B1AE1">
      <w:pPr>
        <w:jc w:val="center"/>
        <w:rPr>
          <w:b/>
          <w:sz w:val="22"/>
        </w:rPr>
      </w:pPr>
      <w:r>
        <w:rPr>
          <w:b/>
          <w:sz w:val="22"/>
        </w:rPr>
        <w:t>-millones de q</w:t>
      </w:r>
      <w:r w:rsidRPr="00296BB6">
        <w:rPr>
          <w:b/>
          <w:sz w:val="22"/>
        </w:rPr>
        <w:t>uetzales-</w:t>
      </w:r>
    </w:p>
    <w:tbl>
      <w:tblPr>
        <w:tblW w:w="8966" w:type="dxa"/>
        <w:tblInd w:w="118" w:type="dxa"/>
        <w:tblLook w:val="04A0" w:firstRow="1" w:lastRow="0" w:firstColumn="1" w:lastColumn="0" w:noHBand="0" w:noVBand="1"/>
      </w:tblPr>
      <w:tblGrid>
        <w:gridCol w:w="4118"/>
        <w:gridCol w:w="1402"/>
        <w:gridCol w:w="1383"/>
        <w:gridCol w:w="1136"/>
        <w:gridCol w:w="927"/>
      </w:tblGrid>
      <w:tr w:rsidR="005B1AE1" w:rsidRPr="00E66DE2" w:rsidTr="00910F6F">
        <w:trPr>
          <w:trHeight w:val="379"/>
        </w:trPr>
        <w:tc>
          <w:tcPr>
            <w:tcW w:w="4118" w:type="dxa"/>
            <w:vMerge w:val="restart"/>
            <w:tcBorders>
              <w:top w:val="single" w:sz="8" w:space="0" w:color="auto"/>
              <w:left w:val="single" w:sz="8" w:space="0" w:color="auto"/>
              <w:bottom w:val="single" w:sz="8" w:space="0" w:color="000000"/>
              <w:right w:val="nil"/>
            </w:tcBorders>
            <w:shd w:val="clear" w:color="000000" w:fill="9BC2E6"/>
            <w:vAlign w:val="center"/>
            <w:hideMark/>
          </w:tcPr>
          <w:p w:rsidR="005B1AE1" w:rsidRPr="00E66DE2" w:rsidRDefault="005B1AE1" w:rsidP="00910F6F">
            <w:pPr>
              <w:jc w:val="center"/>
              <w:rPr>
                <w:b/>
                <w:bCs/>
                <w:sz w:val="20"/>
                <w:szCs w:val="20"/>
                <w:lang w:val="en-US" w:eastAsia="en-US"/>
              </w:rPr>
            </w:pPr>
            <w:r w:rsidRPr="00E66DE2">
              <w:rPr>
                <w:b/>
                <w:bCs/>
                <w:sz w:val="20"/>
                <w:szCs w:val="20"/>
                <w:lang w:val="en-US" w:eastAsia="en-US"/>
              </w:rPr>
              <w:t>Descripción</w:t>
            </w:r>
          </w:p>
        </w:tc>
        <w:tc>
          <w:tcPr>
            <w:tcW w:w="2785" w:type="dxa"/>
            <w:gridSpan w:val="2"/>
            <w:tcBorders>
              <w:top w:val="single" w:sz="8" w:space="0" w:color="auto"/>
              <w:left w:val="single" w:sz="8" w:space="0" w:color="auto"/>
              <w:bottom w:val="single" w:sz="4" w:space="0" w:color="auto"/>
              <w:right w:val="single" w:sz="8" w:space="0" w:color="000000"/>
            </w:tcBorders>
            <w:shd w:val="clear" w:color="000000" w:fill="9BC2E6"/>
            <w:vAlign w:val="center"/>
            <w:hideMark/>
          </w:tcPr>
          <w:p w:rsidR="005B1AE1" w:rsidRPr="00E66DE2" w:rsidRDefault="005B1AE1" w:rsidP="00910F6F">
            <w:pPr>
              <w:jc w:val="center"/>
              <w:rPr>
                <w:b/>
                <w:bCs/>
                <w:sz w:val="20"/>
                <w:szCs w:val="20"/>
                <w:lang w:val="en-US" w:eastAsia="en-US"/>
              </w:rPr>
            </w:pPr>
            <w:r w:rsidRPr="00E66DE2">
              <w:rPr>
                <w:b/>
                <w:bCs/>
                <w:sz w:val="20"/>
                <w:szCs w:val="20"/>
                <w:lang w:val="en-US" w:eastAsia="en-US"/>
              </w:rPr>
              <w:t>2017</w:t>
            </w:r>
          </w:p>
        </w:tc>
        <w:tc>
          <w:tcPr>
            <w:tcW w:w="2063" w:type="dxa"/>
            <w:gridSpan w:val="2"/>
            <w:tcBorders>
              <w:top w:val="single" w:sz="8" w:space="0" w:color="auto"/>
              <w:left w:val="nil"/>
              <w:bottom w:val="single" w:sz="4" w:space="0" w:color="auto"/>
              <w:right w:val="single" w:sz="8" w:space="0" w:color="000000"/>
            </w:tcBorders>
            <w:shd w:val="clear" w:color="000000" w:fill="9BC2E6"/>
            <w:vAlign w:val="center"/>
            <w:hideMark/>
          </w:tcPr>
          <w:p w:rsidR="005B1AE1" w:rsidRPr="00E66DE2" w:rsidRDefault="005B1AE1" w:rsidP="00910F6F">
            <w:pPr>
              <w:jc w:val="center"/>
              <w:rPr>
                <w:b/>
                <w:bCs/>
                <w:sz w:val="20"/>
                <w:szCs w:val="20"/>
                <w:lang w:val="en-US" w:eastAsia="en-US"/>
              </w:rPr>
            </w:pPr>
            <w:r w:rsidRPr="00E66DE2">
              <w:rPr>
                <w:b/>
                <w:bCs/>
                <w:sz w:val="20"/>
                <w:szCs w:val="20"/>
                <w:lang w:val="en-US" w:eastAsia="en-US"/>
              </w:rPr>
              <w:t>Variaciones</w:t>
            </w:r>
          </w:p>
        </w:tc>
      </w:tr>
      <w:tr w:rsidR="005B1AE1" w:rsidRPr="00E66DE2" w:rsidTr="00910F6F">
        <w:trPr>
          <w:trHeight w:val="379"/>
        </w:trPr>
        <w:tc>
          <w:tcPr>
            <w:tcW w:w="4118" w:type="dxa"/>
            <w:vMerge/>
            <w:tcBorders>
              <w:top w:val="single" w:sz="8" w:space="0" w:color="auto"/>
              <w:left w:val="single" w:sz="8" w:space="0" w:color="auto"/>
              <w:bottom w:val="single" w:sz="8" w:space="0" w:color="000000"/>
              <w:right w:val="nil"/>
            </w:tcBorders>
            <w:vAlign w:val="center"/>
            <w:hideMark/>
          </w:tcPr>
          <w:p w:rsidR="005B1AE1" w:rsidRPr="00E66DE2" w:rsidRDefault="005B1AE1" w:rsidP="00910F6F">
            <w:pPr>
              <w:rPr>
                <w:b/>
                <w:bCs/>
                <w:sz w:val="20"/>
                <w:szCs w:val="20"/>
                <w:lang w:val="en-US" w:eastAsia="en-US"/>
              </w:rPr>
            </w:pPr>
          </w:p>
        </w:tc>
        <w:tc>
          <w:tcPr>
            <w:tcW w:w="1402" w:type="dxa"/>
            <w:tcBorders>
              <w:top w:val="single" w:sz="4" w:space="0" w:color="auto"/>
              <w:left w:val="single" w:sz="8" w:space="0" w:color="auto"/>
              <w:bottom w:val="single" w:sz="8" w:space="0" w:color="auto"/>
              <w:right w:val="single" w:sz="4" w:space="0" w:color="auto"/>
            </w:tcBorders>
            <w:shd w:val="clear" w:color="000000" w:fill="9BC2E6"/>
            <w:vAlign w:val="center"/>
            <w:hideMark/>
          </w:tcPr>
          <w:p w:rsidR="005B1AE1" w:rsidRPr="00E66DE2" w:rsidRDefault="005B1AE1" w:rsidP="00910F6F">
            <w:pPr>
              <w:jc w:val="center"/>
              <w:rPr>
                <w:b/>
                <w:bCs/>
                <w:sz w:val="20"/>
                <w:szCs w:val="20"/>
                <w:lang w:val="en-US" w:eastAsia="en-US"/>
              </w:rPr>
            </w:pPr>
            <w:r w:rsidRPr="00E66DE2">
              <w:rPr>
                <w:b/>
                <w:bCs/>
                <w:sz w:val="20"/>
                <w:szCs w:val="20"/>
                <w:lang w:val="en-US" w:eastAsia="en-US"/>
              </w:rPr>
              <w:t>Presupuesto</w:t>
            </w:r>
            <w:r>
              <w:rPr>
                <w:b/>
                <w:bCs/>
                <w:sz w:val="20"/>
                <w:szCs w:val="20"/>
                <w:lang w:val="en-US" w:eastAsia="en-US"/>
              </w:rPr>
              <w:t xml:space="preserve"> al 30-06-2017</w:t>
            </w:r>
          </w:p>
        </w:tc>
        <w:tc>
          <w:tcPr>
            <w:tcW w:w="1383" w:type="dxa"/>
            <w:tcBorders>
              <w:top w:val="single" w:sz="4" w:space="0" w:color="auto"/>
              <w:left w:val="nil"/>
              <w:bottom w:val="single" w:sz="8" w:space="0" w:color="auto"/>
              <w:right w:val="single" w:sz="8" w:space="0" w:color="auto"/>
            </w:tcBorders>
            <w:shd w:val="clear" w:color="000000" w:fill="9BC2E6"/>
            <w:vAlign w:val="center"/>
            <w:hideMark/>
          </w:tcPr>
          <w:p w:rsidR="005B1AE1" w:rsidRPr="00E66DE2" w:rsidRDefault="005B1AE1" w:rsidP="00910F6F">
            <w:pPr>
              <w:jc w:val="center"/>
              <w:rPr>
                <w:b/>
                <w:bCs/>
                <w:sz w:val="20"/>
                <w:szCs w:val="20"/>
                <w:lang w:val="en-US" w:eastAsia="en-US"/>
              </w:rPr>
            </w:pPr>
            <w:r w:rsidRPr="00E66DE2">
              <w:rPr>
                <w:b/>
                <w:bCs/>
                <w:sz w:val="20"/>
                <w:szCs w:val="20"/>
                <w:lang w:val="en-US" w:eastAsia="en-US"/>
              </w:rPr>
              <w:t>Estimación</w:t>
            </w:r>
            <w:r>
              <w:rPr>
                <w:b/>
                <w:bCs/>
                <w:sz w:val="20"/>
                <w:szCs w:val="20"/>
                <w:lang w:val="en-US" w:eastAsia="en-US"/>
              </w:rPr>
              <w:t xml:space="preserve"> Cierre</w:t>
            </w:r>
          </w:p>
        </w:tc>
        <w:tc>
          <w:tcPr>
            <w:tcW w:w="1136" w:type="dxa"/>
            <w:tcBorders>
              <w:top w:val="single" w:sz="4" w:space="0" w:color="auto"/>
              <w:left w:val="nil"/>
              <w:bottom w:val="single" w:sz="8" w:space="0" w:color="auto"/>
              <w:right w:val="single" w:sz="4" w:space="0" w:color="auto"/>
            </w:tcBorders>
            <w:shd w:val="clear" w:color="000000" w:fill="9BC2E6"/>
            <w:vAlign w:val="center"/>
            <w:hideMark/>
          </w:tcPr>
          <w:p w:rsidR="005B1AE1" w:rsidRPr="00E66DE2" w:rsidRDefault="005B1AE1" w:rsidP="00910F6F">
            <w:pPr>
              <w:jc w:val="center"/>
              <w:rPr>
                <w:b/>
                <w:bCs/>
                <w:sz w:val="20"/>
                <w:szCs w:val="20"/>
                <w:lang w:val="en-US" w:eastAsia="en-US"/>
              </w:rPr>
            </w:pPr>
            <w:r w:rsidRPr="00E66DE2">
              <w:rPr>
                <w:b/>
                <w:bCs/>
                <w:sz w:val="20"/>
                <w:szCs w:val="20"/>
                <w:lang w:val="en-US" w:eastAsia="en-US"/>
              </w:rPr>
              <w:t xml:space="preserve">Absoluta </w:t>
            </w:r>
          </w:p>
        </w:tc>
        <w:tc>
          <w:tcPr>
            <w:tcW w:w="927" w:type="dxa"/>
            <w:tcBorders>
              <w:top w:val="single" w:sz="4" w:space="0" w:color="auto"/>
              <w:left w:val="nil"/>
              <w:bottom w:val="single" w:sz="8" w:space="0" w:color="auto"/>
              <w:right w:val="single" w:sz="8" w:space="0" w:color="auto"/>
            </w:tcBorders>
            <w:shd w:val="clear" w:color="000000" w:fill="9BC2E6"/>
            <w:vAlign w:val="center"/>
            <w:hideMark/>
          </w:tcPr>
          <w:p w:rsidR="005B1AE1" w:rsidRPr="00E66DE2" w:rsidRDefault="005B1AE1" w:rsidP="00910F6F">
            <w:pPr>
              <w:jc w:val="center"/>
              <w:rPr>
                <w:b/>
                <w:bCs/>
                <w:sz w:val="20"/>
                <w:szCs w:val="20"/>
                <w:lang w:val="en-US" w:eastAsia="en-US"/>
              </w:rPr>
            </w:pPr>
            <w:r w:rsidRPr="00E66DE2">
              <w:rPr>
                <w:b/>
                <w:bCs/>
                <w:sz w:val="20"/>
                <w:szCs w:val="20"/>
                <w:lang w:val="en-US" w:eastAsia="en-US"/>
              </w:rPr>
              <w:t>Relativa</w:t>
            </w:r>
          </w:p>
        </w:tc>
      </w:tr>
      <w:tr w:rsidR="005B1AE1" w:rsidRPr="00E66DE2" w:rsidTr="00910F6F">
        <w:trPr>
          <w:trHeight w:val="326"/>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rPr>
                <w:b/>
                <w:bCs/>
                <w:sz w:val="20"/>
                <w:szCs w:val="20"/>
                <w:lang w:val="en-US" w:eastAsia="en-US"/>
              </w:rPr>
            </w:pPr>
            <w:r w:rsidRPr="00E66DE2">
              <w:rPr>
                <w:b/>
                <w:bCs/>
                <w:sz w:val="20"/>
                <w:szCs w:val="20"/>
                <w:lang w:val="en-US" w:eastAsia="en-US"/>
              </w:rPr>
              <w:t>Gastos Totales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73,038.9</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69,643.4</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-3,395.5</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-4.6</w:t>
            </w:r>
          </w:p>
        </w:tc>
      </w:tr>
      <w:tr w:rsidR="005B1AE1" w:rsidRPr="00E66DE2" w:rsidTr="00910F6F">
        <w:trPr>
          <w:trHeight w:val="313"/>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rPr>
                <w:b/>
                <w:bCs/>
                <w:sz w:val="20"/>
                <w:szCs w:val="20"/>
                <w:lang w:val="en-US" w:eastAsia="en-US"/>
              </w:rPr>
            </w:pPr>
            <w:r w:rsidRPr="00E66DE2">
              <w:rPr>
                <w:b/>
                <w:bCs/>
                <w:sz w:val="20"/>
                <w:szCs w:val="20"/>
                <w:lang w:val="en-US" w:eastAsia="en-US"/>
              </w:rPr>
              <w:t>Gastos Corrientes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59,249.5</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57,074.4</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-2,175.1</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-3.7</w:t>
            </w:r>
          </w:p>
        </w:tc>
      </w:tr>
      <w:tr w:rsidR="005B1AE1" w:rsidRPr="00E66DE2" w:rsidTr="00910F6F">
        <w:trPr>
          <w:trHeight w:val="261"/>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n-US" w:eastAsia="en-US"/>
              </w:rPr>
            </w:pPr>
            <w:r w:rsidRPr="00E66DE2">
              <w:rPr>
                <w:sz w:val="20"/>
                <w:szCs w:val="20"/>
                <w:lang w:val="en-US" w:eastAsia="en-US"/>
              </w:rPr>
              <w:t>Remuneraciones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22,113.5</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21,869.4</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-244.2</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-1.1</w:t>
            </w:r>
          </w:p>
        </w:tc>
      </w:tr>
      <w:tr w:rsidR="005B1AE1" w:rsidRPr="00E66DE2" w:rsidTr="00910F6F">
        <w:trPr>
          <w:trHeight w:val="234"/>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n-US" w:eastAsia="en-US"/>
              </w:rPr>
            </w:pPr>
            <w:r w:rsidRPr="00E66DE2">
              <w:rPr>
                <w:sz w:val="20"/>
                <w:szCs w:val="20"/>
                <w:lang w:val="en-US" w:eastAsia="en-US"/>
              </w:rPr>
              <w:t>Bienes y Servicios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11,310.8</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9,462.5</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-1,848.3</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-16.3</w:t>
            </w:r>
          </w:p>
        </w:tc>
      </w:tr>
      <w:tr w:rsidR="005B1AE1" w:rsidRPr="004C0F88" w:rsidTr="00910F6F">
        <w:trPr>
          <w:trHeight w:val="234"/>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s-MX" w:eastAsia="en-US"/>
              </w:rPr>
            </w:pPr>
            <w:r w:rsidRPr="00E66DE2">
              <w:rPr>
                <w:sz w:val="20"/>
                <w:szCs w:val="20"/>
                <w:lang w:val="es-MX" w:eastAsia="en-US"/>
              </w:rPr>
              <w:t>Impuestos pagados por depend</w:t>
            </w:r>
            <w:r>
              <w:rPr>
                <w:sz w:val="20"/>
                <w:szCs w:val="20"/>
                <w:lang w:val="es-MX" w:eastAsia="en-US"/>
              </w:rPr>
              <w:t xml:space="preserve">. </w:t>
            </w:r>
            <w:r w:rsidRPr="00E66DE2">
              <w:rPr>
                <w:sz w:val="20"/>
                <w:szCs w:val="20"/>
                <w:lang w:val="es-MX" w:eastAsia="en-US"/>
              </w:rPr>
              <w:t>del Estado</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16.8</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12.9</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-4.0</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-23.7</w:t>
            </w:r>
          </w:p>
        </w:tc>
      </w:tr>
      <w:tr w:rsidR="005B1AE1" w:rsidRPr="004C0F88" w:rsidTr="00910F6F">
        <w:trPr>
          <w:trHeight w:val="222"/>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s-MX" w:eastAsia="en-US"/>
              </w:rPr>
            </w:pPr>
            <w:r w:rsidRPr="00E66DE2">
              <w:rPr>
                <w:sz w:val="20"/>
                <w:szCs w:val="20"/>
                <w:lang w:val="es-MX" w:eastAsia="en-US"/>
              </w:rPr>
              <w:t>Descuentos y Bonificaciones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101.1</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101.0</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-0.1</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-0.1</w:t>
            </w:r>
          </w:p>
        </w:tc>
      </w:tr>
      <w:tr w:rsidR="005B1AE1" w:rsidRPr="00E66DE2" w:rsidTr="00910F6F">
        <w:trPr>
          <w:trHeight w:val="222"/>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s-MX" w:eastAsia="en-US"/>
              </w:rPr>
            </w:pPr>
            <w:r w:rsidRPr="00E66DE2">
              <w:rPr>
                <w:sz w:val="20"/>
                <w:szCs w:val="20"/>
                <w:lang w:val="es-MX" w:eastAsia="en-US"/>
              </w:rPr>
              <w:t>Prestaciones a la Seguridad Social</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5,022.3</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s-MX" w:eastAsia="en-US"/>
              </w:rPr>
            </w:pPr>
            <w:r w:rsidRPr="00E66DE2">
              <w:rPr>
                <w:sz w:val="20"/>
                <w:szCs w:val="20"/>
                <w:lang w:val="es-MX" w:eastAsia="en-US"/>
              </w:rPr>
              <w:t>4,979.2</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s-MX" w:eastAsia="en-US"/>
              </w:rPr>
              <w:t>-4</w:t>
            </w:r>
            <w:r w:rsidRPr="00E66DE2">
              <w:rPr>
                <w:sz w:val="20"/>
                <w:szCs w:val="20"/>
                <w:lang w:val="en-US" w:eastAsia="en-US"/>
              </w:rPr>
              <w:t>3.1</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-0.9</w:t>
            </w:r>
          </w:p>
        </w:tc>
      </w:tr>
      <w:tr w:rsidR="005B1AE1" w:rsidRPr="00E66DE2" w:rsidTr="00910F6F">
        <w:trPr>
          <w:trHeight w:val="222"/>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300" w:firstLine="600"/>
              <w:rPr>
                <w:sz w:val="20"/>
                <w:szCs w:val="20"/>
                <w:lang w:val="en-US" w:eastAsia="en-US"/>
              </w:rPr>
            </w:pPr>
            <w:r w:rsidRPr="00E66DE2">
              <w:rPr>
                <w:sz w:val="20"/>
                <w:szCs w:val="20"/>
                <w:lang w:val="en-US" w:eastAsia="en-US"/>
              </w:rPr>
              <w:t>Intereses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7,790.5</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7,796.8</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6.3</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0.1</w:t>
            </w:r>
          </w:p>
        </w:tc>
      </w:tr>
      <w:tr w:rsidR="005B1AE1" w:rsidRPr="00E66DE2" w:rsidTr="00910F6F">
        <w:trPr>
          <w:trHeight w:val="222"/>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300" w:firstLine="600"/>
              <w:rPr>
                <w:sz w:val="20"/>
                <w:szCs w:val="20"/>
                <w:lang w:val="en-US" w:eastAsia="en-US"/>
              </w:rPr>
            </w:pPr>
            <w:r w:rsidRPr="00E66DE2">
              <w:rPr>
                <w:sz w:val="20"/>
                <w:szCs w:val="20"/>
                <w:lang w:val="en-US" w:eastAsia="en-US"/>
              </w:rPr>
              <w:t xml:space="preserve">Deuda  interna </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5,128.7</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4,948.2</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-180.5</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-3.5</w:t>
            </w:r>
          </w:p>
        </w:tc>
      </w:tr>
      <w:tr w:rsidR="005B1AE1" w:rsidRPr="00E66DE2" w:rsidTr="00910F6F">
        <w:trPr>
          <w:trHeight w:val="222"/>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300" w:firstLine="600"/>
              <w:rPr>
                <w:sz w:val="20"/>
                <w:szCs w:val="20"/>
                <w:lang w:val="en-US" w:eastAsia="en-US"/>
              </w:rPr>
            </w:pPr>
            <w:r w:rsidRPr="00E66DE2">
              <w:rPr>
                <w:sz w:val="20"/>
                <w:szCs w:val="20"/>
                <w:lang w:val="en-US" w:eastAsia="en-US"/>
              </w:rPr>
              <w:t>Deuda externa</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2,661.8</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2,848.6</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186.8</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7.0</w:t>
            </w:r>
          </w:p>
        </w:tc>
      </w:tr>
      <w:tr w:rsidR="005B1AE1" w:rsidRPr="00E66DE2" w:rsidTr="00910F6F">
        <w:trPr>
          <w:trHeight w:val="222"/>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400" w:firstLine="800"/>
              <w:rPr>
                <w:sz w:val="20"/>
                <w:szCs w:val="20"/>
                <w:lang w:val="en-US" w:eastAsia="en-US"/>
              </w:rPr>
            </w:pPr>
            <w:r w:rsidRPr="00E66DE2">
              <w:rPr>
                <w:sz w:val="20"/>
                <w:szCs w:val="20"/>
                <w:lang w:val="en-US" w:eastAsia="en-US"/>
              </w:rPr>
              <w:t>Préstamos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1,585.9</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1,828.8</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243.0</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15.3</w:t>
            </w:r>
          </w:p>
        </w:tc>
      </w:tr>
      <w:tr w:rsidR="005B1AE1" w:rsidRPr="00E66DE2" w:rsidTr="00910F6F">
        <w:trPr>
          <w:trHeight w:val="234"/>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400" w:firstLine="800"/>
              <w:rPr>
                <w:sz w:val="20"/>
                <w:szCs w:val="20"/>
                <w:lang w:val="en-US" w:eastAsia="en-US"/>
              </w:rPr>
            </w:pPr>
            <w:r w:rsidRPr="00E66DE2">
              <w:rPr>
                <w:sz w:val="20"/>
                <w:szCs w:val="20"/>
                <w:lang w:val="en-US" w:eastAsia="en-US"/>
              </w:rPr>
              <w:t>Bonos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1,075.9</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1,019.8</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-56.2</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-5.2</w:t>
            </w:r>
          </w:p>
        </w:tc>
      </w:tr>
      <w:tr w:rsidR="005B1AE1" w:rsidRPr="00E66DE2" w:rsidTr="00910F6F">
        <w:trPr>
          <w:trHeight w:val="234"/>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s-MX" w:eastAsia="en-US"/>
              </w:rPr>
            </w:pPr>
            <w:r w:rsidRPr="00E66DE2">
              <w:rPr>
                <w:sz w:val="20"/>
                <w:szCs w:val="20"/>
                <w:lang w:val="es-MX" w:eastAsia="en-US"/>
              </w:rPr>
              <w:t>Arrendamiento de Tierra y Terrenos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0.7</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1.0</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0.3</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51.4</w:t>
            </w:r>
          </w:p>
        </w:tc>
      </w:tr>
      <w:tr w:rsidR="005B1AE1" w:rsidRPr="00E66DE2" w:rsidTr="00910F6F">
        <w:trPr>
          <w:trHeight w:val="234"/>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n-US" w:eastAsia="en-US"/>
              </w:rPr>
            </w:pPr>
            <w:r w:rsidRPr="00E66DE2">
              <w:rPr>
                <w:sz w:val="20"/>
                <w:szCs w:val="20"/>
                <w:lang w:val="en-US" w:eastAsia="en-US"/>
              </w:rPr>
              <w:t>Derechos Sobre Bienes Intangibles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55.1</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25.0</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-30.1</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-54.7</w:t>
            </w:r>
          </w:p>
        </w:tc>
      </w:tr>
      <w:tr w:rsidR="005B1AE1" w:rsidRPr="00E66DE2" w:rsidTr="00910F6F">
        <w:trPr>
          <w:trHeight w:val="222"/>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n-US" w:eastAsia="en-US"/>
              </w:rPr>
            </w:pPr>
            <w:r w:rsidRPr="00E66DE2">
              <w:rPr>
                <w:sz w:val="20"/>
                <w:szCs w:val="20"/>
                <w:lang w:val="en-US" w:eastAsia="en-US"/>
              </w:rPr>
              <w:t>Transferencias</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12,838.6</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12,826.6</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-12.0</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-0.1</w:t>
            </w:r>
          </w:p>
        </w:tc>
      </w:tr>
      <w:tr w:rsidR="005B1AE1" w:rsidRPr="00E66DE2" w:rsidTr="00910F6F">
        <w:trPr>
          <w:trHeight w:val="287"/>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rPr>
                <w:b/>
                <w:bCs/>
                <w:sz w:val="20"/>
                <w:szCs w:val="20"/>
                <w:lang w:val="en-US" w:eastAsia="en-US"/>
              </w:rPr>
            </w:pPr>
            <w:r w:rsidRPr="00E66DE2">
              <w:rPr>
                <w:b/>
                <w:bCs/>
                <w:sz w:val="20"/>
                <w:szCs w:val="20"/>
                <w:lang w:val="en-US" w:eastAsia="en-US"/>
              </w:rPr>
              <w:t>Gastos de Capital</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13,789.4</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12,569.0</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-1,220.4</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b/>
                <w:bCs/>
                <w:sz w:val="20"/>
                <w:szCs w:val="20"/>
                <w:lang w:val="en-US" w:eastAsia="en-US"/>
              </w:rPr>
            </w:pPr>
            <w:r w:rsidRPr="00E66DE2">
              <w:rPr>
                <w:b/>
                <w:bCs/>
                <w:sz w:val="20"/>
                <w:szCs w:val="20"/>
                <w:lang w:val="en-US" w:eastAsia="en-US"/>
              </w:rPr>
              <w:t>-8.9</w:t>
            </w:r>
          </w:p>
        </w:tc>
      </w:tr>
      <w:tr w:rsidR="005B1AE1" w:rsidRPr="00E66DE2" w:rsidTr="00910F6F">
        <w:trPr>
          <w:trHeight w:val="261"/>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n-US" w:eastAsia="en-US"/>
              </w:rPr>
            </w:pPr>
            <w:r w:rsidRPr="00E66DE2">
              <w:rPr>
                <w:sz w:val="20"/>
                <w:szCs w:val="20"/>
                <w:lang w:val="en-US" w:eastAsia="en-US"/>
              </w:rPr>
              <w:t>Inversión Real Directa</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3,461.3</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2,361.9</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-1,099.4</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-31.8</w:t>
            </w:r>
          </w:p>
        </w:tc>
      </w:tr>
      <w:tr w:rsidR="005B1AE1" w:rsidRPr="00E66DE2" w:rsidTr="00910F6F">
        <w:trPr>
          <w:trHeight w:val="234"/>
        </w:trPr>
        <w:tc>
          <w:tcPr>
            <w:tcW w:w="4118" w:type="dxa"/>
            <w:tcBorders>
              <w:top w:val="nil"/>
              <w:left w:val="single" w:sz="8" w:space="0" w:color="auto"/>
              <w:bottom w:val="nil"/>
              <w:right w:val="nil"/>
            </w:tcBorders>
            <w:shd w:val="clear" w:color="auto" w:fill="auto"/>
            <w:noWrap/>
            <w:hideMark/>
          </w:tcPr>
          <w:p w:rsidR="005B1AE1" w:rsidRPr="00E66DE2" w:rsidRDefault="005B1AE1" w:rsidP="00910F6F">
            <w:pPr>
              <w:ind w:firstLineChars="200" w:firstLine="400"/>
              <w:rPr>
                <w:sz w:val="20"/>
                <w:szCs w:val="20"/>
                <w:lang w:val="en-US" w:eastAsia="en-US"/>
              </w:rPr>
            </w:pPr>
            <w:r w:rsidRPr="00E66DE2">
              <w:rPr>
                <w:sz w:val="20"/>
                <w:szCs w:val="20"/>
                <w:lang w:val="en-US" w:eastAsia="en-US"/>
              </w:rPr>
              <w:t xml:space="preserve">Inversión Financiera </w:t>
            </w:r>
          </w:p>
        </w:tc>
        <w:tc>
          <w:tcPr>
            <w:tcW w:w="1402"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97.9</w:t>
            </w:r>
          </w:p>
        </w:tc>
        <w:tc>
          <w:tcPr>
            <w:tcW w:w="1383"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10.5</w:t>
            </w:r>
          </w:p>
        </w:tc>
        <w:tc>
          <w:tcPr>
            <w:tcW w:w="1136" w:type="dxa"/>
            <w:tcBorders>
              <w:top w:val="nil"/>
              <w:left w:val="single" w:sz="8" w:space="0" w:color="auto"/>
              <w:bottom w:val="nil"/>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-87.4</w:t>
            </w:r>
          </w:p>
        </w:tc>
        <w:tc>
          <w:tcPr>
            <w:tcW w:w="927" w:type="dxa"/>
            <w:tcBorders>
              <w:top w:val="nil"/>
              <w:left w:val="single" w:sz="4" w:space="0" w:color="auto"/>
              <w:bottom w:val="nil"/>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-89.2</w:t>
            </w:r>
          </w:p>
        </w:tc>
      </w:tr>
      <w:tr w:rsidR="005B1AE1" w:rsidRPr="00E66DE2" w:rsidTr="00910F6F">
        <w:trPr>
          <w:trHeight w:val="234"/>
        </w:trPr>
        <w:tc>
          <w:tcPr>
            <w:tcW w:w="4118" w:type="dxa"/>
            <w:tcBorders>
              <w:top w:val="nil"/>
              <w:left w:val="single" w:sz="8" w:space="0" w:color="auto"/>
              <w:bottom w:val="single" w:sz="8" w:space="0" w:color="auto"/>
              <w:right w:val="nil"/>
            </w:tcBorders>
            <w:shd w:val="clear" w:color="auto" w:fill="auto"/>
            <w:noWrap/>
            <w:hideMark/>
          </w:tcPr>
          <w:p w:rsidR="005B1AE1" w:rsidRPr="00E66DE2" w:rsidRDefault="005B1AE1" w:rsidP="00910F6F">
            <w:pPr>
              <w:ind w:firstLineChars="200" w:firstLine="400"/>
              <w:rPr>
                <w:sz w:val="20"/>
                <w:szCs w:val="20"/>
                <w:lang w:val="en-US" w:eastAsia="en-US"/>
              </w:rPr>
            </w:pPr>
            <w:r w:rsidRPr="00E66DE2">
              <w:rPr>
                <w:sz w:val="20"/>
                <w:szCs w:val="20"/>
                <w:lang w:val="en-US" w:eastAsia="en-US"/>
              </w:rPr>
              <w:t>Transferencias</w:t>
            </w:r>
          </w:p>
        </w:tc>
        <w:tc>
          <w:tcPr>
            <w:tcW w:w="1402" w:type="dxa"/>
            <w:tcBorders>
              <w:top w:val="nil"/>
              <w:left w:val="single" w:sz="8" w:space="0" w:color="auto"/>
              <w:bottom w:val="single" w:sz="8" w:space="0" w:color="auto"/>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10,230.2</w:t>
            </w:r>
          </w:p>
        </w:tc>
        <w:tc>
          <w:tcPr>
            <w:tcW w:w="1383" w:type="dxa"/>
            <w:tcBorders>
              <w:top w:val="nil"/>
              <w:left w:val="nil"/>
              <w:bottom w:val="single" w:sz="8" w:space="0" w:color="auto"/>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10,196.5</w:t>
            </w:r>
          </w:p>
        </w:tc>
        <w:tc>
          <w:tcPr>
            <w:tcW w:w="1136" w:type="dxa"/>
            <w:tcBorders>
              <w:top w:val="nil"/>
              <w:left w:val="nil"/>
              <w:bottom w:val="single" w:sz="8" w:space="0" w:color="auto"/>
              <w:right w:val="single" w:sz="4"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-33.7</w:t>
            </w:r>
          </w:p>
        </w:tc>
        <w:tc>
          <w:tcPr>
            <w:tcW w:w="927" w:type="dxa"/>
            <w:tcBorders>
              <w:top w:val="nil"/>
              <w:left w:val="nil"/>
              <w:bottom w:val="single" w:sz="8" w:space="0" w:color="auto"/>
              <w:right w:val="single" w:sz="8" w:space="0" w:color="auto"/>
            </w:tcBorders>
            <w:shd w:val="clear" w:color="000000" w:fill="FFFFFF"/>
            <w:noWrap/>
            <w:vAlign w:val="bottom"/>
            <w:hideMark/>
          </w:tcPr>
          <w:p w:rsidR="005B1AE1" w:rsidRPr="00E66DE2" w:rsidRDefault="005B1AE1" w:rsidP="00910F6F">
            <w:pPr>
              <w:jc w:val="right"/>
              <w:rPr>
                <w:sz w:val="20"/>
                <w:szCs w:val="20"/>
                <w:lang w:val="en-US" w:eastAsia="en-US"/>
              </w:rPr>
            </w:pPr>
            <w:r w:rsidRPr="00E66DE2">
              <w:rPr>
                <w:sz w:val="20"/>
                <w:szCs w:val="20"/>
                <w:lang w:val="en-US" w:eastAsia="en-US"/>
              </w:rPr>
              <w:t>-0.3</w:t>
            </w:r>
          </w:p>
        </w:tc>
      </w:tr>
    </w:tbl>
    <w:p w:rsidR="005B1AE1" w:rsidRPr="00771A67" w:rsidRDefault="005B1AE1" w:rsidP="005B1AE1">
      <w:pPr>
        <w:rPr>
          <w:sz w:val="14"/>
          <w:lang w:val="es-MX"/>
        </w:rPr>
      </w:pPr>
      <w:r w:rsidRPr="00771A67">
        <w:rPr>
          <w:sz w:val="14"/>
          <w:lang w:val="es-MX"/>
        </w:rPr>
        <w:t xml:space="preserve">        Fuente: Ministerio de Finanzas Públicas.</w:t>
      </w:r>
    </w:p>
    <w:p w:rsidR="005B1AE1" w:rsidRPr="00B86FB3" w:rsidRDefault="005B1AE1" w:rsidP="005B1AE1">
      <w:pPr>
        <w:jc w:val="both"/>
        <w:rPr>
          <w:lang w:val="es-MX"/>
        </w:rPr>
      </w:pPr>
    </w:p>
    <w:p w:rsidR="005B1AE1" w:rsidRPr="00EC58F3" w:rsidRDefault="005B1AE1" w:rsidP="005B1AE1">
      <w:pPr>
        <w:jc w:val="both"/>
      </w:pPr>
      <w:r>
        <w:rPr>
          <w:lang w:val="es-MX"/>
        </w:rPr>
        <w:t xml:space="preserve">Dado el comportamiento esperado en los ingresos y gastos, el déficit se estima para 2017en 1.5% del PIB, mayor que el obtenido el año anterior (1.1% del PIB).  Sin embargo, estará por debajo de </w:t>
      </w:r>
      <w:r w:rsidRPr="00EC58F3">
        <w:t xml:space="preserve">lo presupuestado </w:t>
      </w:r>
      <w:r>
        <w:t>(</w:t>
      </w:r>
      <w:r w:rsidRPr="00EC58F3">
        <w:t>1.9% del PIB</w:t>
      </w:r>
      <w:r>
        <w:t>)</w:t>
      </w:r>
      <w:r w:rsidRPr="00EC58F3">
        <w:t>.   El financiamiento estimado se prevé de la siguiente manera:</w:t>
      </w:r>
    </w:p>
    <w:p w:rsidR="005B1AE1" w:rsidRDefault="005B1AE1" w:rsidP="005B1AE1">
      <w:pPr>
        <w:pStyle w:val="Sinespaciado"/>
        <w:spacing w:line="276" w:lineRule="auto"/>
        <w:jc w:val="both"/>
        <w:rPr>
          <w:rFonts w:ascii="Times New Roman" w:hAnsi="Times New Roman"/>
          <w:lang w:val="es-MX"/>
        </w:rPr>
      </w:pPr>
    </w:p>
    <w:p w:rsidR="005B1AE1" w:rsidRPr="008D56EE" w:rsidRDefault="005B1AE1" w:rsidP="00D16A2D">
      <w:pPr>
        <w:pStyle w:val="Prrafodelista"/>
        <w:numPr>
          <w:ilvl w:val="0"/>
          <w:numId w:val="16"/>
        </w:numPr>
        <w:jc w:val="both"/>
        <w:rPr>
          <w:lang w:val="es-MX"/>
        </w:rPr>
      </w:pPr>
      <w:r w:rsidRPr="008D56EE">
        <w:rPr>
          <w:lang w:val="es-MX"/>
        </w:rPr>
        <w:t>Se estima que se realizará la colocación total de los Bonos del Tesoro autorizados por el Congreso de la República Guatemala el cual asciende a Q</w:t>
      </w:r>
      <w:r w:rsidR="00CE2706">
        <w:rPr>
          <w:lang w:val="es-MX"/>
        </w:rPr>
        <w:t>.</w:t>
      </w:r>
      <w:r w:rsidRPr="008D56EE">
        <w:rPr>
          <w:lang w:val="es-MX"/>
        </w:rPr>
        <w:t>10,843.5 millones, que incluye la colocación de un Eurobono en el mercado internacional de capitales por US$</w:t>
      </w:r>
      <w:r w:rsidR="00CE2706">
        <w:rPr>
          <w:lang w:val="es-MX"/>
        </w:rPr>
        <w:t>.</w:t>
      </w:r>
      <w:r w:rsidRPr="008D56EE">
        <w:rPr>
          <w:lang w:val="es-MX"/>
        </w:rPr>
        <w:t>500 millones que se realizó en mayo de este año.</w:t>
      </w:r>
    </w:p>
    <w:p w:rsidR="005B1AE1" w:rsidRDefault="005B1AE1" w:rsidP="00D16A2D">
      <w:pPr>
        <w:pStyle w:val="Prrafodelista"/>
        <w:numPr>
          <w:ilvl w:val="0"/>
          <w:numId w:val="16"/>
        </w:numPr>
        <w:jc w:val="both"/>
        <w:rPr>
          <w:lang w:val="es-MX"/>
        </w:rPr>
      </w:pPr>
      <w:r w:rsidRPr="008D56EE">
        <w:rPr>
          <w:lang w:val="es-MX"/>
        </w:rPr>
        <w:t>No se prevé el pago anticipado de deuda pública mediante el mecanismo de gestión de pasivos que se había considerado en la normativa del presupuesto para 2017.</w:t>
      </w:r>
    </w:p>
    <w:p w:rsidR="00B916D7" w:rsidRPr="008D56EE" w:rsidRDefault="00B916D7" w:rsidP="00B916D7">
      <w:pPr>
        <w:pStyle w:val="Prrafodelista"/>
        <w:ind w:left="720"/>
        <w:jc w:val="both"/>
        <w:rPr>
          <w:lang w:val="es-MX"/>
        </w:rPr>
      </w:pPr>
    </w:p>
    <w:p w:rsidR="00CE2706" w:rsidRDefault="005B1AE1" w:rsidP="005B1AE1">
      <w:pPr>
        <w:jc w:val="both"/>
        <w:rPr>
          <w:lang w:val="es-MX"/>
        </w:rPr>
      </w:pPr>
      <w:r w:rsidRPr="008D56EE">
        <w:rPr>
          <w:lang w:val="es-MX"/>
        </w:rPr>
        <w:t xml:space="preserve">Los </w:t>
      </w:r>
      <w:r w:rsidR="00CE2706">
        <w:rPr>
          <w:lang w:val="es-MX"/>
        </w:rPr>
        <w:t>p</w:t>
      </w:r>
      <w:r w:rsidRPr="008D56EE">
        <w:rPr>
          <w:lang w:val="es-MX"/>
        </w:rPr>
        <w:t>réstamos netos (desembolsos – amortizaciones) se estiman que serán negativos en Q</w:t>
      </w:r>
      <w:r w:rsidR="00CE2706">
        <w:rPr>
          <w:lang w:val="es-MX"/>
        </w:rPr>
        <w:t>.</w:t>
      </w:r>
      <w:r w:rsidRPr="008D56EE">
        <w:rPr>
          <w:lang w:val="es-MX"/>
        </w:rPr>
        <w:t>1,534.4 millones, mientras que en el presupuesto se preveía que este negativo sería menor Q</w:t>
      </w:r>
      <w:r w:rsidR="00CE2706">
        <w:rPr>
          <w:lang w:val="es-MX"/>
        </w:rPr>
        <w:t>.</w:t>
      </w:r>
      <w:r w:rsidRPr="008D56EE">
        <w:rPr>
          <w:lang w:val="es-MX"/>
        </w:rPr>
        <w:t>1,025.3 millones, principalmente por la reducción en la previsión de los desembolsos de préstamos debido a la baja ejecución principalmente en los proyectos de inversión.</w:t>
      </w:r>
      <w:r w:rsidR="00CE2706">
        <w:rPr>
          <w:lang w:val="es-MX"/>
        </w:rPr>
        <w:t xml:space="preserve"> </w:t>
      </w:r>
    </w:p>
    <w:p w:rsidR="00CE2706" w:rsidRDefault="00CE2706" w:rsidP="005B1AE1">
      <w:pPr>
        <w:jc w:val="both"/>
        <w:rPr>
          <w:lang w:val="es-MX"/>
        </w:rPr>
      </w:pPr>
    </w:p>
    <w:p w:rsidR="00B916D7" w:rsidRDefault="00B916D7" w:rsidP="00BB1D22">
      <w:pPr>
        <w:jc w:val="center"/>
        <w:rPr>
          <w:b/>
          <w:sz w:val="22"/>
          <w:lang w:val="es-MX"/>
        </w:rPr>
      </w:pPr>
    </w:p>
    <w:p w:rsidR="00D41CAD" w:rsidRDefault="00D41CAD" w:rsidP="00BB1D22">
      <w:pPr>
        <w:jc w:val="center"/>
        <w:rPr>
          <w:b/>
          <w:sz w:val="22"/>
          <w:lang w:val="es-MX"/>
        </w:rPr>
      </w:pPr>
    </w:p>
    <w:p w:rsidR="00D41CAD" w:rsidRDefault="00D41CAD" w:rsidP="00BB1D22">
      <w:pPr>
        <w:jc w:val="center"/>
        <w:rPr>
          <w:b/>
          <w:sz w:val="22"/>
          <w:lang w:val="es-MX"/>
        </w:rPr>
      </w:pPr>
    </w:p>
    <w:p w:rsidR="00D41CAD" w:rsidRDefault="00D41CAD" w:rsidP="00BB1D22">
      <w:pPr>
        <w:jc w:val="center"/>
        <w:rPr>
          <w:b/>
          <w:sz w:val="22"/>
          <w:lang w:val="es-MX"/>
        </w:rPr>
      </w:pPr>
    </w:p>
    <w:p w:rsidR="00B916D7" w:rsidRPr="0088577C" w:rsidRDefault="00F80262" w:rsidP="00B916D7">
      <w:pPr>
        <w:jc w:val="center"/>
        <w:rPr>
          <w:b/>
          <w:sz w:val="22"/>
          <w:lang w:val="es-MX"/>
        </w:rPr>
      </w:pPr>
      <w:r>
        <w:rPr>
          <w:b/>
          <w:sz w:val="22"/>
          <w:lang w:val="es-MX"/>
        </w:rPr>
        <w:t xml:space="preserve">Cuadro </w:t>
      </w:r>
      <w:r w:rsidR="00910F6F">
        <w:rPr>
          <w:b/>
          <w:sz w:val="22"/>
          <w:lang w:val="es-MX"/>
        </w:rPr>
        <w:t>19</w:t>
      </w:r>
    </w:p>
    <w:p w:rsidR="00B916D7" w:rsidRPr="0088577C" w:rsidRDefault="00B916D7" w:rsidP="00B916D7">
      <w:pPr>
        <w:jc w:val="center"/>
        <w:rPr>
          <w:b/>
          <w:sz w:val="22"/>
          <w:lang w:val="es-MX"/>
        </w:rPr>
      </w:pPr>
      <w:r w:rsidRPr="0088577C">
        <w:rPr>
          <w:b/>
          <w:sz w:val="22"/>
          <w:lang w:val="es-MX"/>
        </w:rPr>
        <w:t xml:space="preserve">Estimación de </w:t>
      </w:r>
      <w:r>
        <w:rPr>
          <w:b/>
          <w:sz w:val="22"/>
          <w:lang w:val="es-MX"/>
        </w:rPr>
        <w:t>Situación Financiera</w:t>
      </w:r>
    </w:p>
    <w:p w:rsidR="00B916D7" w:rsidRPr="0088577C" w:rsidRDefault="00B916D7" w:rsidP="00B916D7">
      <w:pPr>
        <w:jc w:val="center"/>
        <w:rPr>
          <w:b/>
          <w:sz w:val="22"/>
          <w:lang w:val="es-MX"/>
        </w:rPr>
      </w:pPr>
      <w:r w:rsidRPr="0088577C">
        <w:rPr>
          <w:b/>
          <w:sz w:val="22"/>
          <w:lang w:val="es-MX"/>
        </w:rPr>
        <w:t>Ejercicio Fiscal 2017</w:t>
      </w:r>
    </w:p>
    <w:p w:rsidR="00B916D7" w:rsidRDefault="00B916D7" w:rsidP="00B916D7">
      <w:pPr>
        <w:jc w:val="center"/>
        <w:rPr>
          <w:sz w:val="14"/>
          <w:lang w:val="es-MX"/>
        </w:rPr>
      </w:pPr>
      <w:r w:rsidRPr="00EC58F3">
        <w:rPr>
          <w:b/>
          <w:sz w:val="20"/>
          <w:lang w:val="es-MX"/>
        </w:rPr>
        <w:t>(Cifras en Millones de Quetzales)</w:t>
      </w:r>
      <w:r w:rsidRPr="00771A67">
        <w:rPr>
          <w:sz w:val="14"/>
          <w:lang w:val="es-MX"/>
        </w:rPr>
        <w:t xml:space="preserve">    </w:t>
      </w:r>
    </w:p>
    <w:p w:rsidR="00B916D7" w:rsidRPr="00771A67" w:rsidRDefault="00B916D7" w:rsidP="00B916D7">
      <w:pPr>
        <w:jc w:val="center"/>
        <w:rPr>
          <w:sz w:val="14"/>
          <w:lang w:val="es-MX"/>
        </w:rPr>
      </w:pPr>
      <w:r w:rsidRPr="00EC58F3">
        <w:rPr>
          <w:noProof/>
          <w:lang w:val="es-GT" w:eastAsia="es-GT"/>
        </w:rPr>
        <w:drawing>
          <wp:inline distT="0" distB="0" distL="0" distR="0" wp14:anchorId="054345F5" wp14:editId="00DF8B25">
            <wp:extent cx="5343525" cy="4810125"/>
            <wp:effectExtent l="0" t="0" r="9525" b="9525"/>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55360" cy="4820779"/>
                    </a:xfrm>
                    <a:prstGeom prst="rect">
                      <a:avLst/>
                    </a:prstGeom>
                    <a:noFill/>
                    <a:ln>
                      <a:noFill/>
                    </a:ln>
                  </pic:spPr>
                </pic:pic>
              </a:graphicData>
            </a:graphic>
          </wp:inline>
        </w:drawing>
      </w:r>
    </w:p>
    <w:p w:rsidR="00B916D7" w:rsidRDefault="00B916D7" w:rsidP="00B916D7">
      <w:pPr>
        <w:ind w:firstLine="708"/>
        <w:rPr>
          <w:lang w:val="es-MX"/>
        </w:rPr>
      </w:pPr>
      <w:r w:rsidRPr="00771A67">
        <w:rPr>
          <w:sz w:val="14"/>
          <w:lang w:val="es-MX"/>
        </w:rPr>
        <w:t>Fuente: Ministerio de Finanzas Públicas.</w:t>
      </w:r>
    </w:p>
    <w:p w:rsidR="00B916D7" w:rsidRDefault="00B916D7" w:rsidP="00B916D7">
      <w:pPr>
        <w:jc w:val="both"/>
        <w:rPr>
          <w:lang w:val="es-MX"/>
        </w:rPr>
      </w:pPr>
    </w:p>
    <w:p w:rsidR="00F80262" w:rsidRDefault="00F80262">
      <w:pPr>
        <w:rPr>
          <w:b/>
          <w:lang w:val="es-ES_tradnl"/>
        </w:rPr>
      </w:pPr>
      <w:r>
        <w:rPr>
          <w:b/>
          <w:lang w:val="es-ES_tradnl"/>
        </w:rPr>
        <w:br w:type="page"/>
      </w:r>
    </w:p>
    <w:p w:rsidR="00B916D7" w:rsidRPr="007771BA" w:rsidRDefault="00B916D7" w:rsidP="00D16A2D">
      <w:pPr>
        <w:keepNext/>
        <w:keepLines/>
        <w:numPr>
          <w:ilvl w:val="0"/>
          <w:numId w:val="20"/>
        </w:numPr>
        <w:outlineLvl w:val="2"/>
        <w:rPr>
          <w:b/>
          <w:bCs/>
        </w:rPr>
      </w:pPr>
      <w:bookmarkStart w:id="51" w:name="_Toc494450614"/>
      <w:r w:rsidRPr="007771BA">
        <w:rPr>
          <w:b/>
          <w:bCs/>
        </w:rPr>
        <w:lastRenderedPageBreak/>
        <w:t>Estimaciones del gasto por Entidad</w:t>
      </w:r>
      <w:bookmarkEnd w:id="51"/>
    </w:p>
    <w:p w:rsidR="00B916D7" w:rsidRDefault="00B916D7" w:rsidP="00B916D7">
      <w:pPr>
        <w:jc w:val="both"/>
        <w:rPr>
          <w:lang w:val="es-ES_tradnl"/>
        </w:rPr>
      </w:pPr>
    </w:p>
    <w:p w:rsidR="00B916D7" w:rsidRPr="00B916D7" w:rsidRDefault="00F80262" w:rsidP="00F80262">
      <w:pPr>
        <w:jc w:val="both"/>
        <w:rPr>
          <w:b/>
          <w:sz w:val="22"/>
          <w:lang w:val="es-ES_tradnl"/>
        </w:rPr>
      </w:pPr>
      <w:r w:rsidRPr="00F80262">
        <w:rPr>
          <w:lang w:val="es-ES_tradnl"/>
        </w:rPr>
        <w:t xml:space="preserve">En el transcurso del </w:t>
      </w:r>
      <w:r w:rsidR="00FD264A">
        <w:rPr>
          <w:lang w:val="es-ES_tradnl"/>
        </w:rPr>
        <w:t>e</w:t>
      </w:r>
      <w:r w:rsidRPr="00F80262">
        <w:rPr>
          <w:lang w:val="es-ES_tradnl"/>
        </w:rPr>
        <w:t xml:space="preserve">jercicio </w:t>
      </w:r>
      <w:r w:rsidR="00FD264A">
        <w:rPr>
          <w:lang w:val="es-ES_tradnl"/>
        </w:rPr>
        <w:t>f</w:t>
      </w:r>
      <w:r w:rsidRPr="00F80262">
        <w:rPr>
          <w:lang w:val="es-ES_tradnl"/>
        </w:rPr>
        <w:t>iscal 2017, se ha ampliado el presupuesto aprobado en Q.394.8 millones por lo que a la fecha se dispone de un presupuesto vigente de Q.77,384.2 millones. Estas ampliaciones han sido necesarias para incorporar recursos de diversas fuentes de financiamiento que no se consideraron en el presupuesto de algunas entidades, de la siguiente manera</w:t>
      </w:r>
    </w:p>
    <w:p w:rsidR="00BB1D22" w:rsidRPr="0088577C" w:rsidRDefault="00BB1D22" w:rsidP="00BB1D22">
      <w:pPr>
        <w:jc w:val="center"/>
        <w:rPr>
          <w:b/>
          <w:sz w:val="22"/>
          <w:lang w:val="es-MX"/>
        </w:rPr>
      </w:pPr>
      <w:r w:rsidRPr="0088577C">
        <w:rPr>
          <w:b/>
          <w:sz w:val="22"/>
          <w:lang w:val="es-MX"/>
        </w:rPr>
        <w:t xml:space="preserve">Cuadro </w:t>
      </w:r>
      <w:r w:rsidR="00B916D7">
        <w:rPr>
          <w:b/>
          <w:sz w:val="22"/>
          <w:lang w:val="es-MX"/>
        </w:rPr>
        <w:t>2</w:t>
      </w:r>
      <w:r w:rsidR="00910F6F">
        <w:rPr>
          <w:b/>
          <w:sz w:val="22"/>
          <w:lang w:val="es-MX"/>
        </w:rPr>
        <w:t>0</w:t>
      </w:r>
    </w:p>
    <w:p w:rsidR="00BB1D22" w:rsidRPr="0088577C" w:rsidRDefault="00BB1D22" w:rsidP="00BB1D22">
      <w:pPr>
        <w:jc w:val="center"/>
        <w:rPr>
          <w:b/>
          <w:sz w:val="22"/>
          <w:lang w:val="es-MX"/>
        </w:rPr>
      </w:pPr>
      <w:r w:rsidRPr="0088577C">
        <w:rPr>
          <w:b/>
          <w:sz w:val="22"/>
          <w:lang w:val="es-MX"/>
        </w:rPr>
        <w:t>Estimación de Cierre por Entidad</w:t>
      </w:r>
    </w:p>
    <w:p w:rsidR="00BB1D22" w:rsidRPr="0088577C" w:rsidRDefault="00BB1D22" w:rsidP="00BB1D22">
      <w:pPr>
        <w:jc w:val="center"/>
        <w:rPr>
          <w:b/>
          <w:sz w:val="22"/>
          <w:lang w:val="es-MX"/>
        </w:rPr>
      </w:pPr>
      <w:r w:rsidRPr="0088577C">
        <w:rPr>
          <w:b/>
          <w:sz w:val="22"/>
          <w:lang w:val="es-MX"/>
        </w:rPr>
        <w:t>Ejercicio Fiscal 2017</w:t>
      </w:r>
    </w:p>
    <w:p w:rsidR="00BB1D22" w:rsidRPr="0088577C" w:rsidRDefault="00BB1D22" w:rsidP="00BB1D22">
      <w:pPr>
        <w:jc w:val="center"/>
        <w:rPr>
          <w:b/>
          <w:sz w:val="22"/>
          <w:lang w:val="es-MX"/>
        </w:rPr>
      </w:pPr>
      <w:r w:rsidRPr="0088577C">
        <w:rPr>
          <w:b/>
          <w:sz w:val="22"/>
          <w:lang w:val="es-MX"/>
        </w:rPr>
        <w:t>(Cifras en Millones de Quetzales)</w:t>
      </w:r>
    </w:p>
    <w:tbl>
      <w:tblPr>
        <w:tblW w:w="0" w:type="auto"/>
        <w:tblInd w:w="55" w:type="dxa"/>
        <w:tblCellMar>
          <w:left w:w="70" w:type="dxa"/>
          <w:right w:w="70" w:type="dxa"/>
        </w:tblCellMar>
        <w:tblLook w:val="04A0" w:firstRow="1" w:lastRow="0" w:firstColumn="1" w:lastColumn="0" w:noHBand="0" w:noVBand="1"/>
      </w:tblPr>
      <w:tblGrid>
        <w:gridCol w:w="4806"/>
        <w:gridCol w:w="1340"/>
        <w:gridCol w:w="1340"/>
        <w:gridCol w:w="1460"/>
      </w:tblGrid>
      <w:tr w:rsidR="00227905" w:rsidRPr="00227905" w:rsidTr="00227905">
        <w:trPr>
          <w:trHeight w:val="230"/>
        </w:trPr>
        <w:tc>
          <w:tcPr>
            <w:tcW w:w="0" w:type="auto"/>
            <w:vMerge w:val="restart"/>
            <w:tcBorders>
              <w:top w:val="single" w:sz="4" w:space="0" w:color="auto"/>
              <w:left w:val="single" w:sz="4" w:space="0" w:color="auto"/>
              <w:bottom w:val="single" w:sz="4" w:space="0" w:color="000000"/>
              <w:right w:val="nil"/>
            </w:tcBorders>
            <w:shd w:val="clear" w:color="000000" w:fill="8DB4E2"/>
            <w:vAlign w:val="center"/>
            <w:hideMark/>
          </w:tcPr>
          <w:p w:rsidR="00227905" w:rsidRPr="00227905" w:rsidRDefault="00227905" w:rsidP="00227905">
            <w:pPr>
              <w:jc w:val="center"/>
              <w:rPr>
                <w:b/>
                <w:bCs/>
                <w:color w:val="000000"/>
                <w:sz w:val="20"/>
                <w:szCs w:val="20"/>
                <w:lang w:val="es-GT" w:eastAsia="es-GT"/>
              </w:rPr>
            </w:pPr>
            <w:r w:rsidRPr="00227905">
              <w:rPr>
                <w:b/>
                <w:bCs/>
                <w:color w:val="000000"/>
                <w:sz w:val="20"/>
                <w:szCs w:val="20"/>
                <w:lang w:val="es-GT" w:eastAsia="es-GT"/>
              </w:rPr>
              <w:t>Tipo de Gasto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227905" w:rsidRPr="00227905" w:rsidRDefault="00227905" w:rsidP="00227905">
            <w:pPr>
              <w:jc w:val="center"/>
              <w:rPr>
                <w:b/>
                <w:bCs/>
                <w:color w:val="000000"/>
                <w:sz w:val="20"/>
                <w:szCs w:val="20"/>
                <w:lang w:val="es-GT" w:eastAsia="es-GT"/>
              </w:rPr>
            </w:pPr>
            <w:r w:rsidRPr="00227905">
              <w:rPr>
                <w:b/>
                <w:bCs/>
                <w:color w:val="000000"/>
                <w:sz w:val="20"/>
                <w:szCs w:val="20"/>
                <w:lang w:val="es-GT" w:eastAsia="es-GT"/>
              </w:rPr>
              <w:t>Asignado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rsidR="00227905" w:rsidRPr="00227905" w:rsidRDefault="00227905" w:rsidP="00227905">
            <w:pPr>
              <w:jc w:val="center"/>
              <w:rPr>
                <w:b/>
                <w:bCs/>
                <w:color w:val="000000"/>
                <w:sz w:val="20"/>
                <w:szCs w:val="20"/>
                <w:lang w:val="es-GT" w:eastAsia="es-GT"/>
              </w:rPr>
            </w:pPr>
            <w:r w:rsidRPr="00227905">
              <w:rPr>
                <w:b/>
                <w:bCs/>
                <w:color w:val="000000"/>
                <w:sz w:val="20"/>
                <w:szCs w:val="20"/>
                <w:lang w:val="es-GT" w:eastAsia="es-GT"/>
              </w:rPr>
              <w:t>Vigente</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8DB4E2"/>
            <w:vAlign w:val="bottom"/>
            <w:hideMark/>
          </w:tcPr>
          <w:p w:rsidR="00227905" w:rsidRPr="00227905" w:rsidRDefault="00227905" w:rsidP="00227905">
            <w:pPr>
              <w:jc w:val="center"/>
              <w:rPr>
                <w:b/>
                <w:bCs/>
                <w:color w:val="000000"/>
                <w:sz w:val="22"/>
                <w:szCs w:val="22"/>
                <w:lang w:val="es-GT" w:eastAsia="es-GT"/>
              </w:rPr>
            </w:pPr>
            <w:r w:rsidRPr="00227905">
              <w:rPr>
                <w:b/>
                <w:bCs/>
                <w:color w:val="000000"/>
                <w:sz w:val="22"/>
                <w:szCs w:val="22"/>
                <w:lang w:val="es-GT" w:eastAsia="es-GT"/>
              </w:rPr>
              <w:t>Cierre Estimado</w:t>
            </w:r>
          </w:p>
        </w:tc>
      </w:tr>
      <w:tr w:rsidR="00227905" w:rsidRPr="00227905" w:rsidTr="00227905">
        <w:trPr>
          <w:trHeight w:val="230"/>
        </w:trPr>
        <w:tc>
          <w:tcPr>
            <w:tcW w:w="0" w:type="auto"/>
            <w:vMerge/>
            <w:tcBorders>
              <w:top w:val="single" w:sz="4" w:space="0" w:color="auto"/>
              <w:left w:val="single" w:sz="4" w:space="0" w:color="auto"/>
              <w:bottom w:val="single" w:sz="4" w:space="0" w:color="000000"/>
              <w:right w:val="nil"/>
            </w:tcBorders>
            <w:vAlign w:val="center"/>
            <w:hideMark/>
          </w:tcPr>
          <w:p w:rsidR="00227905" w:rsidRPr="00227905" w:rsidRDefault="00227905" w:rsidP="00227905">
            <w:pPr>
              <w:rPr>
                <w:b/>
                <w:bCs/>
                <w:color w:val="000000"/>
                <w:sz w:val="20"/>
                <w:szCs w:val="20"/>
                <w:lang w:val="es-GT" w:eastAsia="es-G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7905" w:rsidRPr="00227905" w:rsidRDefault="00227905" w:rsidP="00227905">
            <w:pPr>
              <w:rPr>
                <w:b/>
                <w:bCs/>
                <w:color w:val="000000"/>
                <w:sz w:val="20"/>
                <w:szCs w:val="20"/>
                <w:lang w:val="es-GT" w:eastAsia="es-G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27905" w:rsidRPr="00227905" w:rsidRDefault="00227905" w:rsidP="00227905">
            <w:pPr>
              <w:rPr>
                <w:b/>
                <w:bCs/>
                <w:color w:val="000000"/>
                <w:sz w:val="20"/>
                <w:szCs w:val="20"/>
                <w:lang w:val="es-GT" w:eastAsia="es-GT"/>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27905" w:rsidRPr="00227905" w:rsidRDefault="00227905" w:rsidP="00227905">
            <w:pPr>
              <w:rPr>
                <w:b/>
                <w:bCs/>
                <w:color w:val="000000"/>
                <w:sz w:val="22"/>
                <w:szCs w:val="22"/>
                <w:lang w:val="es-GT" w:eastAsia="es-GT"/>
              </w:rPr>
            </w:pPr>
          </w:p>
        </w:tc>
      </w:tr>
      <w:tr w:rsidR="00227905" w:rsidRPr="00227905" w:rsidTr="00227905">
        <w:trPr>
          <w:trHeight w:val="20"/>
        </w:trPr>
        <w:tc>
          <w:tcPr>
            <w:tcW w:w="0" w:type="auto"/>
            <w:tcBorders>
              <w:top w:val="nil"/>
              <w:left w:val="single" w:sz="4" w:space="0" w:color="auto"/>
              <w:bottom w:val="nil"/>
              <w:right w:val="nil"/>
            </w:tcBorders>
            <w:shd w:val="clear" w:color="000000" w:fill="FFFFFF"/>
            <w:noWrap/>
            <w:vAlign w:val="bottom"/>
            <w:hideMark/>
          </w:tcPr>
          <w:p w:rsidR="00227905" w:rsidRPr="00227905" w:rsidRDefault="00227905" w:rsidP="00227905">
            <w:pPr>
              <w:jc w:val="center"/>
              <w:rPr>
                <w:b/>
                <w:bCs/>
                <w:color w:val="000000"/>
                <w:sz w:val="20"/>
                <w:szCs w:val="20"/>
                <w:lang w:val="es-GT" w:eastAsia="es-GT"/>
              </w:rPr>
            </w:pPr>
            <w:r w:rsidRPr="00227905">
              <w:rPr>
                <w:b/>
                <w:bCs/>
                <w:color w:val="000000"/>
                <w:sz w:val="20"/>
                <w:szCs w:val="20"/>
                <w:lang w:val="es-GT" w:eastAsia="es-GT"/>
              </w:rPr>
              <w:t>Total</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b/>
                <w:bCs/>
                <w:color w:val="000000"/>
                <w:sz w:val="20"/>
                <w:szCs w:val="20"/>
                <w:lang w:val="es-GT" w:eastAsia="es-GT"/>
              </w:rPr>
            </w:pPr>
            <w:r w:rsidRPr="00227905">
              <w:rPr>
                <w:b/>
                <w:bCs/>
                <w:color w:val="000000"/>
                <w:sz w:val="20"/>
                <w:szCs w:val="20"/>
                <w:lang w:val="es-GT" w:eastAsia="es-GT"/>
              </w:rPr>
              <w:t xml:space="preserve">        76,989.5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b/>
                <w:bCs/>
                <w:color w:val="000000"/>
                <w:sz w:val="20"/>
                <w:szCs w:val="20"/>
                <w:lang w:val="es-GT" w:eastAsia="es-GT"/>
              </w:rPr>
            </w:pPr>
            <w:r w:rsidRPr="00227905">
              <w:rPr>
                <w:b/>
                <w:bCs/>
                <w:color w:val="000000"/>
                <w:sz w:val="20"/>
                <w:szCs w:val="20"/>
                <w:lang w:val="es-GT" w:eastAsia="es-GT"/>
              </w:rPr>
              <w:t xml:space="preserve">        77,384.2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b/>
                <w:bCs/>
                <w:color w:val="000000"/>
                <w:sz w:val="20"/>
                <w:szCs w:val="20"/>
                <w:lang w:val="es-GT" w:eastAsia="es-GT"/>
              </w:rPr>
            </w:pPr>
            <w:r w:rsidRPr="00227905">
              <w:rPr>
                <w:b/>
                <w:bCs/>
                <w:color w:val="000000"/>
                <w:sz w:val="20"/>
                <w:szCs w:val="20"/>
                <w:lang w:val="es-GT" w:eastAsia="es-GT"/>
              </w:rPr>
              <w:t xml:space="preserve">        72,922.9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sidRPr="00227905">
              <w:rPr>
                <w:color w:val="000000"/>
                <w:sz w:val="20"/>
                <w:szCs w:val="20"/>
                <w:lang w:val="es-GT" w:eastAsia="es-GT"/>
              </w:rPr>
              <w:t xml:space="preserve">Presidencia de la </w:t>
            </w:r>
            <w:r>
              <w:rPr>
                <w:color w:val="000000"/>
                <w:sz w:val="20"/>
                <w:szCs w:val="20"/>
                <w:lang w:val="es-GT" w:eastAsia="es-GT"/>
              </w:rPr>
              <w:t>R</w:t>
            </w:r>
            <w:r w:rsidRPr="00227905">
              <w:rPr>
                <w:color w:val="000000"/>
                <w:sz w:val="20"/>
                <w:szCs w:val="20"/>
                <w:lang w:val="es-GT" w:eastAsia="es-GT"/>
              </w:rPr>
              <w:t>epública</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207.1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207.1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207.8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 de Relaciones E</w:t>
            </w:r>
            <w:r w:rsidRPr="00227905">
              <w:rPr>
                <w:color w:val="000000"/>
                <w:sz w:val="20"/>
                <w:szCs w:val="20"/>
                <w:lang w:val="es-GT" w:eastAsia="es-GT"/>
              </w:rPr>
              <w:t>xteriores</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442.7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442.7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446.4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 xml:space="preserve">Ministerio de </w:t>
            </w:r>
            <w:r w:rsidRPr="00227905">
              <w:rPr>
                <w:color w:val="000000"/>
                <w:sz w:val="20"/>
                <w:szCs w:val="20"/>
                <w:lang w:val="es-GT" w:eastAsia="es-GT"/>
              </w:rPr>
              <w:t>Gobernación</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5,465.6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5,482.4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4,443.6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 de la D</w:t>
            </w:r>
            <w:r w:rsidRPr="00227905">
              <w:rPr>
                <w:color w:val="000000"/>
                <w:sz w:val="20"/>
                <w:szCs w:val="20"/>
                <w:lang w:val="es-GT" w:eastAsia="es-GT"/>
              </w:rPr>
              <w:t xml:space="preserve">efensa </w:t>
            </w:r>
            <w:r>
              <w:rPr>
                <w:color w:val="000000"/>
                <w:sz w:val="20"/>
                <w:szCs w:val="20"/>
                <w:lang w:val="es-GT" w:eastAsia="es-GT"/>
              </w:rPr>
              <w:t>N</w:t>
            </w:r>
            <w:r w:rsidRPr="00227905">
              <w:rPr>
                <w:color w:val="000000"/>
                <w:sz w:val="20"/>
                <w:szCs w:val="20"/>
                <w:lang w:val="es-GT" w:eastAsia="es-GT"/>
              </w:rPr>
              <w:t>acional</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1,908.3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1,962.6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1,958.2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Finanzas </w:t>
            </w:r>
            <w:r>
              <w:rPr>
                <w:color w:val="000000"/>
                <w:sz w:val="20"/>
                <w:szCs w:val="20"/>
                <w:lang w:val="es-GT" w:eastAsia="es-GT"/>
              </w:rPr>
              <w:t>P</w:t>
            </w:r>
            <w:r w:rsidRPr="00227905">
              <w:rPr>
                <w:color w:val="000000"/>
                <w:sz w:val="20"/>
                <w:szCs w:val="20"/>
                <w:lang w:val="es-GT" w:eastAsia="es-GT"/>
              </w:rPr>
              <w:t>úblicas</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359.6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354.6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313.3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Educación</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13,937.2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13,937.2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13,082.4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Salud </w:t>
            </w:r>
            <w:r>
              <w:rPr>
                <w:color w:val="000000"/>
                <w:sz w:val="20"/>
                <w:szCs w:val="20"/>
                <w:lang w:val="es-GT" w:eastAsia="es-GT"/>
              </w:rPr>
              <w:t>P</w:t>
            </w:r>
            <w:r w:rsidRPr="00227905">
              <w:rPr>
                <w:color w:val="000000"/>
                <w:sz w:val="20"/>
                <w:szCs w:val="20"/>
                <w:lang w:val="es-GT" w:eastAsia="es-GT"/>
              </w:rPr>
              <w:t xml:space="preserve">ública y </w:t>
            </w:r>
            <w:r>
              <w:rPr>
                <w:color w:val="000000"/>
                <w:sz w:val="20"/>
                <w:szCs w:val="20"/>
                <w:lang w:val="es-GT" w:eastAsia="es-GT"/>
              </w:rPr>
              <w:t>A</w:t>
            </w:r>
            <w:r w:rsidRPr="00227905">
              <w:rPr>
                <w:color w:val="000000"/>
                <w:sz w:val="20"/>
                <w:szCs w:val="20"/>
                <w:lang w:val="es-GT" w:eastAsia="es-GT"/>
              </w:rPr>
              <w:t xml:space="preserve">sistencia </w:t>
            </w:r>
            <w:r>
              <w:rPr>
                <w:color w:val="000000"/>
                <w:sz w:val="20"/>
                <w:szCs w:val="20"/>
                <w:lang w:val="es-GT" w:eastAsia="es-GT"/>
              </w:rPr>
              <w:t>S</w:t>
            </w:r>
            <w:r w:rsidRPr="00227905">
              <w:rPr>
                <w:color w:val="000000"/>
                <w:sz w:val="20"/>
                <w:szCs w:val="20"/>
                <w:lang w:val="es-GT" w:eastAsia="es-GT"/>
              </w:rPr>
              <w:t>ocial</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6,897.1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6,897.1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6,413.9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Trabajo y </w:t>
            </w:r>
            <w:r>
              <w:rPr>
                <w:color w:val="000000"/>
                <w:sz w:val="20"/>
                <w:szCs w:val="20"/>
                <w:lang w:val="es-GT" w:eastAsia="es-GT"/>
              </w:rPr>
              <w:t>P</w:t>
            </w:r>
            <w:r w:rsidRPr="00227905">
              <w:rPr>
                <w:color w:val="000000"/>
                <w:sz w:val="20"/>
                <w:szCs w:val="20"/>
                <w:lang w:val="es-GT" w:eastAsia="es-GT"/>
              </w:rPr>
              <w:t xml:space="preserve">revisión </w:t>
            </w:r>
            <w:r>
              <w:rPr>
                <w:color w:val="000000"/>
                <w:sz w:val="20"/>
                <w:szCs w:val="20"/>
                <w:lang w:val="es-GT" w:eastAsia="es-GT"/>
              </w:rPr>
              <w:t>S</w:t>
            </w:r>
            <w:r w:rsidRPr="00227905">
              <w:rPr>
                <w:color w:val="000000"/>
                <w:sz w:val="20"/>
                <w:szCs w:val="20"/>
                <w:lang w:val="es-GT" w:eastAsia="es-GT"/>
              </w:rPr>
              <w:t>ocial</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664.3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675.9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669.4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Economía</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679.7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679.7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644.6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Agricultura, </w:t>
            </w:r>
            <w:r>
              <w:rPr>
                <w:color w:val="000000"/>
                <w:sz w:val="20"/>
                <w:szCs w:val="20"/>
                <w:lang w:val="es-GT" w:eastAsia="es-GT"/>
              </w:rPr>
              <w:t>G</w:t>
            </w:r>
            <w:r w:rsidRPr="00227905">
              <w:rPr>
                <w:color w:val="000000"/>
                <w:sz w:val="20"/>
                <w:szCs w:val="20"/>
                <w:lang w:val="es-GT" w:eastAsia="es-GT"/>
              </w:rPr>
              <w:t xml:space="preserve">anadería y </w:t>
            </w:r>
            <w:r>
              <w:rPr>
                <w:color w:val="000000"/>
                <w:sz w:val="20"/>
                <w:szCs w:val="20"/>
                <w:lang w:val="es-GT" w:eastAsia="es-GT"/>
              </w:rPr>
              <w:t>A</w:t>
            </w:r>
            <w:r w:rsidRPr="00227905">
              <w:rPr>
                <w:color w:val="000000"/>
                <w:sz w:val="20"/>
                <w:szCs w:val="20"/>
                <w:lang w:val="es-GT" w:eastAsia="es-GT"/>
              </w:rPr>
              <w:t>limentación</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1,085.3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1,170.3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1,086.2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Comunicaciones, </w:t>
            </w:r>
            <w:r>
              <w:rPr>
                <w:color w:val="000000"/>
                <w:sz w:val="20"/>
                <w:szCs w:val="20"/>
                <w:lang w:val="es-GT" w:eastAsia="es-GT"/>
              </w:rPr>
              <w:t>I</w:t>
            </w:r>
            <w:r w:rsidRPr="00227905">
              <w:rPr>
                <w:color w:val="000000"/>
                <w:sz w:val="20"/>
                <w:szCs w:val="20"/>
                <w:lang w:val="es-GT" w:eastAsia="es-GT"/>
              </w:rPr>
              <w:t xml:space="preserve">nfraestructura y </w:t>
            </w:r>
            <w:r>
              <w:rPr>
                <w:color w:val="000000"/>
                <w:sz w:val="20"/>
                <w:szCs w:val="20"/>
                <w:lang w:val="es-GT" w:eastAsia="es-GT"/>
              </w:rPr>
              <w:t>V</w:t>
            </w:r>
            <w:r w:rsidRPr="00227905">
              <w:rPr>
                <w:color w:val="000000"/>
                <w:sz w:val="20"/>
                <w:szCs w:val="20"/>
                <w:lang w:val="es-GT" w:eastAsia="es-GT"/>
              </w:rPr>
              <w:t>ivienda</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4,098.1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4,138.1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3,778.4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Energía y </w:t>
            </w:r>
            <w:r>
              <w:rPr>
                <w:color w:val="000000"/>
                <w:sz w:val="20"/>
                <w:szCs w:val="20"/>
                <w:lang w:val="es-GT" w:eastAsia="es-GT"/>
              </w:rPr>
              <w:t>M</w:t>
            </w:r>
            <w:r w:rsidRPr="00227905">
              <w:rPr>
                <w:color w:val="000000"/>
                <w:sz w:val="20"/>
                <w:szCs w:val="20"/>
                <w:lang w:val="es-GT" w:eastAsia="es-GT"/>
              </w:rPr>
              <w:t>inas</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80.8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80.8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74.4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Cultura y </w:t>
            </w:r>
            <w:r>
              <w:rPr>
                <w:color w:val="000000"/>
                <w:sz w:val="20"/>
                <w:szCs w:val="20"/>
                <w:lang w:val="es-GT" w:eastAsia="es-GT"/>
              </w:rPr>
              <w:t>D</w:t>
            </w:r>
            <w:r w:rsidRPr="00227905">
              <w:rPr>
                <w:color w:val="000000"/>
                <w:sz w:val="20"/>
                <w:szCs w:val="20"/>
                <w:lang w:val="es-GT" w:eastAsia="es-GT"/>
              </w:rPr>
              <w:t>eportes</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559.3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559.3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524.1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FD264A">
            <w:pPr>
              <w:rPr>
                <w:color w:val="000000"/>
                <w:sz w:val="20"/>
                <w:szCs w:val="20"/>
                <w:lang w:val="es-GT" w:eastAsia="es-GT"/>
              </w:rPr>
            </w:pPr>
            <w:r w:rsidRPr="00227905">
              <w:rPr>
                <w:color w:val="000000"/>
                <w:sz w:val="20"/>
                <w:szCs w:val="20"/>
                <w:lang w:val="es-GT" w:eastAsia="es-GT"/>
              </w:rPr>
              <w:t xml:space="preserve">Secretarías y </w:t>
            </w:r>
            <w:r w:rsidR="00FD264A">
              <w:rPr>
                <w:color w:val="000000"/>
                <w:sz w:val="20"/>
                <w:szCs w:val="20"/>
                <w:lang w:val="es-GT" w:eastAsia="es-GT"/>
              </w:rPr>
              <w:t>O</w:t>
            </w:r>
            <w:r w:rsidRPr="00227905">
              <w:rPr>
                <w:color w:val="000000"/>
                <w:sz w:val="20"/>
                <w:szCs w:val="20"/>
                <w:lang w:val="es-GT" w:eastAsia="es-GT"/>
              </w:rPr>
              <w:t xml:space="preserve">tras </w:t>
            </w:r>
            <w:r>
              <w:rPr>
                <w:color w:val="000000"/>
                <w:sz w:val="20"/>
                <w:szCs w:val="20"/>
                <w:lang w:val="es-GT" w:eastAsia="es-GT"/>
              </w:rPr>
              <w:t>D</w:t>
            </w:r>
            <w:r w:rsidRPr="00227905">
              <w:rPr>
                <w:color w:val="000000"/>
                <w:sz w:val="20"/>
                <w:szCs w:val="20"/>
                <w:lang w:val="es-GT" w:eastAsia="es-GT"/>
              </w:rPr>
              <w:t xml:space="preserve">ependencias del </w:t>
            </w:r>
            <w:r>
              <w:rPr>
                <w:color w:val="000000"/>
                <w:sz w:val="20"/>
                <w:szCs w:val="20"/>
                <w:lang w:val="es-GT" w:eastAsia="es-GT"/>
              </w:rPr>
              <w:t>E</w:t>
            </w:r>
            <w:r w:rsidRPr="00227905">
              <w:rPr>
                <w:color w:val="000000"/>
                <w:sz w:val="20"/>
                <w:szCs w:val="20"/>
                <w:lang w:val="es-GT" w:eastAsia="es-GT"/>
              </w:rPr>
              <w:t>jecutivo</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1,312.2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1,415.2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1,047.5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Ambiente y </w:t>
            </w:r>
            <w:r>
              <w:rPr>
                <w:color w:val="000000"/>
                <w:sz w:val="20"/>
                <w:szCs w:val="20"/>
                <w:lang w:val="es-GT" w:eastAsia="es-GT"/>
              </w:rPr>
              <w:t>R</w:t>
            </w:r>
            <w:r w:rsidRPr="00227905">
              <w:rPr>
                <w:color w:val="000000"/>
                <w:sz w:val="20"/>
                <w:szCs w:val="20"/>
                <w:lang w:val="es-GT" w:eastAsia="es-GT"/>
              </w:rPr>
              <w:t xml:space="preserve">ecursos </w:t>
            </w:r>
            <w:r>
              <w:rPr>
                <w:color w:val="000000"/>
                <w:sz w:val="20"/>
                <w:szCs w:val="20"/>
                <w:lang w:val="es-GT" w:eastAsia="es-GT"/>
              </w:rPr>
              <w:t>N</w:t>
            </w:r>
            <w:r w:rsidRPr="00227905">
              <w:rPr>
                <w:color w:val="000000"/>
                <w:sz w:val="20"/>
                <w:szCs w:val="20"/>
                <w:lang w:val="es-GT" w:eastAsia="es-GT"/>
              </w:rPr>
              <w:t>aturales</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171.9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171.9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143.7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FD264A">
            <w:pPr>
              <w:rPr>
                <w:color w:val="000000"/>
                <w:sz w:val="20"/>
                <w:szCs w:val="20"/>
                <w:lang w:val="es-GT" w:eastAsia="es-GT"/>
              </w:rPr>
            </w:pPr>
            <w:r w:rsidRPr="00227905">
              <w:rPr>
                <w:color w:val="000000"/>
                <w:sz w:val="20"/>
                <w:szCs w:val="20"/>
                <w:lang w:val="es-GT" w:eastAsia="es-GT"/>
              </w:rPr>
              <w:t xml:space="preserve">Obligaciones del </w:t>
            </w:r>
            <w:r>
              <w:rPr>
                <w:color w:val="000000"/>
                <w:sz w:val="20"/>
                <w:szCs w:val="20"/>
                <w:lang w:val="es-GT" w:eastAsia="es-GT"/>
              </w:rPr>
              <w:t>E</w:t>
            </w:r>
            <w:r w:rsidRPr="00227905">
              <w:rPr>
                <w:color w:val="000000"/>
                <w:sz w:val="20"/>
                <w:szCs w:val="20"/>
                <w:lang w:val="es-GT" w:eastAsia="es-GT"/>
              </w:rPr>
              <w:t xml:space="preserve">stado a </w:t>
            </w:r>
            <w:r w:rsidR="00FD264A">
              <w:rPr>
                <w:color w:val="000000"/>
                <w:sz w:val="20"/>
                <w:szCs w:val="20"/>
                <w:lang w:val="es-GT" w:eastAsia="es-GT"/>
              </w:rPr>
              <w:t>C</w:t>
            </w:r>
            <w:r w:rsidRPr="00227905">
              <w:rPr>
                <w:color w:val="000000"/>
                <w:sz w:val="20"/>
                <w:szCs w:val="20"/>
                <w:lang w:val="es-GT" w:eastAsia="es-GT"/>
              </w:rPr>
              <w:t xml:space="preserve">argo del </w:t>
            </w:r>
            <w:r>
              <w:rPr>
                <w:color w:val="000000"/>
                <w:sz w:val="20"/>
                <w:szCs w:val="20"/>
                <w:lang w:val="es-GT" w:eastAsia="es-GT"/>
              </w:rPr>
              <w:t>T</w:t>
            </w:r>
            <w:r w:rsidRPr="00227905">
              <w:rPr>
                <w:color w:val="000000"/>
                <w:sz w:val="20"/>
                <w:szCs w:val="20"/>
                <w:lang w:val="es-GT" w:eastAsia="es-GT"/>
              </w:rPr>
              <w:t>esoro</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26,019.0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26,320.3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26,125.8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sidRPr="00227905">
              <w:rPr>
                <w:color w:val="000000"/>
                <w:sz w:val="20"/>
                <w:szCs w:val="20"/>
                <w:lang w:val="es-GT" w:eastAsia="es-GT"/>
              </w:rPr>
              <w:t xml:space="preserve">Servicios de la </w:t>
            </w:r>
            <w:r>
              <w:rPr>
                <w:color w:val="000000"/>
                <w:sz w:val="20"/>
                <w:szCs w:val="20"/>
                <w:lang w:val="es-GT" w:eastAsia="es-GT"/>
              </w:rPr>
              <w:t>D</w:t>
            </w:r>
            <w:r w:rsidRPr="00227905">
              <w:rPr>
                <w:color w:val="000000"/>
                <w:sz w:val="20"/>
                <w:szCs w:val="20"/>
                <w:lang w:val="es-GT" w:eastAsia="es-GT"/>
              </w:rPr>
              <w:t xml:space="preserve">euda </w:t>
            </w:r>
            <w:r>
              <w:rPr>
                <w:color w:val="000000"/>
                <w:sz w:val="20"/>
                <w:szCs w:val="20"/>
                <w:lang w:val="es-GT" w:eastAsia="es-GT"/>
              </w:rPr>
              <w:t>P</w:t>
            </w:r>
            <w:r w:rsidRPr="00227905">
              <w:rPr>
                <w:color w:val="000000"/>
                <w:sz w:val="20"/>
                <w:szCs w:val="20"/>
                <w:lang w:val="es-GT" w:eastAsia="es-GT"/>
              </w:rPr>
              <w:t>ublica</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12,096.0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11,858.8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11,076.4 </w:t>
            </w:r>
          </w:p>
        </w:tc>
      </w:tr>
      <w:tr w:rsidR="00227905" w:rsidRPr="00227905" w:rsidTr="00227905">
        <w:trPr>
          <w:trHeight w:val="283"/>
        </w:trPr>
        <w:tc>
          <w:tcPr>
            <w:tcW w:w="0" w:type="auto"/>
            <w:tcBorders>
              <w:top w:val="nil"/>
              <w:left w:val="single" w:sz="4" w:space="0" w:color="auto"/>
              <w:bottom w:val="nil"/>
              <w:right w:val="nil"/>
            </w:tcBorders>
            <w:shd w:val="clear" w:color="000000" w:fill="FFFFFF"/>
            <w:noWrap/>
            <w:vAlign w:val="center"/>
            <w:hideMark/>
          </w:tcPr>
          <w:p w:rsidR="00227905" w:rsidRPr="00227905" w:rsidRDefault="00227905" w:rsidP="00227905">
            <w:pPr>
              <w:rPr>
                <w:color w:val="000000"/>
                <w:sz w:val="20"/>
                <w:szCs w:val="20"/>
                <w:lang w:val="es-GT" w:eastAsia="es-GT"/>
              </w:rPr>
            </w:pPr>
            <w:r>
              <w:rPr>
                <w:color w:val="000000"/>
                <w:sz w:val="20"/>
                <w:szCs w:val="20"/>
                <w:lang w:val="es-GT" w:eastAsia="es-GT"/>
              </w:rPr>
              <w:t>Ministerio</w:t>
            </w:r>
            <w:r w:rsidRPr="00227905">
              <w:rPr>
                <w:color w:val="000000"/>
                <w:sz w:val="20"/>
                <w:szCs w:val="20"/>
                <w:lang w:val="es-GT" w:eastAsia="es-GT"/>
              </w:rPr>
              <w:t xml:space="preserve"> </w:t>
            </w:r>
            <w:r>
              <w:rPr>
                <w:color w:val="000000"/>
                <w:sz w:val="20"/>
                <w:szCs w:val="20"/>
                <w:lang w:val="es-GT" w:eastAsia="es-GT"/>
              </w:rPr>
              <w:t xml:space="preserve">de </w:t>
            </w:r>
            <w:r w:rsidRPr="00227905">
              <w:rPr>
                <w:color w:val="000000"/>
                <w:sz w:val="20"/>
                <w:szCs w:val="20"/>
                <w:lang w:val="es-GT" w:eastAsia="es-GT"/>
              </w:rPr>
              <w:t xml:space="preserve">Desarrollo </w:t>
            </w:r>
            <w:r>
              <w:rPr>
                <w:color w:val="000000"/>
                <w:sz w:val="20"/>
                <w:szCs w:val="20"/>
                <w:lang w:val="es-GT" w:eastAsia="es-GT"/>
              </w:rPr>
              <w:t>S</w:t>
            </w:r>
            <w:r w:rsidRPr="00227905">
              <w:rPr>
                <w:color w:val="000000"/>
                <w:sz w:val="20"/>
                <w:szCs w:val="20"/>
                <w:lang w:val="es-GT" w:eastAsia="es-GT"/>
              </w:rPr>
              <w:t>ocial</w:t>
            </w:r>
          </w:p>
        </w:tc>
        <w:tc>
          <w:tcPr>
            <w:tcW w:w="0" w:type="auto"/>
            <w:tcBorders>
              <w:top w:val="nil"/>
              <w:left w:val="single" w:sz="4" w:space="0" w:color="auto"/>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923.0 </w:t>
            </w:r>
          </w:p>
        </w:tc>
        <w:tc>
          <w:tcPr>
            <w:tcW w:w="0" w:type="auto"/>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923.0 </w:t>
            </w:r>
          </w:p>
        </w:tc>
        <w:tc>
          <w:tcPr>
            <w:tcW w:w="1460" w:type="dxa"/>
            <w:tcBorders>
              <w:top w:val="nil"/>
              <w:left w:val="nil"/>
              <w:bottom w:val="nil"/>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787.7 </w:t>
            </w:r>
          </w:p>
        </w:tc>
      </w:tr>
      <w:tr w:rsidR="00227905" w:rsidRPr="00227905" w:rsidTr="00227905">
        <w:trPr>
          <w:trHeight w:val="283"/>
        </w:trPr>
        <w:tc>
          <w:tcPr>
            <w:tcW w:w="0" w:type="auto"/>
            <w:tcBorders>
              <w:top w:val="nil"/>
              <w:left w:val="single" w:sz="4" w:space="0" w:color="auto"/>
              <w:bottom w:val="single" w:sz="4" w:space="0" w:color="auto"/>
              <w:right w:val="nil"/>
            </w:tcBorders>
            <w:shd w:val="clear" w:color="000000" w:fill="FFFFFF"/>
            <w:noWrap/>
            <w:vAlign w:val="center"/>
            <w:hideMark/>
          </w:tcPr>
          <w:p w:rsidR="00227905" w:rsidRPr="00227905" w:rsidRDefault="00227905" w:rsidP="00227905">
            <w:pPr>
              <w:rPr>
                <w:color w:val="000000"/>
                <w:sz w:val="20"/>
                <w:szCs w:val="20"/>
                <w:lang w:val="es-GT" w:eastAsia="es-GT"/>
              </w:rPr>
            </w:pPr>
            <w:r w:rsidRPr="00227905">
              <w:rPr>
                <w:color w:val="000000"/>
                <w:sz w:val="20"/>
                <w:szCs w:val="20"/>
                <w:lang w:val="es-GT" w:eastAsia="es-GT"/>
              </w:rPr>
              <w:t xml:space="preserve">Procuraduría </w:t>
            </w:r>
            <w:r>
              <w:rPr>
                <w:color w:val="000000"/>
                <w:sz w:val="20"/>
                <w:szCs w:val="20"/>
                <w:lang w:val="es-GT" w:eastAsia="es-GT"/>
              </w:rPr>
              <w:t>G</w:t>
            </w:r>
            <w:r w:rsidRPr="00227905">
              <w:rPr>
                <w:color w:val="000000"/>
                <w:sz w:val="20"/>
                <w:szCs w:val="20"/>
                <w:lang w:val="es-GT" w:eastAsia="es-GT"/>
              </w:rPr>
              <w:t xml:space="preserve">eneral de la </w:t>
            </w:r>
            <w:r>
              <w:rPr>
                <w:color w:val="000000"/>
                <w:sz w:val="20"/>
                <w:szCs w:val="20"/>
                <w:lang w:val="es-GT" w:eastAsia="es-GT"/>
              </w:rPr>
              <w:t>N</w:t>
            </w:r>
            <w:r w:rsidRPr="00227905">
              <w:rPr>
                <w:color w:val="000000"/>
                <w:sz w:val="20"/>
                <w:szCs w:val="20"/>
                <w:lang w:val="es-GT" w:eastAsia="es-GT"/>
              </w:rPr>
              <w:t>ación</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82.3 </w:t>
            </w:r>
          </w:p>
        </w:tc>
        <w:tc>
          <w:tcPr>
            <w:tcW w:w="0" w:type="auto"/>
            <w:tcBorders>
              <w:top w:val="nil"/>
              <w:left w:val="nil"/>
              <w:bottom w:val="single" w:sz="4" w:space="0" w:color="auto"/>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107.3 </w:t>
            </w:r>
          </w:p>
        </w:tc>
        <w:tc>
          <w:tcPr>
            <w:tcW w:w="1460" w:type="dxa"/>
            <w:tcBorders>
              <w:top w:val="nil"/>
              <w:left w:val="nil"/>
              <w:bottom w:val="single" w:sz="4" w:space="0" w:color="auto"/>
              <w:right w:val="single" w:sz="4" w:space="0" w:color="auto"/>
            </w:tcBorders>
            <w:shd w:val="clear" w:color="000000" w:fill="FFFFFF"/>
            <w:noWrap/>
            <w:vAlign w:val="center"/>
            <w:hideMark/>
          </w:tcPr>
          <w:p w:rsidR="00227905" w:rsidRPr="00227905" w:rsidRDefault="00227905" w:rsidP="00227905">
            <w:pPr>
              <w:jc w:val="right"/>
              <w:rPr>
                <w:color w:val="000000"/>
                <w:sz w:val="20"/>
                <w:szCs w:val="20"/>
                <w:lang w:val="es-GT" w:eastAsia="es-GT"/>
              </w:rPr>
            </w:pPr>
            <w:r w:rsidRPr="00227905">
              <w:rPr>
                <w:color w:val="000000"/>
                <w:sz w:val="20"/>
                <w:szCs w:val="20"/>
                <w:lang w:val="es-GT" w:eastAsia="es-GT"/>
              </w:rPr>
              <w:t xml:space="preserve">                 99.1 </w:t>
            </w:r>
          </w:p>
        </w:tc>
      </w:tr>
    </w:tbl>
    <w:p w:rsidR="00BB1D22" w:rsidRPr="007A10EF" w:rsidRDefault="00BB1D22" w:rsidP="00BB1D22">
      <w:pPr>
        <w:rPr>
          <w:sz w:val="16"/>
          <w:lang w:val="es-MX"/>
        </w:rPr>
      </w:pPr>
      <w:r>
        <w:rPr>
          <w:sz w:val="16"/>
          <w:lang w:val="es-MX"/>
        </w:rPr>
        <w:t xml:space="preserve"> </w:t>
      </w:r>
      <w:r w:rsidRPr="007A10EF">
        <w:rPr>
          <w:sz w:val="16"/>
          <w:lang w:val="es-MX"/>
        </w:rPr>
        <w:t>Fuente: Ministerio de Finanzas Públicas con base al SICOIN.</w:t>
      </w:r>
    </w:p>
    <w:p w:rsidR="00BB1D22" w:rsidRDefault="00BB1D22" w:rsidP="00BB1D22">
      <w:pPr>
        <w:jc w:val="both"/>
        <w:rPr>
          <w:lang w:val="es-ES_tradnl"/>
        </w:rPr>
      </w:pPr>
    </w:p>
    <w:p w:rsidR="00F80262" w:rsidRDefault="00F80262" w:rsidP="00F80262">
      <w:pPr>
        <w:jc w:val="both"/>
        <w:rPr>
          <w:lang w:val="es-ES_tradnl"/>
        </w:rPr>
      </w:pPr>
      <w:r w:rsidRPr="00F80262">
        <w:rPr>
          <w:lang w:val="es-ES_tradnl"/>
        </w:rPr>
        <w:t>Con fuente de financiamiento 41 “Colocaciones internas” se incorporan Q.311.7 millones para cubrir el costo de la tarifa social de electricidad a cargo del Instituto Nacional de Electrificación (INDE) en Q.300.0 millones y Q.11.7 millones para el Programa del Adulto Mayor a cargo del Ministerio de Trabajo y Previsión Social. Dichos recursos fueron aprobados por el Congreso de la República mediante el Decreto No. 50-2016, Ley del Presupuesto General de Ingresos y Egresos del Estado para el Ejercicio Fiscal 2017, adicionales al nivel de endeudamiento interno y externo autorizado (incluyendo roll over).</w:t>
      </w:r>
    </w:p>
    <w:p w:rsidR="00F80262" w:rsidRPr="00F80262" w:rsidRDefault="00F80262" w:rsidP="00F80262">
      <w:pPr>
        <w:jc w:val="both"/>
        <w:rPr>
          <w:lang w:val="es-ES_tradnl"/>
        </w:rPr>
      </w:pPr>
    </w:p>
    <w:p w:rsidR="00F80262" w:rsidRDefault="00F80262" w:rsidP="00F80262">
      <w:pPr>
        <w:jc w:val="both"/>
        <w:rPr>
          <w:lang w:val="es-ES_tradnl"/>
        </w:rPr>
      </w:pPr>
      <w:r w:rsidRPr="00F80262">
        <w:rPr>
          <w:lang w:val="es-ES_tradnl"/>
        </w:rPr>
        <w:t xml:space="preserve">Se ampliaron Q.45.0 millones con fuente 52 “Préstamos externos” para incorporar desembolsos de préstamos en ejecución a cargo de los Ministerios de Gobernación y de Comunicaciones, Infraestructura y Vivienda. Además, Q.16.6 millones se incorporaron con fuente 61 “Donaciones externas” para poder ejecutar recursos de donaciones aprobadas a </w:t>
      </w:r>
      <w:r w:rsidRPr="00F80262">
        <w:rPr>
          <w:lang w:val="es-ES_tradnl"/>
        </w:rPr>
        <w:lastRenderedPageBreak/>
        <w:t>favor de la Secretaría de Seguridad Alimentaria y Nutricional de la Presidencia (SESAN) y Secretaría de la Instancia Coordinadora de la Modernización del Sector Justicia. Asimismo, se adicionaron Q.21.5 millones para incorporar recursos de saldos de caja de ejercicios anteriores originados por ingresos derivados de la aplicación de la Ley de Extinción de Dominio, a favor del Ministerio de Gobernación.</w:t>
      </w:r>
    </w:p>
    <w:p w:rsidR="00F80262" w:rsidRPr="00F80262" w:rsidRDefault="00F80262" w:rsidP="00F80262">
      <w:pPr>
        <w:jc w:val="both"/>
        <w:rPr>
          <w:lang w:val="es-ES_tradnl"/>
        </w:rPr>
      </w:pPr>
    </w:p>
    <w:p w:rsidR="00F80262" w:rsidRDefault="00F80262" w:rsidP="00F80262">
      <w:pPr>
        <w:jc w:val="both"/>
        <w:rPr>
          <w:lang w:val="es-ES_tradnl"/>
        </w:rPr>
      </w:pPr>
      <w:r w:rsidRPr="00F80262">
        <w:rPr>
          <w:lang w:val="es-ES_tradnl"/>
        </w:rPr>
        <w:t>La actual administración de gobierno considera prioritarios los sectores de educación, salud, desarrollo productivo y seguridad ciudadana, por lo que el Comité de Programación de la Ejecución Presupuestaria (COPEP) ha priorizado la distribución de cuotas de compromiso, devengado y pago a favor de las instituciones a cargo de dichos temas. Por tal motivo, el cierre estimado para estas entidades se ha definido en promedio, superior al 90.1% con respecto de su presupuesto aprobado.</w:t>
      </w:r>
    </w:p>
    <w:p w:rsidR="00F80262" w:rsidRPr="00F80262" w:rsidRDefault="00F80262" w:rsidP="00F80262">
      <w:pPr>
        <w:jc w:val="both"/>
        <w:rPr>
          <w:lang w:val="es-ES_tradnl"/>
        </w:rPr>
      </w:pPr>
    </w:p>
    <w:p w:rsidR="00F80262" w:rsidRDefault="00F80262" w:rsidP="00F80262">
      <w:pPr>
        <w:jc w:val="both"/>
        <w:rPr>
          <w:lang w:val="es-ES_tradnl"/>
        </w:rPr>
      </w:pPr>
      <w:r w:rsidRPr="00F80262">
        <w:rPr>
          <w:lang w:val="es-ES_tradnl"/>
        </w:rPr>
        <w:t>Dentro de estas instituciones destaca el Ministerio de Educación, con énfasis en los programas de educación preprimaria y primaria, así como la refacción escolar y entrega de útiles escolares y valija didáctica, por lo que esta institución podría cerrar en un 93.9% de ejecución con respecto de su presupuesto aprobado.</w:t>
      </w:r>
    </w:p>
    <w:p w:rsidR="00F80262" w:rsidRPr="00F80262" w:rsidRDefault="00F80262" w:rsidP="00F80262">
      <w:pPr>
        <w:jc w:val="both"/>
        <w:rPr>
          <w:lang w:val="es-ES_tradnl"/>
        </w:rPr>
      </w:pPr>
    </w:p>
    <w:p w:rsidR="00F80262" w:rsidRDefault="00F80262" w:rsidP="00F80262">
      <w:pPr>
        <w:jc w:val="both"/>
        <w:rPr>
          <w:lang w:val="es-ES_tradnl"/>
        </w:rPr>
      </w:pPr>
      <w:r w:rsidRPr="00F80262">
        <w:rPr>
          <w:lang w:val="es-ES_tradnl"/>
        </w:rPr>
        <w:t>En el caso del Ministerio de Salud Pública y Asistencia Social se priorizan los programas de fomento de la salud y medicina preventiva, recuperación de la salud y prevención y control de enfermedades vectoriales, por lo que se estima que este Ministerio podría cerrar en un 93.0% de ejecución de su presupuesto aprobado.</w:t>
      </w:r>
    </w:p>
    <w:p w:rsidR="00F80262" w:rsidRPr="00F80262" w:rsidRDefault="00F80262" w:rsidP="00F80262">
      <w:pPr>
        <w:jc w:val="both"/>
        <w:rPr>
          <w:lang w:val="es-ES_tradnl"/>
        </w:rPr>
      </w:pPr>
    </w:p>
    <w:p w:rsidR="00F80262" w:rsidRPr="00F80262" w:rsidRDefault="00F80262" w:rsidP="00F80262">
      <w:pPr>
        <w:jc w:val="both"/>
        <w:rPr>
          <w:lang w:val="es-ES_tradnl"/>
        </w:rPr>
      </w:pPr>
      <w:r w:rsidRPr="00F80262">
        <w:rPr>
          <w:lang w:val="es-ES_tradnl"/>
        </w:rPr>
        <w:t>Las instituciones que se considera tendrán un menor cierre estimado son el Ministerio de Comunicaciones, Infraestructura y Vivienda, en virtud de lo establecido en el artículo 100 del Decreto No. 50-2016 del Congreso de la República, que manda conformar una comisión técnica para elaborar un inventario de proyectos y obras pendientes de pago. Además existen problemas con algunas empresas constructoras y rehabilitadoras de la red vial, situación que ha obligado a revisar los contratos para garantizar que hayan sido suscritos con apego al marco legal vigente. Asimismo, el Ministerio de Desarrollo Social se estima que podría presentar un cierre estimado alrededor del 85.3% de su presupuesto aprobado, ya que para desembolsar recursos de su programa de transferencias monetarias condicionadas (Bono Seguro Escolar y Bono Seguro para Salud) debió llevar a cabo la realización de un censo para actualizar su población beneficiaria, por lo que es hasta inicios del segundo semestre del presente año que ha podido ejecutar su presupuesto a un ritmo aceptable.</w:t>
      </w:r>
    </w:p>
    <w:p w:rsidR="00227905" w:rsidRPr="00F80262" w:rsidRDefault="00227905" w:rsidP="00227905">
      <w:pPr>
        <w:rPr>
          <w:b/>
          <w:lang w:val="es-ES_tradnl"/>
        </w:rPr>
      </w:pPr>
    </w:p>
    <w:p w:rsidR="00F80262" w:rsidRPr="007771BA" w:rsidRDefault="00F80262" w:rsidP="00D16A2D">
      <w:pPr>
        <w:keepNext/>
        <w:keepLines/>
        <w:numPr>
          <w:ilvl w:val="0"/>
          <w:numId w:val="20"/>
        </w:numPr>
        <w:outlineLvl w:val="2"/>
        <w:rPr>
          <w:b/>
          <w:bCs/>
        </w:rPr>
      </w:pPr>
      <w:bookmarkStart w:id="52" w:name="_Toc494450615"/>
      <w:r w:rsidRPr="007771BA">
        <w:rPr>
          <w:b/>
          <w:bCs/>
        </w:rPr>
        <w:t>Estimaciones del gasto por Finalidad y Función</w:t>
      </w:r>
      <w:bookmarkEnd w:id="52"/>
    </w:p>
    <w:p w:rsidR="00F80262" w:rsidRDefault="00F80262" w:rsidP="00963F63">
      <w:pPr>
        <w:jc w:val="both"/>
        <w:rPr>
          <w:lang w:val="es-ES_tradnl"/>
        </w:rPr>
      </w:pPr>
    </w:p>
    <w:p w:rsidR="00963F63" w:rsidRDefault="00227905" w:rsidP="00963F63">
      <w:pPr>
        <w:jc w:val="both"/>
        <w:rPr>
          <w:lang w:val="es-ES_tradnl"/>
        </w:rPr>
      </w:pPr>
      <w:r w:rsidRPr="00227905">
        <w:rPr>
          <w:lang w:val="es-ES_tradnl"/>
        </w:rPr>
        <w:t>Las cifras del cierre estimado 2017 se definieron en función de la capacidad de ejecución que las instituciones mostraron durante el ejercicio fiscal 2016, privilegiando el pago de remuneraciones e insumos críticos utilizados en la prestación de los servicios públicos, así como los aportes constitucionales y que por leyes específicas que se trasladan a entidades descentralizadas, autónomas, Consejos Departamentales de Desarrollo y gobiernos locales, principalmente. Por tal motivo, el cierre estimado por finalidad y función tiene relación directa con las actividades que desarrolla cada institución pública de conformidad con la Ley del Organismo Ejecutivo o la Ley Orgánica de la entidad que corresponda, por lo que se presentan las cifras que a continuación se indican</w:t>
      </w:r>
      <w:r w:rsidR="00963F63" w:rsidRPr="00227905">
        <w:rPr>
          <w:lang w:val="es-ES_tradnl"/>
        </w:rPr>
        <w:t>:</w:t>
      </w:r>
    </w:p>
    <w:p w:rsidR="00F80262" w:rsidRDefault="00F80262" w:rsidP="00963F63">
      <w:pPr>
        <w:jc w:val="both"/>
        <w:rPr>
          <w:lang w:val="es-ES_tradnl"/>
        </w:rPr>
      </w:pPr>
    </w:p>
    <w:p w:rsidR="00BB1D22" w:rsidRPr="0088577C" w:rsidRDefault="00BB1D22" w:rsidP="00BB1D22">
      <w:pPr>
        <w:jc w:val="center"/>
        <w:rPr>
          <w:b/>
          <w:sz w:val="22"/>
          <w:lang w:val="es-MX"/>
        </w:rPr>
      </w:pPr>
      <w:r w:rsidRPr="0088577C">
        <w:rPr>
          <w:b/>
          <w:sz w:val="22"/>
          <w:lang w:val="es-MX"/>
        </w:rPr>
        <w:t xml:space="preserve">Cuadro </w:t>
      </w:r>
      <w:r w:rsidR="00F80262">
        <w:rPr>
          <w:b/>
          <w:sz w:val="22"/>
          <w:lang w:val="es-MX"/>
        </w:rPr>
        <w:t>2</w:t>
      </w:r>
      <w:r w:rsidR="00910F6F">
        <w:rPr>
          <w:b/>
          <w:sz w:val="22"/>
          <w:lang w:val="es-MX"/>
        </w:rPr>
        <w:t>1</w:t>
      </w:r>
    </w:p>
    <w:p w:rsidR="00BB1D22" w:rsidRPr="0088577C" w:rsidRDefault="00BB1D22" w:rsidP="00BB1D22">
      <w:pPr>
        <w:jc w:val="center"/>
        <w:rPr>
          <w:b/>
          <w:sz w:val="22"/>
          <w:lang w:val="es-MX"/>
        </w:rPr>
      </w:pPr>
      <w:r w:rsidRPr="0088577C">
        <w:rPr>
          <w:b/>
          <w:sz w:val="22"/>
          <w:lang w:val="es-MX"/>
        </w:rPr>
        <w:t>Estimación de Cierre por Finalidad y Función</w:t>
      </w:r>
    </w:p>
    <w:p w:rsidR="00BB1D22" w:rsidRPr="0088577C" w:rsidRDefault="00BB1D22" w:rsidP="00BB1D22">
      <w:pPr>
        <w:jc w:val="center"/>
        <w:rPr>
          <w:b/>
          <w:sz w:val="22"/>
          <w:lang w:val="es-MX"/>
        </w:rPr>
      </w:pPr>
      <w:r w:rsidRPr="0088577C">
        <w:rPr>
          <w:b/>
          <w:sz w:val="22"/>
          <w:lang w:val="es-MX"/>
        </w:rPr>
        <w:t>Ejercicio Fiscal 2017</w:t>
      </w:r>
    </w:p>
    <w:p w:rsidR="00BB1D22" w:rsidRDefault="00BB1D22" w:rsidP="00BB1D22">
      <w:pPr>
        <w:jc w:val="center"/>
        <w:rPr>
          <w:b/>
          <w:sz w:val="22"/>
          <w:lang w:val="es-MX"/>
        </w:rPr>
      </w:pPr>
      <w:r w:rsidRPr="0088577C">
        <w:rPr>
          <w:b/>
          <w:sz w:val="22"/>
          <w:lang w:val="es-MX"/>
        </w:rPr>
        <w:t>(Cifras en Millones de Quetzales)</w:t>
      </w:r>
    </w:p>
    <w:tbl>
      <w:tblPr>
        <w:tblW w:w="9400" w:type="dxa"/>
        <w:tblInd w:w="55" w:type="dxa"/>
        <w:tblCellMar>
          <w:left w:w="70" w:type="dxa"/>
          <w:right w:w="70" w:type="dxa"/>
        </w:tblCellMar>
        <w:tblLook w:val="04A0" w:firstRow="1" w:lastRow="0" w:firstColumn="1" w:lastColumn="0" w:noHBand="0" w:noVBand="1"/>
      </w:tblPr>
      <w:tblGrid>
        <w:gridCol w:w="5680"/>
        <w:gridCol w:w="1241"/>
        <w:gridCol w:w="1239"/>
        <w:gridCol w:w="1240"/>
      </w:tblGrid>
      <w:tr w:rsidR="00AD154B" w:rsidRPr="00AD154B" w:rsidTr="00AD154B">
        <w:trPr>
          <w:trHeight w:val="315"/>
        </w:trPr>
        <w:tc>
          <w:tcPr>
            <w:tcW w:w="568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Descripción</w:t>
            </w:r>
          </w:p>
        </w:tc>
        <w:tc>
          <w:tcPr>
            <w:tcW w:w="2480"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Presupuesto</w:t>
            </w:r>
          </w:p>
        </w:tc>
        <w:tc>
          <w:tcPr>
            <w:tcW w:w="1240" w:type="dxa"/>
            <w:vMerge w:val="restart"/>
            <w:tcBorders>
              <w:top w:val="single" w:sz="8" w:space="0" w:color="auto"/>
              <w:left w:val="nil"/>
              <w:bottom w:val="single" w:sz="8" w:space="0" w:color="000000"/>
              <w:right w:val="single" w:sz="8" w:space="0" w:color="auto"/>
            </w:tcBorders>
            <w:shd w:val="clear" w:color="000000" w:fill="8DB4E2"/>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Cierre Estimado</w:t>
            </w:r>
          </w:p>
        </w:tc>
      </w:tr>
      <w:tr w:rsidR="00AD154B" w:rsidRPr="00AD154B" w:rsidTr="00AD154B">
        <w:trPr>
          <w:trHeight w:val="315"/>
        </w:trPr>
        <w:tc>
          <w:tcPr>
            <w:tcW w:w="5680" w:type="dxa"/>
            <w:vMerge/>
            <w:tcBorders>
              <w:top w:val="single" w:sz="8" w:space="0" w:color="auto"/>
              <w:left w:val="single" w:sz="8" w:space="0" w:color="auto"/>
              <w:bottom w:val="single" w:sz="8" w:space="0" w:color="000000"/>
              <w:right w:val="single" w:sz="8" w:space="0" w:color="auto"/>
            </w:tcBorders>
            <w:vAlign w:val="center"/>
            <w:hideMark/>
          </w:tcPr>
          <w:p w:rsidR="00AD154B" w:rsidRPr="00AD154B" w:rsidRDefault="00AD154B" w:rsidP="00AD154B">
            <w:pPr>
              <w:rPr>
                <w:b/>
                <w:bCs/>
                <w:color w:val="000000"/>
                <w:sz w:val="20"/>
                <w:szCs w:val="20"/>
                <w:lang w:val="es-GT" w:eastAsia="es-GT"/>
              </w:rPr>
            </w:pPr>
          </w:p>
        </w:tc>
        <w:tc>
          <w:tcPr>
            <w:tcW w:w="1241" w:type="dxa"/>
            <w:tcBorders>
              <w:top w:val="nil"/>
              <w:left w:val="nil"/>
              <w:bottom w:val="single" w:sz="8" w:space="0" w:color="auto"/>
              <w:right w:val="single" w:sz="8" w:space="0" w:color="auto"/>
            </w:tcBorders>
            <w:shd w:val="clear" w:color="000000" w:fill="8DB4E2"/>
            <w:noWrap/>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Asignado</w:t>
            </w:r>
          </w:p>
        </w:tc>
        <w:tc>
          <w:tcPr>
            <w:tcW w:w="1239" w:type="dxa"/>
            <w:tcBorders>
              <w:top w:val="nil"/>
              <w:left w:val="nil"/>
              <w:bottom w:val="single" w:sz="8" w:space="0" w:color="auto"/>
              <w:right w:val="single" w:sz="8" w:space="0" w:color="auto"/>
            </w:tcBorders>
            <w:shd w:val="clear" w:color="000000" w:fill="8DB4E2"/>
            <w:noWrap/>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 xml:space="preserve">Vigente </w:t>
            </w:r>
          </w:p>
        </w:tc>
        <w:tc>
          <w:tcPr>
            <w:tcW w:w="1240" w:type="dxa"/>
            <w:vMerge/>
            <w:tcBorders>
              <w:top w:val="single" w:sz="8" w:space="0" w:color="auto"/>
              <w:left w:val="nil"/>
              <w:bottom w:val="single" w:sz="8" w:space="0" w:color="000000"/>
              <w:right w:val="single" w:sz="8" w:space="0" w:color="auto"/>
            </w:tcBorders>
            <w:vAlign w:val="center"/>
            <w:hideMark/>
          </w:tcPr>
          <w:p w:rsidR="00AD154B" w:rsidRPr="00AD154B" w:rsidRDefault="00AD154B" w:rsidP="00AD154B">
            <w:pPr>
              <w:rPr>
                <w:b/>
                <w:bCs/>
                <w:color w:val="000000"/>
                <w:sz w:val="20"/>
                <w:szCs w:val="20"/>
                <w:lang w:val="es-GT" w:eastAsia="es-GT"/>
              </w:rPr>
            </w:pP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 xml:space="preserve">Total </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76,989.50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77,384.20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72,922.90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SERVICIOS PUBLICOS GENERALES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5,172.70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5,203.90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5,062.90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Administración Legislativa, Ejecutiva y Asuntos Exteriores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1,527.40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1,542.30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1,479.60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Administración Fiscal, Monetaria y Servicios de Fiscalización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2,404.10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2,422.20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2,335.20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Generales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506.3</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505.7</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516.2</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Investigación y Desarrollo Relacionados con servicios públicos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1.5</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Públicos Generales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733.4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733.7</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731.9</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DEFENSA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1,346.40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1,386.80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1,401.80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Defensa Militar</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827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781.4</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770.5</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Defensa Civil</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104.3</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184.4</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225.5</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Ayuda Militar al Exterior</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84.7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84.5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82</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Defensa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330.4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336.5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323.8</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ORDEN PUBLICO Y SEGURIDAD CIUDADANA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10,126.50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10,184.50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8,861.60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de Policía y Seguridad Ciudadana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3,740.30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3,700.70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3,455.20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Administración de Justicia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4,409.90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4,411.20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3,735.30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Defensoría Pública Penal y de los Derechos Humanos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399.7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405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344.1</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Administración de Asuntos Penitenciarios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692.8</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682.8</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548.3</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Administración de Asuntos Migratorios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200.7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225.4</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146.4</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Investigación y Desarrollo Relacionados con el Orden Público</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95</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79.2</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Orden Público y Seguridad Ciudadana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588.1</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664.4</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553.1</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ATENCION A DESASTRES Y GESTION DE RIESGOS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492.5</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497.6</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489.3</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de Prevención y Control de Incendios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400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400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387.7</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Gestión para la Reducción de Riesgos a Desastres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92.3</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97.4</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101.4</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Atención a Desastres y Gestión de Riesgos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0.2</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0.2</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0.1</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ASUNTOS ECONÓMICOS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5,696.10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6,112.90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5,799.70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Asuntos Económicos, Comerciales y Laborales en General</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366.7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361</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378.2</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Agricultura, Producción Pecuaria, Silvicultura, Caza y Pesca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1,037.00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1,126.90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1,049.60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Combustibles y Energía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28.9</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328.6</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302.9</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Minería, Manufacturas y Construcción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22</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22.1</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20.3</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Transporte</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3,924.70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3,904.70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3,696.60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Comunicaciones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49.4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49.4</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50</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Otras Actividades Económicas y Financieras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110.3</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110.3</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103.8</w:t>
            </w:r>
          </w:p>
        </w:tc>
      </w:tr>
      <w:tr w:rsidR="00AD154B" w:rsidRPr="00AD154B" w:rsidTr="00AD154B">
        <w:trPr>
          <w:trHeight w:val="20"/>
        </w:trPr>
        <w:tc>
          <w:tcPr>
            <w:tcW w:w="568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Investigación y Desarrollo Relacionados con Asuntos Económicos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8.5</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8.8</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8.2</w:t>
            </w:r>
          </w:p>
        </w:tc>
      </w:tr>
      <w:tr w:rsidR="00AD154B" w:rsidRPr="00AD154B" w:rsidTr="00AD154B">
        <w:trPr>
          <w:trHeight w:val="20"/>
        </w:trPr>
        <w:tc>
          <w:tcPr>
            <w:tcW w:w="5680" w:type="dxa"/>
            <w:tcBorders>
              <w:top w:val="nil"/>
              <w:left w:val="single" w:sz="8" w:space="0" w:color="auto"/>
              <w:bottom w:val="single" w:sz="8" w:space="0" w:color="auto"/>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Asuntos económicos n.c.d</w:t>
            </w:r>
          </w:p>
        </w:tc>
        <w:tc>
          <w:tcPr>
            <w:tcW w:w="1241" w:type="dxa"/>
            <w:tcBorders>
              <w:top w:val="nil"/>
              <w:left w:val="nil"/>
              <w:bottom w:val="single" w:sz="8" w:space="0" w:color="auto"/>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148.6</w:t>
            </w:r>
          </w:p>
        </w:tc>
        <w:tc>
          <w:tcPr>
            <w:tcW w:w="1239" w:type="dxa"/>
            <w:tcBorders>
              <w:top w:val="nil"/>
              <w:left w:val="nil"/>
              <w:bottom w:val="single" w:sz="8" w:space="0" w:color="auto"/>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201.1</w:t>
            </w:r>
          </w:p>
        </w:tc>
        <w:tc>
          <w:tcPr>
            <w:tcW w:w="1240" w:type="dxa"/>
            <w:tcBorders>
              <w:top w:val="nil"/>
              <w:left w:val="nil"/>
              <w:bottom w:val="single" w:sz="8" w:space="0" w:color="auto"/>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190.1</w:t>
            </w:r>
          </w:p>
        </w:tc>
      </w:tr>
    </w:tbl>
    <w:p w:rsidR="00AD154B" w:rsidRDefault="00AD154B" w:rsidP="00BB1D22">
      <w:pPr>
        <w:jc w:val="center"/>
        <w:rPr>
          <w:b/>
          <w:sz w:val="22"/>
          <w:lang w:val="es-MX"/>
        </w:rPr>
      </w:pPr>
    </w:p>
    <w:p w:rsidR="00963F63" w:rsidRDefault="00963F63" w:rsidP="00B45652">
      <w:pPr>
        <w:rPr>
          <w:sz w:val="16"/>
          <w:lang w:val="es-MX"/>
        </w:rPr>
      </w:pPr>
    </w:p>
    <w:p w:rsidR="00AD154B" w:rsidRDefault="00AD154B">
      <w:pPr>
        <w:rPr>
          <w:lang w:val="es-ES_tradnl"/>
        </w:rPr>
      </w:pPr>
      <w:r>
        <w:rPr>
          <w:lang w:val="es-ES_tradnl"/>
        </w:rPr>
        <w:br w:type="page"/>
      </w:r>
    </w:p>
    <w:p w:rsidR="00AD154B" w:rsidRDefault="00AD154B" w:rsidP="00AD154B">
      <w:pPr>
        <w:jc w:val="center"/>
        <w:rPr>
          <w:b/>
          <w:sz w:val="22"/>
          <w:lang w:val="es-MX"/>
        </w:rPr>
      </w:pPr>
    </w:p>
    <w:tbl>
      <w:tblPr>
        <w:tblW w:w="9080" w:type="dxa"/>
        <w:tblInd w:w="55" w:type="dxa"/>
        <w:tblCellMar>
          <w:left w:w="70" w:type="dxa"/>
          <w:right w:w="70" w:type="dxa"/>
        </w:tblCellMar>
        <w:tblLook w:val="04A0" w:firstRow="1" w:lastRow="0" w:firstColumn="1" w:lastColumn="0" w:noHBand="0" w:noVBand="1"/>
      </w:tblPr>
      <w:tblGrid>
        <w:gridCol w:w="5360"/>
        <w:gridCol w:w="1241"/>
        <w:gridCol w:w="1239"/>
        <w:gridCol w:w="1240"/>
      </w:tblGrid>
      <w:tr w:rsidR="00AD154B" w:rsidRPr="00AD154B" w:rsidTr="00AD154B">
        <w:trPr>
          <w:trHeight w:val="227"/>
        </w:trPr>
        <w:tc>
          <w:tcPr>
            <w:tcW w:w="5360" w:type="dxa"/>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Descripción</w:t>
            </w:r>
          </w:p>
        </w:tc>
        <w:tc>
          <w:tcPr>
            <w:tcW w:w="2480" w:type="dxa"/>
            <w:gridSpan w:val="2"/>
            <w:tcBorders>
              <w:top w:val="single" w:sz="8" w:space="0" w:color="auto"/>
              <w:left w:val="nil"/>
              <w:bottom w:val="single" w:sz="8" w:space="0" w:color="auto"/>
              <w:right w:val="single" w:sz="8" w:space="0" w:color="000000"/>
            </w:tcBorders>
            <w:shd w:val="clear" w:color="000000" w:fill="8DB4E2"/>
            <w:noWrap/>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Presupuesto</w:t>
            </w:r>
          </w:p>
        </w:tc>
        <w:tc>
          <w:tcPr>
            <w:tcW w:w="1240" w:type="dxa"/>
            <w:vMerge w:val="restart"/>
            <w:tcBorders>
              <w:top w:val="single" w:sz="8" w:space="0" w:color="auto"/>
              <w:left w:val="nil"/>
              <w:bottom w:val="single" w:sz="8" w:space="0" w:color="000000"/>
              <w:right w:val="single" w:sz="8" w:space="0" w:color="auto"/>
            </w:tcBorders>
            <w:shd w:val="clear" w:color="000000" w:fill="8DB4E2"/>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Cierre Estimado</w:t>
            </w:r>
          </w:p>
        </w:tc>
      </w:tr>
      <w:tr w:rsidR="00AD154B" w:rsidRPr="00AD154B" w:rsidTr="00AD154B">
        <w:trPr>
          <w:trHeight w:val="227"/>
        </w:trPr>
        <w:tc>
          <w:tcPr>
            <w:tcW w:w="5360" w:type="dxa"/>
            <w:vMerge/>
            <w:tcBorders>
              <w:top w:val="single" w:sz="8" w:space="0" w:color="auto"/>
              <w:left w:val="single" w:sz="8" w:space="0" w:color="auto"/>
              <w:bottom w:val="single" w:sz="8" w:space="0" w:color="000000"/>
              <w:right w:val="single" w:sz="8" w:space="0" w:color="auto"/>
            </w:tcBorders>
            <w:vAlign w:val="center"/>
            <w:hideMark/>
          </w:tcPr>
          <w:p w:rsidR="00AD154B" w:rsidRPr="00AD154B" w:rsidRDefault="00AD154B" w:rsidP="00AD154B">
            <w:pPr>
              <w:rPr>
                <w:b/>
                <w:bCs/>
                <w:color w:val="000000"/>
                <w:sz w:val="20"/>
                <w:szCs w:val="20"/>
                <w:lang w:val="es-GT" w:eastAsia="es-GT"/>
              </w:rPr>
            </w:pPr>
          </w:p>
        </w:tc>
        <w:tc>
          <w:tcPr>
            <w:tcW w:w="1241" w:type="dxa"/>
            <w:tcBorders>
              <w:top w:val="nil"/>
              <w:left w:val="nil"/>
              <w:bottom w:val="single" w:sz="8" w:space="0" w:color="auto"/>
              <w:right w:val="single" w:sz="8" w:space="0" w:color="auto"/>
            </w:tcBorders>
            <w:shd w:val="clear" w:color="000000" w:fill="8DB4E2"/>
            <w:noWrap/>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Asignado</w:t>
            </w:r>
          </w:p>
        </w:tc>
        <w:tc>
          <w:tcPr>
            <w:tcW w:w="1239" w:type="dxa"/>
            <w:tcBorders>
              <w:top w:val="nil"/>
              <w:left w:val="nil"/>
              <w:bottom w:val="single" w:sz="8" w:space="0" w:color="auto"/>
              <w:right w:val="single" w:sz="8" w:space="0" w:color="auto"/>
            </w:tcBorders>
            <w:shd w:val="clear" w:color="000000" w:fill="8DB4E2"/>
            <w:noWrap/>
            <w:vAlign w:val="center"/>
            <w:hideMark/>
          </w:tcPr>
          <w:p w:rsidR="00AD154B" w:rsidRPr="00AD154B" w:rsidRDefault="00AD154B" w:rsidP="00AD154B">
            <w:pPr>
              <w:jc w:val="center"/>
              <w:rPr>
                <w:b/>
                <w:bCs/>
                <w:color w:val="000000"/>
                <w:sz w:val="20"/>
                <w:szCs w:val="20"/>
                <w:lang w:val="es-GT" w:eastAsia="es-GT"/>
              </w:rPr>
            </w:pPr>
            <w:r w:rsidRPr="00AD154B">
              <w:rPr>
                <w:b/>
                <w:bCs/>
                <w:color w:val="000000"/>
                <w:sz w:val="20"/>
                <w:szCs w:val="20"/>
                <w:lang w:val="es-GT" w:eastAsia="es-GT"/>
              </w:rPr>
              <w:t xml:space="preserve"> Vigente </w:t>
            </w:r>
          </w:p>
        </w:tc>
        <w:tc>
          <w:tcPr>
            <w:tcW w:w="1240" w:type="dxa"/>
            <w:vMerge/>
            <w:tcBorders>
              <w:top w:val="single" w:sz="8" w:space="0" w:color="auto"/>
              <w:left w:val="nil"/>
              <w:bottom w:val="single" w:sz="8" w:space="0" w:color="000000"/>
              <w:right w:val="single" w:sz="8" w:space="0" w:color="auto"/>
            </w:tcBorders>
            <w:vAlign w:val="center"/>
            <w:hideMark/>
          </w:tcPr>
          <w:p w:rsidR="00AD154B" w:rsidRPr="00AD154B" w:rsidRDefault="00AD154B" w:rsidP="00AD154B">
            <w:pPr>
              <w:rPr>
                <w:b/>
                <w:bCs/>
                <w:color w:val="000000"/>
                <w:sz w:val="20"/>
                <w:szCs w:val="20"/>
                <w:lang w:val="es-GT" w:eastAsia="es-GT"/>
              </w:rPr>
            </w:pP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PROTECCIÓN AMBIENTAL</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1,279.00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1,282.50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1,230.30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Ordenación de Desechos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19.4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19</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21.9</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Ordenación de Aguas Residuales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484.1</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485.2</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473.6</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Reducción de la Contaminación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61.4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65.3</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70.2</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Protección de la Diversidad Biológica y del Paisaje</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604.7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604.7</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576.6</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Protección Ambiental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109.4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108.3</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88</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URBANIZACIÓN Y SERVICIOS COMUNITARIOS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7,925.10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7,945.70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7,517.50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Urbanización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5.1</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Desarrollo Comunitario</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7,272.70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7,290.30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6,859.40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Abastecimiento de Agua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646.7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649.7</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647.7</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Urbanización y Servicios Comunitarios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5.7</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5.7</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5.3</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SALUD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6,897.50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6,887.20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6,493.70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para Pacientes Externos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46.7</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Hospitalarios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1,748.00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1,796.10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1,623.20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de Salud Pública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4,483.60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4,381.60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4,209.70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Salud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615.9</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659.5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614.1</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ACTIVIDADES DEPORTIVAS, RECREATIVAS, CULTURA Y RELIGIÓN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1,159.10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1,158.10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1,085.70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Deportivos y de Recreación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540.4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539.8</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505.4</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Culturales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318.9</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317.1</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300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de Radio, Televisión y Servicios Editoriales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55</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51.5</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Actividades Deportivas, Recreativas, Cultura y Religión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244.8</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246.2</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228.8</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EDUCACIÓN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17,255.00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17,229.40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16,619.60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Educación Preprimaria y Primaria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9,669.10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9,660.30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9,427.90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Educación Media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1,942.80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1,916.50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1,829.80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Educación Universitaria o Superior</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1,785.90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1,785.40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1,716.00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Educación no Atribuible a Ningún Nivel Escolarizado</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230.8</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220.4</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230.7</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Servicios Auxiliares de la Educación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2,607.00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2,650.80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2,494.10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Investigación y Desarrollo Relacionados con la Educación</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33.5</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33.5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31.5</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Educación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985.9</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962.6</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889.6</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PROTECCIÓN SOCIAL</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7,543.70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7,636.90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7,284.40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Enfermedad, Funcionamiento Corporal y Discapacidad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734.6</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732.7</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685.7</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Edad  Avanzada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5,385.70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5,399.90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5,162.40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Familia e Hijos</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759.5</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815.6</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766.2</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Vivienda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160.6</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166.9</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152.8</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Otros Riesgos de Exclusión Social</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164.4</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177.5</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181.1</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Protección Social n.c.d</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338.9</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344.3</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336.2</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rPr>
                <w:b/>
                <w:bCs/>
                <w:color w:val="000000"/>
                <w:sz w:val="20"/>
                <w:szCs w:val="20"/>
                <w:lang w:val="es-GT" w:eastAsia="es-GT"/>
              </w:rPr>
            </w:pPr>
            <w:r w:rsidRPr="00AD154B">
              <w:rPr>
                <w:b/>
                <w:bCs/>
                <w:color w:val="000000"/>
                <w:sz w:val="20"/>
                <w:szCs w:val="20"/>
                <w:lang w:val="es-GT" w:eastAsia="es-GT"/>
              </w:rPr>
              <w:t>TRANSACCIONES DE LA DEUDA PÚBLICA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12,096.10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11,858.80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b/>
                <w:bCs/>
                <w:color w:val="000000"/>
                <w:sz w:val="20"/>
                <w:szCs w:val="20"/>
                <w:lang w:val="es-GT" w:eastAsia="es-GT"/>
              </w:rPr>
            </w:pPr>
            <w:r w:rsidRPr="00AD154B">
              <w:rPr>
                <w:b/>
                <w:bCs/>
                <w:color w:val="000000"/>
                <w:sz w:val="20"/>
                <w:szCs w:val="20"/>
                <w:lang w:val="es-GT" w:eastAsia="es-GT"/>
              </w:rPr>
              <w:t>11,076.40</w:t>
            </w:r>
          </w:p>
        </w:tc>
      </w:tr>
      <w:tr w:rsidR="00AD154B" w:rsidRPr="00AD154B" w:rsidTr="00AD154B">
        <w:trPr>
          <w:trHeight w:val="227"/>
        </w:trPr>
        <w:tc>
          <w:tcPr>
            <w:tcW w:w="5360" w:type="dxa"/>
            <w:tcBorders>
              <w:top w:val="nil"/>
              <w:left w:val="single" w:sz="8" w:space="0" w:color="auto"/>
              <w:bottom w:val="nil"/>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Intereses y Comisiones de la Deuda Pública</w:t>
            </w:r>
          </w:p>
        </w:tc>
        <w:tc>
          <w:tcPr>
            <w:tcW w:w="1241"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7,540.30</w:t>
            </w:r>
          </w:p>
        </w:tc>
        <w:tc>
          <w:tcPr>
            <w:tcW w:w="1239"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8,076.10</w:t>
            </w:r>
          </w:p>
        </w:tc>
        <w:tc>
          <w:tcPr>
            <w:tcW w:w="1240" w:type="dxa"/>
            <w:tcBorders>
              <w:top w:val="nil"/>
              <w:left w:val="nil"/>
              <w:bottom w:val="nil"/>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7,796.80</w:t>
            </w:r>
          </w:p>
        </w:tc>
      </w:tr>
      <w:tr w:rsidR="00AD154B" w:rsidRPr="00AD154B" w:rsidTr="00AD154B">
        <w:trPr>
          <w:trHeight w:val="227"/>
        </w:trPr>
        <w:tc>
          <w:tcPr>
            <w:tcW w:w="5360" w:type="dxa"/>
            <w:tcBorders>
              <w:top w:val="nil"/>
              <w:left w:val="single" w:sz="8" w:space="0" w:color="auto"/>
              <w:bottom w:val="single" w:sz="8" w:space="0" w:color="auto"/>
              <w:right w:val="single" w:sz="8" w:space="0" w:color="auto"/>
            </w:tcBorders>
            <w:shd w:val="clear" w:color="000000" w:fill="FFFFFF"/>
            <w:noWrap/>
            <w:vAlign w:val="center"/>
            <w:hideMark/>
          </w:tcPr>
          <w:p w:rsidR="00AD154B" w:rsidRPr="00AD154B" w:rsidRDefault="00AD154B" w:rsidP="00AD154B">
            <w:pPr>
              <w:ind w:firstLineChars="200" w:firstLine="400"/>
              <w:rPr>
                <w:color w:val="000000"/>
                <w:sz w:val="20"/>
                <w:szCs w:val="20"/>
                <w:lang w:val="es-GT" w:eastAsia="es-GT"/>
              </w:rPr>
            </w:pPr>
            <w:r w:rsidRPr="00AD154B">
              <w:rPr>
                <w:color w:val="000000"/>
                <w:sz w:val="20"/>
                <w:szCs w:val="20"/>
                <w:lang w:val="es-GT" w:eastAsia="es-GT"/>
              </w:rPr>
              <w:t>Amortizaciones de la Deuda Pública</w:t>
            </w:r>
          </w:p>
        </w:tc>
        <w:tc>
          <w:tcPr>
            <w:tcW w:w="1241" w:type="dxa"/>
            <w:tcBorders>
              <w:top w:val="nil"/>
              <w:left w:val="nil"/>
              <w:bottom w:val="single" w:sz="8" w:space="0" w:color="auto"/>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4,555.80</w:t>
            </w:r>
          </w:p>
        </w:tc>
        <w:tc>
          <w:tcPr>
            <w:tcW w:w="1239" w:type="dxa"/>
            <w:tcBorders>
              <w:top w:val="nil"/>
              <w:left w:val="nil"/>
              <w:bottom w:val="single" w:sz="8" w:space="0" w:color="auto"/>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3,782.70</w:t>
            </w:r>
          </w:p>
        </w:tc>
        <w:tc>
          <w:tcPr>
            <w:tcW w:w="1240" w:type="dxa"/>
            <w:tcBorders>
              <w:top w:val="nil"/>
              <w:left w:val="nil"/>
              <w:bottom w:val="single" w:sz="8" w:space="0" w:color="auto"/>
              <w:right w:val="single" w:sz="8" w:space="0" w:color="auto"/>
            </w:tcBorders>
            <w:shd w:val="clear" w:color="000000" w:fill="FFFFFF"/>
            <w:noWrap/>
            <w:vAlign w:val="center"/>
            <w:hideMark/>
          </w:tcPr>
          <w:p w:rsidR="00AD154B" w:rsidRPr="00AD154B" w:rsidRDefault="00AD154B" w:rsidP="00AD154B">
            <w:pPr>
              <w:jc w:val="right"/>
              <w:rPr>
                <w:color w:val="000000"/>
                <w:sz w:val="20"/>
                <w:szCs w:val="20"/>
                <w:lang w:val="es-GT" w:eastAsia="es-GT"/>
              </w:rPr>
            </w:pPr>
            <w:r w:rsidRPr="00AD154B">
              <w:rPr>
                <w:color w:val="000000"/>
                <w:sz w:val="20"/>
                <w:szCs w:val="20"/>
                <w:lang w:val="es-GT" w:eastAsia="es-GT"/>
              </w:rPr>
              <w:t>3,279.60</w:t>
            </w:r>
          </w:p>
        </w:tc>
      </w:tr>
    </w:tbl>
    <w:p w:rsidR="00AD154B" w:rsidRDefault="00AD154B" w:rsidP="00AD154B">
      <w:pPr>
        <w:rPr>
          <w:sz w:val="16"/>
          <w:lang w:val="es-MX"/>
        </w:rPr>
      </w:pPr>
      <w:r w:rsidRPr="007A10EF">
        <w:rPr>
          <w:sz w:val="16"/>
          <w:lang w:val="es-MX"/>
        </w:rPr>
        <w:t>Fuente: Ministerio de Finanzas Públicas con base al SICOIN.</w:t>
      </w:r>
    </w:p>
    <w:p w:rsidR="00AD154B" w:rsidRDefault="00AD154B">
      <w:pPr>
        <w:rPr>
          <w:lang w:val="es-ES_tradnl"/>
        </w:rPr>
      </w:pPr>
    </w:p>
    <w:p w:rsidR="00AD154B" w:rsidRDefault="00AD154B">
      <w:pPr>
        <w:rPr>
          <w:lang w:val="es-ES_tradnl"/>
        </w:rPr>
      </w:pPr>
      <w:r>
        <w:rPr>
          <w:lang w:val="es-ES_tradnl"/>
        </w:rPr>
        <w:br w:type="page"/>
      </w:r>
    </w:p>
    <w:p w:rsidR="00460A54" w:rsidRDefault="00460A54" w:rsidP="00460A54">
      <w:pPr>
        <w:jc w:val="both"/>
        <w:rPr>
          <w:lang w:val="es-ES_tradnl"/>
        </w:rPr>
      </w:pPr>
      <w:r w:rsidRPr="00460A54">
        <w:rPr>
          <w:lang w:val="es-ES_tradnl"/>
        </w:rPr>
        <w:lastRenderedPageBreak/>
        <w:t>Las ampliaciones presupuestarias aprobadas en el presente ejercicio fiscal que ascienden al monto de Q.394.8 millones, básicamente fueron destinadas a fortalecer la finalidad “Asuntos Económicos” en un 86.1%, en la que destaca la función “Combustibles y energía” por la ampliación presupuestaria a favor del Instituto Nacional de Electrificación (INDE). Asimismo, la función “Protección Social” tuvo un incremento de 7.2% por las ampliaciones autorizadas a la Secretaría de Seguridad Alimentaria y Nutricional de la Presidencia (SESAN) y Secretaría de la Instancia Coordinadora de la Modernización del Sector Justicia que apoyan los temas de seguridad alimentaria y seguridad y justicia, respectivamente.</w:t>
      </w:r>
    </w:p>
    <w:p w:rsidR="00460A54" w:rsidRPr="00460A54" w:rsidRDefault="00460A54" w:rsidP="00460A54">
      <w:pPr>
        <w:jc w:val="both"/>
        <w:rPr>
          <w:lang w:val="es-ES_tradnl"/>
        </w:rPr>
      </w:pPr>
    </w:p>
    <w:p w:rsidR="00460A54" w:rsidRDefault="00460A54" w:rsidP="00460A54">
      <w:pPr>
        <w:jc w:val="both"/>
        <w:rPr>
          <w:lang w:val="es-ES_tradnl"/>
        </w:rPr>
      </w:pPr>
      <w:r w:rsidRPr="00460A54">
        <w:rPr>
          <w:lang w:val="es-ES_tradnl"/>
        </w:rPr>
        <w:t>Además, dentro del cierre estimado de 2017 destacan las finalidades de “Educación” y “Salud” con el 96.3% y 94.1% de ejecución, respectivamente, con relación a su presupuesto aprobado porque han sido considerados sectores prioritarios para la actual administración de gobierno. También la finalidad “Protección Social” tiene un alto grado de ejecución conforme al cierre estimado (96.6% de su presupuesto aprobado) con énfasis en las funciones de Enfermedad, funcionamiento corporal y discapacidad; Edad avanzada; Familia e hijos; y, Otros riesgos de exclusión social, siempre en correspondencia con el apoyo prioritario para los programas incluidos en el gasto social.</w:t>
      </w:r>
    </w:p>
    <w:p w:rsidR="00460A54" w:rsidRPr="00460A54" w:rsidRDefault="00460A54" w:rsidP="00460A54">
      <w:pPr>
        <w:jc w:val="both"/>
        <w:rPr>
          <w:lang w:val="es-ES_tradnl"/>
        </w:rPr>
      </w:pPr>
    </w:p>
    <w:p w:rsidR="00460A54" w:rsidRDefault="00460A54" w:rsidP="00460A54">
      <w:pPr>
        <w:jc w:val="both"/>
        <w:rPr>
          <w:lang w:val="es-ES_tradnl"/>
        </w:rPr>
      </w:pPr>
      <w:r w:rsidRPr="00460A54">
        <w:rPr>
          <w:lang w:val="es-ES_tradnl"/>
        </w:rPr>
        <w:t>Además, considerando que uno de los ejes de la Política General de Gobierno 2016-2020 es “Ambiente y Recursos Naturales”, se considera que dentro del cierre estimado 2017 las finalidades “Atención a Desastres y Gestión de Riesgos” y “Protección Ambiental” podrían representar el 99.4% y 96.2% de ejecución con relación a su presupuesto aprobado, desarrollando acciones encaminadas a la conservación del bosque, protección de las fuentes de agua y gestión integrada de cuencas y de desechos sólidos, principalmente en las áreas protegidas del país.</w:t>
      </w:r>
    </w:p>
    <w:p w:rsidR="00460A54" w:rsidRPr="00460A54" w:rsidRDefault="00460A54" w:rsidP="00460A54">
      <w:pPr>
        <w:jc w:val="both"/>
        <w:rPr>
          <w:lang w:val="es-ES_tradnl"/>
        </w:rPr>
      </w:pPr>
    </w:p>
    <w:p w:rsidR="00460A54" w:rsidRDefault="00460A54" w:rsidP="00460A54">
      <w:pPr>
        <w:jc w:val="both"/>
        <w:rPr>
          <w:lang w:val="es-ES_tradnl"/>
        </w:rPr>
      </w:pPr>
      <w:r w:rsidRPr="00460A54">
        <w:rPr>
          <w:lang w:val="es-ES_tradnl"/>
        </w:rPr>
        <w:t xml:space="preserve">Por último, considerando los compromisos y programa de pago de los servicios de la deuda pública, se prevé que dentro del cierre estimado 2017 la finalidad “Transacciones de la Deuda Pública” pueda reflejar una ejecución del 91.6% respecto de su presupuesto aprobado, congruente con la política de sostenibilidad </w:t>
      </w:r>
      <w:r w:rsidR="001950EB">
        <w:rPr>
          <w:lang w:val="es-ES_tradnl"/>
        </w:rPr>
        <w:t xml:space="preserve">y manejo prudente </w:t>
      </w:r>
      <w:r w:rsidRPr="00460A54">
        <w:rPr>
          <w:lang w:val="es-ES_tradnl"/>
        </w:rPr>
        <w:t>de la deuda pública.</w:t>
      </w:r>
    </w:p>
    <w:p w:rsidR="00F80262" w:rsidRDefault="00F80262">
      <w:pPr>
        <w:rPr>
          <w:b/>
          <w:highlight w:val="yellow"/>
          <w:lang w:val="es-ES_tradnl"/>
        </w:rPr>
      </w:pPr>
      <w:r>
        <w:rPr>
          <w:b/>
          <w:highlight w:val="yellow"/>
          <w:lang w:val="es-ES_tradnl"/>
        </w:rPr>
        <w:br w:type="page"/>
      </w:r>
    </w:p>
    <w:p w:rsidR="00963F63" w:rsidRDefault="00963F63" w:rsidP="00460A54">
      <w:pPr>
        <w:jc w:val="both"/>
        <w:rPr>
          <w:b/>
          <w:highlight w:val="yellow"/>
          <w:lang w:val="es-ES_tradnl"/>
        </w:rPr>
      </w:pPr>
    </w:p>
    <w:p w:rsidR="00460A54" w:rsidRPr="00836931" w:rsidRDefault="00460A54" w:rsidP="00D16A2D">
      <w:pPr>
        <w:pStyle w:val="Ttulo1"/>
        <w:numPr>
          <w:ilvl w:val="0"/>
          <w:numId w:val="8"/>
        </w:numPr>
        <w:suppressAutoHyphens/>
        <w:ind w:left="709"/>
      </w:pPr>
      <w:bookmarkStart w:id="53" w:name="_Toc494450616"/>
      <w:r w:rsidRPr="00836931">
        <w:t>Aspectos Relevantes enero - junio de 2017</w:t>
      </w:r>
      <w:bookmarkEnd w:id="53"/>
    </w:p>
    <w:p w:rsidR="00460A54" w:rsidRPr="00C87438" w:rsidRDefault="00460A54" w:rsidP="00460A54">
      <w:pPr>
        <w:jc w:val="both"/>
        <w:rPr>
          <w:sz w:val="12"/>
          <w:highlight w:val="yellow"/>
          <w:lang w:val="es-MX"/>
        </w:rPr>
      </w:pPr>
    </w:p>
    <w:p w:rsidR="00460A54" w:rsidRPr="00077B48" w:rsidRDefault="00460A54" w:rsidP="00460A54">
      <w:pPr>
        <w:rPr>
          <w:b/>
          <w:lang w:val="es-MX"/>
        </w:rPr>
      </w:pPr>
      <w:r w:rsidRPr="00077B48">
        <w:rPr>
          <w:b/>
          <w:lang w:val="es-MX"/>
        </w:rPr>
        <w:t>Logros de Transparencia Fiscal</w:t>
      </w:r>
    </w:p>
    <w:p w:rsidR="00460A54" w:rsidRPr="00077B48" w:rsidRDefault="00460A54" w:rsidP="00460A54">
      <w:pPr>
        <w:pStyle w:val="Prrafodelista"/>
        <w:ind w:left="284"/>
        <w:jc w:val="both"/>
        <w:rPr>
          <w:b/>
        </w:rPr>
      </w:pPr>
    </w:p>
    <w:p w:rsidR="00460A54" w:rsidRDefault="00460A54" w:rsidP="00460A54">
      <w:pPr>
        <w:jc w:val="both"/>
        <w:rPr>
          <w:rFonts w:eastAsia="Calibri"/>
          <w:lang w:val="es-MX"/>
        </w:rPr>
      </w:pPr>
      <w:r w:rsidRPr="00077B48">
        <w:rPr>
          <w:rFonts w:eastAsia="Calibri"/>
          <w:lang w:val="es-MX"/>
        </w:rPr>
        <w:t xml:space="preserve">A partir de 2016 la Presidencia de la República </w:t>
      </w:r>
      <w:r>
        <w:rPr>
          <w:rFonts w:eastAsia="Calibri"/>
          <w:lang w:val="es-MX"/>
        </w:rPr>
        <w:t>designa</w:t>
      </w:r>
      <w:r w:rsidRPr="00077B48">
        <w:rPr>
          <w:rFonts w:eastAsia="Calibri"/>
          <w:lang w:val="es-MX"/>
        </w:rPr>
        <w:t xml:space="preserve"> un punto de contacto entre el Gobierno de Guatemala y la Alianza para el Gobierno Abierto (OGP por sus siglas en inglés), para reactivar el tema de Gobierno Abierto </w:t>
      </w:r>
      <w:r>
        <w:rPr>
          <w:rFonts w:eastAsia="Calibri"/>
          <w:lang w:val="es-MX"/>
        </w:rPr>
        <w:t>que coordinaba la Comisión Presidencial de Transparencia y Gobierno Electrónico (COPRET). Con la participación de varias organizaciones de sociedad civil y entidades públicas se llevó a cabo el proceso de co-creación y validación del Tercer Plan de Acción Nacional de Gobierno Abierto 2016-2018, integrado por 22 compromisos que se agruparon en 5 ejes temáticos:</w:t>
      </w:r>
    </w:p>
    <w:p w:rsidR="00460A54" w:rsidRDefault="00460A54" w:rsidP="00460A54">
      <w:pPr>
        <w:jc w:val="both"/>
        <w:rPr>
          <w:rFonts w:eastAsia="Calibri"/>
          <w:lang w:val="es-MX"/>
        </w:rPr>
      </w:pPr>
    </w:p>
    <w:p w:rsidR="00460A54" w:rsidRPr="00077B48" w:rsidRDefault="00460A54" w:rsidP="00D16A2D">
      <w:pPr>
        <w:numPr>
          <w:ilvl w:val="0"/>
          <w:numId w:val="6"/>
        </w:numPr>
        <w:spacing w:after="200"/>
        <w:contextualSpacing/>
        <w:jc w:val="both"/>
        <w:rPr>
          <w:rFonts w:eastAsia="Calibri"/>
          <w:lang w:val="es-MX"/>
        </w:rPr>
      </w:pPr>
      <w:r w:rsidRPr="00077B48">
        <w:rPr>
          <w:rFonts w:eastAsia="Calibri"/>
          <w:lang w:val="es-MX"/>
        </w:rPr>
        <w:t xml:space="preserve">Acceso a la </w:t>
      </w:r>
      <w:r>
        <w:rPr>
          <w:rFonts w:eastAsia="Calibri"/>
          <w:lang w:val="es-MX"/>
        </w:rPr>
        <w:t>I</w:t>
      </w:r>
      <w:r w:rsidRPr="00077B48">
        <w:rPr>
          <w:rFonts w:eastAsia="Calibri"/>
          <w:lang w:val="es-MX"/>
        </w:rPr>
        <w:t xml:space="preserve">nformación </w:t>
      </w:r>
      <w:r>
        <w:rPr>
          <w:rFonts w:eastAsia="Calibri"/>
          <w:lang w:val="es-MX"/>
        </w:rPr>
        <w:t>P</w:t>
      </w:r>
      <w:r w:rsidRPr="00077B48">
        <w:rPr>
          <w:rFonts w:eastAsia="Calibri"/>
          <w:lang w:val="es-MX"/>
        </w:rPr>
        <w:t xml:space="preserve">ública y </w:t>
      </w:r>
      <w:r>
        <w:rPr>
          <w:rFonts w:eastAsia="Calibri"/>
          <w:lang w:val="es-MX"/>
        </w:rPr>
        <w:t>A</w:t>
      </w:r>
      <w:r w:rsidRPr="00077B48">
        <w:rPr>
          <w:rFonts w:eastAsia="Calibri"/>
          <w:lang w:val="es-MX"/>
        </w:rPr>
        <w:t xml:space="preserve">rchivos </w:t>
      </w:r>
      <w:r>
        <w:rPr>
          <w:rFonts w:eastAsia="Calibri"/>
          <w:lang w:val="es-MX"/>
        </w:rPr>
        <w:t>I</w:t>
      </w:r>
      <w:r w:rsidRPr="00077B48">
        <w:rPr>
          <w:rFonts w:eastAsia="Calibri"/>
          <w:lang w:val="es-MX"/>
        </w:rPr>
        <w:t>nstitucionales</w:t>
      </w:r>
    </w:p>
    <w:p w:rsidR="00460A54" w:rsidRPr="00077B48" w:rsidRDefault="00460A54" w:rsidP="00D16A2D">
      <w:pPr>
        <w:numPr>
          <w:ilvl w:val="0"/>
          <w:numId w:val="6"/>
        </w:numPr>
        <w:spacing w:after="200"/>
        <w:contextualSpacing/>
        <w:jc w:val="both"/>
        <w:rPr>
          <w:rFonts w:eastAsia="Calibri"/>
          <w:lang w:val="es-MX"/>
        </w:rPr>
      </w:pPr>
      <w:r w:rsidRPr="00077B48">
        <w:rPr>
          <w:rFonts w:eastAsia="Calibri"/>
          <w:lang w:val="es-MX"/>
        </w:rPr>
        <w:t xml:space="preserve">Participación </w:t>
      </w:r>
      <w:r>
        <w:rPr>
          <w:rFonts w:eastAsia="Calibri"/>
          <w:lang w:val="es-MX"/>
        </w:rPr>
        <w:t>C</w:t>
      </w:r>
      <w:r w:rsidRPr="00077B48">
        <w:rPr>
          <w:rFonts w:eastAsia="Calibri"/>
          <w:lang w:val="es-MX"/>
        </w:rPr>
        <w:t>iudadana</w:t>
      </w:r>
    </w:p>
    <w:p w:rsidR="00460A54" w:rsidRPr="00077B48" w:rsidRDefault="00460A54" w:rsidP="00D16A2D">
      <w:pPr>
        <w:numPr>
          <w:ilvl w:val="0"/>
          <w:numId w:val="6"/>
        </w:numPr>
        <w:spacing w:after="200"/>
        <w:contextualSpacing/>
        <w:jc w:val="both"/>
        <w:rPr>
          <w:rFonts w:eastAsia="Calibri"/>
          <w:lang w:val="es-MX"/>
        </w:rPr>
      </w:pPr>
      <w:r w:rsidRPr="00077B48">
        <w:rPr>
          <w:rFonts w:eastAsia="Calibri"/>
          <w:lang w:val="es-MX"/>
        </w:rPr>
        <w:t xml:space="preserve">Innovación </w:t>
      </w:r>
      <w:r>
        <w:rPr>
          <w:rFonts w:eastAsia="Calibri"/>
          <w:lang w:val="es-MX"/>
        </w:rPr>
        <w:t>T</w:t>
      </w:r>
      <w:r w:rsidRPr="00077B48">
        <w:rPr>
          <w:rFonts w:eastAsia="Calibri"/>
          <w:lang w:val="es-MX"/>
        </w:rPr>
        <w:t>ecnológica</w:t>
      </w:r>
    </w:p>
    <w:p w:rsidR="00460A54" w:rsidRPr="00077B48" w:rsidRDefault="00460A54" w:rsidP="00D16A2D">
      <w:pPr>
        <w:numPr>
          <w:ilvl w:val="0"/>
          <w:numId w:val="6"/>
        </w:numPr>
        <w:spacing w:after="200"/>
        <w:contextualSpacing/>
        <w:jc w:val="both"/>
        <w:rPr>
          <w:rFonts w:eastAsia="Calibri"/>
          <w:lang w:val="es-MX"/>
        </w:rPr>
      </w:pPr>
      <w:r w:rsidRPr="00077B48">
        <w:rPr>
          <w:rFonts w:eastAsia="Calibri"/>
          <w:lang w:val="es-MX"/>
        </w:rPr>
        <w:t xml:space="preserve">Rendición de </w:t>
      </w:r>
      <w:r>
        <w:rPr>
          <w:rFonts w:eastAsia="Calibri"/>
          <w:lang w:val="es-MX"/>
        </w:rPr>
        <w:t>C</w:t>
      </w:r>
      <w:r w:rsidRPr="00077B48">
        <w:rPr>
          <w:rFonts w:eastAsia="Calibri"/>
          <w:lang w:val="es-MX"/>
        </w:rPr>
        <w:t>uentas</w:t>
      </w:r>
    </w:p>
    <w:p w:rsidR="00460A54" w:rsidRPr="00077B48" w:rsidRDefault="00460A54" w:rsidP="00D16A2D">
      <w:pPr>
        <w:numPr>
          <w:ilvl w:val="0"/>
          <w:numId w:val="6"/>
        </w:numPr>
        <w:spacing w:after="200"/>
        <w:contextualSpacing/>
        <w:jc w:val="both"/>
        <w:rPr>
          <w:rFonts w:eastAsia="Calibri"/>
          <w:lang w:val="es-MX"/>
        </w:rPr>
      </w:pPr>
      <w:r>
        <w:rPr>
          <w:rFonts w:eastAsia="Calibri"/>
          <w:lang w:val="es-MX"/>
        </w:rPr>
        <w:t>Transparencia Fiscal</w:t>
      </w:r>
    </w:p>
    <w:p w:rsidR="00460A54" w:rsidRPr="00077B48" w:rsidRDefault="00460A54" w:rsidP="00460A54">
      <w:pPr>
        <w:jc w:val="both"/>
        <w:rPr>
          <w:rFonts w:eastAsia="Calibri"/>
          <w:lang w:val="es-MX"/>
        </w:rPr>
      </w:pPr>
    </w:p>
    <w:p w:rsidR="00460A54" w:rsidRDefault="00460A54" w:rsidP="00460A54">
      <w:pPr>
        <w:jc w:val="both"/>
        <w:rPr>
          <w:rFonts w:eastAsia="Calibri"/>
          <w:lang w:val="es-MX"/>
        </w:rPr>
      </w:pPr>
      <w:r>
        <w:rPr>
          <w:rFonts w:eastAsia="Calibri"/>
          <w:lang w:val="es-MX"/>
        </w:rPr>
        <w:t xml:space="preserve">Al Ministerio </w:t>
      </w:r>
      <w:r w:rsidRPr="00077B48">
        <w:rPr>
          <w:rFonts w:eastAsia="Calibri"/>
          <w:lang w:val="es-MX"/>
        </w:rPr>
        <w:t xml:space="preserve">de Finanzas Públicas (MINFIN) le corresponde </w:t>
      </w:r>
      <w:r>
        <w:rPr>
          <w:rFonts w:eastAsia="Calibri"/>
          <w:lang w:val="es-MX"/>
        </w:rPr>
        <w:t>coordinar el eje de Transparencia Fiscal, integrado por siete compromisos (del 16 al 22), siendo la entidad responsable directa de cumplir los primeros cuatro (16 al 19), mientras que la Superintendencia de Administración Tributaria (SAT), el Ministerio de Salud Pública y Asistencia Social y Ministerio de Educación son los responsables directos de los otros tres compromisos (20, 21 y 22, respectivamente).</w:t>
      </w:r>
    </w:p>
    <w:p w:rsidR="00460A54" w:rsidRDefault="00460A54" w:rsidP="00460A54">
      <w:pPr>
        <w:jc w:val="both"/>
        <w:rPr>
          <w:rFonts w:eastAsia="Calibri"/>
          <w:lang w:val="es-MX"/>
        </w:rPr>
      </w:pPr>
    </w:p>
    <w:p w:rsidR="00460A54" w:rsidRDefault="00460A54" w:rsidP="00460A54">
      <w:pPr>
        <w:jc w:val="both"/>
        <w:rPr>
          <w:rFonts w:eastAsia="Calibri"/>
          <w:b/>
          <w:lang w:val="es-MX"/>
        </w:rPr>
      </w:pPr>
      <w:r w:rsidRPr="00077B48">
        <w:rPr>
          <w:rFonts w:eastAsia="Calibri"/>
          <w:b/>
          <w:lang w:val="es-MX"/>
        </w:rPr>
        <w:t xml:space="preserve">Compromisos y Metas </w:t>
      </w:r>
      <w:r>
        <w:rPr>
          <w:rFonts w:eastAsia="Calibri"/>
          <w:b/>
          <w:lang w:val="es-MX"/>
        </w:rPr>
        <w:t>a cargo del</w:t>
      </w:r>
      <w:r w:rsidRPr="00077B48">
        <w:rPr>
          <w:rFonts w:eastAsia="Calibri"/>
          <w:b/>
          <w:lang w:val="es-MX"/>
        </w:rPr>
        <w:t xml:space="preserve"> Ministerio de Finanzas Públicas</w:t>
      </w:r>
    </w:p>
    <w:p w:rsidR="00460A54" w:rsidRPr="00077B48" w:rsidRDefault="00460A54" w:rsidP="00460A54">
      <w:pPr>
        <w:jc w:val="both"/>
        <w:rPr>
          <w:rFonts w:eastAsia="Calibri"/>
          <w:b/>
          <w:lang w:val="es-MX"/>
        </w:rPr>
      </w:pPr>
    </w:p>
    <w:p w:rsidR="00460A54" w:rsidRPr="0053788C" w:rsidRDefault="00460A54" w:rsidP="00D16A2D">
      <w:pPr>
        <w:pStyle w:val="Prrafodelista"/>
        <w:numPr>
          <w:ilvl w:val="0"/>
          <w:numId w:val="7"/>
        </w:numPr>
        <w:ind w:left="851" w:hanging="851"/>
        <w:contextualSpacing/>
        <w:jc w:val="both"/>
        <w:rPr>
          <w:rFonts w:eastAsia="Calibri"/>
          <w:lang w:val="es-MX"/>
        </w:rPr>
      </w:pPr>
      <w:r w:rsidRPr="0053788C">
        <w:rPr>
          <w:rFonts w:eastAsia="Calibri"/>
          <w:lang w:val="es-MX"/>
        </w:rPr>
        <w:t>Acciones para avanzar hacia un Presupuesto Abierto y Participativo</w:t>
      </w:r>
    </w:p>
    <w:p w:rsidR="00460A54" w:rsidRPr="00077B48" w:rsidRDefault="00460A54" w:rsidP="00D16A2D">
      <w:pPr>
        <w:numPr>
          <w:ilvl w:val="1"/>
          <w:numId w:val="4"/>
        </w:numPr>
        <w:contextualSpacing/>
        <w:jc w:val="both"/>
        <w:rPr>
          <w:rFonts w:eastAsia="Calibri"/>
          <w:lang w:val="es-MX"/>
        </w:rPr>
      </w:pPr>
      <w:r w:rsidRPr="00077B48">
        <w:rPr>
          <w:rFonts w:eastAsia="Calibri"/>
          <w:lang w:val="es-MX"/>
        </w:rPr>
        <w:t>Foros de presupuesto abierto se institucionalizan</w:t>
      </w:r>
    </w:p>
    <w:p w:rsidR="00460A54" w:rsidRPr="00077B48" w:rsidRDefault="00460A54" w:rsidP="00D16A2D">
      <w:pPr>
        <w:numPr>
          <w:ilvl w:val="1"/>
          <w:numId w:val="4"/>
        </w:numPr>
        <w:contextualSpacing/>
        <w:jc w:val="both"/>
        <w:rPr>
          <w:rFonts w:eastAsia="Calibri"/>
          <w:lang w:val="es-MX"/>
        </w:rPr>
      </w:pPr>
      <w:r w:rsidRPr="00077B48">
        <w:rPr>
          <w:rFonts w:eastAsia="Calibri"/>
          <w:lang w:val="es-MX"/>
        </w:rPr>
        <w:t xml:space="preserve">Normas presupuestarias, incluyen principios de </w:t>
      </w:r>
      <w:r>
        <w:rPr>
          <w:rFonts w:eastAsia="Calibri"/>
          <w:lang w:val="es-MX"/>
        </w:rPr>
        <w:t>T</w:t>
      </w:r>
      <w:r w:rsidRPr="00077B48">
        <w:rPr>
          <w:rFonts w:eastAsia="Calibri"/>
          <w:lang w:val="es-MX"/>
        </w:rPr>
        <w:t>ransparencia</w:t>
      </w:r>
      <w:r>
        <w:rPr>
          <w:rFonts w:eastAsia="Calibri"/>
          <w:lang w:val="es-MX"/>
        </w:rPr>
        <w:t xml:space="preserve"> Fiscal</w:t>
      </w:r>
      <w:r w:rsidRPr="00077B48">
        <w:rPr>
          <w:rFonts w:eastAsia="Calibri"/>
          <w:lang w:val="es-MX"/>
        </w:rPr>
        <w:t xml:space="preserve"> y Gobierno Abierto</w:t>
      </w:r>
    </w:p>
    <w:p w:rsidR="00460A54" w:rsidRPr="00077B48" w:rsidRDefault="00460A54" w:rsidP="00D16A2D">
      <w:pPr>
        <w:numPr>
          <w:ilvl w:val="1"/>
          <w:numId w:val="4"/>
        </w:numPr>
        <w:contextualSpacing/>
        <w:jc w:val="both"/>
        <w:rPr>
          <w:rFonts w:eastAsia="Calibri"/>
          <w:lang w:val="es-MX"/>
        </w:rPr>
      </w:pPr>
      <w:r w:rsidRPr="00077B48">
        <w:rPr>
          <w:rFonts w:eastAsia="Calibri"/>
          <w:lang w:val="es-MX"/>
        </w:rPr>
        <w:t xml:space="preserve">CONADUR socializa propuesta de inversión para </w:t>
      </w:r>
      <w:r>
        <w:rPr>
          <w:rFonts w:eastAsia="Calibri"/>
          <w:lang w:val="es-MX"/>
        </w:rPr>
        <w:t xml:space="preserve">el </w:t>
      </w:r>
      <w:r w:rsidRPr="00077B48">
        <w:rPr>
          <w:rFonts w:eastAsia="Calibri"/>
          <w:lang w:val="es-MX"/>
        </w:rPr>
        <w:t>siguiente presupuesto</w:t>
      </w:r>
    </w:p>
    <w:p w:rsidR="00460A54" w:rsidRPr="00077B48" w:rsidRDefault="00460A54" w:rsidP="00D16A2D">
      <w:pPr>
        <w:numPr>
          <w:ilvl w:val="1"/>
          <w:numId w:val="4"/>
        </w:numPr>
        <w:contextualSpacing/>
        <w:jc w:val="both"/>
        <w:rPr>
          <w:rFonts w:eastAsia="Calibri"/>
          <w:lang w:val="es-MX"/>
        </w:rPr>
      </w:pPr>
      <w:r w:rsidRPr="00077B48">
        <w:rPr>
          <w:rFonts w:eastAsia="Calibri"/>
          <w:lang w:val="es-MX"/>
        </w:rPr>
        <w:t>Mesas técnicas con participación de sociedad civil para discutir</w:t>
      </w:r>
      <w:r>
        <w:rPr>
          <w:rFonts w:eastAsia="Calibri"/>
          <w:lang w:val="es-MX"/>
        </w:rPr>
        <w:t xml:space="preserve"> el</w:t>
      </w:r>
      <w:r w:rsidRPr="00077B48">
        <w:rPr>
          <w:rFonts w:eastAsia="Calibri"/>
          <w:lang w:val="es-MX"/>
        </w:rPr>
        <w:t xml:space="preserve"> proyecto de presupuesto</w:t>
      </w:r>
      <w:r>
        <w:rPr>
          <w:rFonts w:eastAsia="Calibri"/>
          <w:lang w:val="es-MX"/>
        </w:rPr>
        <w:t xml:space="preserve"> en el Congreso de la República</w:t>
      </w:r>
    </w:p>
    <w:p w:rsidR="00460A54" w:rsidRPr="00077B48" w:rsidRDefault="00460A54" w:rsidP="00D16A2D">
      <w:pPr>
        <w:numPr>
          <w:ilvl w:val="1"/>
          <w:numId w:val="4"/>
        </w:numPr>
        <w:contextualSpacing/>
        <w:jc w:val="both"/>
        <w:rPr>
          <w:rFonts w:eastAsia="Calibri"/>
          <w:lang w:val="es-MX"/>
        </w:rPr>
      </w:pPr>
      <w:r w:rsidRPr="00077B48">
        <w:rPr>
          <w:rFonts w:eastAsia="Calibri"/>
          <w:lang w:val="es-MX"/>
        </w:rPr>
        <w:t>Contraloría General de Cuentas publica informe de auditoría a la liquidación del presupuesto bajo principios de gobierno abierto</w:t>
      </w:r>
    </w:p>
    <w:p w:rsidR="00460A54" w:rsidRPr="00077B48" w:rsidRDefault="00460A54" w:rsidP="00460A54">
      <w:pPr>
        <w:ind w:left="1440"/>
        <w:contextualSpacing/>
        <w:jc w:val="both"/>
        <w:rPr>
          <w:rFonts w:eastAsia="Calibri"/>
          <w:lang w:val="es-MX"/>
        </w:rPr>
      </w:pPr>
    </w:p>
    <w:p w:rsidR="00460A54" w:rsidRPr="0053788C" w:rsidRDefault="00460A54" w:rsidP="00D16A2D">
      <w:pPr>
        <w:pStyle w:val="Prrafodelista"/>
        <w:numPr>
          <w:ilvl w:val="0"/>
          <w:numId w:val="7"/>
        </w:numPr>
        <w:ind w:left="851" w:hanging="851"/>
        <w:contextualSpacing/>
        <w:jc w:val="both"/>
        <w:rPr>
          <w:rFonts w:eastAsia="Calibri"/>
          <w:lang w:val="es-MX"/>
        </w:rPr>
      </w:pPr>
      <w:r w:rsidRPr="0053788C">
        <w:rPr>
          <w:rFonts w:eastAsia="Calibri"/>
          <w:lang w:val="es-MX"/>
        </w:rPr>
        <w:t>Acciones para avanzar en el cumplimiento del Código y Manual de Transparencia Fiscal del Fondo Monetario Internacional</w:t>
      </w:r>
      <w:r>
        <w:rPr>
          <w:rFonts w:eastAsia="Calibri"/>
          <w:lang w:val="es-MX"/>
        </w:rPr>
        <w:t xml:space="preserve"> (FMI)</w:t>
      </w:r>
    </w:p>
    <w:p w:rsidR="00460A54" w:rsidRPr="00077B48" w:rsidRDefault="00460A54" w:rsidP="00D16A2D">
      <w:pPr>
        <w:numPr>
          <w:ilvl w:val="0"/>
          <w:numId w:val="13"/>
        </w:numPr>
        <w:contextualSpacing/>
        <w:jc w:val="both"/>
        <w:rPr>
          <w:rFonts w:eastAsia="Calibri"/>
          <w:lang w:val="es-MX"/>
        </w:rPr>
      </w:pPr>
      <w:r w:rsidRPr="00077B48">
        <w:rPr>
          <w:rFonts w:eastAsia="Calibri"/>
          <w:lang w:val="es-MX"/>
        </w:rPr>
        <w:t xml:space="preserve">Divulgar resultados de Evaluación de Transparencia </w:t>
      </w:r>
      <w:r>
        <w:rPr>
          <w:rFonts w:eastAsia="Calibri"/>
          <w:lang w:val="es-MX"/>
        </w:rPr>
        <w:t xml:space="preserve">Fiscal </w:t>
      </w:r>
      <w:r w:rsidRPr="00077B48">
        <w:rPr>
          <w:rFonts w:eastAsia="Calibri"/>
          <w:lang w:val="es-MX"/>
        </w:rPr>
        <w:t>del FMI</w:t>
      </w:r>
    </w:p>
    <w:p w:rsidR="00460A54" w:rsidRPr="00077B48" w:rsidRDefault="00460A54" w:rsidP="00D16A2D">
      <w:pPr>
        <w:numPr>
          <w:ilvl w:val="0"/>
          <w:numId w:val="13"/>
        </w:numPr>
        <w:contextualSpacing/>
        <w:jc w:val="both"/>
        <w:rPr>
          <w:rFonts w:eastAsia="Calibri"/>
          <w:lang w:val="es-MX"/>
        </w:rPr>
      </w:pPr>
      <w:r>
        <w:rPr>
          <w:rFonts w:eastAsia="Calibri"/>
          <w:lang w:val="es-MX"/>
        </w:rPr>
        <w:t>P</w:t>
      </w:r>
      <w:r w:rsidRPr="00077B48">
        <w:rPr>
          <w:rFonts w:eastAsia="Calibri"/>
          <w:lang w:val="es-MX"/>
        </w:rPr>
        <w:t>lan de trabajo para avanzar en la implementación del Código y Manual</w:t>
      </w:r>
    </w:p>
    <w:p w:rsidR="00460A54" w:rsidRPr="00077B48" w:rsidRDefault="00460A54" w:rsidP="00D16A2D">
      <w:pPr>
        <w:numPr>
          <w:ilvl w:val="0"/>
          <w:numId w:val="13"/>
        </w:numPr>
        <w:contextualSpacing/>
        <w:jc w:val="both"/>
        <w:rPr>
          <w:rFonts w:eastAsia="Calibri"/>
          <w:lang w:val="es-MX"/>
        </w:rPr>
      </w:pPr>
      <w:r w:rsidRPr="00077B48">
        <w:rPr>
          <w:rFonts w:eastAsia="Calibri"/>
          <w:lang w:val="es-MX"/>
        </w:rPr>
        <w:t xml:space="preserve">Incluir apartado de riesgos fiscales en </w:t>
      </w:r>
      <w:r>
        <w:rPr>
          <w:rFonts w:eastAsia="Calibri"/>
          <w:lang w:val="es-MX"/>
        </w:rPr>
        <w:t xml:space="preserve">el </w:t>
      </w:r>
      <w:r w:rsidRPr="00077B48">
        <w:rPr>
          <w:rFonts w:eastAsia="Calibri"/>
          <w:lang w:val="es-MX"/>
        </w:rPr>
        <w:t>proyecto del presupuesto</w:t>
      </w:r>
    </w:p>
    <w:p w:rsidR="00460A54" w:rsidRPr="00077B48" w:rsidRDefault="00460A54" w:rsidP="00D16A2D">
      <w:pPr>
        <w:numPr>
          <w:ilvl w:val="0"/>
          <w:numId w:val="13"/>
        </w:numPr>
        <w:contextualSpacing/>
        <w:jc w:val="both"/>
        <w:rPr>
          <w:rFonts w:eastAsia="Calibri"/>
          <w:lang w:val="es-MX"/>
        </w:rPr>
      </w:pPr>
      <w:r w:rsidRPr="00077B48">
        <w:rPr>
          <w:rFonts w:eastAsia="Calibri"/>
          <w:lang w:val="es-MX"/>
        </w:rPr>
        <w:t>Promover el uso de guías elaboradas por MINFIN sobre la Ley Orgánica del Presupuesto, artículos 4, 17 Bis y 17 Ter</w:t>
      </w:r>
    </w:p>
    <w:p w:rsidR="00460A54" w:rsidRPr="00077B48" w:rsidRDefault="00460A54" w:rsidP="00D16A2D">
      <w:pPr>
        <w:numPr>
          <w:ilvl w:val="0"/>
          <w:numId w:val="13"/>
        </w:numPr>
        <w:contextualSpacing/>
        <w:jc w:val="both"/>
        <w:rPr>
          <w:rFonts w:eastAsia="Calibri"/>
          <w:lang w:val="es-MX"/>
        </w:rPr>
      </w:pPr>
      <w:r w:rsidRPr="00077B48">
        <w:rPr>
          <w:rFonts w:eastAsia="Calibri"/>
          <w:lang w:val="es-MX"/>
        </w:rPr>
        <w:t xml:space="preserve">Diagnóstico sobre obstáculos para consolidación de cuentas del </w:t>
      </w:r>
      <w:r>
        <w:rPr>
          <w:rFonts w:eastAsia="Calibri"/>
          <w:lang w:val="es-MX"/>
        </w:rPr>
        <w:t>S</w:t>
      </w:r>
      <w:r w:rsidRPr="00077B48">
        <w:rPr>
          <w:rFonts w:eastAsia="Calibri"/>
          <w:lang w:val="es-MX"/>
        </w:rPr>
        <w:t xml:space="preserve">ector </w:t>
      </w:r>
      <w:r>
        <w:rPr>
          <w:rFonts w:eastAsia="Calibri"/>
          <w:lang w:val="es-MX"/>
        </w:rPr>
        <w:t>P</w:t>
      </w:r>
      <w:r w:rsidRPr="00077B48">
        <w:rPr>
          <w:rFonts w:eastAsia="Calibri"/>
          <w:lang w:val="es-MX"/>
        </w:rPr>
        <w:t xml:space="preserve">úblico </w:t>
      </w:r>
      <w:r>
        <w:rPr>
          <w:rFonts w:eastAsia="Calibri"/>
          <w:lang w:val="es-MX"/>
        </w:rPr>
        <w:t>N</w:t>
      </w:r>
      <w:r w:rsidRPr="00077B48">
        <w:rPr>
          <w:rFonts w:eastAsia="Calibri"/>
          <w:lang w:val="es-MX"/>
        </w:rPr>
        <w:t xml:space="preserve">o </w:t>
      </w:r>
      <w:r>
        <w:rPr>
          <w:rFonts w:eastAsia="Calibri"/>
          <w:lang w:val="es-MX"/>
        </w:rPr>
        <w:t>F</w:t>
      </w:r>
      <w:r w:rsidRPr="00077B48">
        <w:rPr>
          <w:rFonts w:eastAsia="Calibri"/>
          <w:lang w:val="es-MX"/>
        </w:rPr>
        <w:t>inanciero</w:t>
      </w:r>
    </w:p>
    <w:p w:rsidR="00460A54" w:rsidRPr="00077B48" w:rsidRDefault="00460A54" w:rsidP="00D16A2D">
      <w:pPr>
        <w:numPr>
          <w:ilvl w:val="0"/>
          <w:numId w:val="13"/>
        </w:numPr>
        <w:contextualSpacing/>
        <w:jc w:val="both"/>
        <w:rPr>
          <w:rFonts w:eastAsia="Calibri"/>
          <w:lang w:val="es-MX"/>
        </w:rPr>
      </w:pPr>
      <w:r w:rsidRPr="00077B48">
        <w:rPr>
          <w:rFonts w:eastAsia="Calibri"/>
          <w:lang w:val="es-MX"/>
        </w:rPr>
        <w:lastRenderedPageBreak/>
        <w:t xml:space="preserve">Consolidación de transferencias corrientes y de capital del </w:t>
      </w:r>
      <w:r>
        <w:rPr>
          <w:rFonts w:eastAsia="Calibri"/>
          <w:lang w:val="es-MX"/>
        </w:rPr>
        <w:t>S</w:t>
      </w:r>
      <w:r w:rsidRPr="00077B48">
        <w:rPr>
          <w:rFonts w:eastAsia="Calibri"/>
          <w:lang w:val="es-MX"/>
        </w:rPr>
        <w:t xml:space="preserve">ector </w:t>
      </w:r>
      <w:r>
        <w:rPr>
          <w:rFonts w:eastAsia="Calibri"/>
          <w:lang w:val="es-MX"/>
        </w:rPr>
        <w:t>P</w:t>
      </w:r>
      <w:r w:rsidRPr="00077B48">
        <w:rPr>
          <w:rFonts w:eastAsia="Calibri"/>
          <w:lang w:val="es-MX"/>
        </w:rPr>
        <w:t xml:space="preserve">úblico </w:t>
      </w:r>
      <w:r>
        <w:rPr>
          <w:rFonts w:eastAsia="Calibri"/>
          <w:lang w:val="es-MX"/>
        </w:rPr>
        <w:t>N</w:t>
      </w:r>
      <w:r w:rsidRPr="00077B48">
        <w:rPr>
          <w:rFonts w:eastAsia="Calibri"/>
          <w:lang w:val="es-MX"/>
        </w:rPr>
        <w:t xml:space="preserve">o </w:t>
      </w:r>
      <w:r>
        <w:rPr>
          <w:rFonts w:eastAsia="Calibri"/>
          <w:lang w:val="es-MX"/>
        </w:rPr>
        <w:t>F</w:t>
      </w:r>
      <w:r w:rsidRPr="00077B48">
        <w:rPr>
          <w:rFonts w:eastAsia="Calibri"/>
          <w:lang w:val="es-MX"/>
        </w:rPr>
        <w:t>inanciero</w:t>
      </w:r>
    </w:p>
    <w:p w:rsidR="00460A54" w:rsidRPr="00077B48" w:rsidRDefault="00460A54" w:rsidP="00D16A2D">
      <w:pPr>
        <w:numPr>
          <w:ilvl w:val="0"/>
          <w:numId w:val="13"/>
        </w:numPr>
        <w:contextualSpacing/>
        <w:jc w:val="both"/>
        <w:rPr>
          <w:rFonts w:eastAsia="Calibri"/>
          <w:lang w:val="es-MX"/>
        </w:rPr>
      </w:pPr>
      <w:r w:rsidRPr="00077B48">
        <w:rPr>
          <w:rFonts w:eastAsia="Calibri"/>
          <w:lang w:val="es-MX"/>
        </w:rPr>
        <w:t xml:space="preserve">Consolidación de transferencias interinstitucionales que se trasladan por mandato legal del </w:t>
      </w:r>
      <w:r>
        <w:rPr>
          <w:rFonts w:eastAsia="Calibri"/>
          <w:lang w:val="es-MX"/>
        </w:rPr>
        <w:t>S</w:t>
      </w:r>
      <w:r w:rsidRPr="00077B48">
        <w:rPr>
          <w:rFonts w:eastAsia="Calibri"/>
          <w:lang w:val="es-MX"/>
        </w:rPr>
        <w:t xml:space="preserve">ector </w:t>
      </w:r>
      <w:r>
        <w:rPr>
          <w:rFonts w:eastAsia="Calibri"/>
          <w:lang w:val="es-MX"/>
        </w:rPr>
        <w:t>P</w:t>
      </w:r>
      <w:r w:rsidRPr="00077B48">
        <w:rPr>
          <w:rFonts w:eastAsia="Calibri"/>
          <w:lang w:val="es-MX"/>
        </w:rPr>
        <w:t xml:space="preserve">úblico </w:t>
      </w:r>
      <w:r>
        <w:rPr>
          <w:rFonts w:eastAsia="Calibri"/>
          <w:lang w:val="es-MX"/>
        </w:rPr>
        <w:t>N</w:t>
      </w:r>
      <w:r w:rsidRPr="00077B48">
        <w:rPr>
          <w:rFonts w:eastAsia="Calibri"/>
          <w:lang w:val="es-MX"/>
        </w:rPr>
        <w:t xml:space="preserve">o </w:t>
      </w:r>
      <w:r>
        <w:rPr>
          <w:rFonts w:eastAsia="Calibri"/>
          <w:lang w:val="es-MX"/>
        </w:rPr>
        <w:t>F</w:t>
      </w:r>
      <w:r w:rsidRPr="00077B48">
        <w:rPr>
          <w:rFonts w:eastAsia="Calibri"/>
          <w:lang w:val="es-MX"/>
        </w:rPr>
        <w:t>inanciero</w:t>
      </w:r>
    </w:p>
    <w:p w:rsidR="00460A54" w:rsidRPr="00077B48" w:rsidRDefault="00460A54" w:rsidP="00D16A2D">
      <w:pPr>
        <w:numPr>
          <w:ilvl w:val="0"/>
          <w:numId w:val="13"/>
        </w:numPr>
        <w:contextualSpacing/>
        <w:jc w:val="both"/>
        <w:rPr>
          <w:rFonts w:eastAsia="Calibri"/>
          <w:lang w:val="es-MX"/>
        </w:rPr>
      </w:pPr>
      <w:r w:rsidRPr="00077B48">
        <w:rPr>
          <w:rFonts w:eastAsia="Calibri"/>
          <w:lang w:val="es-MX"/>
        </w:rPr>
        <w:t>Institucionalización de la agenda de transparencia fiscal del MINFIN (equipo técnico para discutir propuesta, reforma</w:t>
      </w:r>
      <w:r>
        <w:rPr>
          <w:rFonts w:eastAsia="Calibri"/>
          <w:lang w:val="es-MX"/>
        </w:rPr>
        <w:t>s</w:t>
      </w:r>
      <w:r w:rsidRPr="00077B48">
        <w:rPr>
          <w:rFonts w:eastAsia="Calibri"/>
          <w:lang w:val="es-MX"/>
        </w:rPr>
        <w:t xml:space="preserve"> al Reglamento Orgánico Interno </w:t>
      </w:r>
      <w:r>
        <w:rPr>
          <w:rFonts w:eastAsia="Calibri"/>
          <w:lang w:val="es-MX"/>
        </w:rPr>
        <w:t xml:space="preserve">del MINFIN </w:t>
      </w:r>
      <w:r w:rsidRPr="00077B48">
        <w:rPr>
          <w:rFonts w:eastAsia="Calibri"/>
          <w:lang w:val="es-MX"/>
        </w:rPr>
        <w:t>y su implementación)</w:t>
      </w:r>
    </w:p>
    <w:p w:rsidR="00460A54" w:rsidRPr="00077B48" w:rsidRDefault="00460A54" w:rsidP="00460A54">
      <w:pPr>
        <w:ind w:left="1440"/>
        <w:contextualSpacing/>
        <w:jc w:val="both"/>
        <w:rPr>
          <w:rFonts w:eastAsia="Calibri"/>
          <w:lang w:val="es-MX"/>
        </w:rPr>
      </w:pPr>
    </w:p>
    <w:p w:rsidR="00460A54" w:rsidRPr="00077B48" w:rsidRDefault="00460A54" w:rsidP="00D16A2D">
      <w:pPr>
        <w:pStyle w:val="Prrafodelista"/>
        <w:numPr>
          <w:ilvl w:val="0"/>
          <w:numId w:val="7"/>
        </w:numPr>
        <w:ind w:left="851" w:hanging="851"/>
        <w:contextualSpacing/>
        <w:jc w:val="both"/>
        <w:rPr>
          <w:rFonts w:eastAsia="Calibri"/>
          <w:lang w:val="es-MX"/>
        </w:rPr>
      </w:pPr>
      <w:r w:rsidRPr="00077B48">
        <w:rPr>
          <w:rFonts w:eastAsia="Calibri"/>
          <w:lang w:val="es-MX"/>
        </w:rPr>
        <w:t>Acciones para mejorar disponibilidad y calidad de la información presupuestaria</w:t>
      </w:r>
    </w:p>
    <w:p w:rsidR="00460A54" w:rsidRPr="00077B48" w:rsidRDefault="00460A54" w:rsidP="00D16A2D">
      <w:pPr>
        <w:numPr>
          <w:ilvl w:val="0"/>
          <w:numId w:val="14"/>
        </w:numPr>
        <w:contextualSpacing/>
        <w:jc w:val="both"/>
        <w:rPr>
          <w:rFonts w:eastAsia="Calibri"/>
          <w:lang w:val="es-MX"/>
        </w:rPr>
      </w:pPr>
      <w:r w:rsidRPr="00077B48">
        <w:rPr>
          <w:rFonts w:eastAsia="Calibri"/>
          <w:lang w:val="es-MX"/>
        </w:rPr>
        <w:t>Creación de</w:t>
      </w:r>
      <w:r>
        <w:rPr>
          <w:rFonts w:eastAsia="Calibri"/>
          <w:lang w:val="es-MX"/>
        </w:rPr>
        <w:t>l C</w:t>
      </w:r>
      <w:r w:rsidRPr="00077B48">
        <w:rPr>
          <w:rFonts w:eastAsia="Calibri"/>
          <w:lang w:val="es-MX"/>
        </w:rPr>
        <w:t xml:space="preserve">omité de </w:t>
      </w:r>
      <w:r>
        <w:rPr>
          <w:rFonts w:eastAsia="Calibri"/>
          <w:lang w:val="es-MX"/>
        </w:rPr>
        <w:t>U</w:t>
      </w:r>
      <w:r w:rsidRPr="00077B48">
        <w:rPr>
          <w:rFonts w:eastAsia="Calibri"/>
          <w:lang w:val="es-MX"/>
        </w:rPr>
        <w:t xml:space="preserve">suarios de </w:t>
      </w:r>
      <w:r>
        <w:rPr>
          <w:rFonts w:eastAsia="Calibri"/>
          <w:lang w:val="es-MX"/>
        </w:rPr>
        <w:t>D</w:t>
      </w:r>
      <w:r w:rsidRPr="00077B48">
        <w:rPr>
          <w:rFonts w:eastAsia="Calibri"/>
          <w:lang w:val="es-MX"/>
        </w:rPr>
        <w:t xml:space="preserve">atos </w:t>
      </w:r>
      <w:r>
        <w:rPr>
          <w:rFonts w:eastAsia="Calibri"/>
          <w:lang w:val="es-MX"/>
        </w:rPr>
        <w:t>A</w:t>
      </w:r>
      <w:r w:rsidRPr="00077B48">
        <w:rPr>
          <w:rFonts w:eastAsia="Calibri"/>
          <w:lang w:val="es-MX"/>
        </w:rPr>
        <w:t>biertos del MINFIN</w:t>
      </w:r>
    </w:p>
    <w:p w:rsidR="00460A54" w:rsidRPr="00077B48" w:rsidRDefault="00460A54" w:rsidP="00D16A2D">
      <w:pPr>
        <w:numPr>
          <w:ilvl w:val="0"/>
          <w:numId w:val="14"/>
        </w:numPr>
        <w:contextualSpacing/>
        <w:jc w:val="both"/>
        <w:rPr>
          <w:rFonts w:eastAsia="Calibri"/>
          <w:lang w:val="es-MX"/>
        </w:rPr>
      </w:pPr>
      <w:r w:rsidRPr="00077B48">
        <w:rPr>
          <w:rFonts w:eastAsia="Calibri"/>
          <w:lang w:val="es-MX"/>
        </w:rPr>
        <w:t>Mejoras al portal de transparencia fiscal del MINFIN</w:t>
      </w:r>
    </w:p>
    <w:p w:rsidR="00460A54" w:rsidRPr="00077B48" w:rsidRDefault="00460A54" w:rsidP="00D16A2D">
      <w:pPr>
        <w:numPr>
          <w:ilvl w:val="0"/>
          <w:numId w:val="14"/>
        </w:numPr>
        <w:contextualSpacing/>
        <w:jc w:val="both"/>
        <w:rPr>
          <w:rFonts w:eastAsia="Calibri"/>
          <w:lang w:val="es-MX"/>
        </w:rPr>
      </w:pPr>
      <w:r w:rsidRPr="00077B48">
        <w:rPr>
          <w:rFonts w:eastAsia="Calibri"/>
          <w:lang w:val="es-MX"/>
        </w:rPr>
        <w:t>Interacción con sociedad civil para retroalimentar planes de mejoras al SIAF, SICOIN, SIGES, GUATECOMPRAS, GUATENOMINAS y otras plataformas tecnológicas</w:t>
      </w:r>
    </w:p>
    <w:p w:rsidR="00460A54" w:rsidRPr="00077B48" w:rsidRDefault="00460A54" w:rsidP="00D16A2D">
      <w:pPr>
        <w:numPr>
          <w:ilvl w:val="0"/>
          <w:numId w:val="14"/>
        </w:numPr>
        <w:contextualSpacing/>
        <w:jc w:val="both"/>
        <w:rPr>
          <w:rFonts w:eastAsia="Calibri"/>
          <w:lang w:val="es-MX"/>
        </w:rPr>
      </w:pPr>
      <w:r w:rsidRPr="00077B48">
        <w:rPr>
          <w:rFonts w:eastAsia="Calibri"/>
          <w:lang w:val="es-MX"/>
        </w:rPr>
        <w:t xml:space="preserve">Mejoras </w:t>
      </w:r>
      <w:r>
        <w:rPr>
          <w:rFonts w:eastAsia="Calibri"/>
          <w:lang w:val="es-MX"/>
        </w:rPr>
        <w:t>en la</w:t>
      </w:r>
      <w:r w:rsidRPr="00077B48">
        <w:rPr>
          <w:rFonts w:eastAsia="Calibri"/>
          <w:lang w:val="es-MX"/>
        </w:rPr>
        <w:t xml:space="preserve"> publicación de documentos del presupuesto según buenas prácticas internacionales</w:t>
      </w:r>
    </w:p>
    <w:p w:rsidR="00460A54" w:rsidRPr="00077B48" w:rsidRDefault="00460A54" w:rsidP="00D16A2D">
      <w:pPr>
        <w:numPr>
          <w:ilvl w:val="0"/>
          <w:numId w:val="14"/>
        </w:numPr>
        <w:contextualSpacing/>
        <w:jc w:val="both"/>
        <w:rPr>
          <w:rFonts w:eastAsia="Calibri"/>
          <w:lang w:val="es-MX"/>
        </w:rPr>
      </w:pPr>
      <w:r w:rsidRPr="00077B48">
        <w:rPr>
          <w:rFonts w:eastAsia="Calibri"/>
          <w:lang w:val="es-MX"/>
        </w:rPr>
        <w:t>Publicación y difusión de informes para monitorear la ejecución de préstamos y donaciones</w:t>
      </w:r>
    </w:p>
    <w:p w:rsidR="00460A54" w:rsidRPr="00077B48" w:rsidRDefault="00460A54" w:rsidP="00460A54">
      <w:pPr>
        <w:ind w:left="1440"/>
        <w:contextualSpacing/>
        <w:jc w:val="both"/>
        <w:rPr>
          <w:rFonts w:eastAsia="Calibri"/>
          <w:lang w:val="es-MX"/>
        </w:rPr>
      </w:pPr>
    </w:p>
    <w:p w:rsidR="00460A54" w:rsidRPr="00077B48" w:rsidRDefault="00460A54" w:rsidP="00D16A2D">
      <w:pPr>
        <w:pStyle w:val="Prrafodelista"/>
        <w:numPr>
          <w:ilvl w:val="0"/>
          <w:numId w:val="7"/>
        </w:numPr>
        <w:ind w:left="851" w:hanging="851"/>
        <w:contextualSpacing/>
        <w:jc w:val="both"/>
        <w:rPr>
          <w:rFonts w:eastAsia="Calibri"/>
          <w:lang w:val="es-MX"/>
        </w:rPr>
      </w:pPr>
      <w:r w:rsidRPr="00077B48">
        <w:rPr>
          <w:rFonts w:eastAsia="Calibri"/>
          <w:lang w:val="es-MX"/>
        </w:rPr>
        <w:t>Acciones para avanzar hacia un régimen de contrataciones abiertas</w:t>
      </w:r>
    </w:p>
    <w:p w:rsidR="00460A54" w:rsidRPr="00077B48" w:rsidRDefault="00460A54" w:rsidP="00D16A2D">
      <w:pPr>
        <w:numPr>
          <w:ilvl w:val="0"/>
          <w:numId w:val="15"/>
        </w:numPr>
        <w:contextualSpacing/>
        <w:jc w:val="both"/>
        <w:rPr>
          <w:rFonts w:eastAsia="Calibri"/>
          <w:lang w:val="es-MX"/>
        </w:rPr>
      </w:pPr>
      <w:r w:rsidRPr="00077B48">
        <w:rPr>
          <w:rFonts w:eastAsia="Calibri"/>
          <w:lang w:val="es-MX"/>
        </w:rPr>
        <w:t>Actualización de GUATECOMPRAS según</w:t>
      </w:r>
      <w:r>
        <w:rPr>
          <w:rFonts w:eastAsia="Calibri"/>
          <w:lang w:val="es-MX"/>
        </w:rPr>
        <w:t xml:space="preserve"> Reformas a la</w:t>
      </w:r>
      <w:r w:rsidRPr="00077B48">
        <w:rPr>
          <w:rFonts w:eastAsia="Calibri"/>
          <w:lang w:val="es-MX"/>
        </w:rPr>
        <w:t xml:space="preserve"> Ley de Contrataciones del Estado</w:t>
      </w:r>
    </w:p>
    <w:p w:rsidR="00460A54" w:rsidRPr="00077B48" w:rsidRDefault="00460A54" w:rsidP="00D16A2D">
      <w:pPr>
        <w:numPr>
          <w:ilvl w:val="0"/>
          <w:numId w:val="15"/>
        </w:numPr>
        <w:contextualSpacing/>
        <w:jc w:val="both"/>
        <w:rPr>
          <w:rFonts w:eastAsia="Calibri"/>
          <w:lang w:val="es-MX"/>
        </w:rPr>
      </w:pPr>
      <w:r w:rsidRPr="00077B48">
        <w:rPr>
          <w:rFonts w:eastAsia="Calibri"/>
          <w:lang w:val="es-MX"/>
        </w:rPr>
        <w:t>Estandarización de formatos para adquisiciones</w:t>
      </w:r>
    </w:p>
    <w:p w:rsidR="00460A54" w:rsidRPr="00077B48" w:rsidRDefault="00460A54" w:rsidP="00D16A2D">
      <w:pPr>
        <w:numPr>
          <w:ilvl w:val="0"/>
          <w:numId w:val="15"/>
        </w:numPr>
        <w:contextualSpacing/>
        <w:jc w:val="both"/>
        <w:rPr>
          <w:rFonts w:eastAsia="Calibri"/>
          <w:lang w:val="es-MX"/>
        </w:rPr>
      </w:pPr>
      <w:r w:rsidRPr="00077B48">
        <w:rPr>
          <w:rFonts w:eastAsia="Calibri"/>
          <w:lang w:val="es-MX"/>
        </w:rPr>
        <w:t xml:space="preserve">Implementación de </w:t>
      </w:r>
      <w:r>
        <w:rPr>
          <w:rFonts w:eastAsia="Calibri"/>
          <w:lang w:val="es-MX"/>
        </w:rPr>
        <w:t xml:space="preserve">la </w:t>
      </w:r>
      <w:r w:rsidRPr="00077B48">
        <w:rPr>
          <w:rFonts w:eastAsia="Calibri"/>
          <w:lang w:val="es-MX"/>
        </w:rPr>
        <w:t>subasta electrónica inversa</w:t>
      </w:r>
    </w:p>
    <w:p w:rsidR="00460A54" w:rsidRPr="00077B48" w:rsidRDefault="00460A54" w:rsidP="00D16A2D">
      <w:pPr>
        <w:numPr>
          <w:ilvl w:val="0"/>
          <w:numId w:val="15"/>
        </w:numPr>
        <w:contextualSpacing/>
        <w:jc w:val="both"/>
        <w:rPr>
          <w:rFonts w:eastAsia="Calibri"/>
          <w:lang w:val="es-MX"/>
        </w:rPr>
      </w:pPr>
      <w:r w:rsidRPr="00077B48">
        <w:rPr>
          <w:rFonts w:eastAsia="Calibri"/>
          <w:lang w:val="es-MX"/>
        </w:rPr>
        <w:t>Implementación de plataforma electrónica del Registro General de Adquisiciones</w:t>
      </w:r>
    </w:p>
    <w:p w:rsidR="00460A54" w:rsidRPr="00077B48" w:rsidRDefault="00460A54" w:rsidP="00D16A2D">
      <w:pPr>
        <w:numPr>
          <w:ilvl w:val="0"/>
          <w:numId w:val="15"/>
        </w:numPr>
        <w:contextualSpacing/>
        <w:jc w:val="both"/>
        <w:rPr>
          <w:rFonts w:eastAsia="Calibri"/>
          <w:lang w:val="es-MX"/>
        </w:rPr>
      </w:pPr>
      <w:r w:rsidRPr="00077B48">
        <w:rPr>
          <w:rFonts w:eastAsia="Calibri"/>
          <w:lang w:val="es-MX"/>
        </w:rPr>
        <w:t xml:space="preserve">Capacitación de funcionarios y sociedad civil sobre el </w:t>
      </w:r>
      <w:r>
        <w:rPr>
          <w:rFonts w:eastAsia="Calibri"/>
          <w:lang w:val="es-MX"/>
        </w:rPr>
        <w:t xml:space="preserve">funcionamiento del </w:t>
      </w:r>
      <w:r w:rsidRPr="00077B48">
        <w:rPr>
          <w:rFonts w:eastAsia="Calibri"/>
          <w:lang w:val="es-MX"/>
        </w:rPr>
        <w:t>Registro General de Adquisiciones</w:t>
      </w:r>
    </w:p>
    <w:p w:rsidR="00460A54" w:rsidRPr="00077B48" w:rsidRDefault="00460A54" w:rsidP="00D16A2D">
      <w:pPr>
        <w:numPr>
          <w:ilvl w:val="0"/>
          <w:numId w:val="15"/>
        </w:numPr>
        <w:contextualSpacing/>
        <w:jc w:val="both"/>
        <w:rPr>
          <w:rFonts w:eastAsia="Calibri"/>
          <w:lang w:val="es-MX"/>
        </w:rPr>
      </w:pPr>
      <w:r w:rsidRPr="00077B48">
        <w:rPr>
          <w:rFonts w:eastAsia="Calibri"/>
          <w:lang w:val="es-MX"/>
        </w:rPr>
        <w:t>Evaluar posibilidad de adoptar contrataciones abiertas (</w:t>
      </w:r>
      <w:r w:rsidRPr="00077B48">
        <w:rPr>
          <w:rFonts w:eastAsia="Calibri"/>
          <w:i/>
        </w:rPr>
        <w:t>open contracting</w:t>
      </w:r>
      <w:r w:rsidRPr="00077B48">
        <w:rPr>
          <w:rFonts w:eastAsia="Calibri"/>
          <w:lang w:val="es-MX"/>
        </w:rPr>
        <w:t>)</w:t>
      </w:r>
    </w:p>
    <w:p w:rsidR="00460A54" w:rsidRDefault="00460A54" w:rsidP="00460A54">
      <w:pPr>
        <w:ind w:left="1440"/>
        <w:contextualSpacing/>
        <w:jc w:val="both"/>
        <w:rPr>
          <w:rFonts w:eastAsia="Calibri"/>
          <w:lang w:val="es-MX"/>
        </w:rPr>
      </w:pPr>
    </w:p>
    <w:p w:rsidR="00460A54" w:rsidRDefault="00460A54" w:rsidP="00460A54">
      <w:pPr>
        <w:jc w:val="both"/>
        <w:rPr>
          <w:rFonts w:eastAsia="Calibri"/>
          <w:lang w:val="es-MX"/>
        </w:rPr>
      </w:pPr>
      <w:r>
        <w:rPr>
          <w:rFonts w:eastAsia="Calibri"/>
          <w:lang w:val="es-MX"/>
        </w:rPr>
        <w:t>De los compromisos y metas indicados, el Ministerio de Finanzas Públicas ha implementado acciones a través de sus distintas dependencias, para avanzar en el cumplimiento de los mismos, pudiéndose mencionar los más relevantes:</w:t>
      </w:r>
    </w:p>
    <w:p w:rsidR="00460A54" w:rsidRDefault="00460A54" w:rsidP="00460A54">
      <w:pPr>
        <w:jc w:val="both"/>
        <w:rPr>
          <w:rFonts w:eastAsia="Calibri"/>
          <w:lang w:val="es-MX"/>
        </w:rPr>
      </w:pPr>
    </w:p>
    <w:p w:rsidR="00460A54" w:rsidRDefault="00460A54" w:rsidP="00460A54">
      <w:pPr>
        <w:jc w:val="both"/>
        <w:rPr>
          <w:lang w:val="es-ES_tradnl"/>
        </w:rPr>
      </w:pPr>
      <w:r w:rsidRPr="00F77F42">
        <w:rPr>
          <w:b/>
          <w:lang w:val="es-ES_tradnl"/>
        </w:rPr>
        <w:t>Talleres de Presupuesto Abierto 2018.</w:t>
      </w:r>
      <w:r>
        <w:rPr>
          <w:lang w:val="es-ES_tradnl"/>
        </w:rPr>
        <w:t xml:space="preserve">  A inicios de mayo de 2017 se realizó un taller organizado por el Ministerio de Finanzas Públicas, Banco de Guatemala y Superintendencia de Administración Tributaria (SAT) para dar a conocer a la sociedad civil las proyecciones macroeconómicas y las estimaciones de ingresos tributarios que sirven de base para la elaboración de un presupuesto exploratorio. Del 22 de mayo al 8 de junio </w:t>
      </w:r>
      <w:r w:rsidR="0086613A">
        <w:rPr>
          <w:lang w:val="es-ES_tradnl"/>
        </w:rPr>
        <w:t xml:space="preserve">de 2017 </w:t>
      </w:r>
      <w:r>
        <w:rPr>
          <w:lang w:val="es-ES_tradnl"/>
        </w:rPr>
        <w:t>se realizaron 16 talleres de presupuesto abierto y participativo para que las entidades públicas dieran a conocer sus programas de trabajo y sus requerimientos presupuestarios. Además, se organizaron otros talleres para complementar las etapas del proceso de formulación presupuestaria, entre los que destacan: Taller sobre proyectos de inversión y aportes a ONG; taller sobre riesgos fiscales y taller sobre normas presupuestarias de transparencia fiscal.</w:t>
      </w:r>
    </w:p>
    <w:p w:rsidR="00460A54" w:rsidRDefault="00460A54" w:rsidP="00460A54">
      <w:pPr>
        <w:jc w:val="both"/>
        <w:rPr>
          <w:lang w:val="es-ES_tradnl"/>
        </w:rPr>
      </w:pPr>
    </w:p>
    <w:p w:rsidR="00460A54" w:rsidRDefault="00460A54" w:rsidP="00460A54">
      <w:pPr>
        <w:jc w:val="both"/>
        <w:rPr>
          <w:b/>
          <w:lang w:val="es-ES_tradnl"/>
        </w:rPr>
      </w:pPr>
    </w:p>
    <w:p w:rsidR="00460A54" w:rsidRDefault="00460A54" w:rsidP="00460A54">
      <w:pPr>
        <w:jc w:val="both"/>
        <w:rPr>
          <w:lang w:val="es-ES_tradnl"/>
        </w:rPr>
      </w:pPr>
      <w:r w:rsidRPr="000C3702">
        <w:rPr>
          <w:b/>
          <w:lang w:val="es-ES_tradnl"/>
        </w:rPr>
        <w:lastRenderedPageBreak/>
        <w:t>Seguimiento a las recomendaciones del Fondo Monetario Internacional (FMI) en su Informe de Evaluación de Transparencia Fiscal.</w:t>
      </w:r>
      <w:r>
        <w:rPr>
          <w:lang w:val="es-ES_tradnl"/>
        </w:rPr>
        <w:t xml:space="preserve"> Se conformó un equipo de trabajo para analizar y discutir las recomendaciones del citado informe y el Ministerio de Finanzas Públicas coordinó con el Instituto Centroamericano de Estudios Fiscales (ICEFI) y el Fondo Monetario Internacional (FMI) para llevar a cabo un taller con organizaciones de sociedad civil para la elaboración de un plan de trabajo y cronograma para la implementación gradual de dichas recomendaciones.</w:t>
      </w:r>
    </w:p>
    <w:p w:rsidR="00460A54" w:rsidRDefault="00460A54" w:rsidP="00460A54">
      <w:pPr>
        <w:jc w:val="both"/>
        <w:rPr>
          <w:lang w:val="es-ES_tradnl"/>
        </w:rPr>
      </w:pPr>
    </w:p>
    <w:p w:rsidR="00460A54" w:rsidRDefault="00460A54" w:rsidP="00460A54">
      <w:pPr>
        <w:jc w:val="both"/>
        <w:rPr>
          <w:lang w:val="es-ES_tradnl"/>
        </w:rPr>
      </w:pPr>
      <w:r w:rsidRPr="000C3702">
        <w:rPr>
          <w:b/>
          <w:lang w:val="es-ES_tradnl"/>
        </w:rPr>
        <w:t>Comité de Usuarios de Datos Abiertos</w:t>
      </w:r>
      <w:r>
        <w:rPr>
          <w:lang w:val="es-ES_tradnl"/>
        </w:rPr>
        <w:t>. Se creó entre las dependencias del MINFIN y diversas organizaciones de sociedad civil un Comité de Usuarios de Datos Abiertos para crear una política interna de presentación de información presupuestaria y financiera en formatos de datos abiertos; asimismo, está próximo el lanzamiento de un Portal de Datos Abiertos del MINFIN que contiene datos que el Ministerio pone a disposición de los usuarios y que son los que más se demandan por parte de sociedad civil.</w:t>
      </w:r>
    </w:p>
    <w:p w:rsidR="00460A54" w:rsidRDefault="00460A54" w:rsidP="00460A54">
      <w:pPr>
        <w:jc w:val="both"/>
        <w:rPr>
          <w:lang w:val="es-ES_tradnl"/>
        </w:rPr>
      </w:pPr>
    </w:p>
    <w:p w:rsidR="00460A54" w:rsidRDefault="00460A54" w:rsidP="00460A54">
      <w:pPr>
        <w:jc w:val="both"/>
        <w:rPr>
          <w:lang w:val="es-ES_tradnl"/>
        </w:rPr>
      </w:pPr>
      <w:r w:rsidRPr="008754B1">
        <w:rPr>
          <w:b/>
          <w:lang w:val="es-ES_tradnl"/>
        </w:rPr>
        <w:t>Seguimiento del Índice de Presupuesto Abierto (OBI por sus siglas en inglés).</w:t>
      </w:r>
      <w:r>
        <w:rPr>
          <w:lang w:val="es-ES_tradnl"/>
        </w:rPr>
        <w:t xml:space="preserve"> Es objetivo fundamental del MINFIN elevar la calificación de este </w:t>
      </w:r>
      <w:r w:rsidR="0086613A">
        <w:rPr>
          <w:lang w:val="es-ES_tradnl"/>
        </w:rPr>
        <w:t>í</w:t>
      </w:r>
      <w:r>
        <w:rPr>
          <w:lang w:val="es-ES_tradnl"/>
        </w:rPr>
        <w:t xml:space="preserve">ndice a cargo de la Alianza Internacional de Presupuesto (IBP por sus siglas en inglés) ya que en la anterior administración de gobierno cayó de 51 a 46 puntos. Para el efecto se emitió el Acuerdo Ministerial No. 194-2017 que regula tres temas: </w:t>
      </w:r>
      <w:r w:rsidR="0086613A">
        <w:rPr>
          <w:lang w:val="es-ES_tradnl"/>
        </w:rPr>
        <w:t xml:space="preserve">a) </w:t>
      </w:r>
      <w:r>
        <w:rPr>
          <w:lang w:val="es-ES_tradnl"/>
        </w:rPr>
        <w:t xml:space="preserve">Publicación de información en formatos de datos abiertos; </w:t>
      </w:r>
      <w:r w:rsidR="0086613A">
        <w:rPr>
          <w:lang w:val="es-ES_tradnl"/>
        </w:rPr>
        <w:t>b) I</w:t>
      </w:r>
      <w:r>
        <w:rPr>
          <w:lang w:val="es-ES_tradnl"/>
        </w:rPr>
        <w:t>nstitucionalización de los talleres de presupuesto abierto y</w:t>
      </w:r>
      <w:r w:rsidR="00482CDD">
        <w:rPr>
          <w:lang w:val="es-ES_tradnl"/>
        </w:rPr>
        <w:t xml:space="preserve"> c)</w:t>
      </w:r>
      <w:r>
        <w:rPr>
          <w:lang w:val="es-ES_tradnl"/>
        </w:rPr>
        <w:t xml:space="preserve"> </w:t>
      </w:r>
      <w:r w:rsidR="00482CDD">
        <w:rPr>
          <w:lang w:val="es-ES_tradnl"/>
        </w:rPr>
        <w:t>C</w:t>
      </w:r>
      <w:r>
        <w:rPr>
          <w:lang w:val="es-ES_tradnl"/>
        </w:rPr>
        <w:t>reación de un comité técnico para elaborar guías con contenidos y lineamientos sobre los estándares internacionales y buenas prácticas para la elaboración y publicación de los ocho documentos clave del ciclo presupuestario.</w:t>
      </w:r>
    </w:p>
    <w:p w:rsidR="00460A54" w:rsidRDefault="00460A54" w:rsidP="00460A54">
      <w:pPr>
        <w:jc w:val="both"/>
        <w:rPr>
          <w:lang w:val="es-ES_tradnl"/>
        </w:rPr>
      </w:pPr>
    </w:p>
    <w:p w:rsidR="00460A54" w:rsidRDefault="00460A54" w:rsidP="00460A54">
      <w:pPr>
        <w:jc w:val="both"/>
        <w:rPr>
          <w:lang w:val="es-ES_tradnl"/>
        </w:rPr>
      </w:pPr>
      <w:r w:rsidRPr="008754B1">
        <w:rPr>
          <w:b/>
          <w:lang w:val="es-ES_tradnl"/>
        </w:rPr>
        <w:t>Reformas al portal web institucional y al portal de transparencia fiscal.</w:t>
      </w:r>
      <w:r>
        <w:rPr>
          <w:lang w:val="es-ES_tradnl"/>
        </w:rPr>
        <w:t xml:space="preserve"> Se crearon equipos de trabajo para reformar y actualizar el portal institucional y portal de transparencia fiscal del MINFIN, para presentar la información en un ambiente gráfico, agradable, de fácil comprensión y de libre acceso a los ciudadanos en formatos de datos abiertos para que puedan ser reutilizados para análisis posteriores.</w:t>
      </w:r>
    </w:p>
    <w:p w:rsidR="00460A54" w:rsidRPr="00963F63" w:rsidRDefault="00460A54" w:rsidP="00460A54">
      <w:pPr>
        <w:jc w:val="both"/>
        <w:rPr>
          <w:b/>
          <w:highlight w:val="yellow"/>
          <w:lang w:val="es-ES_tradnl"/>
        </w:rPr>
      </w:pPr>
    </w:p>
    <w:sectPr w:rsidR="00460A54" w:rsidRPr="00963F63" w:rsidSect="004C2E12">
      <w:headerReference w:type="even" r:id="rId26"/>
      <w:headerReference w:type="default" r:id="rId27"/>
      <w:footerReference w:type="even" r:id="rId28"/>
      <w:footerReference w:type="default" r:id="rId29"/>
      <w:footerReference w:type="first" r:id="rId30"/>
      <w:pgSz w:w="12240" w:h="15840"/>
      <w:pgMar w:top="1417"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88E" w:rsidRDefault="0054788E" w:rsidP="00BF318F">
      <w:r>
        <w:separator/>
      </w:r>
    </w:p>
  </w:endnote>
  <w:endnote w:type="continuationSeparator" w:id="0">
    <w:p w:rsidR="0054788E" w:rsidRDefault="0054788E" w:rsidP="00BF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6F" w:rsidRDefault="00910F6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6F" w:rsidRDefault="00910F6F">
    <w:pPr>
      <w:pStyle w:val="Piedepgina"/>
      <w:jc w:val="right"/>
    </w:pPr>
    <w:r>
      <w:fldChar w:fldCharType="begin"/>
    </w:r>
    <w:r>
      <w:instrText>PAGE   \* MERGEFORMAT</w:instrText>
    </w:r>
    <w:r>
      <w:fldChar w:fldCharType="separate"/>
    </w:r>
    <w:r w:rsidR="00EF68B6">
      <w:rPr>
        <w:noProof/>
      </w:rPr>
      <w:t>8</w:t>
    </w:r>
    <w:r>
      <w:fldChar w:fldCharType="end"/>
    </w:r>
  </w:p>
  <w:p w:rsidR="00910F6F" w:rsidRDefault="00910F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6F" w:rsidRDefault="00910F6F" w:rsidP="00EB2FBA">
    <w:pPr>
      <w:pStyle w:val="Piedepgina"/>
    </w:pPr>
  </w:p>
  <w:p w:rsidR="00910F6F" w:rsidRDefault="00910F6F" w:rsidP="00EB2F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88E" w:rsidRDefault="0054788E" w:rsidP="00BF318F">
      <w:r>
        <w:separator/>
      </w:r>
    </w:p>
  </w:footnote>
  <w:footnote w:type="continuationSeparator" w:id="0">
    <w:p w:rsidR="0054788E" w:rsidRDefault="0054788E" w:rsidP="00BF318F">
      <w:r>
        <w:continuationSeparator/>
      </w:r>
    </w:p>
  </w:footnote>
  <w:footnote w:id="1">
    <w:p w:rsidR="00910F6F" w:rsidRPr="00343FF3" w:rsidRDefault="00910F6F" w:rsidP="002F3446">
      <w:pPr>
        <w:pStyle w:val="Textonotapie"/>
      </w:pPr>
      <w:r>
        <w:rPr>
          <w:rStyle w:val="Refdenotaalpie"/>
        </w:rPr>
        <w:footnoteRef/>
      </w:r>
      <w:r>
        <w:t xml:space="preserve"> </w:t>
      </w:r>
      <w:r w:rsidRPr="00343FF3">
        <w:rPr>
          <w:sz w:val="18"/>
        </w:rPr>
        <w:t>El gasto social está destinado a mejorar las condiciones de vida de las familias guatemaltecas, en el mediano y largo plazo, siendo importante resaltar que los montos detallados en el cuadro siguiente incluyen la función “Edad Avanzada”, dentro de la ejecución del sector Salud y Asistencia Social de cada año</w:t>
      </w:r>
      <w:r>
        <w:rPr>
          <w:sz w:val="18"/>
        </w:rPr>
        <w:t>.</w:t>
      </w:r>
    </w:p>
  </w:footnote>
  <w:footnote w:id="2">
    <w:p w:rsidR="00910F6F" w:rsidRDefault="00910F6F" w:rsidP="002F3446">
      <w:pPr>
        <w:pStyle w:val="Textonotapie"/>
        <w:jc w:val="both"/>
        <w:rPr>
          <w:sz w:val="18"/>
          <w:szCs w:val="18"/>
          <w:lang w:val="es-MX"/>
        </w:rPr>
      </w:pPr>
      <w:r>
        <w:rPr>
          <w:rStyle w:val="Refdenotaalpie"/>
        </w:rPr>
        <w:footnoteRef/>
      </w:r>
      <w:r>
        <w:t xml:space="preserve"> </w:t>
      </w:r>
      <w:r w:rsidRPr="00CF15B3">
        <w:rPr>
          <w:sz w:val="18"/>
          <w:szCs w:val="18"/>
          <w:lang w:val="es-MX"/>
        </w:rPr>
        <w:t>La iniciativa 4462, proyecto de Ley de Fideicomisos Públicos, regula y dispone las normas y principios que rigen los contratos de fideicomisos públicos, aplicables en la celebración, administración, ejecución, extinción y liquidación de los contratos.  Los recursos que se afecten en dichos contratos preservarán su carácter público y fiscalizable y se observarán los principios de legalidad, economía, eficiencia, eficacia, máxima publicidad, probidad y transparencia en el manejo y ejecución de los recursos públicos, así como los que garanticen que toda actuación pública esté orientada a la consecución del bien común y la debida rendición de cuentas</w:t>
      </w:r>
      <w:r>
        <w:rPr>
          <w:sz w:val="18"/>
          <w:szCs w:val="18"/>
          <w:lang w:val="es-MX"/>
        </w:rPr>
        <w:t>.</w:t>
      </w:r>
    </w:p>
    <w:p w:rsidR="00910F6F" w:rsidRDefault="00910F6F" w:rsidP="002F3446">
      <w:pPr>
        <w:pStyle w:val="Textonotapie"/>
        <w:jc w:val="both"/>
        <w:rPr>
          <w:sz w:val="18"/>
          <w:szCs w:val="18"/>
          <w:lang w:val="es-MX"/>
        </w:rPr>
      </w:pPr>
    </w:p>
    <w:p w:rsidR="00910F6F" w:rsidRPr="00401389" w:rsidRDefault="00910F6F" w:rsidP="002F3446">
      <w:pPr>
        <w:pStyle w:val="Textonotapie"/>
        <w:jc w:val="both"/>
        <w:rPr>
          <w:sz w:val="18"/>
        </w:rPr>
      </w:pPr>
      <w:r>
        <w:rPr>
          <w:sz w:val="18"/>
          <w:lang w:val="es-MX"/>
        </w:rPr>
        <w:t>Asimismo, e</w:t>
      </w:r>
      <w:r w:rsidRPr="00401389">
        <w:rPr>
          <w:sz w:val="18"/>
          <w:lang w:val="es-MX"/>
        </w:rPr>
        <w:t>l detalle de los fideicomisos se encuentra en el portal del Ministerio de Finanzas Públicas y contiene una amplia gama de información sobre fideicomisos vigentes, en liquidación y vencidos, tanto de la Administración Central como de las Entidades Descentralizadas y Autónomas. El uso de fideicomisos actualmente está regulado en el Capítulo VI, artículos del 45 al 52 de la Ley del Presupuesto General de Ingresos y Egresos del Estado para el Ejercicio Fiscal 2016, Decreto No. 14-2015 del Congreso de la República de Guatemala.</w:t>
      </w:r>
    </w:p>
  </w:footnote>
  <w:footnote w:id="3">
    <w:p w:rsidR="00910F6F" w:rsidRPr="00AE4E5C" w:rsidRDefault="00910F6F" w:rsidP="002F3446">
      <w:pPr>
        <w:pStyle w:val="Textonotapie"/>
        <w:jc w:val="both"/>
      </w:pPr>
      <w:r>
        <w:rPr>
          <w:rStyle w:val="Refdenotaalpie"/>
        </w:rPr>
        <w:footnoteRef/>
      </w:r>
      <w:r>
        <w:t xml:space="preserve"> </w:t>
      </w:r>
      <w:r w:rsidRPr="00AE4E5C">
        <w:rPr>
          <w:sz w:val="18"/>
          <w:lang w:val="es-MX"/>
        </w:rPr>
        <w:t xml:space="preserve">No obstante que el artículo 33 Bis del </w:t>
      </w:r>
      <w:r w:rsidRPr="00AE4E5C">
        <w:rPr>
          <w:sz w:val="18"/>
        </w:rPr>
        <w:t>Decreto</w:t>
      </w:r>
      <w:r w:rsidRPr="00AE4E5C">
        <w:rPr>
          <w:sz w:val="18"/>
          <w:lang w:val="es-MX"/>
        </w:rPr>
        <w:t xml:space="preserve"> No. 101-97 del Congreso de la República de Guatemala, Ley Orgánica del Presupuesto, prohíbe suscribir convenios para ejecutar recursos de programas y proyectos a través de Organizaciones No Gubernamentales, Organismos Internacionales o Asociaciones, exceptuando al Ministerio de Salud Pública y Asistencia Social, algunas entidades trasladan recursos a estas instituciones bajo la modalidad de “entes receptores de transferencias”, sin contraprestación de servicios, porque el país es miembro de alguna organización y según el convenio de adhesión, es necesario cancelar una membresía anual. Además, varias instituciones trasladan aportes a estas organizaciones por concepto de subsidios y subvenciones cuya ejecución se encuentra normada en el Acuerdo Gubernativo No. 55-2016, “Reglamento de Manejo de Subsidios y Subvenciones”</w:t>
      </w:r>
      <w:r>
        <w:rPr>
          <w:sz w:val="18"/>
          <w:lang w:val="es-MX"/>
        </w:rPr>
        <w:t>.</w:t>
      </w:r>
    </w:p>
  </w:footnote>
  <w:footnote w:id="4">
    <w:p w:rsidR="00910F6F" w:rsidRPr="005A7F15" w:rsidRDefault="00910F6F" w:rsidP="00B37EC2">
      <w:pPr>
        <w:pStyle w:val="Textonotapie"/>
        <w:jc w:val="both"/>
        <w:rPr>
          <w:sz w:val="18"/>
          <w:szCs w:val="18"/>
        </w:rPr>
      </w:pPr>
      <w:r w:rsidRPr="005A7F15">
        <w:rPr>
          <w:rStyle w:val="Refdenotaalpie"/>
          <w:sz w:val="18"/>
          <w:szCs w:val="18"/>
        </w:rPr>
        <w:footnoteRef/>
      </w:r>
      <w:r w:rsidRPr="005A7F15">
        <w:rPr>
          <w:sz w:val="18"/>
          <w:szCs w:val="18"/>
        </w:rPr>
        <w:t xml:space="preserve"> Cupo de colocaciones de bonos del tesoro, cuyos recursos servirán para realizar el pago de los bonos del tesoro que vencen en el presente ejercicio fiscal y que fueron emitidos en años anteriores.</w:t>
      </w:r>
    </w:p>
  </w:footnote>
  <w:footnote w:id="5">
    <w:p w:rsidR="00910F6F" w:rsidRPr="00C44793" w:rsidRDefault="00910F6F" w:rsidP="00B37EC2">
      <w:pPr>
        <w:pStyle w:val="Textonotapie"/>
        <w:rPr>
          <w:lang w:val="es-MX"/>
        </w:rPr>
      </w:pPr>
      <w:r>
        <w:rPr>
          <w:rStyle w:val="Refdenotaalpie"/>
        </w:rPr>
        <w:footnoteRef/>
      </w:r>
      <w:r>
        <w:t xml:space="preserve"> </w:t>
      </w:r>
      <w:r w:rsidRPr="005A7F15">
        <w:rPr>
          <w:sz w:val="18"/>
        </w:rPr>
        <w:t>Del monto nominal total colocado de Q</w:t>
      </w:r>
      <w:r w:rsidR="0018412B">
        <w:rPr>
          <w:sz w:val="18"/>
        </w:rPr>
        <w:t>.</w:t>
      </w:r>
      <w:r w:rsidRPr="005A7F15">
        <w:rPr>
          <w:sz w:val="18"/>
        </w:rPr>
        <w:t>5,</w:t>
      </w:r>
      <w:r>
        <w:rPr>
          <w:sz w:val="18"/>
        </w:rPr>
        <w:t>575</w:t>
      </w:r>
      <w:r w:rsidRPr="005A7F15">
        <w:rPr>
          <w:sz w:val="18"/>
        </w:rPr>
        <w:t>.</w:t>
      </w:r>
      <w:r>
        <w:rPr>
          <w:sz w:val="18"/>
        </w:rPr>
        <w:t>9</w:t>
      </w:r>
      <w:r w:rsidRPr="005A7F15">
        <w:rPr>
          <w:sz w:val="18"/>
        </w:rPr>
        <w:t xml:space="preserve"> millones se recibió en términos efectivos Q</w:t>
      </w:r>
      <w:r w:rsidR="0018412B">
        <w:rPr>
          <w:sz w:val="18"/>
        </w:rPr>
        <w:t>.</w:t>
      </w:r>
      <w:r w:rsidRPr="005A7F15">
        <w:rPr>
          <w:sz w:val="18"/>
        </w:rPr>
        <w:t>5,</w:t>
      </w:r>
      <w:r>
        <w:rPr>
          <w:sz w:val="18"/>
        </w:rPr>
        <w:t>705</w:t>
      </w:r>
      <w:r w:rsidRPr="005A7F15">
        <w:rPr>
          <w:sz w:val="18"/>
        </w:rPr>
        <w:t>.9 millones, habiendo generado un  saldo positivo neto de Q</w:t>
      </w:r>
      <w:r w:rsidR="0018412B">
        <w:rPr>
          <w:sz w:val="18"/>
        </w:rPr>
        <w:t>.</w:t>
      </w:r>
      <w:r>
        <w:rPr>
          <w:sz w:val="18"/>
        </w:rPr>
        <w:t>130</w:t>
      </w:r>
      <w:r w:rsidRPr="005A7F15">
        <w:rPr>
          <w:sz w:val="18"/>
        </w:rPr>
        <w:t>.</w:t>
      </w:r>
      <w:r>
        <w:rPr>
          <w:sz w:val="18"/>
        </w:rPr>
        <w:t>0</w:t>
      </w:r>
      <w:r w:rsidRPr="005A7F15">
        <w:rPr>
          <w:sz w:val="18"/>
        </w:rPr>
        <w:t xml:space="preserve"> millones.</w:t>
      </w:r>
    </w:p>
  </w:footnote>
  <w:footnote w:id="6">
    <w:p w:rsidR="00910F6F" w:rsidRPr="00C44793" w:rsidRDefault="00910F6F" w:rsidP="00B37EC2">
      <w:pPr>
        <w:pStyle w:val="Textonotapie"/>
        <w:rPr>
          <w:lang w:val="es-MX"/>
        </w:rPr>
      </w:pPr>
      <w:r>
        <w:rPr>
          <w:rStyle w:val="Refdenotaalpie"/>
        </w:rPr>
        <w:footnoteRef/>
      </w:r>
      <w:r>
        <w:t xml:space="preserve"> </w:t>
      </w:r>
      <w:r w:rsidRPr="005A7F15">
        <w:rPr>
          <w:sz w:val="18"/>
        </w:rPr>
        <w:t>No incluye monto de restitución de Deficiencias Netas, derivado que no constituyen  operaciones de mercado.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6F" w:rsidRDefault="00910F6F" w:rsidP="00CE68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0F6F" w:rsidRDefault="00910F6F" w:rsidP="00CE683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F6F" w:rsidRPr="00801582" w:rsidRDefault="00910F6F" w:rsidP="00801582">
    <w:pPr>
      <w:pStyle w:val="Encabezado"/>
      <w:tabs>
        <w:tab w:val="clear" w:pos="8504"/>
      </w:tabs>
      <w:jc w:val="center"/>
      <w:rPr>
        <w:rFonts w:ascii="Arial" w:hAnsi="Arial" w:cs="Arial"/>
        <w:b/>
        <w:sz w:val="22"/>
        <w:szCs w:val="22"/>
        <w:lang w:val="es-GT"/>
      </w:rPr>
    </w:pPr>
    <w:r w:rsidRPr="00801582">
      <w:rPr>
        <w:rFonts w:ascii="Arial" w:hAnsi="Arial" w:cs="Arial"/>
        <w:b/>
        <w:sz w:val="22"/>
        <w:szCs w:val="22"/>
        <w:lang w:val="es-GT"/>
      </w:rPr>
      <w:t>Informe del Des</w:t>
    </w:r>
    <w:r>
      <w:rPr>
        <w:rFonts w:ascii="Arial" w:hAnsi="Arial" w:cs="Arial"/>
        <w:b/>
        <w:sz w:val="22"/>
        <w:szCs w:val="22"/>
        <w:lang w:val="es-GT"/>
      </w:rPr>
      <w:t xml:space="preserve">empeño de la Política Fiscal y </w:t>
    </w:r>
    <w:r w:rsidRPr="00801582">
      <w:rPr>
        <w:rFonts w:ascii="Arial" w:hAnsi="Arial" w:cs="Arial"/>
        <w:b/>
        <w:sz w:val="22"/>
        <w:szCs w:val="22"/>
        <w:lang w:val="es-GT"/>
      </w:rPr>
      <w:t>Actividades del Primer Semestre 201</w:t>
    </w:r>
    <w:r>
      <w:rPr>
        <w:rFonts w:ascii="Arial" w:hAnsi="Arial" w:cs="Arial"/>
        <w:b/>
        <w:sz w:val="22"/>
        <w:szCs w:val="22"/>
        <w:lang w:val="es-GT"/>
      </w:rPr>
      <w:t>7</w:t>
    </w:r>
  </w:p>
  <w:p w:rsidR="00910F6F" w:rsidRPr="000705AA" w:rsidRDefault="00910F6F" w:rsidP="00CE6835">
    <w:pPr>
      <w:pStyle w:val="Encabezado"/>
      <w:ind w:right="360"/>
      <w:jc w:val="center"/>
      <w:rPr>
        <w:rFonts w:ascii="Arial" w:hAnsi="Arial" w:cs="Arial"/>
        <w:b/>
        <w:color w:val="95B3D7"/>
        <w:u w:val="single"/>
        <w:lang w:val="es-GT"/>
      </w:rPr>
    </w:pPr>
    <w:r>
      <w:rPr>
        <w:noProof/>
        <w:lang w:val="es-GT" w:eastAsia="es-GT"/>
      </w:rPr>
      <mc:AlternateContent>
        <mc:Choice Requires="wps">
          <w:drawing>
            <wp:anchor distT="4294967290" distB="4294967290" distL="114300" distR="114300" simplePos="0" relativeHeight="251657216" behindDoc="0" locked="0" layoutInCell="1" allowOverlap="1">
              <wp:simplePos x="0" y="0"/>
              <wp:positionH relativeFrom="column">
                <wp:posOffset>-118110</wp:posOffset>
              </wp:positionH>
              <wp:positionV relativeFrom="paragraph">
                <wp:posOffset>73659</wp:posOffset>
              </wp:positionV>
              <wp:extent cx="6066155" cy="0"/>
              <wp:effectExtent l="38100" t="95250" r="86995" b="7620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155" cy="0"/>
                      </a:xfrm>
                      <a:prstGeom prst="line">
                        <a:avLst/>
                      </a:prstGeom>
                      <a:noFill/>
                      <a:ln w="31750" cap="rnd" cmpd="dbl" algn="ctr">
                        <a:solidFill>
                          <a:srgbClr val="4F81BD">
                            <a:shade val="95000"/>
                            <a:satMod val="105000"/>
                          </a:srgbClr>
                        </a:solidFill>
                        <a:prstDash val="solid"/>
                      </a:ln>
                      <a:effectLst>
                        <a:outerShdw blurRad="50800" dist="38100" algn="l" rotWithShape="0">
                          <a:prstClr val="black">
                            <a:alpha val="40000"/>
                          </a:prstClr>
                        </a:outerShdw>
                      </a:effectLst>
                      <a:scene3d>
                        <a:camera prst="orthographicFront"/>
                        <a:lightRig rig="soft" dir="t"/>
                      </a:scene3d>
                      <a:sp3d>
                        <a:bevelT/>
                      </a:sp3d>
                    </wps:spPr>
                    <wps:bodyPr/>
                  </wps:wsp>
                </a:graphicData>
              </a:graphic>
              <wp14:sizeRelH relativeFrom="page">
                <wp14:pctWidth>0</wp14:pctWidth>
              </wp14:sizeRelH>
              <wp14:sizeRelV relativeFrom="page">
                <wp14:pctHeight>0</wp14:pctHeight>
              </wp14:sizeRelV>
            </wp:anchor>
          </w:drawing>
        </mc:Choice>
        <mc:Fallback>
          <w:pict>
            <v:line w14:anchorId="48897762" id="15 Conector recto" o:spid="_x0000_s1026" style="position:absolute;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9.3pt,5.8pt" to="468.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" strokecolor="#4a7ebb" strokeweight="2.5pt">
              <v:stroke linestyle="thinThin" endcap="round"/>
              <v:shadow on="t" color="black" opacity="26214f" origin="-.5" offset="3pt,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decimal"/>
      <w:lvlText w:val="%1."/>
      <w:lvlJc w:val="left"/>
      <w:pPr>
        <w:tabs>
          <w:tab w:val="num" w:pos="0"/>
        </w:tabs>
        <w:ind w:left="720" w:hanging="360"/>
      </w:pPr>
      <w:rPr>
        <w:b/>
      </w:rPr>
    </w:lvl>
  </w:abstractNum>
  <w:abstractNum w:abstractNumId="1" w15:restartNumberingAfterBreak="0">
    <w:nsid w:val="09605533"/>
    <w:multiLevelType w:val="hybridMultilevel"/>
    <w:tmpl w:val="DC483D08"/>
    <w:lvl w:ilvl="0" w:tplc="BB92613E">
      <w:start w:val="1"/>
      <w:numFmt w:val="bullet"/>
      <w:lvlText w:val="-"/>
      <w:lvlJc w:val="left"/>
      <w:pPr>
        <w:ind w:left="-600" w:hanging="360"/>
      </w:pPr>
      <w:rPr>
        <w:rFonts w:ascii="Courier New" w:hAnsi="Courier New" w:hint="default"/>
      </w:rPr>
    </w:lvl>
    <w:lvl w:ilvl="1" w:tplc="100A0003">
      <w:start w:val="1"/>
      <w:numFmt w:val="bullet"/>
      <w:lvlText w:val="o"/>
      <w:lvlJc w:val="left"/>
      <w:pPr>
        <w:ind w:left="120" w:hanging="360"/>
      </w:pPr>
      <w:rPr>
        <w:rFonts w:ascii="Courier New" w:hAnsi="Courier New" w:cs="Courier New" w:hint="default"/>
      </w:rPr>
    </w:lvl>
    <w:lvl w:ilvl="2" w:tplc="100A0005" w:tentative="1">
      <w:start w:val="1"/>
      <w:numFmt w:val="bullet"/>
      <w:lvlText w:val=""/>
      <w:lvlJc w:val="left"/>
      <w:pPr>
        <w:ind w:left="840" w:hanging="360"/>
      </w:pPr>
      <w:rPr>
        <w:rFonts w:ascii="Wingdings" w:hAnsi="Wingdings" w:hint="default"/>
      </w:rPr>
    </w:lvl>
    <w:lvl w:ilvl="3" w:tplc="100A0001" w:tentative="1">
      <w:start w:val="1"/>
      <w:numFmt w:val="bullet"/>
      <w:lvlText w:val=""/>
      <w:lvlJc w:val="left"/>
      <w:pPr>
        <w:ind w:left="1560" w:hanging="360"/>
      </w:pPr>
      <w:rPr>
        <w:rFonts w:ascii="Symbol" w:hAnsi="Symbol" w:hint="default"/>
      </w:rPr>
    </w:lvl>
    <w:lvl w:ilvl="4" w:tplc="100A0003" w:tentative="1">
      <w:start w:val="1"/>
      <w:numFmt w:val="bullet"/>
      <w:lvlText w:val="o"/>
      <w:lvlJc w:val="left"/>
      <w:pPr>
        <w:ind w:left="2280" w:hanging="360"/>
      </w:pPr>
      <w:rPr>
        <w:rFonts w:ascii="Courier New" w:hAnsi="Courier New" w:cs="Courier New" w:hint="default"/>
      </w:rPr>
    </w:lvl>
    <w:lvl w:ilvl="5" w:tplc="100A0005" w:tentative="1">
      <w:start w:val="1"/>
      <w:numFmt w:val="bullet"/>
      <w:lvlText w:val=""/>
      <w:lvlJc w:val="left"/>
      <w:pPr>
        <w:ind w:left="3000" w:hanging="360"/>
      </w:pPr>
      <w:rPr>
        <w:rFonts w:ascii="Wingdings" w:hAnsi="Wingdings" w:hint="default"/>
      </w:rPr>
    </w:lvl>
    <w:lvl w:ilvl="6" w:tplc="100A0001" w:tentative="1">
      <w:start w:val="1"/>
      <w:numFmt w:val="bullet"/>
      <w:lvlText w:val=""/>
      <w:lvlJc w:val="left"/>
      <w:pPr>
        <w:ind w:left="3720" w:hanging="360"/>
      </w:pPr>
      <w:rPr>
        <w:rFonts w:ascii="Symbol" w:hAnsi="Symbol" w:hint="default"/>
      </w:rPr>
    </w:lvl>
    <w:lvl w:ilvl="7" w:tplc="100A0003" w:tentative="1">
      <w:start w:val="1"/>
      <w:numFmt w:val="bullet"/>
      <w:lvlText w:val="o"/>
      <w:lvlJc w:val="left"/>
      <w:pPr>
        <w:ind w:left="4440" w:hanging="360"/>
      </w:pPr>
      <w:rPr>
        <w:rFonts w:ascii="Courier New" w:hAnsi="Courier New" w:cs="Courier New" w:hint="default"/>
      </w:rPr>
    </w:lvl>
    <w:lvl w:ilvl="8" w:tplc="100A0005" w:tentative="1">
      <w:start w:val="1"/>
      <w:numFmt w:val="bullet"/>
      <w:lvlText w:val=""/>
      <w:lvlJc w:val="left"/>
      <w:pPr>
        <w:ind w:left="5160" w:hanging="360"/>
      </w:pPr>
      <w:rPr>
        <w:rFonts w:ascii="Wingdings" w:hAnsi="Wingdings" w:hint="default"/>
      </w:rPr>
    </w:lvl>
  </w:abstractNum>
  <w:abstractNum w:abstractNumId="2" w15:restartNumberingAfterBreak="0">
    <w:nsid w:val="0B33601A"/>
    <w:multiLevelType w:val="hybridMultilevel"/>
    <w:tmpl w:val="42C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4449"/>
    <w:multiLevelType w:val="hybridMultilevel"/>
    <w:tmpl w:val="EDDCC20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FA0769A"/>
    <w:multiLevelType w:val="hybridMultilevel"/>
    <w:tmpl w:val="8A82110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33340D77"/>
    <w:multiLevelType w:val="hybridMultilevel"/>
    <w:tmpl w:val="E028106C"/>
    <w:lvl w:ilvl="0" w:tplc="6E005C1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5496CDB"/>
    <w:multiLevelType w:val="hybridMultilevel"/>
    <w:tmpl w:val="9580BD42"/>
    <w:lvl w:ilvl="0" w:tplc="04090001">
      <w:start w:val="1"/>
      <w:numFmt w:val="bullet"/>
      <w:lvlText w:val=""/>
      <w:lvlJc w:val="left"/>
      <w:pPr>
        <w:ind w:left="1485" w:hanging="360"/>
      </w:pPr>
      <w:rPr>
        <w:rFonts w:ascii="Symbol" w:hAnsi="Symbol" w:hint="default"/>
      </w:rPr>
    </w:lvl>
    <w:lvl w:ilvl="1" w:tplc="100A0003">
      <w:start w:val="1"/>
      <w:numFmt w:val="bullet"/>
      <w:lvlText w:val="o"/>
      <w:lvlJc w:val="left"/>
      <w:pPr>
        <w:ind w:left="2205" w:hanging="360"/>
      </w:pPr>
      <w:rPr>
        <w:rFonts w:ascii="Courier New" w:hAnsi="Courier New" w:cs="Courier New" w:hint="default"/>
      </w:rPr>
    </w:lvl>
    <w:lvl w:ilvl="2" w:tplc="100A0005" w:tentative="1">
      <w:start w:val="1"/>
      <w:numFmt w:val="bullet"/>
      <w:lvlText w:val=""/>
      <w:lvlJc w:val="left"/>
      <w:pPr>
        <w:ind w:left="2925" w:hanging="360"/>
      </w:pPr>
      <w:rPr>
        <w:rFonts w:ascii="Wingdings" w:hAnsi="Wingdings" w:hint="default"/>
      </w:rPr>
    </w:lvl>
    <w:lvl w:ilvl="3" w:tplc="100A0001" w:tentative="1">
      <w:start w:val="1"/>
      <w:numFmt w:val="bullet"/>
      <w:lvlText w:val=""/>
      <w:lvlJc w:val="left"/>
      <w:pPr>
        <w:ind w:left="3645" w:hanging="360"/>
      </w:pPr>
      <w:rPr>
        <w:rFonts w:ascii="Symbol" w:hAnsi="Symbol" w:hint="default"/>
      </w:rPr>
    </w:lvl>
    <w:lvl w:ilvl="4" w:tplc="100A0003" w:tentative="1">
      <w:start w:val="1"/>
      <w:numFmt w:val="bullet"/>
      <w:lvlText w:val="o"/>
      <w:lvlJc w:val="left"/>
      <w:pPr>
        <w:ind w:left="4365" w:hanging="360"/>
      </w:pPr>
      <w:rPr>
        <w:rFonts w:ascii="Courier New" w:hAnsi="Courier New" w:cs="Courier New" w:hint="default"/>
      </w:rPr>
    </w:lvl>
    <w:lvl w:ilvl="5" w:tplc="100A0005" w:tentative="1">
      <w:start w:val="1"/>
      <w:numFmt w:val="bullet"/>
      <w:lvlText w:val=""/>
      <w:lvlJc w:val="left"/>
      <w:pPr>
        <w:ind w:left="5085" w:hanging="360"/>
      </w:pPr>
      <w:rPr>
        <w:rFonts w:ascii="Wingdings" w:hAnsi="Wingdings" w:hint="default"/>
      </w:rPr>
    </w:lvl>
    <w:lvl w:ilvl="6" w:tplc="100A0001" w:tentative="1">
      <w:start w:val="1"/>
      <w:numFmt w:val="bullet"/>
      <w:lvlText w:val=""/>
      <w:lvlJc w:val="left"/>
      <w:pPr>
        <w:ind w:left="5805" w:hanging="360"/>
      </w:pPr>
      <w:rPr>
        <w:rFonts w:ascii="Symbol" w:hAnsi="Symbol" w:hint="default"/>
      </w:rPr>
    </w:lvl>
    <w:lvl w:ilvl="7" w:tplc="100A0003" w:tentative="1">
      <w:start w:val="1"/>
      <w:numFmt w:val="bullet"/>
      <w:lvlText w:val="o"/>
      <w:lvlJc w:val="left"/>
      <w:pPr>
        <w:ind w:left="6525" w:hanging="360"/>
      </w:pPr>
      <w:rPr>
        <w:rFonts w:ascii="Courier New" w:hAnsi="Courier New" w:cs="Courier New" w:hint="default"/>
      </w:rPr>
    </w:lvl>
    <w:lvl w:ilvl="8" w:tplc="100A0005" w:tentative="1">
      <w:start w:val="1"/>
      <w:numFmt w:val="bullet"/>
      <w:lvlText w:val=""/>
      <w:lvlJc w:val="left"/>
      <w:pPr>
        <w:ind w:left="7245" w:hanging="360"/>
      </w:pPr>
      <w:rPr>
        <w:rFonts w:ascii="Wingdings" w:hAnsi="Wingdings" w:hint="default"/>
      </w:rPr>
    </w:lvl>
  </w:abstractNum>
  <w:abstractNum w:abstractNumId="7" w15:restartNumberingAfterBreak="0">
    <w:nsid w:val="3B6B3F97"/>
    <w:multiLevelType w:val="multilevel"/>
    <w:tmpl w:val="9D765D90"/>
    <w:lvl w:ilvl="0">
      <w:start w:val="1"/>
      <w:numFmt w:val="upperRoman"/>
      <w:lvlText w:val="%1."/>
      <w:lvlJc w:val="left"/>
      <w:pPr>
        <w:tabs>
          <w:tab w:val="num" w:pos="0"/>
        </w:tabs>
        <w:ind w:left="432" w:hanging="432"/>
      </w:pPr>
      <w:rPr>
        <w:rFonts w:hint="default"/>
      </w:rPr>
    </w:lvl>
    <w:lvl w:ilvl="1">
      <w:start w:val="1"/>
      <w:numFmt w:val="upperLetter"/>
      <w:lvlText w:val="%2."/>
      <w:lvlJc w:val="left"/>
      <w:pPr>
        <w:tabs>
          <w:tab w:val="num" w:pos="0"/>
        </w:tabs>
        <w:ind w:left="576" w:hanging="576"/>
      </w:pPr>
      <w:rPr>
        <w:rFonts w:ascii="Times New Roman" w:hAnsi="Times New Roman" w:cs="Times New Roman" w:hint="default"/>
        <w:b/>
        <w:i w:val="0"/>
        <w:color w:val="auto"/>
      </w:rPr>
    </w:lvl>
    <w:lvl w:ilvl="2">
      <w:start w:val="1"/>
      <w:numFmt w:val="decimal"/>
      <w:lvlText w:val="%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 w15:restartNumberingAfterBreak="0">
    <w:nsid w:val="3D8B4D4A"/>
    <w:multiLevelType w:val="hybridMultilevel"/>
    <w:tmpl w:val="1E8C631E"/>
    <w:lvl w:ilvl="0" w:tplc="10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626642"/>
    <w:multiLevelType w:val="hybridMultilevel"/>
    <w:tmpl w:val="709C9DD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91279C1"/>
    <w:multiLevelType w:val="hybridMultilevel"/>
    <w:tmpl w:val="1E8C631E"/>
    <w:lvl w:ilvl="0" w:tplc="10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5256E6"/>
    <w:multiLevelType w:val="hybridMultilevel"/>
    <w:tmpl w:val="B582D2AA"/>
    <w:lvl w:ilvl="0" w:tplc="100A0001">
      <w:start w:val="1"/>
      <w:numFmt w:val="bullet"/>
      <w:lvlText w:val=""/>
      <w:lvlJc w:val="left"/>
      <w:pPr>
        <w:ind w:left="1485" w:hanging="360"/>
      </w:pPr>
      <w:rPr>
        <w:rFonts w:ascii="Symbol" w:hAnsi="Symbol" w:hint="default"/>
      </w:rPr>
    </w:lvl>
    <w:lvl w:ilvl="1" w:tplc="100A0003" w:tentative="1">
      <w:start w:val="1"/>
      <w:numFmt w:val="bullet"/>
      <w:lvlText w:val="o"/>
      <w:lvlJc w:val="left"/>
      <w:pPr>
        <w:ind w:left="2205" w:hanging="360"/>
      </w:pPr>
      <w:rPr>
        <w:rFonts w:ascii="Courier New" w:hAnsi="Courier New" w:cs="Courier New" w:hint="default"/>
      </w:rPr>
    </w:lvl>
    <w:lvl w:ilvl="2" w:tplc="100A0005" w:tentative="1">
      <w:start w:val="1"/>
      <w:numFmt w:val="bullet"/>
      <w:lvlText w:val=""/>
      <w:lvlJc w:val="left"/>
      <w:pPr>
        <w:ind w:left="2925" w:hanging="360"/>
      </w:pPr>
      <w:rPr>
        <w:rFonts w:ascii="Wingdings" w:hAnsi="Wingdings" w:hint="default"/>
      </w:rPr>
    </w:lvl>
    <w:lvl w:ilvl="3" w:tplc="100A0001" w:tentative="1">
      <w:start w:val="1"/>
      <w:numFmt w:val="bullet"/>
      <w:lvlText w:val=""/>
      <w:lvlJc w:val="left"/>
      <w:pPr>
        <w:ind w:left="3645" w:hanging="360"/>
      </w:pPr>
      <w:rPr>
        <w:rFonts w:ascii="Symbol" w:hAnsi="Symbol" w:hint="default"/>
      </w:rPr>
    </w:lvl>
    <w:lvl w:ilvl="4" w:tplc="100A0003" w:tentative="1">
      <w:start w:val="1"/>
      <w:numFmt w:val="bullet"/>
      <w:lvlText w:val="o"/>
      <w:lvlJc w:val="left"/>
      <w:pPr>
        <w:ind w:left="4365" w:hanging="360"/>
      </w:pPr>
      <w:rPr>
        <w:rFonts w:ascii="Courier New" w:hAnsi="Courier New" w:cs="Courier New" w:hint="default"/>
      </w:rPr>
    </w:lvl>
    <w:lvl w:ilvl="5" w:tplc="100A0005" w:tentative="1">
      <w:start w:val="1"/>
      <w:numFmt w:val="bullet"/>
      <w:lvlText w:val=""/>
      <w:lvlJc w:val="left"/>
      <w:pPr>
        <w:ind w:left="5085" w:hanging="360"/>
      </w:pPr>
      <w:rPr>
        <w:rFonts w:ascii="Wingdings" w:hAnsi="Wingdings" w:hint="default"/>
      </w:rPr>
    </w:lvl>
    <w:lvl w:ilvl="6" w:tplc="100A0001" w:tentative="1">
      <w:start w:val="1"/>
      <w:numFmt w:val="bullet"/>
      <w:lvlText w:val=""/>
      <w:lvlJc w:val="left"/>
      <w:pPr>
        <w:ind w:left="5805" w:hanging="360"/>
      </w:pPr>
      <w:rPr>
        <w:rFonts w:ascii="Symbol" w:hAnsi="Symbol" w:hint="default"/>
      </w:rPr>
    </w:lvl>
    <w:lvl w:ilvl="7" w:tplc="100A0003" w:tentative="1">
      <w:start w:val="1"/>
      <w:numFmt w:val="bullet"/>
      <w:lvlText w:val="o"/>
      <w:lvlJc w:val="left"/>
      <w:pPr>
        <w:ind w:left="6525" w:hanging="360"/>
      </w:pPr>
      <w:rPr>
        <w:rFonts w:ascii="Courier New" w:hAnsi="Courier New" w:cs="Courier New" w:hint="default"/>
      </w:rPr>
    </w:lvl>
    <w:lvl w:ilvl="8" w:tplc="100A0005" w:tentative="1">
      <w:start w:val="1"/>
      <w:numFmt w:val="bullet"/>
      <w:lvlText w:val=""/>
      <w:lvlJc w:val="left"/>
      <w:pPr>
        <w:ind w:left="7245" w:hanging="360"/>
      </w:pPr>
      <w:rPr>
        <w:rFonts w:ascii="Wingdings" w:hAnsi="Wingdings" w:hint="default"/>
      </w:rPr>
    </w:lvl>
  </w:abstractNum>
  <w:abstractNum w:abstractNumId="12" w15:restartNumberingAfterBreak="0">
    <w:nsid w:val="4D67270B"/>
    <w:multiLevelType w:val="hybridMultilevel"/>
    <w:tmpl w:val="A79EF2D8"/>
    <w:lvl w:ilvl="0" w:tplc="AE5232D8">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EAF4933"/>
    <w:multiLevelType w:val="multilevel"/>
    <w:tmpl w:val="C47408BC"/>
    <w:lvl w:ilvl="0">
      <w:start w:val="1"/>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E164F8D"/>
    <w:multiLevelType w:val="hybridMultilevel"/>
    <w:tmpl w:val="2C2E6BCC"/>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3394AB9"/>
    <w:multiLevelType w:val="multilevel"/>
    <w:tmpl w:val="9A3093B6"/>
    <w:lvl w:ilvl="0">
      <w:start w:val="1"/>
      <w:numFmt w:val="upperRoman"/>
      <w:pStyle w:val="Ttulo1"/>
      <w:lvlText w:val="%1."/>
      <w:lvlJc w:val="left"/>
      <w:pPr>
        <w:tabs>
          <w:tab w:val="num" w:pos="142"/>
        </w:tabs>
        <w:ind w:left="574" w:hanging="432"/>
      </w:pPr>
      <w:rPr>
        <w:rFonts w:hint="default"/>
      </w:rPr>
    </w:lvl>
    <w:lvl w:ilvl="1">
      <w:start w:val="1"/>
      <w:numFmt w:val="upperLetter"/>
      <w:pStyle w:val="Ttulo2"/>
      <w:lvlText w:val="%2."/>
      <w:lvlJc w:val="left"/>
      <w:pPr>
        <w:tabs>
          <w:tab w:val="num" w:pos="0"/>
        </w:tabs>
        <w:ind w:left="576" w:hanging="576"/>
      </w:pPr>
      <w:rPr>
        <w:rFonts w:ascii="Times New Roman" w:hAnsi="Times New Roman" w:cs="Times New Roman" w:hint="default"/>
        <w:b/>
        <w:i w:val="0"/>
        <w:color w:val="auto"/>
      </w:rPr>
    </w:lvl>
    <w:lvl w:ilvl="2">
      <w:start w:val="1"/>
      <w:numFmt w:val="decimal"/>
      <w:pStyle w:val="Ttulo3"/>
      <w:lvlText w:val="%1.%2.%3"/>
      <w:lvlJc w:val="left"/>
      <w:pPr>
        <w:tabs>
          <w:tab w:val="num" w:pos="0"/>
        </w:tabs>
        <w:ind w:left="720" w:hanging="720"/>
      </w:pPr>
      <w:rPr>
        <w:rFonts w:hint="default"/>
      </w:rPr>
    </w:lvl>
    <w:lvl w:ilvl="3">
      <w:start w:val="1"/>
      <w:numFmt w:val="decimal"/>
      <w:pStyle w:val="Ttulo4"/>
      <w:lvlText w:val="%1.%2.%3.%4"/>
      <w:lvlJc w:val="left"/>
      <w:pPr>
        <w:tabs>
          <w:tab w:val="num" w:pos="0"/>
        </w:tabs>
        <w:ind w:left="864" w:hanging="864"/>
      </w:pPr>
      <w:rPr>
        <w:rFonts w:hint="default"/>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6" w15:restartNumberingAfterBreak="0">
    <w:nsid w:val="64677D39"/>
    <w:multiLevelType w:val="hybridMultilevel"/>
    <w:tmpl w:val="91A292A2"/>
    <w:lvl w:ilvl="0" w:tplc="734499C8">
      <w:start w:val="1"/>
      <w:numFmt w:val="upperRoman"/>
      <w:lvlText w:val="%1."/>
      <w:lvlJc w:val="left"/>
      <w:pPr>
        <w:ind w:left="765" w:hanging="720"/>
      </w:pPr>
      <w:rPr>
        <w:rFonts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66D831D0"/>
    <w:multiLevelType w:val="hybridMultilevel"/>
    <w:tmpl w:val="1E8C631E"/>
    <w:lvl w:ilvl="0" w:tplc="10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082C89"/>
    <w:multiLevelType w:val="multilevel"/>
    <w:tmpl w:val="6EEA763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5E6CEC"/>
    <w:multiLevelType w:val="multilevel"/>
    <w:tmpl w:val="DD9E829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7F77E8"/>
    <w:multiLevelType w:val="hybridMultilevel"/>
    <w:tmpl w:val="AB4065B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
  </w:num>
  <w:num w:numId="4">
    <w:abstractNumId w:val="16"/>
  </w:num>
  <w:num w:numId="5">
    <w:abstractNumId w:val="9"/>
  </w:num>
  <w:num w:numId="6">
    <w:abstractNumId w:val="5"/>
  </w:num>
  <w:num w:numId="7">
    <w:abstractNumId w:val="11"/>
  </w:num>
  <w:num w:numId="8">
    <w:abstractNumId w:val="12"/>
  </w:num>
  <w:num w:numId="9">
    <w:abstractNumId w:val="14"/>
  </w:num>
  <w:num w:numId="10">
    <w:abstractNumId w:val="4"/>
  </w:num>
  <w:num w:numId="11">
    <w:abstractNumId w:val="20"/>
  </w:num>
  <w:num w:numId="12">
    <w:abstractNumId w:val="3"/>
  </w:num>
  <w:num w:numId="13">
    <w:abstractNumId w:val="10"/>
  </w:num>
  <w:num w:numId="14">
    <w:abstractNumId w:val="17"/>
  </w:num>
  <w:num w:numId="15">
    <w:abstractNumId w:val="8"/>
  </w:num>
  <w:num w:numId="16">
    <w:abstractNumId w:val="2"/>
  </w:num>
  <w:num w:numId="17">
    <w:abstractNumId w:val="1"/>
  </w:num>
  <w:num w:numId="18">
    <w:abstractNumId w:val="6"/>
  </w:num>
  <w:num w:numId="19">
    <w:abstractNumId w:val="13"/>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F6"/>
    <w:rsid w:val="00000271"/>
    <w:rsid w:val="00001501"/>
    <w:rsid w:val="000017DD"/>
    <w:rsid w:val="00001941"/>
    <w:rsid w:val="00001D79"/>
    <w:rsid w:val="000026A6"/>
    <w:rsid w:val="00002C71"/>
    <w:rsid w:val="00002F20"/>
    <w:rsid w:val="00004220"/>
    <w:rsid w:val="00006C7E"/>
    <w:rsid w:val="00007971"/>
    <w:rsid w:val="00011C9C"/>
    <w:rsid w:val="000166C1"/>
    <w:rsid w:val="00017B3B"/>
    <w:rsid w:val="00021644"/>
    <w:rsid w:val="000221D5"/>
    <w:rsid w:val="000249ED"/>
    <w:rsid w:val="00025284"/>
    <w:rsid w:val="00025E2C"/>
    <w:rsid w:val="000270F6"/>
    <w:rsid w:val="000335A6"/>
    <w:rsid w:val="000339BE"/>
    <w:rsid w:val="0003552B"/>
    <w:rsid w:val="00036623"/>
    <w:rsid w:val="0003764E"/>
    <w:rsid w:val="00041492"/>
    <w:rsid w:val="000417AF"/>
    <w:rsid w:val="00047128"/>
    <w:rsid w:val="00047418"/>
    <w:rsid w:val="00050464"/>
    <w:rsid w:val="00050D2F"/>
    <w:rsid w:val="000514DA"/>
    <w:rsid w:val="000520A7"/>
    <w:rsid w:val="0005699A"/>
    <w:rsid w:val="00057F62"/>
    <w:rsid w:val="00062367"/>
    <w:rsid w:val="0006319B"/>
    <w:rsid w:val="00065E12"/>
    <w:rsid w:val="00067496"/>
    <w:rsid w:val="00071A03"/>
    <w:rsid w:val="00073C9A"/>
    <w:rsid w:val="00074F01"/>
    <w:rsid w:val="000763E5"/>
    <w:rsid w:val="00076496"/>
    <w:rsid w:val="000775C1"/>
    <w:rsid w:val="00077FDD"/>
    <w:rsid w:val="00080461"/>
    <w:rsid w:val="00080D50"/>
    <w:rsid w:val="00084505"/>
    <w:rsid w:val="00085B6E"/>
    <w:rsid w:val="00085EBA"/>
    <w:rsid w:val="0008753F"/>
    <w:rsid w:val="00087544"/>
    <w:rsid w:val="00087634"/>
    <w:rsid w:val="00095237"/>
    <w:rsid w:val="000967ED"/>
    <w:rsid w:val="00096966"/>
    <w:rsid w:val="000A0AA2"/>
    <w:rsid w:val="000A2F7E"/>
    <w:rsid w:val="000A36B5"/>
    <w:rsid w:val="000A54A7"/>
    <w:rsid w:val="000A698B"/>
    <w:rsid w:val="000B006C"/>
    <w:rsid w:val="000B0E01"/>
    <w:rsid w:val="000B3701"/>
    <w:rsid w:val="000B4F22"/>
    <w:rsid w:val="000B60B9"/>
    <w:rsid w:val="000B6691"/>
    <w:rsid w:val="000B7AA2"/>
    <w:rsid w:val="000C0344"/>
    <w:rsid w:val="000C1014"/>
    <w:rsid w:val="000C1A25"/>
    <w:rsid w:val="000C1A68"/>
    <w:rsid w:val="000C1D4D"/>
    <w:rsid w:val="000C279B"/>
    <w:rsid w:val="000C29D6"/>
    <w:rsid w:val="000C2A92"/>
    <w:rsid w:val="000C3FEC"/>
    <w:rsid w:val="000C4AD7"/>
    <w:rsid w:val="000C4D67"/>
    <w:rsid w:val="000C53BE"/>
    <w:rsid w:val="000C6E8D"/>
    <w:rsid w:val="000C75FE"/>
    <w:rsid w:val="000D0A1C"/>
    <w:rsid w:val="000D10F4"/>
    <w:rsid w:val="000D3BEF"/>
    <w:rsid w:val="000D4A27"/>
    <w:rsid w:val="000D55A3"/>
    <w:rsid w:val="000D5D6E"/>
    <w:rsid w:val="000D66BE"/>
    <w:rsid w:val="000D7E66"/>
    <w:rsid w:val="000E1F0E"/>
    <w:rsid w:val="000E2190"/>
    <w:rsid w:val="000E34DD"/>
    <w:rsid w:val="000E3F15"/>
    <w:rsid w:val="000E43D0"/>
    <w:rsid w:val="000E448D"/>
    <w:rsid w:val="000E4B70"/>
    <w:rsid w:val="000E6666"/>
    <w:rsid w:val="000E695D"/>
    <w:rsid w:val="000E7D80"/>
    <w:rsid w:val="000F0CC7"/>
    <w:rsid w:val="000F1729"/>
    <w:rsid w:val="000F304B"/>
    <w:rsid w:val="000F31D3"/>
    <w:rsid w:val="000F476E"/>
    <w:rsid w:val="000F61DA"/>
    <w:rsid w:val="000F6870"/>
    <w:rsid w:val="000F7C84"/>
    <w:rsid w:val="00100FA2"/>
    <w:rsid w:val="00102469"/>
    <w:rsid w:val="001038B1"/>
    <w:rsid w:val="00105EE8"/>
    <w:rsid w:val="00106CF0"/>
    <w:rsid w:val="0011418E"/>
    <w:rsid w:val="001156FE"/>
    <w:rsid w:val="0011619F"/>
    <w:rsid w:val="0011651D"/>
    <w:rsid w:val="00117403"/>
    <w:rsid w:val="00123324"/>
    <w:rsid w:val="0012373F"/>
    <w:rsid w:val="00124E70"/>
    <w:rsid w:val="00125647"/>
    <w:rsid w:val="001261B0"/>
    <w:rsid w:val="00126FB8"/>
    <w:rsid w:val="00131323"/>
    <w:rsid w:val="00131BC0"/>
    <w:rsid w:val="00133286"/>
    <w:rsid w:val="001335CF"/>
    <w:rsid w:val="001339AA"/>
    <w:rsid w:val="00136F4B"/>
    <w:rsid w:val="00137200"/>
    <w:rsid w:val="00142A1E"/>
    <w:rsid w:val="001432F1"/>
    <w:rsid w:val="0014364E"/>
    <w:rsid w:val="0014365E"/>
    <w:rsid w:val="00147391"/>
    <w:rsid w:val="00150099"/>
    <w:rsid w:val="00152A09"/>
    <w:rsid w:val="00153337"/>
    <w:rsid w:val="00153867"/>
    <w:rsid w:val="00153C4F"/>
    <w:rsid w:val="00160059"/>
    <w:rsid w:val="001601B9"/>
    <w:rsid w:val="00160835"/>
    <w:rsid w:val="00160A89"/>
    <w:rsid w:val="001611FC"/>
    <w:rsid w:val="00163055"/>
    <w:rsid w:val="00164C3E"/>
    <w:rsid w:val="001674D6"/>
    <w:rsid w:val="00167975"/>
    <w:rsid w:val="00170963"/>
    <w:rsid w:val="00170E9E"/>
    <w:rsid w:val="001721E2"/>
    <w:rsid w:val="00172283"/>
    <w:rsid w:val="00173EAE"/>
    <w:rsid w:val="001749CE"/>
    <w:rsid w:val="0017542C"/>
    <w:rsid w:val="001756B5"/>
    <w:rsid w:val="00175C23"/>
    <w:rsid w:val="0018006E"/>
    <w:rsid w:val="00180854"/>
    <w:rsid w:val="00180A0E"/>
    <w:rsid w:val="001829A5"/>
    <w:rsid w:val="00182E50"/>
    <w:rsid w:val="0018412B"/>
    <w:rsid w:val="001843DB"/>
    <w:rsid w:val="001879A9"/>
    <w:rsid w:val="00187E1E"/>
    <w:rsid w:val="0019039C"/>
    <w:rsid w:val="00191216"/>
    <w:rsid w:val="0019180E"/>
    <w:rsid w:val="00191AE8"/>
    <w:rsid w:val="001924AD"/>
    <w:rsid w:val="00194D4C"/>
    <w:rsid w:val="001950EB"/>
    <w:rsid w:val="00195D8B"/>
    <w:rsid w:val="00195FF0"/>
    <w:rsid w:val="001966ED"/>
    <w:rsid w:val="001A137C"/>
    <w:rsid w:val="001A50D4"/>
    <w:rsid w:val="001A5C6B"/>
    <w:rsid w:val="001A613A"/>
    <w:rsid w:val="001B07B2"/>
    <w:rsid w:val="001B2234"/>
    <w:rsid w:val="001B4259"/>
    <w:rsid w:val="001B43D3"/>
    <w:rsid w:val="001B4C14"/>
    <w:rsid w:val="001B4D3D"/>
    <w:rsid w:val="001B5A69"/>
    <w:rsid w:val="001B656E"/>
    <w:rsid w:val="001B69BD"/>
    <w:rsid w:val="001B7DD0"/>
    <w:rsid w:val="001C1168"/>
    <w:rsid w:val="001C2713"/>
    <w:rsid w:val="001C2DAF"/>
    <w:rsid w:val="001C4C02"/>
    <w:rsid w:val="001C5216"/>
    <w:rsid w:val="001C6241"/>
    <w:rsid w:val="001C7CA7"/>
    <w:rsid w:val="001C7CDF"/>
    <w:rsid w:val="001D0B5B"/>
    <w:rsid w:val="001D2E72"/>
    <w:rsid w:val="001D5D2B"/>
    <w:rsid w:val="001D7DFC"/>
    <w:rsid w:val="001E02BB"/>
    <w:rsid w:val="001E1597"/>
    <w:rsid w:val="001E1E63"/>
    <w:rsid w:val="001E28A0"/>
    <w:rsid w:val="001E3DB7"/>
    <w:rsid w:val="001E579E"/>
    <w:rsid w:val="001E6DEE"/>
    <w:rsid w:val="001F0BC8"/>
    <w:rsid w:val="001F13DC"/>
    <w:rsid w:val="001F22BB"/>
    <w:rsid w:val="001F2900"/>
    <w:rsid w:val="001F2A2B"/>
    <w:rsid w:val="001F5849"/>
    <w:rsid w:val="001F58C5"/>
    <w:rsid w:val="001F74FB"/>
    <w:rsid w:val="002041A8"/>
    <w:rsid w:val="00204263"/>
    <w:rsid w:val="00204CE1"/>
    <w:rsid w:val="00205BBD"/>
    <w:rsid w:val="00206BE7"/>
    <w:rsid w:val="002139A8"/>
    <w:rsid w:val="00215592"/>
    <w:rsid w:val="0021669B"/>
    <w:rsid w:val="00216E8D"/>
    <w:rsid w:val="00216EFF"/>
    <w:rsid w:val="002213F6"/>
    <w:rsid w:val="002215DA"/>
    <w:rsid w:val="00221D8E"/>
    <w:rsid w:val="00222913"/>
    <w:rsid w:val="002239F6"/>
    <w:rsid w:val="00226155"/>
    <w:rsid w:val="0022647B"/>
    <w:rsid w:val="00226658"/>
    <w:rsid w:val="00226FB9"/>
    <w:rsid w:val="00227905"/>
    <w:rsid w:val="0023230B"/>
    <w:rsid w:val="00235E44"/>
    <w:rsid w:val="002403F9"/>
    <w:rsid w:val="00241ECD"/>
    <w:rsid w:val="00242C14"/>
    <w:rsid w:val="00243EA4"/>
    <w:rsid w:val="00244244"/>
    <w:rsid w:val="00246614"/>
    <w:rsid w:val="00246B8D"/>
    <w:rsid w:val="00250BE9"/>
    <w:rsid w:val="0025124D"/>
    <w:rsid w:val="00251639"/>
    <w:rsid w:val="00251E1C"/>
    <w:rsid w:val="00253236"/>
    <w:rsid w:val="00255AF8"/>
    <w:rsid w:val="00256FA8"/>
    <w:rsid w:val="00257A94"/>
    <w:rsid w:val="00260546"/>
    <w:rsid w:val="00263435"/>
    <w:rsid w:val="00263C1E"/>
    <w:rsid w:val="00264910"/>
    <w:rsid w:val="00265DA8"/>
    <w:rsid w:val="0027470A"/>
    <w:rsid w:val="00274AF0"/>
    <w:rsid w:val="00274F39"/>
    <w:rsid w:val="00275623"/>
    <w:rsid w:val="00281FCD"/>
    <w:rsid w:val="00284A00"/>
    <w:rsid w:val="0028530C"/>
    <w:rsid w:val="002861B8"/>
    <w:rsid w:val="00286A67"/>
    <w:rsid w:val="00287473"/>
    <w:rsid w:val="00287F49"/>
    <w:rsid w:val="002906B2"/>
    <w:rsid w:val="00292D4F"/>
    <w:rsid w:val="00292F2F"/>
    <w:rsid w:val="0029379A"/>
    <w:rsid w:val="00294F1B"/>
    <w:rsid w:val="0029692B"/>
    <w:rsid w:val="00296BB6"/>
    <w:rsid w:val="00297931"/>
    <w:rsid w:val="002A0B27"/>
    <w:rsid w:val="002A46ED"/>
    <w:rsid w:val="002A5E8F"/>
    <w:rsid w:val="002A6F3B"/>
    <w:rsid w:val="002B1785"/>
    <w:rsid w:val="002B303B"/>
    <w:rsid w:val="002B44C0"/>
    <w:rsid w:val="002B62DF"/>
    <w:rsid w:val="002B7181"/>
    <w:rsid w:val="002C169B"/>
    <w:rsid w:val="002C3219"/>
    <w:rsid w:val="002C3D99"/>
    <w:rsid w:val="002C49BF"/>
    <w:rsid w:val="002C5E93"/>
    <w:rsid w:val="002C5F29"/>
    <w:rsid w:val="002C6B76"/>
    <w:rsid w:val="002C7DD6"/>
    <w:rsid w:val="002D2C3A"/>
    <w:rsid w:val="002D76B6"/>
    <w:rsid w:val="002D786C"/>
    <w:rsid w:val="002E073E"/>
    <w:rsid w:val="002E0D7D"/>
    <w:rsid w:val="002E1458"/>
    <w:rsid w:val="002E31F9"/>
    <w:rsid w:val="002E3253"/>
    <w:rsid w:val="002E5B6B"/>
    <w:rsid w:val="002F0F49"/>
    <w:rsid w:val="002F3446"/>
    <w:rsid w:val="002F3B68"/>
    <w:rsid w:val="002F4543"/>
    <w:rsid w:val="002F5528"/>
    <w:rsid w:val="002F747D"/>
    <w:rsid w:val="003007C7"/>
    <w:rsid w:val="00300FD8"/>
    <w:rsid w:val="00302458"/>
    <w:rsid w:val="003031DB"/>
    <w:rsid w:val="003075D1"/>
    <w:rsid w:val="00307AFF"/>
    <w:rsid w:val="00310AC7"/>
    <w:rsid w:val="003115D1"/>
    <w:rsid w:val="003115F3"/>
    <w:rsid w:val="003132DD"/>
    <w:rsid w:val="00315303"/>
    <w:rsid w:val="003162F2"/>
    <w:rsid w:val="003163CB"/>
    <w:rsid w:val="00316541"/>
    <w:rsid w:val="003211CD"/>
    <w:rsid w:val="00321356"/>
    <w:rsid w:val="00321F48"/>
    <w:rsid w:val="00324198"/>
    <w:rsid w:val="00324A91"/>
    <w:rsid w:val="003274F7"/>
    <w:rsid w:val="0033026A"/>
    <w:rsid w:val="00330A02"/>
    <w:rsid w:val="003335DD"/>
    <w:rsid w:val="0033374C"/>
    <w:rsid w:val="00333AB5"/>
    <w:rsid w:val="003365B1"/>
    <w:rsid w:val="00337FB4"/>
    <w:rsid w:val="00341E49"/>
    <w:rsid w:val="0034304B"/>
    <w:rsid w:val="00343CFB"/>
    <w:rsid w:val="00343FF3"/>
    <w:rsid w:val="00347C7E"/>
    <w:rsid w:val="00347FB7"/>
    <w:rsid w:val="00350285"/>
    <w:rsid w:val="00350C28"/>
    <w:rsid w:val="00352723"/>
    <w:rsid w:val="00352B41"/>
    <w:rsid w:val="00352DE7"/>
    <w:rsid w:val="0035381E"/>
    <w:rsid w:val="00353E13"/>
    <w:rsid w:val="00355326"/>
    <w:rsid w:val="00355C28"/>
    <w:rsid w:val="003563D1"/>
    <w:rsid w:val="00356BF7"/>
    <w:rsid w:val="00356E86"/>
    <w:rsid w:val="0035762A"/>
    <w:rsid w:val="00361AE8"/>
    <w:rsid w:val="003637E9"/>
    <w:rsid w:val="00363B6B"/>
    <w:rsid w:val="00363F31"/>
    <w:rsid w:val="00364A3A"/>
    <w:rsid w:val="00364B64"/>
    <w:rsid w:val="0036693C"/>
    <w:rsid w:val="003679D2"/>
    <w:rsid w:val="0037364C"/>
    <w:rsid w:val="00375355"/>
    <w:rsid w:val="00375966"/>
    <w:rsid w:val="00375F88"/>
    <w:rsid w:val="003764D0"/>
    <w:rsid w:val="00377DD9"/>
    <w:rsid w:val="00382593"/>
    <w:rsid w:val="0038332D"/>
    <w:rsid w:val="00383710"/>
    <w:rsid w:val="00383CA7"/>
    <w:rsid w:val="00384199"/>
    <w:rsid w:val="00387CCA"/>
    <w:rsid w:val="00391CED"/>
    <w:rsid w:val="003937AC"/>
    <w:rsid w:val="00395D72"/>
    <w:rsid w:val="003A3DE7"/>
    <w:rsid w:val="003A5ECB"/>
    <w:rsid w:val="003A7822"/>
    <w:rsid w:val="003B0D27"/>
    <w:rsid w:val="003B0F2C"/>
    <w:rsid w:val="003B1ED3"/>
    <w:rsid w:val="003B2455"/>
    <w:rsid w:val="003B2C58"/>
    <w:rsid w:val="003B2D1B"/>
    <w:rsid w:val="003B2ED8"/>
    <w:rsid w:val="003B3299"/>
    <w:rsid w:val="003B647D"/>
    <w:rsid w:val="003B686B"/>
    <w:rsid w:val="003C033C"/>
    <w:rsid w:val="003C0489"/>
    <w:rsid w:val="003C0613"/>
    <w:rsid w:val="003C0AC8"/>
    <w:rsid w:val="003C1260"/>
    <w:rsid w:val="003C37FA"/>
    <w:rsid w:val="003C42D2"/>
    <w:rsid w:val="003C7D41"/>
    <w:rsid w:val="003D2115"/>
    <w:rsid w:val="003D3E10"/>
    <w:rsid w:val="003E1D05"/>
    <w:rsid w:val="003E29A3"/>
    <w:rsid w:val="003E5764"/>
    <w:rsid w:val="003E5A4E"/>
    <w:rsid w:val="003E6882"/>
    <w:rsid w:val="003F4BAA"/>
    <w:rsid w:val="003F4D2D"/>
    <w:rsid w:val="003F4E01"/>
    <w:rsid w:val="003F75FE"/>
    <w:rsid w:val="00400334"/>
    <w:rsid w:val="00401389"/>
    <w:rsid w:val="004015E2"/>
    <w:rsid w:val="00404906"/>
    <w:rsid w:val="00404E7B"/>
    <w:rsid w:val="00406C70"/>
    <w:rsid w:val="00410274"/>
    <w:rsid w:val="0041158A"/>
    <w:rsid w:val="004142C9"/>
    <w:rsid w:val="00415127"/>
    <w:rsid w:val="00416E34"/>
    <w:rsid w:val="00421DA4"/>
    <w:rsid w:val="00422D9F"/>
    <w:rsid w:val="0042309B"/>
    <w:rsid w:val="0042346E"/>
    <w:rsid w:val="00430CB0"/>
    <w:rsid w:val="004337DE"/>
    <w:rsid w:val="00433ED8"/>
    <w:rsid w:val="004359F2"/>
    <w:rsid w:val="00435DAF"/>
    <w:rsid w:val="00441836"/>
    <w:rsid w:val="00441F4D"/>
    <w:rsid w:val="00442314"/>
    <w:rsid w:val="0044314A"/>
    <w:rsid w:val="00444FB7"/>
    <w:rsid w:val="004451F6"/>
    <w:rsid w:val="0044702D"/>
    <w:rsid w:val="00450B86"/>
    <w:rsid w:val="00452325"/>
    <w:rsid w:val="00452D65"/>
    <w:rsid w:val="00454B60"/>
    <w:rsid w:val="00455AA7"/>
    <w:rsid w:val="00457A70"/>
    <w:rsid w:val="00457F1E"/>
    <w:rsid w:val="004604F4"/>
    <w:rsid w:val="00460764"/>
    <w:rsid w:val="00460A54"/>
    <w:rsid w:val="00460B46"/>
    <w:rsid w:val="004617E0"/>
    <w:rsid w:val="00461936"/>
    <w:rsid w:val="0046447D"/>
    <w:rsid w:val="004648D4"/>
    <w:rsid w:val="00471408"/>
    <w:rsid w:val="0047254C"/>
    <w:rsid w:val="00472614"/>
    <w:rsid w:val="00472764"/>
    <w:rsid w:val="004734DA"/>
    <w:rsid w:val="004740AE"/>
    <w:rsid w:val="00476016"/>
    <w:rsid w:val="00476BC7"/>
    <w:rsid w:val="004809DC"/>
    <w:rsid w:val="00481687"/>
    <w:rsid w:val="00482A22"/>
    <w:rsid w:val="00482CDD"/>
    <w:rsid w:val="00482D7C"/>
    <w:rsid w:val="00483CD5"/>
    <w:rsid w:val="00484063"/>
    <w:rsid w:val="0048768D"/>
    <w:rsid w:val="004907E9"/>
    <w:rsid w:val="00490B49"/>
    <w:rsid w:val="0049117B"/>
    <w:rsid w:val="0049333C"/>
    <w:rsid w:val="00494EE3"/>
    <w:rsid w:val="00497B54"/>
    <w:rsid w:val="00497C90"/>
    <w:rsid w:val="004A0174"/>
    <w:rsid w:val="004A082F"/>
    <w:rsid w:val="004A0C3C"/>
    <w:rsid w:val="004A13A7"/>
    <w:rsid w:val="004A16D8"/>
    <w:rsid w:val="004A215E"/>
    <w:rsid w:val="004A2E81"/>
    <w:rsid w:val="004A2F11"/>
    <w:rsid w:val="004A4980"/>
    <w:rsid w:val="004B04CC"/>
    <w:rsid w:val="004B1701"/>
    <w:rsid w:val="004B1F3E"/>
    <w:rsid w:val="004B2554"/>
    <w:rsid w:val="004C2E12"/>
    <w:rsid w:val="004C33CC"/>
    <w:rsid w:val="004C59DC"/>
    <w:rsid w:val="004C5F5E"/>
    <w:rsid w:val="004C787C"/>
    <w:rsid w:val="004D036B"/>
    <w:rsid w:val="004D049B"/>
    <w:rsid w:val="004D1735"/>
    <w:rsid w:val="004D2D7F"/>
    <w:rsid w:val="004D3EA5"/>
    <w:rsid w:val="004D4920"/>
    <w:rsid w:val="004D5C4A"/>
    <w:rsid w:val="004D6968"/>
    <w:rsid w:val="004E03B3"/>
    <w:rsid w:val="004E346A"/>
    <w:rsid w:val="004F1701"/>
    <w:rsid w:val="004F4633"/>
    <w:rsid w:val="004F48BD"/>
    <w:rsid w:val="004F52F4"/>
    <w:rsid w:val="00502E9E"/>
    <w:rsid w:val="00506925"/>
    <w:rsid w:val="00510F8D"/>
    <w:rsid w:val="0051210E"/>
    <w:rsid w:val="00514715"/>
    <w:rsid w:val="00517564"/>
    <w:rsid w:val="005200C4"/>
    <w:rsid w:val="00522B3D"/>
    <w:rsid w:val="00523005"/>
    <w:rsid w:val="0052348A"/>
    <w:rsid w:val="00523935"/>
    <w:rsid w:val="0052400C"/>
    <w:rsid w:val="0052500A"/>
    <w:rsid w:val="005260F4"/>
    <w:rsid w:val="00526D7F"/>
    <w:rsid w:val="0052784F"/>
    <w:rsid w:val="005314D1"/>
    <w:rsid w:val="005321A7"/>
    <w:rsid w:val="0053246B"/>
    <w:rsid w:val="00532F99"/>
    <w:rsid w:val="005332EC"/>
    <w:rsid w:val="005339DB"/>
    <w:rsid w:val="00533FD2"/>
    <w:rsid w:val="00534E33"/>
    <w:rsid w:val="00535533"/>
    <w:rsid w:val="00536CE7"/>
    <w:rsid w:val="00536D9D"/>
    <w:rsid w:val="0053757E"/>
    <w:rsid w:val="005476F5"/>
    <w:rsid w:val="0054788E"/>
    <w:rsid w:val="00547D32"/>
    <w:rsid w:val="00547DC9"/>
    <w:rsid w:val="0055487A"/>
    <w:rsid w:val="00555054"/>
    <w:rsid w:val="00555922"/>
    <w:rsid w:val="00557714"/>
    <w:rsid w:val="005601C9"/>
    <w:rsid w:val="00560D51"/>
    <w:rsid w:val="005623C0"/>
    <w:rsid w:val="00563088"/>
    <w:rsid w:val="005644BD"/>
    <w:rsid w:val="00565E58"/>
    <w:rsid w:val="00571C86"/>
    <w:rsid w:val="00576583"/>
    <w:rsid w:val="00577829"/>
    <w:rsid w:val="0058066B"/>
    <w:rsid w:val="00582B25"/>
    <w:rsid w:val="00583EC1"/>
    <w:rsid w:val="00583FE6"/>
    <w:rsid w:val="00586960"/>
    <w:rsid w:val="0059533F"/>
    <w:rsid w:val="00597B0E"/>
    <w:rsid w:val="005A01B6"/>
    <w:rsid w:val="005A0331"/>
    <w:rsid w:val="005A05F3"/>
    <w:rsid w:val="005A09EA"/>
    <w:rsid w:val="005A3542"/>
    <w:rsid w:val="005A370A"/>
    <w:rsid w:val="005A6477"/>
    <w:rsid w:val="005A7CEF"/>
    <w:rsid w:val="005A7D7C"/>
    <w:rsid w:val="005A7F15"/>
    <w:rsid w:val="005B1AE1"/>
    <w:rsid w:val="005B26F4"/>
    <w:rsid w:val="005B50BA"/>
    <w:rsid w:val="005B541E"/>
    <w:rsid w:val="005B5FBA"/>
    <w:rsid w:val="005C09BF"/>
    <w:rsid w:val="005C0E74"/>
    <w:rsid w:val="005C0EE0"/>
    <w:rsid w:val="005C351E"/>
    <w:rsid w:val="005C3EEB"/>
    <w:rsid w:val="005D06A8"/>
    <w:rsid w:val="005D39D6"/>
    <w:rsid w:val="005D469E"/>
    <w:rsid w:val="005D4DF3"/>
    <w:rsid w:val="005D5407"/>
    <w:rsid w:val="005D5780"/>
    <w:rsid w:val="005D5E94"/>
    <w:rsid w:val="005D60B5"/>
    <w:rsid w:val="005D688B"/>
    <w:rsid w:val="005D6E54"/>
    <w:rsid w:val="005D73C4"/>
    <w:rsid w:val="005E1875"/>
    <w:rsid w:val="005E3C5A"/>
    <w:rsid w:val="005E3EA6"/>
    <w:rsid w:val="005E4E2A"/>
    <w:rsid w:val="005E5539"/>
    <w:rsid w:val="005E5B9E"/>
    <w:rsid w:val="005E6DF8"/>
    <w:rsid w:val="005E739F"/>
    <w:rsid w:val="005F10FC"/>
    <w:rsid w:val="005F13A0"/>
    <w:rsid w:val="005F1E18"/>
    <w:rsid w:val="005F28C9"/>
    <w:rsid w:val="005F2F01"/>
    <w:rsid w:val="005F3662"/>
    <w:rsid w:val="005F62EB"/>
    <w:rsid w:val="00605361"/>
    <w:rsid w:val="006053BC"/>
    <w:rsid w:val="006071AB"/>
    <w:rsid w:val="00610352"/>
    <w:rsid w:val="00610BEC"/>
    <w:rsid w:val="00612210"/>
    <w:rsid w:val="0061313E"/>
    <w:rsid w:val="006132CB"/>
    <w:rsid w:val="00614E1F"/>
    <w:rsid w:val="00615712"/>
    <w:rsid w:val="0061587B"/>
    <w:rsid w:val="0061590C"/>
    <w:rsid w:val="00617AC2"/>
    <w:rsid w:val="00621EAC"/>
    <w:rsid w:val="00623B41"/>
    <w:rsid w:val="00624BD5"/>
    <w:rsid w:val="00624DB0"/>
    <w:rsid w:val="00625BE6"/>
    <w:rsid w:val="00627F81"/>
    <w:rsid w:val="00630029"/>
    <w:rsid w:val="00630446"/>
    <w:rsid w:val="0063194D"/>
    <w:rsid w:val="00631AAA"/>
    <w:rsid w:val="006349DA"/>
    <w:rsid w:val="006358A6"/>
    <w:rsid w:val="00637588"/>
    <w:rsid w:val="00641AE2"/>
    <w:rsid w:val="00641EB4"/>
    <w:rsid w:val="006424E6"/>
    <w:rsid w:val="00642A60"/>
    <w:rsid w:val="00643DBD"/>
    <w:rsid w:val="00652A97"/>
    <w:rsid w:val="006530E7"/>
    <w:rsid w:val="006540E0"/>
    <w:rsid w:val="006544BD"/>
    <w:rsid w:val="0065480D"/>
    <w:rsid w:val="00655806"/>
    <w:rsid w:val="0066074B"/>
    <w:rsid w:val="00661DD1"/>
    <w:rsid w:val="00661FB2"/>
    <w:rsid w:val="00662800"/>
    <w:rsid w:val="006636C1"/>
    <w:rsid w:val="006675C4"/>
    <w:rsid w:val="006718F8"/>
    <w:rsid w:val="00672D68"/>
    <w:rsid w:val="00674CAE"/>
    <w:rsid w:val="006758F2"/>
    <w:rsid w:val="006759BB"/>
    <w:rsid w:val="006774A6"/>
    <w:rsid w:val="00677BBD"/>
    <w:rsid w:val="00680151"/>
    <w:rsid w:val="00680949"/>
    <w:rsid w:val="00680A2F"/>
    <w:rsid w:val="00680C5C"/>
    <w:rsid w:val="006837A4"/>
    <w:rsid w:val="006919BD"/>
    <w:rsid w:val="00692059"/>
    <w:rsid w:val="00692914"/>
    <w:rsid w:val="00694683"/>
    <w:rsid w:val="006946C3"/>
    <w:rsid w:val="00695001"/>
    <w:rsid w:val="006A119C"/>
    <w:rsid w:val="006A1AD7"/>
    <w:rsid w:val="006A1D24"/>
    <w:rsid w:val="006A2799"/>
    <w:rsid w:val="006A3A7C"/>
    <w:rsid w:val="006A45F3"/>
    <w:rsid w:val="006A4C2A"/>
    <w:rsid w:val="006A518B"/>
    <w:rsid w:val="006A7F59"/>
    <w:rsid w:val="006B1557"/>
    <w:rsid w:val="006B4271"/>
    <w:rsid w:val="006B46E3"/>
    <w:rsid w:val="006B6329"/>
    <w:rsid w:val="006B7981"/>
    <w:rsid w:val="006B7D52"/>
    <w:rsid w:val="006C07DB"/>
    <w:rsid w:val="006C0E09"/>
    <w:rsid w:val="006C138E"/>
    <w:rsid w:val="006C1510"/>
    <w:rsid w:val="006C4EC2"/>
    <w:rsid w:val="006C5635"/>
    <w:rsid w:val="006C5677"/>
    <w:rsid w:val="006C5C76"/>
    <w:rsid w:val="006C70CB"/>
    <w:rsid w:val="006C7AF9"/>
    <w:rsid w:val="006D0879"/>
    <w:rsid w:val="006D0B41"/>
    <w:rsid w:val="006D1AB1"/>
    <w:rsid w:val="006D1C25"/>
    <w:rsid w:val="006D2A33"/>
    <w:rsid w:val="006D2D15"/>
    <w:rsid w:val="006D343C"/>
    <w:rsid w:val="006D4681"/>
    <w:rsid w:val="006D54AB"/>
    <w:rsid w:val="006D7949"/>
    <w:rsid w:val="006E0BB8"/>
    <w:rsid w:val="006E0E06"/>
    <w:rsid w:val="006E2A25"/>
    <w:rsid w:val="006E2ECF"/>
    <w:rsid w:val="006E5394"/>
    <w:rsid w:val="006E7B50"/>
    <w:rsid w:val="006F0E44"/>
    <w:rsid w:val="006F0E4E"/>
    <w:rsid w:val="006F1C7E"/>
    <w:rsid w:val="006F2B8E"/>
    <w:rsid w:val="006F2F23"/>
    <w:rsid w:val="006F2F40"/>
    <w:rsid w:val="006F3F51"/>
    <w:rsid w:val="006F4D73"/>
    <w:rsid w:val="006F6E6E"/>
    <w:rsid w:val="00700218"/>
    <w:rsid w:val="0070257D"/>
    <w:rsid w:val="00704EFF"/>
    <w:rsid w:val="007060F1"/>
    <w:rsid w:val="007067C0"/>
    <w:rsid w:val="007101C4"/>
    <w:rsid w:val="00712997"/>
    <w:rsid w:val="0071442C"/>
    <w:rsid w:val="00715A35"/>
    <w:rsid w:val="0071706B"/>
    <w:rsid w:val="007178B3"/>
    <w:rsid w:val="0071791D"/>
    <w:rsid w:val="00721F8E"/>
    <w:rsid w:val="00722020"/>
    <w:rsid w:val="00722120"/>
    <w:rsid w:val="0072600C"/>
    <w:rsid w:val="00727C35"/>
    <w:rsid w:val="007359B3"/>
    <w:rsid w:val="00736D5F"/>
    <w:rsid w:val="007377D3"/>
    <w:rsid w:val="00741373"/>
    <w:rsid w:val="007430BE"/>
    <w:rsid w:val="00743E34"/>
    <w:rsid w:val="00744246"/>
    <w:rsid w:val="0074571E"/>
    <w:rsid w:val="00750655"/>
    <w:rsid w:val="00750D48"/>
    <w:rsid w:val="00752172"/>
    <w:rsid w:val="0075371D"/>
    <w:rsid w:val="00754018"/>
    <w:rsid w:val="00756B96"/>
    <w:rsid w:val="00756E06"/>
    <w:rsid w:val="0076211D"/>
    <w:rsid w:val="00762149"/>
    <w:rsid w:val="0076425B"/>
    <w:rsid w:val="007652B1"/>
    <w:rsid w:val="00765C17"/>
    <w:rsid w:val="00770D1D"/>
    <w:rsid w:val="00771A67"/>
    <w:rsid w:val="00772667"/>
    <w:rsid w:val="00772BCE"/>
    <w:rsid w:val="00772C18"/>
    <w:rsid w:val="00773774"/>
    <w:rsid w:val="007756D9"/>
    <w:rsid w:val="00776D5B"/>
    <w:rsid w:val="007771BA"/>
    <w:rsid w:val="00777EC0"/>
    <w:rsid w:val="0078204F"/>
    <w:rsid w:val="00784896"/>
    <w:rsid w:val="00785338"/>
    <w:rsid w:val="007878B4"/>
    <w:rsid w:val="00787BA4"/>
    <w:rsid w:val="00791646"/>
    <w:rsid w:val="00791886"/>
    <w:rsid w:val="007924CE"/>
    <w:rsid w:val="00794082"/>
    <w:rsid w:val="007946C6"/>
    <w:rsid w:val="00794A59"/>
    <w:rsid w:val="00796204"/>
    <w:rsid w:val="00796B20"/>
    <w:rsid w:val="00797573"/>
    <w:rsid w:val="007A0F3F"/>
    <w:rsid w:val="007A10AE"/>
    <w:rsid w:val="007A66B1"/>
    <w:rsid w:val="007A6CD2"/>
    <w:rsid w:val="007A70E2"/>
    <w:rsid w:val="007B0875"/>
    <w:rsid w:val="007B105F"/>
    <w:rsid w:val="007B1559"/>
    <w:rsid w:val="007B2680"/>
    <w:rsid w:val="007B327B"/>
    <w:rsid w:val="007B7AC2"/>
    <w:rsid w:val="007B7FD9"/>
    <w:rsid w:val="007C0505"/>
    <w:rsid w:val="007C07BC"/>
    <w:rsid w:val="007C30F0"/>
    <w:rsid w:val="007C3928"/>
    <w:rsid w:val="007C5736"/>
    <w:rsid w:val="007C705E"/>
    <w:rsid w:val="007C7DEE"/>
    <w:rsid w:val="007D05AE"/>
    <w:rsid w:val="007D0A42"/>
    <w:rsid w:val="007D29D1"/>
    <w:rsid w:val="007D343A"/>
    <w:rsid w:val="007D3D70"/>
    <w:rsid w:val="007D4518"/>
    <w:rsid w:val="007D6051"/>
    <w:rsid w:val="007D7130"/>
    <w:rsid w:val="007D7778"/>
    <w:rsid w:val="007D7C0A"/>
    <w:rsid w:val="007E0493"/>
    <w:rsid w:val="007E1193"/>
    <w:rsid w:val="007E6562"/>
    <w:rsid w:val="007E6801"/>
    <w:rsid w:val="007E7F52"/>
    <w:rsid w:val="007F0244"/>
    <w:rsid w:val="007F1344"/>
    <w:rsid w:val="007F3F4E"/>
    <w:rsid w:val="007F5E8C"/>
    <w:rsid w:val="007F62FE"/>
    <w:rsid w:val="007F6C67"/>
    <w:rsid w:val="007F77D8"/>
    <w:rsid w:val="00801582"/>
    <w:rsid w:val="008039A6"/>
    <w:rsid w:val="00805322"/>
    <w:rsid w:val="00805ECC"/>
    <w:rsid w:val="008063C7"/>
    <w:rsid w:val="008064EB"/>
    <w:rsid w:val="0081070D"/>
    <w:rsid w:val="00811E87"/>
    <w:rsid w:val="0081212B"/>
    <w:rsid w:val="00813A60"/>
    <w:rsid w:val="00817631"/>
    <w:rsid w:val="008201B9"/>
    <w:rsid w:val="008213FF"/>
    <w:rsid w:val="0082249D"/>
    <w:rsid w:val="0082462B"/>
    <w:rsid w:val="0082510F"/>
    <w:rsid w:val="00825766"/>
    <w:rsid w:val="008279FE"/>
    <w:rsid w:val="0083018E"/>
    <w:rsid w:val="00830795"/>
    <w:rsid w:val="00835314"/>
    <w:rsid w:val="00835DB0"/>
    <w:rsid w:val="00836931"/>
    <w:rsid w:val="00841144"/>
    <w:rsid w:val="00841BE2"/>
    <w:rsid w:val="00842016"/>
    <w:rsid w:val="008438D3"/>
    <w:rsid w:val="00844467"/>
    <w:rsid w:val="00846034"/>
    <w:rsid w:val="00847201"/>
    <w:rsid w:val="008477AB"/>
    <w:rsid w:val="00847EF2"/>
    <w:rsid w:val="00850A28"/>
    <w:rsid w:val="008517A4"/>
    <w:rsid w:val="00851FB9"/>
    <w:rsid w:val="0085243E"/>
    <w:rsid w:val="00852D19"/>
    <w:rsid w:val="00853134"/>
    <w:rsid w:val="008537D0"/>
    <w:rsid w:val="0085525B"/>
    <w:rsid w:val="0085675F"/>
    <w:rsid w:val="00857076"/>
    <w:rsid w:val="00857F2A"/>
    <w:rsid w:val="0086163E"/>
    <w:rsid w:val="00864D25"/>
    <w:rsid w:val="0086613A"/>
    <w:rsid w:val="008672D0"/>
    <w:rsid w:val="00871F30"/>
    <w:rsid w:val="00872165"/>
    <w:rsid w:val="0087390E"/>
    <w:rsid w:val="0087532F"/>
    <w:rsid w:val="008764D5"/>
    <w:rsid w:val="008818FB"/>
    <w:rsid w:val="00881B57"/>
    <w:rsid w:val="0088202A"/>
    <w:rsid w:val="0088390C"/>
    <w:rsid w:val="008839AF"/>
    <w:rsid w:val="00883F26"/>
    <w:rsid w:val="00884F98"/>
    <w:rsid w:val="0088577C"/>
    <w:rsid w:val="008858B7"/>
    <w:rsid w:val="00886701"/>
    <w:rsid w:val="008926E9"/>
    <w:rsid w:val="00893D0E"/>
    <w:rsid w:val="00893F58"/>
    <w:rsid w:val="008943EC"/>
    <w:rsid w:val="008948B0"/>
    <w:rsid w:val="00895451"/>
    <w:rsid w:val="0089563E"/>
    <w:rsid w:val="008A0E22"/>
    <w:rsid w:val="008A3A16"/>
    <w:rsid w:val="008A65B9"/>
    <w:rsid w:val="008A6B22"/>
    <w:rsid w:val="008A6BC1"/>
    <w:rsid w:val="008B0397"/>
    <w:rsid w:val="008B0C2F"/>
    <w:rsid w:val="008B2C6D"/>
    <w:rsid w:val="008B5887"/>
    <w:rsid w:val="008C13D3"/>
    <w:rsid w:val="008C3001"/>
    <w:rsid w:val="008C6480"/>
    <w:rsid w:val="008C69DA"/>
    <w:rsid w:val="008C7AC4"/>
    <w:rsid w:val="008D0017"/>
    <w:rsid w:val="008D0365"/>
    <w:rsid w:val="008D0D72"/>
    <w:rsid w:val="008D4D2C"/>
    <w:rsid w:val="008D5392"/>
    <w:rsid w:val="008D5FA4"/>
    <w:rsid w:val="008D6CEB"/>
    <w:rsid w:val="008E0A28"/>
    <w:rsid w:val="008E342B"/>
    <w:rsid w:val="008E3B15"/>
    <w:rsid w:val="008E3FA2"/>
    <w:rsid w:val="008E4A27"/>
    <w:rsid w:val="008E4AD8"/>
    <w:rsid w:val="008E4CE4"/>
    <w:rsid w:val="008E7684"/>
    <w:rsid w:val="008F08E2"/>
    <w:rsid w:val="008F1837"/>
    <w:rsid w:val="008F32A9"/>
    <w:rsid w:val="008F465B"/>
    <w:rsid w:val="008F5B82"/>
    <w:rsid w:val="008F5FCE"/>
    <w:rsid w:val="008F6A71"/>
    <w:rsid w:val="008F6A74"/>
    <w:rsid w:val="008F7759"/>
    <w:rsid w:val="008F79FC"/>
    <w:rsid w:val="008F7C78"/>
    <w:rsid w:val="0090230E"/>
    <w:rsid w:val="00902398"/>
    <w:rsid w:val="009026CF"/>
    <w:rsid w:val="00902E8B"/>
    <w:rsid w:val="0090444B"/>
    <w:rsid w:val="0090674B"/>
    <w:rsid w:val="00907A87"/>
    <w:rsid w:val="00910F6F"/>
    <w:rsid w:val="009112B4"/>
    <w:rsid w:val="0091167B"/>
    <w:rsid w:val="009117D7"/>
    <w:rsid w:val="00911913"/>
    <w:rsid w:val="00911D6C"/>
    <w:rsid w:val="00911D79"/>
    <w:rsid w:val="00912DE0"/>
    <w:rsid w:val="00913349"/>
    <w:rsid w:val="009162A3"/>
    <w:rsid w:val="00916F68"/>
    <w:rsid w:val="0092064F"/>
    <w:rsid w:val="00922575"/>
    <w:rsid w:val="00924250"/>
    <w:rsid w:val="00924981"/>
    <w:rsid w:val="00925404"/>
    <w:rsid w:val="00925570"/>
    <w:rsid w:val="009276D1"/>
    <w:rsid w:val="00930B59"/>
    <w:rsid w:val="00931E44"/>
    <w:rsid w:val="009329AD"/>
    <w:rsid w:val="009335BA"/>
    <w:rsid w:val="009347E8"/>
    <w:rsid w:val="0093487B"/>
    <w:rsid w:val="009364D3"/>
    <w:rsid w:val="00936DB6"/>
    <w:rsid w:val="009370F6"/>
    <w:rsid w:val="009408C3"/>
    <w:rsid w:val="009411FF"/>
    <w:rsid w:val="0094631B"/>
    <w:rsid w:val="009465BE"/>
    <w:rsid w:val="009479BE"/>
    <w:rsid w:val="00955AE0"/>
    <w:rsid w:val="00955D98"/>
    <w:rsid w:val="00960FE5"/>
    <w:rsid w:val="00961245"/>
    <w:rsid w:val="00963F63"/>
    <w:rsid w:val="009643A9"/>
    <w:rsid w:val="00964C17"/>
    <w:rsid w:val="00966986"/>
    <w:rsid w:val="00966DD5"/>
    <w:rsid w:val="00967920"/>
    <w:rsid w:val="0097080E"/>
    <w:rsid w:val="0097399F"/>
    <w:rsid w:val="00974A44"/>
    <w:rsid w:val="00984025"/>
    <w:rsid w:val="00984A53"/>
    <w:rsid w:val="00984F5F"/>
    <w:rsid w:val="00992608"/>
    <w:rsid w:val="00993E91"/>
    <w:rsid w:val="009943B2"/>
    <w:rsid w:val="00995E79"/>
    <w:rsid w:val="009A0C68"/>
    <w:rsid w:val="009A1186"/>
    <w:rsid w:val="009A20B8"/>
    <w:rsid w:val="009A2422"/>
    <w:rsid w:val="009A2E49"/>
    <w:rsid w:val="009A303E"/>
    <w:rsid w:val="009A3A43"/>
    <w:rsid w:val="009A4D94"/>
    <w:rsid w:val="009B198F"/>
    <w:rsid w:val="009B1B2D"/>
    <w:rsid w:val="009B1CF6"/>
    <w:rsid w:val="009B23AE"/>
    <w:rsid w:val="009C0920"/>
    <w:rsid w:val="009C1A55"/>
    <w:rsid w:val="009C1F9A"/>
    <w:rsid w:val="009C2D46"/>
    <w:rsid w:val="009C33DF"/>
    <w:rsid w:val="009C4BAC"/>
    <w:rsid w:val="009C6A73"/>
    <w:rsid w:val="009C767C"/>
    <w:rsid w:val="009C7CBA"/>
    <w:rsid w:val="009C7CEA"/>
    <w:rsid w:val="009D1B6E"/>
    <w:rsid w:val="009D1B7F"/>
    <w:rsid w:val="009D2517"/>
    <w:rsid w:val="009D3C80"/>
    <w:rsid w:val="009D45C1"/>
    <w:rsid w:val="009D4625"/>
    <w:rsid w:val="009D4D2F"/>
    <w:rsid w:val="009D7DEE"/>
    <w:rsid w:val="009E05C3"/>
    <w:rsid w:val="009E05CC"/>
    <w:rsid w:val="009E08D9"/>
    <w:rsid w:val="009E136C"/>
    <w:rsid w:val="009E1FDC"/>
    <w:rsid w:val="009E35DD"/>
    <w:rsid w:val="009E37DB"/>
    <w:rsid w:val="009E3FCA"/>
    <w:rsid w:val="009E5810"/>
    <w:rsid w:val="009E7527"/>
    <w:rsid w:val="009E7A0A"/>
    <w:rsid w:val="009F0557"/>
    <w:rsid w:val="009F07EF"/>
    <w:rsid w:val="009F2044"/>
    <w:rsid w:val="009F22F8"/>
    <w:rsid w:val="009F26A0"/>
    <w:rsid w:val="009F465C"/>
    <w:rsid w:val="009F5036"/>
    <w:rsid w:val="009F6567"/>
    <w:rsid w:val="009F7DEF"/>
    <w:rsid w:val="00A017C7"/>
    <w:rsid w:val="00A02716"/>
    <w:rsid w:val="00A030B6"/>
    <w:rsid w:val="00A030D2"/>
    <w:rsid w:val="00A0357E"/>
    <w:rsid w:val="00A0375A"/>
    <w:rsid w:val="00A0386D"/>
    <w:rsid w:val="00A04487"/>
    <w:rsid w:val="00A04565"/>
    <w:rsid w:val="00A06D5A"/>
    <w:rsid w:val="00A0720E"/>
    <w:rsid w:val="00A07512"/>
    <w:rsid w:val="00A07DE3"/>
    <w:rsid w:val="00A10761"/>
    <w:rsid w:val="00A11AE2"/>
    <w:rsid w:val="00A126BB"/>
    <w:rsid w:val="00A13602"/>
    <w:rsid w:val="00A1570F"/>
    <w:rsid w:val="00A16360"/>
    <w:rsid w:val="00A20182"/>
    <w:rsid w:val="00A21BDB"/>
    <w:rsid w:val="00A2274E"/>
    <w:rsid w:val="00A243DE"/>
    <w:rsid w:val="00A25C3B"/>
    <w:rsid w:val="00A26C0A"/>
    <w:rsid w:val="00A33F37"/>
    <w:rsid w:val="00A3467F"/>
    <w:rsid w:val="00A34A28"/>
    <w:rsid w:val="00A36BF3"/>
    <w:rsid w:val="00A41077"/>
    <w:rsid w:val="00A428B0"/>
    <w:rsid w:val="00A43495"/>
    <w:rsid w:val="00A435F6"/>
    <w:rsid w:val="00A462EC"/>
    <w:rsid w:val="00A507B2"/>
    <w:rsid w:val="00A5164A"/>
    <w:rsid w:val="00A5208E"/>
    <w:rsid w:val="00A532B9"/>
    <w:rsid w:val="00A55394"/>
    <w:rsid w:val="00A601D7"/>
    <w:rsid w:val="00A622BE"/>
    <w:rsid w:val="00A62C52"/>
    <w:rsid w:val="00A635C0"/>
    <w:rsid w:val="00A6415B"/>
    <w:rsid w:val="00A65142"/>
    <w:rsid w:val="00A65493"/>
    <w:rsid w:val="00A71D85"/>
    <w:rsid w:val="00A73CE6"/>
    <w:rsid w:val="00A7422A"/>
    <w:rsid w:val="00A74BA7"/>
    <w:rsid w:val="00A751BF"/>
    <w:rsid w:val="00A75333"/>
    <w:rsid w:val="00A812F2"/>
    <w:rsid w:val="00A81CC7"/>
    <w:rsid w:val="00A82F99"/>
    <w:rsid w:val="00A831CA"/>
    <w:rsid w:val="00A85E57"/>
    <w:rsid w:val="00A870F6"/>
    <w:rsid w:val="00A91867"/>
    <w:rsid w:val="00A92500"/>
    <w:rsid w:val="00A927FE"/>
    <w:rsid w:val="00A937E5"/>
    <w:rsid w:val="00A9440E"/>
    <w:rsid w:val="00A94F1A"/>
    <w:rsid w:val="00A9518D"/>
    <w:rsid w:val="00A96B2A"/>
    <w:rsid w:val="00A97643"/>
    <w:rsid w:val="00AA3E34"/>
    <w:rsid w:val="00AA4F1F"/>
    <w:rsid w:val="00AA666D"/>
    <w:rsid w:val="00AA798B"/>
    <w:rsid w:val="00AB3D81"/>
    <w:rsid w:val="00AB47B1"/>
    <w:rsid w:val="00AB4C9C"/>
    <w:rsid w:val="00AB69C8"/>
    <w:rsid w:val="00AB79ED"/>
    <w:rsid w:val="00AC0A03"/>
    <w:rsid w:val="00AC10E8"/>
    <w:rsid w:val="00AC11A5"/>
    <w:rsid w:val="00AC1428"/>
    <w:rsid w:val="00AC17B7"/>
    <w:rsid w:val="00AC26E8"/>
    <w:rsid w:val="00AC33DC"/>
    <w:rsid w:val="00AC4875"/>
    <w:rsid w:val="00AC57FF"/>
    <w:rsid w:val="00AC6B2A"/>
    <w:rsid w:val="00AC786F"/>
    <w:rsid w:val="00AD0892"/>
    <w:rsid w:val="00AD154B"/>
    <w:rsid w:val="00AD1854"/>
    <w:rsid w:val="00AD28C9"/>
    <w:rsid w:val="00AD2FED"/>
    <w:rsid w:val="00AD4ECF"/>
    <w:rsid w:val="00AD6356"/>
    <w:rsid w:val="00AD655F"/>
    <w:rsid w:val="00AD6C9D"/>
    <w:rsid w:val="00AD6D6D"/>
    <w:rsid w:val="00AD7555"/>
    <w:rsid w:val="00AE17A4"/>
    <w:rsid w:val="00AE2B75"/>
    <w:rsid w:val="00AE428D"/>
    <w:rsid w:val="00AE43F2"/>
    <w:rsid w:val="00AE4E5C"/>
    <w:rsid w:val="00AE5598"/>
    <w:rsid w:val="00AE6611"/>
    <w:rsid w:val="00AE6D04"/>
    <w:rsid w:val="00AE758A"/>
    <w:rsid w:val="00AF08CE"/>
    <w:rsid w:val="00AF2CF8"/>
    <w:rsid w:val="00AF399C"/>
    <w:rsid w:val="00AF5AE7"/>
    <w:rsid w:val="00AF7227"/>
    <w:rsid w:val="00AF7CCF"/>
    <w:rsid w:val="00B040C9"/>
    <w:rsid w:val="00B04559"/>
    <w:rsid w:val="00B046F6"/>
    <w:rsid w:val="00B11569"/>
    <w:rsid w:val="00B11E50"/>
    <w:rsid w:val="00B13B5D"/>
    <w:rsid w:val="00B14218"/>
    <w:rsid w:val="00B15798"/>
    <w:rsid w:val="00B16696"/>
    <w:rsid w:val="00B16B08"/>
    <w:rsid w:val="00B17A29"/>
    <w:rsid w:val="00B20B66"/>
    <w:rsid w:val="00B20F19"/>
    <w:rsid w:val="00B21B47"/>
    <w:rsid w:val="00B22073"/>
    <w:rsid w:val="00B27FB7"/>
    <w:rsid w:val="00B303EC"/>
    <w:rsid w:val="00B3400A"/>
    <w:rsid w:val="00B3539F"/>
    <w:rsid w:val="00B372A0"/>
    <w:rsid w:val="00B37EC2"/>
    <w:rsid w:val="00B40A6C"/>
    <w:rsid w:val="00B41235"/>
    <w:rsid w:val="00B41F6F"/>
    <w:rsid w:val="00B420D5"/>
    <w:rsid w:val="00B4322A"/>
    <w:rsid w:val="00B43576"/>
    <w:rsid w:val="00B45652"/>
    <w:rsid w:val="00B473DD"/>
    <w:rsid w:val="00B47FC3"/>
    <w:rsid w:val="00B5171F"/>
    <w:rsid w:val="00B51CE8"/>
    <w:rsid w:val="00B52919"/>
    <w:rsid w:val="00B53A75"/>
    <w:rsid w:val="00B55C09"/>
    <w:rsid w:val="00B564D1"/>
    <w:rsid w:val="00B56BFA"/>
    <w:rsid w:val="00B5722B"/>
    <w:rsid w:val="00B572E0"/>
    <w:rsid w:val="00B60FA5"/>
    <w:rsid w:val="00B61C7B"/>
    <w:rsid w:val="00B61E21"/>
    <w:rsid w:val="00B64B08"/>
    <w:rsid w:val="00B656A6"/>
    <w:rsid w:val="00B6668D"/>
    <w:rsid w:val="00B72D83"/>
    <w:rsid w:val="00B730AC"/>
    <w:rsid w:val="00B74FBC"/>
    <w:rsid w:val="00B7552C"/>
    <w:rsid w:val="00B80C58"/>
    <w:rsid w:val="00B816DE"/>
    <w:rsid w:val="00B83659"/>
    <w:rsid w:val="00B85BD8"/>
    <w:rsid w:val="00B85E62"/>
    <w:rsid w:val="00B86391"/>
    <w:rsid w:val="00B90428"/>
    <w:rsid w:val="00B916D7"/>
    <w:rsid w:val="00B92195"/>
    <w:rsid w:val="00B93549"/>
    <w:rsid w:val="00B96C59"/>
    <w:rsid w:val="00B975FE"/>
    <w:rsid w:val="00B9793D"/>
    <w:rsid w:val="00B979C5"/>
    <w:rsid w:val="00B97B5A"/>
    <w:rsid w:val="00BA01AE"/>
    <w:rsid w:val="00BA0307"/>
    <w:rsid w:val="00BA3896"/>
    <w:rsid w:val="00BA4516"/>
    <w:rsid w:val="00BA63BB"/>
    <w:rsid w:val="00BA6C8E"/>
    <w:rsid w:val="00BA6EEB"/>
    <w:rsid w:val="00BA7E4C"/>
    <w:rsid w:val="00BB075E"/>
    <w:rsid w:val="00BB08BA"/>
    <w:rsid w:val="00BB1D22"/>
    <w:rsid w:val="00BB28D7"/>
    <w:rsid w:val="00BB3C29"/>
    <w:rsid w:val="00BB5576"/>
    <w:rsid w:val="00BB5D66"/>
    <w:rsid w:val="00BC0C4D"/>
    <w:rsid w:val="00BC102C"/>
    <w:rsid w:val="00BC245A"/>
    <w:rsid w:val="00BC3ED9"/>
    <w:rsid w:val="00BC6FF6"/>
    <w:rsid w:val="00BD0DE3"/>
    <w:rsid w:val="00BD1962"/>
    <w:rsid w:val="00BD2C64"/>
    <w:rsid w:val="00BD45F1"/>
    <w:rsid w:val="00BD488B"/>
    <w:rsid w:val="00BD6247"/>
    <w:rsid w:val="00BD7D33"/>
    <w:rsid w:val="00BE1FA9"/>
    <w:rsid w:val="00BE2BD6"/>
    <w:rsid w:val="00BE3523"/>
    <w:rsid w:val="00BE35C7"/>
    <w:rsid w:val="00BE36AE"/>
    <w:rsid w:val="00BE3B73"/>
    <w:rsid w:val="00BF2EA9"/>
    <w:rsid w:val="00BF318F"/>
    <w:rsid w:val="00BF38C9"/>
    <w:rsid w:val="00BF4FFC"/>
    <w:rsid w:val="00BF615B"/>
    <w:rsid w:val="00BF7822"/>
    <w:rsid w:val="00BF7F9A"/>
    <w:rsid w:val="00C0115A"/>
    <w:rsid w:val="00C047E6"/>
    <w:rsid w:val="00C06424"/>
    <w:rsid w:val="00C07665"/>
    <w:rsid w:val="00C07D77"/>
    <w:rsid w:val="00C14B92"/>
    <w:rsid w:val="00C17BFB"/>
    <w:rsid w:val="00C23496"/>
    <w:rsid w:val="00C23BE4"/>
    <w:rsid w:val="00C25BC3"/>
    <w:rsid w:val="00C25C9A"/>
    <w:rsid w:val="00C2754F"/>
    <w:rsid w:val="00C34BC3"/>
    <w:rsid w:val="00C36EFA"/>
    <w:rsid w:val="00C37DAA"/>
    <w:rsid w:val="00C40175"/>
    <w:rsid w:val="00C4419B"/>
    <w:rsid w:val="00C447DF"/>
    <w:rsid w:val="00C44CE1"/>
    <w:rsid w:val="00C46EE7"/>
    <w:rsid w:val="00C479AB"/>
    <w:rsid w:val="00C51959"/>
    <w:rsid w:val="00C51DAD"/>
    <w:rsid w:val="00C531E6"/>
    <w:rsid w:val="00C540CE"/>
    <w:rsid w:val="00C569F2"/>
    <w:rsid w:val="00C572BE"/>
    <w:rsid w:val="00C627AC"/>
    <w:rsid w:val="00C63780"/>
    <w:rsid w:val="00C63AF7"/>
    <w:rsid w:val="00C63F9B"/>
    <w:rsid w:val="00C644AF"/>
    <w:rsid w:val="00C65038"/>
    <w:rsid w:val="00C65B8C"/>
    <w:rsid w:val="00C65F5E"/>
    <w:rsid w:val="00C67097"/>
    <w:rsid w:val="00C71F39"/>
    <w:rsid w:val="00C7413E"/>
    <w:rsid w:val="00C80D6A"/>
    <w:rsid w:val="00C81277"/>
    <w:rsid w:val="00C812A5"/>
    <w:rsid w:val="00C83023"/>
    <w:rsid w:val="00C8352D"/>
    <w:rsid w:val="00C8511F"/>
    <w:rsid w:val="00C87438"/>
    <w:rsid w:val="00C900FB"/>
    <w:rsid w:val="00C905CA"/>
    <w:rsid w:val="00C92FDB"/>
    <w:rsid w:val="00C934DB"/>
    <w:rsid w:val="00C93765"/>
    <w:rsid w:val="00C94F94"/>
    <w:rsid w:val="00C96124"/>
    <w:rsid w:val="00CA3320"/>
    <w:rsid w:val="00CA41A9"/>
    <w:rsid w:val="00CA4619"/>
    <w:rsid w:val="00CA4B29"/>
    <w:rsid w:val="00CA7F05"/>
    <w:rsid w:val="00CB3F8B"/>
    <w:rsid w:val="00CB4664"/>
    <w:rsid w:val="00CC0874"/>
    <w:rsid w:val="00CC3F3B"/>
    <w:rsid w:val="00CC433F"/>
    <w:rsid w:val="00CC795D"/>
    <w:rsid w:val="00CC7E2C"/>
    <w:rsid w:val="00CD2CCE"/>
    <w:rsid w:val="00CD4A7C"/>
    <w:rsid w:val="00CD4DC7"/>
    <w:rsid w:val="00CD64FC"/>
    <w:rsid w:val="00CD6A45"/>
    <w:rsid w:val="00CE043C"/>
    <w:rsid w:val="00CE1CA9"/>
    <w:rsid w:val="00CE2706"/>
    <w:rsid w:val="00CE34A9"/>
    <w:rsid w:val="00CE4B0B"/>
    <w:rsid w:val="00CE6835"/>
    <w:rsid w:val="00CE6FC0"/>
    <w:rsid w:val="00CF15B3"/>
    <w:rsid w:val="00CF27BA"/>
    <w:rsid w:val="00CF2AE9"/>
    <w:rsid w:val="00CF46ED"/>
    <w:rsid w:val="00CF56C5"/>
    <w:rsid w:val="00CF68E4"/>
    <w:rsid w:val="00D003E0"/>
    <w:rsid w:val="00D01527"/>
    <w:rsid w:val="00D01D24"/>
    <w:rsid w:val="00D0383D"/>
    <w:rsid w:val="00D04A0B"/>
    <w:rsid w:val="00D04D9F"/>
    <w:rsid w:val="00D07100"/>
    <w:rsid w:val="00D108C5"/>
    <w:rsid w:val="00D117E4"/>
    <w:rsid w:val="00D119EA"/>
    <w:rsid w:val="00D1288A"/>
    <w:rsid w:val="00D1409F"/>
    <w:rsid w:val="00D14202"/>
    <w:rsid w:val="00D15DB9"/>
    <w:rsid w:val="00D16A2D"/>
    <w:rsid w:val="00D16F0D"/>
    <w:rsid w:val="00D179CD"/>
    <w:rsid w:val="00D20002"/>
    <w:rsid w:val="00D20B04"/>
    <w:rsid w:val="00D22F5B"/>
    <w:rsid w:val="00D23B29"/>
    <w:rsid w:val="00D24050"/>
    <w:rsid w:val="00D248A7"/>
    <w:rsid w:val="00D2497B"/>
    <w:rsid w:val="00D260DC"/>
    <w:rsid w:val="00D26AA3"/>
    <w:rsid w:val="00D27931"/>
    <w:rsid w:val="00D32E4A"/>
    <w:rsid w:val="00D34C36"/>
    <w:rsid w:val="00D34E18"/>
    <w:rsid w:val="00D3511A"/>
    <w:rsid w:val="00D356C1"/>
    <w:rsid w:val="00D37C58"/>
    <w:rsid w:val="00D37EB6"/>
    <w:rsid w:val="00D41CAD"/>
    <w:rsid w:val="00D44169"/>
    <w:rsid w:val="00D4589F"/>
    <w:rsid w:val="00D479B8"/>
    <w:rsid w:val="00D47CD4"/>
    <w:rsid w:val="00D56CB5"/>
    <w:rsid w:val="00D61203"/>
    <w:rsid w:val="00D61558"/>
    <w:rsid w:val="00D6165A"/>
    <w:rsid w:val="00D64E6D"/>
    <w:rsid w:val="00D664C1"/>
    <w:rsid w:val="00D67347"/>
    <w:rsid w:val="00D70B33"/>
    <w:rsid w:val="00D714CF"/>
    <w:rsid w:val="00D719BF"/>
    <w:rsid w:val="00D77387"/>
    <w:rsid w:val="00D8022F"/>
    <w:rsid w:val="00D82626"/>
    <w:rsid w:val="00D836C7"/>
    <w:rsid w:val="00D85A7B"/>
    <w:rsid w:val="00D91374"/>
    <w:rsid w:val="00D91CAC"/>
    <w:rsid w:val="00D91CF1"/>
    <w:rsid w:val="00D92836"/>
    <w:rsid w:val="00D9377E"/>
    <w:rsid w:val="00D94E99"/>
    <w:rsid w:val="00D953A9"/>
    <w:rsid w:val="00D95EC1"/>
    <w:rsid w:val="00D97BDD"/>
    <w:rsid w:val="00D97DF9"/>
    <w:rsid w:val="00DA1634"/>
    <w:rsid w:val="00DA2935"/>
    <w:rsid w:val="00DA5C95"/>
    <w:rsid w:val="00DA7A65"/>
    <w:rsid w:val="00DB0F3D"/>
    <w:rsid w:val="00DB1CAE"/>
    <w:rsid w:val="00DB312A"/>
    <w:rsid w:val="00DB33B7"/>
    <w:rsid w:val="00DB349E"/>
    <w:rsid w:val="00DB3F8D"/>
    <w:rsid w:val="00DB4E2E"/>
    <w:rsid w:val="00DB69A8"/>
    <w:rsid w:val="00DB6D1E"/>
    <w:rsid w:val="00DB7BC1"/>
    <w:rsid w:val="00DC0C1E"/>
    <w:rsid w:val="00DC162E"/>
    <w:rsid w:val="00DC28F6"/>
    <w:rsid w:val="00DC4C25"/>
    <w:rsid w:val="00DC59E0"/>
    <w:rsid w:val="00DC6EF8"/>
    <w:rsid w:val="00DC78A8"/>
    <w:rsid w:val="00DD040C"/>
    <w:rsid w:val="00DD0E07"/>
    <w:rsid w:val="00DD214C"/>
    <w:rsid w:val="00DD3DC9"/>
    <w:rsid w:val="00DD7253"/>
    <w:rsid w:val="00DE016D"/>
    <w:rsid w:val="00DE06BC"/>
    <w:rsid w:val="00DE3C13"/>
    <w:rsid w:val="00DE3C71"/>
    <w:rsid w:val="00DE6416"/>
    <w:rsid w:val="00DE6DF5"/>
    <w:rsid w:val="00DE6F50"/>
    <w:rsid w:val="00DE6FDE"/>
    <w:rsid w:val="00DE72AC"/>
    <w:rsid w:val="00DE7D98"/>
    <w:rsid w:val="00DF05AD"/>
    <w:rsid w:val="00DF3E49"/>
    <w:rsid w:val="00DF4C7B"/>
    <w:rsid w:val="00DF5EB4"/>
    <w:rsid w:val="00DF67D2"/>
    <w:rsid w:val="00DF70DD"/>
    <w:rsid w:val="00E039D3"/>
    <w:rsid w:val="00E05D4B"/>
    <w:rsid w:val="00E07254"/>
    <w:rsid w:val="00E14C4D"/>
    <w:rsid w:val="00E14D69"/>
    <w:rsid w:val="00E15484"/>
    <w:rsid w:val="00E21208"/>
    <w:rsid w:val="00E21254"/>
    <w:rsid w:val="00E21689"/>
    <w:rsid w:val="00E2245D"/>
    <w:rsid w:val="00E246F3"/>
    <w:rsid w:val="00E2479D"/>
    <w:rsid w:val="00E277A3"/>
    <w:rsid w:val="00E318FB"/>
    <w:rsid w:val="00E32FF0"/>
    <w:rsid w:val="00E34A9A"/>
    <w:rsid w:val="00E37F35"/>
    <w:rsid w:val="00E4010D"/>
    <w:rsid w:val="00E405A9"/>
    <w:rsid w:val="00E412EF"/>
    <w:rsid w:val="00E42B6B"/>
    <w:rsid w:val="00E4682C"/>
    <w:rsid w:val="00E476D9"/>
    <w:rsid w:val="00E50A3F"/>
    <w:rsid w:val="00E51236"/>
    <w:rsid w:val="00E51F7D"/>
    <w:rsid w:val="00E55154"/>
    <w:rsid w:val="00E55710"/>
    <w:rsid w:val="00E56016"/>
    <w:rsid w:val="00E612FC"/>
    <w:rsid w:val="00E616E4"/>
    <w:rsid w:val="00E62AD5"/>
    <w:rsid w:val="00E63405"/>
    <w:rsid w:val="00E63DA1"/>
    <w:rsid w:val="00E6439B"/>
    <w:rsid w:val="00E6477E"/>
    <w:rsid w:val="00E71913"/>
    <w:rsid w:val="00E72ED9"/>
    <w:rsid w:val="00E745D8"/>
    <w:rsid w:val="00E76B7D"/>
    <w:rsid w:val="00E8153F"/>
    <w:rsid w:val="00E82193"/>
    <w:rsid w:val="00E82910"/>
    <w:rsid w:val="00E82BAD"/>
    <w:rsid w:val="00E8431A"/>
    <w:rsid w:val="00E8583D"/>
    <w:rsid w:val="00E86725"/>
    <w:rsid w:val="00E87931"/>
    <w:rsid w:val="00E90969"/>
    <w:rsid w:val="00E90C70"/>
    <w:rsid w:val="00E92C06"/>
    <w:rsid w:val="00E93A4D"/>
    <w:rsid w:val="00E94998"/>
    <w:rsid w:val="00E95F9D"/>
    <w:rsid w:val="00E9756A"/>
    <w:rsid w:val="00EA064B"/>
    <w:rsid w:val="00EA09E8"/>
    <w:rsid w:val="00EA2204"/>
    <w:rsid w:val="00EA3370"/>
    <w:rsid w:val="00EA5B00"/>
    <w:rsid w:val="00EB05F3"/>
    <w:rsid w:val="00EB181E"/>
    <w:rsid w:val="00EB1F4A"/>
    <w:rsid w:val="00EB2B74"/>
    <w:rsid w:val="00EB2FBA"/>
    <w:rsid w:val="00EB411F"/>
    <w:rsid w:val="00EB6680"/>
    <w:rsid w:val="00EB71CC"/>
    <w:rsid w:val="00EB7B92"/>
    <w:rsid w:val="00EB7F24"/>
    <w:rsid w:val="00EC002D"/>
    <w:rsid w:val="00EC0AC7"/>
    <w:rsid w:val="00EC67BE"/>
    <w:rsid w:val="00EC6EDF"/>
    <w:rsid w:val="00EC7E8C"/>
    <w:rsid w:val="00ED1454"/>
    <w:rsid w:val="00ED23C4"/>
    <w:rsid w:val="00ED335C"/>
    <w:rsid w:val="00ED39BD"/>
    <w:rsid w:val="00ED3AA2"/>
    <w:rsid w:val="00ED452E"/>
    <w:rsid w:val="00ED5086"/>
    <w:rsid w:val="00ED57C3"/>
    <w:rsid w:val="00EE5C1B"/>
    <w:rsid w:val="00EE71B1"/>
    <w:rsid w:val="00EF167D"/>
    <w:rsid w:val="00EF3351"/>
    <w:rsid w:val="00EF5DC4"/>
    <w:rsid w:val="00EF68B6"/>
    <w:rsid w:val="00F00600"/>
    <w:rsid w:val="00F00EBF"/>
    <w:rsid w:val="00F01634"/>
    <w:rsid w:val="00F01C60"/>
    <w:rsid w:val="00F031DD"/>
    <w:rsid w:val="00F03694"/>
    <w:rsid w:val="00F0384B"/>
    <w:rsid w:val="00F05662"/>
    <w:rsid w:val="00F06232"/>
    <w:rsid w:val="00F108DB"/>
    <w:rsid w:val="00F113DF"/>
    <w:rsid w:val="00F15AEF"/>
    <w:rsid w:val="00F16124"/>
    <w:rsid w:val="00F167FB"/>
    <w:rsid w:val="00F172EA"/>
    <w:rsid w:val="00F202F1"/>
    <w:rsid w:val="00F20E58"/>
    <w:rsid w:val="00F215EF"/>
    <w:rsid w:val="00F24396"/>
    <w:rsid w:val="00F24479"/>
    <w:rsid w:val="00F24559"/>
    <w:rsid w:val="00F249F2"/>
    <w:rsid w:val="00F27DE1"/>
    <w:rsid w:val="00F30599"/>
    <w:rsid w:val="00F32E94"/>
    <w:rsid w:val="00F34149"/>
    <w:rsid w:val="00F34B8B"/>
    <w:rsid w:val="00F3502B"/>
    <w:rsid w:val="00F374C7"/>
    <w:rsid w:val="00F4074C"/>
    <w:rsid w:val="00F419A3"/>
    <w:rsid w:val="00F45316"/>
    <w:rsid w:val="00F4538D"/>
    <w:rsid w:val="00F522E9"/>
    <w:rsid w:val="00F5374D"/>
    <w:rsid w:val="00F5520A"/>
    <w:rsid w:val="00F5557E"/>
    <w:rsid w:val="00F5648C"/>
    <w:rsid w:val="00F61342"/>
    <w:rsid w:val="00F650FE"/>
    <w:rsid w:val="00F655F4"/>
    <w:rsid w:val="00F658C2"/>
    <w:rsid w:val="00F732FB"/>
    <w:rsid w:val="00F75E4E"/>
    <w:rsid w:val="00F76D28"/>
    <w:rsid w:val="00F776D4"/>
    <w:rsid w:val="00F778CC"/>
    <w:rsid w:val="00F80262"/>
    <w:rsid w:val="00F80755"/>
    <w:rsid w:val="00F80D15"/>
    <w:rsid w:val="00F83244"/>
    <w:rsid w:val="00F83D20"/>
    <w:rsid w:val="00F84B91"/>
    <w:rsid w:val="00F875FF"/>
    <w:rsid w:val="00F879BF"/>
    <w:rsid w:val="00F87A1A"/>
    <w:rsid w:val="00F87C8B"/>
    <w:rsid w:val="00F87F24"/>
    <w:rsid w:val="00F90A97"/>
    <w:rsid w:val="00F928D6"/>
    <w:rsid w:val="00F95C09"/>
    <w:rsid w:val="00F95E97"/>
    <w:rsid w:val="00F96FEA"/>
    <w:rsid w:val="00F97A30"/>
    <w:rsid w:val="00FA1046"/>
    <w:rsid w:val="00FA1335"/>
    <w:rsid w:val="00FA17BE"/>
    <w:rsid w:val="00FA42B4"/>
    <w:rsid w:val="00FA433E"/>
    <w:rsid w:val="00FA4883"/>
    <w:rsid w:val="00FA4EF4"/>
    <w:rsid w:val="00FA5589"/>
    <w:rsid w:val="00FA5638"/>
    <w:rsid w:val="00FA5CB0"/>
    <w:rsid w:val="00FA66FF"/>
    <w:rsid w:val="00FA7993"/>
    <w:rsid w:val="00FB10B1"/>
    <w:rsid w:val="00FB1A76"/>
    <w:rsid w:val="00FB2AF5"/>
    <w:rsid w:val="00FB3294"/>
    <w:rsid w:val="00FB3A81"/>
    <w:rsid w:val="00FB57B4"/>
    <w:rsid w:val="00FB641E"/>
    <w:rsid w:val="00FB785A"/>
    <w:rsid w:val="00FC3420"/>
    <w:rsid w:val="00FC55D9"/>
    <w:rsid w:val="00FC69EF"/>
    <w:rsid w:val="00FD0DF5"/>
    <w:rsid w:val="00FD264A"/>
    <w:rsid w:val="00FD348F"/>
    <w:rsid w:val="00FD4F16"/>
    <w:rsid w:val="00FE031B"/>
    <w:rsid w:val="00FE129A"/>
    <w:rsid w:val="00FE198A"/>
    <w:rsid w:val="00FE4910"/>
    <w:rsid w:val="00FE53F7"/>
    <w:rsid w:val="00FE567F"/>
    <w:rsid w:val="00FF18C0"/>
    <w:rsid w:val="00FF4D5B"/>
    <w:rsid w:val="00FF78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07FEE-E403-495B-B21E-89967F23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3DB"/>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9B198F"/>
    <w:pPr>
      <w:keepNext/>
      <w:numPr>
        <w:numId w:val="1"/>
      </w:numPr>
      <w:outlineLvl w:val="0"/>
    </w:pPr>
    <w:rPr>
      <w:b/>
      <w:bCs/>
    </w:rPr>
  </w:style>
  <w:style w:type="paragraph" w:styleId="Ttulo2">
    <w:name w:val="heading 2"/>
    <w:basedOn w:val="Normal"/>
    <w:next w:val="Normal"/>
    <w:link w:val="Ttulo2Car"/>
    <w:qFormat/>
    <w:rsid w:val="009B198F"/>
    <w:pPr>
      <w:keepNext/>
      <w:keepLines/>
      <w:numPr>
        <w:ilvl w:val="1"/>
        <w:numId w:val="1"/>
      </w:numPr>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9B198F"/>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qFormat/>
    <w:rsid w:val="009B198F"/>
    <w:pPr>
      <w:keepNext/>
      <w:keepLines/>
      <w:numPr>
        <w:ilvl w:val="3"/>
        <w:numId w:val="1"/>
      </w:numPr>
      <w:spacing w:before="200"/>
      <w:outlineLvl w:val="3"/>
    </w:pPr>
    <w:rPr>
      <w:rFonts w:ascii="Cambria" w:hAnsi="Cambria"/>
      <w:b/>
      <w:bCs/>
      <w:i/>
      <w:iCs/>
      <w:color w:val="4F81BD"/>
    </w:rPr>
  </w:style>
  <w:style w:type="paragraph" w:styleId="Ttulo5">
    <w:name w:val="heading 5"/>
    <w:basedOn w:val="Normal"/>
    <w:next w:val="Normal"/>
    <w:link w:val="Ttulo5Car"/>
    <w:qFormat/>
    <w:rsid w:val="009B198F"/>
    <w:pPr>
      <w:keepNext/>
      <w:keepLines/>
      <w:numPr>
        <w:ilvl w:val="4"/>
        <w:numId w:val="1"/>
      </w:numPr>
      <w:spacing w:before="200"/>
      <w:outlineLvl w:val="4"/>
    </w:pPr>
    <w:rPr>
      <w:rFonts w:ascii="Cambria" w:hAnsi="Cambria"/>
      <w:color w:val="243F60"/>
    </w:rPr>
  </w:style>
  <w:style w:type="paragraph" w:styleId="Ttulo6">
    <w:name w:val="heading 6"/>
    <w:basedOn w:val="Normal"/>
    <w:next w:val="Normal"/>
    <w:link w:val="Ttulo6Car"/>
    <w:qFormat/>
    <w:rsid w:val="009B198F"/>
    <w:pPr>
      <w:keepNext/>
      <w:keepLines/>
      <w:numPr>
        <w:ilvl w:val="5"/>
        <w:numId w:val="1"/>
      </w:numPr>
      <w:spacing w:before="200"/>
      <w:outlineLvl w:val="5"/>
    </w:pPr>
    <w:rPr>
      <w:rFonts w:ascii="Cambria" w:hAnsi="Cambria"/>
      <w:i/>
      <w:iCs/>
      <w:color w:val="243F60"/>
    </w:rPr>
  </w:style>
  <w:style w:type="paragraph" w:styleId="Ttulo7">
    <w:name w:val="heading 7"/>
    <w:basedOn w:val="Normal"/>
    <w:next w:val="Normal"/>
    <w:link w:val="Ttulo7Car"/>
    <w:qFormat/>
    <w:rsid w:val="009B198F"/>
    <w:pPr>
      <w:keepNext/>
      <w:keepLines/>
      <w:numPr>
        <w:ilvl w:val="6"/>
        <w:numId w:val="1"/>
      </w:numPr>
      <w:spacing w:before="200"/>
      <w:outlineLvl w:val="6"/>
    </w:pPr>
    <w:rPr>
      <w:rFonts w:ascii="Cambria" w:hAnsi="Cambria"/>
      <w:i/>
      <w:iCs/>
      <w:color w:val="404040"/>
    </w:rPr>
  </w:style>
  <w:style w:type="paragraph" w:styleId="Ttulo8">
    <w:name w:val="heading 8"/>
    <w:basedOn w:val="Normal"/>
    <w:next w:val="Normal"/>
    <w:link w:val="Ttulo8Car"/>
    <w:qFormat/>
    <w:rsid w:val="009B198F"/>
    <w:pPr>
      <w:keepNext/>
      <w:keepLines/>
      <w:numPr>
        <w:ilvl w:val="7"/>
        <w:numId w:val="1"/>
      </w:numPr>
      <w:spacing w:before="200"/>
      <w:outlineLvl w:val="7"/>
    </w:pPr>
    <w:rPr>
      <w:rFonts w:ascii="Cambria" w:hAnsi="Cambria"/>
      <w:color w:val="404040"/>
      <w:sz w:val="20"/>
      <w:szCs w:val="20"/>
    </w:rPr>
  </w:style>
  <w:style w:type="paragraph" w:styleId="Ttulo9">
    <w:name w:val="heading 9"/>
    <w:basedOn w:val="Normal"/>
    <w:next w:val="Normal"/>
    <w:link w:val="Ttulo9Car"/>
    <w:qFormat/>
    <w:rsid w:val="009B198F"/>
    <w:pPr>
      <w:keepNext/>
      <w:keepLines/>
      <w:numPr>
        <w:ilvl w:val="8"/>
        <w:numId w:val="1"/>
      </w:numPr>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B198F"/>
    <w:rPr>
      <w:rFonts w:ascii="Times New Roman" w:eastAsia="Times New Roman" w:hAnsi="Times New Roman"/>
      <w:b/>
      <w:bCs/>
      <w:sz w:val="24"/>
      <w:szCs w:val="24"/>
      <w:lang w:val="es-ES" w:eastAsia="es-ES"/>
    </w:rPr>
  </w:style>
  <w:style w:type="character" w:customStyle="1" w:styleId="Ttulo2Car">
    <w:name w:val="Título 2 Car"/>
    <w:link w:val="Ttulo2"/>
    <w:rsid w:val="009B198F"/>
    <w:rPr>
      <w:rFonts w:ascii="Cambria" w:eastAsia="Times New Roman" w:hAnsi="Cambria"/>
      <w:b/>
      <w:bCs/>
      <w:color w:val="4F81BD"/>
      <w:sz w:val="26"/>
      <w:szCs w:val="26"/>
      <w:lang w:val="es-ES" w:eastAsia="es-ES"/>
    </w:rPr>
  </w:style>
  <w:style w:type="character" w:customStyle="1" w:styleId="Ttulo3Car">
    <w:name w:val="Título 3 Car"/>
    <w:link w:val="Ttulo3"/>
    <w:rsid w:val="009B198F"/>
    <w:rPr>
      <w:rFonts w:ascii="Cambria" w:eastAsia="Times New Roman" w:hAnsi="Cambria"/>
      <w:b/>
      <w:bCs/>
      <w:color w:val="4F81BD"/>
      <w:sz w:val="24"/>
      <w:szCs w:val="24"/>
      <w:lang w:val="es-ES" w:eastAsia="es-ES"/>
    </w:rPr>
  </w:style>
  <w:style w:type="character" w:customStyle="1" w:styleId="Ttulo4Car">
    <w:name w:val="Título 4 Car"/>
    <w:link w:val="Ttulo4"/>
    <w:rsid w:val="009B198F"/>
    <w:rPr>
      <w:rFonts w:ascii="Cambria" w:eastAsia="Times New Roman" w:hAnsi="Cambria"/>
      <w:b/>
      <w:bCs/>
      <w:i/>
      <w:iCs/>
      <w:color w:val="4F81BD"/>
      <w:sz w:val="24"/>
      <w:szCs w:val="24"/>
      <w:lang w:val="es-ES" w:eastAsia="es-ES"/>
    </w:rPr>
  </w:style>
  <w:style w:type="character" w:customStyle="1" w:styleId="Ttulo5Car">
    <w:name w:val="Título 5 Car"/>
    <w:link w:val="Ttulo5"/>
    <w:rsid w:val="009B198F"/>
    <w:rPr>
      <w:rFonts w:ascii="Cambria" w:eastAsia="Times New Roman" w:hAnsi="Cambria"/>
      <w:color w:val="243F60"/>
      <w:sz w:val="24"/>
      <w:szCs w:val="24"/>
      <w:lang w:val="es-ES" w:eastAsia="es-ES"/>
    </w:rPr>
  </w:style>
  <w:style w:type="character" w:customStyle="1" w:styleId="Ttulo6Car">
    <w:name w:val="Título 6 Car"/>
    <w:link w:val="Ttulo6"/>
    <w:rsid w:val="009B198F"/>
    <w:rPr>
      <w:rFonts w:ascii="Cambria" w:eastAsia="Times New Roman" w:hAnsi="Cambria"/>
      <w:i/>
      <w:iCs/>
      <w:color w:val="243F60"/>
      <w:sz w:val="24"/>
      <w:szCs w:val="24"/>
      <w:lang w:val="es-ES" w:eastAsia="es-ES"/>
    </w:rPr>
  </w:style>
  <w:style w:type="character" w:customStyle="1" w:styleId="Ttulo7Car">
    <w:name w:val="Título 7 Car"/>
    <w:link w:val="Ttulo7"/>
    <w:rsid w:val="009B198F"/>
    <w:rPr>
      <w:rFonts w:ascii="Cambria" w:eastAsia="Times New Roman" w:hAnsi="Cambria"/>
      <w:i/>
      <w:iCs/>
      <w:color w:val="404040"/>
      <w:sz w:val="24"/>
      <w:szCs w:val="24"/>
      <w:lang w:val="es-ES" w:eastAsia="es-ES"/>
    </w:rPr>
  </w:style>
  <w:style w:type="character" w:customStyle="1" w:styleId="Ttulo8Car">
    <w:name w:val="Título 8 Car"/>
    <w:link w:val="Ttulo8"/>
    <w:rsid w:val="009B198F"/>
    <w:rPr>
      <w:rFonts w:ascii="Cambria" w:eastAsia="Times New Roman" w:hAnsi="Cambria"/>
      <w:color w:val="404040"/>
      <w:lang w:val="es-ES" w:eastAsia="es-ES"/>
    </w:rPr>
  </w:style>
  <w:style w:type="character" w:customStyle="1" w:styleId="Ttulo9Car">
    <w:name w:val="Título 9 Car"/>
    <w:link w:val="Ttulo9"/>
    <w:rsid w:val="009B198F"/>
    <w:rPr>
      <w:rFonts w:ascii="Cambria" w:eastAsia="Times New Roman" w:hAnsi="Cambria"/>
      <w:i/>
      <w:iCs/>
      <w:color w:val="404040"/>
      <w:lang w:val="es-ES" w:eastAsia="es-ES"/>
    </w:rPr>
  </w:style>
  <w:style w:type="paragraph" w:styleId="Encabezado">
    <w:name w:val="header"/>
    <w:basedOn w:val="Normal"/>
    <w:link w:val="EncabezadoCar"/>
    <w:uiPriority w:val="99"/>
    <w:rsid w:val="009B198F"/>
    <w:pPr>
      <w:tabs>
        <w:tab w:val="center" w:pos="4252"/>
        <w:tab w:val="right" w:pos="8504"/>
      </w:tabs>
    </w:pPr>
  </w:style>
  <w:style w:type="character" w:customStyle="1" w:styleId="EncabezadoCar">
    <w:name w:val="Encabezado Car"/>
    <w:link w:val="Encabezado"/>
    <w:uiPriority w:val="99"/>
    <w:rsid w:val="009B198F"/>
    <w:rPr>
      <w:rFonts w:ascii="Times New Roman" w:eastAsia="Times New Roman" w:hAnsi="Times New Roman" w:cs="Times New Roman"/>
      <w:sz w:val="24"/>
      <w:szCs w:val="24"/>
    </w:rPr>
  </w:style>
  <w:style w:type="character" w:styleId="Nmerodepgina">
    <w:name w:val="page number"/>
    <w:basedOn w:val="Fuentedeprrafopredeter"/>
    <w:rsid w:val="009B198F"/>
  </w:style>
  <w:style w:type="paragraph" w:customStyle="1" w:styleId="ListParagraph1">
    <w:name w:val="List Paragraph1"/>
    <w:basedOn w:val="Normal"/>
    <w:rsid w:val="009B198F"/>
    <w:pPr>
      <w:ind w:left="720"/>
    </w:pPr>
  </w:style>
  <w:style w:type="paragraph" w:customStyle="1" w:styleId="Prrafodelista1">
    <w:name w:val="Párrafo de lista1"/>
    <w:basedOn w:val="Normal"/>
    <w:uiPriority w:val="34"/>
    <w:qFormat/>
    <w:rsid w:val="009B198F"/>
    <w:pPr>
      <w:ind w:left="708"/>
    </w:pPr>
    <w:rPr>
      <w:rFonts w:eastAsia="Calibri"/>
    </w:rPr>
  </w:style>
  <w:style w:type="paragraph" w:styleId="Prrafodelista">
    <w:name w:val="List Paragraph"/>
    <w:aliases w:val="Párrafo de lista 2"/>
    <w:basedOn w:val="Normal"/>
    <w:link w:val="PrrafodelistaCar"/>
    <w:uiPriority w:val="34"/>
    <w:qFormat/>
    <w:rsid w:val="009B198F"/>
    <w:pPr>
      <w:ind w:left="708"/>
    </w:pPr>
  </w:style>
  <w:style w:type="paragraph" w:styleId="Textodeglobo">
    <w:name w:val="Balloon Text"/>
    <w:basedOn w:val="Normal"/>
    <w:link w:val="TextodegloboCar"/>
    <w:uiPriority w:val="99"/>
    <w:unhideWhenUsed/>
    <w:rsid w:val="00BF318F"/>
    <w:rPr>
      <w:rFonts w:ascii="Tahoma" w:hAnsi="Tahoma" w:cs="Tahoma"/>
      <w:sz w:val="16"/>
      <w:szCs w:val="16"/>
    </w:rPr>
  </w:style>
  <w:style w:type="character" w:customStyle="1" w:styleId="TextodegloboCar">
    <w:name w:val="Texto de globo Car"/>
    <w:link w:val="Textodeglobo"/>
    <w:uiPriority w:val="99"/>
    <w:rsid w:val="00BF318F"/>
    <w:rPr>
      <w:rFonts w:ascii="Tahoma" w:eastAsia="Times New Roman" w:hAnsi="Tahoma" w:cs="Tahoma"/>
      <w:sz w:val="16"/>
      <w:szCs w:val="16"/>
      <w:lang w:val="es-ES" w:eastAsia="es-ES"/>
    </w:rPr>
  </w:style>
  <w:style w:type="paragraph" w:styleId="Textonotapie">
    <w:name w:val="footnote text"/>
    <w:aliases w:val="Texto nota pie Car Car Car Car Car Car,Texto nota pie Car Car Car Car Car Car Car,Texto nota pie Car Car Car Car Car Car Ca,ft,ft Car,ft Car Car,Texto nota pie2,ft1,ft Car Car Car1,Texto nota pie Car2,ft Car Car2,ft Car Car Car,fn"/>
    <w:basedOn w:val="Normal"/>
    <w:link w:val="TextonotapieCar"/>
    <w:uiPriority w:val="99"/>
    <w:rsid w:val="00BF318F"/>
    <w:rPr>
      <w:sz w:val="20"/>
      <w:szCs w:val="20"/>
    </w:rPr>
  </w:style>
  <w:style w:type="character" w:customStyle="1" w:styleId="TextonotapieCar">
    <w:name w:val="Texto nota pie Car"/>
    <w:aliases w:val="Texto nota pie Car Car Car Car Car Car Car1,Texto nota pie Car Car Car Car Car Car Car Car,Texto nota pie Car Car Car Car Car Car Ca Car,ft Car1,ft Car Car1,ft Car Car Car2,Texto nota pie2 Car,ft1 Car,ft Car Car Car1 Car,fn Car"/>
    <w:link w:val="Textonotapie"/>
    <w:uiPriority w:val="99"/>
    <w:rsid w:val="00BF318F"/>
    <w:rPr>
      <w:rFonts w:ascii="Times New Roman" w:eastAsia="Times New Roman" w:hAnsi="Times New Roman" w:cs="Times New Roman"/>
      <w:sz w:val="20"/>
      <w:szCs w:val="20"/>
      <w:lang w:val="es-ES" w:eastAsia="es-ES"/>
    </w:rPr>
  </w:style>
  <w:style w:type="character" w:styleId="Refdenotaalpie">
    <w:name w:val="footnote reference"/>
    <w:uiPriority w:val="99"/>
    <w:rsid w:val="00BF318F"/>
    <w:rPr>
      <w:vertAlign w:val="superscript"/>
    </w:rPr>
  </w:style>
  <w:style w:type="paragraph" w:customStyle="1" w:styleId="Default">
    <w:name w:val="Default"/>
    <w:rsid w:val="00BF318F"/>
    <w:pPr>
      <w:widowControl w:val="0"/>
      <w:autoSpaceDE w:val="0"/>
      <w:autoSpaceDN w:val="0"/>
      <w:adjustRightInd w:val="0"/>
    </w:pPr>
    <w:rPr>
      <w:rFonts w:ascii="Felix Titling" w:eastAsia="Times New Roman" w:hAnsi="Felix Titling" w:cs="Felix Titling"/>
      <w:color w:val="000000"/>
      <w:sz w:val="24"/>
      <w:szCs w:val="24"/>
      <w:lang w:val="es-ES" w:eastAsia="es-ES"/>
    </w:rPr>
  </w:style>
  <w:style w:type="paragraph" w:customStyle="1" w:styleId="CM49">
    <w:name w:val="CM49"/>
    <w:basedOn w:val="Default"/>
    <w:next w:val="Default"/>
    <w:uiPriority w:val="99"/>
    <w:rsid w:val="006C7AF9"/>
    <w:pPr>
      <w:spacing w:after="105"/>
    </w:pPr>
    <w:rPr>
      <w:rFonts w:cs="Times New Roman"/>
      <w:color w:val="auto"/>
    </w:rPr>
  </w:style>
  <w:style w:type="table" w:styleId="Tablaconcuadrcula">
    <w:name w:val="Table Grid"/>
    <w:basedOn w:val="Tablanormal"/>
    <w:uiPriority w:val="59"/>
    <w:rsid w:val="001B07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B2FBA"/>
    <w:pPr>
      <w:pBdr>
        <w:top w:val="thinThickSmallGap" w:sz="24" w:space="1" w:color="585858"/>
      </w:pBdr>
      <w:tabs>
        <w:tab w:val="center" w:pos="4419"/>
        <w:tab w:val="right" w:pos="8838"/>
      </w:tabs>
    </w:pPr>
    <w:rPr>
      <w:rFonts w:ascii="Constantia" w:hAnsi="Constantia"/>
    </w:rPr>
  </w:style>
  <w:style w:type="character" w:customStyle="1" w:styleId="PiedepginaCar">
    <w:name w:val="Pie de página Car"/>
    <w:link w:val="Piedepgina"/>
    <w:uiPriority w:val="99"/>
    <w:rsid w:val="00EB2FBA"/>
    <w:rPr>
      <w:rFonts w:ascii="Constantia" w:eastAsia="Times New Roman" w:hAnsi="Constantia" w:cs="Times New Roman"/>
      <w:sz w:val="24"/>
      <w:szCs w:val="24"/>
      <w:lang w:val="es-ES" w:eastAsia="es-ES"/>
    </w:rPr>
  </w:style>
  <w:style w:type="character" w:styleId="Textoennegrita">
    <w:name w:val="Strong"/>
    <w:uiPriority w:val="22"/>
    <w:qFormat/>
    <w:rsid w:val="00534E33"/>
    <w:rPr>
      <w:b/>
      <w:bCs/>
    </w:rPr>
  </w:style>
  <w:style w:type="character" w:styleId="Hipervnculo">
    <w:name w:val="Hyperlink"/>
    <w:uiPriority w:val="99"/>
    <w:unhideWhenUsed/>
    <w:rsid w:val="00A34A28"/>
    <w:rPr>
      <w:color w:val="0000FF"/>
      <w:u w:val="single"/>
    </w:rPr>
  </w:style>
  <w:style w:type="character" w:styleId="Hipervnculovisitado">
    <w:name w:val="FollowedHyperlink"/>
    <w:uiPriority w:val="99"/>
    <w:semiHidden/>
    <w:unhideWhenUsed/>
    <w:rsid w:val="009F7DEF"/>
    <w:rPr>
      <w:color w:val="800080"/>
      <w:u w:val="single"/>
    </w:rPr>
  </w:style>
  <w:style w:type="paragraph" w:styleId="NormalWeb">
    <w:name w:val="Normal (Web)"/>
    <w:basedOn w:val="Normal"/>
    <w:uiPriority w:val="99"/>
    <w:semiHidden/>
    <w:unhideWhenUsed/>
    <w:rsid w:val="000520A7"/>
    <w:pPr>
      <w:spacing w:before="100" w:beforeAutospacing="1" w:after="100" w:afterAutospacing="1"/>
    </w:pPr>
    <w:rPr>
      <w:lang w:val="es-GT" w:eastAsia="es-GT"/>
    </w:rPr>
  </w:style>
  <w:style w:type="paragraph" w:styleId="Sinespaciado">
    <w:name w:val="No Spacing"/>
    <w:link w:val="SinespaciadoCar"/>
    <w:uiPriority w:val="1"/>
    <w:qFormat/>
    <w:rsid w:val="00C7413E"/>
    <w:rPr>
      <w:rFonts w:ascii="Constantia" w:eastAsia="Times New Roman" w:hAnsi="Constantia"/>
      <w:sz w:val="24"/>
      <w:szCs w:val="24"/>
      <w:lang w:val="es-ES_tradnl" w:eastAsia="ja-JP"/>
    </w:rPr>
  </w:style>
  <w:style w:type="paragraph" w:styleId="TtuloTDC">
    <w:name w:val="TOC Heading"/>
    <w:basedOn w:val="Ttulo1"/>
    <w:next w:val="Normal"/>
    <w:uiPriority w:val="39"/>
    <w:unhideWhenUsed/>
    <w:qFormat/>
    <w:rsid w:val="00D61558"/>
    <w:pPr>
      <w:keepLines/>
      <w:numPr>
        <w:numId w:val="0"/>
      </w:numPr>
      <w:spacing w:before="480" w:line="276" w:lineRule="auto"/>
      <w:outlineLvl w:val="9"/>
    </w:pPr>
    <w:rPr>
      <w:rFonts w:ascii="Constantia" w:hAnsi="Constantia"/>
      <w:color w:val="A5A5A5"/>
      <w:sz w:val="28"/>
      <w:szCs w:val="28"/>
      <w:lang w:val="es-GT" w:eastAsia="es-GT"/>
    </w:rPr>
  </w:style>
  <w:style w:type="paragraph" w:styleId="TDC1">
    <w:name w:val="toc 1"/>
    <w:basedOn w:val="Normal"/>
    <w:next w:val="Normal"/>
    <w:autoRedefine/>
    <w:uiPriority w:val="39"/>
    <w:unhideWhenUsed/>
    <w:rsid w:val="007771BA"/>
    <w:pPr>
      <w:tabs>
        <w:tab w:val="left" w:pos="480"/>
        <w:tab w:val="right" w:leader="dot" w:pos="9072"/>
      </w:tabs>
      <w:spacing w:after="100"/>
      <w:jc w:val="both"/>
    </w:pPr>
  </w:style>
  <w:style w:type="paragraph" w:styleId="TDC2">
    <w:name w:val="toc 2"/>
    <w:basedOn w:val="Normal"/>
    <w:next w:val="Normal"/>
    <w:autoRedefine/>
    <w:uiPriority w:val="39"/>
    <w:unhideWhenUsed/>
    <w:rsid w:val="007771BA"/>
    <w:pPr>
      <w:tabs>
        <w:tab w:val="left" w:pos="880"/>
        <w:tab w:val="right" w:leader="dot" w:pos="9072"/>
      </w:tabs>
      <w:spacing w:after="100"/>
      <w:ind w:left="240"/>
    </w:pPr>
  </w:style>
  <w:style w:type="paragraph" w:styleId="TDC3">
    <w:name w:val="toc 3"/>
    <w:basedOn w:val="Normal"/>
    <w:next w:val="Normal"/>
    <w:autoRedefine/>
    <w:uiPriority w:val="39"/>
    <w:unhideWhenUsed/>
    <w:rsid w:val="004F48BD"/>
    <w:pPr>
      <w:tabs>
        <w:tab w:val="left" w:pos="1100"/>
        <w:tab w:val="right" w:leader="dot" w:pos="9062"/>
      </w:tabs>
      <w:spacing w:after="100"/>
      <w:ind w:left="480"/>
      <w:jc w:val="both"/>
    </w:pPr>
  </w:style>
  <w:style w:type="character" w:styleId="Refdecomentario">
    <w:name w:val="annotation reference"/>
    <w:uiPriority w:val="99"/>
    <w:semiHidden/>
    <w:unhideWhenUsed/>
    <w:rsid w:val="00B372A0"/>
    <w:rPr>
      <w:sz w:val="16"/>
      <w:szCs w:val="16"/>
    </w:rPr>
  </w:style>
  <w:style w:type="paragraph" w:styleId="Textocomentario">
    <w:name w:val="annotation text"/>
    <w:basedOn w:val="Normal"/>
    <w:link w:val="TextocomentarioCar"/>
    <w:uiPriority w:val="99"/>
    <w:semiHidden/>
    <w:unhideWhenUsed/>
    <w:rsid w:val="00B372A0"/>
    <w:rPr>
      <w:sz w:val="20"/>
      <w:szCs w:val="20"/>
    </w:rPr>
  </w:style>
  <w:style w:type="character" w:customStyle="1" w:styleId="TextocomentarioCar">
    <w:name w:val="Texto comentario Car"/>
    <w:link w:val="Textocomentario"/>
    <w:uiPriority w:val="99"/>
    <w:semiHidden/>
    <w:rsid w:val="00B372A0"/>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372A0"/>
    <w:rPr>
      <w:b/>
      <w:bCs/>
    </w:rPr>
  </w:style>
  <w:style w:type="character" w:customStyle="1" w:styleId="AsuntodelcomentarioCar">
    <w:name w:val="Asunto del comentario Car"/>
    <w:link w:val="Asuntodelcomentario"/>
    <w:uiPriority w:val="99"/>
    <w:semiHidden/>
    <w:rsid w:val="00B372A0"/>
    <w:rPr>
      <w:rFonts w:ascii="Times New Roman" w:eastAsia="Times New Roman" w:hAnsi="Times New Roman"/>
      <w:b/>
      <w:bCs/>
      <w:lang w:val="es-ES" w:eastAsia="es-ES"/>
    </w:rPr>
  </w:style>
  <w:style w:type="table" w:customStyle="1" w:styleId="Listamedia2-nfasis11">
    <w:name w:val="Lista media 2 - Énfasis 11"/>
    <w:basedOn w:val="Tablanormal"/>
    <w:uiPriority w:val="66"/>
    <w:rsid w:val="0085525B"/>
    <w:rPr>
      <w:rFonts w:ascii="Cambria" w:eastAsia="Times New Roman"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85525B"/>
    <w:rPr>
      <w:rFonts w:ascii="Constantia" w:eastAsia="Times New Roman" w:hAnsi="Constantia"/>
      <w:color w:val="000000"/>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character" w:customStyle="1" w:styleId="PrrafodelistaCar">
    <w:name w:val="Párrafo de lista Car"/>
    <w:aliases w:val="Párrafo de lista 2 Car"/>
    <w:link w:val="Prrafodelista"/>
    <w:uiPriority w:val="34"/>
    <w:rsid w:val="005A6477"/>
    <w:rPr>
      <w:rFonts w:ascii="Times New Roman" w:eastAsia="Times New Roman" w:hAnsi="Times New Roman"/>
      <w:sz w:val="24"/>
      <w:szCs w:val="24"/>
      <w:lang w:val="es-ES" w:eastAsia="es-ES"/>
    </w:rPr>
  </w:style>
  <w:style w:type="character" w:customStyle="1" w:styleId="SinespaciadoCar">
    <w:name w:val="Sin espaciado Car"/>
    <w:basedOn w:val="Fuentedeprrafopredeter"/>
    <w:link w:val="Sinespaciado"/>
    <w:uiPriority w:val="1"/>
    <w:locked/>
    <w:rsid w:val="005B1AE1"/>
    <w:rPr>
      <w:rFonts w:ascii="Constantia" w:eastAsia="Times New Roman" w:hAnsi="Constant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564">
      <w:bodyDiv w:val="1"/>
      <w:marLeft w:val="0"/>
      <w:marRight w:val="0"/>
      <w:marTop w:val="0"/>
      <w:marBottom w:val="0"/>
      <w:divBdr>
        <w:top w:val="none" w:sz="0" w:space="0" w:color="auto"/>
        <w:left w:val="none" w:sz="0" w:space="0" w:color="auto"/>
        <w:bottom w:val="none" w:sz="0" w:space="0" w:color="auto"/>
        <w:right w:val="none" w:sz="0" w:space="0" w:color="auto"/>
      </w:divBdr>
      <w:divsChild>
        <w:div w:id="1464498466">
          <w:marLeft w:val="274"/>
          <w:marRight w:val="0"/>
          <w:marTop w:val="0"/>
          <w:marBottom w:val="240"/>
          <w:divBdr>
            <w:top w:val="none" w:sz="0" w:space="0" w:color="auto"/>
            <w:left w:val="none" w:sz="0" w:space="0" w:color="auto"/>
            <w:bottom w:val="none" w:sz="0" w:space="0" w:color="auto"/>
            <w:right w:val="none" w:sz="0" w:space="0" w:color="auto"/>
          </w:divBdr>
        </w:div>
        <w:div w:id="1479304816">
          <w:marLeft w:val="274"/>
          <w:marRight w:val="0"/>
          <w:marTop w:val="0"/>
          <w:marBottom w:val="240"/>
          <w:divBdr>
            <w:top w:val="none" w:sz="0" w:space="0" w:color="auto"/>
            <w:left w:val="none" w:sz="0" w:space="0" w:color="auto"/>
            <w:bottom w:val="none" w:sz="0" w:space="0" w:color="auto"/>
            <w:right w:val="none" w:sz="0" w:space="0" w:color="auto"/>
          </w:divBdr>
        </w:div>
        <w:div w:id="1884439074">
          <w:marLeft w:val="274"/>
          <w:marRight w:val="0"/>
          <w:marTop w:val="0"/>
          <w:marBottom w:val="240"/>
          <w:divBdr>
            <w:top w:val="none" w:sz="0" w:space="0" w:color="auto"/>
            <w:left w:val="none" w:sz="0" w:space="0" w:color="auto"/>
            <w:bottom w:val="none" w:sz="0" w:space="0" w:color="auto"/>
            <w:right w:val="none" w:sz="0" w:space="0" w:color="auto"/>
          </w:divBdr>
        </w:div>
      </w:divsChild>
    </w:div>
    <w:div w:id="12615010">
      <w:bodyDiv w:val="1"/>
      <w:marLeft w:val="0"/>
      <w:marRight w:val="0"/>
      <w:marTop w:val="0"/>
      <w:marBottom w:val="0"/>
      <w:divBdr>
        <w:top w:val="none" w:sz="0" w:space="0" w:color="auto"/>
        <w:left w:val="none" w:sz="0" w:space="0" w:color="auto"/>
        <w:bottom w:val="none" w:sz="0" w:space="0" w:color="auto"/>
        <w:right w:val="none" w:sz="0" w:space="0" w:color="auto"/>
      </w:divBdr>
      <w:divsChild>
        <w:div w:id="874804913">
          <w:marLeft w:val="576"/>
          <w:marRight w:val="0"/>
          <w:marTop w:val="120"/>
          <w:marBottom w:val="0"/>
          <w:divBdr>
            <w:top w:val="none" w:sz="0" w:space="0" w:color="auto"/>
            <w:left w:val="none" w:sz="0" w:space="0" w:color="auto"/>
            <w:bottom w:val="none" w:sz="0" w:space="0" w:color="auto"/>
            <w:right w:val="none" w:sz="0" w:space="0" w:color="auto"/>
          </w:divBdr>
        </w:div>
      </w:divsChild>
    </w:div>
    <w:div w:id="74597903">
      <w:bodyDiv w:val="1"/>
      <w:marLeft w:val="0"/>
      <w:marRight w:val="0"/>
      <w:marTop w:val="0"/>
      <w:marBottom w:val="0"/>
      <w:divBdr>
        <w:top w:val="none" w:sz="0" w:space="0" w:color="auto"/>
        <w:left w:val="none" w:sz="0" w:space="0" w:color="auto"/>
        <w:bottom w:val="none" w:sz="0" w:space="0" w:color="auto"/>
        <w:right w:val="none" w:sz="0" w:space="0" w:color="auto"/>
      </w:divBdr>
    </w:div>
    <w:div w:id="102068754">
      <w:bodyDiv w:val="1"/>
      <w:marLeft w:val="0"/>
      <w:marRight w:val="0"/>
      <w:marTop w:val="0"/>
      <w:marBottom w:val="0"/>
      <w:divBdr>
        <w:top w:val="none" w:sz="0" w:space="0" w:color="auto"/>
        <w:left w:val="none" w:sz="0" w:space="0" w:color="auto"/>
        <w:bottom w:val="none" w:sz="0" w:space="0" w:color="auto"/>
        <w:right w:val="none" w:sz="0" w:space="0" w:color="auto"/>
      </w:divBdr>
    </w:div>
    <w:div w:id="124812311">
      <w:bodyDiv w:val="1"/>
      <w:marLeft w:val="0"/>
      <w:marRight w:val="0"/>
      <w:marTop w:val="0"/>
      <w:marBottom w:val="0"/>
      <w:divBdr>
        <w:top w:val="none" w:sz="0" w:space="0" w:color="auto"/>
        <w:left w:val="none" w:sz="0" w:space="0" w:color="auto"/>
        <w:bottom w:val="none" w:sz="0" w:space="0" w:color="auto"/>
        <w:right w:val="none" w:sz="0" w:space="0" w:color="auto"/>
      </w:divBdr>
    </w:div>
    <w:div w:id="224731212">
      <w:bodyDiv w:val="1"/>
      <w:marLeft w:val="0"/>
      <w:marRight w:val="0"/>
      <w:marTop w:val="0"/>
      <w:marBottom w:val="0"/>
      <w:divBdr>
        <w:top w:val="none" w:sz="0" w:space="0" w:color="auto"/>
        <w:left w:val="none" w:sz="0" w:space="0" w:color="auto"/>
        <w:bottom w:val="none" w:sz="0" w:space="0" w:color="auto"/>
        <w:right w:val="none" w:sz="0" w:space="0" w:color="auto"/>
      </w:divBdr>
      <w:divsChild>
        <w:div w:id="791099228">
          <w:marLeft w:val="562"/>
          <w:marRight w:val="0"/>
          <w:marTop w:val="0"/>
          <w:marBottom w:val="0"/>
          <w:divBdr>
            <w:top w:val="none" w:sz="0" w:space="0" w:color="auto"/>
            <w:left w:val="none" w:sz="0" w:space="0" w:color="auto"/>
            <w:bottom w:val="none" w:sz="0" w:space="0" w:color="auto"/>
            <w:right w:val="none" w:sz="0" w:space="0" w:color="auto"/>
          </w:divBdr>
        </w:div>
        <w:div w:id="1126898492">
          <w:marLeft w:val="562"/>
          <w:marRight w:val="0"/>
          <w:marTop w:val="0"/>
          <w:marBottom w:val="0"/>
          <w:divBdr>
            <w:top w:val="none" w:sz="0" w:space="0" w:color="auto"/>
            <w:left w:val="none" w:sz="0" w:space="0" w:color="auto"/>
            <w:bottom w:val="none" w:sz="0" w:space="0" w:color="auto"/>
            <w:right w:val="none" w:sz="0" w:space="0" w:color="auto"/>
          </w:divBdr>
        </w:div>
        <w:div w:id="1718116599">
          <w:marLeft w:val="562"/>
          <w:marRight w:val="0"/>
          <w:marTop w:val="0"/>
          <w:marBottom w:val="0"/>
          <w:divBdr>
            <w:top w:val="none" w:sz="0" w:space="0" w:color="auto"/>
            <w:left w:val="none" w:sz="0" w:space="0" w:color="auto"/>
            <w:bottom w:val="none" w:sz="0" w:space="0" w:color="auto"/>
            <w:right w:val="none" w:sz="0" w:space="0" w:color="auto"/>
          </w:divBdr>
        </w:div>
      </w:divsChild>
    </w:div>
    <w:div w:id="277689072">
      <w:bodyDiv w:val="1"/>
      <w:marLeft w:val="0"/>
      <w:marRight w:val="0"/>
      <w:marTop w:val="0"/>
      <w:marBottom w:val="0"/>
      <w:divBdr>
        <w:top w:val="none" w:sz="0" w:space="0" w:color="auto"/>
        <w:left w:val="none" w:sz="0" w:space="0" w:color="auto"/>
        <w:bottom w:val="none" w:sz="0" w:space="0" w:color="auto"/>
        <w:right w:val="none" w:sz="0" w:space="0" w:color="auto"/>
      </w:divBdr>
    </w:div>
    <w:div w:id="302665719">
      <w:bodyDiv w:val="1"/>
      <w:marLeft w:val="0"/>
      <w:marRight w:val="0"/>
      <w:marTop w:val="0"/>
      <w:marBottom w:val="0"/>
      <w:divBdr>
        <w:top w:val="none" w:sz="0" w:space="0" w:color="auto"/>
        <w:left w:val="none" w:sz="0" w:space="0" w:color="auto"/>
        <w:bottom w:val="none" w:sz="0" w:space="0" w:color="auto"/>
        <w:right w:val="none" w:sz="0" w:space="0" w:color="auto"/>
      </w:divBdr>
    </w:div>
    <w:div w:id="317077505">
      <w:bodyDiv w:val="1"/>
      <w:marLeft w:val="0"/>
      <w:marRight w:val="0"/>
      <w:marTop w:val="0"/>
      <w:marBottom w:val="0"/>
      <w:divBdr>
        <w:top w:val="none" w:sz="0" w:space="0" w:color="auto"/>
        <w:left w:val="none" w:sz="0" w:space="0" w:color="auto"/>
        <w:bottom w:val="none" w:sz="0" w:space="0" w:color="auto"/>
        <w:right w:val="none" w:sz="0" w:space="0" w:color="auto"/>
      </w:divBdr>
    </w:div>
    <w:div w:id="381290258">
      <w:bodyDiv w:val="1"/>
      <w:marLeft w:val="0"/>
      <w:marRight w:val="0"/>
      <w:marTop w:val="0"/>
      <w:marBottom w:val="0"/>
      <w:divBdr>
        <w:top w:val="none" w:sz="0" w:space="0" w:color="auto"/>
        <w:left w:val="none" w:sz="0" w:space="0" w:color="auto"/>
        <w:bottom w:val="none" w:sz="0" w:space="0" w:color="auto"/>
        <w:right w:val="none" w:sz="0" w:space="0" w:color="auto"/>
      </w:divBdr>
    </w:div>
    <w:div w:id="438334676">
      <w:bodyDiv w:val="1"/>
      <w:marLeft w:val="0"/>
      <w:marRight w:val="0"/>
      <w:marTop w:val="0"/>
      <w:marBottom w:val="0"/>
      <w:divBdr>
        <w:top w:val="none" w:sz="0" w:space="0" w:color="auto"/>
        <w:left w:val="none" w:sz="0" w:space="0" w:color="auto"/>
        <w:bottom w:val="none" w:sz="0" w:space="0" w:color="auto"/>
        <w:right w:val="none" w:sz="0" w:space="0" w:color="auto"/>
      </w:divBdr>
    </w:div>
    <w:div w:id="440341959">
      <w:bodyDiv w:val="1"/>
      <w:marLeft w:val="0"/>
      <w:marRight w:val="0"/>
      <w:marTop w:val="0"/>
      <w:marBottom w:val="0"/>
      <w:divBdr>
        <w:top w:val="none" w:sz="0" w:space="0" w:color="auto"/>
        <w:left w:val="none" w:sz="0" w:space="0" w:color="auto"/>
        <w:bottom w:val="none" w:sz="0" w:space="0" w:color="auto"/>
        <w:right w:val="none" w:sz="0" w:space="0" w:color="auto"/>
      </w:divBdr>
    </w:div>
    <w:div w:id="481119587">
      <w:bodyDiv w:val="1"/>
      <w:marLeft w:val="0"/>
      <w:marRight w:val="0"/>
      <w:marTop w:val="0"/>
      <w:marBottom w:val="0"/>
      <w:divBdr>
        <w:top w:val="none" w:sz="0" w:space="0" w:color="auto"/>
        <w:left w:val="none" w:sz="0" w:space="0" w:color="auto"/>
        <w:bottom w:val="none" w:sz="0" w:space="0" w:color="auto"/>
        <w:right w:val="none" w:sz="0" w:space="0" w:color="auto"/>
      </w:divBdr>
    </w:div>
    <w:div w:id="494607275">
      <w:bodyDiv w:val="1"/>
      <w:marLeft w:val="0"/>
      <w:marRight w:val="0"/>
      <w:marTop w:val="0"/>
      <w:marBottom w:val="0"/>
      <w:divBdr>
        <w:top w:val="none" w:sz="0" w:space="0" w:color="auto"/>
        <w:left w:val="none" w:sz="0" w:space="0" w:color="auto"/>
        <w:bottom w:val="none" w:sz="0" w:space="0" w:color="auto"/>
        <w:right w:val="none" w:sz="0" w:space="0" w:color="auto"/>
      </w:divBdr>
    </w:div>
    <w:div w:id="524638195">
      <w:bodyDiv w:val="1"/>
      <w:marLeft w:val="0"/>
      <w:marRight w:val="0"/>
      <w:marTop w:val="0"/>
      <w:marBottom w:val="0"/>
      <w:divBdr>
        <w:top w:val="none" w:sz="0" w:space="0" w:color="auto"/>
        <w:left w:val="none" w:sz="0" w:space="0" w:color="auto"/>
        <w:bottom w:val="none" w:sz="0" w:space="0" w:color="auto"/>
        <w:right w:val="none" w:sz="0" w:space="0" w:color="auto"/>
      </w:divBdr>
    </w:div>
    <w:div w:id="532572793">
      <w:bodyDiv w:val="1"/>
      <w:marLeft w:val="0"/>
      <w:marRight w:val="0"/>
      <w:marTop w:val="0"/>
      <w:marBottom w:val="0"/>
      <w:divBdr>
        <w:top w:val="none" w:sz="0" w:space="0" w:color="auto"/>
        <w:left w:val="none" w:sz="0" w:space="0" w:color="auto"/>
        <w:bottom w:val="none" w:sz="0" w:space="0" w:color="auto"/>
        <w:right w:val="none" w:sz="0" w:space="0" w:color="auto"/>
      </w:divBdr>
    </w:div>
    <w:div w:id="537472027">
      <w:bodyDiv w:val="1"/>
      <w:marLeft w:val="0"/>
      <w:marRight w:val="0"/>
      <w:marTop w:val="0"/>
      <w:marBottom w:val="0"/>
      <w:divBdr>
        <w:top w:val="none" w:sz="0" w:space="0" w:color="auto"/>
        <w:left w:val="none" w:sz="0" w:space="0" w:color="auto"/>
        <w:bottom w:val="none" w:sz="0" w:space="0" w:color="auto"/>
        <w:right w:val="none" w:sz="0" w:space="0" w:color="auto"/>
      </w:divBdr>
      <w:divsChild>
        <w:div w:id="1166701297">
          <w:marLeft w:val="0"/>
          <w:marRight w:val="0"/>
          <w:marTop w:val="0"/>
          <w:marBottom w:val="0"/>
          <w:divBdr>
            <w:top w:val="none" w:sz="0" w:space="0" w:color="auto"/>
            <w:left w:val="none" w:sz="0" w:space="0" w:color="auto"/>
            <w:bottom w:val="none" w:sz="0" w:space="0" w:color="auto"/>
            <w:right w:val="none" w:sz="0" w:space="0" w:color="auto"/>
          </w:divBdr>
          <w:divsChild>
            <w:div w:id="319886466">
              <w:marLeft w:val="0"/>
              <w:marRight w:val="0"/>
              <w:marTop w:val="0"/>
              <w:marBottom w:val="0"/>
              <w:divBdr>
                <w:top w:val="single" w:sz="24" w:space="0" w:color="FB4C1C"/>
                <w:left w:val="none" w:sz="0" w:space="0" w:color="auto"/>
                <w:bottom w:val="none" w:sz="0" w:space="0" w:color="auto"/>
                <w:right w:val="none" w:sz="0" w:space="0" w:color="auto"/>
              </w:divBdr>
              <w:divsChild>
                <w:div w:id="1064136762">
                  <w:marLeft w:val="0"/>
                  <w:marRight w:val="0"/>
                  <w:marTop w:val="100"/>
                  <w:marBottom w:val="100"/>
                  <w:divBdr>
                    <w:top w:val="none" w:sz="0" w:space="0" w:color="auto"/>
                    <w:left w:val="none" w:sz="0" w:space="0" w:color="auto"/>
                    <w:bottom w:val="none" w:sz="0" w:space="0" w:color="auto"/>
                    <w:right w:val="none" w:sz="0" w:space="0" w:color="auto"/>
                  </w:divBdr>
                  <w:divsChild>
                    <w:div w:id="1058013946">
                      <w:marLeft w:val="0"/>
                      <w:marRight w:val="0"/>
                      <w:marTop w:val="0"/>
                      <w:marBottom w:val="0"/>
                      <w:divBdr>
                        <w:top w:val="none" w:sz="0" w:space="0" w:color="auto"/>
                        <w:left w:val="none" w:sz="0" w:space="0" w:color="auto"/>
                        <w:bottom w:val="none" w:sz="0" w:space="0" w:color="auto"/>
                        <w:right w:val="none" w:sz="0" w:space="0" w:color="auto"/>
                      </w:divBdr>
                      <w:divsChild>
                        <w:div w:id="734008506">
                          <w:marLeft w:val="0"/>
                          <w:marRight w:val="0"/>
                          <w:marTop w:val="0"/>
                          <w:marBottom w:val="0"/>
                          <w:divBdr>
                            <w:top w:val="none" w:sz="0" w:space="0" w:color="auto"/>
                            <w:left w:val="none" w:sz="0" w:space="0" w:color="auto"/>
                            <w:bottom w:val="none" w:sz="0" w:space="0" w:color="auto"/>
                            <w:right w:val="none" w:sz="0" w:space="0" w:color="auto"/>
                          </w:divBdr>
                          <w:divsChild>
                            <w:div w:id="1487088080">
                              <w:marLeft w:val="0"/>
                              <w:marRight w:val="0"/>
                              <w:marTop w:val="0"/>
                              <w:marBottom w:val="0"/>
                              <w:divBdr>
                                <w:top w:val="none" w:sz="0" w:space="0" w:color="auto"/>
                                <w:left w:val="none" w:sz="0" w:space="0" w:color="auto"/>
                                <w:bottom w:val="none" w:sz="0" w:space="0" w:color="auto"/>
                                <w:right w:val="none" w:sz="0" w:space="0" w:color="auto"/>
                              </w:divBdr>
                              <w:divsChild>
                                <w:div w:id="1872643750">
                                  <w:marLeft w:val="0"/>
                                  <w:marRight w:val="0"/>
                                  <w:marTop w:val="0"/>
                                  <w:marBottom w:val="0"/>
                                  <w:divBdr>
                                    <w:top w:val="none" w:sz="0" w:space="0" w:color="auto"/>
                                    <w:left w:val="none" w:sz="0" w:space="0" w:color="auto"/>
                                    <w:bottom w:val="none" w:sz="0" w:space="0" w:color="auto"/>
                                    <w:right w:val="none" w:sz="0" w:space="0" w:color="auto"/>
                                  </w:divBdr>
                                  <w:divsChild>
                                    <w:div w:id="1102651247">
                                      <w:marLeft w:val="0"/>
                                      <w:marRight w:val="0"/>
                                      <w:marTop w:val="0"/>
                                      <w:marBottom w:val="0"/>
                                      <w:divBdr>
                                        <w:top w:val="none" w:sz="0" w:space="0" w:color="auto"/>
                                        <w:left w:val="none" w:sz="0" w:space="0" w:color="auto"/>
                                        <w:bottom w:val="none" w:sz="0" w:space="0" w:color="auto"/>
                                        <w:right w:val="none" w:sz="0" w:space="0" w:color="auto"/>
                                      </w:divBdr>
                                      <w:divsChild>
                                        <w:div w:id="1233126812">
                                          <w:marLeft w:val="0"/>
                                          <w:marRight w:val="0"/>
                                          <w:marTop w:val="0"/>
                                          <w:marBottom w:val="0"/>
                                          <w:divBdr>
                                            <w:top w:val="none" w:sz="0" w:space="0" w:color="auto"/>
                                            <w:left w:val="none" w:sz="0" w:space="0" w:color="auto"/>
                                            <w:bottom w:val="none" w:sz="0" w:space="0" w:color="auto"/>
                                            <w:right w:val="none" w:sz="0" w:space="0" w:color="auto"/>
                                          </w:divBdr>
                                          <w:divsChild>
                                            <w:div w:id="1857187229">
                                              <w:marLeft w:val="0"/>
                                              <w:marRight w:val="0"/>
                                              <w:marTop w:val="0"/>
                                              <w:marBottom w:val="0"/>
                                              <w:divBdr>
                                                <w:top w:val="none" w:sz="0" w:space="0" w:color="auto"/>
                                                <w:left w:val="none" w:sz="0" w:space="0" w:color="auto"/>
                                                <w:bottom w:val="none" w:sz="0" w:space="0" w:color="auto"/>
                                                <w:right w:val="none" w:sz="0" w:space="0" w:color="auto"/>
                                              </w:divBdr>
                                              <w:divsChild>
                                                <w:div w:id="18839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306928">
      <w:bodyDiv w:val="1"/>
      <w:marLeft w:val="0"/>
      <w:marRight w:val="0"/>
      <w:marTop w:val="0"/>
      <w:marBottom w:val="0"/>
      <w:divBdr>
        <w:top w:val="none" w:sz="0" w:space="0" w:color="auto"/>
        <w:left w:val="none" w:sz="0" w:space="0" w:color="auto"/>
        <w:bottom w:val="none" w:sz="0" w:space="0" w:color="auto"/>
        <w:right w:val="none" w:sz="0" w:space="0" w:color="auto"/>
      </w:divBdr>
    </w:div>
    <w:div w:id="662779522">
      <w:bodyDiv w:val="1"/>
      <w:marLeft w:val="0"/>
      <w:marRight w:val="0"/>
      <w:marTop w:val="0"/>
      <w:marBottom w:val="0"/>
      <w:divBdr>
        <w:top w:val="none" w:sz="0" w:space="0" w:color="auto"/>
        <w:left w:val="none" w:sz="0" w:space="0" w:color="auto"/>
        <w:bottom w:val="none" w:sz="0" w:space="0" w:color="auto"/>
        <w:right w:val="none" w:sz="0" w:space="0" w:color="auto"/>
      </w:divBdr>
    </w:div>
    <w:div w:id="694162026">
      <w:bodyDiv w:val="1"/>
      <w:marLeft w:val="0"/>
      <w:marRight w:val="0"/>
      <w:marTop w:val="0"/>
      <w:marBottom w:val="0"/>
      <w:divBdr>
        <w:top w:val="none" w:sz="0" w:space="0" w:color="auto"/>
        <w:left w:val="none" w:sz="0" w:space="0" w:color="auto"/>
        <w:bottom w:val="none" w:sz="0" w:space="0" w:color="auto"/>
        <w:right w:val="none" w:sz="0" w:space="0" w:color="auto"/>
      </w:divBdr>
    </w:div>
    <w:div w:id="711076320">
      <w:bodyDiv w:val="1"/>
      <w:marLeft w:val="0"/>
      <w:marRight w:val="0"/>
      <w:marTop w:val="0"/>
      <w:marBottom w:val="0"/>
      <w:divBdr>
        <w:top w:val="none" w:sz="0" w:space="0" w:color="auto"/>
        <w:left w:val="none" w:sz="0" w:space="0" w:color="auto"/>
        <w:bottom w:val="none" w:sz="0" w:space="0" w:color="auto"/>
        <w:right w:val="none" w:sz="0" w:space="0" w:color="auto"/>
      </w:divBdr>
    </w:div>
    <w:div w:id="782462308">
      <w:bodyDiv w:val="1"/>
      <w:marLeft w:val="0"/>
      <w:marRight w:val="0"/>
      <w:marTop w:val="0"/>
      <w:marBottom w:val="0"/>
      <w:divBdr>
        <w:top w:val="none" w:sz="0" w:space="0" w:color="auto"/>
        <w:left w:val="none" w:sz="0" w:space="0" w:color="auto"/>
        <w:bottom w:val="none" w:sz="0" w:space="0" w:color="auto"/>
        <w:right w:val="none" w:sz="0" w:space="0" w:color="auto"/>
      </w:divBdr>
    </w:div>
    <w:div w:id="797065889">
      <w:bodyDiv w:val="1"/>
      <w:marLeft w:val="0"/>
      <w:marRight w:val="0"/>
      <w:marTop w:val="0"/>
      <w:marBottom w:val="0"/>
      <w:divBdr>
        <w:top w:val="none" w:sz="0" w:space="0" w:color="auto"/>
        <w:left w:val="none" w:sz="0" w:space="0" w:color="auto"/>
        <w:bottom w:val="none" w:sz="0" w:space="0" w:color="auto"/>
        <w:right w:val="none" w:sz="0" w:space="0" w:color="auto"/>
      </w:divBdr>
    </w:div>
    <w:div w:id="830758260">
      <w:bodyDiv w:val="1"/>
      <w:marLeft w:val="0"/>
      <w:marRight w:val="0"/>
      <w:marTop w:val="0"/>
      <w:marBottom w:val="0"/>
      <w:divBdr>
        <w:top w:val="none" w:sz="0" w:space="0" w:color="auto"/>
        <w:left w:val="none" w:sz="0" w:space="0" w:color="auto"/>
        <w:bottom w:val="none" w:sz="0" w:space="0" w:color="auto"/>
        <w:right w:val="none" w:sz="0" w:space="0" w:color="auto"/>
      </w:divBdr>
    </w:div>
    <w:div w:id="870071512">
      <w:bodyDiv w:val="1"/>
      <w:marLeft w:val="0"/>
      <w:marRight w:val="0"/>
      <w:marTop w:val="0"/>
      <w:marBottom w:val="0"/>
      <w:divBdr>
        <w:top w:val="none" w:sz="0" w:space="0" w:color="auto"/>
        <w:left w:val="none" w:sz="0" w:space="0" w:color="auto"/>
        <w:bottom w:val="none" w:sz="0" w:space="0" w:color="auto"/>
        <w:right w:val="none" w:sz="0" w:space="0" w:color="auto"/>
      </w:divBdr>
    </w:div>
    <w:div w:id="911886592">
      <w:bodyDiv w:val="1"/>
      <w:marLeft w:val="0"/>
      <w:marRight w:val="0"/>
      <w:marTop w:val="0"/>
      <w:marBottom w:val="0"/>
      <w:divBdr>
        <w:top w:val="none" w:sz="0" w:space="0" w:color="auto"/>
        <w:left w:val="none" w:sz="0" w:space="0" w:color="auto"/>
        <w:bottom w:val="none" w:sz="0" w:space="0" w:color="auto"/>
        <w:right w:val="none" w:sz="0" w:space="0" w:color="auto"/>
      </w:divBdr>
    </w:div>
    <w:div w:id="912349316">
      <w:bodyDiv w:val="1"/>
      <w:marLeft w:val="0"/>
      <w:marRight w:val="0"/>
      <w:marTop w:val="0"/>
      <w:marBottom w:val="0"/>
      <w:divBdr>
        <w:top w:val="none" w:sz="0" w:space="0" w:color="auto"/>
        <w:left w:val="none" w:sz="0" w:space="0" w:color="auto"/>
        <w:bottom w:val="none" w:sz="0" w:space="0" w:color="auto"/>
        <w:right w:val="none" w:sz="0" w:space="0" w:color="auto"/>
      </w:divBdr>
    </w:div>
    <w:div w:id="1033732043">
      <w:bodyDiv w:val="1"/>
      <w:marLeft w:val="0"/>
      <w:marRight w:val="0"/>
      <w:marTop w:val="0"/>
      <w:marBottom w:val="0"/>
      <w:divBdr>
        <w:top w:val="none" w:sz="0" w:space="0" w:color="auto"/>
        <w:left w:val="none" w:sz="0" w:space="0" w:color="auto"/>
        <w:bottom w:val="none" w:sz="0" w:space="0" w:color="auto"/>
        <w:right w:val="none" w:sz="0" w:space="0" w:color="auto"/>
      </w:divBdr>
    </w:div>
    <w:div w:id="1044598226">
      <w:bodyDiv w:val="1"/>
      <w:marLeft w:val="0"/>
      <w:marRight w:val="0"/>
      <w:marTop w:val="0"/>
      <w:marBottom w:val="0"/>
      <w:divBdr>
        <w:top w:val="none" w:sz="0" w:space="0" w:color="auto"/>
        <w:left w:val="none" w:sz="0" w:space="0" w:color="auto"/>
        <w:bottom w:val="none" w:sz="0" w:space="0" w:color="auto"/>
        <w:right w:val="none" w:sz="0" w:space="0" w:color="auto"/>
      </w:divBdr>
    </w:div>
    <w:div w:id="1072898059">
      <w:bodyDiv w:val="1"/>
      <w:marLeft w:val="0"/>
      <w:marRight w:val="0"/>
      <w:marTop w:val="0"/>
      <w:marBottom w:val="0"/>
      <w:divBdr>
        <w:top w:val="none" w:sz="0" w:space="0" w:color="auto"/>
        <w:left w:val="none" w:sz="0" w:space="0" w:color="auto"/>
        <w:bottom w:val="none" w:sz="0" w:space="0" w:color="auto"/>
        <w:right w:val="none" w:sz="0" w:space="0" w:color="auto"/>
      </w:divBdr>
    </w:div>
    <w:div w:id="1092168563">
      <w:bodyDiv w:val="1"/>
      <w:marLeft w:val="0"/>
      <w:marRight w:val="0"/>
      <w:marTop w:val="0"/>
      <w:marBottom w:val="0"/>
      <w:divBdr>
        <w:top w:val="none" w:sz="0" w:space="0" w:color="auto"/>
        <w:left w:val="none" w:sz="0" w:space="0" w:color="auto"/>
        <w:bottom w:val="none" w:sz="0" w:space="0" w:color="auto"/>
        <w:right w:val="none" w:sz="0" w:space="0" w:color="auto"/>
      </w:divBdr>
    </w:div>
    <w:div w:id="1109423471">
      <w:bodyDiv w:val="1"/>
      <w:marLeft w:val="0"/>
      <w:marRight w:val="0"/>
      <w:marTop w:val="0"/>
      <w:marBottom w:val="0"/>
      <w:divBdr>
        <w:top w:val="none" w:sz="0" w:space="0" w:color="auto"/>
        <w:left w:val="none" w:sz="0" w:space="0" w:color="auto"/>
        <w:bottom w:val="none" w:sz="0" w:space="0" w:color="auto"/>
        <w:right w:val="none" w:sz="0" w:space="0" w:color="auto"/>
      </w:divBdr>
    </w:div>
    <w:div w:id="1126579288">
      <w:bodyDiv w:val="1"/>
      <w:marLeft w:val="0"/>
      <w:marRight w:val="0"/>
      <w:marTop w:val="0"/>
      <w:marBottom w:val="0"/>
      <w:divBdr>
        <w:top w:val="none" w:sz="0" w:space="0" w:color="auto"/>
        <w:left w:val="none" w:sz="0" w:space="0" w:color="auto"/>
        <w:bottom w:val="none" w:sz="0" w:space="0" w:color="auto"/>
        <w:right w:val="none" w:sz="0" w:space="0" w:color="auto"/>
      </w:divBdr>
    </w:div>
    <w:div w:id="1215048107">
      <w:bodyDiv w:val="1"/>
      <w:marLeft w:val="0"/>
      <w:marRight w:val="0"/>
      <w:marTop w:val="0"/>
      <w:marBottom w:val="0"/>
      <w:divBdr>
        <w:top w:val="none" w:sz="0" w:space="0" w:color="auto"/>
        <w:left w:val="none" w:sz="0" w:space="0" w:color="auto"/>
        <w:bottom w:val="none" w:sz="0" w:space="0" w:color="auto"/>
        <w:right w:val="none" w:sz="0" w:space="0" w:color="auto"/>
      </w:divBdr>
    </w:div>
    <w:div w:id="1237477259">
      <w:bodyDiv w:val="1"/>
      <w:marLeft w:val="0"/>
      <w:marRight w:val="0"/>
      <w:marTop w:val="0"/>
      <w:marBottom w:val="0"/>
      <w:divBdr>
        <w:top w:val="none" w:sz="0" w:space="0" w:color="auto"/>
        <w:left w:val="none" w:sz="0" w:space="0" w:color="auto"/>
        <w:bottom w:val="none" w:sz="0" w:space="0" w:color="auto"/>
        <w:right w:val="none" w:sz="0" w:space="0" w:color="auto"/>
      </w:divBdr>
    </w:div>
    <w:div w:id="1257471863">
      <w:bodyDiv w:val="1"/>
      <w:marLeft w:val="0"/>
      <w:marRight w:val="0"/>
      <w:marTop w:val="0"/>
      <w:marBottom w:val="0"/>
      <w:divBdr>
        <w:top w:val="none" w:sz="0" w:space="0" w:color="auto"/>
        <w:left w:val="none" w:sz="0" w:space="0" w:color="auto"/>
        <w:bottom w:val="none" w:sz="0" w:space="0" w:color="auto"/>
        <w:right w:val="none" w:sz="0" w:space="0" w:color="auto"/>
      </w:divBdr>
    </w:div>
    <w:div w:id="1377464446">
      <w:bodyDiv w:val="1"/>
      <w:marLeft w:val="0"/>
      <w:marRight w:val="0"/>
      <w:marTop w:val="0"/>
      <w:marBottom w:val="0"/>
      <w:divBdr>
        <w:top w:val="none" w:sz="0" w:space="0" w:color="auto"/>
        <w:left w:val="none" w:sz="0" w:space="0" w:color="auto"/>
        <w:bottom w:val="none" w:sz="0" w:space="0" w:color="auto"/>
        <w:right w:val="none" w:sz="0" w:space="0" w:color="auto"/>
      </w:divBdr>
      <w:divsChild>
        <w:div w:id="427625279">
          <w:marLeft w:val="1411"/>
          <w:marRight w:val="0"/>
          <w:marTop w:val="0"/>
          <w:marBottom w:val="0"/>
          <w:divBdr>
            <w:top w:val="none" w:sz="0" w:space="0" w:color="auto"/>
            <w:left w:val="none" w:sz="0" w:space="0" w:color="auto"/>
            <w:bottom w:val="none" w:sz="0" w:space="0" w:color="auto"/>
            <w:right w:val="none" w:sz="0" w:space="0" w:color="auto"/>
          </w:divBdr>
        </w:div>
        <w:div w:id="568031031">
          <w:marLeft w:val="1411"/>
          <w:marRight w:val="0"/>
          <w:marTop w:val="0"/>
          <w:marBottom w:val="0"/>
          <w:divBdr>
            <w:top w:val="none" w:sz="0" w:space="0" w:color="auto"/>
            <w:left w:val="none" w:sz="0" w:space="0" w:color="auto"/>
            <w:bottom w:val="none" w:sz="0" w:space="0" w:color="auto"/>
            <w:right w:val="none" w:sz="0" w:space="0" w:color="auto"/>
          </w:divBdr>
        </w:div>
        <w:div w:id="1324119449">
          <w:marLeft w:val="1411"/>
          <w:marRight w:val="0"/>
          <w:marTop w:val="0"/>
          <w:marBottom w:val="0"/>
          <w:divBdr>
            <w:top w:val="none" w:sz="0" w:space="0" w:color="auto"/>
            <w:left w:val="none" w:sz="0" w:space="0" w:color="auto"/>
            <w:bottom w:val="none" w:sz="0" w:space="0" w:color="auto"/>
            <w:right w:val="none" w:sz="0" w:space="0" w:color="auto"/>
          </w:divBdr>
        </w:div>
        <w:div w:id="1373193343">
          <w:marLeft w:val="562"/>
          <w:marRight w:val="0"/>
          <w:marTop w:val="0"/>
          <w:marBottom w:val="0"/>
          <w:divBdr>
            <w:top w:val="none" w:sz="0" w:space="0" w:color="auto"/>
            <w:left w:val="none" w:sz="0" w:space="0" w:color="auto"/>
            <w:bottom w:val="none" w:sz="0" w:space="0" w:color="auto"/>
            <w:right w:val="none" w:sz="0" w:space="0" w:color="auto"/>
          </w:divBdr>
        </w:div>
        <w:div w:id="1684472485">
          <w:marLeft w:val="1411"/>
          <w:marRight w:val="0"/>
          <w:marTop w:val="0"/>
          <w:marBottom w:val="0"/>
          <w:divBdr>
            <w:top w:val="none" w:sz="0" w:space="0" w:color="auto"/>
            <w:left w:val="none" w:sz="0" w:space="0" w:color="auto"/>
            <w:bottom w:val="none" w:sz="0" w:space="0" w:color="auto"/>
            <w:right w:val="none" w:sz="0" w:space="0" w:color="auto"/>
          </w:divBdr>
        </w:div>
        <w:div w:id="1732801658">
          <w:marLeft w:val="1411"/>
          <w:marRight w:val="0"/>
          <w:marTop w:val="0"/>
          <w:marBottom w:val="0"/>
          <w:divBdr>
            <w:top w:val="none" w:sz="0" w:space="0" w:color="auto"/>
            <w:left w:val="none" w:sz="0" w:space="0" w:color="auto"/>
            <w:bottom w:val="none" w:sz="0" w:space="0" w:color="auto"/>
            <w:right w:val="none" w:sz="0" w:space="0" w:color="auto"/>
          </w:divBdr>
        </w:div>
        <w:div w:id="1783454252">
          <w:marLeft w:val="1411"/>
          <w:marRight w:val="0"/>
          <w:marTop w:val="0"/>
          <w:marBottom w:val="0"/>
          <w:divBdr>
            <w:top w:val="none" w:sz="0" w:space="0" w:color="auto"/>
            <w:left w:val="none" w:sz="0" w:space="0" w:color="auto"/>
            <w:bottom w:val="none" w:sz="0" w:space="0" w:color="auto"/>
            <w:right w:val="none" w:sz="0" w:space="0" w:color="auto"/>
          </w:divBdr>
        </w:div>
        <w:div w:id="2022313867">
          <w:marLeft w:val="562"/>
          <w:marRight w:val="0"/>
          <w:marTop w:val="0"/>
          <w:marBottom w:val="0"/>
          <w:divBdr>
            <w:top w:val="none" w:sz="0" w:space="0" w:color="auto"/>
            <w:left w:val="none" w:sz="0" w:space="0" w:color="auto"/>
            <w:bottom w:val="none" w:sz="0" w:space="0" w:color="auto"/>
            <w:right w:val="none" w:sz="0" w:space="0" w:color="auto"/>
          </w:divBdr>
        </w:div>
      </w:divsChild>
    </w:div>
    <w:div w:id="1378160490">
      <w:bodyDiv w:val="1"/>
      <w:marLeft w:val="0"/>
      <w:marRight w:val="0"/>
      <w:marTop w:val="0"/>
      <w:marBottom w:val="0"/>
      <w:divBdr>
        <w:top w:val="none" w:sz="0" w:space="0" w:color="auto"/>
        <w:left w:val="none" w:sz="0" w:space="0" w:color="auto"/>
        <w:bottom w:val="none" w:sz="0" w:space="0" w:color="auto"/>
        <w:right w:val="none" w:sz="0" w:space="0" w:color="auto"/>
      </w:divBdr>
    </w:div>
    <w:div w:id="1392388646">
      <w:bodyDiv w:val="1"/>
      <w:marLeft w:val="0"/>
      <w:marRight w:val="0"/>
      <w:marTop w:val="0"/>
      <w:marBottom w:val="0"/>
      <w:divBdr>
        <w:top w:val="none" w:sz="0" w:space="0" w:color="auto"/>
        <w:left w:val="none" w:sz="0" w:space="0" w:color="auto"/>
        <w:bottom w:val="none" w:sz="0" w:space="0" w:color="auto"/>
        <w:right w:val="none" w:sz="0" w:space="0" w:color="auto"/>
      </w:divBdr>
    </w:div>
    <w:div w:id="139470084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2914901">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sChild>
        <w:div w:id="842008112">
          <w:marLeft w:val="432"/>
          <w:marRight w:val="0"/>
          <w:marTop w:val="0"/>
          <w:marBottom w:val="0"/>
          <w:divBdr>
            <w:top w:val="none" w:sz="0" w:space="0" w:color="auto"/>
            <w:left w:val="none" w:sz="0" w:space="0" w:color="auto"/>
            <w:bottom w:val="none" w:sz="0" w:space="0" w:color="auto"/>
            <w:right w:val="none" w:sz="0" w:space="0" w:color="auto"/>
          </w:divBdr>
        </w:div>
        <w:div w:id="960261310">
          <w:marLeft w:val="432"/>
          <w:marRight w:val="0"/>
          <w:marTop w:val="0"/>
          <w:marBottom w:val="0"/>
          <w:divBdr>
            <w:top w:val="none" w:sz="0" w:space="0" w:color="auto"/>
            <w:left w:val="none" w:sz="0" w:space="0" w:color="auto"/>
            <w:bottom w:val="none" w:sz="0" w:space="0" w:color="auto"/>
            <w:right w:val="none" w:sz="0" w:space="0" w:color="auto"/>
          </w:divBdr>
        </w:div>
        <w:div w:id="1004744843">
          <w:marLeft w:val="432"/>
          <w:marRight w:val="0"/>
          <w:marTop w:val="0"/>
          <w:marBottom w:val="0"/>
          <w:divBdr>
            <w:top w:val="none" w:sz="0" w:space="0" w:color="auto"/>
            <w:left w:val="none" w:sz="0" w:space="0" w:color="auto"/>
            <w:bottom w:val="none" w:sz="0" w:space="0" w:color="auto"/>
            <w:right w:val="none" w:sz="0" w:space="0" w:color="auto"/>
          </w:divBdr>
        </w:div>
        <w:div w:id="1449617494">
          <w:marLeft w:val="432"/>
          <w:marRight w:val="0"/>
          <w:marTop w:val="0"/>
          <w:marBottom w:val="0"/>
          <w:divBdr>
            <w:top w:val="none" w:sz="0" w:space="0" w:color="auto"/>
            <w:left w:val="none" w:sz="0" w:space="0" w:color="auto"/>
            <w:bottom w:val="none" w:sz="0" w:space="0" w:color="auto"/>
            <w:right w:val="none" w:sz="0" w:space="0" w:color="auto"/>
          </w:divBdr>
        </w:div>
        <w:div w:id="1642155400">
          <w:marLeft w:val="432"/>
          <w:marRight w:val="0"/>
          <w:marTop w:val="0"/>
          <w:marBottom w:val="0"/>
          <w:divBdr>
            <w:top w:val="none" w:sz="0" w:space="0" w:color="auto"/>
            <w:left w:val="none" w:sz="0" w:space="0" w:color="auto"/>
            <w:bottom w:val="none" w:sz="0" w:space="0" w:color="auto"/>
            <w:right w:val="none" w:sz="0" w:space="0" w:color="auto"/>
          </w:divBdr>
        </w:div>
      </w:divsChild>
    </w:div>
    <w:div w:id="1582059570">
      <w:bodyDiv w:val="1"/>
      <w:marLeft w:val="0"/>
      <w:marRight w:val="0"/>
      <w:marTop w:val="0"/>
      <w:marBottom w:val="0"/>
      <w:divBdr>
        <w:top w:val="none" w:sz="0" w:space="0" w:color="auto"/>
        <w:left w:val="none" w:sz="0" w:space="0" w:color="auto"/>
        <w:bottom w:val="none" w:sz="0" w:space="0" w:color="auto"/>
        <w:right w:val="none" w:sz="0" w:space="0" w:color="auto"/>
      </w:divBdr>
    </w:div>
    <w:div w:id="1585410920">
      <w:bodyDiv w:val="1"/>
      <w:marLeft w:val="0"/>
      <w:marRight w:val="0"/>
      <w:marTop w:val="0"/>
      <w:marBottom w:val="0"/>
      <w:divBdr>
        <w:top w:val="none" w:sz="0" w:space="0" w:color="auto"/>
        <w:left w:val="none" w:sz="0" w:space="0" w:color="auto"/>
        <w:bottom w:val="none" w:sz="0" w:space="0" w:color="auto"/>
        <w:right w:val="none" w:sz="0" w:space="0" w:color="auto"/>
      </w:divBdr>
    </w:div>
    <w:div w:id="1616406584">
      <w:bodyDiv w:val="1"/>
      <w:marLeft w:val="0"/>
      <w:marRight w:val="0"/>
      <w:marTop w:val="0"/>
      <w:marBottom w:val="0"/>
      <w:divBdr>
        <w:top w:val="none" w:sz="0" w:space="0" w:color="auto"/>
        <w:left w:val="none" w:sz="0" w:space="0" w:color="auto"/>
        <w:bottom w:val="none" w:sz="0" w:space="0" w:color="auto"/>
        <w:right w:val="none" w:sz="0" w:space="0" w:color="auto"/>
      </w:divBdr>
    </w:div>
    <w:div w:id="1625191141">
      <w:bodyDiv w:val="1"/>
      <w:marLeft w:val="0"/>
      <w:marRight w:val="0"/>
      <w:marTop w:val="0"/>
      <w:marBottom w:val="0"/>
      <w:divBdr>
        <w:top w:val="none" w:sz="0" w:space="0" w:color="auto"/>
        <w:left w:val="none" w:sz="0" w:space="0" w:color="auto"/>
        <w:bottom w:val="none" w:sz="0" w:space="0" w:color="auto"/>
        <w:right w:val="none" w:sz="0" w:space="0" w:color="auto"/>
      </w:divBdr>
    </w:div>
    <w:div w:id="1750349545">
      <w:bodyDiv w:val="1"/>
      <w:marLeft w:val="0"/>
      <w:marRight w:val="0"/>
      <w:marTop w:val="0"/>
      <w:marBottom w:val="0"/>
      <w:divBdr>
        <w:top w:val="none" w:sz="0" w:space="0" w:color="auto"/>
        <w:left w:val="none" w:sz="0" w:space="0" w:color="auto"/>
        <w:bottom w:val="none" w:sz="0" w:space="0" w:color="auto"/>
        <w:right w:val="none" w:sz="0" w:space="0" w:color="auto"/>
      </w:divBdr>
    </w:div>
    <w:div w:id="1926306342">
      <w:bodyDiv w:val="1"/>
      <w:marLeft w:val="0"/>
      <w:marRight w:val="0"/>
      <w:marTop w:val="0"/>
      <w:marBottom w:val="0"/>
      <w:divBdr>
        <w:top w:val="none" w:sz="0" w:space="0" w:color="auto"/>
        <w:left w:val="none" w:sz="0" w:space="0" w:color="auto"/>
        <w:bottom w:val="none" w:sz="0" w:space="0" w:color="auto"/>
        <w:right w:val="none" w:sz="0" w:space="0" w:color="auto"/>
      </w:divBdr>
      <w:divsChild>
        <w:div w:id="706683369">
          <w:marLeft w:val="446"/>
          <w:marRight w:val="0"/>
          <w:marTop w:val="0"/>
          <w:marBottom w:val="0"/>
          <w:divBdr>
            <w:top w:val="none" w:sz="0" w:space="0" w:color="auto"/>
            <w:left w:val="none" w:sz="0" w:space="0" w:color="auto"/>
            <w:bottom w:val="none" w:sz="0" w:space="0" w:color="auto"/>
            <w:right w:val="none" w:sz="0" w:space="0" w:color="auto"/>
          </w:divBdr>
        </w:div>
        <w:div w:id="1413968053">
          <w:marLeft w:val="446"/>
          <w:marRight w:val="0"/>
          <w:marTop w:val="0"/>
          <w:marBottom w:val="0"/>
          <w:divBdr>
            <w:top w:val="none" w:sz="0" w:space="0" w:color="auto"/>
            <w:left w:val="none" w:sz="0" w:space="0" w:color="auto"/>
            <w:bottom w:val="none" w:sz="0" w:space="0" w:color="auto"/>
            <w:right w:val="none" w:sz="0" w:space="0" w:color="auto"/>
          </w:divBdr>
        </w:div>
        <w:div w:id="1800881046">
          <w:marLeft w:val="446"/>
          <w:marRight w:val="0"/>
          <w:marTop w:val="0"/>
          <w:marBottom w:val="0"/>
          <w:divBdr>
            <w:top w:val="none" w:sz="0" w:space="0" w:color="auto"/>
            <w:left w:val="none" w:sz="0" w:space="0" w:color="auto"/>
            <w:bottom w:val="none" w:sz="0" w:space="0" w:color="auto"/>
            <w:right w:val="none" w:sz="0" w:space="0" w:color="auto"/>
          </w:divBdr>
        </w:div>
      </w:divsChild>
    </w:div>
    <w:div w:id="1926647794">
      <w:bodyDiv w:val="1"/>
      <w:marLeft w:val="0"/>
      <w:marRight w:val="0"/>
      <w:marTop w:val="0"/>
      <w:marBottom w:val="0"/>
      <w:divBdr>
        <w:top w:val="none" w:sz="0" w:space="0" w:color="auto"/>
        <w:left w:val="none" w:sz="0" w:space="0" w:color="auto"/>
        <w:bottom w:val="none" w:sz="0" w:space="0" w:color="auto"/>
        <w:right w:val="none" w:sz="0" w:space="0" w:color="auto"/>
      </w:divBdr>
    </w:div>
    <w:div w:id="1927500358">
      <w:bodyDiv w:val="1"/>
      <w:marLeft w:val="0"/>
      <w:marRight w:val="0"/>
      <w:marTop w:val="0"/>
      <w:marBottom w:val="0"/>
      <w:divBdr>
        <w:top w:val="none" w:sz="0" w:space="0" w:color="auto"/>
        <w:left w:val="none" w:sz="0" w:space="0" w:color="auto"/>
        <w:bottom w:val="none" w:sz="0" w:space="0" w:color="auto"/>
        <w:right w:val="none" w:sz="0" w:space="0" w:color="auto"/>
      </w:divBdr>
      <w:divsChild>
        <w:div w:id="111636357">
          <w:marLeft w:val="446"/>
          <w:marRight w:val="0"/>
          <w:marTop w:val="0"/>
          <w:marBottom w:val="0"/>
          <w:divBdr>
            <w:top w:val="none" w:sz="0" w:space="0" w:color="auto"/>
            <w:left w:val="none" w:sz="0" w:space="0" w:color="auto"/>
            <w:bottom w:val="none" w:sz="0" w:space="0" w:color="auto"/>
            <w:right w:val="none" w:sz="0" w:space="0" w:color="auto"/>
          </w:divBdr>
        </w:div>
        <w:div w:id="265116485">
          <w:marLeft w:val="446"/>
          <w:marRight w:val="0"/>
          <w:marTop w:val="0"/>
          <w:marBottom w:val="0"/>
          <w:divBdr>
            <w:top w:val="none" w:sz="0" w:space="0" w:color="auto"/>
            <w:left w:val="none" w:sz="0" w:space="0" w:color="auto"/>
            <w:bottom w:val="none" w:sz="0" w:space="0" w:color="auto"/>
            <w:right w:val="none" w:sz="0" w:space="0" w:color="auto"/>
          </w:divBdr>
        </w:div>
        <w:div w:id="1220169965">
          <w:marLeft w:val="446"/>
          <w:marRight w:val="0"/>
          <w:marTop w:val="0"/>
          <w:marBottom w:val="0"/>
          <w:divBdr>
            <w:top w:val="none" w:sz="0" w:space="0" w:color="auto"/>
            <w:left w:val="none" w:sz="0" w:space="0" w:color="auto"/>
            <w:bottom w:val="none" w:sz="0" w:space="0" w:color="auto"/>
            <w:right w:val="none" w:sz="0" w:space="0" w:color="auto"/>
          </w:divBdr>
        </w:div>
        <w:div w:id="1231111033">
          <w:marLeft w:val="446"/>
          <w:marRight w:val="0"/>
          <w:marTop w:val="0"/>
          <w:marBottom w:val="0"/>
          <w:divBdr>
            <w:top w:val="none" w:sz="0" w:space="0" w:color="auto"/>
            <w:left w:val="none" w:sz="0" w:space="0" w:color="auto"/>
            <w:bottom w:val="none" w:sz="0" w:space="0" w:color="auto"/>
            <w:right w:val="none" w:sz="0" w:space="0" w:color="auto"/>
          </w:divBdr>
        </w:div>
        <w:div w:id="1743327666">
          <w:marLeft w:val="446"/>
          <w:marRight w:val="0"/>
          <w:marTop w:val="0"/>
          <w:marBottom w:val="0"/>
          <w:divBdr>
            <w:top w:val="none" w:sz="0" w:space="0" w:color="auto"/>
            <w:left w:val="none" w:sz="0" w:space="0" w:color="auto"/>
            <w:bottom w:val="none" w:sz="0" w:space="0" w:color="auto"/>
            <w:right w:val="none" w:sz="0" w:space="0" w:color="auto"/>
          </w:divBdr>
        </w:div>
      </w:divsChild>
    </w:div>
    <w:div w:id="1935819426">
      <w:bodyDiv w:val="1"/>
      <w:marLeft w:val="0"/>
      <w:marRight w:val="0"/>
      <w:marTop w:val="0"/>
      <w:marBottom w:val="0"/>
      <w:divBdr>
        <w:top w:val="none" w:sz="0" w:space="0" w:color="auto"/>
        <w:left w:val="none" w:sz="0" w:space="0" w:color="auto"/>
        <w:bottom w:val="none" w:sz="0" w:space="0" w:color="auto"/>
        <w:right w:val="none" w:sz="0" w:space="0" w:color="auto"/>
      </w:divBdr>
    </w:div>
    <w:div w:id="1940601479">
      <w:bodyDiv w:val="1"/>
      <w:marLeft w:val="0"/>
      <w:marRight w:val="0"/>
      <w:marTop w:val="0"/>
      <w:marBottom w:val="0"/>
      <w:divBdr>
        <w:top w:val="none" w:sz="0" w:space="0" w:color="auto"/>
        <w:left w:val="none" w:sz="0" w:space="0" w:color="auto"/>
        <w:bottom w:val="none" w:sz="0" w:space="0" w:color="auto"/>
        <w:right w:val="none" w:sz="0" w:space="0" w:color="auto"/>
      </w:divBdr>
      <w:divsChild>
        <w:div w:id="393697833">
          <w:marLeft w:val="850"/>
          <w:marRight w:val="0"/>
          <w:marTop w:val="96"/>
          <w:marBottom w:val="0"/>
          <w:divBdr>
            <w:top w:val="none" w:sz="0" w:space="0" w:color="auto"/>
            <w:left w:val="none" w:sz="0" w:space="0" w:color="auto"/>
            <w:bottom w:val="none" w:sz="0" w:space="0" w:color="auto"/>
            <w:right w:val="none" w:sz="0" w:space="0" w:color="auto"/>
          </w:divBdr>
        </w:div>
        <w:div w:id="996568741">
          <w:marLeft w:val="850"/>
          <w:marRight w:val="0"/>
          <w:marTop w:val="96"/>
          <w:marBottom w:val="0"/>
          <w:divBdr>
            <w:top w:val="none" w:sz="0" w:space="0" w:color="auto"/>
            <w:left w:val="none" w:sz="0" w:space="0" w:color="auto"/>
            <w:bottom w:val="none" w:sz="0" w:space="0" w:color="auto"/>
            <w:right w:val="none" w:sz="0" w:space="0" w:color="auto"/>
          </w:divBdr>
        </w:div>
        <w:div w:id="1347247584">
          <w:marLeft w:val="850"/>
          <w:marRight w:val="0"/>
          <w:marTop w:val="96"/>
          <w:marBottom w:val="0"/>
          <w:divBdr>
            <w:top w:val="none" w:sz="0" w:space="0" w:color="auto"/>
            <w:left w:val="none" w:sz="0" w:space="0" w:color="auto"/>
            <w:bottom w:val="none" w:sz="0" w:space="0" w:color="auto"/>
            <w:right w:val="none" w:sz="0" w:space="0" w:color="auto"/>
          </w:divBdr>
        </w:div>
        <w:div w:id="1514804994">
          <w:marLeft w:val="850"/>
          <w:marRight w:val="0"/>
          <w:marTop w:val="96"/>
          <w:marBottom w:val="0"/>
          <w:divBdr>
            <w:top w:val="none" w:sz="0" w:space="0" w:color="auto"/>
            <w:left w:val="none" w:sz="0" w:space="0" w:color="auto"/>
            <w:bottom w:val="none" w:sz="0" w:space="0" w:color="auto"/>
            <w:right w:val="none" w:sz="0" w:space="0" w:color="auto"/>
          </w:divBdr>
        </w:div>
        <w:div w:id="2027633872">
          <w:marLeft w:val="850"/>
          <w:marRight w:val="0"/>
          <w:marTop w:val="96"/>
          <w:marBottom w:val="0"/>
          <w:divBdr>
            <w:top w:val="none" w:sz="0" w:space="0" w:color="auto"/>
            <w:left w:val="none" w:sz="0" w:space="0" w:color="auto"/>
            <w:bottom w:val="none" w:sz="0" w:space="0" w:color="auto"/>
            <w:right w:val="none" w:sz="0" w:space="0" w:color="auto"/>
          </w:divBdr>
        </w:div>
      </w:divsChild>
    </w:div>
    <w:div w:id="1942107982">
      <w:bodyDiv w:val="1"/>
      <w:marLeft w:val="0"/>
      <w:marRight w:val="0"/>
      <w:marTop w:val="0"/>
      <w:marBottom w:val="0"/>
      <w:divBdr>
        <w:top w:val="none" w:sz="0" w:space="0" w:color="auto"/>
        <w:left w:val="none" w:sz="0" w:space="0" w:color="auto"/>
        <w:bottom w:val="none" w:sz="0" w:space="0" w:color="auto"/>
        <w:right w:val="none" w:sz="0" w:space="0" w:color="auto"/>
      </w:divBdr>
    </w:div>
    <w:div w:id="2000037407">
      <w:bodyDiv w:val="1"/>
      <w:marLeft w:val="0"/>
      <w:marRight w:val="0"/>
      <w:marTop w:val="0"/>
      <w:marBottom w:val="0"/>
      <w:divBdr>
        <w:top w:val="none" w:sz="0" w:space="0" w:color="auto"/>
        <w:left w:val="none" w:sz="0" w:space="0" w:color="auto"/>
        <w:bottom w:val="none" w:sz="0" w:space="0" w:color="auto"/>
        <w:right w:val="none" w:sz="0" w:space="0" w:color="auto"/>
      </w:divBdr>
    </w:div>
    <w:div w:id="2037193323">
      <w:bodyDiv w:val="1"/>
      <w:marLeft w:val="0"/>
      <w:marRight w:val="0"/>
      <w:marTop w:val="0"/>
      <w:marBottom w:val="0"/>
      <w:divBdr>
        <w:top w:val="none" w:sz="0" w:space="0" w:color="auto"/>
        <w:left w:val="none" w:sz="0" w:space="0" w:color="auto"/>
        <w:bottom w:val="none" w:sz="0" w:space="0" w:color="auto"/>
        <w:right w:val="none" w:sz="0" w:space="0" w:color="auto"/>
      </w:divBdr>
    </w:div>
    <w:div w:id="2052849951">
      <w:bodyDiv w:val="1"/>
      <w:marLeft w:val="0"/>
      <w:marRight w:val="0"/>
      <w:marTop w:val="0"/>
      <w:marBottom w:val="0"/>
      <w:divBdr>
        <w:top w:val="none" w:sz="0" w:space="0" w:color="auto"/>
        <w:left w:val="none" w:sz="0" w:space="0" w:color="auto"/>
        <w:bottom w:val="none" w:sz="0" w:space="0" w:color="auto"/>
        <w:right w:val="none" w:sz="0" w:space="0" w:color="auto"/>
      </w:divBdr>
    </w:div>
    <w:div w:id="2073304315">
      <w:bodyDiv w:val="1"/>
      <w:marLeft w:val="0"/>
      <w:marRight w:val="0"/>
      <w:marTop w:val="0"/>
      <w:marBottom w:val="0"/>
      <w:divBdr>
        <w:top w:val="none" w:sz="0" w:space="0" w:color="auto"/>
        <w:left w:val="none" w:sz="0" w:space="0" w:color="auto"/>
        <w:bottom w:val="none" w:sz="0" w:space="0" w:color="auto"/>
        <w:right w:val="none" w:sz="0" w:space="0" w:color="auto"/>
      </w:divBdr>
    </w:div>
    <w:div w:id="2106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8.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header" Target="header2.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E:\Informe%201er%20semestre%202015\Internacional%20(4).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Informe%201er%20semestre%202015\1.1_PIB_Tasa_de_Variacion.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Informe%201er%20semestre%202015\Cuadros%20para%20memoria%202015%20Versi&#243;n%20enero%202016.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Informe%201er%20semestre%202015\Cuadros%20para%20memoria%202015%20Versi&#243;n%20enero%20201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efoper12\Documents\2017\DEF%202014\Vluna\Memoria%20Labores\cuadros%20memoria%201er%20sem.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eefoper12\Documents\2017\DEF%202014\Vluna\Memoria%20Labores\cuadros%20memoria%201er%20sem.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title>
      <c:tx>
        <c:rich>
          <a:bodyPr/>
          <a:lstStyle/>
          <a:p>
            <a:pPr>
              <a:defRPr sz="1400" i="0">
                <a:solidFill>
                  <a:schemeClr val="tx1">
                    <a:lumMod val="50000"/>
                    <a:lumOff val="50000"/>
                  </a:schemeClr>
                </a:solidFill>
              </a:defRPr>
            </a:pPr>
            <a:endParaRPr lang="en-US" sz="1400" i="0">
              <a:solidFill>
                <a:schemeClr val="tx1">
                  <a:lumMod val="50000"/>
                  <a:lumOff val="50000"/>
                </a:schemeClr>
              </a:solidFill>
              <a:latin typeface="+mj-lt"/>
            </a:endParaRPr>
          </a:p>
          <a:p>
            <a:pPr>
              <a:defRPr sz="1400" i="0">
                <a:solidFill>
                  <a:schemeClr val="tx1">
                    <a:lumMod val="50000"/>
                    <a:lumOff val="50000"/>
                  </a:schemeClr>
                </a:solidFill>
              </a:defRPr>
            </a:pPr>
            <a:endParaRPr lang="en-US" sz="1400" i="0">
              <a:solidFill>
                <a:schemeClr val="tx1">
                  <a:lumMod val="50000"/>
                  <a:lumOff val="50000"/>
                </a:schemeClr>
              </a:solidFill>
              <a:latin typeface="+mj-lt"/>
            </a:endParaRPr>
          </a:p>
        </c:rich>
      </c:tx>
      <c:layout>
        <c:manualLayout>
          <c:xMode val="edge"/>
          <c:yMode val="edge"/>
          <c:x val="0.23819298555094054"/>
          <c:y val="0"/>
        </c:manualLayout>
      </c:layout>
      <c:overlay val="0"/>
    </c:title>
    <c:autoTitleDeleted val="0"/>
    <c:plotArea>
      <c:layout>
        <c:manualLayout>
          <c:layoutTarget val="inner"/>
          <c:xMode val="edge"/>
          <c:yMode val="edge"/>
          <c:x val="0.10478445795090277"/>
          <c:y val="0.15666858293046074"/>
          <c:w val="0.86642736358566175"/>
          <c:h val="0.74448054228557115"/>
        </c:manualLayout>
      </c:layout>
      <c:lineChart>
        <c:grouping val="standard"/>
        <c:varyColors val="0"/>
        <c:ser>
          <c:idx val="0"/>
          <c:order val="0"/>
          <c:tx>
            <c:v>WTI-NY</c:v>
          </c:tx>
          <c:spPr>
            <a:ln w="28575">
              <a:solidFill>
                <a:schemeClr val="accent6">
                  <a:lumMod val="75000"/>
                </a:schemeClr>
              </a:solidFill>
              <a:prstDash val="sysDash"/>
            </a:ln>
          </c:spPr>
          <c:marker>
            <c:symbol val="none"/>
          </c:marker>
          <c:dLbls>
            <c:dLbl>
              <c:idx val="55"/>
              <c:layout>
                <c:manualLayout>
                  <c:x val="0"/>
                  <c:y val="5.3431976983148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02-48B7-A9DC-93421411D793}"/>
                </c:ext>
              </c:extLst>
            </c:dLbl>
            <c:spPr>
              <a:noFill/>
              <a:ln>
                <a:noFill/>
              </a:ln>
              <a:effectLst/>
            </c:spPr>
            <c:txPr>
              <a:bodyPr wrap="square" lIns="38100" tIns="19050" rIns="38100" bIns="19050" anchor="ctr">
                <a:spAutoFit/>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0">
                      <a:noFill/>
                    </a:ln>
                  </c:spPr>
                </c15:leaderLines>
              </c:ext>
            </c:extLst>
          </c:dLbls>
          <c:cat>
            <c:numRef>
              <c:f>'Datos mensuales'!$A$281:$A$335</c:f>
              <c:numCache>
                <c:formatCode>General</c:formatCode>
                <c:ptCount val="55"/>
                <c:pt idx="0">
                  <c:v>2013</c:v>
                </c:pt>
                <c:pt idx="12">
                  <c:v>2014</c:v>
                </c:pt>
                <c:pt idx="24">
                  <c:v>2015</c:v>
                </c:pt>
                <c:pt idx="36">
                  <c:v>2016</c:v>
                </c:pt>
                <c:pt idx="48">
                  <c:v>2017</c:v>
                </c:pt>
              </c:numCache>
            </c:numRef>
          </c:cat>
          <c:val>
            <c:numRef>
              <c:f>'Datos mensuales'!$AE$281:$AE$336</c:f>
              <c:numCache>
                <c:formatCode>#,##0.00</c:formatCode>
                <c:ptCount val="56"/>
                <c:pt idx="0">
                  <c:v>94.76</c:v>
                </c:pt>
                <c:pt idx="1">
                  <c:v>95.31</c:v>
                </c:pt>
                <c:pt idx="2">
                  <c:v>92.94</c:v>
                </c:pt>
                <c:pt idx="3">
                  <c:v>92.02</c:v>
                </c:pt>
                <c:pt idx="4">
                  <c:v>94.51</c:v>
                </c:pt>
                <c:pt idx="5">
                  <c:v>95.77</c:v>
                </c:pt>
                <c:pt idx="6">
                  <c:v>104.67</c:v>
                </c:pt>
                <c:pt idx="7">
                  <c:v>106.57</c:v>
                </c:pt>
                <c:pt idx="8">
                  <c:v>107.43800000000002</c:v>
                </c:pt>
                <c:pt idx="9">
                  <c:v>101.04949999999999</c:v>
                </c:pt>
                <c:pt idx="10">
                  <c:v>94.074705882352916</c:v>
                </c:pt>
                <c:pt idx="11">
                  <c:v>97.625238095238103</c:v>
                </c:pt>
                <c:pt idx="12">
                  <c:v>94.62</c:v>
                </c:pt>
                <c:pt idx="13">
                  <c:v>100.82</c:v>
                </c:pt>
                <c:pt idx="14">
                  <c:v>100.8</c:v>
                </c:pt>
                <c:pt idx="15">
                  <c:v>102.07</c:v>
                </c:pt>
                <c:pt idx="16">
                  <c:v>102.18</c:v>
                </c:pt>
                <c:pt idx="17">
                  <c:v>105.79</c:v>
                </c:pt>
                <c:pt idx="18">
                  <c:v>103.59</c:v>
                </c:pt>
                <c:pt idx="19">
                  <c:v>96.54</c:v>
                </c:pt>
                <c:pt idx="20">
                  <c:v>93.21</c:v>
                </c:pt>
                <c:pt idx="21">
                  <c:v>84.4</c:v>
                </c:pt>
                <c:pt idx="22">
                  <c:v>75.790000000000006</c:v>
                </c:pt>
                <c:pt idx="23">
                  <c:v>59.29</c:v>
                </c:pt>
                <c:pt idx="24">
                  <c:v>47.22</c:v>
                </c:pt>
                <c:pt idx="25">
                  <c:v>50.58</c:v>
                </c:pt>
                <c:pt idx="26">
                  <c:v>47.82</c:v>
                </c:pt>
                <c:pt idx="27">
                  <c:v>54.45</c:v>
                </c:pt>
                <c:pt idx="28">
                  <c:v>59.27</c:v>
                </c:pt>
                <c:pt idx="29">
                  <c:v>59.82</c:v>
                </c:pt>
                <c:pt idx="30">
                  <c:v>50.9</c:v>
                </c:pt>
                <c:pt idx="31">
                  <c:v>42.87</c:v>
                </c:pt>
                <c:pt idx="32">
                  <c:v>45.48</c:v>
                </c:pt>
                <c:pt idx="33">
                  <c:v>46.22</c:v>
                </c:pt>
                <c:pt idx="34">
                  <c:v>42.44</c:v>
                </c:pt>
                <c:pt idx="35">
                  <c:v>37.19</c:v>
                </c:pt>
                <c:pt idx="36">
                  <c:v>31.68</c:v>
                </c:pt>
                <c:pt idx="37">
                  <c:v>30.32</c:v>
                </c:pt>
                <c:pt idx="38">
                  <c:v>37.549999999999997</c:v>
                </c:pt>
                <c:pt idx="39">
                  <c:v>40.75</c:v>
                </c:pt>
                <c:pt idx="40">
                  <c:v>46.71</c:v>
                </c:pt>
                <c:pt idx="41">
                  <c:v>48.76</c:v>
                </c:pt>
                <c:pt idx="42">
                  <c:v>44.65</c:v>
                </c:pt>
                <c:pt idx="43">
                  <c:v>44.72</c:v>
                </c:pt>
                <c:pt idx="44">
                  <c:v>45.18</c:v>
                </c:pt>
                <c:pt idx="45">
                  <c:v>49.78</c:v>
                </c:pt>
                <c:pt idx="46">
                  <c:v>45.66</c:v>
                </c:pt>
                <c:pt idx="47">
                  <c:v>51.97</c:v>
                </c:pt>
                <c:pt idx="48">
                  <c:v>52.5</c:v>
                </c:pt>
                <c:pt idx="49">
                  <c:v>53.47</c:v>
                </c:pt>
                <c:pt idx="50">
                  <c:v>49.33</c:v>
                </c:pt>
                <c:pt idx="51">
                  <c:v>51.06</c:v>
                </c:pt>
                <c:pt idx="52">
                  <c:v>48.48</c:v>
                </c:pt>
                <c:pt idx="53">
                  <c:v>45.18</c:v>
                </c:pt>
                <c:pt idx="54">
                  <c:v>46.63</c:v>
                </c:pt>
                <c:pt idx="55">
                  <c:v>48.04</c:v>
                </c:pt>
              </c:numCache>
            </c:numRef>
          </c:val>
          <c:smooth val="0"/>
          <c:extLst>
            <c:ext xmlns:c16="http://schemas.microsoft.com/office/drawing/2014/chart" uri="{C3380CC4-5D6E-409C-BE32-E72D297353CC}">
              <c16:uniqueId val="{00000000-5302-48B7-A9DC-93421411D793}"/>
            </c:ext>
          </c:extLst>
        </c:ser>
        <c:ser>
          <c:idx val="1"/>
          <c:order val="1"/>
          <c:tx>
            <c:v>Brent</c:v>
          </c:tx>
          <c:spPr>
            <a:ln w="31750" cmpd="sng">
              <a:solidFill>
                <a:srgbClr val="31859C"/>
              </a:solidFill>
            </a:ln>
          </c:spPr>
          <c:marker>
            <c:symbol val="none"/>
          </c:marker>
          <c:dLbls>
            <c:dLbl>
              <c:idx val="46"/>
              <c:layout>
                <c:manualLayout>
                  <c:x val="-3.5335689045936494E-2"/>
                  <c:y val="3.2879286049788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02-48B7-A9DC-93421411D793}"/>
                </c:ext>
              </c:extLst>
            </c:dLbl>
            <c:dLbl>
              <c:idx val="55"/>
              <c:layout>
                <c:manualLayout>
                  <c:x val="0"/>
                  <c:y val="-3.69913686806411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02-48B7-A9DC-93421411D793}"/>
                </c:ext>
              </c:extLst>
            </c:dLbl>
            <c:spPr>
              <a:noFill/>
              <a:ln>
                <a:noFill/>
              </a:ln>
              <a:effectLst/>
            </c:spPr>
            <c:txPr>
              <a:bodyPr wrap="square" lIns="38100" tIns="19050" rIns="38100" bIns="19050" anchor="ctr">
                <a:spAutoFit/>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'Datos mensuales'!$A$281:$A$335</c:f>
              <c:numCache>
                <c:formatCode>General</c:formatCode>
                <c:ptCount val="55"/>
                <c:pt idx="0">
                  <c:v>2013</c:v>
                </c:pt>
                <c:pt idx="12">
                  <c:v>2014</c:v>
                </c:pt>
                <c:pt idx="24">
                  <c:v>2015</c:v>
                </c:pt>
                <c:pt idx="36">
                  <c:v>2016</c:v>
                </c:pt>
                <c:pt idx="48">
                  <c:v>2017</c:v>
                </c:pt>
              </c:numCache>
            </c:numRef>
          </c:cat>
          <c:val>
            <c:numRef>
              <c:f>'Datos mensuales'!$AF$281:$AF$336</c:f>
              <c:numCache>
                <c:formatCode>#,##0.00</c:formatCode>
                <c:ptCount val="56"/>
                <c:pt idx="0">
                  <c:v>112.96</c:v>
                </c:pt>
                <c:pt idx="1">
                  <c:v>116.02</c:v>
                </c:pt>
                <c:pt idx="2">
                  <c:v>108.47</c:v>
                </c:pt>
                <c:pt idx="3">
                  <c:v>102.25</c:v>
                </c:pt>
                <c:pt idx="4">
                  <c:v>102.56</c:v>
                </c:pt>
                <c:pt idx="5">
                  <c:v>102.92</c:v>
                </c:pt>
                <c:pt idx="6">
                  <c:v>107.93</c:v>
                </c:pt>
                <c:pt idx="7">
                  <c:v>111.28</c:v>
                </c:pt>
                <c:pt idx="8">
                  <c:v>112.57533333333332</c:v>
                </c:pt>
                <c:pt idx="9">
                  <c:v>109.23899999999999</c:v>
                </c:pt>
                <c:pt idx="10">
                  <c:v>107.14176470588234</c:v>
                </c:pt>
                <c:pt idx="11">
                  <c:v>110.75666666666666</c:v>
                </c:pt>
                <c:pt idx="12">
                  <c:v>108.12</c:v>
                </c:pt>
                <c:pt idx="13">
                  <c:v>108.9</c:v>
                </c:pt>
                <c:pt idx="14">
                  <c:v>107.48</c:v>
                </c:pt>
                <c:pt idx="15">
                  <c:v>107.76</c:v>
                </c:pt>
                <c:pt idx="16">
                  <c:v>109.54</c:v>
                </c:pt>
                <c:pt idx="17">
                  <c:v>111.8</c:v>
                </c:pt>
                <c:pt idx="18">
                  <c:v>106.77</c:v>
                </c:pt>
                <c:pt idx="19">
                  <c:v>101.61</c:v>
                </c:pt>
                <c:pt idx="20">
                  <c:v>97.09</c:v>
                </c:pt>
                <c:pt idx="21">
                  <c:v>87.43</c:v>
                </c:pt>
                <c:pt idx="22">
                  <c:v>79.44</c:v>
                </c:pt>
                <c:pt idx="23">
                  <c:v>62.34</c:v>
                </c:pt>
                <c:pt idx="24">
                  <c:v>47.76</c:v>
                </c:pt>
                <c:pt idx="25">
                  <c:v>58.1</c:v>
                </c:pt>
                <c:pt idx="26">
                  <c:v>55.89</c:v>
                </c:pt>
                <c:pt idx="27">
                  <c:v>59.52</c:v>
                </c:pt>
                <c:pt idx="28">
                  <c:v>64.08</c:v>
                </c:pt>
                <c:pt idx="29">
                  <c:v>61.48</c:v>
                </c:pt>
                <c:pt idx="30">
                  <c:v>56.56</c:v>
                </c:pt>
                <c:pt idx="31">
                  <c:v>46.52</c:v>
                </c:pt>
                <c:pt idx="32">
                  <c:v>47.62</c:v>
                </c:pt>
                <c:pt idx="33">
                  <c:v>48.43</c:v>
                </c:pt>
                <c:pt idx="34">
                  <c:v>44.27</c:v>
                </c:pt>
                <c:pt idx="35">
                  <c:v>38.01</c:v>
                </c:pt>
                <c:pt idx="36">
                  <c:v>30.7</c:v>
                </c:pt>
                <c:pt idx="37">
                  <c:v>32.18</c:v>
                </c:pt>
                <c:pt idx="38">
                  <c:v>38.21</c:v>
                </c:pt>
                <c:pt idx="39">
                  <c:v>41.58</c:v>
                </c:pt>
                <c:pt idx="40">
                  <c:v>46.74</c:v>
                </c:pt>
                <c:pt idx="41">
                  <c:v>48.25</c:v>
                </c:pt>
                <c:pt idx="42">
                  <c:v>44.95</c:v>
                </c:pt>
                <c:pt idx="43">
                  <c:v>45.84</c:v>
                </c:pt>
                <c:pt idx="44">
                  <c:v>46.57</c:v>
                </c:pt>
                <c:pt idx="45">
                  <c:v>49.52</c:v>
                </c:pt>
                <c:pt idx="46">
                  <c:v>44.73</c:v>
                </c:pt>
                <c:pt idx="47">
                  <c:v>53.29</c:v>
                </c:pt>
                <c:pt idx="48">
                  <c:v>54.58</c:v>
                </c:pt>
                <c:pt idx="49">
                  <c:v>54.87</c:v>
                </c:pt>
                <c:pt idx="50">
                  <c:v>51.59</c:v>
                </c:pt>
                <c:pt idx="51">
                  <c:v>52.31</c:v>
                </c:pt>
                <c:pt idx="52">
                  <c:v>50.33</c:v>
                </c:pt>
                <c:pt idx="53">
                  <c:v>46.37</c:v>
                </c:pt>
                <c:pt idx="54">
                  <c:v>48.83</c:v>
                </c:pt>
                <c:pt idx="55">
                  <c:v>51.7</c:v>
                </c:pt>
              </c:numCache>
            </c:numRef>
          </c:val>
          <c:smooth val="0"/>
          <c:extLst>
            <c:ext xmlns:c16="http://schemas.microsoft.com/office/drawing/2014/chart" uri="{C3380CC4-5D6E-409C-BE32-E72D297353CC}">
              <c16:uniqueId val="{00000001-5302-48B7-A9DC-93421411D793}"/>
            </c:ext>
          </c:extLst>
        </c:ser>
        <c:dLbls>
          <c:showLegendKey val="0"/>
          <c:showVal val="0"/>
          <c:showCatName val="0"/>
          <c:showSerName val="0"/>
          <c:showPercent val="0"/>
          <c:showBubbleSize val="0"/>
        </c:dLbls>
        <c:smooth val="0"/>
        <c:axId val="76137216"/>
        <c:axId val="76139520"/>
      </c:lineChart>
      <c:catAx>
        <c:axId val="76137216"/>
        <c:scaling>
          <c:orientation val="minMax"/>
        </c:scaling>
        <c:delete val="0"/>
        <c:axPos val="b"/>
        <c:numFmt formatCode="General" sourceLinked="1"/>
        <c:majorTickMark val="none"/>
        <c:minorTickMark val="none"/>
        <c:tickLblPos val="low"/>
        <c:spPr>
          <a:ln w="15875">
            <a:solidFill>
              <a:schemeClr val="tx1">
                <a:lumMod val="95000"/>
                <a:lumOff val="5000"/>
              </a:schemeClr>
            </a:solidFill>
            <a:prstDash val="sysDot"/>
          </a:ln>
          <a:effectLst>
            <a:softEdge rad="12700"/>
          </a:effectLst>
        </c:spPr>
        <c:txPr>
          <a:bodyPr/>
          <a:lstStyle/>
          <a:p>
            <a:pPr algn="ctr">
              <a:defRPr lang="es-CR" sz="1000" b="0" i="0" u="none" strike="noStrike" kern="1200" baseline="0">
                <a:solidFill>
                  <a:schemeClr val="tx1"/>
                </a:solidFill>
                <a:latin typeface="+mn-lt"/>
                <a:ea typeface="+mn-ea"/>
                <a:cs typeface="+mn-cs"/>
              </a:defRPr>
            </a:pPr>
            <a:endParaRPr lang="es-GT"/>
          </a:p>
        </c:txPr>
        <c:crossAx val="76139520"/>
        <c:crosses val="autoZero"/>
        <c:auto val="1"/>
        <c:lblAlgn val="ctr"/>
        <c:lblOffset val="100"/>
        <c:tickMarkSkip val="12"/>
        <c:noMultiLvlLbl val="0"/>
      </c:catAx>
      <c:valAx>
        <c:axId val="76139520"/>
        <c:scaling>
          <c:orientation val="minMax"/>
          <c:max val="140"/>
          <c:min val="20"/>
        </c:scaling>
        <c:delete val="0"/>
        <c:axPos val="l"/>
        <c:majorGridlines>
          <c:spPr>
            <a:ln>
              <a:noFill/>
            </a:ln>
          </c:spPr>
        </c:majorGridlines>
        <c:title>
          <c:tx>
            <c:rich>
              <a:bodyPr rot="-5400000" vert="horz"/>
              <a:lstStyle/>
              <a:p>
                <a:pPr>
                  <a:defRPr b="0"/>
                </a:pPr>
                <a:r>
                  <a:rPr lang="en-US" b="0"/>
                  <a:t>US dólares</a:t>
                </a:r>
              </a:p>
            </c:rich>
          </c:tx>
          <c:overlay val="0"/>
        </c:title>
        <c:numFmt formatCode="0" sourceLinked="0"/>
        <c:majorTickMark val="none"/>
        <c:minorTickMark val="none"/>
        <c:tickLblPos val="nextTo"/>
        <c:crossAx val="76137216"/>
        <c:crosses val="autoZero"/>
        <c:crossBetween val="between"/>
      </c:valAx>
      <c:spPr>
        <a:solidFill>
          <a:schemeClr val="bg1"/>
        </a:solidFill>
        <a:ln>
          <a:noFill/>
        </a:ln>
        <a:effectLst>
          <a:softEdge rad="0"/>
        </a:effectLst>
      </c:spPr>
    </c:plotArea>
    <c:legend>
      <c:legendPos val="r"/>
      <c:layout>
        <c:manualLayout>
          <c:xMode val="edge"/>
          <c:yMode val="edge"/>
          <c:x val="0.72053365237472522"/>
          <c:y val="0.16593521798313893"/>
          <c:w val="0.24243043620634669"/>
          <c:h val="0.18611118302556004"/>
        </c:manualLayout>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'PIB Real y Corriente 01-16'!$D$7</c:f>
              <c:strCache>
                <c:ptCount val="1"/>
                <c:pt idx="0">
                  <c:v>Var. %</c:v>
                </c:pt>
              </c:strCache>
            </c:strRef>
          </c:tx>
          <c:spPr>
            <a:solidFill>
              <a:srgbClr val="0070C0"/>
            </a:solidFill>
            <a:ln>
              <a:noFill/>
            </a:ln>
            <a:effectLst/>
          </c:spPr>
          <c:invertIfNegative val="0"/>
          <c:dLbls>
            <c:spPr>
              <a:noFill/>
              <a:ln>
                <a:noFill/>
              </a:ln>
              <a:effectLst/>
            </c:spPr>
            <c:txPr>
              <a:bodyPr rot="0" vert="horz"/>
              <a:lstStyle/>
              <a:p>
                <a:pPr>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 Real y Corriente 01-16'!$B$13:$B$24</c:f>
              <c:strCache>
                <c:ptCount val="12"/>
                <c:pt idx="0">
                  <c:v>2006</c:v>
                </c:pt>
                <c:pt idx="1">
                  <c:v>2007</c:v>
                </c:pt>
                <c:pt idx="2">
                  <c:v>2008</c:v>
                </c:pt>
                <c:pt idx="3">
                  <c:v>2009</c:v>
                </c:pt>
                <c:pt idx="4">
                  <c:v>2010</c:v>
                </c:pt>
                <c:pt idx="5">
                  <c:v>2011</c:v>
                </c:pt>
                <c:pt idx="6">
                  <c:v>2012</c:v>
                </c:pt>
                <c:pt idx="7">
                  <c:v>2013</c:v>
                </c:pt>
                <c:pt idx="8">
                  <c:v>2014</c:v>
                </c:pt>
                <c:pt idx="9">
                  <c:v>2015 p/</c:v>
                </c:pt>
                <c:pt idx="10">
                  <c:v>2016 p/</c:v>
                </c:pt>
                <c:pt idx="11">
                  <c:v>2017 py/ medio</c:v>
                </c:pt>
              </c:strCache>
            </c:strRef>
          </c:cat>
          <c:val>
            <c:numRef>
              <c:f>'PIB Real y Corriente 01-16'!$D$13:$D$24</c:f>
              <c:numCache>
                <c:formatCode>_(* #,##0.0_);_(* \(#,##0.0\);_(* "-"??_);_(@_)</c:formatCode>
                <c:ptCount val="12"/>
                <c:pt idx="0">
                  <c:v>5.3797767642226546</c:v>
                </c:pt>
                <c:pt idx="1">
                  <c:v>6.3040565377763897</c:v>
                </c:pt>
                <c:pt idx="2">
                  <c:v>3.2810798155511236</c:v>
                </c:pt>
                <c:pt idx="3">
                  <c:v>0.52604301774603357</c:v>
                </c:pt>
                <c:pt idx="4">
                  <c:v>2.8694877371278551</c:v>
                </c:pt>
                <c:pt idx="5">
                  <c:v>4.1620489461922574</c:v>
                </c:pt>
                <c:pt idx="6">
                  <c:v>2.969857426884758</c:v>
                </c:pt>
                <c:pt idx="7">
                  <c:v>3.6975855779096491</c:v>
                </c:pt>
                <c:pt idx="8">
                  <c:v>4.2497721724458586</c:v>
                </c:pt>
                <c:pt idx="9">
                  <c:v>4.1277399551262732</c:v>
                </c:pt>
                <c:pt idx="10">
                  <c:v>3.0913354605521164</c:v>
                </c:pt>
                <c:pt idx="11">
                  <c:v>3.2</c:v>
                </c:pt>
              </c:numCache>
            </c:numRef>
          </c:val>
          <c:extLst>
            <c:ext xmlns:c16="http://schemas.microsoft.com/office/drawing/2014/chart" uri="{C3380CC4-5D6E-409C-BE32-E72D297353CC}">
              <c16:uniqueId val="{00000000-81FB-4D53-9472-6B54B94208DA}"/>
            </c:ext>
          </c:extLst>
        </c:ser>
        <c:dLbls>
          <c:showLegendKey val="0"/>
          <c:showVal val="0"/>
          <c:showCatName val="0"/>
          <c:showSerName val="0"/>
          <c:showPercent val="0"/>
          <c:showBubbleSize val="0"/>
        </c:dLbls>
        <c:gapWidth val="50"/>
        <c:overlap val="-26"/>
        <c:axId val="193347968"/>
        <c:axId val="193349888"/>
      </c:barChart>
      <c:catAx>
        <c:axId val="19334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700"/>
            </a:pPr>
            <a:endParaRPr lang="es-GT"/>
          </a:p>
        </c:txPr>
        <c:crossAx val="193349888"/>
        <c:crosses val="autoZero"/>
        <c:auto val="1"/>
        <c:lblAlgn val="ctr"/>
        <c:lblOffset val="100"/>
        <c:noMultiLvlLbl val="0"/>
      </c:catAx>
      <c:valAx>
        <c:axId val="193349888"/>
        <c:scaling>
          <c:orientation val="minMax"/>
        </c:scaling>
        <c:delete val="0"/>
        <c:axPos val="l"/>
        <c:numFmt formatCode="_(* #,##0.0_);_(* \(#,##0.0\);_(* &quot;-&quot;??_);_(@_)" sourceLinked="1"/>
        <c:majorTickMark val="none"/>
        <c:minorTickMark val="none"/>
        <c:tickLblPos val="nextTo"/>
        <c:spPr>
          <a:noFill/>
          <a:ln>
            <a:noFill/>
          </a:ln>
          <a:effectLst/>
        </c:spPr>
        <c:txPr>
          <a:bodyPr rot="-60000000" vert="horz"/>
          <a:lstStyle/>
          <a:p>
            <a:pPr>
              <a:defRPr/>
            </a:pPr>
            <a:endParaRPr lang="es-GT"/>
          </a:p>
        </c:txPr>
        <c:crossAx val="193347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Times New Roman" pitchFamily="18" charset="0"/>
          <a:cs typeface="Times New Roman" pitchFamily="18" charset="0"/>
        </a:defRPr>
      </a:pPr>
      <a:endParaRPr lang="es-G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79388888888891"/>
          <c:y val="0.17267232817188427"/>
          <c:w val="0.80872752015434435"/>
          <c:h val="0.55142242490229709"/>
        </c:manualLayout>
      </c:layout>
      <c:lineChart>
        <c:grouping val="standard"/>
        <c:varyColors val="0"/>
        <c:ser>
          <c:idx val="0"/>
          <c:order val="0"/>
          <c:tx>
            <c:strRef>
              <c:f>Inflación!$S$6:$S$7</c:f>
              <c:strCache>
                <c:ptCount val="2"/>
                <c:pt idx="0">
                  <c:v>Inflación total</c:v>
                </c:pt>
              </c:strCache>
            </c:strRef>
          </c:tx>
          <c:spPr>
            <a:ln w="31750">
              <a:solidFill>
                <a:sysClr val="windowText" lastClr="000000">
                  <a:lumMod val="65000"/>
                  <a:lumOff val="35000"/>
                </a:sysClr>
              </a:solidFill>
              <a:prstDash val="sysDash"/>
            </a:ln>
          </c:spPr>
          <c:marker>
            <c:symbol val="none"/>
          </c:marker>
          <c:dLbls>
            <c:dLbl>
              <c:idx val="83"/>
              <c:layout>
                <c:manualLayout>
                  <c:x val="-1.6594814706991437E-16"/>
                  <c:y val="3.6363636363636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5D-4177-B503-83625E6139A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Inflación!$R$8:$R$97</c:f>
              <c:strCache>
                <c:ptCount val="90"/>
                <c:pt idx="0">
                  <c:v>ene-10</c:v>
                </c:pt>
                <c:pt idx="1">
                  <c:v>feb</c:v>
                </c:pt>
                <c:pt idx="2">
                  <c:v>mar</c:v>
                </c:pt>
                <c:pt idx="3">
                  <c:v>abr</c:v>
                </c:pt>
                <c:pt idx="4">
                  <c:v>may</c:v>
                </c:pt>
                <c:pt idx="5">
                  <c:v>jun</c:v>
                </c:pt>
                <c:pt idx="6">
                  <c:v>jul</c:v>
                </c:pt>
                <c:pt idx="7">
                  <c:v>ago</c:v>
                </c:pt>
                <c:pt idx="8">
                  <c:v>sep</c:v>
                </c:pt>
                <c:pt idx="9">
                  <c:v>oct</c:v>
                </c:pt>
                <c:pt idx="10">
                  <c:v>nov</c:v>
                </c:pt>
                <c:pt idx="11">
                  <c:v>dic</c:v>
                </c:pt>
                <c:pt idx="12">
                  <c:v>ene-11</c:v>
                </c:pt>
                <c:pt idx="13">
                  <c:v>feb</c:v>
                </c:pt>
                <c:pt idx="14">
                  <c:v>mar</c:v>
                </c:pt>
                <c:pt idx="15">
                  <c:v>abr</c:v>
                </c:pt>
                <c:pt idx="16">
                  <c:v>may</c:v>
                </c:pt>
                <c:pt idx="17">
                  <c:v>jun</c:v>
                </c:pt>
                <c:pt idx="18">
                  <c:v>jul</c:v>
                </c:pt>
                <c:pt idx="19">
                  <c:v>ago</c:v>
                </c:pt>
                <c:pt idx="20">
                  <c:v>sep</c:v>
                </c:pt>
                <c:pt idx="21">
                  <c:v>oct</c:v>
                </c:pt>
                <c:pt idx="22">
                  <c:v>nov</c:v>
                </c:pt>
                <c:pt idx="23">
                  <c:v>dic</c:v>
                </c:pt>
                <c:pt idx="24">
                  <c:v>ene-12</c:v>
                </c:pt>
                <c:pt idx="25">
                  <c:v>feb</c:v>
                </c:pt>
                <c:pt idx="26">
                  <c:v>mar</c:v>
                </c:pt>
                <c:pt idx="27">
                  <c:v>abr</c:v>
                </c:pt>
                <c:pt idx="28">
                  <c:v>may</c:v>
                </c:pt>
                <c:pt idx="29">
                  <c:v>jun</c:v>
                </c:pt>
                <c:pt idx="30">
                  <c:v>jul</c:v>
                </c:pt>
                <c:pt idx="31">
                  <c:v>ago</c:v>
                </c:pt>
                <c:pt idx="32">
                  <c:v>sep</c:v>
                </c:pt>
                <c:pt idx="33">
                  <c:v>oct</c:v>
                </c:pt>
                <c:pt idx="34">
                  <c:v>nov</c:v>
                </c:pt>
                <c:pt idx="35">
                  <c:v>dic</c:v>
                </c:pt>
                <c:pt idx="36">
                  <c:v>ene-13</c:v>
                </c:pt>
                <c:pt idx="37">
                  <c:v>feb</c:v>
                </c:pt>
                <c:pt idx="38">
                  <c:v>mar</c:v>
                </c:pt>
                <c:pt idx="39">
                  <c:v>abr</c:v>
                </c:pt>
                <c:pt idx="40">
                  <c:v>may</c:v>
                </c:pt>
                <c:pt idx="41">
                  <c:v>jun</c:v>
                </c:pt>
                <c:pt idx="42">
                  <c:v>jul</c:v>
                </c:pt>
                <c:pt idx="43">
                  <c:v>ago</c:v>
                </c:pt>
                <c:pt idx="44">
                  <c:v>sep</c:v>
                </c:pt>
                <c:pt idx="45">
                  <c:v>oct</c:v>
                </c:pt>
                <c:pt idx="46">
                  <c:v>nov</c:v>
                </c:pt>
                <c:pt idx="47">
                  <c:v>dic</c:v>
                </c:pt>
                <c:pt idx="48">
                  <c:v>ene-14</c:v>
                </c:pt>
                <c:pt idx="49">
                  <c:v>feb</c:v>
                </c:pt>
                <c:pt idx="50">
                  <c:v>mar</c:v>
                </c:pt>
                <c:pt idx="51">
                  <c:v>abr</c:v>
                </c:pt>
                <c:pt idx="52">
                  <c:v>may</c:v>
                </c:pt>
                <c:pt idx="53">
                  <c:v>jun</c:v>
                </c:pt>
                <c:pt idx="54">
                  <c:v>jul</c:v>
                </c:pt>
                <c:pt idx="55">
                  <c:v>ago</c:v>
                </c:pt>
                <c:pt idx="56">
                  <c:v>sep</c:v>
                </c:pt>
                <c:pt idx="57">
                  <c:v>oct</c:v>
                </c:pt>
                <c:pt idx="58">
                  <c:v>nov</c:v>
                </c:pt>
                <c:pt idx="59">
                  <c:v>dic</c:v>
                </c:pt>
                <c:pt idx="60">
                  <c:v>ene-15</c:v>
                </c:pt>
                <c:pt idx="61">
                  <c:v>feb</c:v>
                </c:pt>
                <c:pt idx="62">
                  <c:v>mar</c:v>
                </c:pt>
                <c:pt idx="63">
                  <c:v>abr</c:v>
                </c:pt>
                <c:pt idx="64">
                  <c:v>may</c:v>
                </c:pt>
                <c:pt idx="65">
                  <c:v>jun</c:v>
                </c:pt>
                <c:pt idx="66">
                  <c:v>jul</c:v>
                </c:pt>
                <c:pt idx="67">
                  <c:v>ago</c:v>
                </c:pt>
                <c:pt idx="68">
                  <c:v>sep</c:v>
                </c:pt>
                <c:pt idx="69">
                  <c:v>oct</c:v>
                </c:pt>
                <c:pt idx="70">
                  <c:v>nov</c:v>
                </c:pt>
                <c:pt idx="71">
                  <c:v>dic</c:v>
                </c:pt>
                <c:pt idx="72">
                  <c:v>ene-16</c:v>
                </c:pt>
                <c:pt idx="73">
                  <c:v>feb</c:v>
                </c:pt>
                <c:pt idx="74">
                  <c:v>mar</c:v>
                </c:pt>
                <c:pt idx="75">
                  <c:v>abr</c:v>
                </c:pt>
                <c:pt idx="76">
                  <c:v>may</c:v>
                </c:pt>
                <c:pt idx="77">
                  <c:v>jun</c:v>
                </c:pt>
                <c:pt idx="78">
                  <c:v>jul</c:v>
                </c:pt>
                <c:pt idx="79">
                  <c:v>ago</c:v>
                </c:pt>
                <c:pt idx="80">
                  <c:v>sep</c:v>
                </c:pt>
                <c:pt idx="81">
                  <c:v>oct</c:v>
                </c:pt>
                <c:pt idx="82">
                  <c:v>nov</c:v>
                </c:pt>
                <c:pt idx="83">
                  <c:v>dic</c:v>
                </c:pt>
                <c:pt idx="84">
                  <c:v>ene-17</c:v>
                </c:pt>
                <c:pt idx="85">
                  <c:v>feb</c:v>
                </c:pt>
                <c:pt idx="86">
                  <c:v>mar</c:v>
                </c:pt>
                <c:pt idx="87">
                  <c:v>abr</c:v>
                </c:pt>
                <c:pt idx="88">
                  <c:v>may</c:v>
                </c:pt>
                <c:pt idx="89">
                  <c:v>jun</c:v>
                </c:pt>
              </c:strCache>
            </c:strRef>
          </c:cat>
          <c:val>
            <c:numRef>
              <c:f>Inflación!$S$8:$S$97</c:f>
              <c:numCache>
                <c:formatCode>0.00</c:formatCode>
                <c:ptCount val="90"/>
                <c:pt idx="0">
                  <c:v>1.43</c:v>
                </c:pt>
                <c:pt idx="1">
                  <c:v>2.48</c:v>
                </c:pt>
                <c:pt idx="2">
                  <c:v>3.93</c:v>
                </c:pt>
                <c:pt idx="3">
                  <c:v>3.75</c:v>
                </c:pt>
                <c:pt idx="4">
                  <c:v>3.51</c:v>
                </c:pt>
                <c:pt idx="5">
                  <c:v>4.07</c:v>
                </c:pt>
                <c:pt idx="6">
                  <c:v>4.12</c:v>
                </c:pt>
                <c:pt idx="7">
                  <c:v>4.0999999999999996</c:v>
                </c:pt>
                <c:pt idx="8">
                  <c:v>3.76</c:v>
                </c:pt>
                <c:pt idx="9">
                  <c:v>4.51</c:v>
                </c:pt>
                <c:pt idx="10">
                  <c:v>5.25</c:v>
                </c:pt>
                <c:pt idx="11">
                  <c:v>5.39</c:v>
                </c:pt>
                <c:pt idx="12">
                  <c:v>4.9000000000000004</c:v>
                </c:pt>
                <c:pt idx="13">
                  <c:v>5.24</c:v>
                </c:pt>
                <c:pt idx="14">
                  <c:v>4.99</c:v>
                </c:pt>
                <c:pt idx="15">
                  <c:v>5.7611481291645248</c:v>
                </c:pt>
                <c:pt idx="16">
                  <c:v>6.3930220625962022</c:v>
                </c:pt>
                <c:pt idx="17">
                  <c:v>6.4222993669593791</c:v>
                </c:pt>
                <c:pt idx="18">
                  <c:v>7.0396744659206405</c:v>
                </c:pt>
                <c:pt idx="19">
                  <c:v>7.625826131164203</c:v>
                </c:pt>
                <c:pt idx="20">
                  <c:v>7.2493156240494869</c:v>
                </c:pt>
                <c:pt idx="21">
                  <c:v>6.65</c:v>
                </c:pt>
                <c:pt idx="22">
                  <c:v>6.0548438751000617</c:v>
                </c:pt>
                <c:pt idx="23">
                  <c:v>6.2000000000000028</c:v>
                </c:pt>
                <c:pt idx="24">
                  <c:v>5.44</c:v>
                </c:pt>
                <c:pt idx="25">
                  <c:v>5.17</c:v>
                </c:pt>
                <c:pt idx="26">
                  <c:v>4.55</c:v>
                </c:pt>
                <c:pt idx="27">
                  <c:v>4.2699999999999996</c:v>
                </c:pt>
                <c:pt idx="28">
                  <c:v>3.9</c:v>
                </c:pt>
                <c:pt idx="29">
                  <c:v>3.47</c:v>
                </c:pt>
                <c:pt idx="30">
                  <c:v>2.86</c:v>
                </c:pt>
                <c:pt idx="31">
                  <c:v>2.71</c:v>
                </c:pt>
                <c:pt idx="32">
                  <c:v>3.28</c:v>
                </c:pt>
                <c:pt idx="33">
                  <c:v>3.35</c:v>
                </c:pt>
                <c:pt idx="34">
                  <c:v>3.11</c:v>
                </c:pt>
                <c:pt idx="35">
                  <c:v>3.45</c:v>
                </c:pt>
                <c:pt idx="36">
                  <c:v>3.86</c:v>
                </c:pt>
                <c:pt idx="37">
                  <c:v>4.18</c:v>
                </c:pt>
                <c:pt idx="38">
                  <c:v>4.34</c:v>
                </c:pt>
                <c:pt idx="39">
                  <c:v>4.13</c:v>
                </c:pt>
                <c:pt idx="40">
                  <c:v>4.2699999999999996</c:v>
                </c:pt>
                <c:pt idx="41">
                  <c:v>4.79</c:v>
                </c:pt>
                <c:pt idx="42">
                  <c:v>4.74</c:v>
                </c:pt>
                <c:pt idx="43">
                  <c:v>4.42</c:v>
                </c:pt>
                <c:pt idx="44">
                  <c:v>4.21</c:v>
                </c:pt>
                <c:pt idx="45">
                  <c:v>4.1500000000000004</c:v>
                </c:pt>
                <c:pt idx="46">
                  <c:v>4.63</c:v>
                </c:pt>
                <c:pt idx="47">
                  <c:v>4.3899999999999997</c:v>
                </c:pt>
                <c:pt idx="48">
                  <c:v>4.1399999999999997</c:v>
                </c:pt>
                <c:pt idx="49">
                  <c:v>3.5</c:v>
                </c:pt>
                <c:pt idx="50">
                  <c:v>3.25</c:v>
                </c:pt>
                <c:pt idx="51">
                  <c:v>3.27</c:v>
                </c:pt>
                <c:pt idx="52">
                  <c:v>3.22</c:v>
                </c:pt>
                <c:pt idx="53">
                  <c:v>3.13</c:v>
                </c:pt>
                <c:pt idx="54">
                  <c:v>3.41</c:v>
                </c:pt>
                <c:pt idx="55">
                  <c:v>3.7</c:v>
                </c:pt>
                <c:pt idx="56">
                  <c:v>3.45</c:v>
                </c:pt>
                <c:pt idx="57">
                  <c:v>3.64</c:v>
                </c:pt>
                <c:pt idx="58">
                  <c:v>3.38</c:v>
                </c:pt>
                <c:pt idx="59">
                  <c:v>2.95</c:v>
                </c:pt>
                <c:pt idx="60">
                  <c:v>2.3199999999999998</c:v>
                </c:pt>
                <c:pt idx="61">
                  <c:v>2.44</c:v>
                </c:pt>
                <c:pt idx="62">
                  <c:v>2.4300000000000002</c:v>
                </c:pt>
                <c:pt idx="63">
                  <c:v>2.58</c:v>
                </c:pt>
                <c:pt idx="64">
                  <c:v>2.5499999999999998</c:v>
                </c:pt>
                <c:pt idx="65">
                  <c:v>2.39</c:v>
                </c:pt>
                <c:pt idx="66">
                  <c:v>2.3199999999999998</c:v>
                </c:pt>
                <c:pt idx="67">
                  <c:v>1.96</c:v>
                </c:pt>
                <c:pt idx="68">
                  <c:v>1.88</c:v>
                </c:pt>
                <c:pt idx="69">
                  <c:v>2.23</c:v>
                </c:pt>
                <c:pt idx="70">
                  <c:v>2.5099999999999998</c:v>
                </c:pt>
                <c:pt idx="71">
                  <c:v>3.07</c:v>
                </c:pt>
                <c:pt idx="72">
                  <c:v>4.38</c:v>
                </c:pt>
                <c:pt idx="73">
                  <c:v>4.2699999999999996</c:v>
                </c:pt>
                <c:pt idx="74">
                  <c:v>4.26</c:v>
                </c:pt>
                <c:pt idx="75">
                  <c:v>4.09</c:v>
                </c:pt>
                <c:pt idx="76">
                  <c:v>4.3600000000000003</c:v>
                </c:pt>
                <c:pt idx="77">
                  <c:v>4.43</c:v>
                </c:pt>
                <c:pt idx="78">
                  <c:v>4.62</c:v>
                </c:pt>
                <c:pt idx="79">
                  <c:v>4.74</c:v>
                </c:pt>
                <c:pt idx="80">
                  <c:v>4.5599999999999996</c:v>
                </c:pt>
                <c:pt idx="81">
                  <c:v>4.76</c:v>
                </c:pt>
                <c:pt idx="82">
                  <c:v>4.67</c:v>
                </c:pt>
                <c:pt idx="83">
                  <c:v>4.2300000000000004</c:v>
                </c:pt>
                <c:pt idx="84">
                  <c:v>3.83</c:v>
                </c:pt>
                <c:pt idx="85">
                  <c:v>3.96</c:v>
                </c:pt>
                <c:pt idx="86">
                  <c:v>4</c:v>
                </c:pt>
                <c:pt idx="87">
                  <c:v>4.09</c:v>
                </c:pt>
                <c:pt idx="88">
                  <c:v>3.93</c:v>
                </c:pt>
                <c:pt idx="89">
                  <c:v>4.3600000000000003</c:v>
                </c:pt>
              </c:numCache>
            </c:numRef>
          </c:val>
          <c:smooth val="0"/>
          <c:extLst>
            <c:ext xmlns:c16="http://schemas.microsoft.com/office/drawing/2014/chart" uri="{C3380CC4-5D6E-409C-BE32-E72D297353CC}">
              <c16:uniqueId val="{00000001-2E5D-4177-B503-83625E6139AD}"/>
            </c:ext>
          </c:extLst>
        </c:ser>
        <c:ser>
          <c:idx val="1"/>
          <c:order val="1"/>
          <c:tx>
            <c:strRef>
              <c:f>Inflación!$T$6:$T$7</c:f>
              <c:strCache>
                <c:ptCount val="2"/>
                <c:pt idx="0">
                  <c:v>Inflación subyacente</c:v>
                </c:pt>
              </c:strCache>
            </c:strRef>
          </c:tx>
          <c:spPr>
            <a:ln>
              <a:solidFill>
                <a:sysClr val="windowText" lastClr="000000"/>
              </a:solidFill>
            </a:ln>
          </c:spPr>
          <c:marker>
            <c:symbol val="none"/>
          </c:marker>
          <c:dLbls>
            <c:dLbl>
              <c:idx val="82"/>
              <c:layout>
                <c:manualLayout>
                  <c:x val="4.525910839556461E-3"/>
                  <c:y val="7.63636363636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E5D-4177-B503-83625E6139A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Inflación!$R$8:$R$97</c:f>
              <c:strCache>
                <c:ptCount val="90"/>
                <c:pt idx="0">
                  <c:v>ene-10</c:v>
                </c:pt>
                <c:pt idx="1">
                  <c:v>feb</c:v>
                </c:pt>
                <c:pt idx="2">
                  <c:v>mar</c:v>
                </c:pt>
                <c:pt idx="3">
                  <c:v>abr</c:v>
                </c:pt>
                <c:pt idx="4">
                  <c:v>may</c:v>
                </c:pt>
                <c:pt idx="5">
                  <c:v>jun</c:v>
                </c:pt>
                <c:pt idx="6">
                  <c:v>jul</c:v>
                </c:pt>
                <c:pt idx="7">
                  <c:v>ago</c:v>
                </c:pt>
                <c:pt idx="8">
                  <c:v>sep</c:v>
                </c:pt>
                <c:pt idx="9">
                  <c:v>oct</c:v>
                </c:pt>
                <c:pt idx="10">
                  <c:v>nov</c:v>
                </c:pt>
                <c:pt idx="11">
                  <c:v>dic</c:v>
                </c:pt>
                <c:pt idx="12">
                  <c:v>ene-11</c:v>
                </c:pt>
                <c:pt idx="13">
                  <c:v>feb</c:v>
                </c:pt>
                <c:pt idx="14">
                  <c:v>mar</c:v>
                </c:pt>
                <c:pt idx="15">
                  <c:v>abr</c:v>
                </c:pt>
                <c:pt idx="16">
                  <c:v>may</c:v>
                </c:pt>
                <c:pt idx="17">
                  <c:v>jun</c:v>
                </c:pt>
                <c:pt idx="18">
                  <c:v>jul</c:v>
                </c:pt>
                <c:pt idx="19">
                  <c:v>ago</c:v>
                </c:pt>
                <c:pt idx="20">
                  <c:v>sep</c:v>
                </c:pt>
                <c:pt idx="21">
                  <c:v>oct</c:v>
                </c:pt>
                <c:pt idx="22">
                  <c:v>nov</c:v>
                </c:pt>
                <c:pt idx="23">
                  <c:v>dic</c:v>
                </c:pt>
                <c:pt idx="24">
                  <c:v>ene-12</c:v>
                </c:pt>
                <c:pt idx="25">
                  <c:v>feb</c:v>
                </c:pt>
                <c:pt idx="26">
                  <c:v>mar</c:v>
                </c:pt>
                <c:pt idx="27">
                  <c:v>abr</c:v>
                </c:pt>
                <c:pt idx="28">
                  <c:v>may</c:v>
                </c:pt>
                <c:pt idx="29">
                  <c:v>jun</c:v>
                </c:pt>
                <c:pt idx="30">
                  <c:v>jul</c:v>
                </c:pt>
                <c:pt idx="31">
                  <c:v>ago</c:v>
                </c:pt>
                <c:pt idx="32">
                  <c:v>sep</c:v>
                </c:pt>
                <c:pt idx="33">
                  <c:v>oct</c:v>
                </c:pt>
                <c:pt idx="34">
                  <c:v>nov</c:v>
                </c:pt>
                <c:pt idx="35">
                  <c:v>dic</c:v>
                </c:pt>
                <c:pt idx="36">
                  <c:v>ene-13</c:v>
                </c:pt>
                <c:pt idx="37">
                  <c:v>feb</c:v>
                </c:pt>
                <c:pt idx="38">
                  <c:v>mar</c:v>
                </c:pt>
                <c:pt idx="39">
                  <c:v>abr</c:v>
                </c:pt>
                <c:pt idx="40">
                  <c:v>may</c:v>
                </c:pt>
                <c:pt idx="41">
                  <c:v>jun</c:v>
                </c:pt>
                <c:pt idx="42">
                  <c:v>jul</c:v>
                </c:pt>
                <c:pt idx="43">
                  <c:v>ago</c:v>
                </c:pt>
                <c:pt idx="44">
                  <c:v>sep</c:v>
                </c:pt>
                <c:pt idx="45">
                  <c:v>oct</c:v>
                </c:pt>
                <c:pt idx="46">
                  <c:v>nov</c:v>
                </c:pt>
                <c:pt idx="47">
                  <c:v>dic</c:v>
                </c:pt>
                <c:pt idx="48">
                  <c:v>ene-14</c:v>
                </c:pt>
                <c:pt idx="49">
                  <c:v>feb</c:v>
                </c:pt>
                <c:pt idx="50">
                  <c:v>mar</c:v>
                </c:pt>
                <c:pt idx="51">
                  <c:v>abr</c:v>
                </c:pt>
                <c:pt idx="52">
                  <c:v>may</c:v>
                </c:pt>
                <c:pt idx="53">
                  <c:v>jun</c:v>
                </c:pt>
                <c:pt idx="54">
                  <c:v>jul</c:v>
                </c:pt>
                <c:pt idx="55">
                  <c:v>ago</c:v>
                </c:pt>
                <c:pt idx="56">
                  <c:v>sep</c:v>
                </c:pt>
                <c:pt idx="57">
                  <c:v>oct</c:v>
                </c:pt>
                <c:pt idx="58">
                  <c:v>nov</c:v>
                </c:pt>
                <c:pt idx="59">
                  <c:v>dic</c:v>
                </c:pt>
                <c:pt idx="60">
                  <c:v>ene-15</c:v>
                </c:pt>
                <c:pt idx="61">
                  <c:v>feb</c:v>
                </c:pt>
                <c:pt idx="62">
                  <c:v>mar</c:v>
                </c:pt>
                <c:pt idx="63">
                  <c:v>abr</c:v>
                </c:pt>
                <c:pt idx="64">
                  <c:v>may</c:v>
                </c:pt>
                <c:pt idx="65">
                  <c:v>jun</c:v>
                </c:pt>
                <c:pt idx="66">
                  <c:v>jul</c:v>
                </c:pt>
                <c:pt idx="67">
                  <c:v>ago</c:v>
                </c:pt>
                <c:pt idx="68">
                  <c:v>sep</c:v>
                </c:pt>
                <c:pt idx="69">
                  <c:v>oct</c:v>
                </c:pt>
                <c:pt idx="70">
                  <c:v>nov</c:v>
                </c:pt>
                <c:pt idx="71">
                  <c:v>dic</c:v>
                </c:pt>
                <c:pt idx="72">
                  <c:v>ene-16</c:v>
                </c:pt>
                <c:pt idx="73">
                  <c:v>feb</c:v>
                </c:pt>
                <c:pt idx="74">
                  <c:v>mar</c:v>
                </c:pt>
                <c:pt idx="75">
                  <c:v>abr</c:v>
                </c:pt>
                <c:pt idx="76">
                  <c:v>may</c:v>
                </c:pt>
                <c:pt idx="77">
                  <c:v>jun</c:v>
                </c:pt>
                <c:pt idx="78">
                  <c:v>jul</c:v>
                </c:pt>
                <c:pt idx="79">
                  <c:v>ago</c:v>
                </c:pt>
                <c:pt idx="80">
                  <c:v>sep</c:v>
                </c:pt>
                <c:pt idx="81">
                  <c:v>oct</c:v>
                </c:pt>
                <c:pt idx="82">
                  <c:v>nov</c:v>
                </c:pt>
                <c:pt idx="83">
                  <c:v>dic</c:v>
                </c:pt>
                <c:pt idx="84">
                  <c:v>ene-17</c:v>
                </c:pt>
                <c:pt idx="85">
                  <c:v>feb</c:v>
                </c:pt>
                <c:pt idx="86">
                  <c:v>mar</c:v>
                </c:pt>
                <c:pt idx="87">
                  <c:v>abr</c:v>
                </c:pt>
                <c:pt idx="88">
                  <c:v>may</c:v>
                </c:pt>
                <c:pt idx="89">
                  <c:v>jun</c:v>
                </c:pt>
              </c:strCache>
            </c:strRef>
          </c:cat>
          <c:val>
            <c:numRef>
              <c:f>Inflación!$T$8:$T$97</c:f>
              <c:numCache>
                <c:formatCode>0.00</c:formatCode>
                <c:ptCount val="90"/>
                <c:pt idx="0">
                  <c:v>1.58</c:v>
                </c:pt>
                <c:pt idx="1">
                  <c:v>1.97</c:v>
                </c:pt>
                <c:pt idx="2">
                  <c:v>2.39</c:v>
                </c:pt>
                <c:pt idx="3">
                  <c:v>2.66</c:v>
                </c:pt>
                <c:pt idx="4">
                  <c:v>2.57</c:v>
                </c:pt>
                <c:pt idx="5">
                  <c:v>2.42</c:v>
                </c:pt>
                <c:pt idx="6">
                  <c:v>2.42</c:v>
                </c:pt>
                <c:pt idx="7">
                  <c:v>2.6</c:v>
                </c:pt>
                <c:pt idx="8">
                  <c:v>2.54</c:v>
                </c:pt>
                <c:pt idx="9">
                  <c:v>2.81</c:v>
                </c:pt>
                <c:pt idx="10">
                  <c:v>2.76</c:v>
                </c:pt>
                <c:pt idx="11">
                  <c:v>3.06</c:v>
                </c:pt>
                <c:pt idx="12">
                  <c:v>3.44</c:v>
                </c:pt>
                <c:pt idx="13">
                  <c:v>3.78</c:v>
                </c:pt>
                <c:pt idx="14">
                  <c:v>3.84</c:v>
                </c:pt>
                <c:pt idx="15">
                  <c:v>4.1500000000000004</c:v>
                </c:pt>
                <c:pt idx="16">
                  <c:v>4.5599999999999996</c:v>
                </c:pt>
                <c:pt idx="17">
                  <c:v>4.7</c:v>
                </c:pt>
                <c:pt idx="18">
                  <c:v>5.18</c:v>
                </c:pt>
                <c:pt idx="19">
                  <c:v>5.4</c:v>
                </c:pt>
                <c:pt idx="20">
                  <c:v>5.38</c:v>
                </c:pt>
                <c:pt idx="21">
                  <c:v>5.27</c:v>
                </c:pt>
                <c:pt idx="22">
                  <c:v>5.46</c:v>
                </c:pt>
                <c:pt idx="23">
                  <c:v>5.27</c:v>
                </c:pt>
                <c:pt idx="24">
                  <c:v>4.5199999999999996</c:v>
                </c:pt>
                <c:pt idx="25">
                  <c:v>4.25</c:v>
                </c:pt>
                <c:pt idx="26">
                  <c:v>4.0999999999999996</c:v>
                </c:pt>
                <c:pt idx="27">
                  <c:v>3.8</c:v>
                </c:pt>
                <c:pt idx="28">
                  <c:v>3.55</c:v>
                </c:pt>
                <c:pt idx="29">
                  <c:v>3.72</c:v>
                </c:pt>
                <c:pt idx="30">
                  <c:v>3.4</c:v>
                </c:pt>
                <c:pt idx="31">
                  <c:v>3.4</c:v>
                </c:pt>
                <c:pt idx="32">
                  <c:v>3.44</c:v>
                </c:pt>
                <c:pt idx="33">
                  <c:v>3.54</c:v>
                </c:pt>
                <c:pt idx="34">
                  <c:v>3.42</c:v>
                </c:pt>
                <c:pt idx="35">
                  <c:v>3.44</c:v>
                </c:pt>
                <c:pt idx="36">
                  <c:v>3.54</c:v>
                </c:pt>
                <c:pt idx="37">
                  <c:v>3.73</c:v>
                </c:pt>
                <c:pt idx="38">
                  <c:v>3.7</c:v>
                </c:pt>
                <c:pt idx="39">
                  <c:v>3.5</c:v>
                </c:pt>
                <c:pt idx="40">
                  <c:v>3.48</c:v>
                </c:pt>
                <c:pt idx="41">
                  <c:v>3.54</c:v>
                </c:pt>
                <c:pt idx="42">
                  <c:v>3.35</c:v>
                </c:pt>
                <c:pt idx="43">
                  <c:v>2.99</c:v>
                </c:pt>
                <c:pt idx="44">
                  <c:v>2.88</c:v>
                </c:pt>
                <c:pt idx="45">
                  <c:v>2.8</c:v>
                </c:pt>
                <c:pt idx="46">
                  <c:v>2.61</c:v>
                </c:pt>
                <c:pt idx="47">
                  <c:v>2.5499999999999998</c:v>
                </c:pt>
                <c:pt idx="48">
                  <c:v>2.4</c:v>
                </c:pt>
                <c:pt idx="49">
                  <c:v>2.0499999999999998</c:v>
                </c:pt>
                <c:pt idx="50">
                  <c:v>2.0299999999999998</c:v>
                </c:pt>
                <c:pt idx="51">
                  <c:v>2.0699999999999998</c:v>
                </c:pt>
                <c:pt idx="52">
                  <c:v>1.95</c:v>
                </c:pt>
                <c:pt idx="53">
                  <c:v>1.8</c:v>
                </c:pt>
                <c:pt idx="54">
                  <c:v>1.93</c:v>
                </c:pt>
                <c:pt idx="55">
                  <c:v>2</c:v>
                </c:pt>
                <c:pt idx="56">
                  <c:v>2.0699999999999998</c:v>
                </c:pt>
                <c:pt idx="57">
                  <c:v>2.08</c:v>
                </c:pt>
                <c:pt idx="58">
                  <c:v>2.08</c:v>
                </c:pt>
                <c:pt idx="59">
                  <c:v>2.17</c:v>
                </c:pt>
                <c:pt idx="60">
                  <c:v>2.1800000000000002</c:v>
                </c:pt>
                <c:pt idx="61">
                  <c:v>2.25</c:v>
                </c:pt>
                <c:pt idx="62">
                  <c:v>2.09</c:v>
                </c:pt>
                <c:pt idx="63">
                  <c:v>2.11</c:v>
                </c:pt>
                <c:pt idx="64">
                  <c:v>2.15</c:v>
                </c:pt>
                <c:pt idx="65">
                  <c:v>2.2200000000000002</c:v>
                </c:pt>
                <c:pt idx="66">
                  <c:v>2.11</c:v>
                </c:pt>
                <c:pt idx="67">
                  <c:v>2.2000000000000002</c:v>
                </c:pt>
                <c:pt idx="68">
                  <c:v>2.0299999999999998</c:v>
                </c:pt>
                <c:pt idx="69">
                  <c:v>1.85</c:v>
                </c:pt>
                <c:pt idx="70">
                  <c:v>1.77</c:v>
                </c:pt>
                <c:pt idx="71">
                  <c:v>1.67</c:v>
                </c:pt>
                <c:pt idx="72">
                  <c:v>3.7279944770452147</c:v>
                </c:pt>
                <c:pt idx="73">
                  <c:v>3.683304647160071</c:v>
                </c:pt>
                <c:pt idx="74">
                  <c:v>3.6693305834837133</c:v>
                </c:pt>
                <c:pt idx="75">
                  <c:v>3.4358666780909886</c:v>
                </c:pt>
                <c:pt idx="76">
                  <c:v>3.5213675213675373</c:v>
                </c:pt>
                <c:pt idx="77">
                  <c:v>3.4162548986198686</c:v>
                </c:pt>
                <c:pt idx="78">
                  <c:v>3.4871881893772354</c:v>
                </c:pt>
                <c:pt idx="79">
                  <c:v>3.4368915601455967</c:v>
                </c:pt>
                <c:pt idx="80">
                  <c:v>3.1958065607034172</c:v>
                </c:pt>
                <c:pt idx="81">
                  <c:v>3.2934636118598206</c:v>
                </c:pt>
                <c:pt idx="82">
                  <c:v>3.2921810699588576</c:v>
                </c:pt>
                <c:pt idx="83">
                  <c:v>2.9793288141267027</c:v>
                </c:pt>
                <c:pt idx="84">
                  <c:v>2.65</c:v>
                </c:pt>
                <c:pt idx="85">
                  <c:v>2.68</c:v>
                </c:pt>
                <c:pt idx="86">
                  <c:v>2.77</c:v>
                </c:pt>
                <c:pt idx="87">
                  <c:v>2.88</c:v>
                </c:pt>
                <c:pt idx="88">
                  <c:v>2.82</c:v>
                </c:pt>
                <c:pt idx="89">
                  <c:v>3.14</c:v>
                </c:pt>
              </c:numCache>
            </c:numRef>
          </c:val>
          <c:smooth val="0"/>
          <c:extLst>
            <c:ext xmlns:c16="http://schemas.microsoft.com/office/drawing/2014/chart" uri="{C3380CC4-5D6E-409C-BE32-E72D297353CC}">
              <c16:uniqueId val="{00000003-2E5D-4177-B503-83625E6139AD}"/>
            </c:ext>
          </c:extLst>
        </c:ser>
        <c:dLbls>
          <c:showLegendKey val="0"/>
          <c:showVal val="0"/>
          <c:showCatName val="0"/>
          <c:showSerName val="0"/>
          <c:showPercent val="0"/>
          <c:showBubbleSize val="0"/>
        </c:dLbls>
        <c:smooth val="0"/>
        <c:axId val="182037888"/>
        <c:axId val="185070720"/>
      </c:lineChart>
      <c:catAx>
        <c:axId val="182037888"/>
        <c:scaling>
          <c:orientation val="minMax"/>
        </c:scaling>
        <c:delete val="0"/>
        <c:axPos val="b"/>
        <c:numFmt formatCode="General" sourceLinked="1"/>
        <c:majorTickMark val="out"/>
        <c:minorTickMark val="none"/>
        <c:tickLblPos val="nextTo"/>
        <c:txPr>
          <a:bodyPr rot="-5400000" vert="horz"/>
          <a:lstStyle/>
          <a:p>
            <a:pPr>
              <a:defRPr lang="es-GT" b="1"/>
            </a:pPr>
            <a:endParaRPr lang="es-GT"/>
          </a:p>
        </c:txPr>
        <c:crossAx val="185070720"/>
        <c:crosses val="autoZero"/>
        <c:auto val="1"/>
        <c:lblAlgn val="ctr"/>
        <c:lblOffset val="100"/>
        <c:noMultiLvlLbl val="0"/>
      </c:catAx>
      <c:valAx>
        <c:axId val="185070720"/>
        <c:scaling>
          <c:orientation val="minMax"/>
        </c:scaling>
        <c:delete val="0"/>
        <c:axPos val="l"/>
        <c:title>
          <c:tx>
            <c:rich>
              <a:bodyPr rot="0" vert="horz"/>
              <a:lstStyle/>
              <a:p>
                <a:pPr>
                  <a:defRPr lang="es-GT"/>
                </a:pPr>
                <a:r>
                  <a:rPr lang="es-GT"/>
                  <a:t>Porcentajes</a:t>
                </a:r>
              </a:p>
            </c:rich>
          </c:tx>
          <c:layout>
            <c:manualLayout>
              <c:xMode val="edge"/>
              <c:yMode val="edge"/>
              <c:x val="4.6295039207055647E-2"/>
              <c:y val="9.8589173359318119E-2"/>
            </c:manualLayout>
          </c:layout>
          <c:overlay val="0"/>
        </c:title>
        <c:numFmt formatCode="#,##0.0" sourceLinked="0"/>
        <c:majorTickMark val="out"/>
        <c:minorTickMark val="none"/>
        <c:tickLblPos val="nextTo"/>
        <c:txPr>
          <a:bodyPr/>
          <a:lstStyle/>
          <a:p>
            <a:pPr>
              <a:defRPr lang="es-GT" b="1"/>
            </a:pPr>
            <a:endParaRPr lang="es-GT"/>
          </a:p>
        </c:txPr>
        <c:crossAx val="182037888"/>
        <c:crosses val="autoZero"/>
        <c:crossBetween val="between"/>
      </c:valAx>
    </c:plotArea>
    <c:legend>
      <c:legendPos val="b"/>
      <c:layout>
        <c:manualLayout>
          <c:xMode val="edge"/>
          <c:yMode val="edge"/>
          <c:x val="0.24877885916434361"/>
          <c:y val="0.90675677516358377"/>
          <c:w val="0.51655330040266678"/>
          <c:h val="5.4129850535150167E-2"/>
        </c:manualLayout>
      </c:layout>
      <c:overlay val="0"/>
      <c:txPr>
        <a:bodyPr/>
        <a:lstStyle/>
        <a:p>
          <a:pPr>
            <a:defRPr lang="es-GT"/>
          </a:pPr>
          <a:endParaRPr lang="es-GT"/>
        </a:p>
      </c:txPr>
    </c:legend>
    <c:plotVisOnly val="1"/>
    <c:dispBlanksAs val="gap"/>
    <c:showDLblsOverMax val="0"/>
  </c:chart>
  <c:spPr>
    <a:solidFill>
      <a:schemeClr val="bg1"/>
    </a:solidFill>
    <a:ln w="12700" cap="rnd">
      <a:noFill/>
    </a:ln>
    <a:effectLst/>
  </c:spPr>
  <c:txPr>
    <a:bodyPr/>
    <a:lstStyle/>
    <a:p>
      <a:pPr>
        <a:defRPr>
          <a:latin typeface="Times New Roman" pitchFamily="18" charset="0"/>
          <a:cs typeface="Times New Roman" pitchFamily="18" charset="0"/>
        </a:defRPr>
      </a:pPr>
      <a:endParaRPr lang="es-G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spPr>
            <a:solidFill>
              <a:srgbClr val="0070C0"/>
            </a:solidFill>
          </c:spPr>
          <c:invertIfNegative val="0"/>
          <c:dPt>
            <c:idx val="9"/>
            <c:invertIfNegative val="0"/>
            <c:bubble3D val="0"/>
            <c:spPr>
              <a:solidFill>
                <a:srgbClr val="002060"/>
              </a:solidFill>
            </c:spPr>
            <c:extLst>
              <c:ext xmlns:c16="http://schemas.microsoft.com/office/drawing/2014/chart" uri="{C3380CC4-5D6E-409C-BE32-E72D297353CC}">
                <c16:uniqueId val="{00000001-DD54-4965-8B23-32B088849DC7}"/>
              </c:ext>
            </c:extLst>
          </c:dPt>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'Remesas Familiares'!$C$7:$L$7</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'Remesas Familiares'!$C$8:$L$8</c:f>
              <c:numCache>
                <c:formatCode>_(* #,##0.0_);_(* \(#,##0.0\);_(* "-"??_);_(@_)</c:formatCode>
                <c:ptCount val="10"/>
                <c:pt idx="0">
                  <c:v>4314.7306000000008</c:v>
                </c:pt>
                <c:pt idx="1">
                  <c:v>3912.2867999999999</c:v>
                </c:pt>
                <c:pt idx="2">
                  <c:v>4126.7840999999999</c:v>
                </c:pt>
                <c:pt idx="3">
                  <c:v>4378.0320000000002</c:v>
                </c:pt>
                <c:pt idx="4">
                  <c:v>4782.7287000000006</c:v>
                </c:pt>
                <c:pt idx="5">
                  <c:v>5105.1890000000012</c:v>
                </c:pt>
                <c:pt idx="6">
                  <c:v>5544.0975999999991</c:v>
                </c:pt>
                <c:pt idx="7">
                  <c:v>6284.9778422000009</c:v>
                </c:pt>
                <c:pt idx="8">
                  <c:v>7159.9676000000018</c:v>
                </c:pt>
                <c:pt idx="9">
                  <c:v>4052.3654999999999</c:v>
                </c:pt>
              </c:numCache>
            </c:numRef>
          </c:val>
          <c:extLst>
            <c:ext xmlns:c16="http://schemas.microsoft.com/office/drawing/2014/chart" uri="{C3380CC4-5D6E-409C-BE32-E72D297353CC}">
              <c16:uniqueId val="{00000002-DD54-4965-8B23-32B088849DC7}"/>
            </c:ext>
          </c:extLst>
        </c:ser>
        <c:dLbls>
          <c:showLegendKey val="0"/>
          <c:showVal val="0"/>
          <c:showCatName val="0"/>
          <c:showSerName val="0"/>
          <c:showPercent val="0"/>
          <c:showBubbleSize val="0"/>
        </c:dLbls>
        <c:gapWidth val="35"/>
        <c:overlap val="81"/>
        <c:axId val="187820672"/>
        <c:axId val="188678528"/>
      </c:barChart>
      <c:catAx>
        <c:axId val="187820672"/>
        <c:scaling>
          <c:orientation val="minMax"/>
        </c:scaling>
        <c:delete val="0"/>
        <c:axPos val="b"/>
        <c:numFmt formatCode="General" sourceLinked="1"/>
        <c:majorTickMark val="out"/>
        <c:minorTickMark val="none"/>
        <c:tickLblPos val="nextTo"/>
        <c:crossAx val="188678528"/>
        <c:crosses val="autoZero"/>
        <c:auto val="1"/>
        <c:lblAlgn val="ctr"/>
        <c:lblOffset val="100"/>
        <c:noMultiLvlLbl val="0"/>
      </c:catAx>
      <c:valAx>
        <c:axId val="188678528"/>
        <c:scaling>
          <c:orientation val="minMax"/>
        </c:scaling>
        <c:delete val="0"/>
        <c:axPos val="l"/>
        <c:title>
          <c:tx>
            <c:rich>
              <a:bodyPr rot="-5400000" vert="horz"/>
              <a:lstStyle/>
              <a:p>
                <a:pPr>
                  <a:defRPr/>
                </a:pPr>
                <a:r>
                  <a:rPr lang="en-US"/>
                  <a:t>Millones de U.S. Dólares</a:t>
                </a:r>
              </a:p>
            </c:rich>
          </c:tx>
          <c:overlay val="0"/>
        </c:title>
        <c:numFmt formatCode="_(* #,##0.0_);_(* \(#,##0.0\);_(* &quot;-&quot;??_);_(@_)" sourceLinked="1"/>
        <c:majorTickMark val="out"/>
        <c:minorTickMark val="none"/>
        <c:tickLblPos val="nextTo"/>
        <c:crossAx val="187820672"/>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s-G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2017*</a:t>
            </a:r>
          </a:p>
        </c:rich>
      </c:tx>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6062600166658891"/>
          <c:y val="0.16083028265937629"/>
          <c:w val="0.607011772043346"/>
          <c:h val="0.66829318357030165"/>
        </c:manualLayout>
      </c:layout>
      <c:pie3DChart>
        <c:varyColors val="1"/>
        <c:ser>
          <c:idx val="0"/>
          <c:order val="0"/>
          <c:tx>
            <c:strRef>
              <c:f>'X Entidad'!$D$75</c:f>
              <c:strCache>
                <c:ptCount val="1"/>
                <c:pt idx="0">
                  <c:v>2017</c:v>
                </c:pt>
              </c:strCache>
            </c:strRef>
          </c:tx>
          <c:spPr>
            <a:scene3d>
              <a:camera prst="orthographicFront"/>
              <a:lightRig rig="threePt" dir="t"/>
            </a:scene3d>
            <a:sp3d>
              <a:bevelT/>
            </a:sp3d>
          </c:spPr>
          <c:explosion val="8"/>
          <c:dLbls>
            <c:dLbl>
              <c:idx val="2"/>
              <c:layout>
                <c:manualLayout>
                  <c:x val="1.7073712066522549E-2"/>
                  <c:y val="9.3663228049038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45-43B2-B6F0-0CA3F4C4FC5B}"/>
                </c:ext>
              </c:extLst>
            </c:dLbl>
            <c:spPr>
              <a:noFill/>
              <a:ln>
                <a:noFill/>
              </a:ln>
              <a:effectLst/>
            </c:spPr>
            <c:txPr>
              <a:bodyPr/>
              <a:lstStyle/>
              <a:p>
                <a:pPr>
                  <a:defRPr sz="800" b="1"/>
                </a:pPr>
                <a:endParaRPr lang="es-GT"/>
              </a:p>
            </c:txPr>
            <c:showLegendKey val="0"/>
            <c:showVal val="1"/>
            <c:showCatName val="0"/>
            <c:showSerName val="0"/>
            <c:showPercent val="0"/>
            <c:showBubbleSize val="0"/>
            <c:showLeaderLines val="1"/>
            <c:extLst>
              <c:ext xmlns:c15="http://schemas.microsoft.com/office/drawing/2012/chart" uri="{CE6537A1-D6FC-4f65-9D91-7224C49458BB}"/>
            </c:extLst>
          </c:dLbls>
          <c:cat>
            <c:strRef>
              <c:f>'X Entidad'!$C$76:$C$78</c:f>
              <c:strCache>
                <c:ptCount val="3"/>
                <c:pt idx="0">
                  <c:v>Obligaciones</c:v>
                </c:pt>
                <c:pt idx="1">
                  <c:v>Educación, Deuda, Salud y Gobernación</c:v>
                </c:pt>
                <c:pt idx="2">
                  <c:v>Otros</c:v>
                </c:pt>
              </c:strCache>
            </c:strRef>
          </c:cat>
          <c:val>
            <c:numRef>
              <c:f>'X Entidad'!$D$76:$D$78</c:f>
              <c:numCache>
                <c:formatCode>0.0%</c:formatCode>
                <c:ptCount val="3"/>
                <c:pt idx="0">
                  <c:v>0.37422299929835406</c:v>
                </c:pt>
                <c:pt idx="1">
                  <c:v>0.50363102150929739</c:v>
                </c:pt>
                <c:pt idx="2">
                  <c:v>0.12214597919234847</c:v>
                </c:pt>
              </c:numCache>
            </c:numRef>
          </c:val>
          <c:extLst>
            <c:ext xmlns:c16="http://schemas.microsoft.com/office/drawing/2014/chart" uri="{C3380CC4-5D6E-409C-BE32-E72D297353CC}">
              <c16:uniqueId val="{00000001-0C45-43B2-B6F0-0CA3F4C4FC5B}"/>
            </c:ext>
          </c:extLst>
        </c:ser>
        <c:dLbls>
          <c:showLegendKey val="0"/>
          <c:showVal val="0"/>
          <c:showCatName val="0"/>
          <c:showSerName val="0"/>
          <c:showPercent val="0"/>
          <c:showBubbleSize val="0"/>
          <c:showLeaderLines val="1"/>
        </c:dLbls>
      </c:pie3DChart>
    </c:plotArea>
    <c:legend>
      <c:legendPos val="b"/>
      <c:layout>
        <c:manualLayout>
          <c:xMode val="edge"/>
          <c:yMode val="edge"/>
          <c:x val="1.3087365724923441E-3"/>
          <c:y val="0.87019670995346732"/>
          <c:w val="0.89999976964907769"/>
          <c:h val="8.780358806101482E-2"/>
        </c:manualLayout>
      </c:layout>
      <c:overlay val="0"/>
      <c:txPr>
        <a:bodyPr/>
        <a:lstStyle/>
        <a:p>
          <a:pPr>
            <a:defRPr sz="800"/>
          </a:pPr>
          <a:endParaRPr lang="es-GT"/>
        </a:p>
      </c:txPr>
    </c:legend>
    <c:plotVisOnly val="1"/>
    <c:dispBlanksAs val="gap"/>
    <c:showDLblsOverMax val="0"/>
  </c:chart>
  <c:spPr>
    <a:noFill/>
    <a:ln>
      <a:noFill/>
    </a:ln>
    <a:scene3d>
      <a:camera prst="orthographicFront"/>
      <a:lightRig rig="threePt" dir="t"/>
    </a:scene3d>
  </c:spPr>
  <c:txPr>
    <a:bodyPr/>
    <a:lstStyle/>
    <a:p>
      <a:pPr>
        <a:defRPr>
          <a:latin typeface="Times New Roman" panose="02020603050405020304" pitchFamily="18" charset="0"/>
          <a:cs typeface="Times New Roman" panose="02020603050405020304" pitchFamily="18" charset="0"/>
        </a:defRPr>
      </a:pPr>
      <a:endParaRPr lang="es-G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pPr>
          <a:endParaRPr lang="es-GT"/>
        </a:p>
      </c:txPr>
    </c:title>
    <c:autoTitleDeleted val="0"/>
    <c:view3D>
      <c:rotX val="40"/>
      <c:rotY val="22"/>
      <c:rAngAx val="1"/>
    </c:view3D>
    <c:floor>
      <c:thickness val="0"/>
    </c:floor>
    <c:sideWall>
      <c:thickness val="0"/>
      <c:spPr>
        <a:scene3d>
          <a:camera prst="orthographicFront"/>
          <a:lightRig rig="threePt" dir="t"/>
        </a:scene3d>
        <a:sp3d prstMaterial="dkEdge"/>
      </c:spPr>
    </c:sideWall>
    <c:backWall>
      <c:thickness val="0"/>
      <c:spPr>
        <a:scene3d>
          <a:camera prst="orthographicFront"/>
          <a:lightRig rig="threePt" dir="t"/>
        </a:scene3d>
        <a:sp3d prstMaterial="dkEdge"/>
      </c:spPr>
    </c:backWall>
    <c:plotArea>
      <c:layout>
        <c:manualLayout>
          <c:layoutTarget val="inner"/>
          <c:xMode val="edge"/>
          <c:yMode val="edge"/>
          <c:x val="0"/>
          <c:y val="0.2158964665499287"/>
          <c:w val="0.90583759068113034"/>
          <c:h val="0.66833903494022007"/>
        </c:manualLayout>
      </c:layout>
      <c:pie3DChart>
        <c:varyColors val="1"/>
        <c:ser>
          <c:idx val="0"/>
          <c:order val="0"/>
          <c:tx>
            <c:strRef>
              <c:f>'X Entidad'!$D$67</c:f>
              <c:strCache>
                <c:ptCount val="1"/>
                <c:pt idx="0">
                  <c:v>2016</c:v>
                </c:pt>
              </c:strCache>
            </c:strRef>
          </c:tx>
          <c:spPr>
            <a:scene3d>
              <a:camera prst="orthographicFront"/>
              <a:lightRig rig="threePt" dir="t"/>
            </a:scene3d>
            <a:sp3d>
              <a:bevelT/>
            </a:sp3d>
          </c:spPr>
          <c:explosion val="10"/>
          <c:dLbls>
            <c:spPr>
              <a:noFill/>
              <a:ln>
                <a:noFill/>
              </a:ln>
              <a:effectLst/>
            </c:spPr>
            <c:txPr>
              <a:bodyPr/>
              <a:lstStyle/>
              <a:p>
                <a:pPr>
                  <a:defRPr sz="800" b="1"/>
                </a:pPr>
                <a:endParaRPr lang="es-GT"/>
              </a:p>
            </c:txPr>
            <c:showLegendKey val="0"/>
            <c:showVal val="1"/>
            <c:showCatName val="0"/>
            <c:showSerName val="0"/>
            <c:showPercent val="0"/>
            <c:showBubbleSize val="0"/>
            <c:showLeaderLines val="1"/>
            <c:extLst>
              <c:ext xmlns:c15="http://schemas.microsoft.com/office/drawing/2012/chart" uri="{CE6537A1-D6FC-4f65-9D91-7224C49458BB}"/>
            </c:extLst>
          </c:dLbls>
          <c:cat>
            <c:strRef>
              <c:f>'X Entidad'!$C$68:$C$70</c:f>
              <c:strCache>
                <c:ptCount val="3"/>
                <c:pt idx="0">
                  <c:v>Obligaciones</c:v>
                </c:pt>
                <c:pt idx="1">
                  <c:v>Educación, Deuda, Salud y Gobernación</c:v>
                </c:pt>
                <c:pt idx="2">
                  <c:v>Otros</c:v>
                </c:pt>
              </c:strCache>
            </c:strRef>
          </c:cat>
          <c:val>
            <c:numRef>
              <c:f>'X Entidad'!$D$68:$D$70</c:f>
              <c:numCache>
                <c:formatCode>0.0%</c:formatCode>
                <c:ptCount val="3"/>
                <c:pt idx="0">
                  <c:v>0.35085144988204164</c:v>
                </c:pt>
                <c:pt idx="1">
                  <c:v>0.52980890311707174</c:v>
                </c:pt>
                <c:pt idx="2">
                  <c:v>0.11933964700088678</c:v>
                </c:pt>
              </c:numCache>
            </c:numRef>
          </c:val>
          <c:extLst>
            <c:ext xmlns:c16="http://schemas.microsoft.com/office/drawing/2014/chart" uri="{C3380CC4-5D6E-409C-BE32-E72D297353CC}">
              <c16:uniqueId val="{00000000-E846-46CB-B694-F453FCE4AF36}"/>
            </c:ext>
          </c:extLst>
        </c:ser>
        <c:dLbls>
          <c:showLegendKey val="0"/>
          <c:showVal val="0"/>
          <c:showCatName val="0"/>
          <c:showSerName val="0"/>
          <c:showPercent val="0"/>
          <c:showBubbleSize val="0"/>
          <c:showLeaderLines val="1"/>
        </c:dLbls>
      </c:pie3DChart>
    </c:plotArea>
    <c:plotVisOnly val="1"/>
    <c:dispBlanksAs val="gap"/>
    <c:showDLblsOverMax val="0"/>
  </c:chart>
  <c:spPr>
    <a:noFill/>
    <a:ln>
      <a:noFill/>
    </a:ln>
    <a:scene3d>
      <a:camera prst="orthographicFront"/>
      <a:lightRig rig="threePt" dir="t"/>
    </a:scene3d>
    <a:sp3d>
      <a:bevelT/>
    </a:sp3d>
  </c:spPr>
  <c:txPr>
    <a:bodyPr/>
    <a:lstStyle/>
    <a:p>
      <a:pPr>
        <a:defRPr>
          <a:latin typeface="Times New Roman" panose="02020603050405020304" pitchFamily="18" charset="0"/>
          <a:cs typeface="Times New Roman" panose="02020603050405020304" pitchFamily="18" charset="0"/>
        </a:defRPr>
      </a:pPr>
      <a:endParaRPr lang="es-G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81014873140857"/>
          <c:y val="4.9004447360746585E-2"/>
          <c:w val="0.84223189694159395"/>
          <c:h val="0.86527777777777781"/>
        </c:manualLayout>
      </c:layout>
      <c:barChart>
        <c:barDir val="col"/>
        <c:grouping val="clustered"/>
        <c:varyColors val="0"/>
        <c:ser>
          <c:idx val="0"/>
          <c:order val="0"/>
          <c:tx>
            <c:strRef>
              <c:f>Hoja5!$K$22</c:f>
              <c:strCache>
                <c:ptCount val="1"/>
                <c:pt idx="0">
                  <c:v>Resultado Presupuestario</c:v>
                </c:pt>
              </c:strCache>
            </c:strRef>
          </c:tx>
          <c:spPr>
            <a:solidFill>
              <a:srgbClr val="00B050"/>
            </a:solidFill>
            <a:scene3d>
              <a:camera prst="orthographicFront"/>
              <a:lightRig rig="threePt" dir="t"/>
            </a:scene3d>
            <a:sp3d>
              <a:bevelT/>
            </a:sp3d>
          </c:spPr>
          <c:invertIfNegative val="0"/>
          <c:dPt>
            <c:idx val="4"/>
            <c:invertIfNegative val="0"/>
            <c:bubble3D val="0"/>
            <c:spPr>
              <a:solidFill>
                <a:schemeClr val="accent6">
                  <a:lumMod val="75000"/>
                </a:schemeClr>
              </a:solidFill>
              <a:scene3d>
                <a:camera prst="orthographicFront"/>
                <a:lightRig rig="threePt" dir="t"/>
              </a:scene3d>
              <a:sp3d>
                <a:bevelT/>
              </a:sp3d>
            </c:spPr>
            <c:extLst>
              <c:ext xmlns:c16="http://schemas.microsoft.com/office/drawing/2014/chart" uri="{C3380CC4-5D6E-409C-BE32-E72D297353CC}">
                <c16:uniqueId val="{00000000-56BF-4AFE-9DA2-5959D8F04304}"/>
              </c:ext>
            </c:extLst>
          </c:dPt>
          <c:dPt>
            <c:idx val="5"/>
            <c:invertIfNegative val="0"/>
            <c:bubble3D val="0"/>
            <c:spPr>
              <a:solidFill>
                <a:schemeClr val="accent6">
                  <a:lumMod val="75000"/>
                </a:schemeClr>
              </a:solidFill>
              <a:scene3d>
                <a:camera prst="orthographicFront"/>
                <a:lightRig rig="threePt" dir="t"/>
              </a:scene3d>
              <a:sp3d>
                <a:bevelT/>
              </a:sp3d>
            </c:spPr>
            <c:extLst>
              <c:ext xmlns:c16="http://schemas.microsoft.com/office/drawing/2014/chart" uri="{C3380CC4-5D6E-409C-BE32-E72D297353CC}">
                <c16:uniqueId val="{00000001-56BF-4AFE-9DA2-5959D8F04304}"/>
              </c:ext>
            </c:extLst>
          </c:dPt>
          <c:dPt>
            <c:idx val="6"/>
            <c:invertIfNegative val="0"/>
            <c:bubble3D val="0"/>
            <c:spPr>
              <a:solidFill>
                <a:schemeClr val="accent6">
                  <a:lumMod val="75000"/>
                </a:schemeClr>
              </a:solidFill>
              <a:scene3d>
                <a:camera prst="orthographicFront"/>
                <a:lightRig rig="threePt" dir="t"/>
              </a:scene3d>
              <a:sp3d>
                <a:bevelT/>
              </a:sp3d>
            </c:spPr>
            <c:extLst>
              <c:ext xmlns:c16="http://schemas.microsoft.com/office/drawing/2014/chart" uri="{C3380CC4-5D6E-409C-BE32-E72D297353CC}">
                <c16:uniqueId val="{00000002-56BF-4AFE-9DA2-5959D8F04304}"/>
              </c:ext>
            </c:extLst>
          </c:dPt>
          <c:dPt>
            <c:idx val="7"/>
            <c:invertIfNegative val="0"/>
            <c:bubble3D val="0"/>
            <c:spPr>
              <a:solidFill>
                <a:schemeClr val="accent6">
                  <a:lumMod val="75000"/>
                </a:schemeClr>
              </a:solidFill>
              <a:scene3d>
                <a:camera prst="orthographicFront"/>
                <a:lightRig rig="threePt" dir="t"/>
              </a:scene3d>
              <a:sp3d>
                <a:bevelT/>
              </a:sp3d>
            </c:spPr>
            <c:extLst>
              <c:ext xmlns:c16="http://schemas.microsoft.com/office/drawing/2014/chart" uri="{C3380CC4-5D6E-409C-BE32-E72D297353CC}">
                <c16:uniqueId val="{00000003-56BF-4AFE-9DA2-5959D8F04304}"/>
              </c:ext>
            </c:extLst>
          </c:dPt>
          <c:dPt>
            <c:idx val="8"/>
            <c:invertIfNegative val="0"/>
            <c:bubble3D val="0"/>
            <c:spPr>
              <a:solidFill>
                <a:srgbClr val="0070C0"/>
              </a:solidFill>
              <a:scene3d>
                <a:camera prst="orthographicFront"/>
                <a:lightRig rig="threePt" dir="t"/>
              </a:scene3d>
              <a:sp3d>
                <a:bevelT/>
              </a:sp3d>
            </c:spPr>
            <c:extLst>
              <c:ext xmlns:c16="http://schemas.microsoft.com/office/drawing/2014/chart" uri="{C3380CC4-5D6E-409C-BE32-E72D297353CC}">
                <c16:uniqueId val="{00000004-56BF-4AFE-9DA2-5959D8F04304}"/>
              </c:ext>
            </c:extLst>
          </c:dPt>
          <c:dPt>
            <c:idx val="9"/>
            <c:invertIfNegative val="0"/>
            <c:bubble3D val="0"/>
            <c:spPr>
              <a:solidFill>
                <a:srgbClr val="0070C0"/>
              </a:solidFill>
              <a:scene3d>
                <a:camera prst="orthographicFront"/>
                <a:lightRig rig="threePt" dir="t"/>
              </a:scene3d>
              <a:sp3d>
                <a:bevelT/>
              </a:sp3d>
            </c:spPr>
            <c:extLst>
              <c:ext xmlns:c16="http://schemas.microsoft.com/office/drawing/2014/chart" uri="{C3380CC4-5D6E-409C-BE32-E72D297353CC}">
                <c16:uniqueId val="{00000005-56BF-4AFE-9DA2-5959D8F04304}"/>
              </c:ext>
            </c:extLst>
          </c:dPt>
          <c:dLbls>
            <c:dLbl>
              <c:idx val="4"/>
              <c:layout>
                <c:manualLayout>
                  <c:x val="0"/>
                  <c:y val="4.3361038203557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BF-4AFE-9DA2-5959D8F04304}"/>
                </c:ext>
              </c:extLst>
            </c:dLbl>
            <c:spPr>
              <a:noFill/>
              <a:ln w="25400">
                <a:noFill/>
              </a:ln>
            </c:spPr>
            <c:txPr>
              <a:bodyPr/>
              <a:lstStyle/>
              <a:p>
                <a:pPr>
                  <a:defRPr sz="700"/>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Hoja5!$J$23:$J$32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Hoja5!$K$23:$K$32</c:f>
              <c:numCache>
                <c:formatCode>#,##0.0</c:formatCode>
                <c:ptCount val="10"/>
                <c:pt idx="0">
                  <c:v>1344.6844330900058</c:v>
                </c:pt>
                <c:pt idx="1">
                  <c:v>-1903.1</c:v>
                </c:pt>
                <c:pt idx="2">
                  <c:v>-3089.5</c:v>
                </c:pt>
                <c:pt idx="3">
                  <c:v>-2856.2</c:v>
                </c:pt>
                <c:pt idx="4">
                  <c:v>209.2</c:v>
                </c:pt>
                <c:pt idx="5">
                  <c:v>-2090.4</c:v>
                </c:pt>
                <c:pt idx="6">
                  <c:v>-2438.1</c:v>
                </c:pt>
                <c:pt idx="7">
                  <c:v>-3679.4</c:v>
                </c:pt>
                <c:pt idx="8">
                  <c:v>515.20000000000005</c:v>
                </c:pt>
                <c:pt idx="9">
                  <c:v>464.85727086999941</c:v>
                </c:pt>
              </c:numCache>
            </c:numRef>
          </c:val>
          <c:extLst>
            <c:ext xmlns:c16="http://schemas.microsoft.com/office/drawing/2014/chart" uri="{C3380CC4-5D6E-409C-BE32-E72D297353CC}">
              <c16:uniqueId val="{00000006-56BF-4AFE-9DA2-5959D8F04304}"/>
            </c:ext>
          </c:extLst>
        </c:ser>
        <c:dLbls>
          <c:showLegendKey val="0"/>
          <c:showVal val="0"/>
          <c:showCatName val="0"/>
          <c:showSerName val="0"/>
          <c:showPercent val="0"/>
          <c:showBubbleSize val="0"/>
        </c:dLbls>
        <c:gapWidth val="12"/>
        <c:axId val="190987264"/>
        <c:axId val="191169280"/>
      </c:barChart>
      <c:lineChart>
        <c:grouping val="standard"/>
        <c:varyColors val="0"/>
        <c:ser>
          <c:idx val="1"/>
          <c:order val="1"/>
          <c:tx>
            <c:strRef>
              <c:f>Hoja5!$L$22</c:f>
              <c:strCache>
                <c:ptCount val="1"/>
                <c:pt idx="0">
                  <c:v>%PIB</c:v>
                </c:pt>
              </c:strCache>
            </c:strRef>
          </c:tx>
          <c:spPr>
            <a:ln>
              <a:solidFill>
                <a:srgbClr val="FF0000"/>
              </a:solidFill>
            </a:ln>
          </c:spPr>
          <c:marker>
            <c:symbol val="none"/>
          </c:marker>
          <c:dLbls>
            <c:dLbl>
              <c:idx val="0"/>
              <c:layout>
                <c:manualLayout>
                  <c:x val="-2.6600388584693799E-2"/>
                  <c:y val="-1.388888888888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BF-4AFE-9DA2-5959D8F04304}"/>
                </c:ext>
              </c:extLst>
            </c:dLbl>
            <c:dLbl>
              <c:idx val="1"/>
              <c:layout>
                <c:manualLayout>
                  <c:x val="-6.9444444444444475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6BF-4AFE-9DA2-5959D8F04304}"/>
                </c:ext>
              </c:extLst>
            </c:dLbl>
            <c:dLbl>
              <c:idx val="2"/>
              <c:layout>
                <c:manualLayout>
                  <c:x val="-4.4444444444444446E-2"/>
                  <c:y val="3.2407407407407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6BF-4AFE-9DA2-5959D8F04304}"/>
                </c:ext>
              </c:extLst>
            </c:dLbl>
            <c:dLbl>
              <c:idx val="3"/>
              <c:layout>
                <c:manualLayout>
                  <c:x val="-2.2222222222222223E-2"/>
                  <c:y val="6.01851851851851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6BF-4AFE-9DA2-5959D8F04304}"/>
                </c:ext>
              </c:extLst>
            </c:dLbl>
            <c:dLbl>
              <c:idx val="4"/>
              <c:layout>
                <c:manualLayout>
                  <c:x val="-3.3646155010743341E-2"/>
                  <c:y val="-7.4074074074074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6BF-4AFE-9DA2-5959D8F04304}"/>
                </c:ext>
              </c:extLst>
            </c:dLbl>
            <c:dLbl>
              <c:idx val="5"/>
              <c:layout>
                <c:manualLayout>
                  <c:x val="-4.7810862902584031E-2"/>
                  <c:y val="2.31477836103820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6BF-4AFE-9DA2-5959D8F04304}"/>
                </c:ext>
              </c:extLst>
            </c:dLbl>
            <c:dLbl>
              <c:idx val="6"/>
              <c:layout>
                <c:manualLayout>
                  <c:x val="-4.1041298284365584E-2"/>
                  <c:y val="4.16666666666666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6BF-4AFE-9DA2-5959D8F04304}"/>
                </c:ext>
              </c:extLst>
            </c:dLbl>
            <c:dLbl>
              <c:idx val="7"/>
              <c:layout>
                <c:manualLayout>
                  <c:x val="-3.9514327362224211E-2"/>
                  <c:y val="0.1018518518518518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6BF-4AFE-9DA2-5959D8F04304}"/>
                </c:ext>
              </c:extLst>
            </c:dLbl>
            <c:dLbl>
              <c:idx val="8"/>
              <c:layout>
                <c:manualLayout>
                  <c:x val="-3.888894280506907E-2"/>
                  <c:y val="-7.40740740740740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6BF-4AFE-9DA2-5959D8F04304}"/>
                </c:ext>
              </c:extLst>
            </c:dLbl>
            <c:dLbl>
              <c:idx val="9"/>
              <c:layout>
                <c:manualLayout>
                  <c:x val="-3.3020576355339545E-2"/>
                  <c:y val="-7.40740740740740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6BF-4AFE-9DA2-5959D8F04304}"/>
                </c:ext>
              </c:extLst>
            </c:dLbl>
            <c:spPr>
              <a:noFill/>
              <a:ln w="25400">
                <a:noFill/>
              </a:ln>
            </c:spPr>
            <c:txPr>
              <a:bodyPr/>
              <a:lstStyle/>
              <a:p>
                <a:pPr>
                  <a:defRPr sz="6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Hoja5!$J$23:$J$32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Hoja5!$L$23:$L$32</c:f>
              <c:numCache>
                <c:formatCode>0.0%</c:formatCode>
                <c:ptCount val="10"/>
                <c:pt idx="0">
                  <c:v>4.5448258216489448E-3</c:v>
                </c:pt>
                <c:pt idx="1">
                  <c:v>-6.1795662256881106E-3</c:v>
                </c:pt>
                <c:pt idx="2">
                  <c:v>-9.2751762718804986E-3</c:v>
                </c:pt>
                <c:pt idx="3">
                  <c:v>-7.6984115860528352E-3</c:v>
                </c:pt>
                <c:pt idx="4">
                  <c:v>5.2999191838327129E-4</c:v>
                </c:pt>
                <c:pt idx="5">
                  <c:v>-4.9407028211214572E-3</c:v>
                </c:pt>
                <c:pt idx="6">
                  <c:v>-5.369639830433817E-3</c:v>
                </c:pt>
                <c:pt idx="7">
                  <c:v>-7.5346126516127321E-3</c:v>
                </c:pt>
                <c:pt idx="8">
                  <c:v>9.8681154715080208E-4</c:v>
                </c:pt>
                <c:pt idx="9">
                  <c:v>8.304243554285687E-4</c:v>
                </c:pt>
              </c:numCache>
            </c:numRef>
          </c:val>
          <c:smooth val="0"/>
          <c:extLst>
            <c:ext xmlns:c16="http://schemas.microsoft.com/office/drawing/2014/chart" uri="{C3380CC4-5D6E-409C-BE32-E72D297353CC}">
              <c16:uniqueId val="{00000011-56BF-4AFE-9DA2-5959D8F04304}"/>
            </c:ext>
          </c:extLst>
        </c:ser>
        <c:dLbls>
          <c:showLegendKey val="0"/>
          <c:showVal val="0"/>
          <c:showCatName val="0"/>
          <c:showSerName val="0"/>
          <c:showPercent val="0"/>
          <c:showBubbleSize val="0"/>
        </c:dLbls>
        <c:marker val="1"/>
        <c:smooth val="0"/>
        <c:axId val="191170816"/>
        <c:axId val="191172608"/>
      </c:lineChart>
      <c:catAx>
        <c:axId val="190987264"/>
        <c:scaling>
          <c:orientation val="minMax"/>
        </c:scaling>
        <c:delete val="0"/>
        <c:axPos val="b"/>
        <c:numFmt formatCode="General" sourceLinked="1"/>
        <c:majorTickMark val="out"/>
        <c:minorTickMark val="none"/>
        <c:tickLblPos val="low"/>
        <c:crossAx val="191169280"/>
        <c:crosses val="autoZero"/>
        <c:auto val="1"/>
        <c:lblAlgn val="ctr"/>
        <c:lblOffset val="100"/>
        <c:noMultiLvlLbl val="0"/>
      </c:catAx>
      <c:valAx>
        <c:axId val="191169280"/>
        <c:scaling>
          <c:orientation val="minMax"/>
        </c:scaling>
        <c:delete val="0"/>
        <c:axPos val="l"/>
        <c:numFmt formatCode="#,##0.0" sourceLinked="1"/>
        <c:majorTickMark val="out"/>
        <c:minorTickMark val="none"/>
        <c:tickLblPos val="nextTo"/>
        <c:txPr>
          <a:bodyPr/>
          <a:lstStyle/>
          <a:p>
            <a:pPr>
              <a:defRPr sz="800"/>
            </a:pPr>
            <a:endParaRPr lang="es-GT"/>
          </a:p>
        </c:txPr>
        <c:crossAx val="190987264"/>
        <c:crosses val="autoZero"/>
        <c:crossBetween val="between"/>
      </c:valAx>
      <c:catAx>
        <c:axId val="191170816"/>
        <c:scaling>
          <c:orientation val="minMax"/>
        </c:scaling>
        <c:delete val="1"/>
        <c:axPos val="b"/>
        <c:numFmt formatCode="General" sourceLinked="1"/>
        <c:majorTickMark val="out"/>
        <c:minorTickMark val="none"/>
        <c:tickLblPos val="nextTo"/>
        <c:crossAx val="191172608"/>
        <c:crosses val="autoZero"/>
        <c:auto val="1"/>
        <c:lblAlgn val="ctr"/>
        <c:lblOffset val="100"/>
        <c:noMultiLvlLbl val="0"/>
      </c:catAx>
      <c:valAx>
        <c:axId val="191172608"/>
        <c:scaling>
          <c:orientation val="minMax"/>
        </c:scaling>
        <c:delete val="0"/>
        <c:axPos val="r"/>
        <c:numFmt formatCode="0.0%" sourceLinked="1"/>
        <c:majorTickMark val="out"/>
        <c:minorTickMark val="none"/>
        <c:tickLblPos val="nextTo"/>
        <c:txPr>
          <a:bodyPr/>
          <a:lstStyle/>
          <a:p>
            <a:pPr>
              <a:defRPr sz="500" baseline="0">
                <a:solidFill>
                  <a:schemeClr val="bg1"/>
                </a:solidFill>
              </a:defRPr>
            </a:pPr>
            <a:endParaRPr lang="es-GT"/>
          </a:p>
        </c:txPr>
        <c:crossAx val="191170816"/>
        <c:crosses val="max"/>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G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11475988505729E-2"/>
          <c:y val="0.11625511591878433"/>
          <c:w val="0.89255519378501647"/>
          <c:h val="0.73799909330609048"/>
        </c:manualLayout>
      </c:layout>
      <c:lineChart>
        <c:grouping val="standard"/>
        <c:varyColors val="0"/>
        <c:ser>
          <c:idx val="1"/>
          <c:order val="0"/>
          <c:tx>
            <c:strRef>
              <c:f>TasaCuponPromedioP!$B$5</c:f>
              <c:strCache>
                <c:ptCount val="1"/>
                <c:pt idx="0">
                  <c:v>Quetzales</c:v>
                </c:pt>
              </c:strCache>
            </c:strRef>
          </c:tx>
          <c:marker>
            <c:symbol val="triangle"/>
            <c:size val="7"/>
          </c:marker>
          <c:dLbls>
            <c:dLbl>
              <c:idx val="3"/>
              <c:layout>
                <c:manualLayout>
                  <c:x val="-3.7054993280990024E-2"/>
                  <c:y val="-3.2280358538816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5C-4D8A-9036-38C428762953}"/>
                </c:ext>
              </c:extLst>
            </c:dLbl>
            <c:dLbl>
              <c:idx val="9"/>
              <c:layout>
                <c:manualLayout>
                  <c:x val="-3.4387357830271213E-2"/>
                  <c:y val="-6.890055409740449E-2"/>
                </c:manualLayout>
              </c:layout>
              <c:spPr/>
              <c:txPr>
                <a:bodyPr/>
                <a:lstStyle/>
                <a:p>
                  <a:pPr algn="ctr">
                    <a:defRPr lang="en-US" sz="800" b="1" i="0" u="none" strike="noStrike" kern="1200" baseline="0">
                      <a:solidFill>
                        <a:sysClr val="windowText" lastClr="000000"/>
                      </a:solidFill>
                      <a:latin typeface="+mn-lt"/>
                      <a:ea typeface="+mn-ea"/>
                      <a:cs typeface="+mn-cs"/>
                    </a:defRPr>
                  </a:pPr>
                  <a:endParaRPr lang="es-G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5C-4D8A-9036-38C428762953}"/>
                </c:ext>
              </c:extLst>
            </c:dLbl>
            <c:dLbl>
              <c:idx val="12"/>
              <c:layout>
                <c:manualLayout>
                  <c:x val="-9.9411453405391544E-3"/>
                  <c:y val="-3.359273073321975E-2"/>
                </c:manualLayout>
              </c:layout>
              <c:spPr/>
              <c:txPr>
                <a:bodyPr/>
                <a:lstStyle/>
                <a:p>
                  <a:pPr>
                    <a:defRPr sz="1200" b="1"/>
                  </a:pPr>
                  <a:endParaRPr lang="es-GT"/>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5C-4D8A-9036-38C428762953}"/>
                </c:ext>
              </c:extLst>
            </c:dLbl>
            <c:spPr>
              <a:noFill/>
              <a:ln>
                <a:noFill/>
              </a:ln>
              <a:effectLst/>
            </c:spPr>
            <c:txPr>
              <a:bodyPr/>
              <a:lstStyle/>
              <a:p>
                <a:pPr>
                  <a:defRPr sz="800" b="1"/>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TasaCuponPromedioP!$A$6:$A$18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TasaCuponPromedioP!$B$6:$B$18</c:f>
              <c:numCache>
                <c:formatCode>0.00%</c:formatCode>
                <c:ptCount val="13"/>
                <c:pt idx="0">
                  <c:v>9.2200000000000004E-2</c:v>
                </c:pt>
                <c:pt idx="1">
                  <c:v>8.8999999999999996E-2</c:v>
                </c:pt>
                <c:pt idx="2">
                  <c:v>9.0300000000000005E-2</c:v>
                </c:pt>
                <c:pt idx="3">
                  <c:v>9.4399999999999998E-2</c:v>
                </c:pt>
                <c:pt idx="4">
                  <c:v>8.6099999999999996E-2</c:v>
                </c:pt>
                <c:pt idx="5">
                  <c:v>8.5999999999999993E-2</c:v>
                </c:pt>
                <c:pt idx="6">
                  <c:v>9.1399999999999995E-2</c:v>
                </c:pt>
                <c:pt idx="7">
                  <c:v>8.5400000000000004E-2</c:v>
                </c:pt>
                <c:pt idx="8">
                  <c:v>9.1200000000000003E-2</c:v>
                </c:pt>
                <c:pt idx="9">
                  <c:v>7.2999999999999995E-2</c:v>
                </c:pt>
                <c:pt idx="10">
                  <c:v>7.4399999999999994E-2</c:v>
                </c:pt>
                <c:pt idx="11">
                  <c:v>7.052202187794411E-2</c:v>
                </c:pt>
                <c:pt idx="12">
                  <c:v>7.3211432235154875E-2</c:v>
                </c:pt>
              </c:numCache>
            </c:numRef>
          </c:val>
          <c:smooth val="0"/>
          <c:extLst>
            <c:ext xmlns:c16="http://schemas.microsoft.com/office/drawing/2014/chart" uri="{C3380CC4-5D6E-409C-BE32-E72D297353CC}">
              <c16:uniqueId val="{00000003-2C5C-4D8A-9036-38C428762953}"/>
            </c:ext>
          </c:extLst>
        </c:ser>
        <c:ser>
          <c:idx val="0"/>
          <c:order val="1"/>
          <c:tx>
            <c:strRef>
              <c:f>TasaCuponPromedioP!$C$5</c:f>
              <c:strCache>
                <c:ptCount val="1"/>
                <c:pt idx="0">
                  <c:v>US Dólares</c:v>
                </c:pt>
              </c:strCache>
            </c:strRef>
          </c:tx>
          <c:marker>
            <c:symbol val="square"/>
            <c:size val="7"/>
          </c:marker>
          <c:dPt>
            <c:idx val="6"/>
            <c:bubble3D val="0"/>
            <c:spPr>
              <a:ln>
                <a:solidFill>
                  <a:schemeClr val="accent1"/>
                </a:solidFill>
              </a:ln>
            </c:spPr>
            <c:extLst>
              <c:ext xmlns:c16="http://schemas.microsoft.com/office/drawing/2014/chart" uri="{C3380CC4-5D6E-409C-BE32-E72D297353CC}">
                <c16:uniqueId val="{00000005-2C5C-4D8A-9036-38C428762953}"/>
              </c:ext>
            </c:extLst>
          </c:dPt>
          <c:dPt>
            <c:idx val="7"/>
            <c:bubble3D val="0"/>
            <c:extLst>
              <c:ext xmlns:c16="http://schemas.microsoft.com/office/drawing/2014/chart" uri="{C3380CC4-5D6E-409C-BE32-E72D297353CC}">
                <c16:uniqueId val="{00000006-2C5C-4D8A-9036-38C428762953}"/>
              </c:ext>
            </c:extLst>
          </c:dPt>
          <c:dPt>
            <c:idx val="8"/>
            <c:marker>
              <c:symbol val="none"/>
            </c:marker>
            <c:bubble3D val="0"/>
            <c:spPr>
              <a:ln>
                <a:solidFill>
                  <a:schemeClr val="accent1"/>
                </a:solidFill>
              </a:ln>
            </c:spPr>
            <c:extLst>
              <c:ext xmlns:c16="http://schemas.microsoft.com/office/drawing/2014/chart" uri="{C3380CC4-5D6E-409C-BE32-E72D297353CC}">
                <c16:uniqueId val="{00000008-2C5C-4D8A-9036-38C428762953}"/>
              </c:ext>
            </c:extLst>
          </c:dPt>
          <c:dLbls>
            <c:dLbl>
              <c:idx val="8"/>
              <c:spPr/>
              <c:txPr>
                <a:bodyPr/>
                <a:lstStyle/>
                <a:p>
                  <a:pPr>
                    <a:defRPr sz="800" b="1">
                      <a:solidFill>
                        <a:schemeClr val="bg1"/>
                      </a:solidFill>
                    </a:defRPr>
                  </a:pPr>
                  <a:endParaRPr lang="es-GT"/>
                </a:p>
              </c:txPr>
              <c:dLblPos val="t"/>
              <c:showLegendKey val="0"/>
              <c:showVal val="1"/>
              <c:showCatName val="0"/>
              <c:showSerName val="0"/>
              <c:showPercent val="0"/>
              <c:showBubbleSize val="0"/>
              <c:extLst>
                <c:ext xmlns:c16="http://schemas.microsoft.com/office/drawing/2014/chart" uri="{C3380CC4-5D6E-409C-BE32-E72D297353CC}">
                  <c16:uniqueId val="{00000008-2C5C-4D8A-9036-38C428762953}"/>
                </c:ext>
              </c:extLst>
            </c:dLbl>
            <c:spPr>
              <a:noFill/>
              <a:ln>
                <a:noFill/>
              </a:ln>
              <a:effectLst/>
            </c:spPr>
            <c:txPr>
              <a:bodyPr/>
              <a:lstStyle/>
              <a:p>
                <a:pPr>
                  <a:defRPr sz="800" b="1"/>
                </a:pPr>
                <a:endParaRPr lang="es-G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TasaCuponPromedioP!$A$6:$A$18</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TasaCuponPromedioP!$C$6:$C$16</c:f>
              <c:numCache>
                <c:formatCode>General</c:formatCode>
                <c:ptCount val="11"/>
                <c:pt idx="5" formatCode="0.00%">
                  <c:v>4.8499999999999995E-2</c:v>
                </c:pt>
                <c:pt idx="6" formatCode="0.00%">
                  <c:v>5.1699999999999996E-2</c:v>
                </c:pt>
                <c:pt idx="7" formatCode="0.00%">
                  <c:v>5.8799999999999998E-2</c:v>
                </c:pt>
                <c:pt idx="8" formatCode="0.00%">
                  <c:v>5.3199999999999997E-2</c:v>
                </c:pt>
                <c:pt idx="9" formatCode="0.00%">
                  <c:v>4.8799999999999996E-2</c:v>
                </c:pt>
              </c:numCache>
            </c:numRef>
          </c:val>
          <c:smooth val="0"/>
          <c:extLst>
            <c:ext xmlns:c16="http://schemas.microsoft.com/office/drawing/2014/chart" uri="{C3380CC4-5D6E-409C-BE32-E72D297353CC}">
              <c16:uniqueId val="{00000009-2C5C-4D8A-9036-38C428762953}"/>
            </c:ext>
          </c:extLst>
        </c:ser>
        <c:dLbls>
          <c:showLegendKey val="0"/>
          <c:showVal val="0"/>
          <c:showCatName val="0"/>
          <c:showSerName val="0"/>
          <c:showPercent val="0"/>
          <c:showBubbleSize val="0"/>
        </c:dLbls>
        <c:marker val="1"/>
        <c:smooth val="0"/>
        <c:axId val="193263488"/>
        <c:axId val="193265024"/>
      </c:lineChart>
      <c:catAx>
        <c:axId val="193263488"/>
        <c:scaling>
          <c:orientation val="minMax"/>
        </c:scaling>
        <c:delete val="0"/>
        <c:axPos val="b"/>
        <c:numFmt formatCode="General" sourceLinked="1"/>
        <c:majorTickMark val="out"/>
        <c:minorTickMark val="none"/>
        <c:tickLblPos val="nextTo"/>
        <c:crossAx val="193265024"/>
        <c:crosses val="autoZero"/>
        <c:auto val="1"/>
        <c:lblAlgn val="ctr"/>
        <c:lblOffset val="100"/>
        <c:noMultiLvlLbl val="0"/>
      </c:catAx>
      <c:valAx>
        <c:axId val="193265024"/>
        <c:scaling>
          <c:orientation val="minMax"/>
        </c:scaling>
        <c:delete val="0"/>
        <c:axPos val="l"/>
        <c:numFmt formatCode="0.00%" sourceLinked="0"/>
        <c:majorTickMark val="out"/>
        <c:minorTickMark val="none"/>
        <c:tickLblPos val="nextTo"/>
        <c:spPr>
          <a:ln>
            <a:noFill/>
          </a:ln>
        </c:spPr>
        <c:crossAx val="193263488"/>
        <c:crosses val="autoZero"/>
        <c:crossBetween val="between"/>
        <c:majorUnit val="1.0000000000000002E-2"/>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072D-DDFC-48CE-9179-7E5205F6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12222</Words>
  <Characters>67226</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79290</CharactersWithSpaces>
  <SharedDoc>false</SharedDoc>
  <HLinks>
    <vt:vector size="36" baseType="variant">
      <vt:variant>
        <vt:i4>5505078</vt:i4>
      </vt:variant>
      <vt:variant>
        <vt:i4>15</vt:i4>
      </vt:variant>
      <vt:variant>
        <vt:i4>0</vt:i4>
      </vt:variant>
      <vt:variant>
        <vt:i4>5</vt:i4>
      </vt:variant>
      <vt:variant>
        <vt:lpwstr>http://portal.sat.gob.gt/sitio/index.php/leyes/doc_details/2683-acuerdodedirectorionumero08-2011face.html</vt:lpwstr>
      </vt:variant>
      <vt:variant>
        <vt:lpwstr/>
      </vt:variant>
      <vt:variant>
        <vt:i4>1114202</vt:i4>
      </vt:variant>
      <vt:variant>
        <vt:i4>12</vt:i4>
      </vt:variant>
      <vt:variant>
        <vt:i4>0</vt:i4>
      </vt:variant>
      <vt:variant>
        <vt:i4>5</vt:i4>
      </vt:variant>
      <vt:variant>
        <vt:lpwstr>http://www.sgp.gob.gt/PaginaWeb/Acuerdos/2011/presidencia/AG-168-2011.pdf</vt:lpwstr>
      </vt:variant>
      <vt:variant>
        <vt:lpwstr/>
      </vt:variant>
      <vt:variant>
        <vt:i4>4653175</vt:i4>
      </vt:variant>
      <vt:variant>
        <vt:i4>9</vt:i4>
      </vt:variant>
      <vt:variant>
        <vt:i4>0</vt:i4>
      </vt:variant>
      <vt:variant>
        <vt:i4>5</vt:i4>
      </vt:variant>
      <vt:variant>
        <vt:lpwstr>http://www.sgp.gob.gt/PaginaWeb/PEsp/AG2011_Esp.htm</vt:lpwstr>
      </vt:variant>
      <vt:variant>
        <vt:lpwstr/>
      </vt:variant>
      <vt:variant>
        <vt:i4>3801144</vt:i4>
      </vt:variant>
      <vt:variant>
        <vt:i4>6</vt:i4>
      </vt:variant>
      <vt:variant>
        <vt:i4>0</vt:i4>
      </vt:variant>
      <vt:variant>
        <vt:i4>5</vt:i4>
      </vt:variant>
      <vt:variant>
        <vt:lpwstr>http://200.12.63.122/archivos/acuerdos/2010/CCLXXXVIII0790300050053201017022010.pdf</vt:lpwstr>
      </vt:variant>
      <vt:variant>
        <vt:lpwstr/>
      </vt:variant>
      <vt:variant>
        <vt:i4>6422584</vt:i4>
      </vt:variant>
      <vt:variant>
        <vt:i4>3</vt:i4>
      </vt:variant>
      <vt:variant>
        <vt:i4>0</vt:i4>
      </vt:variant>
      <vt:variant>
        <vt:i4>5</vt:i4>
      </vt:variant>
      <vt:variant>
        <vt:lpwstr>http://www.oj.gob.gt/es/QueEsOJ/EstructuraOJ/UnidadesAdministrativas/CentroAnalisisDocumentacionJudicial/cds/CDs leyes/2008/pdfs/decretos/D003-2008.pdf</vt:lpwstr>
      </vt:variant>
      <vt:variant>
        <vt:lpwstr/>
      </vt:variant>
      <vt:variant>
        <vt:i4>7667743</vt:i4>
      </vt:variant>
      <vt:variant>
        <vt:i4>0</vt:i4>
      </vt:variant>
      <vt:variant>
        <vt:i4>0</vt:i4>
      </vt:variant>
      <vt:variant>
        <vt:i4>5</vt:i4>
      </vt:variant>
      <vt:variant>
        <vt:lpwstr>http://www.minfin.gob.gt/2011-07-05-18-17-00/proyectospresupuesto/files.html?folder=2012\multianual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Myriam Adelaida Galvez García</cp:lastModifiedBy>
  <cp:revision>2</cp:revision>
  <cp:lastPrinted>2017-09-29T20:53:00Z</cp:lastPrinted>
  <dcterms:created xsi:type="dcterms:W3CDTF">2017-09-29T21:21:00Z</dcterms:created>
  <dcterms:modified xsi:type="dcterms:W3CDTF">2017-09-29T21:21:00Z</dcterms:modified>
</cp:coreProperties>
</file>