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CDF" w:rsidRDefault="00820CDF">
      <w:pPr>
        <w:rPr>
          <w:rFonts w:ascii="Times New Roman" w:hAnsi="Times New Roman" w:cs="Times New Roman"/>
          <w:sz w:val="24"/>
          <w:szCs w:val="24"/>
          <w:lang w:val="es-MX"/>
        </w:rPr>
      </w:pPr>
      <w:bookmarkStart w:id="0" w:name="_GoBack"/>
      <w:bookmarkEnd w:id="0"/>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Default="00820CDF">
      <w:pPr>
        <w:rPr>
          <w:rFonts w:ascii="Times New Roman" w:hAnsi="Times New Roman" w:cs="Times New Roman"/>
          <w:sz w:val="24"/>
          <w:szCs w:val="24"/>
          <w:lang w:val="es-MX"/>
        </w:rPr>
      </w:pPr>
    </w:p>
    <w:p w:rsidR="00820CDF" w:rsidRPr="002D3EA1" w:rsidRDefault="00AC7823" w:rsidP="00AC7823">
      <w:pPr>
        <w:jc w:val="center"/>
        <w:rPr>
          <w:rFonts w:ascii="Times New Roman" w:hAnsi="Times New Roman" w:cs="Times New Roman"/>
          <w:b/>
          <w:color w:val="C00000"/>
          <w:sz w:val="24"/>
          <w:szCs w:val="24"/>
          <w:lang w:val="es-MX"/>
        </w:rPr>
      </w:pPr>
      <w:r w:rsidRPr="002D3EA1">
        <w:rPr>
          <w:rFonts w:ascii="Times New Roman" w:hAnsi="Times New Roman" w:cs="Times New Roman"/>
          <w:b/>
          <w:color w:val="C00000"/>
          <w:sz w:val="24"/>
          <w:szCs w:val="24"/>
          <w:lang w:val="es-MX"/>
        </w:rPr>
        <w:t>Anexo “A”</w:t>
      </w:r>
    </w:p>
    <w:p w:rsidR="00820CDF" w:rsidRPr="002D3EA1" w:rsidRDefault="004F1119" w:rsidP="00820CDF">
      <w:pPr>
        <w:spacing w:line="240" w:lineRule="auto"/>
        <w:jc w:val="both"/>
        <w:rPr>
          <w:rFonts w:ascii="Times New Roman" w:hAnsi="Times New Roman" w:cs="Times New Roman"/>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C856199" wp14:editId="33FE0279">
                <wp:simplePos x="0" y="0"/>
                <wp:positionH relativeFrom="column">
                  <wp:posOffset>-228600</wp:posOffset>
                </wp:positionH>
                <wp:positionV relativeFrom="paragraph">
                  <wp:posOffset>295275</wp:posOffset>
                </wp:positionV>
                <wp:extent cx="5867400" cy="0"/>
                <wp:effectExtent l="99060" t="98425" r="24765" b="254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29826" id="_x0000_t32" coordsize="21600,21600" o:spt="32" o:oned="t" path="m,l21600,21600e" filled="f">
                <v:path arrowok="t" fillok="f" o:connecttype="none"/>
                <o:lock v:ext="edit" shapetype="t"/>
              </v:shapetype>
              <v:shape id="AutoShape 12" o:spid="_x0000_s1026" type="#_x0000_t32" style="position:absolute;margin-left:-18pt;margin-top:23.25pt;width:46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" strokecolor="#f2f2f2 [3041]" strokeweight="3pt">
                <v:shadow on="t" color="#7f7f7f [1601]" opacity=".5" offset="-6pt,-6pt"/>
              </v:shape>
            </w:pict>
          </mc:Fallback>
        </mc:AlternateContent>
      </w:r>
    </w:p>
    <w:p w:rsidR="00820CDF" w:rsidRPr="002D3EA1" w:rsidRDefault="00820CDF">
      <w:pPr>
        <w:rPr>
          <w:rFonts w:ascii="Times New Roman" w:hAnsi="Times New Roman" w:cs="Times New Roman"/>
          <w:sz w:val="24"/>
          <w:szCs w:val="24"/>
          <w:lang w:val="es-MX"/>
        </w:rPr>
      </w:pPr>
    </w:p>
    <w:p w:rsidR="00820CDF" w:rsidRPr="002D3EA1" w:rsidRDefault="00820CDF" w:rsidP="00820CDF">
      <w:pPr>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MARCO LEGAL</w:t>
      </w:r>
    </w:p>
    <w:p w:rsidR="00820CDF" w:rsidRPr="002D3EA1" w:rsidRDefault="00820CDF">
      <w:pPr>
        <w:rPr>
          <w:rFonts w:ascii="Times New Roman" w:hAnsi="Times New Roman" w:cs="Times New Roman"/>
          <w:sz w:val="24"/>
          <w:szCs w:val="24"/>
          <w:lang w:val="es-MX"/>
        </w:rPr>
      </w:pPr>
    </w:p>
    <w:p w:rsidR="00820CDF" w:rsidRPr="002D3EA1" w:rsidRDefault="004F1119" w:rsidP="00820CDF">
      <w:pPr>
        <w:spacing w:line="240" w:lineRule="auto"/>
        <w:jc w:val="both"/>
        <w:rPr>
          <w:rFonts w:ascii="Times New Roman" w:hAnsi="Times New Roman" w:cs="Times New Roman"/>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2B1B845" wp14:editId="66F70083">
                <wp:simplePos x="0" y="0"/>
                <wp:positionH relativeFrom="column">
                  <wp:posOffset>-228600</wp:posOffset>
                </wp:positionH>
                <wp:positionV relativeFrom="paragraph">
                  <wp:posOffset>295275</wp:posOffset>
                </wp:positionV>
                <wp:extent cx="5867400" cy="0"/>
                <wp:effectExtent l="99060" t="101600" r="24765" b="222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C4F1F" id="AutoShape 13" o:spid="_x0000_s1026" type="#_x0000_t32" style="position:absolute;margin-left:-18pt;margin-top:23.25pt;width:46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" strokecolor="#f2f2f2 [3041]" strokeweight="3pt">
                <v:shadow on="t" color="#7f7f7f [1601]" opacity=".5" offset="-6pt,-6pt"/>
              </v:shape>
            </w:pict>
          </mc:Fallback>
        </mc:AlternateContent>
      </w:r>
    </w:p>
    <w:p w:rsidR="00820CDF" w:rsidRPr="002D3EA1" w:rsidRDefault="00820CDF">
      <w:pPr>
        <w:rPr>
          <w:rFonts w:ascii="Times New Roman" w:hAnsi="Times New Roman" w:cs="Times New Roman"/>
          <w:sz w:val="24"/>
          <w:szCs w:val="24"/>
          <w:lang w:val="es-MX"/>
        </w:rPr>
      </w:pPr>
    </w:p>
    <w:p w:rsidR="00820CDF" w:rsidRPr="002D3EA1" w:rsidRDefault="00820CDF">
      <w:pPr>
        <w:rPr>
          <w:rFonts w:ascii="Times New Roman" w:hAnsi="Times New Roman" w:cs="Times New Roman"/>
          <w:sz w:val="24"/>
          <w:szCs w:val="24"/>
          <w:lang w:val="es-MX"/>
        </w:rPr>
      </w:pPr>
      <w:r w:rsidRPr="002D3EA1">
        <w:rPr>
          <w:rFonts w:ascii="Times New Roman" w:hAnsi="Times New Roman" w:cs="Times New Roman"/>
          <w:sz w:val="24"/>
          <w:szCs w:val="24"/>
          <w:lang w:val="es-MX"/>
        </w:rPr>
        <w:br w:type="page"/>
      </w:r>
    </w:p>
    <w:p w:rsidR="00EA4B93" w:rsidRPr="002D3EA1" w:rsidRDefault="004F1119" w:rsidP="00EA4B93">
      <w:pPr>
        <w:spacing w:line="240" w:lineRule="auto"/>
        <w:jc w:val="both"/>
        <w:rPr>
          <w:rFonts w:ascii="Times New Roman" w:hAnsi="Times New Roman" w:cs="Times New Roman"/>
          <w:sz w:val="24"/>
          <w:szCs w:val="24"/>
          <w:lang w:val="es-MX"/>
        </w:rPr>
      </w:pPr>
      <w:r w:rsidRPr="002D3EA1">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2CDB8C70" wp14:editId="7DA77F46">
                <wp:simplePos x="0" y="0"/>
                <wp:positionH relativeFrom="column">
                  <wp:posOffset>-228600</wp:posOffset>
                </wp:positionH>
                <wp:positionV relativeFrom="paragraph">
                  <wp:posOffset>295275</wp:posOffset>
                </wp:positionV>
                <wp:extent cx="5867400" cy="0"/>
                <wp:effectExtent l="99060" t="99695" r="24765" b="241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7DDFE" id="AutoShape 4" o:spid="_x0000_s1026" type="#_x0000_t32" style="position:absolute;margin-left:-18pt;margin-top:23.25pt;width:4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hb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" strokecolor="#f2f2f2 [3041]" strokeweight="3pt">
                <v:shadow on="t" color="#7f7f7f [1601]" opacity=".5" offset="-6pt,-6pt"/>
              </v:shape>
            </w:pict>
          </mc:Fallback>
        </mc:AlternateContent>
      </w:r>
    </w:p>
    <w:p w:rsidR="00EA4B93" w:rsidRPr="002D3EA1" w:rsidRDefault="00EA4B93" w:rsidP="00EA4B93">
      <w:pPr>
        <w:spacing w:after="0" w:line="240" w:lineRule="auto"/>
        <w:jc w:val="center"/>
        <w:rPr>
          <w:rFonts w:ascii="Times New Roman" w:hAnsi="Times New Roman" w:cs="Times New Roman"/>
          <w:b/>
          <w:sz w:val="24"/>
          <w:szCs w:val="24"/>
          <w:lang w:val="es-MX"/>
        </w:rPr>
      </w:pPr>
    </w:p>
    <w:p w:rsidR="004A0185" w:rsidRPr="002D3EA1" w:rsidRDefault="00EA4B93" w:rsidP="00EA4B9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 xml:space="preserve">Artículo 32 Bis </w:t>
      </w:r>
      <w:r w:rsidR="001F18CE" w:rsidRPr="002D3EA1">
        <w:rPr>
          <w:rFonts w:ascii="Times New Roman" w:hAnsi="Times New Roman" w:cs="Times New Roman"/>
          <w:b/>
          <w:sz w:val="24"/>
          <w:szCs w:val="24"/>
          <w:lang w:val="es-MX"/>
        </w:rPr>
        <w:t>del Decreto No. 101-97,</w:t>
      </w:r>
    </w:p>
    <w:p w:rsidR="00EA4B93" w:rsidRPr="002D3EA1" w:rsidRDefault="00EA4B93" w:rsidP="00EA4B9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Ley Orgánica del Presupuesto</w:t>
      </w:r>
      <w:r w:rsidR="001F18CE" w:rsidRPr="002D3EA1">
        <w:rPr>
          <w:rStyle w:val="Refdenotaalpie"/>
          <w:rFonts w:ascii="Times New Roman" w:hAnsi="Times New Roman" w:cs="Times New Roman"/>
          <w:b/>
          <w:sz w:val="24"/>
          <w:szCs w:val="24"/>
          <w:lang w:val="es-MX"/>
        </w:rPr>
        <w:footnoteReference w:id="1"/>
      </w:r>
    </w:p>
    <w:p w:rsidR="004A0185" w:rsidRPr="002D3EA1" w:rsidRDefault="004A0185" w:rsidP="00EA4B93">
      <w:pPr>
        <w:spacing w:after="0" w:line="240" w:lineRule="auto"/>
        <w:jc w:val="center"/>
        <w:rPr>
          <w:rFonts w:ascii="Times New Roman" w:hAnsi="Times New Roman" w:cs="Times New Roman"/>
          <w:b/>
          <w:sz w:val="24"/>
          <w:szCs w:val="24"/>
          <w:lang w:val="es-MX"/>
        </w:rPr>
      </w:pPr>
    </w:p>
    <w:p w:rsidR="00E724BC" w:rsidRPr="002D3EA1" w:rsidRDefault="00E724BC" w:rsidP="003E3173">
      <w:pPr>
        <w:jc w:val="both"/>
        <w:rPr>
          <w:rFonts w:ascii="Times New Roman" w:hAnsi="Times New Roman" w:cs="Times New Roman"/>
          <w:sz w:val="24"/>
          <w:szCs w:val="24"/>
        </w:rPr>
      </w:pPr>
      <w:r w:rsidRPr="002D3EA1">
        <w:rPr>
          <w:rFonts w:ascii="Times New Roman" w:hAnsi="Times New Roman" w:cs="Times New Roman"/>
          <w:b/>
          <w:sz w:val="24"/>
          <w:szCs w:val="24"/>
        </w:rPr>
        <w:t xml:space="preserve">“Artículo 32 Bis. Información de </w:t>
      </w:r>
      <w:r w:rsidR="002B30E3">
        <w:rPr>
          <w:rFonts w:ascii="Times New Roman" w:hAnsi="Times New Roman" w:cs="Times New Roman"/>
          <w:b/>
          <w:sz w:val="24"/>
          <w:szCs w:val="24"/>
        </w:rPr>
        <w:t>E</w:t>
      </w:r>
      <w:r w:rsidRPr="002D3EA1">
        <w:rPr>
          <w:rFonts w:ascii="Times New Roman" w:hAnsi="Times New Roman" w:cs="Times New Roman"/>
          <w:b/>
          <w:sz w:val="24"/>
          <w:szCs w:val="24"/>
        </w:rPr>
        <w:t>ntidades Receptoras de Transferencias</w:t>
      </w:r>
      <w:r w:rsidRPr="002D3EA1">
        <w:rPr>
          <w:rFonts w:ascii="Times New Roman" w:hAnsi="Times New Roman" w:cs="Times New Roman"/>
          <w:sz w:val="24"/>
          <w:szCs w:val="24"/>
        </w:rPr>
        <w:t xml:space="preserve">. </w:t>
      </w:r>
      <w:r w:rsidRPr="002D3EA1">
        <w:rPr>
          <w:rFonts w:ascii="Times New Roman" w:hAnsi="Times New Roman" w:cs="Times New Roman"/>
          <w:b/>
          <w:sz w:val="24"/>
          <w:szCs w:val="24"/>
          <w:u w:val="single"/>
        </w:rPr>
        <w:t>Los recursos públicos que se trasladen en calidad de aportes al sector privado y al sector externo</w:t>
      </w:r>
      <w:r w:rsidRPr="002D3EA1">
        <w:rPr>
          <w:rFonts w:ascii="Times New Roman" w:hAnsi="Times New Roman" w:cs="Times New Roman"/>
          <w:sz w:val="24"/>
          <w:szCs w:val="24"/>
        </w:rPr>
        <w:t>, se realizarán bajo responsabilidad de las entidades de la administración central, empresas públicas, entidades autónomas y descentralizadas otorgantes. Dichas entidades deberán registrar en el Sistema de Contabilidad Integrada (SICOIN), la información siguiente:</w:t>
      </w:r>
    </w:p>
    <w:p w:rsidR="00E724BC" w:rsidRPr="002D3EA1" w:rsidRDefault="00E724BC" w:rsidP="003E3173">
      <w:pPr>
        <w:pStyle w:val="Prrafodelista"/>
        <w:numPr>
          <w:ilvl w:val="0"/>
          <w:numId w:val="24"/>
        </w:numPr>
        <w:jc w:val="both"/>
        <w:rPr>
          <w:rFonts w:ascii="Times New Roman" w:hAnsi="Times New Roman" w:cs="Times New Roman"/>
          <w:sz w:val="24"/>
          <w:szCs w:val="24"/>
          <w:lang w:val="es-ES"/>
        </w:rPr>
      </w:pPr>
      <w:r w:rsidRPr="002D3EA1">
        <w:rPr>
          <w:rFonts w:ascii="Times New Roman" w:hAnsi="Times New Roman" w:cs="Times New Roman"/>
          <w:sz w:val="24"/>
          <w:szCs w:val="24"/>
          <w:lang w:val="es-ES"/>
        </w:rPr>
        <w:t>Nombre o razón social, nombre del representante legal y Número de Identificación Tributaria (NIT);</w:t>
      </w:r>
    </w:p>
    <w:p w:rsidR="00E724BC" w:rsidRPr="002D3EA1" w:rsidRDefault="00E724BC" w:rsidP="003E3173">
      <w:pPr>
        <w:pStyle w:val="Prrafodelista"/>
        <w:numPr>
          <w:ilvl w:val="0"/>
          <w:numId w:val="24"/>
        </w:numPr>
        <w:jc w:val="both"/>
        <w:rPr>
          <w:rFonts w:ascii="Times New Roman" w:hAnsi="Times New Roman" w:cs="Times New Roman"/>
          <w:sz w:val="24"/>
          <w:szCs w:val="24"/>
          <w:lang w:val="es-ES"/>
        </w:rPr>
      </w:pPr>
      <w:r w:rsidRPr="002D3EA1">
        <w:rPr>
          <w:rFonts w:ascii="Times New Roman" w:hAnsi="Times New Roman" w:cs="Times New Roman"/>
          <w:sz w:val="24"/>
          <w:szCs w:val="24"/>
          <w:lang w:val="es-ES"/>
        </w:rPr>
        <w:t>Número y fecha del convenio que ampara el traslado de recursos;</w:t>
      </w:r>
    </w:p>
    <w:p w:rsidR="00E724BC" w:rsidRPr="002D3EA1" w:rsidRDefault="00E724BC" w:rsidP="003E3173">
      <w:pPr>
        <w:pStyle w:val="Prrafodelista"/>
        <w:numPr>
          <w:ilvl w:val="0"/>
          <w:numId w:val="24"/>
        </w:numPr>
        <w:jc w:val="both"/>
        <w:rPr>
          <w:rFonts w:ascii="Times New Roman" w:hAnsi="Times New Roman" w:cs="Times New Roman"/>
          <w:sz w:val="24"/>
          <w:szCs w:val="24"/>
          <w:lang w:val="es-ES"/>
        </w:rPr>
      </w:pPr>
      <w:r w:rsidRPr="002D3EA1">
        <w:rPr>
          <w:rFonts w:ascii="Times New Roman" w:hAnsi="Times New Roman" w:cs="Times New Roman"/>
          <w:sz w:val="24"/>
          <w:szCs w:val="24"/>
          <w:lang w:val="es-ES"/>
        </w:rPr>
        <w:t>Monto de la transferencia;</w:t>
      </w:r>
    </w:p>
    <w:p w:rsidR="00E724BC" w:rsidRPr="002D3EA1" w:rsidRDefault="00E724BC" w:rsidP="003E3173">
      <w:pPr>
        <w:pStyle w:val="Prrafodelista"/>
        <w:numPr>
          <w:ilvl w:val="0"/>
          <w:numId w:val="24"/>
        </w:numPr>
        <w:jc w:val="both"/>
        <w:rPr>
          <w:rFonts w:ascii="Times New Roman" w:hAnsi="Times New Roman" w:cs="Times New Roman"/>
          <w:sz w:val="24"/>
          <w:szCs w:val="24"/>
          <w:lang w:val="es-ES"/>
        </w:rPr>
      </w:pPr>
      <w:r w:rsidRPr="002D3EA1">
        <w:rPr>
          <w:rFonts w:ascii="Times New Roman" w:hAnsi="Times New Roman" w:cs="Times New Roman"/>
          <w:sz w:val="24"/>
          <w:szCs w:val="24"/>
          <w:lang w:val="es-ES"/>
        </w:rPr>
        <w:t>Objetivos, metas e indicadores de resultados; y</w:t>
      </w:r>
    </w:p>
    <w:p w:rsidR="00E724BC" w:rsidRPr="002D3EA1" w:rsidRDefault="00E724BC" w:rsidP="003E3173">
      <w:pPr>
        <w:pStyle w:val="Prrafodelista"/>
        <w:numPr>
          <w:ilvl w:val="0"/>
          <w:numId w:val="24"/>
        </w:numPr>
        <w:jc w:val="both"/>
        <w:rPr>
          <w:rFonts w:ascii="Times New Roman" w:hAnsi="Times New Roman" w:cs="Times New Roman"/>
          <w:sz w:val="24"/>
          <w:szCs w:val="24"/>
          <w:lang w:val="es-ES"/>
        </w:rPr>
      </w:pPr>
      <w:r w:rsidRPr="002D3EA1">
        <w:rPr>
          <w:rFonts w:ascii="Times New Roman" w:hAnsi="Times New Roman" w:cs="Times New Roman"/>
          <w:sz w:val="24"/>
          <w:szCs w:val="24"/>
          <w:lang w:val="es-ES"/>
        </w:rPr>
        <w:t>Número y fecha de la resolución por medio de la cual se aprueba la programación y reprogramaciones.</w:t>
      </w:r>
    </w:p>
    <w:p w:rsidR="00E724BC" w:rsidRPr="002D3EA1" w:rsidRDefault="00E724BC" w:rsidP="003E3173">
      <w:pPr>
        <w:jc w:val="both"/>
        <w:rPr>
          <w:rFonts w:ascii="Times New Roman" w:hAnsi="Times New Roman" w:cs="Times New Roman"/>
          <w:sz w:val="24"/>
          <w:szCs w:val="24"/>
        </w:rPr>
      </w:pPr>
      <w:r w:rsidRPr="002D3EA1">
        <w:rPr>
          <w:rFonts w:ascii="Times New Roman" w:hAnsi="Times New Roman" w:cs="Times New Roman"/>
          <w:sz w:val="24"/>
          <w:szCs w:val="24"/>
        </w:rPr>
        <w:t>La programación deberá registrarse a más tardar el treinta y uno (31) de enero del ejercicio fiscal en curso.</w:t>
      </w:r>
    </w:p>
    <w:p w:rsidR="00BC6DF9" w:rsidRPr="002D3EA1" w:rsidRDefault="00E724BC" w:rsidP="003E3173">
      <w:pPr>
        <w:jc w:val="both"/>
        <w:rPr>
          <w:rFonts w:ascii="Times New Roman" w:hAnsi="Times New Roman" w:cs="Times New Roman"/>
          <w:sz w:val="24"/>
          <w:szCs w:val="24"/>
        </w:rPr>
      </w:pPr>
      <w:r w:rsidRPr="002D3EA1">
        <w:rPr>
          <w:rFonts w:ascii="Times New Roman" w:hAnsi="Times New Roman" w:cs="Times New Roman"/>
          <w:sz w:val="24"/>
          <w:szCs w:val="24"/>
        </w:rPr>
        <w:t>Las reprogramaciones que surjan en la ejecución deben ser notificadas a la Dirección Técnica del Presupuesto del Ministerio de Finanzas Públicas, a</w:t>
      </w:r>
      <w:r w:rsidR="00EE19DB" w:rsidRPr="002D3EA1">
        <w:rPr>
          <w:rFonts w:ascii="Times New Roman" w:hAnsi="Times New Roman" w:cs="Times New Roman"/>
          <w:sz w:val="24"/>
          <w:szCs w:val="24"/>
        </w:rPr>
        <w:t>l</w:t>
      </w:r>
      <w:r w:rsidRPr="002D3EA1">
        <w:rPr>
          <w:rFonts w:ascii="Times New Roman" w:hAnsi="Times New Roman" w:cs="Times New Roman"/>
          <w:sz w:val="24"/>
          <w:szCs w:val="24"/>
        </w:rPr>
        <w:t xml:space="preserve"> Congreso de la República y a la Contraloría General de Cuentas dentro de los diez (10) días de haberse emitido la resolución que las autorizó.  </w:t>
      </w:r>
      <w:r w:rsidRPr="002D3EA1">
        <w:rPr>
          <w:rFonts w:ascii="Times New Roman" w:hAnsi="Times New Roman" w:cs="Times New Roman"/>
          <w:b/>
          <w:sz w:val="24"/>
          <w:szCs w:val="24"/>
          <w:u w:val="single"/>
        </w:rPr>
        <w:t>Asimismo, las entidades receptoras de fondos públicos deben presentar mensualmente a la Contraloría General de Cuentas, al Congreso de la República y al Ministerio de Finanzas Públicas, informes de avance físico y financiero de la ejecución de los recursos, así como de los objetivos, metas alcanzadas y población beneficiada, de acuerdo al formato establecido</w:t>
      </w:r>
      <w:r w:rsidRPr="002D3EA1">
        <w:rPr>
          <w:rFonts w:ascii="Times New Roman" w:hAnsi="Times New Roman" w:cs="Times New Roman"/>
          <w:sz w:val="24"/>
          <w:szCs w:val="24"/>
        </w:rPr>
        <w:t>.”</w:t>
      </w:r>
      <w:r w:rsidR="00BC6DF9" w:rsidRPr="002D3EA1">
        <w:rPr>
          <w:rFonts w:ascii="Times New Roman" w:hAnsi="Times New Roman" w:cs="Times New Roman"/>
          <w:sz w:val="24"/>
          <w:szCs w:val="24"/>
        </w:rPr>
        <w:t xml:space="preserve"> </w:t>
      </w:r>
    </w:p>
    <w:p w:rsidR="00EA4B93" w:rsidRPr="002D3EA1" w:rsidRDefault="00BC6DF9" w:rsidP="003E3173">
      <w:pPr>
        <w:jc w:val="both"/>
        <w:rPr>
          <w:rFonts w:ascii="Times New Roman" w:hAnsi="Times New Roman" w:cs="Times New Roman"/>
          <w:sz w:val="24"/>
          <w:szCs w:val="24"/>
        </w:rPr>
      </w:pPr>
      <w:r w:rsidRPr="002D3EA1">
        <w:rPr>
          <w:rFonts w:ascii="Times New Roman" w:hAnsi="Times New Roman" w:cs="Times New Roman"/>
          <w:sz w:val="24"/>
          <w:szCs w:val="24"/>
        </w:rPr>
        <w:t>(Énfasis propio)</w:t>
      </w:r>
    </w:p>
    <w:p w:rsidR="00EA4B93" w:rsidRPr="002D3EA1" w:rsidRDefault="004F1119" w:rsidP="003E3173">
      <w:pPr>
        <w:jc w:val="both"/>
        <w:rPr>
          <w:rFonts w:ascii="Times New Roman" w:hAnsi="Times New Roman" w:cs="Times New Roman"/>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CA916D" wp14:editId="7F39B2C6">
                <wp:simplePos x="0" y="0"/>
                <wp:positionH relativeFrom="column">
                  <wp:posOffset>-176530</wp:posOffset>
                </wp:positionH>
                <wp:positionV relativeFrom="paragraph">
                  <wp:posOffset>66675</wp:posOffset>
                </wp:positionV>
                <wp:extent cx="5867400" cy="0"/>
                <wp:effectExtent l="103505" t="99060" r="20320" b="2476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56EC" id="AutoShape 7" o:spid="_x0000_s1026" type="#_x0000_t32" style="position:absolute;margin-left:-13.9pt;margin-top:5.25pt;width:4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lk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" strokecolor="#f2f2f2 [3041]" strokeweight="3pt">
                <v:shadow on="t" color="#7f7f7f [1601]" opacity=".5" offset="-6pt,-6pt"/>
              </v:shape>
            </w:pict>
          </mc:Fallback>
        </mc:AlternateContent>
      </w:r>
      <w:r w:rsidR="00EA4B93" w:rsidRPr="002D3EA1">
        <w:rPr>
          <w:rFonts w:ascii="Times New Roman" w:hAnsi="Times New Roman" w:cs="Times New Roman"/>
          <w:sz w:val="24"/>
          <w:szCs w:val="24"/>
        </w:rPr>
        <w:br w:type="page"/>
      </w:r>
    </w:p>
    <w:p w:rsidR="00674F69" w:rsidRPr="002D3EA1" w:rsidRDefault="004F1119" w:rsidP="00674F69">
      <w:pPr>
        <w:spacing w:line="240" w:lineRule="auto"/>
        <w:jc w:val="both"/>
        <w:rPr>
          <w:rFonts w:ascii="Times New Roman" w:hAnsi="Times New Roman" w:cs="Times New Roman"/>
          <w:sz w:val="24"/>
          <w:szCs w:val="24"/>
          <w:lang w:val="es-MX"/>
        </w:rPr>
      </w:pPr>
      <w:r w:rsidRPr="002D3EA1">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638C4E43" wp14:editId="18A355C1">
                <wp:simplePos x="0" y="0"/>
                <wp:positionH relativeFrom="column">
                  <wp:posOffset>-121285</wp:posOffset>
                </wp:positionH>
                <wp:positionV relativeFrom="paragraph">
                  <wp:posOffset>289560</wp:posOffset>
                </wp:positionV>
                <wp:extent cx="5867400" cy="0"/>
                <wp:effectExtent l="101600" t="103505" r="22225" b="203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DD750" id="AutoShape 3" o:spid="_x0000_s1026" type="#_x0000_t32" style="position:absolute;margin-left:-9.55pt;margin-top:22.8pt;width:4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hW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" strokecolor="#f2f2f2 [3041]" strokeweight="3pt">
                <v:shadow on="t" color="#7f7f7f [1601]" opacity=".5" offset="-6pt,-6pt"/>
              </v:shape>
            </w:pict>
          </mc:Fallback>
        </mc:AlternateContent>
      </w:r>
    </w:p>
    <w:p w:rsidR="00674F69" w:rsidRPr="002D3EA1" w:rsidRDefault="00674F69" w:rsidP="00674F69">
      <w:pPr>
        <w:spacing w:after="0" w:line="240" w:lineRule="auto"/>
        <w:jc w:val="center"/>
        <w:rPr>
          <w:rFonts w:ascii="Times New Roman" w:hAnsi="Times New Roman" w:cs="Times New Roman"/>
          <w:b/>
          <w:sz w:val="24"/>
          <w:szCs w:val="24"/>
          <w:lang w:val="es-MX"/>
        </w:rPr>
      </w:pPr>
    </w:p>
    <w:p w:rsidR="00BE2603" w:rsidRPr="002D3EA1" w:rsidRDefault="00BE2603" w:rsidP="000809F7">
      <w:pPr>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Artículo 65 del Decreto No. 14-2015</w:t>
      </w:r>
    </w:p>
    <w:p w:rsidR="000809F7" w:rsidRPr="002D3EA1" w:rsidRDefault="000809F7" w:rsidP="00BE2603">
      <w:pPr>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Ley de</w:t>
      </w:r>
      <w:r w:rsidR="00BE2603" w:rsidRPr="002D3EA1">
        <w:rPr>
          <w:rFonts w:ascii="Times New Roman" w:hAnsi="Times New Roman" w:cs="Times New Roman"/>
          <w:b/>
          <w:sz w:val="24"/>
          <w:szCs w:val="24"/>
          <w:lang w:val="es-MX"/>
        </w:rPr>
        <w:t>l Presupuesto General de Ingresos y Egresos del Estado para el Ejercicio Fiscal 2016</w:t>
      </w:r>
    </w:p>
    <w:p w:rsidR="000B64B8" w:rsidRPr="002D3EA1" w:rsidRDefault="000B64B8" w:rsidP="000809F7">
      <w:pPr>
        <w:jc w:val="both"/>
        <w:rPr>
          <w:rFonts w:ascii="Times New Roman" w:hAnsi="Times New Roman" w:cs="Times New Roman"/>
          <w:b/>
          <w:sz w:val="24"/>
          <w:szCs w:val="24"/>
        </w:rPr>
      </w:pPr>
    </w:p>
    <w:p w:rsidR="000809F7" w:rsidRPr="002D3EA1" w:rsidRDefault="00BE2603" w:rsidP="000809F7">
      <w:pPr>
        <w:jc w:val="both"/>
        <w:rPr>
          <w:rFonts w:ascii="Times New Roman" w:hAnsi="Times New Roman" w:cs="Times New Roman"/>
          <w:sz w:val="24"/>
          <w:szCs w:val="24"/>
          <w:lang w:val="es-MX"/>
        </w:rPr>
      </w:pPr>
      <w:r w:rsidRPr="002D3EA1">
        <w:rPr>
          <w:rFonts w:ascii="Times New Roman" w:hAnsi="Times New Roman" w:cs="Times New Roman"/>
          <w:b/>
          <w:sz w:val="24"/>
          <w:szCs w:val="24"/>
        </w:rPr>
        <w:t>Artículo 65</w:t>
      </w:r>
      <w:r w:rsidR="000809F7" w:rsidRPr="002D3EA1">
        <w:rPr>
          <w:rFonts w:ascii="Times New Roman" w:hAnsi="Times New Roman" w:cs="Times New Roman"/>
          <w:b/>
          <w:sz w:val="24"/>
          <w:szCs w:val="24"/>
        </w:rPr>
        <w:t xml:space="preserve">. </w:t>
      </w:r>
      <w:r w:rsidRPr="002D3EA1">
        <w:rPr>
          <w:rFonts w:ascii="Times New Roman" w:hAnsi="Times New Roman" w:cs="Times New Roman"/>
          <w:b/>
          <w:sz w:val="24"/>
          <w:szCs w:val="24"/>
        </w:rPr>
        <w:t>Transparencia en subsidios y subvenciones otorgadas por el Estado.</w:t>
      </w:r>
      <w:r w:rsidRPr="002D3EA1">
        <w:rPr>
          <w:rFonts w:ascii="Times New Roman" w:hAnsi="Times New Roman" w:cs="Times New Roman"/>
          <w:sz w:val="24"/>
          <w:szCs w:val="24"/>
          <w:lang w:val="es-MX"/>
        </w:rPr>
        <w:t xml:space="preserve"> </w:t>
      </w:r>
      <w:r w:rsidR="00A92ADD" w:rsidRPr="002D3EA1">
        <w:rPr>
          <w:rFonts w:ascii="Times New Roman" w:hAnsi="Times New Roman" w:cs="Times New Roman"/>
          <w:b/>
          <w:sz w:val="24"/>
          <w:szCs w:val="24"/>
          <w:u w:val="single"/>
          <w:lang w:val="es-MX"/>
        </w:rPr>
        <w:t xml:space="preserve">El Ministerio de Finanzas </w:t>
      </w:r>
      <w:r w:rsidR="00061108" w:rsidRPr="002D3EA1">
        <w:rPr>
          <w:rFonts w:ascii="Times New Roman" w:hAnsi="Times New Roman" w:cs="Times New Roman"/>
          <w:b/>
          <w:sz w:val="24"/>
          <w:szCs w:val="24"/>
          <w:u w:val="single"/>
          <w:lang w:val="es-MX"/>
        </w:rPr>
        <w:t>Públicas</w:t>
      </w:r>
      <w:r w:rsidR="00A92ADD" w:rsidRPr="002D3EA1">
        <w:rPr>
          <w:rFonts w:ascii="Times New Roman" w:hAnsi="Times New Roman" w:cs="Times New Roman"/>
          <w:b/>
          <w:sz w:val="24"/>
          <w:szCs w:val="24"/>
          <w:u w:val="single"/>
          <w:lang w:val="es-MX"/>
        </w:rPr>
        <w:t xml:space="preserve"> deberá emitir a más tardar el 1 de abril </w:t>
      </w:r>
      <w:r w:rsidR="00061108" w:rsidRPr="002D3EA1">
        <w:rPr>
          <w:rFonts w:ascii="Times New Roman" w:hAnsi="Times New Roman" w:cs="Times New Roman"/>
          <w:b/>
          <w:sz w:val="24"/>
          <w:szCs w:val="24"/>
          <w:u w:val="single"/>
          <w:lang w:val="es-MX"/>
        </w:rPr>
        <w:t xml:space="preserve">del ejercicio fiscal 2016, un Reglamento de Manejo de </w:t>
      </w:r>
      <w:r w:rsidR="00494C76">
        <w:rPr>
          <w:rFonts w:ascii="Times New Roman" w:hAnsi="Times New Roman" w:cs="Times New Roman"/>
          <w:b/>
          <w:sz w:val="24"/>
          <w:szCs w:val="24"/>
          <w:u w:val="single"/>
          <w:lang w:val="es-MX"/>
        </w:rPr>
        <w:t>S</w:t>
      </w:r>
      <w:r w:rsidR="00061108" w:rsidRPr="002D3EA1">
        <w:rPr>
          <w:rFonts w:ascii="Times New Roman" w:hAnsi="Times New Roman" w:cs="Times New Roman"/>
          <w:b/>
          <w:sz w:val="24"/>
          <w:szCs w:val="24"/>
          <w:u w:val="single"/>
          <w:lang w:val="es-MX"/>
        </w:rPr>
        <w:t>ubsidios y Subvenciones</w:t>
      </w:r>
      <w:r w:rsidR="00061108" w:rsidRPr="002D3EA1">
        <w:rPr>
          <w:rFonts w:ascii="Times New Roman" w:hAnsi="Times New Roman" w:cs="Times New Roman"/>
          <w:sz w:val="24"/>
          <w:szCs w:val="24"/>
          <w:lang w:val="es-MX"/>
        </w:rPr>
        <w:t xml:space="preserve">, el cual debe contener los lineamientos que deberán de observarse y adoptarse por todos los programas y </w:t>
      </w:r>
      <w:r w:rsidR="00984718" w:rsidRPr="002D3EA1">
        <w:rPr>
          <w:rFonts w:ascii="Times New Roman" w:hAnsi="Times New Roman" w:cs="Times New Roman"/>
          <w:sz w:val="24"/>
          <w:szCs w:val="24"/>
          <w:lang w:val="es-MX"/>
        </w:rPr>
        <w:t>proyectos</w:t>
      </w:r>
      <w:r w:rsidR="00061108" w:rsidRPr="002D3EA1">
        <w:rPr>
          <w:rFonts w:ascii="Times New Roman" w:hAnsi="Times New Roman" w:cs="Times New Roman"/>
          <w:sz w:val="24"/>
          <w:szCs w:val="24"/>
          <w:lang w:val="es-MX"/>
        </w:rPr>
        <w:t xml:space="preserve"> que incluyan subsidios y subvenciones del Estado, con el objeto de facilitar su evaluación y mejorar la gestión y administración de los mismos. Se consideran elementos básicos para la evaluación de los programas y proyectos indicados, la identificación, registro y seguimiento de beneficiarios</w:t>
      </w:r>
      <w:r w:rsidR="00F425EB" w:rsidRPr="002D3EA1">
        <w:rPr>
          <w:rFonts w:ascii="Times New Roman" w:hAnsi="Times New Roman" w:cs="Times New Roman"/>
          <w:sz w:val="24"/>
          <w:szCs w:val="24"/>
          <w:lang w:val="es-MX"/>
        </w:rPr>
        <w:t>;</w:t>
      </w:r>
      <w:r w:rsidR="00061108" w:rsidRPr="002D3EA1">
        <w:rPr>
          <w:rFonts w:ascii="Times New Roman" w:hAnsi="Times New Roman" w:cs="Times New Roman"/>
          <w:sz w:val="24"/>
          <w:szCs w:val="24"/>
          <w:lang w:val="es-MX"/>
        </w:rPr>
        <w:t xml:space="preserve"> sistemas de información de monitoreo y evaluación de impacto</w:t>
      </w:r>
      <w:r w:rsidR="00F425EB" w:rsidRPr="002D3EA1">
        <w:rPr>
          <w:rFonts w:ascii="Times New Roman" w:hAnsi="Times New Roman" w:cs="Times New Roman"/>
          <w:sz w:val="24"/>
          <w:szCs w:val="24"/>
          <w:lang w:val="es-MX"/>
        </w:rPr>
        <w:t>;</w:t>
      </w:r>
      <w:r w:rsidR="00061108" w:rsidRPr="002D3EA1">
        <w:rPr>
          <w:rFonts w:ascii="Times New Roman" w:hAnsi="Times New Roman" w:cs="Times New Roman"/>
          <w:sz w:val="24"/>
          <w:szCs w:val="24"/>
          <w:lang w:val="es-MX"/>
        </w:rPr>
        <w:t xml:space="preserve"> periodicidad y programación de las evaluaciones</w:t>
      </w:r>
      <w:r w:rsidR="00F425EB" w:rsidRPr="002D3EA1">
        <w:rPr>
          <w:rFonts w:ascii="Times New Roman" w:hAnsi="Times New Roman" w:cs="Times New Roman"/>
          <w:sz w:val="24"/>
          <w:szCs w:val="24"/>
          <w:lang w:val="es-MX"/>
        </w:rPr>
        <w:t>;</w:t>
      </w:r>
      <w:r w:rsidR="00061108" w:rsidRPr="002D3EA1">
        <w:rPr>
          <w:rFonts w:ascii="Times New Roman" w:hAnsi="Times New Roman" w:cs="Times New Roman"/>
          <w:sz w:val="24"/>
          <w:szCs w:val="24"/>
          <w:lang w:val="es-MX"/>
        </w:rPr>
        <w:t xml:space="preserve"> y los mecanismos que garanticen acceso a la información de usuarios potenciales y efectivos, así como a órganos de control y fiscalización.</w:t>
      </w:r>
    </w:p>
    <w:p w:rsidR="00061108" w:rsidRPr="002D3EA1" w:rsidRDefault="00D1182C" w:rsidP="000809F7">
      <w:pPr>
        <w:jc w:val="both"/>
        <w:rPr>
          <w:rFonts w:ascii="Times New Roman" w:hAnsi="Times New Roman" w:cs="Times New Roman"/>
          <w:sz w:val="24"/>
          <w:szCs w:val="24"/>
          <w:lang w:val="es-MX"/>
        </w:rPr>
      </w:pPr>
      <w:r w:rsidRPr="002D3EA1">
        <w:rPr>
          <w:rFonts w:ascii="Times New Roman" w:hAnsi="Times New Roman" w:cs="Times New Roman"/>
          <w:b/>
          <w:sz w:val="24"/>
          <w:szCs w:val="24"/>
          <w:u w:val="single"/>
          <w:lang w:val="es-MX"/>
        </w:rPr>
        <w:t>Todos los programas y proyectos al sector privado</w:t>
      </w:r>
      <w:r w:rsidRPr="002D3EA1">
        <w:rPr>
          <w:rFonts w:ascii="Times New Roman" w:hAnsi="Times New Roman" w:cs="Times New Roman"/>
          <w:sz w:val="24"/>
          <w:szCs w:val="24"/>
          <w:lang w:val="es-MX"/>
        </w:rPr>
        <w:t xml:space="preserve">, deberán contar con mecanismos de evaluación de impacto por parte de las instancias gubernamentales correspondientes. Los programas incluidos a Obligaciones del Estado a Cargo del Tesoro, deberán ser evaluados y supervisados por la Secretaría de Planificación y </w:t>
      </w:r>
      <w:r w:rsidR="00494C76">
        <w:rPr>
          <w:rFonts w:ascii="Times New Roman" w:hAnsi="Times New Roman" w:cs="Times New Roman"/>
          <w:sz w:val="24"/>
          <w:szCs w:val="24"/>
          <w:lang w:val="es-MX"/>
        </w:rPr>
        <w:t>P</w:t>
      </w:r>
      <w:r w:rsidRPr="002D3EA1">
        <w:rPr>
          <w:rFonts w:ascii="Times New Roman" w:hAnsi="Times New Roman" w:cs="Times New Roman"/>
          <w:sz w:val="24"/>
          <w:szCs w:val="24"/>
          <w:lang w:val="es-MX"/>
        </w:rPr>
        <w:t xml:space="preserve">rogramación de la Presidencia </w:t>
      </w:r>
      <w:r w:rsidR="00494C76">
        <w:rPr>
          <w:rFonts w:ascii="Times New Roman" w:hAnsi="Times New Roman" w:cs="Times New Roman"/>
          <w:sz w:val="24"/>
          <w:szCs w:val="24"/>
          <w:lang w:val="es-MX"/>
        </w:rPr>
        <w:t>-</w:t>
      </w:r>
      <w:r w:rsidRPr="002D3EA1">
        <w:rPr>
          <w:rFonts w:ascii="Times New Roman" w:hAnsi="Times New Roman" w:cs="Times New Roman"/>
          <w:sz w:val="24"/>
          <w:szCs w:val="24"/>
          <w:lang w:val="es-MX"/>
        </w:rPr>
        <w:t>SEGEPLAN-.</w:t>
      </w:r>
    </w:p>
    <w:p w:rsidR="00D1182C" w:rsidRPr="002D3EA1" w:rsidRDefault="00EA02C6"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Sin excepción, </w:t>
      </w:r>
      <w:r w:rsidRPr="002D3EA1">
        <w:rPr>
          <w:rFonts w:ascii="Times New Roman" w:hAnsi="Times New Roman" w:cs="Times New Roman"/>
          <w:b/>
          <w:sz w:val="24"/>
          <w:szCs w:val="24"/>
          <w:u w:val="single"/>
          <w:lang w:val="es-MX"/>
        </w:rPr>
        <w:t>todos los beneficiarios que sean personas jurídicas receptoras de subsidios o subvenciones, deberán celebrar un convenio entre la entidad pública que hace el desembolso y la entidad que lo recibe</w:t>
      </w:r>
      <w:r w:rsidRPr="002D3EA1">
        <w:rPr>
          <w:rFonts w:ascii="Times New Roman" w:hAnsi="Times New Roman" w:cs="Times New Roman"/>
          <w:sz w:val="24"/>
          <w:szCs w:val="24"/>
          <w:lang w:val="es-MX"/>
        </w:rPr>
        <w:t>, el cual contendrá como mínimo las disposiciones establecidas en el artículo 32 Bis de la presente Ley</w:t>
      </w:r>
      <w:r w:rsidR="00B86F63" w:rsidRPr="002D3EA1">
        <w:rPr>
          <w:rStyle w:val="Refdenotaalpie"/>
          <w:rFonts w:ascii="Times New Roman" w:hAnsi="Times New Roman" w:cs="Times New Roman"/>
          <w:sz w:val="24"/>
          <w:szCs w:val="24"/>
          <w:lang w:val="es-MX"/>
        </w:rPr>
        <w:footnoteReference w:id="2"/>
      </w:r>
      <w:r w:rsidRPr="002D3EA1">
        <w:rPr>
          <w:rFonts w:ascii="Times New Roman" w:hAnsi="Times New Roman" w:cs="Times New Roman"/>
          <w:sz w:val="24"/>
          <w:szCs w:val="24"/>
          <w:lang w:val="es-MX"/>
        </w:rPr>
        <w:t>, en lo que sea aplicable, así como una cláusula en la cual la entidad pública que realiza el desembolso es corresponsable jurídicamente en cuanto al manejo transparente, racional y pertinente de los recursos públicos, y se obliga a la verificación del uso adecuado de los mismos. Para efectos de la presente disposición, las donaci</w:t>
      </w:r>
      <w:r w:rsidR="00034964" w:rsidRPr="002D3EA1">
        <w:rPr>
          <w:rFonts w:ascii="Times New Roman" w:hAnsi="Times New Roman" w:cs="Times New Roman"/>
          <w:sz w:val="24"/>
          <w:szCs w:val="24"/>
          <w:lang w:val="es-MX"/>
        </w:rPr>
        <w:t>ones y subvenciones cargadas a O</w:t>
      </w:r>
      <w:r w:rsidRPr="002D3EA1">
        <w:rPr>
          <w:rFonts w:ascii="Times New Roman" w:hAnsi="Times New Roman" w:cs="Times New Roman"/>
          <w:sz w:val="24"/>
          <w:szCs w:val="24"/>
          <w:lang w:val="es-MX"/>
        </w:rPr>
        <w:t>bligaciones del Estado a Cargo del Tesoro estarán a cargo de</w:t>
      </w:r>
      <w:r w:rsidR="00494C76">
        <w:rPr>
          <w:rFonts w:ascii="Times New Roman" w:hAnsi="Times New Roman" w:cs="Times New Roman"/>
          <w:sz w:val="24"/>
          <w:szCs w:val="24"/>
          <w:lang w:val="es-MX"/>
        </w:rPr>
        <w:t>l</w:t>
      </w:r>
      <w:r w:rsidRPr="002D3EA1">
        <w:rPr>
          <w:rFonts w:ascii="Times New Roman" w:hAnsi="Times New Roman" w:cs="Times New Roman"/>
          <w:sz w:val="24"/>
          <w:szCs w:val="24"/>
          <w:lang w:val="es-MX"/>
        </w:rPr>
        <w:t xml:space="preserve"> Ministerio de Finanzas Públicas.</w:t>
      </w:r>
    </w:p>
    <w:p w:rsidR="00EA02C6" w:rsidRPr="002D3EA1" w:rsidRDefault="000F2B5A"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En el caso </w:t>
      </w:r>
      <w:r w:rsidR="005F313D" w:rsidRPr="002D3EA1">
        <w:rPr>
          <w:rFonts w:ascii="Times New Roman" w:hAnsi="Times New Roman" w:cs="Times New Roman"/>
          <w:sz w:val="24"/>
          <w:szCs w:val="24"/>
          <w:lang w:val="es-MX"/>
        </w:rPr>
        <w:t>de subvenciones o subsidios para personas individuales, la entidad pública a cargo deberá establecer los mecanismos que considere convenientes que aseguren el adecuado uso de los recursos, de acuerdo con los planes y metas del programa correspondiente, así como la implementación de mecanismos de fiscalización y evaluación.</w:t>
      </w:r>
    </w:p>
    <w:p w:rsidR="00F370B4" w:rsidRPr="002D3EA1" w:rsidRDefault="00AA45C4"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lastRenderedPageBreak/>
        <w:t xml:space="preserve">En forma general, </w:t>
      </w:r>
      <w:r w:rsidRPr="002D3EA1">
        <w:rPr>
          <w:rFonts w:ascii="Times New Roman" w:hAnsi="Times New Roman" w:cs="Times New Roman"/>
          <w:b/>
          <w:sz w:val="24"/>
          <w:szCs w:val="24"/>
          <w:u w:val="single"/>
          <w:lang w:val="es-MX"/>
        </w:rPr>
        <w:t>se entenderá por subsidio a todas las transferencias y asignaciones</w:t>
      </w:r>
      <w:r w:rsidRPr="002D3EA1">
        <w:rPr>
          <w:rFonts w:ascii="Times New Roman" w:hAnsi="Times New Roman" w:cs="Times New Roman"/>
          <w:sz w:val="24"/>
          <w:szCs w:val="24"/>
          <w:lang w:val="es-MX"/>
        </w:rPr>
        <w:t xml:space="preserve"> contempladas en el </w:t>
      </w:r>
      <w:r w:rsidR="00F370B4" w:rsidRPr="002D3EA1">
        <w:rPr>
          <w:rFonts w:ascii="Times New Roman" w:hAnsi="Times New Roman" w:cs="Times New Roman"/>
          <w:sz w:val="24"/>
          <w:szCs w:val="24"/>
          <w:lang w:val="es-MX"/>
        </w:rPr>
        <w:t>P</w:t>
      </w:r>
      <w:r w:rsidRPr="002D3EA1">
        <w:rPr>
          <w:rFonts w:ascii="Times New Roman" w:hAnsi="Times New Roman" w:cs="Times New Roman"/>
          <w:sz w:val="24"/>
          <w:szCs w:val="24"/>
          <w:lang w:val="es-MX"/>
        </w:rPr>
        <w:t xml:space="preserve">resupuesto General de Ingresos y Egresos del Estado, imputables directamente a programas o no, con el propósito de: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apoyar sus operaciones;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mantener los niveles en los precios;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apoyar el consumo, la distribución y comercialización de los bienes;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motivar la inversión;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cubrir impactos </w:t>
      </w:r>
      <w:r w:rsidR="00F370B4" w:rsidRPr="002D3EA1">
        <w:rPr>
          <w:rFonts w:ascii="Times New Roman" w:hAnsi="Times New Roman" w:cs="Times New Roman"/>
          <w:sz w:val="24"/>
          <w:szCs w:val="24"/>
          <w:lang w:val="es-MX"/>
        </w:rPr>
        <w:t>financieros</w:t>
      </w:r>
      <w:r w:rsidRPr="002D3EA1">
        <w:rPr>
          <w:rFonts w:ascii="Times New Roman" w:hAnsi="Times New Roman" w:cs="Times New Roman"/>
          <w:sz w:val="24"/>
          <w:szCs w:val="24"/>
          <w:lang w:val="es-MX"/>
        </w:rPr>
        <w:t xml:space="preserve">; </w:t>
      </w:r>
    </w:p>
    <w:p w:rsidR="00F370B4" w:rsidRPr="002D3EA1" w:rsidRDefault="00AA45C4" w:rsidP="00BC6DF9">
      <w:pPr>
        <w:pStyle w:val="Prrafodelista"/>
        <w:numPr>
          <w:ilvl w:val="0"/>
          <w:numId w:val="25"/>
        </w:numPr>
        <w:spacing w:after="0" w:line="240" w:lineRule="auto"/>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fomento de actividades agropecuarias, industriales o de servicios;</w:t>
      </w:r>
    </w:p>
    <w:p w:rsidR="00F370B4" w:rsidRPr="002D3EA1" w:rsidRDefault="00F370B4" w:rsidP="00F370B4">
      <w:pPr>
        <w:pStyle w:val="Prrafodelista"/>
        <w:spacing w:after="0" w:line="240" w:lineRule="auto"/>
        <w:ind w:left="0"/>
        <w:rPr>
          <w:rFonts w:ascii="Times New Roman" w:hAnsi="Times New Roman" w:cs="Times New Roman"/>
          <w:sz w:val="24"/>
          <w:szCs w:val="24"/>
          <w:lang w:val="es-MX"/>
        </w:rPr>
      </w:pPr>
    </w:p>
    <w:p w:rsidR="00AA45C4" w:rsidRPr="002D3EA1" w:rsidRDefault="00494C76" w:rsidP="000809F7">
      <w:pPr>
        <w:jc w:val="both"/>
        <w:rPr>
          <w:rFonts w:ascii="Times New Roman" w:hAnsi="Times New Roman" w:cs="Times New Roman"/>
          <w:sz w:val="24"/>
          <w:szCs w:val="24"/>
          <w:lang w:val="es-MX"/>
        </w:rPr>
      </w:pPr>
      <w:r>
        <w:rPr>
          <w:rFonts w:ascii="Times New Roman" w:hAnsi="Times New Roman" w:cs="Times New Roman"/>
          <w:b/>
          <w:sz w:val="24"/>
          <w:szCs w:val="24"/>
          <w:u w:val="single"/>
          <w:lang w:val="es-MX"/>
        </w:rPr>
        <w:t>D</w:t>
      </w:r>
      <w:r w:rsidR="00AA45C4" w:rsidRPr="002D3EA1">
        <w:rPr>
          <w:rFonts w:ascii="Times New Roman" w:hAnsi="Times New Roman" w:cs="Times New Roman"/>
          <w:b/>
          <w:sz w:val="24"/>
          <w:szCs w:val="24"/>
          <w:u w:val="single"/>
          <w:lang w:val="es-MX"/>
        </w:rPr>
        <w:t xml:space="preserve">e igual forma se consideran subsidios el </w:t>
      </w:r>
      <w:r w:rsidR="00F370B4" w:rsidRPr="002D3EA1">
        <w:rPr>
          <w:rFonts w:ascii="Times New Roman" w:hAnsi="Times New Roman" w:cs="Times New Roman"/>
          <w:b/>
          <w:sz w:val="24"/>
          <w:szCs w:val="24"/>
          <w:u w:val="single"/>
          <w:lang w:val="es-MX"/>
        </w:rPr>
        <w:t>gasto</w:t>
      </w:r>
      <w:r w:rsidR="00AA45C4" w:rsidRPr="002D3EA1">
        <w:rPr>
          <w:rFonts w:ascii="Times New Roman" w:hAnsi="Times New Roman" w:cs="Times New Roman"/>
          <w:b/>
          <w:sz w:val="24"/>
          <w:szCs w:val="24"/>
          <w:u w:val="single"/>
          <w:lang w:val="es-MX"/>
        </w:rPr>
        <w:t xml:space="preserve"> público de transferencia</w:t>
      </w:r>
      <w:r>
        <w:rPr>
          <w:rFonts w:ascii="Times New Roman" w:hAnsi="Times New Roman" w:cs="Times New Roman"/>
          <w:b/>
          <w:sz w:val="24"/>
          <w:szCs w:val="24"/>
          <w:u w:val="single"/>
          <w:lang w:val="es-MX"/>
        </w:rPr>
        <w:t>s</w:t>
      </w:r>
      <w:r w:rsidR="00AA45C4" w:rsidRPr="002D3EA1">
        <w:rPr>
          <w:rFonts w:ascii="Times New Roman" w:hAnsi="Times New Roman" w:cs="Times New Roman"/>
          <w:b/>
          <w:sz w:val="24"/>
          <w:szCs w:val="24"/>
          <w:u w:val="single"/>
          <w:lang w:val="es-MX"/>
        </w:rPr>
        <w:t>, corrientes o de inversión, cuyos destinatarios son entidades del sector privado</w:t>
      </w:r>
      <w:r w:rsidR="00AA45C4" w:rsidRPr="002D3EA1">
        <w:rPr>
          <w:rFonts w:ascii="Times New Roman" w:hAnsi="Times New Roman" w:cs="Times New Roman"/>
          <w:sz w:val="24"/>
          <w:szCs w:val="24"/>
          <w:lang w:val="es-MX"/>
        </w:rPr>
        <w:t>.</w:t>
      </w:r>
    </w:p>
    <w:p w:rsidR="00AA45C4" w:rsidRPr="002D3EA1" w:rsidRDefault="00D81E76" w:rsidP="000809F7">
      <w:pPr>
        <w:jc w:val="both"/>
        <w:rPr>
          <w:rFonts w:ascii="Times New Roman" w:hAnsi="Times New Roman" w:cs="Times New Roman"/>
          <w:b/>
          <w:sz w:val="24"/>
          <w:szCs w:val="24"/>
          <w:u w:val="single"/>
          <w:lang w:val="es-MX"/>
        </w:rPr>
      </w:pPr>
      <w:r w:rsidRPr="002D3EA1">
        <w:rPr>
          <w:rFonts w:ascii="Times New Roman" w:hAnsi="Times New Roman" w:cs="Times New Roman"/>
          <w:b/>
          <w:sz w:val="24"/>
          <w:szCs w:val="24"/>
          <w:u w:val="single"/>
          <w:lang w:val="es-MX"/>
        </w:rPr>
        <w:t>Se entenderá como subvención todo beneficio dinerario o en especie que el Estado otorgue a una persona física o jurídica a título gratuito y que ésta debe emplear obligatoriamente en aquella actividad o propósito para la que fue concedida, cumpliendo con determinados requisitos.</w:t>
      </w:r>
    </w:p>
    <w:p w:rsidR="00D81E76" w:rsidRPr="002D3EA1" w:rsidRDefault="00D81E76"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El Ministerio de Finanzas Públicas deberá realizar un inventario de todos los subsidios y subvenciones, debiendo identificar las entidades responsables de su otorgamiento de acuerdo con el ejercicio fiscal vigente, y deberá publicarlo en su página de internet en el primer cuatrimestre.</w:t>
      </w:r>
    </w:p>
    <w:p w:rsidR="00D81E76" w:rsidRPr="002D3EA1" w:rsidRDefault="00657E35"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La Contraloría General de Cuentas deberá incluir en el informe anual que remite al Congreso de la República, un análisis sobre el manejo financiero y administrativo de todos los subsidios y subvenciones otorgados por el Estado.</w:t>
      </w:r>
    </w:p>
    <w:p w:rsidR="00657E35" w:rsidRPr="002D3EA1" w:rsidRDefault="00FD5AE9"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En el caso del subsidio al transporte público el Ministerio de Comunicaciones, Infraestructura y Vivienda es corresponsable del adecuado uso de los fondos que se otorguen en concepto de subsidios por parte de sus destinatarios, el Convenio y Plan Operativo correspondiente y sus desembolsos deberán ser autorizados por la dependencia de la municipalidad que corresponda, conforme a lo establecido en el Código Municipal, Decreto N</w:t>
      </w:r>
      <w:r w:rsidR="00494C76">
        <w:rPr>
          <w:rFonts w:ascii="Times New Roman" w:hAnsi="Times New Roman" w:cs="Times New Roman"/>
          <w:sz w:val="24"/>
          <w:szCs w:val="24"/>
          <w:lang w:val="es-MX"/>
        </w:rPr>
        <w:t>o.</w:t>
      </w:r>
      <w:r w:rsidRPr="002D3EA1">
        <w:rPr>
          <w:rFonts w:ascii="Times New Roman" w:hAnsi="Times New Roman" w:cs="Times New Roman"/>
          <w:sz w:val="24"/>
          <w:szCs w:val="24"/>
          <w:lang w:val="es-MX"/>
        </w:rPr>
        <w:t xml:space="preserve"> 12-2002 del Congreso de la República, asegurándose que existan los mecanismos para fiscalizar el cumplimiento de las normas vigentes y de la probidad y adecuado uso de los recursos a ser transferidos.</w:t>
      </w:r>
    </w:p>
    <w:p w:rsidR="00657E35" w:rsidRPr="002D3EA1" w:rsidRDefault="00BC6DF9" w:rsidP="000809F7">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(Énfasis propio)</w:t>
      </w:r>
    </w:p>
    <w:p w:rsidR="00131963" w:rsidRPr="002D3EA1" w:rsidRDefault="004F1119" w:rsidP="000809F7">
      <w:pPr>
        <w:jc w:val="both"/>
        <w:rPr>
          <w:rFonts w:ascii="Times New Roman" w:hAnsi="Times New Roman" w:cs="Times New Roman"/>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1D98CA" wp14:editId="037B68C2">
                <wp:simplePos x="0" y="0"/>
                <wp:positionH relativeFrom="column">
                  <wp:posOffset>-213995</wp:posOffset>
                </wp:positionH>
                <wp:positionV relativeFrom="paragraph">
                  <wp:posOffset>178435</wp:posOffset>
                </wp:positionV>
                <wp:extent cx="5867400" cy="0"/>
                <wp:effectExtent l="104140" t="96520" r="19685" b="273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297F9" id="AutoShape 2" o:spid="_x0000_s1026" type="#_x0000_t32" style="position:absolute;margin-left:-16.85pt;margin-top:14.0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" strokecolor="#f2f2f2 [3041]" strokeweight="3pt">
                <v:shadow on="t" color="#7f7f7f [1601]" opacity=".5" offset="-6pt,-6pt"/>
              </v:shape>
            </w:pict>
          </mc:Fallback>
        </mc:AlternateContent>
      </w:r>
    </w:p>
    <w:p w:rsidR="00131963" w:rsidRPr="002D3EA1" w:rsidRDefault="00131963" w:rsidP="00131963">
      <w:pPr>
        <w:spacing w:line="240" w:lineRule="auto"/>
        <w:jc w:val="both"/>
        <w:rPr>
          <w:rFonts w:ascii="Times New Roman" w:hAnsi="Times New Roman" w:cs="Times New Roman"/>
          <w:sz w:val="24"/>
          <w:szCs w:val="24"/>
          <w:lang w:val="es-MX"/>
        </w:rPr>
      </w:pPr>
    </w:p>
    <w:p w:rsidR="00BC6DF9" w:rsidRPr="002D3EA1" w:rsidRDefault="00BC6DF9" w:rsidP="00131963">
      <w:pPr>
        <w:spacing w:line="240" w:lineRule="auto"/>
        <w:jc w:val="both"/>
        <w:rPr>
          <w:rFonts w:ascii="Times New Roman" w:hAnsi="Times New Roman" w:cs="Times New Roman"/>
          <w:sz w:val="24"/>
          <w:szCs w:val="24"/>
          <w:lang w:val="es-MX"/>
        </w:rPr>
      </w:pPr>
    </w:p>
    <w:p w:rsidR="00131963" w:rsidRPr="002D3EA1" w:rsidRDefault="00131963" w:rsidP="00131963">
      <w:pPr>
        <w:spacing w:after="0" w:line="240" w:lineRule="auto"/>
        <w:jc w:val="center"/>
        <w:rPr>
          <w:rFonts w:ascii="Times New Roman" w:hAnsi="Times New Roman" w:cs="Times New Roman"/>
          <w:b/>
          <w:sz w:val="24"/>
          <w:szCs w:val="24"/>
          <w:lang w:val="es-MX"/>
        </w:rPr>
      </w:pPr>
    </w:p>
    <w:p w:rsidR="00131963" w:rsidRPr="002D3EA1" w:rsidRDefault="004F1119" w:rsidP="0013196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6E991E" wp14:editId="1DF4E80C">
                <wp:simplePos x="0" y="0"/>
                <wp:positionH relativeFrom="column">
                  <wp:posOffset>-94615</wp:posOffset>
                </wp:positionH>
                <wp:positionV relativeFrom="paragraph">
                  <wp:posOffset>635</wp:posOffset>
                </wp:positionV>
                <wp:extent cx="5867400" cy="0"/>
                <wp:effectExtent l="99695" t="100330" r="2413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00A52" id="AutoShape 8" o:spid="_x0000_s1026" type="#_x0000_t32" style="position:absolute;margin-left:-7.45pt;margin-top:.05pt;width:4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re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" strokecolor="#f2f2f2 [3041]" strokeweight="3pt">
                <v:shadow on="t" color="#7f7f7f [1601]" opacity=".5" offset="-6pt,-6pt"/>
              </v:shape>
            </w:pict>
          </mc:Fallback>
        </mc:AlternateContent>
      </w:r>
    </w:p>
    <w:p w:rsidR="00131963" w:rsidRPr="002D3EA1" w:rsidRDefault="00131963" w:rsidP="0013196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lastRenderedPageBreak/>
        <w:t xml:space="preserve">Artículo </w:t>
      </w:r>
      <w:r w:rsidR="00A86C97" w:rsidRPr="002D3EA1">
        <w:rPr>
          <w:rFonts w:ascii="Times New Roman" w:hAnsi="Times New Roman" w:cs="Times New Roman"/>
          <w:b/>
          <w:sz w:val="24"/>
          <w:szCs w:val="24"/>
          <w:lang w:val="es-MX"/>
        </w:rPr>
        <w:t xml:space="preserve">8 </w:t>
      </w:r>
      <w:r w:rsidRPr="002D3EA1">
        <w:rPr>
          <w:rFonts w:ascii="Times New Roman" w:hAnsi="Times New Roman" w:cs="Times New Roman"/>
          <w:b/>
          <w:sz w:val="24"/>
          <w:szCs w:val="24"/>
          <w:lang w:val="es-MX"/>
        </w:rPr>
        <w:t xml:space="preserve">del Acuerdo Gubernativo No. </w:t>
      </w:r>
      <w:r w:rsidR="00A86C97" w:rsidRPr="002D3EA1">
        <w:rPr>
          <w:rFonts w:ascii="Times New Roman" w:hAnsi="Times New Roman" w:cs="Times New Roman"/>
          <w:b/>
          <w:sz w:val="24"/>
          <w:szCs w:val="24"/>
          <w:lang w:val="es-MX"/>
        </w:rPr>
        <w:t>300-2015</w:t>
      </w:r>
      <w:r w:rsidR="00205FC8" w:rsidRPr="002D3EA1">
        <w:rPr>
          <w:rFonts w:ascii="Times New Roman" w:hAnsi="Times New Roman" w:cs="Times New Roman"/>
          <w:b/>
          <w:sz w:val="24"/>
          <w:szCs w:val="24"/>
          <w:lang w:val="es-MX"/>
        </w:rPr>
        <w:t xml:space="preserve"> </w:t>
      </w:r>
      <w:r w:rsidRPr="002D3EA1">
        <w:rPr>
          <w:rFonts w:ascii="Times New Roman" w:hAnsi="Times New Roman" w:cs="Times New Roman"/>
          <w:b/>
          <w:sz w:val="24"/>
          <w:szCs w:val="24"/>
          <w:lang w:val="es-MX"/>
        </w:rPr>
        <w:t xml:space="preserve">que, entre otros aspectos, aprobó la distribución analítica del </w:t>
      </w:r>
    </w:p>
    <w:p w:rsidR="00131963" w:rsidRPr="002D3EA1" w:rsidRDefault="00131963" w:rsidP="0013196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Presupuesto General d</w:t>
      </w:r>
      <w:r w:rsidR="00171D4A" w:rsidRPr="002D3EA1">
        <w:rPr>
          <w:rFonts w:ascii="Times New Roman" w:hAnsi="Times New Roman" w:cs="Times New Roman"/>
          <w:b/>
          <w:sz w:val="24"/>
          <w:szCs w:val="24"/>
          <w:lang w:val="es-MX"/>
        </w:rPr>
        <w:t>e Ingresos y Egresos del Estado</w:t>
      </w:r>
    </w:p>
    <w:p w:rsidR="00131963" w:rsidRPr="002D3EA1" w:rsidRDefault="00131963" w:rsidP="00131963">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para el Ejercicio Fiscal 201</w:t>
      </w:r>
      <w:r w:rsidR="00A86C97" w:rsidRPr="002D3EA1">
        <w:rPr>
          <w:rFonts w:ascii="Times New Roman" w:hAnsi="Times New Roman" w:cs="Times New Roman"/>
          <w:b/>
          <w:sz w:val="24"/>
          <w:szCs w:val="24"/>
          <w:lang w:val="es-MX"/>
        </w:rPr>
        <w:t>6</w:t>
      </w:r>
    </w:p>
    <w:p w:rsidR="00131963" w:rsidRPr="002D3EA1" w:rsidRDefault="00131963" w:rsidP="00131963">
      <w:pPr>
        <w:spacing w:line="240" w:lineRule="auto"/>
        <w:jc w:val="both"/>
        <w:rPr>
          <w:rFonts w:ascii="Times New Roman" w:hAnsi="Times New Roman" w:cs="Times New Roman"/>
          <w:b/>
          <w:sz w:val="24"/>
          <w:szCs w:val="24"/>
          <w:lang w:val="es-MX"/>
        </w:rPr>
      </w:pPr>
    </w:p>
    <w:p w:rsidR="00131963" w:rsidRPr="002D3EA1" w:rsidRDefault="00131963" w:rsidP="00131963">
      <w:pPr>
        <w:spacing w:line="240" w:lineRule="auto"/>
        <w:jc w:val="both"/>
        <w:rPr>
          <w:rFonts w:ascii="Times New Roman" w:hAnsi="Times New Roman" w:cs="Times New Roman"/>
          <w:b/>
          <w:sz w:val="24"/>
          <w:szCs w:val="24"/>
          <w:lang w:val="es-MX"/>
        </w:rPr>
      </w:pPr>
    </w:p>
    <w:p w:rsidR="00131963" w:rsidRPr="002D3EA1" w:rsidRDefault="00D75A60" w:rsidP="00131963">
      <w:pPr>
        <w:jc w:val="both"/>
        <w:rPr>
          <w:rFonts w:ascii="Times New Roman" w:hAnsi="Times New Roman" w:cs="Times New Roman"/>
          <w:sz w:val="24"/>
          <w:szCs w:val="24"/>
          <w:lang w:val="es-MX"/>
        </w:rPr>
      </w:pPr>
      <w:r w:rsidRPr="002D3EA1">
        <w:rPr>
          <w:rFonts w:ascii="Times New Roman" w:hAnsi="Times New Roman" w:cs="Times New Roman"/>
          <w:b/>
          <w:sz w:val="24"/>
          <w:szCs w:val="24"/>
          <w:lang w:val="es-MX"/>
        </w:rPr>
        <w:t>Artículo 8</w:t>
      </w:r>
      <w:r w:rsidR="00131963" w:rsidRPr="002D3EA1">
        <w:rPr>
          <w:rFonts w:ascii="Times New Roman" w:hAnsi="Times New Roman" w:cs="Times New Roman"/>
          <w:b/>
          <w:sz w:val="24"/>
          <w:szCs w:val="24"/>
          <w:lang w:val="es-MX"/>
        </w:rPr>
        <w:t>. Programación y reprogramación de las transferencias corrientes y de capital</w:t>
      </w:r>
      <w:r w:rsidR="00131963" w:rsidRPr="002D3EA1">
        <w:rPr>
          <w:rFonts w:ascii="Times New Roman" w:hAnsi="Times New Roman" w:cs="Times New Roman"/>
          <w:sz w:val="24"/>
          <w:szCs w:val="24"/>
          <w:lang w:val="es-MX"/>
        </w:rPr>
        <w:t xml:space="preserve">. De conformidad con el </w:t>
      </w:r>
      <w:r w:rsidR="00A43312">
        <w:rPr>
          <w:rFonts w:ascii="Times New Roman" w:hAnsi="Times New Roman" w:cs="Times New Roman"/>
          <w:sz w:val="24"/>
          <w:szCs w:val="24"/>
          <w:lang w:val="es-MX"/>
        </w:rPr>
        <w:t>a</w:t>
      </w:r>
      <w:r w:rsidR="00131963" w:rsidRPr="002D3EA1">
        <w:rPr>
          <w:rFonts w:ascii="Times New Roman" w:hAnsi="Times New Roman" w:cs="Times New Roman"/>
          <w:sz w:val="24"/>
          <w:szCs w:val="24"/>
          <w:lang w:val="es-MX"/>
        </w:rPr>
        <w:t xml:space="preserve">rtículo 32 </w:t>
      </w:r>
      <w:r w:rsidR="004E0922" w:rsidRPr="002D3EA1">
        <w:rPr>
          <w:rFonts w:ascii="Times New Roman" w:hAnsi="Times New Roman" w:cs="Times New Roman"/>
          <w:sz w:val="24"/>
          <w:szCs w:val="24"/>
          <w:lang w:val="es-MX"/>
        </w:rPr>
        <w:t>B</w:t>
      </w:r>
      <w:r w:rsidR="00131963" w:rsidRPr="002D3EA1">
        <w:rPr>
          <w:rFonts w:ascii="Times New Roman" w:hAnsi="Times New Roman" w:cs="Times New Roman"/>
          <w:sz w:val="24"/>
          <w:szCs w:val="24"/>
          <w:lang w:val="es-MX"/>
        </w:rPr>
        <w:t xml:space="preserve">is </w:t>
      </w:r>
      <w:r w:rsidR="004E0922" w:rsidRPr="002D3EA1">
        <w:rPr>
          <w:rFonts w:ascii="Times New Roman" w:hAnsi="Times New Roman" w:cs="Times New Roman"/>
          <w:sz w:val="24"/>
          <w:szCs w:val="24"/>
          <w:lang w:val="es-MX"/>
        </w:rPr>
        <w:t>del Decreto N</w:t>
      </w:r>
      <w:r w:rsidR="00A43312">
        <w:rPr>
          <w:rFonts w:ascii="Times New Roman" w:hAnsi="Times New Roman" w:cs="Times New Roman"/>
          <w:sz w:val="24"/>
          <w:szCs w:val="24"/>
          <w:lang w:val="es-MX"/>
        </w:rPr>
        <w:t>o.</w:t>
      </w:r>
      <w:r w:rsidR="004E0922" w:rsidRPr="002D3EA1">
        <w:rPr>
          <w:rFonts w:ascii="Times New Roman" w:hAnsi="Times New Roman" w:cs="Times New Roman"/>
          <w:sz w:val="24"/>
          <w:szCs w:val="24"/>
          <w:lang w:val="es-MX"/>
        </w:rPr>
        <w:t xml:space="preserve"> 101-97 del Congreso de la República, </w:t>
      </w:r>
      <w:r w:rsidR="00131963" w:rsidRPr="002D3EA1">
        <w:rPr>
          <w:rFonts w:ascii="Times New Roman" w:hAnsi="Times New Roman" w:cs="Times New Roman"/>
          <w:sz w:val="24"/>
          <w:szCs w:val="24"/>
          <w:lang w:val="es-MX"/>
        </w:rPr>
        <w:t>Ley Orgánica del Presupuesto, la programación inicial y reprogramaciones de l</w:t>
      </w:r>
      <w:r w:rsidR="004E0922" w:rsidRPr="002D3EA1">
        <w:rPr>
          <w:rFonts w:ascii="Times New Roman" w:hAnsi="Times New Roman" w:cs="Times New Roman"/>
          <w:sz w:val="24"/>
          <w:szCs w:val="24"/>
          <w:lang w:val="es-MX"/>
        </w:rPr>
        <w:t xml:space="preserve">as </w:t>
      </w:r>
      <w:r w:rsidR="004E0922" w:rsidRPr="002D3EA1">
        <w:rPr>
          <w:rFonts w:ascii="Times New Roman" w:hAnsi="Times New Roman" w:cs="Times New Roman"/>
          <w:b/>
          <w:sz w:val="24"/>
          <w:szCs w:val="24"/>
          <w:u w:val="single"/>
          <w:lang w:val="es-MX"/>
        </w:rPr>
        <w:t>transferencias corrientes y de capital</w:t>
      </w:r>
      <w:r w:rsidR="004E0922" w:rsidRPr="002D3EA1">
        <w:rPr>
          <w:rFonts w:ascii="Times New Roman" w:hAnsi="Times New Roman" w:cs="Times New Roman"/>
          <w:sz w:val="24"/>
          <w:szCs w:val="24"/>
          <w:lang w:val="es-MX"/>
        </w:rPr>
        <w:t xml:space="preserve"> </w:t>
      </w:r>
      <w:r w:rsidR="00131963" w:rsidRPr="002D3EA1">
        <w:rPr>
          <w:rFonts w:ascii="Times New Roman" w:hAnsi="Times New Roman" w:cs="Times New Roman"/>
          <w:sz w:val="24"/>
          <w:szCs w:val="24"/>
          <w:lang w:val="es-MX"/>
        </w:rPr>
        <w:t xml:space="preserve">deberán aprobarse mediante resolución de la máxima autoridad que corresponda. </w:t>
      </w:r>
      <w:r w:rsidR="004E0922" w:rsidRPr="002D3EA1">
        <w:rPr>
          <w:rFonts w:ascii="Times New Roman" w:hAnsi="Times New Roman" w:cs="Times New Roman"/>
          <w:sz w:val="24"/>
          <w:szCs w:val="24"/>
          <w:lang w:val="es-MX"/>
        </w:rPr>
        <w:t>Para tal efecto, deberán emitirse los comprobantes respectivos dentro del Sicoin.</w:t>
      </w:r>
    </w:p>
    <w:p w:rsidR="00131963" w:rsidRPr="002D3EA1" w:rsidRDefault="00BC6DF9" w:rsidP="00131963">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(Énfasis propio)</w:t>
      </w:r>
      <w:r w:rsidR="004F1119" w:rsidRPr="002D3EA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76C729" wp14:editId="02C34F95">
                <wp:simplePos x="0" y="0"/>
                <wp:positionH relativeFrom="column">
                  <wp:posOffset>-146685</wp:posOffset>
                </wp:positionH>
                <wp:positionV relativeFrom="paragraph">
                  <wp:posOffset>323215</wp:posOffset>
                </wp:positionV>
                <wp:extent cx="5867400" cy="0"/>
                <wp:effectExtent l="95250" t="102870" r="19050" b="2095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A54FA" id="AutoShape 9" o:spid="_x0000_s1026" type="#_x0000_t32" style="position:absolute;margin-left:-11.55pt;margin-top:25.45pt;width:4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" strokecolor="#f2f2f2 [3041]" strokeweight="3pt">
                <v:shadow on="t" color="#7f7f7f [1601]" opacity=".5" offset="-6pt,-6pt"/>
              </v:shape>
            </w:pict>
          </mc:Fallback>
        </mc:AlternateContent>
      </w:r>
    </w:p>
    <w:p w:rsidR="00131963" w:rsidRPr="002D3EA1" w:rsidRDefault="00131963" w:rsidP="00131963">
      <w:pPr>
        <w:spacing w:line="240" w:lineRule="auto"/>
        <w:jc w:val="both"/>
        <w:rPr>
          <w:rFonts w:ascii="Times New Roman" w:hAnsi="Times New Roman" w:cs="Times New Roman"/>
          <w:sz w:val="24"/>
          <w:szCs w:val="24"/>
          <w:lang w:val="es-MX"/>
        </w:rPr>
      </w:pPr>
    </w:p>
    <w:p w:rsidR="00B24B73" w:rsidRPr="002D3EA1" w:rsidRDefault="00B24B73">
      <w:pPr>
        <w:rPr>
          <w:rFonts w:ascii="Times New Roman" w:hAnsi="Times New Roman" w:cs="Times New Roman"/>
          <w:sz w:val="24"/>
          <w:szCs w:val="24"/>
          <w:lang w:val="es-MX"/>
        </w:rPr>
      </w:pPr>
      <w:r w:rsidRPr="002D3EA1">
        <w:rPr>
          <w:rFonts w:ascii="Times New Roman" w:hAnsi="Times New Roman" w:cs="Times New Roman"/>
          <w:sz w:val="24"/>
          <w:szCs w:val="24"/>
          <w:lang w:val="es-MX"/>
        </w:rPr>
        <w:br w:type="page"/>
      </w:r>
    </w:p>
    <w:p w:rsidR="00D807BB" w:rsidRPr="002D3EA1" w:rsidRDefault="00D807BB" w:rsidP="00D807BB">
      <w:pPr>
        <w:spacing w:after="0" w:line="240" w:lineRule="auto"/>
        <w:jc w:val="center"/>
        <w:rPr>
          <w:rFonts w:ascii="Times New Roman" w:hAnsi="Times New Roman" w:cs="Times New Roman"/>
          <w:b/>
          <w:sz w:val="24"/>
          <w:szCs w:val="24"/>
          <w:lang w:val="es-MX"/>
        </w:rPr>
      </w:pPr>
    </w:p>
    <w:p w:rsidR="00D807BB" w:rsidRPr="002D3EA1" w:rsidRDefault="004F1119" w:rsidP="00D807BB">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9D0B8E2" wp14:editId="775180F4">
                <wp:simplePos x="0" y="0"/>
                <wp:positionH relativeFrom="column">
                  <wp:posOffset>-94615</wp:posOffset>
                </wp:positionH>
                <wp:positionV relativeFrom="paragraph">
                  <wp:posOffset>635</wp:posOffset>
                </wp:positionV>
                <wp:extent cx="5867400" cy="0"/>
                <wp:effectExtent l="99695" t="95885" r="24130" b="279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D7D9" id="AutoShape 10" o:spid="_x0000_s1026" type="#_x0000_t32" style="position:absolute;margin-left:-7.45pt;margin-top:.05pt;width:46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" strokecolor="#f2f2f2 [3041]" strokeweight="3pt">
                <v:shadow on="t" color="#7f7f7f [1601]" opacity=".5" offset="-6pt,-6pt"/>
              </v:shape>
            </w:pict>
          </mc:Fallback>
        </mc:AlternateContent>
      </w:r>
      <w:r w:rsidR="00EC78AE" w:rsidRPr="002D3EA1">
        <w:rPr>
          <w:rFonts w:ascii="Times New Roman" w:hAnsi="Times New Roman" w:cs="Times New Roman"/>
          <w:b/>
          <w:sz w:val="24"/>
          <w:szCs w:val="24"/>
          <w:lang w:val="es-MX"/>
        </w:rPr>
        <w:t>Artículo</w:t>
      </w:r>
      <w:r w:rsidR="00665146" w:rsidRPr="002D3EA1">
        <w:rPr>
          <w:rFonts w:ascii="Times New Roman" w:hAnsi="Times New Roman" w:cs="Times New Roman"/>
          <w:b/>
          <w:sz w:val="24"/>
          <w:szCs w:val="24"/>
          <w:lang w:val="es-MX"/>
        </w:rPr>
        <w:t>s</w:t>
      </w:r>
      <w:r w:rsidR="00EC78AE" w:rsidRPr="002D3EA1">
        <w:rPr>
          <w:rFonts w:ascii="Times New Roman" w:hAnsi="Times New Roman" w:cs="Times New Roman"/>
          <w:b/>
          <w:sz w:val="24"/>
          <w:szCs w:val="24"/>
          <w:lang w:val="es-MX"/>
        </w:rPr>
        <w:t xml:space="preserve"> 14</w:t>
      </w:r>
      <w:r w:rsidR="00752C3C" w:rsidRPr="002D3EA1">
        <w:rPr>
          <w:rFonts w:ascii="Times New Roman" w:hAnsi="Times New Roman" w:cs="Times New Roman"/>
          <w:b/>
          <w:sz w:val="24"/>
          <w:szCs w:val="24"/>
          <w:lang w:val="es-MX"/>
        </w:rPr>
        <w:t xml:space="preserve"> y 15</w:t>
      </w:r>
      <w:r w:rsidR="00EC78AE" w:rsidRPr="002D3EA1">
        <w:rPr>
          <w:rFonts w:ascii="Times New Roman" w:hAnsi="Times New Roman" w:cs="Times New Roman"/>
          <w:b/>
          <w:sz w:val="24"/>
          <w:szCs w:val="24"/>
          <w:lang w:val="es-MX"/>
        </w:rPr>
        <w:t xml:space="preserve"> del Acuerdo Gubernativo No. 55-2016,</w:t>
      </w:r>
    </w:p>
    <w:p w:rsidR="00D807BB" w:rsidRPr="002D3EA1" w:rsidRDefault="00EC78AE" w:rsidP="00D807BB">
      <w:pPr>
        <w:spacing w:after="0" w:line="240" w:lineRule="auto"/>
        <w:jc w:val="center"/>
        <w:rPr>
          <w:rFonts w:ascii="Times New Roman" w:hAnsi="Times New Roman" w:cs="Times New Roman"/>
          <w:b/>
          <w:sz w:val="24"/>
          <w:szCs w:val="24"/>
          <w:lang w:val="es-MX"/>
        </w:rPr>
      </w:pPr>
      <w:r w:rsidRPr="002D3EA1">
        <w:rPr>
          <w:rFonts w:ascii="Times New Roman" w:hAnsi="Times New Roman" w:cs="Times New Roman"/>
          <w:b/>
          <w:sz w:val="24"/>
          <w:szCs w:val="24"/>
          <w:lang w:val="es-MX"/>
        </w:rPr>
        <w:t xml:space="preserve">Reglamento </w:t>
      </w:r>
      <w:r w:rsidR="008F70EA" w:rsidRPr="002D3EA1">
        <w:rPr>
          <w:rFonts w:ascii="Times New Roman" w:hAnsi="Times New Roman" w:cs="Times New Roman"/>
          <w:b/>
          <w:sz w:val="24"/>
          <w:szCs w:val="24"/>
          <w:lang w:val="es-MX"/>
        </w:rPr>
        <w:t>d</w:t>
      </w:r>
      <w:r w:rsidRPr="002D3EA1">
        <w:rPr>
          <w:rFonts w:ascii="Times New Roman" w:hAnsi="Times New Roman" w:cs="Times New Roman"/>
          <w:b/>
          <w:sz w:val="24"/>
          <w:szCs w:val="24"/>
          <w:lang w:val="es-MX"/>
        </w:rPr>
        <w:t xml:space="preserve">e Manejo de </w:t>
      </w:r>
      <w:r w:rsidR="00D807BB" w:rsidRPr="002D3EA1">
        <w:rPr>
          <w:rFonts w:ascii="Times New Roman" w:hAnsi="Times New Roman" w:cs="Times New Roman"/>
          <w:b/>
          <w:sz w:val="24"/>
          <w:szCs w:val="24"/>
          <w:lang w:val="es-MX"/>
        </w:rPr>
        <w:t>Subsidios y Subvenciones</w:t>
      </w:r>
    </w:p>
    <w:p w:rsidR="00D807BB" w:rsidRPr="002D3EA1" w:rsidRDefault="00D807BB" w:rsidP="00D807BB">
      <w:pPr>
        <w:spacing w:after="0" w:line="240" w:lineRule="auto"/>
        <w:jc w:val="center"/>
        <w:rPr>
          <w:rFonts w:ascii="Times New Roman" w:hAnsi="Times New Roman" w:cs="Times New Roman"/>
          <w:b/>
          <w:sz w:val="24"/>
          <w:szCs w:val="24"/>
          <w:lang w:val="es-MX"/>
        </w:rPr>
      </w:pPr>
    </w:p>
    <w:p w:rsidR="008C0118" w:rsidRPr="002D3EA1" w:rsidRDefault="00EC78AE" w:rsidP="008C0118">
      <w:pPr>
        <w:spacing w:after="0" w:line="240" w:lineRule="auto"/>
        <w:jc w:val="right"/>
        <w:rPr>
          <w:rFonts w:ascii="Times New Roman" w:hAnsi="Times New Roman" w:cs="Times New Roman"/>
          <w:b/>
          <w:sz w:val="24"/>
          <w:szCs w:val="24"/>
          <w:lang w:val="es-MX"/>
        </w:rPr>
      </w:pPr>
      <w:r w:rsidRPr="002D3EA1">
        <w:rPr>
          <w:rFonts w:ascii="Times New Roman" w:hAnsi="Times New Roman" w:cs="Times New Roman"/>
          <w:b/>
          <w:sz w:val="24"/>
          <w:szCs w:val="24"/>
          <w:lang w:val="es-MX"/>
        </w:rPr>
        <w:t>(</w:t>
      </w:r>
      <w:r w:rsidR="00097732" w:rsidRPr="002D3EA1">
        <w:rPr>
          <w:rFonts w:ascii="Times New Roman" w:hAnsi="Times New Roman" w:cs="Times New Roman"/>
          <w:b/>
          <w:sz w:val="24"/>
          <w:szCs w:val="24"/>
          <w:lang w:val="es-MX"/>
        </w:rPr>
        <w:t>Publicado</w:t>
      </w:r>
      <w:r w:rsidR="00A43312">
        <w:rPr>
          <w:rFonts w:ascii="Times New Roman" w:hAnsi="Times New Roman" w:cs="Times New Roman"/>
          <w:b/>
          <w:sz w:val="24"/>
          <w:szCs w:val="24"/>
          <w:lang w:val="es-MX"/>
        </w:rPr>
        <w:t xml:space="preserve"> el</w:t>
      </w:r>
      <w:r w:rsidR="00097732" w:rsidRPr="002D3EA1">
        <w:rPr>
          <w:rFonts w:ascii="Times New Roman" w:hAnsi="Times New Roman" w:cs="Times New Roman"/>
          <w:b/>
          <w:sz w:val="24"/>
          <w:szCs w:val="24"/>
          <w:lang w:val="es-MX"/>
        </w:rPr>
        <w:t xml:space="preserve"> 28-marzo-2016, </w:t>
      </w:r>
    </w:p>
    <w:p w:rsidR="00D807BB" w:rsidRPr="002D3EA1" w:rsidRDefault="008C0118" w:rsidP="008C0118">
      <w:pPr>
        <w:spacing w:after="0" w:line="240" w:lineRule="auto"/>
        <w:jc w:val="right"/>
        <w:rPr>
          <w:rFonts w:ascii="Times New Roman" w:hAnsi="Times New Roman" w:cs="Times New Roman"/>
          <w:b/>
          <w:sz w:val="24"/>
          <w:szCs w:val="24"/>
          <w:lang w:val="es-MX"/>
        </w:rPr>
      </w:pPr>
      <w:r w:rsidRPr="002D3EA1">
        <w:rPr>
          <w:rFonts w:ascii="Times New Roman" w:hAnsi="Times New Roman" w:cs="Times New Roman"/>
          <w:b/>
          <w:sz w:val="24"/>
          <w:szCs w:val="24"/>
          <w:lang w:val="es-MX"/>
        </w:rPr>
        <w:t>R</w:t>
      </w:r>
      <w:r w:rsidR="00EC78AE" w:rsidRPr="002D3EA1">
        <w:rPr>
          <w:rFonts w:ascii="Times New Roman" w:hAnsi="Times New Roman" w:cs="Times New Roman"/>
          <w:b/>
          <w:sz w:val="24"/>
          <w:szCs w:val="24"/>
          <w:lang w:val="es-MX"/>
        </w:rPr>
        <w:t xml:space="preserve">ige a partir </w:t>
      </w:r>
      <w:r w:rsidR="00A43312">
        <w:rPr>
          <w:rFonts w:ascii="Times New Roman" w:hAnsi="Times New Roman" w:cs="Times New Roman"/>
          <w:b/>
          <w:sz w:val="24"/>
          <w:szCs w:val="24"/>
          <w:lang w:val="es-MX"/>
        </w:rPr>
        <w:t xml:space="preserve">del </w:t>
      </w:r>
      <w:r w:rsidR="00EC78AE" w:rsidRPr="002D3EA1">
        <w:rPr>
          <w:rFonts w:ascii="Times New Roman" w:hAnsi="Times New Roman" w:cs="Times New Roman"/>
          <w:b/>
          <w:sz w:val="24"/>
          <w:szCs w:val="24"/>
          <w:lang w:val="es-MX"/>
        </w:rPr>
        <w:t>29-marzo</w:t>
      </w:r>
      <w:r w:rsidR="00D807BB" w:rsidRPr="002D3EA1">
        <w:rPr>
          <w:rFonts w:ascii="Times New Roman" w:hAnsi="Times New Roman" w:cs="Times New Roman"/>
          <w:b/>
          <w:sz w:val="24"/>
          <w:szCs w:val="24"/>
          <w:lang w:val="es-MX"/>
        </w:rPr>
        <w:t>-2016)</w:t>
      </w:r>
    </w:p>
    <w:p w:rsidR="006062E7" w:rsidRPr="002D3EA1" w:rsidRDefault="006062E7" w:rsidP="00D807BB">
      <w:pPr>
        <w:jc w:val="both"/>
        <w:rPr>
          <w:rFonts w:ascii="Times New Roman" w:hAnsi="Times New Roman" w:cs="Times New Roman"/>
          <w:sz w:val="24"/>
          <w:szCs w:val="24"/>
          <w:lang w:val="es-MX"/>
        </w:rPr>
      </w:pPr>
    </w:p>
    <w:p w:rsidR="006062E7" w:rsidRPr="002D3EA1" w:rsidRDefault="006062E7" w:rsidP="00D807BB">
      <w:pPr>
        <w:jc w:val="both"/>
        <w:rPr>
          <w:rFonts w:ascii="Times New Roman" w:hAnsi="Times New Roman" w:cs="Times New Roman"/>
          <w:sz w:val="24"/>
          <w:szCs w:val="24"/>
          <w:lang w:val="es-MX"/>
        </w:rPr>
      </w:pPr>
      <w:r w:rsidRPr="002D3EA1">
        <w:rPr>
          <w:rFonts w:ascii="Times New Roman" w:hAnsi="Times New Roman" w:cs="Times New Roman"/>
          <w:b/>
          <w:sz w:val="24"/>
          <w:szCs w:val="24"/>
          <w:lang w:val="es-MX"/>
        </w:rPr>
        <w:t>Artículo 14. Informes de avance físico y financiero</w:t>
      </w:r>
      <w:r w:rsidRPr="002D3EA1">
        <w:rPr>
          <w:rFonts w:ascii="Times New Roman" w:hAnsi="Times New Roman" w:cs="Times New Roman"/>
          <w:sz w:val="24"/>
          <w:szCs w:val="24"/>
          <w:lang w:val="es-MX"/>
        </w:rPr>
        <w:t xml:space="preserve">.  </w:t>
      </w:r>
      <w:r w:rsidRPr="002D3EA1">
        <w:rPr>
          <w:rFonts w:ascii="Times New Roman" w:hAnsi="Times New Roman" w:cs="Times New Roman"/>
          <w:b/>
          <w:sz w:val="24"/>
          <w:szCs w:val="24"/>
          <w:u w:val="single"/>
          <w:lang w:val="es-MX"/>
        </w:rPr>
        <w:t>Las entidades beneficiarias de subsidios y/o subvenciones quedan obligadas a remitir a la Dirección de Evaluación Fiscal del Ministerio de Finanzas Públicas, al Congreso de la República de Guatemala, a la Contraloría General de Cuentas y a la entidad otorgante en los primeros diez días de cada mes, el informe correspondiente al mes inmediato anterior, sobre el avance físico y financiero, destacando los objetivos, metas, indicadores y resultados alcanzados con los recursos transferidos, así como la población beneficiada</w:t>
      </w:r>
      <w:r w:rsidRPr="002D3EA1">
        <w:rPr>
          <w:rFonts w:ascii="Times New Roman" w:hAnsi="Times New Roman" w:cs="Times New Roman"/>
          <w:sz w:val="24"/>
          <w:szCs w:val="24"/>
          <w:lang w:val="es-MX"/>
        </w:rPr>
        <w:t>.</w:t>
      </w:r>
    </w:p>
    <w:p w:rsidR="006062E7" w:rsidRPr="002D3EA1" w:rsidRDefault="006062E7" w:rsidP="00D807BB">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En el caso que los recursos trasladados se utilicen para sufragar contrataciones de </w:t>
      </w:r>
      <w:r w:rsidRPr="002D3EA1">
        <w:rPr>
          <w:rFonts w:ascii="Times New Roman" w:hAnsi="Times New Roman" w:cs="Times New Roman"/>
          <w:b/>
          <w:sz w:val="24"/>
          <w:szCs w:val="24"/>
          <w:u w:val="single"/>
          <w:lang w:val="es-MX"/>
        </w:rPr>
        <w:t>recurso humano</w:t>
      </w:r>
      <w:r w:rsidRPr="002D3EA1">
        <w:rPr>
          <w:rFonts w:ascii="Times New Roman" w:hAnsi="Times New Roman" w:cs="Times New Roman"/>
          <w:sz w:val="24"/>
          <w:szCs w:val="24"/>
          <w:lang w:val="es-MX"/>
        </w:rPr>
        <w:t xml:space="preserve">, la entidad beneficiaria deberá </w:t>
      </w:r>
      <w:r w:rsidRPr="002D3EA1">
        <w:rPr>
          <w:rFonts w:ascii="Times New Roman" w:hAnsi="Times New Roman" w:cs="Times New Roman"/>
          <w:b/>
          <w:sz w:val="24"/>
          <w:szCs w:val="24"/>
          <w:u w:val="single"/>
          <w:lang w:val="es-MX"/>
        </w:rPr>
        <w:t>adjuntar un listado</w:t>
      </w:r>
      <w:r w:rsidRPr="002D3EA1">
        <w:rPr>
          <w:rFonts w:ascii="Times New Roman" w:hAnsi="Times New Roman" w:cs="Times New Roman"/>
          <w:sz w:val="24"/>
          <w:szCs w:val="24"/>
          <w:lang w:val="es-MX"/>
        </w:rPr>
        <w:t xml:space="preserve"> indicando el nombre del personal contratado, Código Único de Identificación (CUI), remuneración y plazo de</w:t>
      </w:r>
      <w:r w:rsidR="00D37FF9" w:rsidRPr="002D3EA1">
        <w:rPr>
          <w:rFonts w:ascii="Times New Roman" w:hAnsi="Times New Roman" w:cs="Times New Roman"/>
          <w:sz w:val="24"/>
          <w:szCs w:val="24"/>
          <w:lang w:val="es-MX"/>
        </w:rPr>
        <w:t xml:space="preserve"> la</w:t>
      </w:r>
      <w:r w:rsidRPr="002D3EA1">
        <w:rPr>
          <w:rFonts w:ascii="Times New Roman" w:hAnsi="Times New Roman" w:cs="Times New Roman"/>
          <w:sz w:val="24"/>
          <w:szCs w:val="24"/>
          <w:lang w:val="es-MX"/>
        </w:rPr>
        <w:t xml:space="preserve"> contratación</w:t>
      </w:r>
      <w:r w:rsidR="00D37FF9" w:rsidRPr="002D3EA1">
        <w:rPr>
          <w:rFonts w:ascii="Times New Roman" w:hAnsi="Times New Roman" w:cs="Times New Roman"/>
          <w:sz w:val="24"/>
          <w:szCs w:val="24"/>
          <w:lang w:val="es-MX"/>
        </w:rPr>
        <w:t>.</w:t>
      </w:r>
    </w:p>
    <w:p w:rsidR="00D37FF9" w:rsidRPr="002D3EA1" w:rsidRDefault="00D37FF9" w:rsidP="00D807BB">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 xml:space="preserve">Esta información servirá de base para efectuar la evaluación presupuestaria correspondiente y será remitida de forma electrónica, </w:t>
      </w:r>
      <w:r w:rsidRPr="002D3EA1">
        <w:rPr>
          <w:rFonts w:ascii="Times New Roman" w:hAnsi="Times New Roman" w:cs="Times New Roman"/>
          <w:b/>
          <w:sz w:val="24"/>
          <w:szCs w:val="24"/>
          <w:u w:val="single"/>
          <w:lang w:val="es-MX"/>
        </w:rPr>
        <w:t>de conformidad con los formatos</w:t>
      </w:r>
      <w:r w:rsidRPr="002D3EA1">
        <w:rPr>
          <w:rFonts w:ascii="Times New Roman" w:hAnsi="Times New Roman" w:cs="Times New Roman"/>
          <w:sz w:val="24"/>
          <w:szCs w:val="24"/>
          <w:lang w:val="es-MX"/>
        </w:rPr>
        <w:t xml:space="preserve"> que el Ministerio de Finanzas Públicas defina para el efecto.</w:t>
      </w:r>
    </w:p>
    <w:p w:rsidR="00665146" w:rsidRPr="002D3EA1" w:rsidRDefault="00665146" w:rsidP="00D807BB">
      <w:pPr>
        <w:jc w:val="both"/>
        <w:rPr>
          <w:rFonts w:ascii="Times New Roman" w:hAnsi="Times New Roman" w:cs="Times New Roman"/>
          <w:sz w:val="24"/>
          <w:szCs w:val="24"/>
          <w:lang w:val="es-MX"/>
        </w:rPr>
      </w:pPr>
    </w:p>
    <w:p w:rsidR="00752C3C" w:rsidRPr="002D3EA1" w:rsidRDefault="00752C3C" w:rsidP="00D807BB">
      <w:pPr>
        <w:jc w:val="both"/>
        <w:rPr>
          <w:rFonts w:ascii="Times New Roman" w:hAnsi="Times New Roman" w:cs="Times New Roman"/>
          <w:sz w:val="24"/>
          <w:szCs w:val="24"/>
          <w:lang w:val="es-MX"/>
        </w:rPr>
      </w:pPr>
      <w:r w:rsidRPr="002D3EA1">
        <w:rPr>
          <w:rFonts w:ascii="Times New Roman" w:hAnsi="Times New Roman" w:cs="Times New Roman"/>
          <w:b/>
          <w:sz w:val="24"/>
          <w:szCs w:val="24"/>
          <w:lang w:val="es-MX"/>
        </w:rPr>
        <w:t>Artículo 15. Acceso a la información</w:t>
      </w:r>
      <w:r w:rsidRPr="002D3EA1">
        <w:rPr>
          <w:rFonts w:ascii="Times New Roman" w:hAnsi="Times New Roman" w:cs="Times New Roman"/>
          <w:sz w:val="24"/>
          <w:szCs w:val="24"/>
          <w:lang w:val="es-MX"/>
        </w:rPr>
        <w:t xml:space="preserve">. Las entidades públicas que otorguen subsidios y/o subvenciones a personas individuales y jurídicas serán responsables de </w:t>
      </w:r>
      <w:r w:rsidRPr="002D3EA1">
        <w:rPr>
          <w:rFonts w:ascii="Times New Roman" w:hAnsi="Times New Roman" w:cs="Times New Roman"/>
          <w:b/>
          <w:sz w:val="24"/>
          <w:szCs w:val="24"/>
          <w:u w:val="single"/>
          <w:lang w:val="es-MX"/>
        </w:rPr>
        <w:t>actualizar mensualmente y publicar en su portal web</w:t>
      </w:r>
      <w:r w:rsidRPr="002D3EA1">
        <w:rPr>
          <w:rFonts w:ascii="Times New Roman" w:hAnsi="Times New Roman" w:cs="Times New Roman"/>
          <w:sz w:val="24"/>
          <w:szCs w:val="24"/>
          <w:lang w:val="es-MX"/>
        </w:rPr>
        <w:t xml:space="preserve"> los convenios celebrados, los instrumentos legales de aprobación correspondientes, el </w:t>
      </w:r>
      <w:r w:rsidRPr="002D3EA1">
        <w:rPr>
          <w:rFonts w:ascii="Times New Roman" w:hAnsi="Times New Roman" w:cs="Times New Roman"/>
          <w:b/>
          <w:sz w:val="24"/>
          <w:szCs w:val="24"/>
          <w:u w:val="single"/>
          <w:lang w:val="es-MX"/>
        </w:rPr>
        <w:t>Registro de Personas Individuales</w:t>
      </w:r>
      <w:r w:rsidRPr="002D3EA1">
        <w:rPr>
          <w:rFonts w:ascii="Times New Roman" w:hAnsi="Times New Roman" w:cs="Times New Roman"/>
          <w:sz w:val="24"/>
          <w:szCs w:val="24"/>
          <w:lang w:val="es-MX"/>
        </w:rPr>
        <w:t xml:space="preserve"> beneficiadas con subvención y el </w:t>
      </w:r>
      <w:r w:rsidRPr="002D3EA1">
        <w:rPr>
          <w:rFonts w:ascii="Times New Roman" w:hAnsi="Times New Roman" w:cs="Times New Roman"/>
          <w:b/>
          <w:sz w:val="24"/>
          <w:szCs w:val="24"/>
          <w:u w:val="single"/>
          <w:lang w:val="es-MX"/>
        </w:rPr>
        <w:t>informe consolidado de avance físico y financiero</w:t>
      </w:r>
      <w:r w:rsidRPr="002D3EA1">
        <w:rPr>
          <w:rFonts w:ascii="Times New Roman" w:hAnsi="Times New Roman" w:cs="Times New Roman"/>
          <w:sz w:val="24"/>
          <w:szCs w:val="24"/>
          <w:lang w:val="es-MX"/>
        </w:rPr>
        <w:t xml:space="preserve"> de los subsidios y subvenciones otorgados.</w:t>
      </w:r>
    </w:p>
    <w:p w:rsidR="00752C3C" w:rsidRPr="002D3EA1" w:rsidRDefault="00752C3C" w:rsidP="00D807BB">
      <w:pPr>
        <w:jc w:val="both"/>
        <w:rPr>
          <w:rFonts w:ascii="Times New Roman" w:hAnsi="Times New Roman" w:cs="Times New Roman"/>
          <w:sz w:val="24"/>
          <w:szCs w:val="24"/>
          <w:lang w:val="es-MX"/>
        </w:rPr>
      </w:pPr>
      <w:r w:rsidRPr="002D3EA1">
        <w:rPr>
          <w:rFonts w:ascii="Times New Roman" w:hAnsi="Times New Roman" w:cs="Times New Roman"/>
          <w:sz w:val="24"/>
          <w:szCs w:val="24"/>
          <w:lang w:val="es-MX"/>
        </w:rPr>
        <w:t>En cuanto al Registro de Personas Individuales beneficiadas con subvención y el informe consolidado de avance físico y financiero de los subsidios y subvenciones otorgados por la entidad, deberán remitirse al Ministerio de Finanzas Públicas con base a los formatos que para el efecto disponga esa Cartera en su portal web, la información anterior podrá ser compartida entre las entidades del sector público en busca de una atención integral a la ciudadanía.</w:t>
      </w:r>
    </w:p>
    <w:p w:rsidR="00752C3C" w:rsidRPr="002D3EA1" w:rsidRDefault="00752C3C" w:rsidP="00D807BB">
      <w:pPr>
        <w:jc w:val="both"/>
        <w:rPr>
          <w:rFonts w:ascii="Times New Roman" w:hAnsi="Times New Roman" w:cs="Times New Roman"/>
          <w:sz w:val="24"/>
          <w:szCs w:val="24"/>
          <w:lang w:val="es-MX"/>
        </w:rPr>
      </w:pPr>
    </w:p>
    <w:p w:rsidR="000E270C" w:rsidRPr="002D3EA1" w:rsidRDefault="004F1119" w:rsidP="00985716">
      <w:pPr>
        <w:jc w:val="both"/>
        <w:rPr>
          <w:rFonts w:ascii="Times New Roman" w:hAnsi="Times New Roman" w:cs="Times New Roman"/>
          <w:sz w:val="24"/>
          <w:szCs w:val="24"/>
          <w:lang w:val="es-MX"/>
        </w:rPr>
      </w:pPr>
      <w:r w:rsidRPr="002D3EA1">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CD1318" wp14:editId="32623C56">
                <wp:simplePos x="0" y="0"/>
                <wp:positionH relativeFrom="column">
                  <wp:posOffset>-146685</wp:posOffset>
                </wp:positionH>
                <wp:positionV relativeFrom="paragraph">
                  <wp:posOffset>323215</wp:posOffset>
                </wp:positionV>
                <wp:extent cx="5867400" cy="0"/>
                <wp:effectExtent l="95250" t="100965" r="19050"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1B3BF" id="AutoShape 11" o:spid="_x0000_s1026" type="#_x0000_t32" style="position:absolute;margin-left:-11.55pt;margin-top:25.45pt;width:46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" strokecolor="#f2f2f2 [3041]" strokeweight="3pt">
                <v:shadow on="t" color="#7f7f7f [1601]" opacity=".5" offset="-6pt,-6pt"/>
              </v:shape>
            </w:pict>
          </mc:Fallback>
        </mc:AlternateContent>
      </w:r>
      <w:r w:rsidR="008C0118" w:rsidRPr="002D3EA1">
        <w:rPr>
          <w:rFonts w:ascii="Times New Roman" w:hAnsi="Times New Roman" w:cs="Times New Roman"/>
          <w:sz w:val="24"/>
          <w:szCs w:val="24"/>
          <w:lang w:val="es-MX"/>
        </w:rPr>
        <w:t>(Énfasis propio)</w:t>
      </w:r>
    </w:p>
    <w:sectPr w:rsidR="000E270C" w:rsidRPr="002D3EA1" w:rsidSect="00040065">
      <w:footerReference w:type="default" r:id="rId8"/>
      <w:pgSz w:w="11906" w:h="16838"/>
      <w:pgMar w:top="1702" w:right="1701" w:bottom="1134"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B4" w:rsidRDefault="00AC19B4" w:rsidP="0008490D">
      <w:pPr>
        <w:spacing w:after="0" w:line="240" w:lineRule="auto"/>
      </w:pPr>
      <w:r>
        <w:separator/>
      </w:r>
    </w:p>
  </w:endnote>
  <w:endnote w:type="continuationSeparator" w:id="0">
    <w:p w:rsidR="00AC19B4" w:rsidRDefault="00AC19B4" w:rsidP="0008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4706"/>
      <w:docPartObj>
        <w:docPartGallery w:val="Page Numbers (Bottom of Page)"/>
        <w:docPartUnique/>
      </w:docPartObj>
    </w:sdtPr>
    <w:sdtEndPr/>
    <w:sdtContent>
      <w:p w:rsidR="00665146" w:rsidRDefault="00352A71">
        <w:pPr>
          <w:pStyle w:val="Piedepgina"/>
          <w:jc w:val="center"/>
        </w:pPr>
        <w:r>
          <w:fldChar w:fldCharType="begin"/>
        </w:r>
        <w:r>
          <w:instrText xml:space="preserve"> PAGE   \* MERGEFORMAT </w:instrText>
        </w:r>
        <w:r>
          <w:fldChar w:fldCharType="separate"/>
        </w:r>
        <w:r w:rsidR="00F45E24">
          <w:rPr>
            <w:noProof/>
          </w:rPr>
          <w:t>i</w:t>
        </w:r>
        <w:r>
          <w:rPr>
            <w:noProof/>
          </w:rPr>
          <w:fldChar w:fldCharType="end"/>
        </w:r>
      </w:p>
    </w:sdtContent>
  </w:sdt>
  <w:p w:rsidR="00665146" w:rsidRDefault="006651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B4" w:rsidRDefault="00AC19B4" w:rsidP="0008490D">
      <w:pPr>
        <w:spacing w:after="0" w:line="240" w:lineRule="auto"/>
      </w:pPr>
      <w:r>
        <w:separator/>
      </w:r>
    </w:p>
  </w:footnote>
  <w:footnote w:type="continuationSeparator" w:id="0">
    <w:p w:rsidR="00AC19B4" w:rsidRDefault="00AC19B4" w:rsidP="0008490D">
      <w:pPr>
        <w:spacing w:after="0" w:line="240" w:lineRule="auto"/>
      </w:pPr>
      <w:r>
        <w:continuationSeparator/>
      </w:r>
    </w:p>
  </w:footnote>
  <w:footnote w:id="1">
    <w:p w:rsidR="00665146" w:rsidRPr="00CD7085" w:rsidRDefault="00665146" w:rsidP="00CD7085">
      <w:pPr>
        <w:spacing w:after="0" w:line="240" w:lineRule="auto"/>
        <w:jc w:val="both"/>
        <w:rPr>
          <w:rFonts w:ascii="Times New Roman" w:hAnsi="Times New Roman" w:cs="Times New Roman"/>
          <w:sz w:val="20"/>
          <w:szCs w:val="20"/>
        </w:rPr>
      </w:pPr>
      <w:r>
        <w:rPr>
          <w:rStyle w:val="Refdenotaalpie"/>
        </w:rPr>
        <w:footnoteRef/>
      </w:r>
      <w:r>
        <w:t xml:space="preserve"> </w:t>
      </w:r>
      <w:r w:rsidRPr="00A42E6A">
        <w:rPr>
          <w:rFonts w:ascii="Arial" w:hAnsi="Arial" w:cs="Arial"/>
          <w:sz w:val="20"/>
          <w:szCs w:val="20"/>
        </w:rPr>
        <w:t>El Artículo 21 del Decreto No. 13-2013, que reformó la Ley Orgánica del Presupuesto, adicionó el artículo 32 Bis.</w:t>
      </w:r>
      <w:r w:rsidRPr="00CD7085">
        <w:rPr>
          <w:rFonts w:ascii="Times New Roman" w:hAnsi="Times New Roman" w:cs="Times New Roman"/>
          <w:sz w:val="20"/>
          <w:szCs w:val="20"/>
        </w:rPr>
        <w:t xml:space="preserve"> </w:t>
      </w:r>
    </w:p>
    <w:p w:rsidR="00665146" w:rsidRPr="001F18CE" w:rsidRDefault="00665146">
      <w:pPr>
        <w:pStyle w:val="Textonotapie"/>
        <w:rPr>
          <w:rFonts w:ascii="Times New Roman" w:hAnsi="Times New Roman" w:cs="Times New Roman"/>
          <w:sz w:val="24"/>
          <w:szCs w:val="24"/>
        </w:rPr>
      </w:pPr>
    </w:p>
  </w:footnote>
  <w:footnote w:id="2">
    <w:p w:rsidR="00665146" w:rsidRPr="00A42E6A" w:rsidRDefault="00665146" w:rsidP="00CD7085">
      <w:pPr>
        <w:pStyle w:val="Textonotapie"/>
        <w:jc w:val="both"/>
        <w:rPr>
          <w:rFonts w:ascii="Arial" w:hAnsi="Arial" w:cs="Arial"/>
        </w:rPr>
      </w:pPr>
      <w:r>
        <w:rPr>
          <w:rStyle w:val="Refdenotaalpie"/>
        </w:rPr>
        <w:footnoteRef/>
      </w:r>
      <w:r>
        <w:t xml:space="preserve"> </w:t>
      </w:r>
      <w:r w:rsidRPr="00A42E6A">
        <w:rPr>
          <w:rFonts w:ascii="Arial" w:hAnsi="Arial" w:cs="Arial"/>
        </w:rPr>
        <w:t xml:space="preserve">Se refiere al artículo 32 Bis de la Ley Orgánica del Presupuesto, Decreto No. 101-97, relacionado con Información de </w:t>
      </w:r>
      <w:r w:rsidR="00494C76">
        <w:rPr>
          <w:rFonts w:ascii="Arial" w:hAnsi="Arial" w:cs="Arial"/>
        </w:rPr>
        <w:t>E</w:t>
      </w:r>
      <w:r w:rsidRPr="00A42E6A">
        <w:rPr>
          <w:rFonts w:ascii="Arial" w:hAnsi="Arial" w:cs="Arial"/>
        </w:rPr>
        <w:t>ntidades Receptoras de Transferencias.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D8"/>
    <w:multiLevelType w:val="hybridMultilevel"/>
    <w:tmpl w:val="35EC0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65C25F8"/>
    <w:multiLevelType w:val="hybridMultilevel"/>
    <w:tmpl w:val="321606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6063A"/>
    <w:multiLevelType w:val="hybridMultilevel"/>
    <w:tmpl w:val="64884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F44CB5"/>
    <w:multiLevelType w:val="hybridMultilevel"/>
    <w:tmpl w:val="E0E06B9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BAB3631"/>
    <w:multiLevelType w:val="hybridMultilevel"/>
    <w:tmpl w:val="3B56B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AC7CB5"/>
    <w:multiLevelType w:val="hybridMultilevel"/>
    <w:tmpl w:val="79DA2EC4"/>
    <w:lvl w:ilvl="0" w:tplc="100A0017">
      <w:start w:val="1"/>
      <w:numFmt w:val="lowerLetter"/>
      <w:lvlText w:val="%1)"/>
      <w:lvlJc w:val="left"/>
      <w:pPr>
        <w:ind w:left="3930" w:hanging="360"/>
      </w:pPr>
      <w:rPr>
        <w:rFonts w:hint="default"/>
      </w:rPr>
    </w:lvl>
    <w:lvl w:ilvl="1" w:tplc="100A0019" w:tentative="1">
      <w:start w:val="1"/>
      <w:numFmt w:val="lowerLetter"/>
      <w:lvlText w:val="%2."/>
      <w:lvlJc w:val="left"/>
      <w:pPr>
        <w:ind w:left="4650" w:hanging="360"/>
      </w:pPr>
    </w:lvl>
    <w:lvl w:ilvl="2" w:tplc="100A001B" w:tentative="1">
      <w:start w:val="1"/>
      <w:numFmt w:val="lowerRoman"/>
      <w:lvlText w:val="%3."/>
      <w:lvlJc w:val="right"/>
      <w:pPr>
        <w:ind w:left="5370" w:hanging="180"/>
      </w:pPr>
    </w:lvl>
    <w:lvl w:ilvl="3" w:tplc="100A000F" w:tentative="1">
      <w:start w:val="1"/>
      <w:numFmt w:val="decimal"/>
      <w:lvlText w:val="%4."/>
      <w:lvlJc w:val="left"/>
      <w:pPr>
        <w:ind w:left="6090" w:hanging="360"/>
      </w:pPr>
    </w:lvl>
    <w:lvl w:ilvl="4" w:tplc="100A0019" w:tentative="1">
      <w:start w:val="1"/>
      <w:numFmt w:val="lowerLetter"/>
      <w:lvlText w:val="%5."/>
      <w:lvlJc w:val="left"/>
      <w:pPr>
        <w:ind w:left="6810" w:hanging="360"/>
      </w:pPr>
    </w:lvl>
    <w:lvl w:ilvl="5" w:tplc="100A001B" w:tentative="1">
      <w:start w:val="1"/>
      <w:numFmt w:val="lowerRoman"/>
      <w:lvlText w:val="%6."/>
      <w:lvlJc w:val="right"/>
      <w:pPr>
        <w:ind w:left="7530" w:hanging="180"/>
      </w:pPr>
    </w:lvl>
    <w:lvl w:ilvl="6" w:tplc="100A000F" w:tentative="1">
      <w:start w:val="1"/>
      <w:numFmt w:val="decimal"/>
      <w:lvlText w:val="%7."/>
      <w:lvlJc w:val="left"/>
      <w:pPr>
        <w:ind w:left="8250" w:hanging="360"/>
      </w:pPr>
    </w:lvl>
    <w:lvl w:ilvl="7" w:tplc="100A0019" w:tentative="1">
      <w:start w:val="1"/>
      <w:numFmt w:val="lowerLetter"/>
      <w:lvlText w:val="%8."/>
      <w:lvlJc w:val="left"/>
      <w:pPr>
        <w:ind w:left="8970" w:hanging="360"/>
      </w:pPr>
    </w:lvl>
    <w:lvl w:ilvl="8" w:tplc="100A001B" w:tentative="1">
      <w:start w:val="1"/>
      <w:numFmt w:val="lowerRoman"/>
      <w:lvlText w:val="%9."/>
      <w:lvlJc w:val="right"/>
      <w:pPr>
        <w:ind w:left="9690" w:hanging="180"/>
      </w:pPr>
    </w:lvl>
  </w:abstractNum>
  <w:abstractNum w:abstractNumId="6" w15:restartNumberingAfterBreak="0">
    <w:nsid w:val="2D5603BE"/>
    <w:multiLevelType w:val="hybridMultilevel"/>
    <w:tmpl w:val="A4F24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36627"/>
    <w:multiLevelType w:val="hybridMultilevel"/>
    <w:tmpl w:val="3B20CC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9218D5"/>
    <w:multiLevelType w:val="hybridMultilevel"/>
    <w:tmpl w:val="56A0B4A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4DC253C"/>
    <w:multiLevelType w:val="hybridMultilevel"/>
    <w:tmpl w:val="AE28A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041C73"/>
    <w:multiLevelType w:val="hybridMultilevel"/>
    <w:tmpl w:val="41E8E1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7C3903"/>
    <w:multiLevelType w:val="hybridMultilevel"/>
    <w:tmpl w:val="12EC4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68494F"/>
    <w:multiLevelType w:val="hybridMultilevel"/>
    <w:tmpl w:val="4E1A96E4"/>
    <w:lvl w:ilvl="0" w:tplc="26887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607CD0"/>
    <w:multiLevelType w:val="hybridMultilevel"/>
    <w:tmpl w:val="1D1C100C"/>
    <w:lvl w:ilvl="0" w:tplc="8482DAB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2E0313C"/>
    <w:multiLevelType w:val="hybridMultilevel"/>
    <w:tmpl w:val="507649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7A45D1"/>
    <w:multiLevelType w:val="hybridMultilevel"/>
    <w:tmpl w:val="95509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9A242C"/>
    <w:multiLevelType w:val="hybridMultilevel"/>
    <w:tmpl w:val="8A1CB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343863"/>
    <w:multiLevelType w:val="hybridMultilevel"/>
    <w:tmpl w:val="6ADE5A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6326C7"/>
    <w:multiLevelType w:val="hybridMultilevel"/>
    <w:tmpl w:val="042A3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A46768"/>
    <w:multiLevelType w:val="hybridMultilevel"/>
    <w:tmpl w:val="937EE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32973"/>
    <w:multiLevelType w:val="hybridMultilevel"/>
    <w:tmpl w:val="A2BA63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252B5D"/>
    <w:multiLevelType w:val="hybridMultilevel"/>
    <w:tmpl w:val="4F9C7C3E"/>
    <w:lvl w:ilvl="0" w:tplc="05DC16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B553A1B"/>
    <w:multiLevelType w:val="hybridMultilevel"/>
    <w:tmpl w:val="EE26E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B23E8E"/>
    <w:multiLevelType w:val="hybridMultilevel"/>
    <w:tmpl w:val="692650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1375E1"/>
    <w:multiLevelType w:val="hybridMultilevel"/>
    <w:tmpl w:val="A67A2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3"/>
  </w:num>
  <w:num w:numId="5">
    <w:abstractNumId w:val="8"/>
  </w:num>
  <w:num w:numId="6">
    <w:abstractNumId w:val="16"/>
  </w:num>
  <w:num w:numId="7">
    <w:abstractNumId w:val="21"/>
  </w:num>
  <w:num w:numId="8">
    <w:abstractNumId w:val="12"/>
  </w:num>
  <w:num w:numId="9">
    <w:abstractNumId w:val="11"/>
  </w:num>
  <w:num w:numId="10">
    <w:abstractNumId w:val="22"/>
  </w:num>
  <w:num w:numId="11">
    <w:abstractNumId w:val="1"/>
  </w:num>
  <w:num w:numId="12">
    <w:abstractNumId w:val="9"/>
  </w:num>
  <w:num w:numId="13">
    <w:abstractNumId w:val="17"/>
  </w:num>
  <w:num w:numId="14">
    <w:abstractNumId w:val="23"/>
  </w:num>
  <w:num w:numId="15">
    <w:abstractNumId w:val="6"/>
  </w:num>
  <w:num w:numId="16">
    <w:abstractNumId w:val="20"/>
  </w:num>
  <w:num w:numId="17">
    <w:abstractNumId w:val="2"/>
  </w:num>
  <w:num w:numId="18">
    <w:abstractNumId w:val="15"/>
  </w:num>
  <w:num w:numId="19">
    <w:abstractNumId w:val="24"/>
  </w:num>
  <w:num w:numId="20">
    <w:abstractNumId w:val="3"/>
  </w:num>
  <w:num w:numId="21">
    <w:abstractNumId w:val="4"/>
  </w:num>
  <w:num w:numId="22">
    <w:abstractNumId w:val="19"/>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69"/>
    <w:rsid w:val="00023813"/>
    <w:rsid w:val="00034964"/>
    <w:rsid w:val="00040065"/>
    <w:rsid w:val="00042C6B"/>
    <w:rsid w:val="00061108"/>
    <w:rsid w:val="000809F7"/>
    <w:rsid w:val="0008490D"/>
    <w:rsid w:val="00097732"/>
    <w:rsid w:val="000A529C"/>
    <w:rsid w:val="000B64B8"/>
    <w:rsid w:val="000E270C"/>
    <w:rsid w:val="000E3F71"/>
    <w:rsid w:val="000F2B5A"/>
    <w:rsid w:val="000F3C2A"/>
    <w:rsid w:val="00102E5E"/>
    <w:rsid w:val="00131963"/>
    <w:rsid w:val="00134F74"/>
    <w:rsid w:val="00134F7C"/>
    <w:rsid w:val="0017188C"/>
    <w:rsid w:val="00171D4A"/>
    <w:rsid w:val="001C2813"/>
    <w:rsid w:val="001E2430"/>
    <w:rsid w:val="001F05D7"/>
    <w:rsid w:val="001F18CE"/>
    <w:rsid w:val="00202DDF"/>
    <w:rsid w:val="00205FC8"/>
    <w:rsid w:val="002111EC"/>
    <w:rsid w:val="00240A68"/>
    <w:rsid w:val="00262E94"/>
    <w:rsid w:val="00292E95"/>
    <w:rsid w:val="002B29C1"/>
    <w:rsid w:val="002B30E3"/>
    <w:rsid w:val="002D1BB3"/>
    <w:rsid w:val="002D3EA1"/>
    <w:rsid w:val="002D4599"/>
    <w:rsid w:val="00332784"/>
    <w:rsid w:val="00352A71"/>
    <w:rsid w:val="00365B8D"/>
    <w:rsid w:val="003E3173"/>
    <w:rsid w:val="003F6A48"/>
    <w:rsid w:val="00423755"/>
    <w:rsid w:val="00444B3C"/>
    <w:rsid w:val="00480A3B"/>
    <w:rsid w:val="00494C76"/>
    <w:rsid w:val="004A0185"/>
    <w:rsid w:val="004E0922"/>
    <w:rsid w:val="004F1119"/>
    <w:rsid w:val="005F313D"/>
    <w:rsid w:val="005F607B"/>
    <w:rsid w:val="006062E7"/>
    <w:rsid w:val="0060724B"/>
    <w:rsid w:val="00641074"/>
    <w:rsid w:val="00657E35"/>
    <w:rsid w:val="00665146"/>
    <w:rsid w:val="00674F69"/>
    <w:rsid w:val="00677209"/>
    <w:rsid w:val="00693DC8"/>
    <w:rsid w:val="006A1699"/>
    <w:rsid w:val="006E115E"/>
    <w:rsid w:val="006E178A"/>
    <w:rsid w:val="00752C3C"/>
    <w:rsid w:val="007A7DA0"/>
    <w:rsid w:val="007C4329"/>
    <w:rsid w:val="007C58C2"/>
    <w:rsid w:val="007F3548"/>
    <w:rsid w:val="00820CDF"/>
    <w:rsid w:val="00824515"/>
    <w:rsid w:val="00825E3E"/>
    <w:rsid w:val="00841F30"/>
    <w:rsid w:val="008C0118"/>
    <w:rsid w:val="008E45C2"/>
    <w:rsid w:val="008F28FC"/>
    <w:rsid w:val="008F70EA"/>
    <w:rsid w:val="00912B16"/>
    <w:rsid w:val="00983907"/>
    <w:rsid w:val="00984718"/>
    <w:rsid w:val="00985716"/>
    <w:rsid w:val="009D24A3"/>
    <w:rsid w:val="00A27372"/>
    <w:rsid w:val="00A36884"/>
    <w:rsid w:val="00A42E6A"/>
    <w:rsid w:val="00A43312"/>
    <w:rsid w:val="00A86C97"/>
    <w:rsid w:val="00A92ADD"/>
    <w:rsid w:val="00AA45C4"/>
    <w:rsid w:val="00AB0EF0"/>
    <w:rsid w:val="00AB24B8"/>
    <w:rsid w:val="00AB4642"/>
    <w:rsid w:val="00AB472B"/>
    <w:rsid w:val="00AC19B4"/>
    <w:rsid w:val="00AC7823"/>
    <w:rsid w:val="00B24B73"/>
    <w:rsid w:val="00B24FC7"/>
    <w:rsid w:val="00B86F63"/>
    <w:rsid w:val="00BA2AA0"/>
    <w:rsid w:val="00BB6AA6"/>
    <w:rsid w:val="00BC6DF9"/>
    <w:rsid w:val="00BC791B"/>
    <w:rsid w:val="00BE2603"/>
    <w:rsid w:val="00BE3862"/>
    <w:rsid w:val="00BE5D80"/>
    <w:rsid w:val="00C060B2"/>
    <w:rsid w:val="00C358BC"/>
    <w:rsid w:val="00C456CD"/>
    <w:rsid w:val="00C77CC4"/>
    <w:rsid w:val="00C85150"/>
    <w:rsid w:val="00C94B33"/>
    <w:rsid w:val="00CD05F7"/>
    <w:rsid w:val="00CD7085"/>
    <w:rsid w:val="00CF2969"/>
    <w:rsid w:val="00D1182C"/>
    <w:rsid w:val="00D37FF9"/>
    <w:rsid w:val="00D75A60"/>
    <w:rsid w:val="00D807BB"/>
    <w:rsid w:val="00D81E76"/>
    <w:rsid w:val="00D85833"/>
    <w:rsid w:val="00DA07A5"/>
    <w:rsid w:val="00E02676"/>
    <w:rsid w:val="00E33907"/>
    <w:rsid w:val="00E724BC"/>
    <w:rsid w:val="00E8220A"/>
    <w:rsid w:val="00EA02C6"/>
    <w:rsid w:val="00EA42F5"/>
    <w:rsid w:val="00EA4B93"/>
    <w:rsid w:val="00EB5F56"/>
    <w:rsid w:val="00EC78AE"/>
    <w:rsid w:val="00EE19DB"/>
    <w:rsid w:val="00EF72D3"/>
    <w:rsid w:val="00F370B4"/>
    <w:rsid w:val="00F425EB"/>
    <w:rsid w:val="00F45E24"/>
    <w:rsid w:val="00F45F78"/>
    <w:rsid w:val="00F52A6B"/>
    <w:rsid w:val="00F623FA"/>
    <w:rsid w:val="00FA6A09"/>
    <w:rsid w:val="00FD5AE9"/>
    <w:rsid w:val="00FD7810"/>
    <w:rsid w:val="00FF261D"/>
    <w:rsid w:val="00FF5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AA7BE-9E5C-4CCD-BF90-23F72D3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E724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C1D1-66A6-4B5E-BDA3-8048287B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ventanilla5</dc:creator>
  <cp:lastModifiedBy>Myriam Adelaida Galvez García</cp:lastModifiedBy>
  <cp:revision>2</cp:revision>
  <cp:lastPrinted>2012-05-21T18:10:00Z</cp:lastPrinted>
  <dcterms:created xsi:type="dcterms:W3CDTF">2016-05-09T15:21:00Z</dcterms:created>
  <dcterms:modified xsi:type="dcterms:W3CDTF">2016-05-09T15:21:00Z</dcterms:modified>
</cp:coreProperties>
</file>