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7E" w:rsidRDefault="00231B7E" w:rsidP="00A412C4">
      <w:pPr>
        <w:pStyle w:val="Sinespaciado"/>
        <w:rPr>
          <w:rFonts w:cs="Arial"/>
          <w:b/>
        </w:rPr>
      </w:pPr>
      <w:bookmarkStart w:id="0" w:name="_GoBack"/>
      <w:bookmarkEnd w:id="0"/>
    </w:p>
    <w:p w:rsidR="00502915" w:rsidRDefault="00032355" w:rsidP="00170BF4">
      <w:pPr>
        <w:pStyle w:val="Sinespaciado"/>
        <w:jc w:val="center"/>
        <w:rPr>
          <w:rFonts w:cs="Arial"/>
          <w:b/>
        </w:rPr>
      </w:pPr>
      <w:r w:rsidRPr="00F35D77">
        <w:rPr>
          <w:rFonts w:cs="Arial"/>
          <w:b/>
        </w:rPr>
        <w:t xml:space="preserve">INFORME </w:t>
      </w:r>
      <w:r w:rsidR="00DC3828">
        <w:rPr>
          <w:rFonts w:cs="Arial"/>
          <w:b/>
        </w:rPr>
        <w:t>MENSUAL</w:t>
      </w:r>
      <w:r w:rsidRPr="00F35D77">
        <w:rPr>
          <w:rFonts w:cs="Arial"/>
          <w:b/>
        </w:rPr>
        <w:t xml:space="preserve"> DE LOS FIDEICOMISOS</w:t>
      </w:r>
      <w:r w:rsidR="005E58E1" w:rsidRPr="00F35D77">
        <w:rPr>
          <w:rFonts w:cs="Arial"/>
          <w:b/>
        </w:rPr>
        <w:t xml:space="preserve"> PÚBLICOS VIGENTES</w:t>
      </w:r>
    </w:p>
    <w:p w:rsidR="00ED1B19" w:rsidRPr="00F35D77" w:rsidRDefault="00ED1B19" w:rsidP="00E40819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8073B3">
        <w:rPr>
          <w:rFonts w:cs="Arial"/>
          <w:b/>
        </w:rPr>
        <w:t xml:space="preserve">No. </w:t>
      </w:r>
      <w:r w:rsidR="00557D28">
        <w:rPr>
          <w:rFonts w:cs="Arial"/>
          <w:b/>
        </w:rPr>
        <w:t>1</w:t>
      </w:r>
      <w:r w:rsidR="00B82B82">
        <w:rPr>
          <w:rFonts w:cs="Arial"/>
          <w:b/>
        </w:rPr>
        <w:t>2</w:t>
      </w:r>
      <w:r w:rsidRPr="008073B3">
        <w:rPr>
          <w:rFonts w:cs="Arial"/>
          <w:b/>
        </w:rPr>
        <w:t>-20</w:t>
      </w:r>
      <w:r w:rsidR="00B82B82">
        <w:rPr>
          <w:rFonts w:cs="Arial"/>
          <w:b/>
        </w:rPr>
        <w:t>20</w:t>
      </w:r>
    </w:p>
    <w:p w:rsidR="00502915" w:rsidRPr="00F35D77" w:rsidRDefault="00ED1B19" w:rsidP="00170BF4">
      <w:pPr>
        <w:autoSpaceDE w:val="0"/>
        <w:autoSpaceDN w:val="0"/>
        <w:adjustRightInd w:val="0"/>
        <w:jc w:val="center"/>
        <w:rPr>
          <w:rFonts w:cs="Arial"/>
          <w:b/>
        </w:rPr>
      </w:pPr>
      <w:r>
        <w:rPr>
          <w:rFonts w:cs="Arial"/>
          <w:b/>
        </w:rPr>
        <w:t>(</w:t>
      </w:r>
      <w:r w:rsidR="008073B3">
        <w:rPr>
          <w:rFonts w:cs="Arial"/>
          <w:b/>
        </w:rPr>
        <w:t>A</w:t>
      </w:r>
      <w:r w:rsidR="007F12E7" w:rsidRPr="00F35D77">
        <w:rPr>
          <w:rFonts w:cs="Arial"/>
          <w:b/>
        </w:rPr>
        <w:t xml:space="preserve">l </w:t>
      </w:r>
      <w:r w:rsidR="00FC0F14">
        <w:rPr>
          <w:rFonts w:cs="Arial"/>
          <w:b/>
        </w:rPr>
        <w:t>3</w:t>
      </w:r>
      <w:r w:rsidR="00F67186">
        <w:rPr>
          <w:rFonts w:cs="Arial"/>
          <w:b/>
        </w:rPr>
        <w:t>1</w:t>
      </w:r>
      <w:r w:rsidR="000E7C1F">
        <w:rPr>
          <w:rFonts w:cs="Arial"/>
          <w:b/>
        </w:rPr>
        <w:t xml:space="preserve"> </w:t>
      </w:r>
      <w:r w:rsidR="00496C31">
        <w:rPr>
          <w:rFonts w:cs="Arial"/>
          <w:b/>
        </w:rPr>
        <w:t>de</w:t>
      </w:r>
      <w:r w:rsidR="00EA136C">
        <w:rPr>
          <w:rFonts w:cs="Arial"/>
          <w:b/>
        </w:rPr>
        <w:t xml:space="preserve"> </w:t>
      </w:r>
      <w:r w:rsidR="00F67186">
        <w:rPr>
          <w:rFonts w:cs="Arial"/>
          <w:b/>
        </w:rPr>
        <w:t>diciembre</w:t>
      </w:r>
      <w:r w:rsidR="00EA136C">
        <w:rPr>
          <w:rFonts w:cs="Arial"/>
          <w:b/>
        </w:rPr>
        <w:t xml:space="preserve"> </w:t>
      </w:r>
      <w:r w:rsidR="00DE6DD2" w:rsidRPr="00F35D77">
        <w:rPr>
          <w:rFonts w:cs="Arial"/>
          <w:b/>
        </w:rPr>
        <w:t>201</w:t>
      </w:r>
      <w:r w:rsidR="008D10E5">
        <w:rPr>
          <w:rFonts w:cs="Arial"/>
          <w:b/>
        </w:rPr>
        <w:t>9</w:t>
      </w:r>
      <w:r>
        <w:rPr>
          <w:rFonts w:cs="Arial"/>
          <w:b/>
        </w:rPr>
        <w:t>)</w:t>
      </w:r>
    </w:p>
    <w:p w:rsidR="000C5E96" w:rsidRPr="00A20172" w:rsidRDefault="006F2E8D" w:rsidP="006F2E8D">
      <w:pPr>
        <w:tabs>
          <w:tab w:val="left" w:pos="284"/>
        </w:tabs>
        <w:autoSpaceDE w:val="0"/>
        <w:autoSpaceDN w:val="0"/>
        <w:adjustRightInd w:val="0"/>
        <w:ind w:left="142" w:hanging="142"/>
        <w:jc w:val="both"/>
        <w:rPr>
          <w:rFonts w:cs="Arial"/>
        </w:rPr>
      </w:pPr>
      <w:r>
        <w:rPr>
          <w:rFonts w:cs="Arial"/>
        </w:rPr>
        <w:tab/>
      </w:r>
    </w:p>
    <w:p w:rsidR="00ED1B19" w:rsidRPr="008073B3" w:rsidRDefault="00ED1B19" w:rsidP="006F2E8D">
      <w:pPr>
        <w:pStyle w:val="Prrafodelista"/>
        <w:numPr>
          <w:ilvl w:val="0"/>
          <w:numId w:val="3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ind w:left="142" w:hanging="142"/>
        <w:jc w:val="both"/>
        <w:rPr>
          <w:rFonts w:cs="Arial"/>
          <w:b/>
        </w:rPr>
      </w:pPr>
      <w:r w:rsidRPr="008073B3">
        <w:rPr>
          <w:rFonts w:cs="Arial"/>
          <w:b/>
        </w:rPr>
        <w:t>Patrimonio Neto Recibido</w:t>
      </w:r>
    </w:p>
    <w:p w:rsidR="00ED1B19" w:rsidRDefault="00ED1B19" w:rsidP="00ED1B19">
      <w:pPr>
        <w:autoSpaceDE w:val="0"/>
        <w:autoSpaceDN w:val="0"/>
        <w:adjustRightInd w:val="0"/>
        <w:ind w:left="360"/>
        <w:jc w:val="both"/>
        <w:rPr>
          <w:rFonts w:cs="Arial"/>
        </w:rPr>
      </w:pPr>
    </w:p>
    <w:p w:rsidR="00F85053" w:rsidRDefault="007F12E7" w:rsidP="006F2E8D">
      <w:pPr>
        <w:autoSpaceDE w:val="0"/>
        <w:autoSpaceDN w:val="0"/>
        <w:adjustRightInd w:val="0"/>
        <w:jc w:val="both"/>
        <w:rPr>
          <w:rFonts w:cs="Arial"/>
        </w:rPr>
      </w:pPr>
      <w:r w:rsidRPr="00ED1B19">
        <w:rPr>
          <w:rFonts w:cs="Arial"/>
        </w:rPr>
        <w:t>Al</w:t>
      </w:r>
      <w:r w:rsidR="00296685" w:rsidRPr="00ED1B19">
        <w:rPr>
          <w:rFonts w:cs="Arial"/>
        </w:rPr>
        <w:t xml:space="preserve"> </w:t>
      </w:r>
      <w:r w:rsidR="00384E40">
        <w:rPr>
          <w:rFonts w:cs="Arial"/>
        </w:rPr>
        <w:t>3</w:t>
      </w:r>
      <w:r w:rsidR="00B97973">
        <w:rPr>
          <w:rFonts w:cs="Arial"/>
        </w:rPr>
        <w:t xml:space="preserve">1 </w:t>
      </w:r>
      <w:r w:rsidR="00384E40">
        <w:rPr>
          <w:rFonts w:cs="Arial"/>
        </w:rPr>
        <w:t>de</w:t>
      </w:r>
      <w:r w:rsidR="00B97973">
        <w:rPr>
          <w:rFonts w:cs="Arial"/>
        </w:rPr>
        <w:t xml:space="preserve"> dic</w:t>
      </w:r>
      <w:r w:rsidR="00061C39">
        <w:rPr>
          <w:rFonts w:cs="Arial"/>
        </w:rPr>
        <w:t xml:space="preserve">iembre </w:t>
      </w:r>
      <w:r w:rsidR="00DE6DD2" w:rsidRPr="00ED1B19">
        <w:rPr>
          <w:rFonts w:cs="Arial"/>
        </w:rPr>
        <w:t>201</w:t>
      </w:r>
      <w:r w:rsidR="00E7649A">
        <w:rPr>
          <w:rFonts w:cs="Arial"/>
        </w:rPr>
        <w:t>9</w:t>
      </w:r>
      <w:r w:rsidR="00A27EA8" w:rsidRPr="00ED1B19">
        <w:rPr>
          <w:rFonts w:cs="Arial"/>
        </w:rPr>
        <w:t>,</w:t>
      </w:r>
      <w:r w:rsidR="00624F87" w:rsidRPr="00ED1B19">
        <w:rPr>
          <w:rFonts w:cs="Arial"/>
        </w:rPr>
        <w:t xml:space="preserve"> </w:t>
      </w:r>
      <w:r w:rsidR="00BC00F6" w:rsidRPr="00ED1B19">
        <w:rPr>
          <w:rFonts w:cs="Arial"/>
        </w:rPr>
        <w:t xml:space="preserve">las </w:t>
      </w:r>
      <w:r w:rsidR="00BA3F5A" w:rsidRPr="00ED1B19">
        <w:rPr>
          <w:rFonts w:cs="Arial"/>
        </w:rPr>
        <w:t>e</w:t>
      </w:r>
      <w:r w:rsidR="00CE566D" w:rsidRPr="00ED1B19">
        <w:rPr>
          <w:rFonts w:cs="Arial"/>
        </w:rPr>
        <w:t>ntidades</w:t>
      </w:r>
      <w:r w:rsidR="00BC00F6" w:rsidRPr="00ED1B19">
        <w:rPr>
          <w:rFonts w:cs="Arial"/>
        </w:rPr>
        <w:t xml:space="preserve"> de la Administración Central, Descentralizadas y Autónomas</w:t>
      </w:r>
      <w:r w:rsidR="00701485" w:rsidRPr="00ED1B19">
        <w:rPr>
          <w:rFonts w:cs="Arial"/>
        </w:rPr>
        <w:t>,</w:t>
      </w:r>
      <w:r w:rsidR="00BC00F6" w:rsidRPr="00ED1B19">
        <w:rPr>
          <w:rFonts w:cs="Arial"/>
        </w:rPr>
        <w:t xml:space="preserve"> </w:t>
      </w:r>
      <w:r w:rsidR="00A27EA8" w:rsidRPr="00ED1B19">
        <w:rPr>
          <w:rFonts w:cs="Arial"/>
        </w:rPr>
        <w:t>reporta</w:t>
      </w:r>
      <w:r w:rsidR="00701485" w:rsidRPr="00ED1B19">
        <w:rPr>
          <w:rFonts w:cs="Arial"/>
        </w:rPr>
        <w:t>ron</w:t>
      </w:r>
      <w:r w:rsidR="00A27EA8" w:rsidRPr="00ED1B19">
        <w:rPr>
          <w:rFonts w:cs="Arial"/>
        </w:rPr>
        <w:t xml:space="preserve"> al Ministerio de Finanzas Públicas </w:t>
      </w:r>
      <w:r w:rsidR="00496C31">
        <w:rPr>
          <w:rFonts w:cs="Arial"/>
        </w:rPr>
        <w:t>2</w:t>
      </w:r>
      <w:r w:rsidR="0088310C">
        <w:rPr>
          <w:rFonts w:cs="Arial"/>
        </w:rPr>
        <w:t>5</w:t>
      </w:r>
      <w:r w:rsidR="000D340D" w:rsidRPr="00ED1B19">
        <w:rPr>
          <w:rFonts w:cs="Arial"/>
        </w:rPr>
        <w:t xml:space="preserve"> </w:t>
      </w:r>
      <w:r w:rsidR="00BC00F6" w:rsidRPr="00ED1B19">
        <w:rPr>
          <w:rFonts w:cs="Arial"/>
        </w:rPr>
        <w:t>f</w:t>
      </w:r>
      <w:r w:rsidR="00A27EA8" w:rsidRPr="00ED1B19">
        <w:rPr>
          <w:rFonts w:cs="Arial"/>
        </w:rPr>
        <w:t>ideicom</w:t>
      </w:r>
      <w:r w:rsidR="00CC7646" w:rsidRPr="00ED1B19">
        <w:rPr>
          <w:rFonts w:cs="Arial"/>
        </w:rPr>
        <w:t>i</w:t>
      </w:r>
      <w:r w:rsidR="00A27EA8" w:rsidRPr="00ED1B19">
        <w:rPr>
          <w:rFonts w:cs="Arial"/>
        </w:rPr>
        <w:t>sos públicos</w:t>
      </w:r>
      <w:r w:rsidR="005F1BC9" w:rsidRPr="00ED1B19">
        <w:rPr>
          <w:rFonts w:cs="Arial"/>
        </w:rPr>
        <w:t xml:space="preserve"> vigentes</w:t>
      </w:r>
      <w:r w:rsidR="00CE473B" w:rsidRPr="00ED1B19">
        <w:rPr>
          <w:rFonts w:cs="Arial"/>
        </w:rPr>
        <w:t>; d</w:t>
      </w:r>
      <w:r w:rsidR="00502915" w:rsidRPr="00ED1B19">
        <w:rPr>
          <w:rFonts w:cs="Arial"/>
        </w:rPr>
        <w:t xml:space="preserve">e los cuales </w:t>
      </w:r>
      <w:r w:rsidR="00701485" w:rsidRPr="00ED1B19">
        <w:rPr>
          <w:rFonts w:cs="Arial"/>
        </w:rPr>
        <w:t>e</w:t>
      </w:r>
      <w:r w:rsidR="00706215" w:rsidRPr="00ED1B19">
        <w:rPr>
          <w:rFonts w:cs="Arial"/>
        </w:rPr>
        <w:t>l</w:t>
      </w:r>
      <w:r w:rsidR="00502915" w:rsidRPr="00ED1B19">
        <w:rPr>
          <w:rFonts w:cs="Arial"/>
        </w:rPr>
        <w:t xml:space="preserve"> patrimonio </w:t>
      </w:r>
      <w:r w:rsidR="0093108D" w:rsidRPr="00ED1B19">
        <w:rPr>
          <w:rFonts w:cs="Arial"/>
        </w:rPr>
        <w:t xml:space="preserve">neto </w:t>
      </w:r>
      <w:r w:rsidR="00502915" w:rsidRPr="00ED1B19">
        <w:rPr>
          <w:rFonts w:cs="Arial"/>
        </w:rPr>
        <w:t xml:space="preserve">recibido </w:t>
      </w:r>
      <w:r w:rsidR="00326EAF" w:rsidRPr="00ED1B19">
        <w:rPr>
          <w:rFonts w:cs="Arial"/>
        </w:rPr>
        <w:t xml:space="preserve">asciende </w:t>
      </w:r>
      <w:r w:rsidR="00502915" w:rsidRPr="00ED1B19">
        <w:rPr>
          <w:rFonts w:cs="Arial"/>
        </w:rPr>
        <w:t xml:space="preserve">a </w:t>
      </w:r>
      <w:r w:rsidR="00502915" w:rsidRPr="00805961">
        <w:rPr>
          <w:rFonts w:cs="Arial"/>
        </w:rPr>
        <w:t>Q</w:t>
      </w:r>
      <w:r w:rsidR="00EC27EA" w:rsidRPr="00805961">
        <w:rPr>
          <w:rFonts w:cs="Arial"/>
        </w:rPr>
        <w:t>.</w:t>
      </w:r>
      <w:r w:rsidR="00193CE9">
        <w:rPr>
          <w:rFonts w:cs="Arial"/>
        </w:rPr>
        <w:t>17</w:t>
      </w:r>
      <w:proofErr w:type="gramStart"/>
      <w:r w:rsidR="00193CE9">
        <w:rPr>
          <w:rFonts w:cs="Arial"/>
        </w:rPr>
        <w:t>,</w:t>
      </w:r>
      <w:r w:rsidR="009C01E6">
        <w:rPr>
          <w:rFonts w:cs="Arial"/>
        </w:rPr>
        <w:t>682.1</w:t>
      </w:r>
      <w:proofErr w:type="gramEnd"/>
      <w:r w:rsidR="009C01E6">
        <w:rPr>
          <w:rFonts w:cs="Arial"/>
        </w:rPr>
        <w:t xml:space="preserve"> </w:t>
      </w:r>
      <w:r w:rsidR="00C726C7" w:rsidRPr="00805961">
        <w:rPr>
          <w:rFonts w:cs="Arial"/>
        </w:rPr>
        <w:t>m</w:t>
      </w:r>
      <w:r w:rsidR="00502915" w:rsidRPr="00805961">
        <w:rPr>
          <w:rFonts w:cs="Arial"/>
        </w:rPr>
        <w:t>illones</w:t>
      </w:r>
      <w:r w:rsidR="00701485" w:rsidRPr="00805961">
        <w:rPr>
          <w:rFonts w:cs="Arial"/>
        </w:rPr>
        <w:t>, m</w:t>
      </w:r>
      <w:r w:rsidR="00502915" w:rsidRPr="00805961">
        <w:rPr>
          <w:rFonts w:cs="Arial"/>
        </w:rPr>
        <w:t>ostrando</w:t>
      </w:r>
      <w:r w:rsidR="00502915" w:rsidRPr="00ED1B19">
        <w:rPr>
          <w:rFonts w:cs="Arial"/>
        </w:rPr>
        <w:t xml:space="preserve"> en la siguiente gráfica</w:t>
      </w:r>
      <w:r w:rsidR="00D202A8" w:rsidRPr="00ED1B19">
        <w:rPr>
          <w:rFonts w:cs="Arial"/>
        </w:rPr>
        <w:t xml:space="preserve"> </w:t>
      </w:r>
      <w:r w:rsidR="002811FA" w:rsidRPr="00ED1B19">
        <w:rPr>
          <w:rFonts w:cs="Arial"/>
        </w:rPr>
        <w:t xml:space="preserve">los montos de </w:t>
      </w:r>
      <w:r w:rsidR="00706215" w:rsidRPr="00ED1B19">
        <w:rPr>
          <w:rFonts w:cs="Arial"/>
        </w:rPr>
        <w:t xml:space="preserve">patrimonio </w:t>
      </w:r>
      <w:r w:rsidR="00CE0E39" w:rsidRPr="00ED1B19">
        <w:rPr>
          <w:rFonts w:cs="Arial"/>
        </w:rPr>
        <w:t xml:space="preserve">neto </w:t>
      </w:r>
      <w:r w:rsidR="00706215" w:rsidRPr="00ED1B19">
        <w:rPr>
          <w:rFonts w:cs="Arial"/>
        </w:rPr>
        <w:t xml:space="preserve">recibido </w:t>
      </w:r>
      <w:r w:rsidR="00D202A8" w:rsidRPr="00ED1B19">
        <w:rPr>
          <w:rFonts w:cs="Arial"/>
        </w:rPr>
        <w:t>por fiduciario</w:t>
      </w:r>
      <w:r w:rsidR="008C3D20" w:rsidRPr="00ED1B19">
        <w:rPr>
          <w:rFonts w:cs="Arial"/>
        </w:rPr>
        <w:t>:</w:t>
      </w:r>
    </w:p>
    <w:p w:rsidR="00231B7E" w:rsidRPr="00ED1B19" w:rsidRDefault="00231B7E" w:rsidP="006F2E8D">
      <w:pPr>
        <w:autoSpaceDE w:val="0"/>
        <w:autoSpaceDN w:val="0"/>
        <w:adjustRightInd w:val="0"/>
        <w:jc w:val="both"/>
        <w:rPr>
          <w:rFonts w:cs="Arial"/>
        </w:rPr>
      </w:pPr>
    </w:p>
    <w:p w:rsidR="00502915" w:rsidRPr="00343A69" w:rsidRDefault="002811FA" w:rsidP="002811FA">
      <w:pPr>
        <w:autoSpaceDE w:val="0"/>
        <w:autoSpaceDN w:val="0"/>
        <w:adjustRightInd w:val="0"/>
        <w:jc w:val="center"/>
        <w:rPr>
          <w:rFonts w:cs="Arial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3A69">
        <w:rPr>
          <w:rFonts w:cs="Arial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Gráfica No. 1</w:t>
      </w:r>
    </w:p>
    <w:p w:rsidR="00502915" w:rsidRPr="00343A69" w:rsidRDefault="00824AAD" w:rsidP="00502915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343A69">
        <w:rPr>
          <w:rFonts w:cs="Arial"/>
          <w:b/>
        </w:rPr>
        <w:t xml:space="preserve">Fideicomisos </w:t>
      </w:r>
      <w:r w:rsidR="00F10B71" w:rsidRPr="00343A69">
        <w:rPr>
          <w:rFonts w:cs="Arial"/>
          <w:b/>
        </w:rPr>
        <w:t xml:space="preserve">Públicos </w:t>
      </w:r>
      <w:r w:rsidRPr="00343A69">
        <w:rPr>
          <w:rFonts w:cs="Arial"/>
          <w:b/>
        </w:rPr>
        <w:t>Vigentes</w:t>
      </w:r>
    </w:p>
    <w:p w:rsidR="00502915" w:rsidRPr="00343A69" w:rsidRDefault="00412665" w:rsidP="00502915">
      <w:pPr>
        <w:autoSpaceDE w:val="0"/>
        <w:autoSpaceDN w:val="0"/>
        <w:adjustRightInd w:val="0"/>
        <w:jc w:val="center"/>
        <w:rPr>
          <w:rFonts w:cs="Arial"/>
          <w:b/>
          <w:vertAlign w:val="superscript"/>
        </w:rPr>
      </w:pPr>
      <w:r w:rsidRPr="00343A69">
        <w:rPr>
          <w:rFonts w:cs="Arial"/>
          <w:b/>
        </w:rPr>
        <w:t>Patrimonio</w:t>
      </w:r>
      <w:r w:rsidR="00350EA5" w:rsidRPr="00343A69">
        <w:rPr>
          <w:rFonts w:cs="Arial"/>
          <w:b/>
        </w:rPr>
        <w:t xml:space="preserve"> Neto</w:t>
      </w:r>
      <w:r w:rsidRPr="00343A69">
        <w:rPr>
          <w:rFonts w:cs="Arial"/>
          <w:b/>
        </w:rPr>
        <w:t xml:space="preserve"> Recibido p</w:t>
      </w:r>
      <w:r w:rsidR="00502915" w:rsidRPr="00343A69">
        <w:rPr>
          <w:rFonts w:cs="Arial"/>
          <w:b/>
        </w:rPr>
        <w:t xml:space="preserve">or </w:t>
      </w:r>
      <w:r w:rsidR="002733A7" w:rsidRPr="00343A69">
        <w:rPr>
          <w:rFonts w:cs="Arial"/>
          <w:b/>
        </w:rPr>
        <w:t>Fiduciario</w:t>
      </w:r>
    </w:p>
    <w:p w:rsidR="00EA434D" w:rsidRPr="00343A69" w:rsidRDefault="009578D8" w:rsidP="009C2BBA">
      <w:pPr>
        <w:tabs>
          <w:tab w:val="left" w:pos="386"/>
          <w:tab w:val="center" w:pos="4816"/>
          <w:tab w:val="right" w:pos="9696"/>
        </w:tabs>
        <w:autoSpaceDE w:val="0"/>
        <w:autoSpaceDN w:val="0"/>
        <w:adjustRightInd w:val="0"/>
        <w:rPr>
          <w:rFonts w:cs="Arial"/>
          <w:b/>
        </w:rPr>
      </w:pPr>
      <w:r w:rsidRPr="00343A69">
        <w:rPr>
          <w:rFonts w:cs="Arial"/>
        </w:rPr>
        <w:tab/>
      </w:r>
      <w:r w:rsidRPr="00343A69">
        <w:rPr>
          <w:rFonts w:cs="Arial"/>
        </w:rPr>
        <w:tab/>
      </w:r>
      <w:r w:rsidR="007F12E7" w:rsidRPr="00343A69">
        <w:rPr>
          <w:rFonts w:cs="Arial"/>
          <w:b/>
        </w:rPr>
        <w:t>A</w:t>
      </w:r>
      <w:r w:rsidR="002D6493">
        <w:rPr>
          <w:rFonts w:cs="Arial"/>
          <w:b/>
        </w:rPr>
        <w:t xml:space="preserve"> </w:t>
      </w:r>
      <w:r w:rsidR="009C01E6">
        <w:rPr>
          <w:rFonts w:cs="Arial"/>
          <w:b/>
        </w:rPr>
        <w:t>diciembre</w:t>
      </w:r>
      <w:r w:rsidR="00A14014">
        <w:rPr>
          <w:rFonts w:cs="Arial"/>
          <w:b/>
        </w:rPr>
        <w:t xml:space="preserve"> </w:t>
      </w:r>
      <w:r w:rsidR="00605F0E" w:rsidRPr="00343A69">
        <w:rPr>
          <w:rFonts w:cs="Arial"/>
          <w:b/>
        </w:rPr>
        <w:t>2</w:t>
      </w:r>
      <w:r w:rsidR="00DE6DD2" w:rsidRPr="00343A69">
        <w:rPr>
          <w:rFonts w:cs="Arial"/>
          <w:b/>
        </w:rPr>
        <w:t>01</w:t>
      </w:r>
      <w:r w:rsidR="0093481F">
        <w:rPr>
          <w:rFonts w:cs="Arial"/>
          <w:b/>
        </w:rPr>
        <w:t>9</w:t>
      </w:r>
      <w:r w:rsidR="009C2BBA" w:rsidRPr="00343A69">
        <w:rPr>
          <w:rFonts w:cs="Arial"/>
          <w:b/>
        </w:rPr>
        <w:tab/>
      </w:r>
    </w:p>
    <w:p w:rsidR="00D627D4" w:rsidRDefault="00D627D4" w:rsidP="00D627D4">
      <w:pPr>
        <w:tabs>
          <w:tab w:val="left" w:pos="386"/>
          <w:tab w:val="center" w:pos="4816"/>
        </w:tabs>
        <w:autoSpaceDE w:val="0"/>
        <w:autoSpaceDN w:val="0"/>
        <w:adjustRightInd w:val="0"/>
        <w:jc w:val="center"/>
        <w:rPr>
          <w:rFonts w:cs="Arial"/>
          <w:b/>
        </w:rPr>
      </w:pPr>
      <w:r w:rsidRPr="00343A69">
        <w:rPr>
          <w:rFonts w:cs="Arial"/>
          <w:b/>
        </w:rPr>
        <w:t>(En millones de quetzales)</w:t>
      </w:r>
    </w:p>
    <w:p w:rsidR="002019AF" w:rsidRDefault="002019AF" w:rsidP="00D627D4">
      <w:pPr>
        <w:tabs>
          <w:tab w:val="left" w:pos="386"/>
          <w:tab w:val="center" w:pos="4816"/>
        </w:tabs>
        <w:autoSpaceDE w:val="0"/>
        <w:autoSpaceDN w:val="0"/>
        <w:adjustRightInd w:val="0"/>
        <w:jc w:val="center"/>
        <w:rPr>
          <w:rFonts w:cs="Arial"/>
          <w:b/>
        </w:rPr>
      </w:pPr>
    </w:p>
    <w:p w:rsidR="000278CE" w:rsidRPr="00A20172" w:rsidRDefault="00537A32" w:rsidP="00475063">
      <w:pPr>
        <w:tabs>
          <w:tab w:val="left" w:pos="284"/>
          <w:tab w:val="center" w:pos="4816"/>
        </w:tabs>
        <w:autoSpaceDE w:val="0"/>
        <w:autoSpaceDN w:val="0"/>
        <w:adjustRightInd w:val="0"/>
        <w:ind w:left="-142"/>
        <w:jc w:val="center"/>
        <w:rPr>
          <w:rFonts w:cs="Arial"/>
          <w:b/>
        </w:rPr>
      </w:pPr>
      <w:r>
        <w:rPr>
          <w:noProof/>
          <w:lang w:val="es-GT" w:eastAsia="es-GT"/>
        </w:rPr>
        <w:drawing>
          <wp:inline distT="0" distB="0" distL="0" distR="0" wp14:anchorId="1D445E5A" wp14:editId="702620FC">
            <wp:extent cx="5149901" cy="2699309"/>
            <wp:effectExtent l="0" t="0" r="12700" b="2540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08E5" w:rsidRDefault="001F08E5" w:rsidP="0010448D">
      <w:pPr>
        <w:tabs>
          <w:tab w:val="left" w:pos="386"/>
          <w:tab w:val="center" w:pos="4816"/>
        </w:tabs>
        <w:autoSpaceDE w:val="0"/>
        <w:autoSpaceDN w:val="0"/>
        <w:adjustRightInd w:val="0"/>
        <w:jc w:val="both"/>
        <w:rPr>
          <w:rFonts w:cs="Arial"/>
          <w:b/>
        </w:rPr>
      </w:pPr>
    </w:p>
    <w:p w:rsidR="001C39C9" w:rsidRDefault="001C39C9" w:rsidP="0010448D">
      <w:pPr>
        <w:autoSpaceDE w:val="0"/>
        <w:autoSpaceDN w:val="0"/>
        <w:adjustRightInd w:val="0"/>
        <w:ind w:left="1418"/>
        <w:jc w:val="both"/>
        <w:rPr>
          <w:rFonts w:cs="Arial"/>
          <w:color w:val="000000"/>
          <w:sz w:val="16"/>
          <w:szCs w:val="20"/>
        </w:rPr>
      </w:pPr>
      <w:r w:rsidRPr="00ED1B19">
        <w:rPr>
          <w:rFonts w:cs="Arial"/>
          <w:color w:val="000000"/>
          <w:sz w:val="16"/>
          <w:szCs w:val="20"/>
        </w:rPr>
        <w:t>FUENTE: Estados financieros elaborados por los Fiduciarios.</w:t>
      </w:r>
      <w:r w:rsidR="008162AE">
        <w:rPr>
          <w:rFonts w:cs="Arial"/>
          <w:color w:val="000000"/>
          <w:sz w:val="16"/>
          <w:szCs w:val="20"/>
        </w:rPr>
        <w:t xml:space="preserve"> </w:t>
      </w:r>
    </w:p>
    <w:p w:rsidR="00170BF4" w:rsidRDefault="00170BF4" w:rsidP="0010448D">
      <w:pPr>
        <w:autoSpaceDE w:val="0"/>
        <w:autoSpaceDN w:val="0"/>
        <w:adjustRightInd w:val="0"/>
        <w:ind w:left="1418"/>
        <w:jc w:val="both"/>
        <w:rPr>
          <w:rFonts w:cs="Arial"/>
          <w:color w:val="000000"/>
          <w:sz w:val="16"/>
          <w:szCs w:val="20"/>
        </w:rPr>
      </w:pPr>
    </w:p>
    <w:p w:rsidR="00231B7E" w:rsidRDefault="00231B7E" w:rsidP="0010448D">
      <w:pPr>
        <w:autoSpaceDE w:val="0"/>
        <w:autoSpaceDN w:val="0"/>
        <w:adjustRightInd w:val="0"/>
        <w:ind w:left="1418"/>
        <w:jc w:val="both"/>
        <w:rPr>
          <w:rFonts w:cs="Arial"/>
          <w:color w:val="000000"/>
          <w:sz w:val="16"/>
          <w:szCs w:val="20"/>
        </w:rPr>
      </w:pPr>
    </w:p>
    <w:p w:rsidR="00B84C8D" w:rsidRPr="00ED1B19" w:rsidRDefault="00B84C8D" w:rsidP="00B84C8D">
      <w:pPr>
        <w:autoSpaceDE w:val="0"/>
        <w:autoSpaceDN w:val="0"/>
        <w:adjustRightInd w:val="0"/>
        <w:jc w:val="both"/>
        <w:rPr>
          <w:rFonts w:cs="Arial"/>
        </w:rPr>
      </w:pPr>
      <w:r w:rsidRPr="003022F7">
        <w:rPr>
          <w:rFonts w:cs="Arial"/>
        </w:rPr>
        <w:t>Los Q.</w:t>
      </w:r>
      <w:r w:rsidR="007211B5">
        <w:rPr>
          <w:rFonts w:cs="Arial"/>
        </w:rPr>
        <w:t>17,</w:t>
      </w:r>
      <w:r w:rsidR="00537A32">
        <w:rPr>
          <w:rFonts w:cs="Arial"/>
        </w:rPr>
        <w:t xml:space="preserve">682.1 </w:t>
      </w:r>
      <w:r w:rsidR="007211B5">
        <w:rPr>
          <w:rFonts w:cs="Arial"/>
        </w:rPr>
        <w:t>m</w:t>
      </w:r>
      <w:r w:rsidRPr="003022F7">
        <w:rPr>
          <w:rFonts w:cs="Arial"/>
        </w:rPr>
        <w:t>illones a que asciende el patrimonio neto recibido por los 2</w:t>
      </w:r>
      <w:r w:rsidR="007211B5">
        <w:rPr>
          <w:rFonts w:cs="Arial"/>
        </w:rPr>
        <w:t>5</w:t>
      </w:r>
      <w:r w:rsidRPr="003022F7">
        <w:rPr>
          <w:rFonts w:cs="Arial"/>
        </w:rPr>
        <w:t xml:space="preserve"> fideicomisos públicos vigentes reportados al Ministerio de Finanzas Públicas, se distribuyen en Q. </w:t>
      </w:r>
      <w:r w:rsidR="007211B5">
        <w:rPr>
          <w:rFonts w:cs="Arial"/>
        </w:rPr>
        <w:t>12,</w:t>
      </w:r>
      <w:r w:rsidR="00537A32">
        <w:rPr>
          <w:rFonts w:cs="Arial"/>
        </w:rPr>
        <w:t>316.42</w:t>
      </w:r>
      <w:r w:rsidR="005B12F6">
        <w:rPr>
          <w:rFonts w:cs="Arial"/>
        </w:rPr>
        <w:t xml:space="preserve"> </w:t>
      </w:r>
      <w:r w:rsidR="007211B5">
        <w:rPr>
          <w:rFonts w:cs="Arial"/>
        </w:rPr>
        <w:t>millones (70</w:t>
      </w:r>
      <w:r w:rsidRPr="003022F7">
        <w:rPr>
          <w:rFonts w:cs="Arial"/>
        </w:rPr>
        <w:t>%) otorgados a fideicomisos de categoría no reembolsable; Q. 1,52</w:t>
      </w:r>
      <w:r w:rsidR="007211B5">
        <w:rPr>
          <w:rFonts w:cs="Arial"/>
        </w:rPr>
        <w:t>9.39</w:t>
      </w:r>
      <w:r w:rsidRPr="003022F7">
        <w:rPr>
          <w:rFonts w:cs="Arial"/>
        </w:rPr>
        <w:t xml:space="preserve"> millones (</w:t>
      </w:r>
      <w:r w:rsidR="007211B5">
        <w:rPr>
          <w:rFonts w:cs="Arial"/>
        </w:rPr>
        <w:t>9</w:t>
      </w:r>
      <w:r w:rsidRPr="003022F7">
        <w:rPr>
          <w:rFonts w:cs="Arial"/>
        </w:rPr>
        <w:t>%) a fideicomisos reembolsables, y a fideicomisos de categoría mixta, 3,</w:t>
      </w:r>
      <w:r w:rsidR="00537A32">
        <w:rPr>
          <w:rFonts w:cs="Arial"/>
        </w:rPr>
        <w:t>836.29</w:t>
      </w:r>
      <w:r w:rsidR="00DB629A">
        <w:rPr>
          <w:rFonts w:cs="Arial"/>
        </w:rPr>
        <w:t xml:space="preserve"> </w:t>
      </w:r>
      <w:r w:rsidRPr="003022F7">
        <w:rPr>
          <w:rFonts w:cs="Arial"/>
        </w:rPr>
        <w:t>millones (</w:t>
      </w:r>
      <w:r w:rsidR="00516564">
        <w:rPr>
          <w:rFonts w:cs="Arial"/>
        </w:rPr>
        <w:t>21</w:t>
      </w:r>
      <w:r w:rsidRPr="003022F7">
        <w:rPr>
          <w:rFonts w:cs="Arial"/>
        </w:rPr>
        <w:t>%).</w:t>
      </w:r>
    </w:p>
    <w:p w:rsidR="002C306D" w:rsidRDefault="002C306D" w:rsidP="00170BF4">
      <w:pPr>
        <w:autoSpaceDE w:val="0"/>
        <w:autoSpaceDN w:val="0"/>
        <w:adjustRightInd w:val="0"/>
        <w:jc w:val="center"/>
        <w:rPr>
          <w:rFonts w:cs="Arial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339B" w:rsidRDefault="00C7339B" w:rsidP="00170BF4">
      <w:pPr>
        <w:autoSpaceDE w:val="0"/>
        <w:autoSpaceDN w:val="0"/>
        <w:adjustRightInd w:val="0"/>
        <w:jc w:val="center"/>
        <w:rPr>
          <w:rFonts w:cs="Arial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0BF4" w:rsidRPr="00343A69" w:rsidRDefault="00170BF4" w:rsidP="00170BF4">
      <w:pPr>
        <w:autoSpaceDE w:val="0"/>
        <w:autoSpaceDN w:val="0"/>
        <w:adjustRightInd w:val="0"/>
        <w:jc w:val="center"/>
        <w:rPr>
          <w:rFonts w:cs="Arial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Gráfica No. 2</w:t>
      </w:r>
    </w:p>
    <w:p w:rsidR="00170BF4" w:rsidRPr="00343A69" w:rsidRDefault="00170BF4" w:rsidP="00170BF4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343A69">
        <w:rPr>
          <w:rFonts w:cs="Arial"/>
          <w:b/>
        </w:rPr>
        <w:lastRenderedPageBreak/>
        <w:t>Fideicomisos Públicos Vigentes</w:t>
      </w:r>
    </w:p>
    <w:p w:rsidR="00170BF4" w:rsidRPr="00343A69" w:rsidRDefault="00170BF4" w:rsidP="00170BF4">
      <w:pPr>
        <w:autoSpaceDE w:val="0"/>
        <w:autoSpaceDN w:val="0"/>
        <w:adjustRightInd w:val="0"/>
        <w:jc w:val="center"/>
        <w:rPr>
          <w:rFonts w:cs="Arial"/>
          <w:b/>
          <w:vertAlign w:val="superscript"/>
        </w:rPr>
      </w:pPr>
      <w:r w:rsidRPr="00343A69">
        <w:rPr>
          <w:rFonts w:cs="Arial"/>
          <w:b/>
        </w:rPr>
        <w:t xml:space="preserve">Patrimonio Neto Recibido por </w:t>
      </w:r>
      <w:r>
        <w:rPr>
          <w:rFonts w:cs="Arial"/>
          <w:b/>
        </w:rPr>
        <w:t>Categoría</w:t>
      </w:r>
    </w:p>
    <w:p w:rsidR="00170BF4" w:rsidRPr="00343A69" w:rsidRDefault="00170BF4" w:rsidP="00170BF4">
      <w:pPr>
        <w:tabs>
          <w:tab w:val="left" w:pos="386"/>
          <w:tab w:val="center" w:pos="4816"/>
          <w:tab w:val="right" w:pos="9696"/>
        </w:tabs>
        <w:autoSpaceDE w:val="0"/>
        <w:autoSpaceDN w:val="0"/>
        <w:adjustRightInd w:val="0"/>
        <w:rPr>
          <w:rFonts w:cs="Arial"/>
          <w:b/>
        </w:rPr>
      </w:pPr>
      <w:r w:rsidRPr="00343A69">
        <w:rPr>
          <w:rFonts w:cs="Arial"/>
        </w:rPr>
        <w:tab/>
      </w:r>
      <w:r w:rsidRPr="00343A69">
        <w:rPr>
          <w:rFonts w:cs="Arial"/>
        </w:rPr>
        <w:tab/>
      </w:r>
      <w:r w:rsidRPr="00343A69">
        <w:rPr>
          <w:rFonts w:cs="Arial"/>
          <w:b/>
        </w:rPr>
        <w:t>A</w:t>
      </w:r>
      <w:r>
        <w:rPr>
          <w:rFonts w:cs="Arial"/>
          <w:b/>
        </w:rPr>
        <w:t xml:space="preserve"> </w:t>
      </w:r>
      <w:r w:rsidR="006472F7">
        <w:rPr>
          <w:rFonts w:cs="Arial"/>
          <w:b/>
        </w:rPr>
        <w:t>diciembre</w:t>
      </w:r>
      <w:r w:rsidR="002E7723">
        <w:rPr>
          <w:rFonts w:cs="Arial"/>
          <w:b/>
        </w:rPr>
        <w:t xml:space="preserve"> </w:t>
      </w:r>
      <w:r w:rsidRPr="00343A69">
        <w:rPr>
          <w:rFonts w:cs="Arial"/>
          <w:b/>
        </w:rPr>
        <w:t>201</w:t>
      </w:r>
      <w:r>
        <w:rPr>
          <w:rFonts w:cs="Arial"/>
          <w:b/>
        </w:rPr>
        <w:t>9</w:t>
      </w:r>
      <w:r w:rsidRPr="00343A69">
        <w:rPr>
          <w:rFonts w:cs="Arial"/>
          <w:b/>
        </w:rPr>
        <w:tab/>
      </w:r>
    </w:p>
    <w:p w:rsidR="00170BF4" w:rsidRDefault="00170BF4" w:rsidP="00170BF4">
      <w:pPr>
        <w:tabs>
          <w:tab w:val="left" w:pos="386"/>
          <w:tab w:val="center" w:pos="4816"/>
        </w:tabs>
        <w:autoSpaceDE w:val="0"/>
        <w:autoSpaceDN w:val="0"/>
        <w:adjustRightInd w:val="0"/>
        <w:jc w:val="center"/>
        <w:rPr>
          <w:rFonts w:cs="Arial"/>
          <w:b/>
        </w:rPr>
      </w:pPr>
      <w:r w:rsidRPr="00343A69">
        <w:rPr>
          <w:rFonts w:cs="Arial"/>
          <w:b/>
        </w:rPr>
        <w:t>(En millones de quetzales)</w:t>
      </w:r>
    </w:p>
    <w:p w:rsidR="00A412C4" w:rsidRDefault="00A412C4" w:rsidP="00170BF4">
      <w:pPr>
        <w:tabs>
          <w:tab w:val="left" w:pos="386"/>
          <w:tab w:val="center" w:pos="4816"/>
        </w:tabs>
        <w:autoSpaceDE w:val="0"/>
        <w:autoSpaceDN w:val="0"/>
        <w:adjustRightInd w:val="0"/>
        <w:jc w:val="center"/>
        <w:rPr>
          <w:rFonts w:cs="Arial"/>
          <w:b/>
        </w:rPr>
      </w:pPr>
    </w:p>
    <w:p w:rsidR="00170BF4" w:rsidRDefault="006472F7" w:rsidP="00170BF4">
      <w:pPr>
        <w:tabs>
          <w:tab w:val="left" w:pos="386"/>
          <w:tab w:val="center" w:pos="4816"/>
        </w:tabs>
        <w:autoSpaceDE w:val="0"/>
        <w:autoSpaceDN w:val="0"/>
        <w:adjustRightInd w:val="0"/>
        <w:jc w:val="center"/>
        <w:rPr>
          <w:rFonts w:cs="Arial"/>
          <w:b/>
        </w:rPr>
      </w:pPr>
      <w:r>
        <w:rPr>
          <w:noProof/>
          <w:lang w:val="es-GT" w:eastAsia="es-GT"/>
        </w:rPr>
        <w:drawing>
          <wp:inline distT="0" distB="0" distL="0" distR="0" wp14:anchorId="05C86840" wp14:editId="74540F20">
            <wp:extent cx="3621024" cy="1594714"/>
            <wp:effectExtent l="0" t="0" r="17780" b="2476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412C4" w:rsidRDefault="00A412C4" w:rsidP="00170BF4">
      <w:pPr>
        <w:autoSpaceDE w:val="0"/>
        <w:autoSpaceDN w:val="0"/>
        <w:adjustRightInd w:val="0"/>
        <w:ind w:left="1418"/>
        <w:jc w:val="both"/>
        <w:rPr>
          <w:rFonts w:cs="Arial"/>
          <w:color w:val="000000"/>
          <w:sz w:val="16"/>
          <w:szCs w:val="20"/>
        </w:rPr>
      </w:pPr>
    </w:p>
    <w:p w:rsidR="00170BF4" w:rsidRDefault="00170BF4" w:rsidP="00170BF4">
      <w:pPr>
        <w:autoSpaceDE w:val="0"/>
        <w:autoSpaceDN w:val="0"/>
        <w:adjustRightInd w:val="0"/>
        <w:ind w:left="1418"/>
        <w:jc w:val="both"/>
        <w:rPr>
          <w:rFonts w:cs="Arial"/>
          <w:color w:val="000000"/>
          <w:sz w:val="16"/>
          <w:szCs w:val="20"/>
        </w:rPr>
      </w:pPr>
      <w:r w:rsidRPr="00ED1B19">
        <w:rPr>
          <w:rFonts w:cs="Arial"/>
          <w:color w:val="000000"/>
          <w:sz w:val="16"/>
          <w:szCs w:val="20"/>
        </w:rPr>
        <w:t>FUENTE: Estados financieros elaborados por los Fiduciarios.</w:t>
      </w:r>
      <w:r>
        <w:rPr>
          <w:rFonts w:cs="Arial"/>
          <w:color w:val="000000"/>
          <w:sz w:val="16"/>
          <w:szCs w:val="20"/>
        </w:rPr>
        <w:t xml:space="preserve"> </w:t>
      </w:r>
    </w:p>
    <w:p w:rsidR="00CB5045" w:rsidRDefault="00CB5045" w:rsidP="00CB5045">
      <w:pPr>
        <w:pStyle w:val="Prrafodelista"/>
        <w:autoSpaceDE w:val="0"/>
        <w:autoSpaceDN w:val="0"/>
        <w:adjustRightInd w:val="0"/>
        <w:jc w:val="both"/>
        <w:rPr>
          <w:rFonts w:cs="Arial"/>
          <w:b/>
        </w:rPr>
      </w:pPr>
    </w:p>
    <w:p w:rsidR="00ED1B19" w:rsidRPr="006F2E8D" w:rsidRDefault="00ED1B19" w:rsidP="006F2E8D">
      <w:pPr>
        <w:pStyle w:val="Prrafodelista"/>
        <w:numPr>
          <w:ilvl w:val="0"/>
          <w:numId w:val="3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ind w:left="142" w:hanging="142"/>
        <w:jc w:val="both"/>
        <w:rPr>
          <w:rFonts w:cs="Arial"/>
          <w:b/>
        </w:rPr>
      </w:pPr>
      <w:r w:rsidRPr="006F2E8D">
        <w:rPr>
          <w:rFonts w:cs="Arial"/>
          <w:b/>
        </w:rPr>
        <w:t>Inversión No Reembolsable y Gastos</w:t>
      </w:r>
    </w:p>
    <w:p w:rsidR="006F2E8D" w:rsidRPr="006F2E8D" w:rsidRDefault="006F2E8D" w:rsidP="006F2E8D">
      <w:pPr>
        <w:autoSpaceDE w:val="0"/>
        <w:autoSpaceDN w:val="0"/>
        <w:adjustRightInd w:val="0"/>
        <w:ind w:left="360"/>
        <w:jc w:val="both"/>
        <w:rPr>
          <w:rFonts w:cs="Arial"/>
          <w:color w:val="000000" w:themeColor="text1"/>
        </w:rPr>
      </w:pPr>
    </w:p>
    <w:p w:rsidR="00814CE3" w:rsidRDefault="00885B56" w:rsidP="00BC00F6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4969EF">
        <w:rPr>
          <w:rFonts w:cs="Arial"/>
          <w:color w:val="000000" w:themeColor="text1"/>
        </w:rPr>
        <w:t xml:space="preserve">Para el ejercicio fiscal </w:t>
      </w:r>
      <w:r w:rsidR="00F830DC">
        <w:rPr>
          <w:rFonts w:cs="Arial"/>
          <w:color w:val="000000"/>
        </w:rPr>
        <w:t>2017</w:t>
      </w:r>
      <w:r>
        <w:rPr>
          <w:rFonts w:cs="Arial"/>
          <w:color w:val="000000"/>
        </w:rPr>
        <w:t xml:space="preserve"> </w:t>
      </w:r>
      <w:r w:rsidR="00707B9D" w:rsidRPr="005F39CB">
        <w:rPr>
          <w:rFonts w:cs="Arial"/>
          <w:color w:val="000000" w:themeColor="text1"/>
        </w:rPr>
        <w:t>la inversi</w:t>
      </w:r>
      <w:r w:rsidR="00707B9D" w:rsidRPr="00EA0193">
        <w:rPr>
          <w:rFonts w:cs="Arial"/>
          <w:color w:val="000000" w:themeColor="text1"/>
        </w:rPr>
        <w:t xml:space="preserve">ón no reembolsable </w:t>
      </w:r>
      <w:r w:rsidR="00D05751" w:rsidRPr="00EA0193">
        <w:rPr>
          <w:rFonts w:cs="Arial"/>
          <w:color w:val="000000" w:themeColor="text1"/>
        </w:rPr>
        <w:t>(</w:t>
      </w:r>
      <w:r w:rsidR="005F39CB" w:rsidRPr="00EA0193">
        <w:rPr>
          <w:rFonts w:cs="Arial"/>
          <w:color w:val="000000" w:themeColor="text1"/>
        </w:rPr>
        <w:t xml:space="preserve">ejecución de proyectos no </w:t>
      </w:r>
      <w:r w:rsidR="005F39CB" w:rsidRPr="004969EF">
        <w:rPr>
          <w:rFonts w:cs="Arial"/>
          <w:color w:val="000000" w:themeColor="text1"/>
        </w:rPr>
        <w:t>reembolsables y</w:t>
      </w:r>
      <w:r w:rsidR="00D05751" w:rsidRPr="004969EF">
        <w:rPr>
          <w:rFonts w:cs="Arial"/>
          <w:color w:val="000000" w:themeColor="text1"/>
        </w:rPr>
        <w:t xml:space="preserve"> </w:t>
      </w:r>
      <w:r w:rsidR="005F39CB" w:rsidRPr="004969EF">
        <w:rPr>
          <w:rFonts w:cs="Arial"/>
          <w:color w:val="000000" w:themeColor="text1"/>
        </w:rPr>
        <w:t>gastos por funcionamiento</w:t>
      </w:r>
      <w:r w:rsidR="00D05751" w:rsidRPr="004969EF">
        <w:rPr>
          <w:rFonts w:cs="Arial"/>
          <w:color w:val="000000" w:themeColor="text1"/>
        </w:rPr>
        <w:t xml:space="preserve">) </w:t>
      </w:r>
      <w:r w:rsidR="00707B9D" w:rsidRPr="004969EF">
        <w:rPr>
          <w:rFonts w:cs="Arial"/>
          <w:color w:val="000000"/>
        </w:rPr>
        <w:t>ascend</w:t>
      </w:r>
      <w:r w:rsidR="00ED1B19" w:rsidRPr="004969EF">
        <w:rPr>
          <w:rFonts w:cs="Arial"/>
          <w:color w:val="000000"/>
        </w:rPr>
        <w:t>ió</w:t>
      </w:r>
      <w:r w:rsidR="00707B9D" w:rsidRPr="004969EF">
        <w:rPr>
          <w:rFonts w:cs="Arial"/>
          <w:color w:val="000000"/>
        </w:rPr>
        <w:t xml:space="preserve"> a </w:t>
      </w:r>
      <w:r w:rsidR="00B718F3" w:rsidRPr="00757988">
        <w:rPr>
          <w:rFonts w:cs="Arial"/>
          <w:color w:val="000000"/>
        </w:rPr>
        <w:t>Q.</w:t>
      </w:r>
      <w:r w:rsidR="0093222A" w:rsidRPr="00757988">
        <w:rPr>
          <w:rFonts w:cs="Arial"/>
          <w:color w:val="000000"/>
        </w:rPr>
        <w:t>1</w:t>
      </w:r>
      <w:proofErr w:type="gramStart"/>
      <w:r w:rsidR="0093222A" w:rsidRPr="00757988">
        <w:rPr>
          <w:rFonts w:cs="Arial"/>
          <w:color w:val="000000"/>
        </w:rPr>
        <w:t>,</w:t>
      </w:r>
      <w:r w:rsidR="00F830DC">
        <w:rPr>
          <w:rFonts w:cs="Arial"/>
          <w:color w:val="000000"/>
        </w:rPr>
        <w:t>268.6</w:t>
      </w:r>
      <w:r w:rsidR="0093222A" w:rsidRPr="00757988">
        <w:rPr>
          <w:rFonts w:cs="Arial"/>
          <w:color w:val="000000"/>
        </w:rPr>
        <w:t>8</w:t>
      </w:r>
      <w:proofErr w:type="gramEnd"/>
      <w:r w:rsidR="0093222A" w:rsidRPr="00757988">
        <w:rPr>
          <w:rFonts w:cs="Arial"/>
          <w:color w:val="000000"/>
        </w:rPr>
        <w:t xml:space="preserve"> millones</w:t>
      </w:r>
      <w:r w:rsidR="003D4692">
        <w:rPr>
          <w:rFonts w:cs="Arial"/>
          <w:color w:val="000000"/>
        </w:rPr>
        <w:t xml:space="preserve"> y para el año 201</w:t>
      </w:r>
      <w:r w:rsidR="00C86D3E">
        <w:rPr>
          <w:rFonts w:cs="Arial"/>
          <w:color w:val="000000"/>
        </w:rPr>
        <w:t>8</w:t>
      </w:r>
      <w:r w:rsidR="003D4692">
        <w:rPr>
          <w:rFonts w:cs="Arial"/>
          <w:color w:val="000000"/>
        </w:rPr>
        <w:t xml:space="preserve"> r</w:t>
      </w:r>
      <w:r w:rsidR="003D4692" w:rsidRPr="00BD50CC">
        <w:rPr>
          <w:rFonts w:cs="Arial"/>
          <w:color w:val="000000" w:themeColor="text1"/>
        </w:rPr>
        <w:t>eflej</w:t>
      </w:r>
      <w:r w:rsidR="006A2D06" w:rsidRPr="00BD50CC">
        <w:rPr>
          <w:rFonts w:cs="Arial"/>
          <w:color w:val="000000" w:themeColor="text1"/>
        </w:rPr>
        <w:t>ó</w:t>
      </w:r>
      <w:r w:rsidR="003D4692">
        <w:rPr>
          <w:rFonts w:cs="Arial"/>
          <w:color w:val="000000"/>
        </w:rPr>
        <w:t xml:space="preserve"> Q.1,</w:t>
      </w:r>
      <w:r w:rsidR="00C86D3E">
        <w:rPr>
          <w:rFonts w:cs="Arial"/>
          <w:color w:val="000000"/>
        </w:rPr>
        <w:t xml:space="preserve">612.4 </w:t>
      </w:r>
      <w:r w:rsidR="003D4692">
        <w:rPr>
          <w:rFonts w:cs="Arial"/>
          <w:color w:val="000000"/>
        </w:rPr>
        <w:t>millones.</w:t>
      </w:r>
      <w:r w:rsidR="00814CE3">
        <w:rPr>
          <w:rFonts w:cs="Arial"/>
          <w:color w:val="000000"/>
        </w:rPr>
        <w:t xml:space="preserve"> </w:t>
      </w:r>
      <w:r w:rsidR="00B4387B">
        <w:rPr>
          <w:rFonts w:cs="Arial"/>
          <w:color w:val="000000" w:themeColor="text1"/>
        </w:rPr>
        <w:t>A</w:t>
      </w:r>
      <w:r w:rsidR="009728F8">
        <w:rPr>
          <w:rFonts w:cs="Arial"/>
          <w:color w:val="000000" w:themeColor="text1"/>
        </w:rPr>
        <w:t xml:space="preserve"> </w:t>
      </w:r>
      <w:r w:rsidR="006472F7">
        <w:rPr>
          <w:rFonts w:cs="Arial"/>
          <w:color w:val="000000" w:themeColor="text1"/>
        </w:rPr>
        <w:t xml:space="preserve">diciembre </w:t>
      </w:r>
      <w:r w:rsidR="00707B9D" w:rsidRPr="00C3420B">
        <w:rPr>
          <w:rFonts w:cs="Arial"/>
          <w:color w:val="000000"/>
        </w:rPr>
        <w:t>201</w:t>
      </w:r>
      <w:r w:rsidR="009728F8">
        <w:rPr>
          <w:rFonts w:cs="Arial"/>
          <w:color w:val="000000"/>
        </w:rPr>
        <w:t>9</w:t>
      </w:r>
      <w:r w:rsidR="00133CD9" w:rsidRPr="00C3420B">
        <w:rPr>
          <w:rFonts w:cs="Arial"/>
          <w:color w:val="000000"/>
        </w:rPr>
        <w:t xml:space="preserve"> </w:t>
      </w:r>
      <w:r w:rsidR="00133CD9" w:rsidRPr="0007600F">
        <w:rPr>
          <w:rFonts w:cs="Arial"/>
          <w:color w:val="000000"/>
        </w:rPr>
        <w:t>la inversión no reembolsable reflej</w:t>
      </w:r>
      <w:r w:rsidR="003C4ED9" w:rsidRPr="0007600F">
        <w:rPr>
          <w:rFonts w:cs="Arial"/>
          <w:color w:val="000000"/>
        </w:rPr>
        <w:t>ó</w:t>
      </w:r>
      <w:r w:rsidR="00F93CD9">
        <w:rPr>
          <w:rFonts w:cs="Arial"/>
          <w:color w:val="000000"/>
        </w:rPr>
        <w:t xml:space="preserve"> </w:t>
      </w:r>
      <w:r w:rsidR="001D50AC">
        <w:rPr>
          <w:rFonts w:cs="Arial"/>
          <w:color w:val="000000"/>
        </w:rPr>
        <w:t>Q.</w:t>
      </w:r>
      <w:r w:rsidR="00A57887">
        <w:rPr>
          <w:rFonts w:cs="Arial"/>
          <w:color w:val="000000"/>
        </w:rPr>
        <w:t>1</w:t>
      </w:r>
      <w:proofErr w:type="gramStart"/>
      <w:r w:rsidR="00404539">
        <w:rPr>
          <w:rFonts w:cs="Arial"/>
          <w:color w:val="000000"/>
        </w:rPr>
        <w:t>,</w:t>
      </w:r>
      <w:r w:rsidR="006472F7">
        <w:rPr>
          <w:rFonts w:cs="Arial"/>
          <w:color w:val="000000"/>
        </w:rPr>
        <w:t>241.6</w:t>
      </w:r>
      <w:proofErr w:type="gramEnd"/>
      <w:r w:rsidR="001E50B5">
        <w:rPr>
          <w:rFonts w:cs="Arial"/>
          <w:color w:val="000000"/>
        </w:rPr>
        <w:t xml:space="preserve"> </w:t>
      </w:r>
      <w:r w:rsidR="00F93CD9">
        <w:rPr>
          <w:rFonts w:cs="Arial"/>
          <w:color w:val="000000"/>
        </w:rPr>
        <w:t>millones</w:t>
      </w:r>
      <w:r w:rsidR="00814CE3">
        <w:rPr>
          <w:rFonts w:cs="Arial"/>
          <w:color w:val="000000"/>
        </w:rPr>
        <w:t>.</w:t>
      </w:r>
    </w:p>
    <w:p w:rsidR="00814CE3" w:rsidRDefault="00814CE3" w:rsidP="00BC00F6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2811FA" w:rsidRPr="00A20172" w:rsidRDefault="002811FA" w:rsidP="002811FA">
      <w:pPr>
        <w:autoSpaceDE w:val="0"/>
        <w:autoSpaceDN w:val="0"/>
        <w:adjustRightInd w:val="0"/>
        <w:jc w:val="center"/>
        <w:rPr>
          <w:rFonts w:cs="Arial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0172">
        <w:rPr>
          <w:rFonts w:cs="Arial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Cuadro No. 1</w:t>
      </w:r>
    </w:p>
    <w:p w:rsidR="00F10B71" w:rsidRPr="00A20172" w:rsidRDefault="00F10B71" w:rsidP="00F10B71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A20172">
        <w:rPr>
          <w:rFonts w:cs="Arial"/>
          <w:b/>
        </w:rPr>
        <w:t>Fideicomisos Públicos Vigentes</w:t>
      </w:r>
    </w:p>
    <w:p w:rsidR="00A27EA8" w:rsidRPr="00A20172" w:rsidRDefault="00A27EA8" w:rsidP="00A27EA8">
      <w:pPr>
        <w:autoSpaceDE w:val="0"/>
        <w:autoSpaceDN w:val="0"/>
        <w:adjustRightInd w:val="0"/>
        <w:jc w:val="center"/>
        <w:rPr>
          <w:rFonts w:cs="Arial"/>
          <w:vertAlign w:val="superscript"/>
        </w:rPr>
      </w:pPr>
      <w:r w:rsidRPr="00A20172">
        <w:rPr>
          <w:rFonts w:cs="Arial"/>
          <w:b/>
        </w:rPr>
        <w:t>Inversión No Reembolsable y Gastos</w:t>
      </w:r>
      <w:r w:rsidRPr="00A20172">
        <w:rPr>
          <w:rFonts w:cs="Arial"/>
          <w:vertAlign w:val="superscript"/>
        </w:rPr>
        <w:t>1/</w:t>
      </w:r>
    </w:p>
    <w:p w:rsidR="00BC00F6" w:rsidRPr="00A20172" w:rsidRDefault="00BC00F6" w:rsidP="00BA299E">
      <w:pPr>
        <w:autoSpaceDE w:val="0"/>
        <w:autoSpaceDN w:val="0"/>
        <w:adjustRightInd w:val="0"/>
        <w:jc w:val="center"/>
        <w:rPr>
          <w:rFonts w:cs="Arial"/>
        </w:rPr>
      </w:pPr>
      <w:r w:rsidRPr="00A20172">
        <w:rPr>
          <w:rFonts w:cs="Arial"/>
        </w:rPr>
        <w:t>Período</w:t>
      </w:r>
      <w:r w:rsidR="0044544B" w:rsidRPr="00A20172">
        <w:rPr>
          <w:rFonts w:cs="Arial"/>
        </w:rPr>
        <w:t xml:space="preserve"> </w:t>
      </w:r>
      <w:r w:rsidR="00A04BED">
        <w:rPr>
          <w:rFonts w:cs="Arial"/>
        </w:rPr>
        <w:t>2012</w:t>
      </w:r>
      <w:r w:rsidRPr="00A20172">
        <w:rPr>
          <w:rFonts w:cs="Arial"/>
        </w:rPr>
        <w:t xml:space="preserve"> </w:t>
      </w:r>
      <w:r w:rsidR="00CA3460" w:rsidRPr="00A20172">
        <w:rPr>
          <w:rFonts w:cs="Arial"/>
        </w:rPr>
        <w:t>a</w:t>
      </w:r>
      <w:r w:rsidR="00045005">
        <w:rPr>
          <w:rFonts w:cs="Arial"/>
        </w:rPr>
        <w:t xml:space="preserve"> </w:t>
      </w:r>
      <w:r w:rsidR="00062228">
        <w:rPr>
          <w:rFonts w:cs="Arial"/>
        </w:rPr>
        <w:t>diciembre</w:t>
      </w:r>
      <w:r w:rsidR="00D4743E">
        <w:rPr>
          <w:rFonts w:cs="Arial"/>
        </w:rPr>
        <w:t xml:space="preserve"> </w:t>
      </w:r>
      <w:r w:rsidR="00BE0459">
        <w:rPr>
          <w:rFonts w:cs="Arial"/>
        </w:rPr>
        <w:t>201</w:t>
      </w:r>
      <w:r w:rsidR="007C6504">
        <w:rPr>
          <w:rFonts w:cs="Arial"/>
        </w:rPr>
        <w:t>9</w:t>
      </w:r>
      <w:r w:rsidR="00255FFA" w:rsidRPr="00A20172">
        <w:rPr>
          <w:rFonts w:cs="Arial"/>
          <w:vertAlign w:val="superscript"/>
        </w:rPr>
        <w:t>2/</w:t>
      </w:r>
    </w:p>
    <w:p w:rsidR="00C11D0C" w:rsidRDefault="00C11D0C" w:rsidP="00C11D0C">
      <w:pPr>
        <w:autoSpaceDE w:val="0"/>
        <w:autoSpaceDN w:val="0"/>
        <w:adjustRightInd w:val="0"/>
        <w:jc w:val="center"/>
        <w:rPr>
          <w:rFonts w:cs="Arial"/>
        </w:rPr>
      </w:pPr>
      <w:r w:rsidRPr="00A20172">
        <w:rPr>
          <w:rFonts w:cs="Arial"/>
        </w:rPr>
        <w:t>-Millones de Quetzales-</w:t>
      </w:r>
    </w:p>
    <w:p w:rsidR="000416D6" w:rsidRPr="00A20172" w:rsidRDefault="000416D6" w:rsidP="00C11D0C">
      <w:pPr>
        <w:autoSpaceDE w:val="0"/>
        <w:autoSpaceDN w:val="0"/>
        <w:adjustRightInd w:val="0"/>
        <w:jc w:val="center"/>
        <w:rPr>
          <w:rFonts w:cs="Arial"/>
        </w:rPr>
      </w:pPr>
    </w:p>
    <w:tbl>
      <w:tblPr>
        <w:tblW w:w="733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"/>
        <w:gridCol w:w="1596"/>
        <w:gridCol w:w="715"/>
        <w:gridCol w:w="1775"/>
        <w:gridCol w:w="715"/>
        <w:gridCol w:w="997"/>
        <w:gridCol w:w="783"/>
      </w:tblGrid>
      <w:tr w:rsidR="00086716" w:rsidRPr="00103349" w:rsidTr="00A473EB">
        <w:trPr>
          <w:trHeight w:val="459"/>
          <w:jc w:val="center"/>
        </w:trPr>
        <w:tc>
          <w:tcPr>
            <w:tcW w:w="8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000000" w:fill="4F81BD"/>
            <w:vAlign w:val="center"/>
            <w:hideMark/>
          </w:tcPr>
          <w:p w:rsidR="00103349" w:rsidRPr="00103349" w:rsidRDefault="00103349" w:rsidP="00103349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103349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GT"/>
              </w:rPr>
              <w:t>Años</w:t>
            </w:r>
          </w:p>
        </w:tc>
        <w:tc>
          <w:tcPr>
            <w:tcW w:w="150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000000" w:fill="4F81BD"/>
            <w:vAlign w:val="center"/>
            <w:hideMark/>
          </w:tcPr>
          <w:p w:rsidR="00103349" w:rsidRPr="00103349" w:rsidRDefault="00103349" w:rsidP="00103349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103349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GT"/>
              </w:rPr>
              <w:t>Administración Central</w:t>
            </w:r>
          </w:p>
        </w:tc>
        <w:tc>
          <w:tcPr>
            <w:tcW w:w="789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000000" w:fill="4F81BD"/>
            <w:vAlign w:val="center"/>
            <w:hideMark/>
          </w:tcPr>
          <w:p w:rsidR="00103349" w:rsidRPr="00103349" w:rsidRDefault="00103349" w:rsidP="00103349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103349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GT"/>
              </w:rPr>
              <w:t>%</w:t>
            </w:r>
          </w:p>
        </w:tc>
        <w:tc>
          <w:tcPr>
            <w:tcW w:w="167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000000" w:fill="4F81BD"/>
            <w:vAlign w:val="center"/>
            <w:hideMark/>
          </w:tcPr>
          <w:p w:rsidR="00103349" w:rsidRPr="00103349" w:rsidRDefault="00103349" w:rsidP="00103349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103349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GT"/>
              </w:rPr>
              <w:t>Descentralizadas y Autónomas</w:t>
            </w:r>
          </w:p>
        </w:tc>
        <w:tc>
          <w:tcPr>
            <w:tcW w:w="789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000000" w:fill="4F81BD"/>
            <w:vAlign w:val="center"/>
            <w:hideMark/>
          </w:tcPr>
          <w:p w:rsidR="00103349" w:rsidRPr="00103349" w:rsidRDefault="00103349" w:rsidP="00103349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103349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GT"/>
              </w:rPr>
              <w:t>%</w:t>
            </w:r>
          </w:p>
        </w:tc>
        <w:tc>
          <w:tcPr>
            <w:tcW w:w="939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000000" w:fill="4F81BD"/>
            <w:vAlign w:val="center"/>
            <w:hideMark/>
          </w:tcPr>
          <w:p w:rsidR="00103349" w:rsidRPr="00103349" w:rsidRDefault="00103349" w:rsidP="00103349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103349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GT"/>
              </w:rPr>
              <w:t>Total</w:t>
            </w:r>
          </w:p>
        </w:tc>
        <w:tc>
          <w:tcPr>
            <w:tcW w:w="82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000000" w:fill="4F81BD"/>
            <w:vAlign w:val="center"/>
            <w:hideMark/>
          </w:tcPr>
          <w:p w:rsidR="00103349" w:rsidRPr="00103349" w:rsidRDefault="00103349" w:rsidP="00103349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103349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GT"/>
              </w:rPr>
              <w:t>%</w:t>
            </w:r>
          </w:p>
        </w:tc>
      </w:tr>
      <w:tr w:rsidR="00086716" w:rsidRPr="00103349" w:rsidTr="00A473EB">
        <w:trPr>
          <w:trHeight w:val="185"/>
          <w:jc w:val="center"/>
        </w:trPr>
        <w:tc>
          <w:tcPr>
            <w:tcW w:w="809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000000" w:fill="D3DFEE"/>
            <w:vAlign w:val="center"/>
            <w:hideMark/>
          </w:tcPr>
          <w:p w:rsidR="00103349" w:rsidRPr="00103349" w:rsidRDefault="00103349" w:rsidP="00103349">
            <w:pPr>
              <w:jc w:val="center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eastAsia="es-GT"/>
              </w:rPr>
              <w:t>2012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000000" w:fill="D3DFEE"/>
            <w:vAlign w:val="center"/>
            <w:hideMark/>
          </w:tcPr>
          <w:p w:rsidR="00103349" w:rsidRPr="00103349" w:rsidRDefault="00103349" w:rsidP="00103349">
            <w:pPr>
              <w:jc w:val="right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val="es-GT" w:eastAsia="es-GT"/>
              </w:rPr>
              <w:t>2,074.60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000000" w:fill="D3DFEE"/>
            <w:vAlign w:val="center"/>
            <w:hideMark/>
          </w:tcPr>
          <w:p w:rsidR="00103349" w:rsidRPr="00103349" w:rsidRDefault="00103349" w:rsidP="00103349">
            <w:pPr>
              <w:jc w:val="center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val="es-GT" w:eastAsia="es-GT"/>
              </w:rPr>
              <w:t>80%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000000" w:fill="D3DFEE"/>
            <w:vAlign w:val="center"/>
            <w:hideMark/>
          </w:tcPr>
          <w:p w:rsidR="00103349" w:rsidRPr="00103349" w:rsidRDefault="00103349" w:rsidP="00103349">
            <w:pPr>
              <w:jc w:val="right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val="es-GT" w:eastAsia="es-GT"/>
              </w:rPr>
              <w:t>508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000000" w:fill="D3DFEE"/>
            <w:vAlign w:val="center"/>
            <w:hideMark/>
          </w:tcPr>
          <w:p w:rsidR="00103349" w:rsidRPr="00103349" w:rsidRDefault="00103349" w:rsidP="00103349">
            <w:pPr>
              <w:jc w:val="center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val="es-GT" w:eastAsia="es-GT"/>
              </w:rPr>
              <w:t>20%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000000" w:fill="D3DFEE"/>
            <w:vAlign w:val="center"/>
            <w:hideMark/>
          </w:tcPr>
          <w:p w:rsidR="00103349" w:rsidRPr="00103349" w:rsidRDefault="00103349" w:rsidP="00103349">
            <w:pPr>
              <w:jc w:val="right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val="es-GT" w:eastAsia="es-GT"/>
              </w:rPr>
              <w:t>2,582.60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000000" w:fill="D3DFEE"/>
            <w:vAlign w:val="center"/>
            <w:hideMark/>
          </w:tcPr>
          <w:p w:rsidR="00103349" w:rsidRPr="00103349" w:rsidRDefault="00103349" w:rsidP="00103349">
            <w:pPr>
              <w:jc w:val="center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val="es-GT" w:eastAsia="es-GT"/>
              </w:rPr>
              <w:t>100%</w:t>
            </w:r>
          </w:p>
        </w:tc>
      </w:tr>
      <w:tr w:rsidR="00103349" w:rsidRPr="00103349" w:rsidTr="00A473EB">
        <w:trPr>
          <w:trHeight w:val="185"/>
          <w:jc w:val="center"/>
        </w:trPr>
        <w:tc>
          <w:tcPr>
            <w:tcW w:w="809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vAlign w:val="center"/>
            <w:hideMark/>
          </w:tcPr>
          <w:p w:rsidR="00103349" w:rsidRPr="00103349" w:rsidRDefault="00103349" w:rsidP="00103349">
            <w:pPr>
              <w:jc w:val="center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eastAsia="es-GT"/>
              </w:rPr>
              <w:t>2013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auto"/>
            <w:vAlign w:val="center"/>
            <w:hideMark/>
          </w:tcPr>
          <w:p w:rsidR="00103349" w:rsidRPr="00103349" w:rsidRDefault="00103349" w:rsidP="00103349">
            <w:pPr>
              <w:jc w:val="right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val="es-GT" w:eastAsia="es-GT"/>
              </w:rPr>
              <w:t>3,138.10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auto"/>
            <w:vAlign w:val="center"/>
            <w:hideMark/>
          </w:tcPr>
          <w:p w:rsidR="00103349" w:rsidRPr="00103349" w:rsidRDefault="00103349" w:rsidP="00103349">
            <w:pPr>
              <w:jc w:val="center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val="es-GT" w:eastAsia="es-GT"/>
              </w:rPr>
              <w:t>81%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auto"/>
            <w:vAlign w:val="center"/>
            <w:hideMark/>
          </w:tcPr>
          <w:p w:rsidR="00103349" w:rsidRPr="00103349" w:rsidRDefault="00103349" w:rsidP="00103349">
            <w:pPr>
              <w:jc w:val="right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val="es-GT" w:eastAsia="es-GT"/>
              </w:rPr>
              <w:t>713.6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auto"/>
            <w:vAlign w:val="center"/>
            <w:hideMark/>
          </w:tcPr>
          <w:p w:rsidR="00103349" w:rsidRPr="00103349" w:rsidRDefault="00103349" w:rsidP="00103349">
            <w:pPr>
              <w:jc w:val="center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val="es-GT" w:eastAsia="es-GT"/>
              </w:rPr>
              <w:t>19%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auto"/>
            <w:vAlign w:val="center"/>
            <w:hideMark/>
          </w:tcPr>
          <w:p w:rsidR="00103349" w:rsidRPr="00103349" w:rsidRDefault="00103349" w:rsidP="00103349">
            <w:pPr>
              <w:jc w:val="right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val="es-GT" w:eastAsia="es-GT"/>
              </w:rPr>
              <w:t>3,851.70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:rsidR="00103349" w:rsidRPr="00103349" w:rsidRDefault="00103349" w:rsidP="00103349">
            <w:pPr>
              <w:jc w:val="center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val="es-GT" w:eastAsia="es-GT"/>
              </w:rPr>
              <w:t>100%</w:t>
            </w:r>
          </w:p>
        </w:tc>
      </w:tr>
      <w:tr w:rsidR="00086716" w:rsidRPr="00103349" w:rsidTr="00A473EB">
        <w:trPr>
          <w:trHeight w:val="185"/>
          <w:jc w:val="center"/>
        </w:trPr>
        <w:tc>
          <w:tcPr>
            <w:tcW w:w="809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000000" w:fill="D3DFEE"/>
            <w:vAlign w:val="center"/>
            <w:hideMark/>
          </w:tcPr>
          <w:p w:rsidR="00103349" w:rsidRPr="00103349" w:rsidRDefault="00103349" w:rsidP="00103349">
            <w:pPr>
              <w:jc w:val="center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eastAsia="es-GT"/>
              </w:rPr>
              <w:t>2014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000000" w:fill="D3DFEE"/>
            <w:vAlign w:val="center"/>
            <w:hideMark/>
          </w:tcPr>
          <w:p w:rsidR="00103349" w:rsidRPr="00103349" w:rsidRDefault="00103349" w:rsidP="00103349">
            <w:pPr>
              <w:jc w:val="right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val="es-GT" w:eastAsia="es-GT"/>
              </w:rPr>
              <w:t>2,820.90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000000" w:fill="D3DFEE"/>
            <w:vAlign w:val="center"/>
            <w:hideMark/>
          </w:tcPr>
          <w:p w:rsidR="00103349" w:rsidRPr="00103349" w:rsidRDefault="00103349" w:rsidP="00103349">
            <w:pPr>
              <w:jc w:val="center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val="es-GT" w:eastAsia="es-GT"/>
              </w:rPr>
              <w:t>75%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000000" w:fill="D3DFEE"/>
            <w:vAlign w:val="center"/>
            <w:hideMark/>
          </w:tcPr>
          <w:p w:rsidR="00103349" w:rsidRPr="00103349" w:rsidRDefault="00103349" w:rsidP="00103349">
            <w:pPr>
              <w:jc w:val="right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val="es-GT" w:eastAsia="es-GT"/>
              </w:rPr>
              <w:t>929.2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000000" w:fill="D3DFEE"/>
            <w:vAlign w:val="center"/>
            <w:hideMark/>
          </w:tcPr>
          <w:p w:rsidR="00103349" w:rsidRPr="00103349" w:rsidRDefault="00103349" w:rsidP="00103349">
            <w:pPr>
              <w:jc w:val="center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val="es-GT" w:eastAsia="es-GT"/>
              </w:rPr>
              <w:t>25%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000000" w:fill="D3DFEE"/>
            <w:vAlign w:val="center"/>
            <w:hideMark/>
          </w:tcPr>
          <w:p w:rsidR="00103349" w:rsidRPr="00103349" w:rsidRDefault="00103349" w:rsidP="00103349">
            <w:pPr>
              <w:jc w:val="right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val="es-GT" w:eastAsia="es-GT"/>
              </w:rPr>
              <w:t>3,750.10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000000" w:fill="D3DFEE"/>
            <w:vAlign w:val="center"/>
            <w:hideMark/>
          </w:tcPr>
          <w:p w:rsidR="00103349" w:rsidRPr="00103349" w:rsidRDefault="00103349" w:rsidP="00103349">
            <w:pPr>
              <w:jc w:val="center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val="es-GT" w:eastAsia="es-GT"/>
              </w:rPr>
              <w:t>100%</w:t>
            </w:r>
          </w:p>
        </w:tc>
      </w:tr>
      <w:tr w:rsidR="00103349" w:rsidRPr="00103349" w:rsidTr="00A473EB">
        <w:trPr>
          <w:trHeight w:val="185"/>
          <w:jc w:val="center"/>
        </w:trPr>
        <w:tc>
          <w:tcPr>
            <w:tcW w:w="809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vAlign w:val="center"/>
            <w:hideMark/>
          </w:tcPr>
          <w:p w:rsidR="00103349" w:rsidRPr="00103349" w:rsidRDefault="00103349" w:rsidP="00103349">
            <w:pPr>
              <w:jc w:val="center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eastAsia="es-GT"/>
              </w:rPr>
              <w:t>2015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auto"/>
            <w:vAlign w:val="center"/>
            <w:hideMark/>
          </w:tcPr>
          <w:p w:rsidR="00103349" w:rsidRPr="00103349" w:rsidRDefault="00103349" w:rsidP="00103349">
            <w:pPr>
              <w:jc w:val="right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val="es-GT" w:eastAsia="es-GT"/>
              </w:rPr>
              <w:t>2,828.80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auto"/>
            <w:vAlign w:val="center"/>
            <w:hideMark/>
          </w:tcPr>
          <w:p w:rsidR="00103349" w:rsidRPr="00103349" w:rsidRDefault="00103349" w:rsidP="00103349">
            <w:pPr>
              <w:jc w:val="center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val="es-GT" w:eastAsia="es-GT"/>
              </w:rPr>
              <w:t>85%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auto"/>
            <w:vAlign w:val="center"/>
            <w:hideMark/>
          </w:tcPr>
          <w:p w:rsidR="00103349" w:rsidRPr="00103349" w:rsidRDefault="00103349" w:rsidP="00103349">
            <w:pPr>
              <w:jc w:val="right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val="es-GT" w:eastAsia="es-GT"/>
              </w:rPr>
              <w:t>515.4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auto"/>
            <w:vAlign w:val="center"/>
            <w:hideMark/>
          </w:tcPr>
          <w:p w:rsidR="00103349" w:rsidRPr="00103349" w:rsidRDefault="00103349" w:rsidP="00103349">
            <w:pPr>
              <w:jc w:val="center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val="es-GT" w:eastAsia="es-GT"/>
              </w:rPr>
              <w:t>15%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auto"/>
            <w:vAlign w:val="center"/>
            <w:hideMark/>
          </w:tcPr>
          <w:p w:rsidR="00103349" w:rsidRPr="00103349" w:rsidRDefault="00103349" w:rsidP="00103349">
            <w:pPr>
              <w:jc w:val="right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val="es-GT" w:eastAsia="es-GT"/>
              </w:rPr>
              <w:t>3,344.10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:rsidR="00103349" w:rsidRPr="00103349" w:rsidRDefault="00103349" w:rsidP="00103349">
            <w:pPr>
              <w:jc w:val="center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val="es-GT" w:eastAsia="es-GT"/>
              </w:rPr>
              <w:t>100%</w:t>
            </w:r>
          </w:p>
        </w:tc>
      </w:tr>
      <w:tr w:rsidR="00086716" w:rsidRPr="00103349" w:rsidTr="00A473EB">
        <w:trPr>
          <w:trHeight w:val="185"/>
          <w:jc w:val="center"/>
        </w:trPr>
        <w:tc>
          <w:tcPr>
            <w:tcW w:w="809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000000" w:fill="D3DFEE"/>
            <w:vAlign w:val="center"/>
            <w:hideMark/>
          </w:tcPr>
          <w:p w:rsidR="00103349" w:rsidRPr="00103349" w:rsidRDefault="00103349" w:rsidP="00103349">
            <w:pPr>
              <w:jc w:val="center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eastAsia="es-GT"/>
              </w:rPr>
              <w:t>2016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000000" w:fill="D3DFEE"/>
            <w:vAlign w:val="center"/>
            <w:hideMark/>
          </w:tcPr>
          <w:p w:rsidR="00103349" w:rsidRPr="00103349" w:rsidRDefault="00103349" w:rsidP="00103349">
            <w:pPr>
              <w:jc w:val="right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val="es-GT" w:eastAsia="es-GT"/>
              </w:rPr>
              <w:t>1,402.60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000000" w:fill="D3DFEE"/>
            <w:vAlign w:val="center"/>
            <w:hideMark/>
          </w:tcPr>
          <w:p w:rsidR="00103349" w:rsidRPr="00103349" w:rsidRDefault="00103349" w:rsidP="00103349">
            <w:pPr>
              <w:jc w:val="center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val="es-GT" w:eastAsia="es-GT"/>
              </w:rPr>
              <w:t>82%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000000" w:fill="D3DFEE"/>
            <w:vAlign w:val="center"/>
            <w:hideMark/>
          </w:tcPr>
          <w:p w:rsidR="00103349" w:rsidRPr="00103349" w:rsidRDefault="00103349" w:rsidP="00103349">
            <w:pPr>
              <w:jc w:val="right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val="es-GT" w:eastAsia="es-GT"/>
              </w:rPr>
              <w:t>311.1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000000" w:fill="D3DFEE"/>
            <w:vAlign w:val="center"/>
            <w:hideMark/>
          </w:tcPr>
          <w:p w:rsidR="00103349" w:rsidRPr="00103349" w:rsidRDefault="00103349" w:rsidP="00103349">
            <w:pPr>
              <w:jc w:val="center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val="es-GT" w:eastAsia="es-GT"/>
              </w:rPr>
              <w:t>18%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000000" w:fill="D3DFEE"/>
            <w:vAlign w:val="center"/>
            <w:hideMark/>
          </w:tcPr>
          <w:p w:rsidR="00103349" w:rsidRPr="00103349" w:rsidRDefault="00103349" w:rsidP="00103349">
            <w:pPr>
              <w:jc w:val="right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val="es-GT" w:eastAsia="es-GT"/>
              </w:rPr>
              <w:t>1,713.80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000000" w:fill="D3DFEE"/>
            <w:vAlign w:val="center"/>
            <w:hideMark/>
          </w:tcPr>
          <w:p w:rsidR="00103349" w:rsidRPr="00103349" w:rsidRDefault="00103349" w:rsidP="00103349">
            <w:pPr>
              <w:jc w:val="center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val="es-GT" w:eastAsia="es-GT"/>
              </w:rPr>
              <w:t>100%</w:t>
            </w:r>
          </w:p>
        </w:tc>
      </w:tr>
      <w:tr w:rsidR="00103349" w:rsidRPr="00103349" w:rsidTr="00A473EB">
        <w:trPr>
          <w:trHeight w:val="185"/>
          <w:jc w:val="center"/>
        </w:trPr>
        <w:tc>
          <w:tcPr>
            <w:tcW w:w="809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vAlign w:val="center"/>
            <w:hideMark/>
          </w:tcPr>
          <w:p w:rsidR="00103349" w:rsidRPr="00103349" w:rsidRDefault="00103349" w:rsidP="00103349">
            <w:pPr>
              <w:jc w:val="center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eastAsia="es-GT"/>
              </w:rPr>
              <w:t>2017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auto"/>
            <w:vAlign w:val="center"/>
            <w:hideMark/>
          </w:tcPr>
          <w:p w:rsidR="00103349" w:rsidRPr="00103349" w:rsidRDefault="00103349" w:rsidP="00103349">
            <w:pPr>
              <w:jc w:val="right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val="es-GT" w:eastAsia="es-GT"/>
              </w:rPr>
              <w:t>940.1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auto"/>
            <w:vAlign w:val="center"/>
            <w:hideMark/>
          </w:tcPr>
          <w:p w:rsidR="00103349" w:rsidRPr="00103349" w:rsidRDefault="00103349" w:rsidP="00103349">
            <w:pPr>
              <w:jc w:val="center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val="es-GT" w:eastAsia="es-GT"/>
              </w:rPr>
              <w:t>74%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auto"/>
            <w:vAlign w:val="center"/>
            <w:hideMark/>
          </w:tcPr>
          <w:p w:rsidR="00103349" w:rsidRPr="00103349" w:rsidRDefault="00103349" w:rsidP="00103349">
            <w:pPr>
              <w:jc w:val="right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val="es-GT" w:eastAsia="es-GT"/>
              </w:rPr>
              <w:t>328.5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auto"/>
            <w:vAlign w:val="center"/>
            <w:hideMark/>
          </w:tcPr>
          <w:p w:rsidR="00103349" w:rsidRPr="00103349" w:rsidRDefault="00103349" w:rsidP="00103349">
            <w:pPr>
              <w:jc w:val="center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val="es-GT" w:eastAsia="es-GT"/>
              </w:rPr>
              <w:t>26%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auto"/>
            <w:vAlign w:val="center"/>
            <w:hideMark/>
          </w:tcPr>
          <w:p w:rsidR="00103349" w:rsidRPr="00103349" w:rsidRDefault="00103349" w:rsidP="00103349">
            <w:pPr>
              <w:jc w:val="right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val="es-GT" w:eastAsia="es-GT"/>
              </w:rPr>
              <w:t>1,268.60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:rsidR="00103349" w:rsidRPr="00103349" w:rsidRDefault="00103349" w:rsidP="00103349">
            <w:pPr>
              <w:jc w:val="center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val="es-GT" w:eastAsia="es-GT"/>
              </w:rPr>
              <w:t>100%</w:t>
            </w:r>
          </w:p>
        </w:tc>
      </w:tr>
      <w:tr w:rsidR="00086716" w:rsidRPr="00103349" w:rsidTr="00A473EB">
        <w:trPr>
          <w:trHeight w:val="185"/>
          <w:jc w:val="center"/>
        </w:trPr>
        <w:tc>
          <w:tcPr>
            <w:tcW w:w="809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000000" w:fill="D3DFEE"/>
            <w:vAlign w:val="center"/>
            <w:hideMark/>
          </w:tcPr>
          <w:p w:rsidR="00103349" w:rsidRPr="00103349" w:rsidRDefault="00103349" w:rsidP="00103349">
            <w:pPr>
              <w:jc w:val="center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eastAsia="es-GT"/>
              </w:rPr>
              <w:t>2018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000000" w:fill="D3DFEE"/>
            <w:vAlign w:val="center"/>
            <w:hideMark/>
          </w:tcPr>
          <w:p w:rsidR="00103349" w:rsidRPr="00103349" w:rsidRDefault="00103349" w:rsidP="00103349">
            <w:pPr>
              <w:jc w:val="right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val="es-GT" w:eastAsia="es-GT"/>
              </w:rPr>
              <w:t>1,056.70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000000" w:fill="D3DFEE"/>
            <w:vAlign w:val="center"/>
            <w:hideMark/>
          </w:tcPr>
          <w:p w:rsidR="00103349" w:rsidRPr="00103349" w:rsidRDefault="00103349" w:rsidP="00103349">
            <w:pPr>
              <w:jc w:val="center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val="es-GT" w:eastAsia="es-GT"/>
              </w:rPr>
              <w:t>66%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000000" w:fill="D3DFEE"/>
            <w:vAlign w:val="center"/>
            <w:hideMark/>
          </w:tcPr>
          <w:p w:rsidR="00103349" w:rsidRPr="00103349" w:rsidRDefault="00103349" w:rsidP="00103349">
            <w:pPr>
              <w:jc w:val="right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val="es-GT" w:eastAsia="es-GT"/>
              </w:rPr>
              <w:t>555.7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000000" w:fill="D3DFEE"/>
            <w:vAlign w:val="center"/>
            <w:hideMark/>
          </w:tcPr>
          <w:p w:rsidR="00103349" w:rsidRPr="00103349" w:rsidRDefault="00103349" w:rsidP="00103349">
            <w:pPr>
              <w:jc w:val="center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val="es-GT" w:eastAsia="es-GT"/>
              </w:rPr>
              <w:t>34%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000000" w:fill="D3DFEE"/>
            <w:vAlign w:val="center"/>
            <w:hideMark/>
          </w:tcPr>
          <w:p w:rsidR="00103349" w:rsidRPr="00103349" w:rsidRDefault="00103349" w:rsidP="00103349">
            <w:pPr>
              <w:jc w:val="right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val="es-GT" w:eastAsia="es-GT"/>
              </w:rPr>
              <w:t>1,612.40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000000" w:fill="D3DFEE"/>
            <w:vAlign w:val="center"/>
            <w:hideMark/>
          </w:tcPr>
          <w:p w:rsidR="00103349" w:rsidRPr="00103349" w:rsidRDefault="00103349" w:rsidP="00103349">
            <w:pPr>
              <w:jc w:val="center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val="es-GT" w:eastAsia="es-GT"/>
              </w:rPr>
              <w:t>100%</w:t>
            </w:r>
          </w:p>
        </w:tc>
      </w:tr>
      <w:tr w:rsidR="00103349" w:rsidRPr="00103349" w:rsidTr="00A473EB">
        <w:trPr>
          <w:trHeight w:val="185"/>
          <w:jc w:val="center"/>
        </w:trPr>
        <w:tc>
          <w:tcPr>
            <w:tcW w:w="809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vAlign w:val="center"/>
            <w:hideMark/>
          </w:tcPr>
          <w:p w:rsidR="00103349" w:rsidRPr="00103349" w:rsidRDefault="00103349" w:rsidP="00103349">
            <w:pPr>
              <w:jc w:val="center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eastAsia="es-GT"/>
              </w:rPr>
              <w:t>2019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auto"/>
            <w:vAlign w:val="center"/>
            <w:hideMark/>
          </w:tcPr>
          <w:p w:rsidR="00103349" w:rsidRPr="00103349" w:rsidRDefault="000151CF" w:rsidP="00331BC0">
            <w:pPr>
              <w:jc w:val="right"/>
              <w:rPr>
                <w:rFonts w:eastAsia="Times New Roman" w:cs="Arial"/>
                <w:color w:val="000000"/>
                <w:lang w:val="es-GT" w:eastAsia="es-GT"/>
              </w:rPr>
            </w:pPr>
            <w:r>
              <w:rPr>
                <w:rFonts w:eastAsia="Times New Roman" w:cs="Arial"/>
                <w:color w:val="000000"/>
                <w:lang w:val="es-GT" w:eastAsia="es-GT"/>
              </w:rPr>
              <w:t>817.2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auto"/>
            <w:vAlign w:val="center"/>
            <w:hideMark/>
          </w:tcPr>
          <w:p w:rsidR="00103349" w:rsidRPr="00103349" w:rsidRDefault="00FF6202" w:rsidP="000151CF">
            <w:pPr>
              <w:jc w:val="center"/>
              <w:rPr>
                <w:rFonts w:eastAsia="Times New Roman" w:cs="Arial"/>
                <w:color w:val="000000"/>
                <w:lang w:val="es-GT" w:eastAsia="es-GT"/>
              </w:rPr>
            </w:pPr>
            <w:r>
              <w:rPr>
                <w:rFonts w:eastAsia="Times New Roman" w:cs="Arial"/>
                <w:color w:val="000000"/>
                <w:lang w:val="es-GT" w:eastAsia="es-GT"/>
              </w:rPr>
              <w:t>6</w:t>
            </w:r>
            <w:r w:rsidR="000151CF">
              <w:rPr>
                <w:rFonts w:eastAsia="Times New Roman" w:cs="Arial"/>
                <w:color w:val="000000"/>
                <w:lang w:val="es-GT" w:eastAsia="es-GT"/>
              </w:rPr>
              <w:t>6</w:t>
            </w:r>
            <w:r>
              <w:rPr>
                <w:rFonts w:eastAsia="Times New Roman" w:cs="Arial"/>
                <w:color w:val="000000"/>
                <w:lang w:val="es-GT" w:eastAsia="es-GT"/>
              </w:rPr>
              <w:t>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auto"/>
            <w:vAlign w:val="center"/>
            <w:hideMark/>
          </w:tcPr>
          <w:p w:rsidR="00103349" w:rsidRPr="00103349" w:rsidRDefault="000151CF" w:rsidP="00FF6202">
            <w:pPr>
              <w:jc w:val="right"/>
              <w:rPr>
                <w:rFonts w:eastAsia="Times New Roman" w:cs="Arial"/>
                <w:color w:val="000000"/>
                <w:lang w:val="es-GT" w:eastAsia="es-GT"/>
              </w:rPr>
            </w:pPr>
            <w:r>
              <w:rPr>
                <w:rFonts w:eastAsia="Times New Roman" w:cs="Arial"/>
                <w:color w:val="000000"/>
                <w:lang w:val="es-GT" w:eastAsia="es-GT"/>
              </w:rPr>
              <w:t>424.4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auto"/>
            <w:vAlign w:val="center"/>
            <w:hideMark/>
          </w:tcPr>
          <w:p w:rsidR="00103349" w:rsidRPr="00103349" w:rsidRDefault="000151CF" w:rsidP="00103349">
            <w:pPr>
              <w:jc w:val="center"/>
              <w:rPr>
                <w:rFonts w:eastAsia="Times New Roman" w:cs="Arial"/>
                <w:color w:val="000000"/>
                <w:lang w:val="es-GT" w:eastAsia="es-GT"/>
              </w:rPr>
            </w:pPr>
            <w:r>
              <w:rPr>
                <w:rFonts w:eastAsia="Times New Roman" w:cs="Arial"/>
                <w:color w:val="000000"/>
                <w:lang w:val="es-GT" w:eastAsia="es-GT"/>
              </w:rPr>
              <w:t>34%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auto"/>
            <w:vAlign w:val="center"/>
            <w:hideMark/>
          </w:tcPr>
          <w:p w:rsidR="00103349" w:rsidRPr="00103349" w:rsidRDefault="00FF6202" w:rsidP="000151CF">
            <w:pPr>
              <w:jc w:val="right"/>
              <w:rPr>
                <w:rFonts w:eastAsia="Times New Roman" w:cs="Arial"/>
                <w:color w:val="000000"/>
                <w:lang w:val="es-GT" w:eastAsia="es-GT"/>
              </w:rPr>
            </w:pPr>
            <w:r>
              <w:rPr>
                <w:rFonts w:eastAsia="Times New Roman" w:cs="Arial"/>
                <w:color w:val="000000"/>
                <w:lang w:val="es-GT" w:eastAsia="es-GT"/>
              </w:rPr>
              <w:t>1,</w:t>
            </w:r>
            <w:r w:rsidR="000151CF">
              <w:rPr>
                <w:rFonts w:eastAsia="Times New Roman" w:cs="Arial"/>
                <w:color w:val="000000"/>
                <w:lang w:val="es-GT" w:eastAsia="es-GT"/>
              </w:rPr>
              <w:t>241.60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:rsidR="00103349" w:rsidRPr="00103349" w:rsidRDefault="00103349" w:rsidP="00103349">
            <w:pPr>
              <w:jc w:val="center"/>
              <w:rPr>
                <w:rFonts w:eastAsia="Times New Roman" w:cs="Arial"/>
                <w:color w:val="000000"/>
                <w:lang w:val="es-GT" w:eastAsia="es-GT"/>
              </w:rPr>
            </w:pPr>
            <w:r w:rsidRPr="00103349">
              <w:rPr>
                <w:rFonts w:eastAsia="Times New Roman" w:cs="Arial"/>
                <w:color w:val="000000"/>
                <w:lang w:val="es-GT" w:eastAsia="es-GT"/>
              </w:rPr>
              <w:t>100%</w:t>
            </w:r>
          </w:p>
        </w:tc>
      </w:tr>
    </w:tbl>
    <w:p w:rsidR="009E0760" w:rsidRPr="000E4965" w:rsidRDefault="009E0760" w:rsidP="00F8505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255FFA" w:rsidRPr="000E4965" w:rsidRDefault="00255FFA" w:rsidP="00255FFA">
      <w:pPr>
        <w:autoSpaceDE w:val="0"/>
        <w:autoSpaceDN w:val="0"/>
        <w:adjustRightInd w:val="0"/>
        <w:rPr>
          <w:rFonts w:cs="Arial"/>
          <w:sz w:val="16"/>
          <w:szCs w:val="16"/>
        </w:rPr>
      </w:pPr>
      <w:r w:rsidRPr="000E4965">
        <w:rPr>
          <w:rFonts w:cs="Arial"/>
          <w:sz w:val="16"/>
          <w:szCs w:val="16"/>
        </w:rPr>
        <w:t>1/ Incluye, entre otros, gastos de funcionamiento e impuestos.</w:t>
      </w:r>
    </w:p>
    <w:p w:rsidR="00DD40AE" w:rsidRPr="000E4965" w:rsidRDefault="00255FFA" w:rsidP="00DD40AE">
      <w:pPr>
        <w:autoSpaceDE w:val="0"/>
        <w:autoSpaceDN w:val="0"/>
        <w:adjustRightInd w:val="0"/>
        <w:rPr>
          <w:rFonts w:cs="Arial"/>
          <w:sz w:val="16"/>
          <w:szCs w:val="16"/>
        </w:rPr>
      </w:pPr>
      <w:r w:rsidRPr="000E4965">
        <w:rPr>
          <w:rFonts w:cs="Arial"/>
          <w:sz w:val="16"/>
          <w:szCs w:val="16"/>
        </w:rPr>
        <w:t xml:space="preserve">2/ </w:t>
      </w:r>
      <w:r w:rsidR="00DD40AE" w:rsidRPr="000E4965">
        <w:rPr>
          <w:rFonts w:cs="Arial"/>
          <w:sz w:val="16"/>
          <w:szCs w:val="16"/>
        </w:rPr>
        <w:t xml:space="preserve">Corresponde al total de </w:t>
      </w:r>
      <w:r w:rsidR="000F69EC" w:rsidRPr="000E4965">
        <w:rPr>
          <w:rFonts w:cs="Arial"/>
          <w:sz w:val="16"/>
          <w:szCs w:val="16"/>
        </w:rPr>
        <w:t>fideicomisos Vigentes</w:t>
      </w:r>
      <w:r w:rsidR="00DD40AE" w:rsidRPr="000E4965">
        <w:rPr>
          <w:rFonts w:cs="Arial"/>
          <w:sz w:val="16"/>
          <w:szCs w:val="16"/>
        </w:rPr>
        <w:t xml:space="preserve"> al 31 de diciembre de cada año</w:t>
      </w:r>
    </w:p>
    <w:p w:rsidR="00A27EA8" w:rsidRPr="000E4965" w:rsidRDefault="00A27EA8" w:rsidP="00F8505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0E4965">
        <w:rPr>
          <w:rFonts w:cs="Arial"/>
          <w:color w:val="000000"/>
          <w:sz w:val="16"/>
          <w:szCs w:val="16"/>
        </w:rPr>
        <w:t>F</w:t>
      </w:r>
      <w:r w:rsidR="005545BD" w:rsidRPr="000E4965">
        <w:rPr>
          <w:rFonts w:cs="Arial"/>
          <w:color w:val="000000"/>
          <w:sz w:val="16"/>
          <w:szCs w:val="16"/>
        </w:rPr>
        <w:t>uente</w:t>
      </w:r>
      <w:r w:rsidRPr="000E4965">
        <w:rPr>
          <w:rFonts w:cs="Arial"/>
          <w:color w:val="000000"/>
          <w:sz w:val="16"/>
          <w:szCs w:val="16"/>
        </w:rPr>
        <w:t>: Estados financieros elaborados por los Fiduciarios.</w:t>
      </w:r>
    </w:p>
    <w:p w:rsidR="00DF59AD" w:rsidRPr="00A20172" w:rsidRDefault="00DF59AD" w:rsidP="00775A77">
      <w:pPr>
        <w:pStyle w:val="Prrafodelista"/>
        <w:rPr>
          <w:rFonts w:cs="Arial"/>
          <w:color w:val="000000"/>
        </w:rPr>
      </w:pPr>
    </w:p>
    <w:p w:rsidR="00775A77" w:rsidRPr="00A20172" w:rsidRDefault="00775A77" w:rsidP="00775A7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4A7E70">
        <w:rPr>
          <w:rFonts w:cs="Arial"/>
          <w:color w:val="000000" w:themeColor="text1"/>
        </w:rPr>
        <w:lastRenderedPageBreak/>
        <w:t xml:space="preserve">El </w:t>
      </w:r>
      <w:r w:rsidR="00FC3427" w:rsidRPr="004A7E70">
        <w:rPr>
          <w:rFonts w:cs="Arial"/>
          <w:color w:val="000000" w:themeColor="text1"/>
        </w:rPr>
        <w:t>comportamiento fluctuante</w:t>
      </w:r>
      <w:r w:rsidRPr="004A7E70">
        <w:rPr>
          <w:rFonts w:cs="Arial"/>
          <w:color w:val="000000" w:themeColor="text1"/>
        </w:rPr>
        <w:t xml:space="preserve"> </w:t>
      </w:r>
      <w:r w:rsidRPr="004A7E70">
        <w:rPr>
          <w:rFonts w:cs="Arial"/>
          <w:color w:val="000000"/>
        </w:rPr>
        <w:t>de</w:t>
      </w:r>
      <w:r w:rsidRPr="00A20172">
        <w:rPr>
          <w:rFonts w:cs="Arial"/>
          <w:color w:val="000000"/>
        </w:rPr>
        <w:t xml:space="preserve"> la inversión no reembolsable y gastos de los fideicomisos públicos vigentes </w:t>
      </w:r>
      <w:r w:rsidR="00E16B64">
        <w:rPr>
          <w:rFonts w:cs="Arial"/>
          <w:color w:val="000000" w:themeColor="text1"/>
        </w:rPr>
        <w:t>a partir de 2012</w:t>
      </w:r>
      <w:r w:rsidR="002D69D2">
        <w:rPr>
          <w:rFonts w:cs="Arial"/>
          <w:color w:val="000000" w:themeColor="text1"/>
        </w:rPr>
        <w:t xml:space="preserve"> </w:t>
      </w:r>
      <w:r w:rsidR="00BD5CE1" w:rsidRPr="002D69D2">
        <w:rPr>
          <w:rFonts w:cs="Arial"/>
          <w:color w:val="000000"/>
        </w:rPr>
        <w:t>se explica principalmente por la</w:t>
      </w:r>
      <w:r w:rsidRPr="002D69D2">
        <w:rPr>
          <w:rFonts w:cs="Arial"/>
          <w:color w:val="000000"/>
        </w:rPr>
        <w:t xml:space="preserve">s siguientes </w:t>
      </w:r>
      <w:r w:rsidR="001A15BE" w:rsidRPr="002D69D2">
        <w:rPr>
          <w:rFonts w:cs="Arial"/>
          <w:color w:val="000000"/>
        </w:rPr>
        <w:t>variaciones</w:t>
      </w:r>
      <w:r w:rsidRPr="002D69D2">
        <w:rPr>
          <w:rFonts w:cs="Arial"/>
          <w:color w:val="000000"/>
        </w:rPr>
        <w:t>:</w:t>
      </w:r>
    </w:p>
    <w:p w:rsidR="008572FE" w:rsidRPr="00A20172" w:rsidRDefault="008572FE" w:rsidP="00417AD9">
      <w:pPr>
        <w:pStyle w:val="Prrafodelista"/>
        <w:ind w:left="360"/>
        <w:rPr>
          <w:rFonts w:cs="Arial"/>
          <w:color w:val="000000"/>
        </w:rPr>
      </w:pPr>
    </w:p>
    <w:p w:rsidR="00417AD9" w:rsidRPr="006E757E" w:rsidRDefault="00775A77" w:rsidP="00B92370">
      <w:pPr>
        <w:pStyle w:val="Prrafodelista"/>
        <w:numPr>
          <w:ilvl w:val="0"/>
          <w:numId w:val="1"/>
        </w:numPr>
        <w:jc w:val="both"/>
        <w:rPr>
          <w:rFonts w:cs="Arial"/>
          <w:color w:val="000000"/>
        </w:rPr>
      </w:pPr>
      <w:r w:rsidRPr="000B3830">
        <w:rPr>
          <w:rFonts w:cs="Arial"/>
          <w:color w:val="000000" w:themeColor="text1"/>
        </w:rPr>
        <w:t xml:space="preserve">El Fideicomiso Fondo Vial tuvo un decremento </w:t>
      </w:r>
      <w:r w:rsidR="00255FFA" w:rsidRPr="000B3830">
        <w:rPr>
          <w:rFonts w:cs="Arial"/>
          <w:color w:val="000000" w:themeColor="text1"/>
        </w:rPr>
        <w:t>significativo</w:t>
      </w:r>
      <w:r w:rsidRPr="000B3830">
        <w:rPr>
          <w:rFonts w:cs="Arial"/>
          <w:color w:val="000000" w:themeColor="text1"/>
        </w:rPr>
        <w:t xml:space="preserve"> </w:t>
      </w:r>
      <w:r w:rsidR="003262D7" w:rsidRPr="000B3830">
        <w:rPr>
          <w:rFonts w:cs="Arial"/>
          <w:color w:val="000000" w:themeColor="text1"/>
        </w:rPr>
        <w:t xml:space="preserve">en el año </w:t>
      </w:r>
      <w:r w:rsidR="001055D8" w:rsidRPr="000B3830">
        <w:rPr>
          <w:rFonts w:cs="Arial"/>
          <w:color w:val="000000" w:themeColor="text1"/>
        </w:rPr>
        <w:t xml:space="preserve">2012, cuando </w:t>
      </w:r>
      <w:r w:rsidR="00A96D08" w:rsidRPr="000B3830">
        <w:rPr>
          <w:rFonts w:cs="Arial"/>
          <w:color w:val="000000" w:themeColor="text1"/>
        </w:rPr>
        <w:t>reportó</w:t>
      </w:r>
      <w:r w:rsidR="00604000" w:rsidRPr="000B3830">
        <w:rPr>
          <w:rFonts w:cs="Arial"/>
          <w:color w:val="000000" w:themeColor="text1"/>
        </w:rPr>
        <w:t xml:space="preserve"> </w:t>
      </w:r>
      <w:r w:rsidR="00255FFA" w:rsidRPr="000B3830">
        <w:rPr>
          <w:rFonts w:cs="Arial"/>
          <w:color w:val="000000" w:themeColor="text1"/>
        </w:rPr>
        <w:t xml:space="preserve">solamente </w:t>
      </w:r>
      <w:r w:rsidR="00AC057B" w:rsidRPr="000B3830">
        <w:rPr>
          <w:rFonts w:cs="Arial"/>
          <w:color w:val="000000" w:themeColor="text1"/>
        </w:rPr>
        <w:t>Q.</w:t>
      </w:r>
      <w:r w:rsidR="00604000" w:rsidRPr="000B3830">
        <w:rPr>
          <w:rFonts w:cs="Arial"/>
          <w:color w:val="000000" w:themeColor="text1"/>
        </w:rPr>
        <w:t>0.3 millones</w:t>
      </w:r>
      <w:r w:rsidR="0007629D" w:rsidRPr="000B3830">
        <w:rPr>
          <w:rFonts w:cs="Arial"/>
          <w:color w:val="000000" w:themeColor="text1"/>
        </w:rPr>
        <w:t>,</w:t>
      </w:r>
      <w:r w:rsidR="009A5C0F" w:rsidRPr="000B3830">
        <w:rPr>
          <w:rFonts w:cs="Arial"/>
          <w:color w:val="000000" w:themeColor="text1"/>
        </w:rPr>
        <w:t xml:space="preserve"> derivado de la decisión </w:t>
      </w:r>
      <w:r w:rsidR="00AC057B" w:rsidRPr="000B3830">
        <w:rPr>
          <w:rFonts w:cs="Arial"/>
          <w:color w:val="000000" w:themeColor="text1"/>
        </w:rPr>
        <w:t xml:space="preserve">de la unidad ejecutora </w:t>
      </w:r>
      <w:r w:rsidR="009A5C0F" w:rsidRPr="000B3830">
        <w:rPr>
          <w:rFonts w:cs="Arial"/>
          <w:color w:val="000000" w:themeColor="text1"/>
        </w:rPr>
        <w:t>de utilizar otras modalidades de ejecución.</w:t>
      </w:r>
      <w:r w:rsidR="001055D8" w:rsidRPr="000B3830">
        <w:rPr>
          <w:rFonts w:cs="Arial"/>
          <w:color w:val="000000" w:themeColor="text1"/>
        </w:rPr>
        <w:t xml:space="preserve"> En contraste, en 2013 dicho fideicomiso presentó un incremento de Q.</w:t>
      </w:r>
      <w:r w:rsidR="000E4965">
        <w:rPr>
          <w:rFonts w:cs="Arial"/>
          <w:color w:val="000000" w:themeColor="text1"/>
        </w:rPr>
        <w:t>753.2</w:t>
      </w:r>
      <w:r w:rsidR="001055D8" w:rsidRPr="000B3830">
        <w:rPr>
          <w:rFonts w:cs="Arial"/>
          <w:color w:val="000000" w:themeColor="text1"/>
        </w:rPr>
        <w:t xml:space="preserve"> millones respecto al período anterior, al recuperar el fideicomiso su din</w:t>
      </w:r>
      <w:r w:rsidR="000E4965">
        <w:rPr>
          <w:rFonts w:cs="Arial"/>
          <w:color w:val="000000" w:themeColor="text1"/>
        </w:rPr>
        <w:t>ámica normal y  ejecutar Q.753.5</w:t>
      </w:r>
      <w:r w:rsidR="001055D8" w:rsidRPr="000B3830">
        <w:rPr>
          <w:rFonts w:cs="Arial"/>
          <w:color w:val="000000" w:themeColor="text1"/>
        </w:rPr>
        <w:t xml:space="preserve"> millones.</w:t>
      </w:r>
      <w:r w:rsidR="00FF0C0C" w:rsidRPr="000B3830">
        <w:rPr>
          <w:rFonts w:cs="Arial"/>
          <w:color w:val="000000" w:themeColor="text1"/>
        </w:rPr>
        <w:t xml:space="preserve"> Al cierre del ejercicio </w:t>
      </w:r>
      <w:r w:rsidR="00FF0C0C" w:rsidRPr="001569DB">
        <w:rPr>
          <w:rFonts w:cs="Arial"/>
          <w:color w:val="000000" w:themeColor="text1"/>
        </w:rPr>
        <w:t xml:space="preserve">fiscal 2014, este fideicomiso reportó ejecución </w:t>
      </w:r>
      <w:r w:rsidR="00FF0C0C" w:rsidRPr="00E639E2">
        <w:rPr>
          <w:rFonts w:cs="Arial"/>
          <w:color w:val="000000" w:themeColor="text1"/>
        </w:rPr>
        <w:t>por Q.</w:t>
      </w:r>
      <w:r w:rsidR="00D21C58" w:rsidRPr="00E639E2">
        <w:rPr>
          <w:rFonts w:cs="Arial"/>
          <w:color w:val="000000" w:themeColor="text1"/>
        </w:rPr>
        <w:t xml:space="preserve"> 611.0 millones, y al 2015, Q</w:t>
      </w:r>
      <w:r w:rsidR="00E90AE4" w:rsidRPr="00E639E2">
        <w:rPr>
          <w:rFonts w:cs="Arial"/>
          <w:color w:val="000000" w:themeColor="text1"/>
        </w:rPr>
        <w:t xml:space="preserve"> 6</w:t>
      </w:r>
      <w:r w:rsidR="00063BCA" w:rsidRPr="00E639E2">
        <w:rPr>
          <w:rFonts w:cs="Arial"/>
          <w:color w:val="000000" w:themeColor="text1"/>
        </w:rPr>
        <w:t>3</w:t>
      </w:r>
      <w:r w:rsidR="00E90AE4" w:rsidRPr="00E639E2">
        <w:rPr>
          <w:rFonts w:cs="Arial"/>
          <w:color w:val="000000" w:themeColor="text1"/>
        </w:rPr>
        <w:t>7.</w:t>
      </w:r>
      <w:r w:rsidR="00063BCA" w:rsidRPr="00E639E2">
        <w:rPr>
          <w:rFonts w:cs="Arial"/>
          <w:color w:val="000000" w:themeColor="text1"/>
        </w:rPr>
        <w:t>7</w:t>
      </w:r>
      <w:r w:rsidR="00E90AE4" w:rsidRPr="00E639E2">
        <w:rPr>
          <w:rFonts w:cs="Arial"/>
          <w:color w:val="000000" w:themeColor="text1"/>
        </w:rPr>
        <w:t xml:space="preserve"> </w:t>
      </w:r>
      <w:r w:rsidR="00D21C58" w:rsidRPr="00E639E2">
        <w:rPr>
          <w:rFonts w:cs="Arial"/>
          <w:color w:val="000000" w:themeColor="text1"/>
        </w:rPr>
        <w:t>millones.</w:t>
      </w:r>
      <w:r w:rsidR="0096234C" w:rsidRPr="00E639E2">
        <w:rPr>
          <w:rFonts w:cs="Arial"/>
          <w:color w:val="000000" w:themeColor="text1"/>
        </w:rPr>
        <w:t xml:space="preserve"> En 2016 se registró una ejecución de </w:t>
      </w:r>
      <w:r w:rsidR="006E3862" w:rsidRPr="00E639E2">
        <w:rPr>
          <w:rFonts w:cs="Arial"/>
          <w:color w:val="000000" w:themeColor="text1"/>
        </w:rPr>
        <w:t xml:space="preserve">         </w:t>
      </w:r>
      <w:r w:rsidR="0096234C" w:rsidRPr="00E639E2">
        <w:rPr>
          <w:rFonts w:cs="Arial"/>
          <w:color w:val="000000" w:themeColor="text1"/>
        </w:rPr>
        <w:t>Q</w:t>
      </w:r>
      <w:r w:rsidR="001569DB" w:rsidRPr="00E639E2">
        <w:rPr>
          <w:rFonts w:cs="Arial"/>
          <w:color w:val="000000" w:themeColor="text1"/>
        </w:rPr>
        <w:t xml:space="preserve"> 358.3 </w:t>
      </w:r>
      <w:r w:rsidR="001C1269" w:rsidRPr="00BD50CC">
        <w:rPr>
          <w:rFonts w:cs="Arial"/>
          <w:color w:val="000000" w:themeColor="text1"/>
        </w:rPr>
        <w:t>millones</w:t>
      </w:r>
      <w:r w:rsidR="006A2D06" w:rsidRPr="00BD50CC">
        <w:rPr>
          <w:rFonts w:cs="Arial"/>
          <w:color w:val="FF0000"/>
        </w:rPr>
        <w:t>;</w:t>
      </w:r>
      <w:r w:rsidR="001C1269">
        <w:rPr>
          <w:rFonts w:cs="Arial"/>
          <w:color w:val="000000" w:themeColor="text1"/>
        </w:rPr>
        <w:t xml:space="preserve"> en el año</w:t>
      </w:r>
      <w:r w:rsidR="00121584">
        <w:rPr>
          <w:rFonts w:cs="Arial"/>
          <w:color w:val="000000" w:themeColor="text1"/>
        </w:rPr>
        <w:t xml:space="preserve"> </w:t>
      </w:r>
      <w:r w:rsidR="00BD7C92" w:rsidRPr="004969EF">
        <w:rPr>
          <w:rFonts w:cs="Arial"/>
          <w:color w:val="000000" w:themeColor="text1"/>
        </w:rPr>
        <w:t>2017 report</w:t>
      </w:r>
      <w:r w:rsidR="006E3862" w:rsidRPr="004969EF">
        <w:rPr>
          <w:rFonts w:cs="Arial"/>
          <w:color w:val="000000" w:themeColor="text1"/>
        </w:rPr>
        <w:t>ó</w:t>
      </w:r>
      <w:r w:rsidR="00BD7C92" w:rsidRPr="00E639E2">
        <w:rPr>
          <w:rFonts w:cs="Arial"/>
          <w:color w:val="000000" w:themeColor="text1"/>
        </w:rPr>
        <w:t xml:space="preserve"> una ejecución</w:t>
      </w:r>
      <w:r w:rsidR="00BD7C92">
        <w:rPr>
          <w:rFonts w:cs="Arial"/>
          <w:color w:val="000000" w:themeColor="text1"/>
        </w:rPr>
        <w:t xml:space="preserve"> de</w:t>
      </w:r>
      <w:r w:rsidR="00AB285E">
        <w:rPr>
          <w:rFonts w:cs="Arial"/>
          <w:color w:val="000000" w:themeColor="text1"/>
        </w:rPr>
        <w:t xml:space="preserve"> Q. </w:t>
      </w:r>
      <w:r w:rsidR="00BF594F">
        <w:rPr>
          <w:rFonts w:cs="Arial"/>
          <w:color w:val="000000" w:themeColor="text1"/>
        </w:rPr>
        <w:t>3</w:t>
      </w:r>
      <w:r w:rsidR="00121584">
        <w:rPr>
          <w:rFonts w:cs="Arial"/>
          <w:color w:val="000000" w:themeColor="text1"/>
        </w:rPr>
        <w:t>4</w:t>
      </w:r>
      <w:r w:rsidR="00BF594F">
        <w:rPr>
          <w:rFonts w:cs="Arial"/>
          <w:color w:val="000000" w:themeColor="text1"/>
        </w:rPr>
        <w:t>,9</w:t>
      </w:r>
      <w:r w:rsidR="00121584">
        <w:rPr>
          <w:rFonts w:cs="Arial"/>
          <w:color w:val="000000" w:themeColor="text1"/>
        </w:rPr>
        <w:t>11</w:t>
      </w:r>
      <w:r w:rsidR="00BF594F">
        <w:rPr>
          <w:rFonts w:cs="Arial"/>
          <w:color w:val="000000" w:themeColor="text1"/>
        </w:rPr>
        <w:t>.</w:t>
      </w:r>
      <w:r w:rsidR="00121584">
        <w:rPr>
          <w:rFonts w:cs="Arial"/>
          <w:color w:val="000000" w:themeColor="text1"/>
        </w:rPr>
        <w:t>73</w:t>
      </w:r>
      <w:r w:rsidR="000769CD" w:rsidRPr="00CB5045">
        <w:rPr>
          <w:rFonts w:cs="Arial"/>
          <w:color w:val="000000" w:themeColor="text1"/>
        </w:rPr>
        <w:t>,</w:t>
      </w:r>
      <w:r w:rsidR="003767DD">
        <w:rPr>
          <w:rFonts w:cs="Arial"/>
          <w:color w:val="000000" w:themeColor="text1"/>
        </w:rPr>
        <w:t xml:space="preserve"> </w:t>
      </w:r>
      <w:r w:rsidR="001C1269">
        <w:rPr>
          <w:rFonts w:cs="Arial"/>
          <w:color w:val="000000" w:themeColor="text1"/>
        </w:rPr>
        <w:t xml:space="preserve">para </w:t>
      </w:r>
      <w:r w:rsidR="00803464">
        <w:rPr>
          <w:rFonts w:cs="Arial"/>
          <w:color w:val="000000" w:themeColor="text1"/>
        </w:rPr>
        <w:t>diciembre</w:t>
      </w:r>
      <w:r w:rsidR="00BB35FF">
        <w:rPr>
          <w:rFonts w:cs="Arial"/>
          <w:color w:val="000000" w:themeColor="text1"/>
        </w:rPr>
        <w:t xml:space="preserve"> </w:t>
      </w:r>
      <w:r w:rsidR="001C1269">
        <w:rPr>
          <w:rFonts w:cs="Arial"/>
          <w:color w:val="000000" w:themeColor="text1"/>
        </w:rPr>
        <w:t>2018 Q.</w:t>
      </w:r>
      <w:r w:rsidR="00803464">
        <w:rPr>
          <w:rFonts w:cs="Arial"/>
          <w:color w:val="000000" w:themeColor="text1"/>
        </w:rPr>
        <w:t>28,919.7</w:t>
      </w:r>
      <w:r w:rsidR="003767DD">
        <w:rPr>
          <w:rFonts w:cs="Arial"/>
          <w:color w:val="000000" w:themeColor="text1"/>
        </w:rPr>
        <w:t xml:space="preserve">, y para </w:t>
      </w:r>
      <w:r w:rsidR="00EB138E">
        <w:rPr>
          <w:rFonts w:cs="Arial"/>
          <w:color w:val="000000" w:themeColor="text1"/>
        </w:rPr>
        <w:t>diciembre</w:t>
      </w:r>
      <w:r w:rsidR="00A872CF">
        <w:rPr>
          <w:rFonts w:cs="Arial"/>
          <w:color w:val="000000" w:themeColor="text1"/>
        </w:rPr>
        <w:t xml:space="preserve"> </w:t>
      </w:r>
      <w:r w:rsidR="003767DD">
        <w:rPr>
          <w:rFonts w:cs="Arial"/>
          <w:color w:val="000000" w:themeColor="text1"/>
        </w:rPr>
        <w:t>2019</w:t>
      </w:r>
      <w:r w:rsidR="00A872CF">
        <w:rPr>
          <w:rFonts w:cs="Arial"/>
          <w:color w:val="000000" w:themeColor="text1"/>
        </w:rPr>
        <w:t xml:space="preserve"> presenta una ejecución de Q.</w:t>
      </w:r>
      <w:r w:rsidR="003767DD">
        <w:rPr>
          <w:rFonts w:cs="Arial"/>
          <w:color w:val="000000" w:themeColor="text1"/>
        </w:rPr>
        <w:t xml:space="preserve"> </w:t>
      </w:r>
      <w:r w:rsidR="00A872CF">
        <w:rPr>
          <w:rFonts w:cs="Arial"/>
          <w:color w:val="000000" w:themeColor="text1"/>
        </w:rPr>
        <w:t>21.6 millones</w:t>
      </w:r>
      <w:r w:rsidR="003767DD">
        <w:rPr>
          <w:rFonts w:cs="Arial"/>
          <w:color w:val="000000" w:themeColor="text1"/>
        </w:rPr>
        <w:t>,</w:t>
      </w:r>
      <w:r w:rsidR="00803464">
        <w:rPr>
          <w:rFonts w:cs="Arial"/>
          <w:color w:val="000000" w:themeColor="text1"/>
        </w:rPr>
        <w:t xml:space="preserve"> </w:t>
      </w:r>
      <w:r w:rsidR="000769CD" w:rsidRPr="00CB5045">
        <w:rPr>
          <w:rFonts w:cs="Arial"/>
          <w:color w:val="000000" w:themeColor="text1"/>
        </w:rPr>
        <w:t>consecuencia de la política de la unidad ejecutora</w:t>
      </w:r>
      <w:r w:rsidR="00B92370">
        <w:rPr>
          <w:rFonts w:cs="Arial"/>
          <w:color w:val="000000" w:themeColor="text1"/>
        </w:rPr>
        <w:t xml:space="preserve"> </w:t>
      </w:r>
      <w:r w:rsidR="000769CD" w:rsidRPr="00CB5045">
        <w:rPr>
          <w:rFonts w:cs="Arial"/>
          <w:color w:val="000000" w:themeColor="text1"/>
        </w:rPr>
        <w:t>de</w:t>
      </w:r>
      <w:r w:rsidR="00B92370">
        <w:rPr>
          <w:rFonts w:cs="Arial"/>
          <w:color w:val="000000" w:themeColor="text1"/>
        </w:rPr>
        <w:t xml:space="preserve"> </w:t>
      </w:r>
      <w:r w:rsidR="000769CD" w:rsidRPr="00CB5045">
        <w:rPr>
          <w:rFonts w:cs="Arial"/>
          <w:color w:val="000000" w:themeColor="text1"/>
        </w:rPr>
        <w:t>dejar</w:t>
      </w:r>
      <w:r w:rsidR="00B92370">
        <w:rPr>
          <w:rFonts w:cs="Arial"/>
          <w:color w:val="000000" w:themeColor="text1"/>
        </w:rPr>
        <w:t xml:space="preserve"> </w:t>
      </w:r>
      <w:r w:rsidR="000769CD" w:rsidRPr="00CB5045">
        <w:rPr>
          <w:rFonts w:cs="Arial"/>
          <w:color w:val="000000" w:themeColor="text1"/>
        </w:rPr>
        <w:t>de</w:t>
      </w:r>
      <w:r w:rsidR="00B92370">
        <w:rPr>
          <w:rFonts w:cs="Arial"/>
          <w:color w:val="000000" w:themeColor="text1"/>
        </w:rPr>
        <w:t xml:space="preserve"> </w:t>
      </w:r>
      <w:r w:rsidR="000769CD" w:rsidRPr="00CB5045">
        <w:rPr>
          <w:rFonts w:cs="Arial"/>
          <w:color w:val="000000" w:themeColor="text1"/>
        </w:rPr>
        <w:t>utilizar el fideicomiso como instrumento financiero de su</w:t>
      </w:r>
      <w:r w:rsidR="00832F4E">
        <w:rPr>
          <w:rFonts w:cs="Arial"/>
          <w:color w:val="000000" w:themeColor="text1"/>
        </w:rPr>
        <w:t>s</w:t>
      </w:r>
      <w:r w:rsidR="000769CD" w:rsidRPr="00CB5045">
        <w:rPr>
          <w:rFonts w:cs="Arial"/>
          <w:color w:val="000000" w:themeColor="text1"/>
        </w:rPr>
        <w:t xml:space="preserve"> proyectos</w:t>
      </w:r>
      <w:r w:rsidR="00071361" w:rsidRPr="00CB5045">
        <w:rPr>
          <w:rFonts w:cs="Arial"/>
          <w:color w:val="000000" w:themeColor="text1"/>
        </w:rPr>
        <w:t>.</w:t>
      </w:r>
      <w:r w:rsidR="00B92370">
        <w:rPr>
          <w:rFonts w:cs="Arial"/>
          <w:color w:val="000000" w:themeColor="text1"/>
        </w:rPr>
        <w:t xml:space="preserve"> </w:t>
      </w:r>
      <w:r w:rsidR="006E757E" w:rsidRPr="0060097A">
        <w:rPr>
          <w:rFonts w:cs="Arial"/>
          <w:color w:val="000000"/>
        </w:rPr>
        <w:t>El plazo contractual de este fideicomiso venció el 14 de julio de 2019.</w:t>
      </w:r>
    </w:p>
    <w:p w:rsidR="00E639E2" w:rsidRPr="00A20172" w:rsidRDefault="00E639E2" w:rsidP="00E639E2">
      <w:pPr>
        <w:pStyle w:val="Prrafodelista"/>
        <w:ind w:left="360"/>
        <w:jc w:val="both"/>
        <w:rPr>
          <w:rFonts w:cs="Arial"/>
          <w:color w:val="000000"/>
        </w:rPr>
      </w:pPr>
    </w:p>
    <w:p w:rsidR="007D16F1" w:rsidRPr="00C36F0B" w:rsidRDefault="00417AD9" w:rsidP="00417AD9">
      <w:pPr>
        <w:pStyle w:val="Prrafodelista"/>
        <w:numPr>
          <w:ilvl w:val="0"/>
          <w:numId w:val="1"/>
        </w:numPr>
        <w:jc w:val="both"/>
        <w:rPr>
          <w:rFonts w:cs="Arial"/>
        </w:rPr>
      </w:pPr>
      <w:r w:rsidRPr="000B3830">
        <w:rPr>
          <w:rFonts w:cs="Arial"/>
          <w:color w:val="000000"/>
        </w:rPr>
        <w:t xml:space="preserve">El Fideicomiso del Fondo Nacional para la Paz </w:t>
      </w:r>
      <w:r w:rsidR="00FF0C0C" w:rsidRPr="000B3830">
        <w:rPr>
          <w:rFonts w:cs="Arial"/>
          <w:color w:val="000000"/>
        </w:rPr>
        <w:t>reportó un</w:t>
      </w:r>
      <w:r w:rsidRPr="000B3830">
        <w:rPr>
          <w:rFonts w:cs="Arial"/>
          <w:color w:val="000000"/>
        </w:rPr>
        <w:t xml:space="preserve"> decremento </w:t>
      </w:r>
      <w:r w:rsidR="00FF0C0C" w:rsidRPr="000B3830">
        <w:rPr>
          <w:rFonts w:cs="Arial"/>
          <w:color w:val="000000"/>
        </w:rPr>
        <w:t>sostenido, pasando de una ejecución de</w:t>
      </w:r>
      <w:r w:rsidRPr="000B3830">
        <w:rPr>
          <w:rFonts w:cs="Arial"/>
          <w:color w:val="000000"/>
        </w:rPr>
        <w:t xml:space="preserve"> </w:t>
      </w:r>
      <w:r w:rsidR="00FF0C0C" w:rsidRPr="000B3830">
        <w:rPr>
          <w:rFonts w:cs="Arial"/>
          <w:color w:val="000000"/>
        </w:rPr>
        <w:t xml:space="preserve">Q.840.8 millones </w:t>
      </w:r>
      <w:r w:rsidRPr="000B3830">
        <w:rPr>
          <w:rFonts w:cs="Arial"/>
          <w:color w:val="000000"/>
        </w:rPr>
        <w:t>para el año 2010</w:t>
      </w:r>
      <w:r w:rsidR="00FF0C0C" w:rsidRPr="000B3830">
        <w:rPr>
          <w:rFonts w:cs="Arial"/>
          <w:color w:val="000000"/>
        </w:rPr>
        <w:t>,</w:t>
      </w:r>
      <w:r w:rsidRPr="000B3830">
        <w:rPr>
          <w:rFonts w:cs="Arial"/>
          <w:color w:val="000000"/>
        </w:rPr>
        <w:t xml:space="preserve"> </w:t>
      </w:r>
      <w:r w:rsidR="00FF0C0C" w:rsidRPr="000B3830">
        <w:rPr>
          <w:rFonts w:cs="Arial"/>
          <w:color w:val="000000"/>
        </w:rPr>
        <w:t xml:space="preserve">a Q.269.6 millones </w:t>
      </w:r>
      <w:r w:rsidR="00E30BB1" w:rsidRPr="000B3830">
        <w:rPr>
          <w:rFonts w:cs="Arial"/>
          <w:color w:val="000000"/>
        </w:rPr>
        <w:t>para el año 2012</w:t>
      </w:r>
      <w:r w:rsidR="009A5C0F" w:rsidRPr="000B3830">
        <w:rPr>
          <w:rFonts w:cs="Arial"/>
          <w:color w:val="000000"/>
        </w:rPr>
        <w:t>. Entre otros factores se puede señalar la disminución de las asignaciones presupuestarias aprobadas para el Fondo durante el perí</w:t>
      </w:r>
      <w:r w:rsidR="009A5C0F" w:rsidRPr="00A372F7">
        <w:rPr>
          <w:rFonts w:cs="Arial"/>
          <w:color w:val="000000"/>
        </w:rPr>
        <w:t>odo.</w:t>
      </w:r>
      <w:r w:rsidR="00AC057B" w:rsidRPr="00A372F7">
        <w:rPr>
          <w:rFonts w:cs="Arial"/>
          <w:color w:val="000000"/>
        </w:rPr>
        <w:t xml:space="preserve"> A partir de enero de 201</w:t>
      </w:r>
      <w:r w:rsidR="0007629D" w:rsidRPr="00A372F7">
        <w:rPr>
          <w:rFonts w:cs="Arial"/>
          <w:color w:val="000000"/>
        </w:rPr>
        <w:t>3</w:t>
      </w:r>
      <w:r w:rsidR="00AC057B" w:rsidRPr="00A372F7">
        <w:rPr>
          <w:rFonts w:cs="Arial"/>
          <w:color w:val="000000"/>
        </w:rPr>
        <w:t xml:space="preserve"> se dispuso la liquidación de este </w:t>
      </w:r>
      <w:r w:rsidR="00AC057B" w:rsidRPr="00A372F7">
        <w:rPr>
          <w:rFonts w:cs="Arial"/>
          <w:color w:val="000000" w:themeColor="text1"/>
        </w:rPr>
        <w:t>fideicomiso</w:t>
      </w:r>
      <w:r w:rsidR="002F4652" w:rsidRPr="00A372F7">
        <w:rPr>
          <w:rFonts w:cs="Arial"/>
          <w:color w:val="000000" w:themeColor="text1"/>
        </w:rPr>
        <w:t>, el cual no reportó ejecución</w:t>
      </w:r>
      <w:r w:rsidR="00FC3427" w:rsidRPr="00A372F7">
        <w:rPr>
          <w:rFonts w:cs="Arial"/>
          <w:color w:val="000000" w:themeColor="text1"/>
        </w:rPr>
        <w:t xml:space="preserve"> de allí en adelante</w:t>
      </w:r>
      <w:r w:rsidR="00AC057B" w:rsidRPr="00A372F7">
        <w:rPr>
          <w:rFonts w:cs="Arial"/>
          <w:color w:val="000000" w:themeColor="text1"/>
        </w:rPr>
        <w:t>.</w:t>
      </w:r>
      <w:r w:rsidR="006745C6" w:rsidRPr="00A372F7">
        <w:rPr>
          <w:rFonts w:cs="Arial"/>
          <w:color w:val="000000" w:themeColor="text1"/>
        </w:rPr>
        <w:t xml:space="preserve"> Su plazo contractual venció el 26 de diciembre de 2016, fecha a partir de la cual, de conformidad con el Acuerdo Gubernativo No. 296-2015, corresponde al Ministerio de Desarrollo Social conducir su proceso de extinción y liquidación en representación del Estado.</w:t>
      </w:r>
    </w:p>
    <w:p w:rsidR="007D16F1" w:rsidRPr="00C36F0B" w:rsidRDefault="007D16F1" w:rsidP="007D16F1">
      <w:pPr>
        <w:pStyle w:val="Prrafodelista"/>
        <w:ind w:left="360"/>
        <w:jc w:val="both"/>
        <w:rPr>
          <w:rFonts w:cs="Arial"/>
        </w:rPr>
      </w:pPr>
    </w:p>
    <w:p w:rsidR="00417AD9" w:rsidRPr="00BD50CC" w:rsidRDefault="009C6CC3" w:rsidP="00334F97">
      <w:pPr>
        <w:pStyle w:val="Prrafodelista"/>
        <w:numPr>
          <w:ilvl w:val="0"/>
          <w:numId w:val="1"/>
        </w:numPr>
        <w:jc w:val="both"/>
        <w:rPr>
          <w:rFonts w:cs="Arial"/>
          <w:color w:val="000000" w:themeColor="text1"/>
        </w:rPr>
      </w:pPr>
      <w:r w:rsidRPr="00C36F0B">
        <w:rPr>
          <w:rFonts w:cs="Arial"/>
        </w:rPr>
        <w:t xml:space="preserve">El </w:t>
      </w:r>
      <w:r w:rsidR="00D21044" w:rsidRPr="00C36F0B">
        <w:rPr>
          <w:rFonts w:cs="Arial"/>
        </w:rPr>
        <w:t xml:space="preserve">23 de julio de 2013, </w:t>
      </w:r>
      <w:r w:rsidRPr="00C36F0B">
        <w:rPr>
          <w:rFonts w:cs="Arial"/>
        </w:rPr>
        <w:t xml:space="preserve">el </w:t>
      </w:r>
      <w:r w:rsidR="00BC10B4">
        <w:rPr>
          <w:rFonts w:cs="Arial"/>
        </w:rPr>
        <w:t xml:space="preserve">Estado por conducto del </w:t>
      </w:r>
      <w:r w:rsidRPr="00C36F0B">
        <w:rPr>
          <w:rFonts w:cs="Arial"/>
        </w:rPr>
        <w:t xml:space="preserve">Ministerio de Desarrollo Social constituyó en el </w:t>
      </w:r>
      <w:r w:rsidR="00D21044" w:rsidRPr="00C36F0B">
        <w:rPr>
          <w:rFonts w:cs="Arial"/>
        </w:rPr>
        <w:t>Banco de Desarrollo Rural el F</w:t>
      </w:r>
      <w:r w:rsidRPr="00C36F0B">
        <w:rPr>
          <w:rFonts w:cs="Arial"/>
        </w:rPr>
        <w:t xml:space="preserve">ideicomiso </w:t>
      </w:r>
      <w:r w:rsidR="00D21044" w:rsidRPr="00C36F0B">
        <w:rPr>
          <w:rFonts w:cs="Arial"/>
        </w:rPr>
        <w:t xml:space="preserve">de Desarrollo Social </w:t>
      </w:r>
      <w:r w:rsidRPr="00C36F0B">
        <w:rPr>
          <w:rFonts w:cs="Arial"/>
        </w:rPr>
        <w:t xml:space="preserve">con la finalidad principal de concluir los proyectos inconclusos del Fondo Nacional para la Paz. Dicho fideicomiso inició operaciones en </w:t>
      </w:r>
      <w:r w:rsidR="009619E6" w:rsidRPr="00C36F0B">
        <w:rPr>
          <w:rFonts w:cs="Arial"/>
        </w:rPr>
        <w:t xml:space="preserve">enero de </w:t>
      </w:r>
      <w:r w:rsidR="009619E6" w:rsidRPr="00C36F0B">
        <w:rPr>
          <w:rFonts w:cs="Arial"/>
          <w:color w:val="000000" w:themeColor="text1"/>
        </w:rPr>
        <w:t>2014</w:t>
      </w:r>
      <w:r w:rsidR="002F4652" w:rsidRPr="00C36F0B">
        <w:rPr>
          <w:rFonts w:cs="Arial"/>
          <w:color w:val="000000" w:themeColor="text1"/>
        </w:rPr>
        <w:t xml:space="preserve"> y al</w:t>
      </w:r>
      <w:r w:rsidR="00334F97" w:rsidRPr="00C36F0B">
        <w:rPr>
          <w:rFonts w:cs="Arial"/>
          <w:color w:val="000000" w:themeColor="text1"/>
        </w:rPr>
        <w:t xml:space="preserve"> cierre de ese mismo año </w:t>
      </w:r>
      <w:r w:rsidR="002F4652" w:rsidRPr="00C36F0B">
        <w:rPr>
          <w:rFonts w:cs="Arial"/>
          <w:color w:val="000000" w:themeColor="text1"/>
        </w:rPr>
        <w:t>report</w:t>
      </w:r>
      <w:r w:rsidR="00334F97" w:rsidRPr="00C36F0B">
        <w:rPr>
          <w:rFonts w:cs="Arial"/>
          <w:color w:val="000000" w:themeColor="text1"/>
        </w:rPr>
        <w:t>ó</w:t>
      </w:r>
      <w:r w:rsidR="002F4652" w:rsidRPr="00C36F0B">
        <w:rPr>
          <w:rFonts w:cs="Arial"/>
          <w:color w:val="000000" w:themeColor="text1"/>
        </w:rPr>
        <w:t xml:space="preserve"> inversión no reembolsable y gastos por </w:t>
      </w:r>
      <w:r w:rsidR="002D69D2" w:rsidRPr="00C36F0B">
        <w:rPr>
          <w:rFonts w:cs="Arial"/>
          <w:color w:val="000000" w:themeColor="text1"/>
        </w:rPr>
        <w:t>Q. 4.</w:t>
      </w:r>
      <w:r w:rsidR="000B3830" w:rsidRPr="00C36F0B">
        <w:rPr>
          <w:rFonts w:cs="Arial"/>
          <w:color w:val="000000" w:themeColor="text1"/>
        </w:rPr>
        <w:t>6</w:t>
      </w:r>
      <w:r w:rsidR="002D69D2" w:rsidRPr="00C36F0B">
        <w:rPr>
          <w:rFonts w:cs="Arial"/>
          <w:color w:val="000000" w:themeColor="text1"/>
        </w:rPr>
        <w:t xml:space="preserve"> </w:t>
      </w:r>
      <w:r w:rsidR="002D69D2" w:rsidRPr="007275B8">
        <w:rPr>
          <w:rFonts w:cs="Arial"/>
          <w:color w:val="000000" w:themeColor="text1"/>
        </w:rPr>
        <w:t>millones.</w:t>
      </w:r>
      <w:r w:rsidR="003A2043" w:rsidRPr="007275B8">
        <w:rPr>
          <w:rFonts w:cs="Arial"/>
          <w:color w:val="000000" w:themeColor="text1"/>
        </w:rPr>
        <w:t xml:space="preserve"> </w:t>
      </w:r>
      <w:r w:rsidR="00DC461D" w:rsidRPr="007275B8">
        <w:rPr>
          <w:rFonts w:cs="Arial"/>
          <w:color w:val="000000" w:themeColor="text1"/>
        </w:rPr>
        <w:t>Al cierre de</w:t>
      </w:r>
      <w:r w:rsidR="003A2043" w:rsidRPr="007275B8">
        <w:rPr>
          <w:rFonts w:cs="Arial"/>
          <w:color w:val="000000" w:themeColor="text1"/>
        </w:rPr>
        <w:t xml:space="preserve"> 2015 la </w:t>
      </w:r>
      <w:r w:rsidR="003A2043" w:rsidRPr="00BD50CC">
        <w:rPr>
          <w:rFonts w:cs="Arial"/>
          <w:color w:val="000000" w:themeColor="text1"/>
        </w:rPr>
        <w:t>ejecución de este fideicomiso se sit</w:t>
      </w:r>
      <w:r w:rsidR="00DC461D" w:rsidRPr="00BD50CC">
        <w:rPr>
          <w:rFonts w:cs="Arial"/>
          <w:color w:val="000000" w:themeColor="text1"/>
        </w:rPr>
        <w:t>uó</w:t>
      </w:r>
      <w:r w:rsidR="003A2043" w:rsidRPr="00BD50CC">
        <w:rPr>
          <w:rFonts w:cs="Arial"/>
          <w:color w:val="000000" w:themeColor="text1"/>
        </w:rPr>
        <w:t xml:space="preserve"> en </w:t>
      </w:r>
      <w:r w:rsidR="000B006E">
        <w:rPr>
          <w:rFonts w:cs="Arial"/>
          <w:color w:val="000000" w:themeColor="text1"/>
        </w:rPr>
        <w:t xml:space="preserve">     </w:t>
      </w:r>
      <w:r w:rsidR="003A2043" w:rsidRPr="00BD50CC">
        <w:rPr>
          <w:rFonts w:cs="Arial"/>
          <w:color w:val="000000" w:themeColor="text1"/>
        </w:rPr>
        <w:t xml:space="preserve">Q. </w:t>
      </w:r>
      <w:r w:rsidR="00993B62" w:rsidRPr="00BD50CC">
        <w:rPr>
          <w:rFonts w:cs="Arial"/>
          <w:color w:val="000000" w:themeColor="text1"/>
        </w:rPr>
        <w:t>212</w:t>
      </w:r>
      <w:r w:rsidR="00D37F94" w:rsidRPr="00BD50CC">
        <w:rPr>
          <w:rFonts w:cs="Arial"/>
          <w:color w:val="000000" w:themeColor="text1"/>
        </w:rPr>
        <w:t>.</w:t>
      </w:r>
      <w:r w:rsidR="008C29D4" w:rsidRPr="00BD50CC">
        <w:rPr>
          <w:rFonts w:cs="Arial"/>
          <w:color w:val="000000" w:themeColor="text1"/>
        </w:rPr>
        <w:t>9</w:t>
      </w:r>
      <w:r w:rsidR="00D37F94" w:rsidRPr="00BD50CC">
        <w:rPr>
          <w:rFonts w:cs="Arial"/>
          <w:color w:val="000000" w:themeColor="text1"/>
        </w:rPr>
        <w:t xml:space="preserve"> millones</w:t>
      </w:r>
      <w:r w:rsidR="0096234C" w:rsidRPr="00BD50CC">
        <w:rPr>
          <w:rFonts w:cs="Arial"/>
          <w:color w:val="000000" w:themeColor="text1"/>
        </w:rPr>
        <w:t>, la cual descendió</w:t>
      </w:r>
      <w:r w:rsidR="007275B8" w:rsidRPr="00BD50CC">
        <w:rPr>
          <w:rFonts w:cs="Arial"/>
          <w:color w:val="000000" w:themeColor="text1"/>
        </w:rPr>
        <w:t xml:space="preserve"> </w:t>
      </w:r>
      <w:r w:rsidR="0096234C" w:rsidRPr="00BD50CC">
        <w:rPr>
          <w:rFonts w:cs="Arial"/>
          <w:color w:val="000000" w:themeColor="text1"/>
        </w:rPr>
        <w:t>a Q</w:t>
      </w:r>
      <w:r w:rsidR="00D1313E" w:rsidRPr="00BD50CC">
        <w:rPr>
          <w:rFonts w:cs="Arial"/>
          <w:color w:val="000000" w:themeColor="text1"/>
        </w:rPr>
        <w:t>.</w:t>
      </w:r>
      <w:r w:rsidR="007275B8" w:rsidRPr="00BD50CC">
        <w:rPr>
          <w:rFonts w:cs="Arial"/>
          <w:color w:val="000000" w:themeColor="text1"/>
        </w:rPr>
        <w:t>61.0</w:t>
      </w:r>
      <w:r w:rsidR="0096234C" w:rsidRPr="00BD50CC">
        <w:rPr>
          <w:rFonts w:cs="Arial"/>
          <w:color w:val="000000" w:themeColor="text1"/>
        </w:rPr>
        <w:t xml:space="preserve"> millones en 2016</w:t>
      </w:r>
      <w:r w:rsidR="006A2D06" w:rsidRPr="00BD50CC">
        <w:rPr>
          <w:rFonts w:cs="Arial"/>
          <w:color w:val="000000" w:themeColor="text1"/>
        </w:rPr>
        <w:t>.</w:t>
      </w:r>
      <w:r w:rsidR="00111D16" w:rsidRPr="00BD50CC">
        <w:rPr>
          <w:rFonts w:cs="Arial"/>
          <w:color w:val="000000" w:themeColor="text1"/>
        </w:rPr>
        <w:t xml:space="preserve"> </w:t>
      </w:r>
      <w:r w:rsidR="006A2D06" w:rsidRPr="00BD50CC">
        <w:rPr>
          <w:rFonts w:cs="Arial"/>
          <w:color w:val="000000" w:themeColor="text1"/>
        </w:rPr>
        <w:t>P</w:t>
      </w:r>
      <w:r w:rsidR="00111D16" w:rsidRPr="00BD50CC">
        <w:rPr>
          <w:rFonts w:cs="Arial"/>
          <w:color w:val="000000" w:themeColor="text1"/>
        </w:rPr>
        <w:t xml:space="preserve">ara </w:t>
      </w:r>
      <w:r w:rsidR="00E65E49" w:rsidRPr="00BD50CC">
        <w:rPr>
          <w:rFonts w:cs="Arial"/>
          <w:color w:val="000000" w:themeColor="text1"/>
        </w:rPr>
        <w:t xml:space="preserve">diciembre </w:t>
      </w:r>
      <w:r w:rsidR="009D30B2" w:rsidRPr="00BD50CC">
        <w:rPr>
          <w:rFonts w:cs="Arial"/>
          <w:color w:val="000000" w:themeColor="text1"/>
        </w:rPr>
        <w:t>de 2017</w:t>
      </w:r>
      <w:r w:rsidR="00111D16" w:rsidRPr="00BD50CC">
        <w:rPr>
          <w:rFonts w:cs="Arial"/>
          <w:color w:val="000000" w:themeColor="text1"/>
        </w:rPr>
        <w:t xml:space="preserve"> continu</w:t>
      </w:r>
      <w:r w:rsidR="006A2D06" w:rsidRPr="00BD50CC">
        <w:rPr>
          <w:rFonts w:cs="Arial"/>
          <w:color w:val="000000" w:themeColor="text1"/>
        </w:rPr>
        <w:t>ó</w:t>
      </w:r>
      <w:r w:rsidR="00111D16" w:rsidRPr="00BD50CC">
        <w:rPr>
          <w:rFonts w:cs="Arial"/>
          <w:color w:val="000000" w:themeColor="text1"/>
        </w:rPr>
        <w:t xml:space="preserve"> disminuyendo</w:t>
      </w:r>
      <w:r w:rsidR="009D30B2" w:rsidRPr="00BD50CC">
        <w:rPr>
          <w:rFonts w:cs="Arial"/>
          <w:color w:val="000000" w:themeColor="text1"/>
        </w:rPr>
        <w:t xml:space="preserve"> refleja</w:t>
      </w:r>
      <w:r w:rsidR="00111D16" w:rsidRPr="00BD50CC">
        <w:rPr>
          <w:rFonts w:cs="Arial"/>
          <w:color w:val="000000" w:themeColor="text1"/>
        </w:rPr>
        <w:t>ndo</w:t>
      </w:r>
      <w:r w:rsidR="009D30B2" w:rsidRPr="00BD50CC">
        <w:rPr>
          <w:rFonts w:cs="Arial"/>
          <w:color w:val="000000" w:themeColor="text1"/>
        </w:rPr>
        <w:t xml:space="preserve"> una ejecución de </w:t>
      </w:r>
      <w:r w:rsidR="002868DE" w:rsidRPr="00BD50CC">
        <w:rPr>
          <w:rFonts w:cs="Arial"/>
          <w:color w:val="000000" w:themeColor="text1"/>
        </w:rPr>
        <w:t>Q.</w:t>
      </w:r>
      <w:r w:rsidR="00E65E49" w:rsidRPr="00BD50CC">
        <w:rPr>
          <w:rFonts w:cs="Arial"/>
          <w:color w:val="000000" w:themeColor="text1"/>
        </w:rPr>
        <w:t>7.4</w:t>
      </w:r>
      <w:r w:rsidR="00AD3F0C" w:rsidRPr="00BD50CC">
        <w:rPr>
          <w:rFonts w:cs="Arial"/>
          <w:color w:val="000000" w:themeColor="text1"/>
        </w:rPr>
        <w:t xml:space="preserve"> millones</w:t>
      </w:r>
      <w:r w:rsidR="00111D16" w:rsidRPr="00BD50CC">
        <w:rPr>
          <w:rFonts w:cs="Arial"/>
          <w:color w:val="000000" w:themeColor="text1"/>
        </w:rPr>
        <w:t xml:space="preserve"> y para </w:t>
      </w:r>
      <w:r w:rsidR="00006336">
        <w:rPr>
          <w:rFonts w:cs="Arial"/>
          <w:color w:val="000000" w:themeColor="text1"/>
        </w:rPr>
        <w:t>diciembre</w:t>
      </w:r>
      <w:r w:rsidR="00D51A40">
        <w:rPr>
          <w:rFonts w:cs="Arial"/>
          <w:color w:val="000000" w:themeColor="text1"/>
        </w:rPr>
        <w:t xml:space="preserve"> </w:t>
      </w:r>
      <w:r w:rsidR="00111D16" w:rsidRPr="00BD50CC">
        <w:rPr>
          <w:rFonts w:cs="Arial"/>
          <w:color w:val="000000" w:themeColor="text1"/>
        </w:rPr>
        <w:t>2018 reporta Q.</w:t>
      </w:r>
      <w:r w:rsidR="00BB35FF">
        <w:rPr>
          <w:rFonts w:cs="Arial"/>
          <w:color w:val="000000" w:themeColor="text1"/>
        </w:rPr>
        <w:t>4.4</w:t>
      </w:r>
      <w:r w:rsidR="00356737">
        <w:rPr>
          <w:rFonts w:cs="Arial"/>
          <w:color w:val="000000" w:themeColor="text1"/>
        </w:rPr>
        <w:t xml:space="preserve"> </w:t>
      </w:r>
      <w:r w:rsidR="00356737" w:rsidRPr="0094472A">
        <w:rPr>
          <w:rFonts w:cs="Arial"/>
          <w:color w:val="000000" w:themeColor="text1"/>
        </w:rPr>
        <w:t>millones</w:t>
      </w:r>
      <w:r w:rsidR="00FA32BD">
        <w:rPr>
          <w:rFonts w:cs="Arial"/>
          <w:color w:val="000000" w:themeColor="text1"/>
        </w:rPr>
        <w:t>.</w:t>
      </w:r>
      <w:r w:rsidR="004D370D" w:rsidRPr="00330EAB">
        <w:rPr>
          <w:rFonts w:cs="Arial"/>
          <w:color w:val="000000" w:themeColor="text1"/>
        </w:rPr>
        <w:t xml:space="preserve"> El plazo contractual de este fideicomiso </w:t>
      </w:r>
      <w:r w:rsidR="002517D0">
        <w:rPr>
          <w:rFonts w:cs="Arial"/>
          <w:color w:val="000000" w:themeColor="text1"/>
        </w:rPr>
        <w:t>venció el 22 de julio de 2018</w:t>
      </w:r>
      <w:r w:rsidR="000A4765">
        <w:rPr>
          <w:rFonts w:cs="Arial"/>
          <w:color w:val="000000" w:themeColor="text1"/>
        </w:rPr>
        <w:t xml:space="preserve">, </w:t>
      </w:r>
      <w:r w:rsidR="000A4765" w:rsidRPr="00052353">
        <w:rPr>
          <w:rFonts w:cs="Arial"/>
          <w:color w:val="000000" w:themeColor="text1"/>
        </w:rPr>
        <w:t>correspondiendo al Ministerio de Desarrollo Social conducir las gestiones para su extinción y liquidación</w:t>
      </w:r>
      <w:r w:rsidR="004D370D" w:rsidRPr="00052353">
        <w:rPr>
          <w:rFonts w:cs="Arial"/>
          <w:color w:val="000000" w:themeColor="text1"/>
        </w:rPr>
        <w:t>.</w:t>
      </w:r>
    </w:p>
    <w:p w:rsidR="00252F18" w:rsidRPr="00BD50CC" w:rsidRDefault="00252F18" w:rsidP="00756784">
      <w:pPr>
        <w:rPr>
          <w:rFonts w:cs="Arial"/>
          <w:color w:val="000000" w:themeColor="text1"/>
        </w:rPr>
      </w:pPr>
    </w:p>
    <w:p w:rsidR="00177F98" w:rsidRPr="00177F98" w:rsidRDefault="009A5C0F" w:rsidP="0010213E">
      <w:pPr>
        <w:pStyle w:val="Prrafodelista"/>
        <w:numPr>
          <w:ilvl w:val="0"/>
          <w:numId w:val="1"/>
        </w:numPr>
        <w:jc w:val="both"/>
        <w:rPr>
          <w:rFonts w:cs="Arial"/>
          <w:b/>
          <w:color w:val="000000" w:themeColor="text1"/>
        </w:rPr>
      </w:pPr>
      <w:r w:rsidRPr="00505F1E">
        <w:rPr>
          <w:rFonts w:cs="Arial"/>
          <w:color w:val="000000" w:themeColor="text1"/>
        </w:rPr>
        <w:t xml:space="preserve">El </w:t>
      </w:r>
      <w:r w:rsidR="00252F18" w:rsidRPr="00505F1E">
        <w:rPr>
          <w:rFonts w:cs="Arial"/>
          <w:color w:val="000000" w:themeColor="text1"/>
        </w:rPr>
        <w:t xml:space="preserve">Fideicomiso de Administración del Subsidio FIDESUBSIDIO CHN tuvo un </w:t>
      </w:r>
      <w:r w:rsidR="00334F97" w:rsidRPr="00505F1E">
        <w:rPr>
          <w:rFonts w:cs="Arial"/>
          <w:color w:val="000000" w:themeColor="text1"/>
        </w:rPr>
        <w:t xml:space="preserve">comportamiento </w:t>
      </w:r>
      <w:r w:rsidR="003A2043" w:rsidRPr="00505F1E">
        <w:rPr>
          <w:rFonts w:cs="Arial"/>
          <w:color w:val="000000" w:themeColor="text1"/>
        </w:rPr>
        <w:t>variable</w:t>
      </w:r>
      <w:r w:rsidR="00825BEF" w:rsidRPr="00505F1E">
        <w:rPr>
          <w:rFonts w:cs="Arial"/>
          <w:color w:val="000000" w:themeColor="text1"/>
        </w:rPr>
        <w:t>,</w:t>
      </w:r>
      <w:r w:rsidR="00252F18" w:rsidRPr="00505F1E">
        <w:rPr>
          <w:rFonts w:cs="Arial"/>
          <w:color w:val="000000" w:themeColor="text1"/>
        </w:rPr>
        <w:t xml:space="preserve"> ya que para el año 2010 </w:t>
      </w:r>
      <w:r w:rsidR="00A96D08" w:rsidRPr="00505F1E">
        <w:rPr>
          <w:rFonts w:cs="Arial"/>
          <w:color w:val="000000" w:themeColor="text1"/>
        </w:rPr>
        <w:t>reportó</w:t>
      </w:r>
      <w:r w:rsidR="00252F18" w:rsidRPr="00505F1E">
        <w:rPr>
          <w:rFonts w:cs="Arial"/>
          <w:color w:val="000000" w:themeColor="text1"/>
        </w:rPr>
        <w:t xml:space="preserve"> </w:t>
      </w:r>
      <w:r w:rsidR="00F32596" w:rsidRPr="00505F1E">
        <w:rPr>
          <w:rFonts w:cs="Arial"/>
          <w:color w:val="000000" w:themeColor="text1"/>
        </w:rPr>
        <w:t>Q.</w:t>
      </w:r>
      <w:r w:rsidR="00252F18" w:rsidRPr="00505F1E">
        <w:rPr>
          <w:rFonts w:cs="Arial"/>
          <w:color w:val="000000" w:themeColor="text1"/>
        </w:rPr>
        <w:t xml:space="preserve">327.3 millones </w:t>
      </w:r>
      <w:r w:rsidR="00334F97" w:rsidRPr="00505F1E">
        <w:rPr>
          <w:rFonts w:cs="Arial"/>
          <w:color w:val="000000" w:themeColor="text1"/>
        </w:rPr>
        <w:t xml:space="preserve">de ejecución, </w:t>
      </w:r>
      <w:r w:rsidR="00252F18" w:rsidRPr="00505F1E">
        <w:rPr>
          <w:rFonts w:cs="Arial"/>
          <w:color w:val="000000" w:themeColor="text1"/>
        </w:rPr>
        <w:t>para el 2011</w:t>
      </w:r>
      <w:r w:rsidR="00F32596" w:rsidRPr="00505F1E">
        <w:rPr>
          <w:rFonts w:cs="Arial"/>
          <w:color w:val="000000" w:themeColor="text1"/>
        </w:rPr>
        <w:t>,</w:t>
      </w:r>
      <w:r w:rsidR="00252F18" w:rsidRPr="00505F1E">
        <w:rPr>
          <w:rFonts w:cs="Arial"/>
          <w:color w:val="000000" w:themeColor="text1"/>
        </w:rPr>
        <w:t xml:space="preserve"> </w:t>
      </w:r>
      <w:r w:rsidR="00F32596" w:rsidRPr="00505F1E">
        <w:rPr>
          <w:rFonts w:cs="Arial"/>
          <w:color w:val="000000" w:themeColor="text1"/>
        </w:rPr>
        <w:t>Q.</w:t>
      </w:r>
      <w:r w:rsidR="00252F18" w:rsidRPr="00505F1E">
        <w:rPr>
          <w:rFonts w:cs="Arial"/>
          <w:color w:val="000000" w:themeColor="text1"/>
        </w:rPr>
        <w:t>235.0 millones</w:t>
      </w:r>
      <w:r w:rsidR="00334F97" w:rsidRPr="00505F1E">
        <w:rPr>
          <w:rFonts w:cs="Arial"/>
          <w:color w:val="000000" w:themeColor="text1"/>
        </w:rPr>
        <w:t xml:space="preserve">, y para el 2012, </w:t>
      </w:r>
      <w:r w:rsidR="002A2459" w:rsidRPr="00505F1E">
        <w:rPr>
          <w:rFonts w:cs="Arial"/>
          <w:color w:val="000000" w:themeColor="text1"/>
        </w:rPr>
        <w:t>Q.245.1</w:t>
      </w:r>
      <w:r w:rsidR="00334F97" w:rsidRPr="00505F1E">
        <w:rPr>
          <w:rFonts w:cs="Arial"/>
          <w:color w:val="000000" w:themeColor="text1"/>
        </w:rPr>
        <w:t xml:space="preserve"> millones</w:t>
      </w:r>
      <w:r w:rsidR="00252F18" w:rsidRPr="00505F1E">
        <w:rPr>
          <w:rFonts w:cs="Arial"/>
          <w:color w:val="000000" w:themeColor="text1"/>
        </w:rPr>
        <w:t>.</w:t>
      </w:r>
      <w:r w:rsidR="00F32596" w:rsidRPr="00505F1E">
        <w:rPr>
          <w:rFonts w:cs="Arial"/>
          <w:color w:val="000000" w:themeColor="text1"/>
        </w:rPr>
        <w:t xml:space="preserve"> Este fideicomiso </w:t>
      </w:r>
      <w:r w:rsidR="00334F97" w:rsidRPr="00505F1E">
        <w:rPr>
          <w:rFonts w:cs="Arial"/>
          <w:color w:val="000000" w:themeColor="text1"/>
        </w:rPr>
        <w:t>se encuentra en fase de extinción</w:t>
      </w:r>
      <w:r w:rsidR="00F32596" w:rsidRPr="00505F1E">
        <w:rPr>
          <w:rFonts w:cs="Arial"/>
          <w:color w:val="000000" w:themeColor="text1"/>
        </w:rPr>
        <w:t xml:space="preserve"> consecuencia de la aprobación de la Ley de Vivienda, Decreto </w:t>
      </w:r>
      <w:r w:rsidR="006A5B22" w:rsidRPr="00505F1E">
        <w:rPr>
          <w:rFonts w:cs="Arial"/>
          <w:color w:val="000000" w:themeColor="text1"/>
        </w:rPr>
        <w:t>09-2012</w:t>
      </w:r>
      <w:r w:rsidR="00334F97" w:rsidRPr="00505F1E">
        <w:rPr>
          <w:rFonts w:cs="Arial"/>
          <w:color w:val="000000" w:themeColor="text1"/>
        </w:rPr>
        <w:t>,</w:t>
      </w:r>
      <w:r w:rsidR="006A5B22" w:rsidRPr="00505F1E">
        <w:rPr>
          <w:rFonts w:cs="Arial"/>
          <w:color w:val="000000" w:themeColor="text1"/>
        </w:rPr>
        <w:t xml:space="preserve"> </w:t>
      </w:r>
      <w:r w:rsidR="00F32596" w:rsidRPr="00505F1E">
        <w:rPr>
          <w:rFonts w:cs="Arial"/>
          <w:color w:val="000000" w:themeColor="text1"/>
        </w:rPr>
        <w:t>que cre</w:t>
      </w:r>
      <w:r w:rsidR="00334F97" w:rsidRPr="00505F1E">
        <w:rPr>
          <w:rFonts w:cs="Arial"/>
          <w:color w:val="000000" w:themeColor="text1"/>
        </w:rPr>
        <w:t>ó</w:t>
      </w:r>
      <w:r w:rsidR="00F32596" w:rsidRPr="00505F1E">
        <w:rPr>
          <w:rFonts w:cs="Arial"/>
          <w:color w:val="000000" w:themeColor="text1"/>
        </w:rPr>
        <w:t xml:space="preserve"> una nueva</w:t>
      </w:r>
      <w:r w:rsidR="001055D8" w:rsidRPr="00505F1E">
        <w:rPr>
          <w:rFonts w:cs="Arial"/>
          <w:color w:val="000000" w:themeColor="text1"/>
        </w:rPr>
        <w:t xml:space="preserve"> institución rectora del sector</w:t>
      </w:r>
      <w:r w:rsidR="00D2125F" w:rsidRPr="00505F1E">
        <w:rPr>
          <w:rFonts w:cs="Arial"/>
          <w:color w:val="000000" w:themeColor="text1"/>
        </w:rPr>
        <w:t>, así como del vencimiento de su plazo contractual</w:t>
      </w:r>
      <w:r w:rsidR="001055D8" w:rsidRPr="00505F1E">
        <w:rPr>
          <w:rFonts w:cs="Arial"/>
          <w:color w:val="000000" w:themeColor="text1"/>
        </w:rPr>
        <w:t>.</w:t>
      </w:r>
    </w:p>
    <w:p w:rsidR="00177F98" w:rsidRPr="00177F98" w:rsidRDefault="00177F98" w:rsidP="00177F98">
      <w:pPr>
        <w:pStyle w:val="Prrafodelista"/>
        <w:rPr>
          <w:rFonts w:cs="Arial"/>
          <w:color w:val="000000" w:themeColor="text1"/>
        </w:rPr>
      </w:pPr>
    </w:p>
    <w:p w:rsidR="0010213E" w:rsidRPr="00BD0495" w:rsidRDefault="001055D8" w:rsidP="00BD0495">
      <w:pPr>
        <w:pStyle w:val="Prrafodelista"/>
        <w:numPr>
          <w:ilvl w:val="0"/>
          <w:numId w:val="1"/>
        </w:numPr>
        <w:jc w:val="both"/>
        <w:rPr>
          <w:rFonts w:cs="Arial"/>
          <w:b/>
          <w:color w:val="000000" w:themeColor="text1"/>
        </w:rPr>
      </w:pPr>
      <w:r w:rsidRPr="00BD0495">
        <w:rPr>
          <w:rFonts w:cs="Arial"/>
          <w:color w:val="000000" w:themeColor="text1"/>
        </w:rPr>
        <w:t xml:space="preserve">El fideicomiso </w:t>
      </w:r>
      <w:r w:rsidR="009619E6" w:rsidRPr="00BD0495">
        <w:rPr>
          <w:rFonts w:cs="Arial"/>
          <w:color w:val="000000" w:themeColor="text1"/>
        </w:rPr>
        <w:t>Fondo de Inversión para la Vivienda</w:t>
      </w:r>
      <w:r w:rsidRPr="00BD0495">
        <w:rPr>
          <w:rFonts w:cs="Arial"/>
          <w:color w:val="000000" w:themeColor="text1"/>
        </w:rPr>
        <w:t xml:space="preserve">, constituido el </w:t>
      </w:r>
      <w:r w:rsidR="009619E6" w:rsidRPr="00BD0495">
        <w:rPr>
          <w:rFonts w:cs="Arial"/>
          <w:color w:val="000000" w:themeColor="text1"/>
        </w:rPr>
        <w:t xml:space="preserve">02 de julio de 2013 </w:t>
      </w:r>
      <w:r w:rsidRPr="00BD0495">
        <w:rPr>
          <w:rFonts w:cs="Arial"/>
          <w:color w:val="000000" w:themeColor="text1"/>
        </w:rPr>
        <w:t xml:space="preserve">para sustituir al anterior, reportó una ejecución de </w:t>
      </w:r>
      <w:r w:rsidR="00CB509F" w:rsidRPr="00BD0495">
        <w:rPr>
          <w:rFonts w:cs="Arial"/>
          <w:color w:val="000000" w:themeColor="text1"/>
        </w:rPr>
        <w:t>Q. 367.3 millones</w:t>
      </w:r>
      <w:r w:rsidRPr="00BD0495">
        <w:rPr>
          <w:rFonts w:cs="Arial"/>
          <w:color w:val="000000" w:themeColor="text1"/>
        </w:rPr>
        <w:t xml:space="preserve"> d</w:t>
      </w:r>
      <w:r w:rsidR="00334F97" w:rsidRPr="00BD0495">
        <w:rPr>
          <w:rFonts w:cs="Arial"/>
          <w:color w:val="000000" w:themeColor="text1"/>
        </w:rPr>
        <w:t>urante el ejercicio fiscal 2013 y Q.</w:t>
      </w:r>
      <w:r w:rsidR="0061667B" w:rsidRPr="00BD0495">
        <w:rPr>
          <w:rFonts w:cs="Arial"/>
          <w:color w:val="000000" w:themeColor="text1"/>
        </w:rPr>
        <w:t xml:space="preserve"> 262.6</w:t>
      </w:r>
      <w:r w:rsidR="003B342A" w:rsidRPr="00BD0495">
        <w:rPr>
          <w:rFonts w:cs="Arial"/>
          <w:color w:val="000000" w:themeColor="text1"/>
        </w:rPr>
        <w:t xml:space="preserve"> millones</w:t>
      </w:r>
      <w:r w:rsidR="00334F97" w:rsidRPr="00BD0495">
        <w:rPr>
          <w:rFonts w:cs="Arial"/>
          <w:color w:val="000000" w:themeColor="text1"/>
        </w:rPr>
        <w:t xml:space="preserve"> durante el ejercicio fiscal 2014.</w:t>
      </w:r>
      <w:r w:rsidR="00D21C58" w:rsidRPr="00BD0495">
        <w:rPr>
          <w:rFonts w:cs="Arial"/>
          <w:color w:val="000000" w:themeColor="text1"/>
        </w:rPr>
        <w:t xml:space="preserve"> </w:t>
      </w:r>
      <w:r w:rsidR="00550754" w:rsidRPr="00BD0495">
        <w:rPr>
          <w:rFonts w:cs="Arial"/>
          <w:color w:val="000000" w:themeColor="text1"/>
        </w:rPr>
        <w:t xml:space="preserve">Para el año 2015 </w:t>
      </w:r>
      <w:r w:rsidR="00D21C58" w:rsidRPr="00BD0495">
        <w:rPr>
          <w:rFonts w:cs="Arial"/>
          <w:color w:val="000000" w:themeColor="text1"/>
        </w:rPr>
        <w:t xml:space="preserve">su </w:t>
      </w:r>
      <w:r w:rsidR="00523119" w:rsidRPr="00BD0495">
        <w:rPr>
          <w:rFonts w:cs="Arial"/>
          <w:color w:val="000000" w:themeColor="text1"/>
        </w:rPr>
        <w:t xml:space="preserve">ejecución alcanzó Q </w:t>
      </w:r>
      <w:r w:rsidR="0096234C" w:rsidRPr="00BD0495">
        <w:rPr>
          <w:rFonts w:cs="Arial"/>
          <w:color w:val="000000" w:themeColor="text1"/>
        </w:rPr>
        <w:t>166.9 millones</w:t>
      </w:r>
      <w:r w:rsidR="006A2D06" w:rsidRPr="00BD0495">
        <w:rPr>
          <w:rFonts w:cs="Arial"/>
          <w:color w:val="000000" w:themeColor="text1"/>
        </w:rPr>
        <w:t>,</w:t>
      </w:r>
      <w:r w:rsidR="0096234C" w:rsidRPr="00BD0495">
        <w:rPr>
          <w:rFonts w:cs="Arial"/>
          <w:color w:val="000000" w:themeColor="text1"/>
        </w:rPr>
        <w:t xml:space="preserve"> al cierre de 2016 se registra</w:t>
      </w:r>
      <w:r w:rsidR="006A2D06" w:rsidRPr="00BD0495">
        <w:rPr>
          <w:rFonts w:cs="Arial"/>
          <w:color w:val="000000" w:themeColor="text1"/>
        </w:rPr>
        <w:t>ro</w:t>
      </w:r>
      <w:r w:rsidR="0096234C" w:rsidRPr="00BD0495">
        <w:rPr>
          <w:rFonts w:cs="Arial"/>
          <w:color w:val="000000" w:themeColor="text1"/>
        </w:rPr>
        <w:t>n Q</w:t>
      </w:r>
      <w:r w:rsidR="00F303EF" w:rsidRPr="00BD0495">
        <w:rPr>
          <w:rFonts w:cs="Arial"/>
          <w:color w:val="000000" w:themeColor="text1"/>
        </w:rPr>
        <w:t xml:space="preserve"> 92.2 </w:t>
      </w:r>
      <w:r w:rsidR="0096234C" w:rsidRPr="00BD0495">
        <w:rPr>
          <w:rFonts w:cs="Arial"/>
          <w:color w:val="000000" w:themeColor="text1"/>
        </w:rPr>
        <w:t>millones</w:t>
      </w:r>
      <w:r w:rsidR="006A2D06" w:rsidRPr="00BD0495">
        <w:rPr>
          <w:rFonts w:cs="Arial"/>
          <w:color w:val="000000" w:themeColor="text1"/>
        </w:rPr>
        <w:t>, y a</w:t>
      </w:r>
      <w:r w:rsidR="0052665C" w:rsidRPr="00BD0495">
        <w:rPr>
          <w:rFonts w:cs="Arial"/>
          <w:color w:val="000000" w:themeColor="text1"/>
        </w:rPr>
        <w:t xml:space="preserve"> </w:t>
      </w:r>
      <w:r w:rsidR="00D055DA" w:rsidRPr="00BD0495">
        <w:rPr>
          <w:rFonts w:cs="Arial"/>
          <w:color w:val="000000" w:themeColor="text1"/>
        </w:rPr>
        <w:t>diciembre</w:t>
      </w:r>
      <w:r w:rsidR="00AE5AF9" w:rsidRPr="00BD0495">
        <w:rPr>
          <w:rFonts w:cs="Arial"/>
          <w:color w:val="000000" w:themeColor="text1"/>
        </w:rPr>
        <w:t xml:space="preserve"> </w:t>
      </w:r>
      <w:r w:rsidR="006A2D06" w:rsidRPr="00BD0495">
        <w:rPr>
          <w:rFonts w:cs="Arial"/>
          <w:color w:val="000000" w:themeColor="text1"/>
        </w:rPr>
        <w:t xml:space="preserve">de </w:t>
      </w:r>
      <w:r w:rsidR="002D2153" w:rsidRPr="00BD0495">
        <w:rPr>
          <w:rFonts w:cs="Arial"/>
          <w:color w:val="000000" w:themeColor="text1"/>
        </w:rPr>
        <w:t>2017</w:t>
      </w:r>
      <w:r w:rsidR="006A2D06" w:rsidRPr="00BD0495">
        <w:rPr>
          <w:rFonts w:cs="Arial"/>
          <w:color w:val="000000" w:themeColor="text1"/>
        </w:rPr>
        <w:t>,</w:t>
      </w:r>
      <w:r w:rsidR="002D2153" w:rsidRPr="00BD0495">
        <w:rPr>
          <w:rFonts w:cs="Arial"/>
          <w:color w:val="000000" w:themeColor="text1"/>
        </w:rPr>
        <w:t xml:space="preserve"> </w:t>
      </w:r>
      <w:r w:rsidR="002D2153" w:rsidRPr="00BD0495">
        <w:rPr>
          <w:rFonts w:cs="Arial"/>
          <w:color w:val="000000" w:themeColor="text1"/>
        </w:rPr>
        <w:lastRenderedPageBreak/>
        <w:t>Q.</w:t>
      </w:r>
      <w:r w:rsidR="00040DB0" w:rsidRPr="00BD0495">
        <w:rPr>
          <w:rFonts w:cs="Arial"/>
          <w:color w:val="000000" w:themeColor="text1"/>
        </w:rPr>
        <w:t>1</w:t>
      </w:r>
      <w:r w:rsidR="00D055DA" w:rsidRPr="00BD0495">
        <w:rPr>
          <w:rFonts w:cs="Arial"/>
          <w:color w:val="000000" w:themeColor="text1"/>
        </w:rPr>
        <w:t>52.2</w:t>
      </w:r>
      <w:r w:rsidR="00EA7051" w:rsidRPr="00BD0495">
        <w:rPr>
          <w:rFonts w:cs="Arial"/>
          <w:color w:val="000000" w:themeColor="text1"/>
        </w:rPr>
        <w:t xml:space="preserve"> </w:t>
      </w:r>
      <w:r w:rsidR="0052665C" w:rsidRPr="00BD0495">
        <w:rPr>
          <w:rFonts w:cs="Arial"/>
          <w:color w:val="000000" w:themeColor="text1"/>
        </w:rPr>
        <w:t>m</w:t>
      </w:r>
      <w:r w:rsidR="002D2153" w:rsidRPr="00BD0495">
        <w:rPr>
          <w:rFonts w:cs="Arial"/>
          <w:color w:val="000000" w:themeColor="text1"/>
        </w:rPr>
        <w:t>illones</w:t>
      </w:r>
      <w:r w:rsidR="007E085E" w:rsidRPr="00BD0495">
        <w:rPr>
          <w:rFonts w:cs="Arial"/>
          <w:color w:val="000000" w:themeColor="text1"/>
        </w:rPr>
        <w:t>, p</w:t>
      </w:r>
      <w:r w:rsidR="00FE311E" w:rsidRPr="00BD0495">
        <w:rPr>
          <w:rFonts w:cs="Arial"/>
          <w:color w:val="000000" w:themeColor="text1"/>
        </w:rPr>
        <w:t xml:space="preserve">ara </w:t>
      </w:r>
      <w:r w:rsidR="00FC6413" w:rsidRPr="00BD0495">
        <w:rPr>
          <w:rFonts w:cs="Arial"/>
          <w:color w:val="000000" w:themeColor="text1"/>
        </w:rPr>
        <w:t>diciembre</w:t>
      </w:r>
      <w:r w:rsidR="004E0620" w:rsidRPr="00BD0495">
        <w:rPr>
          <w:rFonts w:cs="Arial"/>
          <w:color w:val="000000" w:themeColor="text1"/>
        </w:rPr>
        <w:t xml:space="preserve"> </w:t>
      </w:r>
      <w:r w:rsidR="00A4787B" w:rsidRPr="00BD0495">
        <w:rPr>
          <w:rFonts w:cs="Arial"/>
          <w:color w:val="000000" w:themeColor="text1"/>
        </w:rPr>
        <w:t xml:space="preserve">2018 reporta Q. </w:t>
      </w:r>
      <w:r w:rsidR="00FC6413" w:rsidRPr="00BD0495">
        <w:rPr>
          <w:rFonts w:cs="Arial"/>
          <w:color w:val="000000" w:themeColor="text1"/>
        </w:rPr>
        <w:t>135.6</w:t>
      </w:r>
      <w:r w:rsidR="004A2F95" w:rsidRPr="00BD0495">
        <w:rPr>
          <w:rFonts w:cs="Arial"/>
          <w:color w:val="000000" w:themeColor="text1"/>
        </w:rPr>
        <w:t xml:space="preserve"> millones</w:t>
      </w:r>
      <w:r w:rsidR="007E085E" w:rsidRPr="00BD0495">
        <w:rPr>
          <w:rFonts w:cs="Arial"/>
          <w:color w:val="000000" w:themeColor="text1"/>
        </w:rPr>
        <w:t>, y para</w:t>
      </w:r>
      <w:r w:rsidR="00CB5C1C" w:rsidRPr="00BD0495">
        <w:rPr>
          <w:rFonts w:cs="Arial"/>
          <w:color w:val="000000" w:themeColor="text1"/>
        </w:rPr>
        <w:t xml:space="preserve"> </w:t>
      </w:r>
      <w:r w:rsidR="00E20E60">
        <w:rPr>
          <w:rFonts w:cs="Arial"/>
          <w:color w:val="000000" w:themeColor="text1"/>
        </w:rPr>
        <w:t>diciembre</w:t>
      </w:r>
      <w:r w:rsidR="000B006E" w:rsidRPr="00BD0495">
        <w:rPr>
          <w:rFonts w:cs="Arial"/>
          <w:color w:val="000000" w:themeColor="text1"/>
        </w:rPr>
        <w:t xml:space="preserve"> </w:t>
      </w:r>
      <w:r w:rsidR="00356737" w:rsidRPr="00BD0495">
        <w:rPr>
          <w:rFonts w:cs="Arial"/>
          <w:color w:val="000000" w:themeColor="text1"/>
        </w:rPr>
        <w:t xml:space="preserve">de </w:t>
      </w:r>
      <w:r w:rsidR="007E085E" w:rsidRPr="00BD0495">
        <w:rPr>
          <w:rFonts w:cs="Arial"/>
          <w:color w:val="000000" w:themeColor="text1"/>
        </w:rPr>
        <w:t>2019</w:t>
      </w:r>
      <w:r w:rsidR="00356737" w:rsidRPr="00BD0495">
        <w:rPr>
          <w:rFonts w:cs="Arial"/>
          <w:color w:val="000000" w:themeColor="text1"/>
        </w:rPr>
        <w:t>,</w:t>
      </w:r>
      <w:r w:rsidR="007E085E" w:rsidRPr="00BD0495">
        <w:rPr>
          <w:rFonts w:cs="Arial"/>
          <w:color w:val="000000" w:themeColor="text1"/>
        </w:rPr>
        <w:t xml:space="preserve"> Q.</w:t>
      </w:r>
      <w:r w:rsidR="00CD68ED" w:rsidRPr="00BD0495">
        <w:rPr>
          <w:rFonts w:cs="Arial"/>
          <w:color w:val="000000" w:themeColor="text1"/>
        </w:rPr>
        <w:t>2</w:t>
      </w:r>
      <w:r w:rsidR="00E20E60">
        <w:rPr>
          <w:rFonts w:cs="Arial"/>
          <w:color w:val="000000" w:themeColor="text1"/>
        </w:rPr>
        <w:t>64.3</w:t>
      </w:r>
      <w:r w:rsidR="000B006E" w:rsidRPr="00BD0495">
        <w:rPr>
          <w:rFonts w:cs="Arial"/>
          <w:color w:val="000000" w:themeColor="text1"/>
        </w:rPr>
        <w:t xml:space="preserve"> </w:t>
      </w:r>
      <w:r w:rsidR="007E085E" w:rsidRPr="00BD0495">
        <w:rPr>
          <w:rFonts w:cs="Arial"/>
          <w:color w:val="000000" w:themeColor="text1"/>
        </w:rPr>
        <w:t>millones</w:t>
      </w:r>
      <w:r w:rsidR="00A4787B" w:rsidRPr="00BD0495">
        <w:rPr>
          <w:rFonts w:cs="Arial"/>
          <w:color w:val="000000" w:themeColor="text1"/>
        </w:rPr>
        <w:t>.</w:t>
      </w:r>
    </w:p>
    <w:p w:rsidR="00505F1E" w:rsidRPr="0094472A" w:rsidRDefault="00505F1E" w:rsidP="00505F1E">
      <w:pPr>
        <w:jc w:val="both"/>
        <w:rPr>
          <w:rFonts w:cs="Arial"/>
          <w:b/>
          <w:color w:val="000000" w:themeColor="text1"/>
        </w:rPr>
      </w:pPr>
    </w:p>
    <w:p w:rsidR="00775A77" w:rsidRPr="00505F1E" w:rsidRDefault="00334F97" w:rsidP="0067082B">
      <w:pPr>
        <w:pStyle w:val="Prrafodelista"/>
        <w:numPr>
          <w:ilvl w:val="0"/>
          <w:numId w:val="1"/>
        </w:numPr>
        <w:jc w:val="both"/>
        <w:rPr>
          <w:rFonts w:cs="Arial"/>
          <w:b/>
          <w:color w:val="000000" w:themeColor="text1"/>
        </w:rPr>
      </w:pPr>
      <w:r w:rsidRPr="0094472A">
        <w:rPr>
          <w:rFonts w:cs="Arial"/>
          <w:color w:val="000000" w:themeColor="text1"/>
        </w:rPr>
        <w:t xml:space="preserve">El </w:t>
      </w:r>
      <w:r w:rsidR="00252F18" w:rsidRPr="0094472A">
        <w:rPr>
          <w:rFonts w:cs="Arial"/>
          <w:color w:val="000000" w:themeColor="text1"/>
        </w:rPr>
        <w:t xml:space="preserve">Fideicomiso de Transporte de la Ciudad de Guatemala -FIDEMUNI- </w:t>
      </w:r>
      <w:r w:rsidR="000A4765" w:rsidRPr="0094472A">
        <w:rPr>
          <w:rFonts w:cs="Arial"/>
          <w:color w:val="000000" w:themeColor="text1"/>
        </w:rPr>
        <w:t xml:space="preserve">se financia con aportes del Gobierno Central y la Municipalidad de Guatemala, conforme su ley de creación. Su ejecución </w:t>
      </w:r>
      <w:r w:rsidR="00252F18" w:rsidRPr="0094472A">
        <w:rPr>
          <w:rFonts w:cs="Arial"/>
          <w:color w:val="000000" w:themeColor="text1"/>
        </w:rPr>
        <w:t xml:space="preserve">tuvo un decremento de </w:t>
      </w:r>
      <w:r w:rsidR="00F32596" w:rsidRPr="0094472A">
        <w:rPr>
          <w:rFonts w:cs="Arial"/>
          <w:color w:val="000000" w:themeColor="text1"/>
        </w:rPr>
        <w:t>Q.</w:t>
      </w:r>
      <w:r w:rsidR="00393189" w:rsidRPr="0094472A">
        <w:rPr>
          <w:rFonts w:cs="Arial"/>
          <w:color w:val="000000" w:themeColor="text1"/>
        </w:rPr>
        <w:t xml:space="preserve">265.4 </w:t>
      </w:r>
      <w:r w:rsidR="00252F18" w:rsidRPr="0094472A">
        <w:rPr>
          <w:rFonts w:cs="Arial"/>
          <w:color w:val="000000" w:themeColor="text1"/>
        </w:rPr>
        <w:t xml:space="preserve">millones </w:t>
      </w:r>
      <w:r w:rsidRPr="0094472A">
        <w:rPr>
          <w:rFonts w:cs="Arial"/>
          <w:color w:val="000000" w:themeColor="text1"/>
        </w:rPr>
        <w:t>entre</w:t>
      </w:r>
      <w:r w:rsidR="00252F18" w:rsidRPr="0094472A">
        <w:rPr>
          <w:rFonts w:cs="Arial"/>
          <w:color w:val="000000" w:themeColor="text1"/>
        </w:rPr>
        <w:t xml:space="preserve"> 2010 </w:t>
      </w:r>
      <w:r w:rsidRPr="0094472A">
        <w:rPr>
          <w:rFonts w:cs="Arial"/>
          <w:color w:val="000000" w:themeColor="text1"/>
        </w:rPr>
        <w:t>y 2013, año en que reportó</w:t>
      </w:r>
      <w:r w:rsidR="000A4765" w:rsidRPr="0094472A">
        <w:rPr>
          <w:rFonts w:cs="Arial"/>
          <w:color w:val="000000" w:themeColor="text1"/>
        </w:rPr>
        <w:t xml:space="preserve"> </w:t>
      </w:r>
      <w:r w:rsidRPr="0094472A">
        <w:rPr>
          <w:rFonts w:cs="Arial"/>
          <w:color w:val="000000" w:themeColor="text1"/>
        </w:rPr>
        <w:t xml:space="preserve"> Q.</w:t>
      </w:r>
      <w:r w:rsidR="00CB509F" w:rsidRPr="0094472A">
        <w:rPr>
          <w:rFonts w:cs="Arial"/>
          <w:color w:val="000000" w:themeColor="text1"/>
        </w:rPr>
        <w:t>175.0 millones.</w:t>
      </w:r>
      <w:r w:rsidRPr="0094472A">
        <w:rPr>
          <w:rFonts w:cs="Arial"/>
          <w:color w:val="000000" w:themeColor="text1"/>
        </w:rPr>
        <w:t xml:space="preserve"> Al cierre de 2014, su inversión no reembolsable y gastos ascendió a Q.</w:t>
      </w:r>
      <w:r w:rsidR="000A4FC7" w:rsidRPr="0094472A">
        <w:rPr>
          <w:rFonts w:cs="Arial"/>
          <w:color w:val="000000" w:themeColor="text1"/>
        </w:rPr>
        <w:t>198.9</w:t>
      </w:r>
      <w:r w:rsidR="00D57A92" w:rsidRPr="0094472A">
        <w:rPr>
          <w:rFonts w:cs="Arial"/>
          <w:color w:val="000000" w:themeColor="text1"/>
        </w:rPr>
        <w:t xml:space="preserve"> millones</w:t>
      </w:r>
      <w:r w:rsidR="00D21C58" w:rsidRPr="0094472A">
        <w:rPr>
          <w:rFonts w:cs="Arial"/>
          <w:color w:val="000000" w:themeColor="text1"/>
        </w:rPr>
        <w:t xml:space="preserve">, en tanto que </w:t>
      </w:r>
      <w:r w:rsidR="001A6DF9" w:rsidRPr="0094472A">
        <w:rPr>
          <w:rFonts w:cs="Arial"/>
          <w:color w:val="000000" w:themeColor="text1"/>
        </w:rPr>
        <w:t>en el 2015</w:t>
      </w:r>
      <w:r w:rsidR="00DC461D" w:rsidRPr="0094472A">
        <w:rPr>
          <w:rFonts w:cs="Arial"/>
          <w:color w:val="000000" w:themeColor="text1"/>
        </w:rPr>
        <w:t>,</w:t>
      </w:r>
      <w:r w:rsidR="001A6DF9" w:rsidRPr="0094472A">
        <w:rPr>
          <w:rFonts w:cs="Arial"/>
          <w:color w:val="000000" w:themeColor="text1"/>
        </w:rPr>
        <w:t xml:space="preserve"> </w:t>
      </w:r>
      <w:r w:rsidR="008E7C15" w:rsidRPr="0094472A">
        <w:rPr>
          <w:rFonts w:cs="Arial"/>
          <w:color w:val="000000" w:themeColor="text1"/>
        </w:rPr>
        <w:t>ascendió</w:t>
      </w:r>
      <w:r w:rsidR="00D21C58" w:rsidRPr="0094472A">
        <w:rPr>
          <w:rFonts w:cs="Arial"/>
          <w:color w:val="000000" w:themeColor="text1"/>
        </w:rPr>
        <w:t xml:space="preserve"> </w:t>
      </w:r>
      <w:r w:rsidR="008E7C15" w:rsidRPr="0094472A">
        <w:rPr>
          <w:rFonts w:cs="Arial"/>
          <w:color w:val="000000" w:themeColor="text1"/>
        </w:rPr>
        <w:t xml:space="preserve">a </w:t>
      </w:r>
      <w:r w:rsidR="00D21C58" w:rsidRPr="0094472A">
        <w:rPr>
          <w:rFonts w:cs="Arial"/>
          <w:color w:val="000000" w:themeColor="text1"/>
        </w:rPr>
        <w:t>Q</w:t>
      </w:r>
      <w:r w:rsidR="00523119" w:rsidRPr="0094472A">
        <w:rPr>
          <w:rFonts w:cs="Arial"/>
          <w:color w:val="000000" w:themeColor="text1"/>
        </w:rPr>
        <w:t xml:space="preserve"> 1</w:t>
      </w:r>
      <w:r w:rsidR="001E04B9" w:rsidRPr="0094472A">
        <w:rPr>
          <w:rFonts w:cs="Arial"/>
          <w:color w:val="000000" w:themeColor="text1"/>
        </w:rPr>
        <w:t>88</w:t>
      </w:r>
      <w:r w:rsidR="00523119" w:rsidRPr="0094472A">
        <w:rPr>
          <w:rFonts w:cs="Arial"/>
          <w:color w:val="000000" w:themeColor="text1"/>
        </w:rPr>
        <w:t>.</w:t>
      </w:r>
      <w:r w:rsidR="001E04B9" w:rsidRPr="0094472A">
        <w:rPr>
          <w:rFonts w:cs="Arial"/>
          <w:color w:val="000000" w:themeColor="text1"/>
        </w:rPr>
        <w:t>4</w:t>
      </w:r>
      <w:r w:rsidR="00523119" w:rsidRPr="0094472A">
        <w:rPr>
          <w:rFonts w:cs="Arial"/>
          <w:color w:val="000000" w:themeColor="text1"/>
        </w:rPr>
        <w:t xml:space="preserve"> </w:t>
      </w:r>
      <w:r w:rsidR="00D21C58" w:rsidRPr="0094472A">
        <w:rPr>
          <w:rFonts w:cs="Arial"/>
          <w:color w:val="000000" w:themeColor="text1"/>
        </w:rPr>
        <w:t>millones.</w:t>
      </w:r>
      <w:r w:rsidR="0096234C" w:rsidRPr="0094472A">
        <w:rPr>
          <w:rFonts w:cs="Arial"/>
          <w:color w:val="000000" w:themeColor="text1"/>
        </w:rPr>
        <w:t xml:space="preserve"> Al 31 de diciembre de 2016 este fideicomiso mostró un</w:t>
      </w:r>
      <w:r w:rsidR="00126E3A" w:rsidRPr="0094472A">
        <w:rPr>
          <w:rFonts w:cs="Arial"/>
          <w:color w:val="000000" w:themeColor="text1"/>
        </w:rPr>
        <w:t xml:space="preserve">a </w:t>
      </w:r>
      <w:r w:rsidR="0096234C" w:rsidRPr="0094472A">
        <w:rPr>
          <w:rFonts w:cs="Arial"/>
          <w:color w:val="000000" w:themeColor="text1"/>
        </w:rPr>
        <w:t>disminución</w:t>
      </w:r>
      <w:r w:rsidR="00126E3A" w:rsidRPr="0094472A">
        <w:rPr>
          <w:rFonts w:cs="Arial"/>
          <w:color w:val="000000" w:themeColor="text1"/>
        </w:rPr>
        <w:t xml:space="preserve"> </w:t>
      </w:r>
      <w:r w:rsidR="0096234C" w:rsidRPr="0094472A">
        <w:rPr>
          <w:rFonts w:cs="Arial"/>
          <w:color w:val="000000" w:themeColor="text1"/>
        </w:rPr>
        <w:t>de Q</w:t>
      </w:r>
      <w:r w:rsidR="00E60468" w:rsidRPr="0094472A">
        <w:rPr>
          <w:rFonts w:cs="Arial"/>
          <w:color w:val="000000" w:themeColor="text1"/>
        </w:rPr>
        <w:t xml:space="preserve"> </w:t>
      </w:r>
      <w:r w:rsidR="005F3F16" w:rsidRPr="0094472A">
        <w:rPr>
          <w:rFonts w:cs="Arial"/>
          <w:color w:val="000000" w:themeColor="text1"/>
        </w:rPr>
        <w:t xml:space="preserve">59.5 </w:t>
      </w:r>
      <w:r w:rsidR="0096234C" w:rsidRPr="0094472A">
        <w:rPr>
          <w:rFonts w:cs="Arial"/>
          <w:color w:val="000000" w:themeColor="text1"/>
        </w:rPr>
        <w:t>millones, alcanzando su ejecución un total de Q</w:t>
      </w:r>
      <w:r w:rsidR="006C6165" w:rsidRPr="0094472A">
        <w:rPr>
          <w:rFonts w:cs="Arial"/>
          <w:color w:val="000000" w:themeColor="text1"/>
        </w:rPr>
        <w:t>.</w:t>
      </w:r>
      <w:r w:rsidR="00E60468" w:rsidRPr="0094472A">
        <w:rPr>
          <w:rFonts w:cs="Arial"/>
          <w:color w:val="000000" w:themeColor="text1"/>
        </w:rPr>
        <w:t xml:space="preserve">128.9 </w:t>
      </w:r>
      <w:r w:rsidR="0096234C" w:rsidRPr="0094472A">
        <w:rPr>
          <w:rFonts w:cs="Arial"/>
          <w:color w:val="000000" w:themeColor="text1"/>
        </w:rPr>
        <w:t>millones.</w:t>
      </w:r>
      <w:r w:rsidR="002D2153" w:rsidRPr="0094472A">
        <w:rPr>
          <w:rFonts w:cs="Arial"/>
          <w:color w:val="000000" w:themeColor="text1"/>
        </w:rPr>
        <w:t xml:space="preserve"> </w:t>
      </w:r>
      <w:r w:rsidR="00E7411F" w:rsidRPr="0094472A">
        <w:rPr>
          <w:rFonts w:cs="Arial"/>
          <w:color w:val="000000" w:themeColor="text1"/>
        </w:rPr>
        <w:t xml:space="preserve">A </w:t>
      </w:r>
      <w:r w:rsidR="00907FC1" w:rsidRPr="0094472A">
        <w:rPr>
          <w:rFonts w:cs="Arial"/>
          <w:color w:val="000000" w:themeColor="text1"/>
        </w:rPr>
        <w:t>diciembre</w:t>
      </w:r>
      <w:r w:rsidR="00684094" w:rsidRPr="0094472A">
        <w:rPr>
          <w:rFonts w:cs="Arial"/>
          <w:color w:val="000000" w:themeColor="text1"/>
        </w:rPr>
        <w:t xml:space="preserve"> </w:t>
      </w:r>
      <w:r w:rsidR="002D2153" w:rsidRPr="0094472A">
        <w:rPr>
          <w:rFonts w:cs="Arial"/>
          <w:color w:val="000000" w:themeColor="text1"/>
        </w:rPr>
        <w:t>2017 report</w:t>
      </w:r>
      <w:r w:rsidR="006A2D06" w:rsidRPr="0094472A">
        <w:rPr>
          <w:rFonts w:cs="Arial"/>
          <w:color w:val="000000" w:themeColor="text1"/>
        </w:rPr>
        <w:t>ó</w:t>
      </w:r>
      <w:r w:rsidR="002D2153" w:rsidRPr="0094472A">
        <w:rPr>
          <w:rFonts w:cs="Arial"/>
          <w:color w:val="000000" w:themeColor="text1"/>
        </w:rPr>
        <w:t xml:space="preserve"> una ejecución de </w:t>
      </w:r>
      <w:r w:rsidR="00026688" w:rsidRPr="0094472A">
        <w:rPr>
          <w:rFonts w:cs="Arial"/>
          <w:color w:val="000000" w:themeColor="text1"/>
        </w:rPr>
        <w:t>Q.</w:t>
      </w:r>
      <w:r w:rsidR="00907FC1" w:rsidRPr="0094472A">
        <w:rPr>
          <w:rFonts w:cs="Arial"/>
          <w:color w:val="000000" w:themeColor="text1"/>
        </w:rPr>
        <w:t xml:space="preserve">109.7 </w:t>
      </w:r>
      <w:r w:rsidR="002D2153" w:rsidRPr="0094472A">
        <w:rPr>
          <w:rFonts w:cs="Arial"/>
          <w:color w:val="000000" w:themeColor="text1"/>
        </w:rPr>
        <w:t>millones</w:t>
      </w:r>
      <w:r w:rsidR="00922B43" w:rsidRPr="0094472A">
        <w:rPr>
          <w:rFonts w:cs="Arial"/>
          <w:color w:val="000000" w:themeColor="text1"/>
        </w:rPr>
        <w:t>.</w:t>
      </w:r>
      <w:r w:rsidR="005B576E" w:rsidRPr="0094472A">
        <w:rPr>
          <w:rFonts w:cs="Arial"/>
          <w:color w:val="000000" w:themeColor="text1"/>
        </w:rPr>
        <w:t xml:space="preserve"> </w:t>
      </w:r>
      <w:r w:rsidR="00922B43" w:rsidRPr="0094472A">
        <w:rPr>
          <w:rFonts w:cs="Arial"/>
          <w:color w:val="000000" w:themeColor="text1"/>
        </w:rPr>
        <w:t>P</w:t>
      </w:r>
      <w:r w:rsidR="00641944" w:rsidRPr="0094472A">
        <w:rPr>
          <w:rFonts w:cs="Arial"/>
          <w:color w:val="000000" w:themeColor="text1"/>
        </w:rPr>
        <w:t>ara</w:t>
      </w:r>
      <w:r w:rsidR="008F6E12" w:rsidRPr="0094472A">
        <w:rPr>
          <w:rFonts w:cs="Arial"/>
          <w:color w:val="000000" w:themeColor="text1"/>
        </w:rPr>
        <w:t xml:space="preserve"> </w:t>
      </w:r>
      <w:r w:rsidR="008E13EA" w:rsidRPr="0094472A">
        <w:rPr>
          <w:rFonts w:cs="Arial"/>
          <w:color w:val="000000" w:themeColor="text1"/>
        </w:rPr>
        <w:t>diciembre</w:t>
      </w:r>
      <w:r w:rsidR="00641944" w:rsidRPr="0094472A">
        <w:rPr>
          <w:rFonts w:cs="Arial"/>
          <w:color w:val="000000" w:themeColor="text1"/>
        </w:rPr>
        <w:t xml:space="preserve"> 2018 reporta una ejecución de Q.</w:t>
      </w:r>
      <w:r w:rsidR="008E13EA" w:rsidRPr="0094472A">
        <w:rPr>
          <w:rFonts w:cs="Arial"/>
          <w:color w:val="000000" w:themeColor="text1"/>
        </w:rPr>
        <w:t>151.6</w:t>
      </w:r>
      <w:r w:rsidR="006211F6" w:rsidRPr="0094472A">
        <w:rPr>
          <w:rFonts w:cs="Arial"/>
          <w:color w:val="000000" w:themeColor="text1"/>
        </w:rPr>
        <w:t xml:space="preserve"> millones</w:t>
      </w:r>
      <w:r w:rsidR="005B576E" w:rsidRPr="0094472A">
        <w:rPr>
          <w:rFonts w:cs="Arial"/>
          <w:color w:val="000000" w:themeColor="text1"/>
        </w:rPr>
        <w:t xml:space="preserve">, y a </w:t>
      </w:r>
      <w:r w:rsidR="00CD6890">
        <w:rPr>
          <w:rFonts w:cs="Arial"/>
          <w:color w:val="000000" w:themeColor="text1"/>
        </w:rPr>
        <w:t>diciembre</w:t>
      </w:r>
      <w:r w:rsidR="007D04D5">
        <w:rPr>
          <w:rFonts w:cs="Arial"/>
          <w:color w:val="000000" w:themeColor="text1"/>
        </w:rPr>
        <w:t xml:space="preserve"> </w:t>
      </w:r>
      <w:r w:rsidR="00356737" w:rsidRPr="0094472A">
        <w:rPr>
          <w:rFonts w:cs="Arial"/>
          <w:color w:val="000000" w:themeColor="text1"/>
        </w:rPr>
        <w:t>de</w:t>
      </w:r>
      <w:r w:rsidR="005B576E" w:rsidRPr="0094472A">
        <w:rPr>
          <w:rFonts w:cs="Arial"/>
          <w:color w:val="000000" w:themeColor="text1"/>
        </w:rPr>
        <w:t xml:space="preserve"> 2019 reporta</w:t>
      </w:r>
      <w:r w:rsidR="004C2977">
        <w:rPr>
          <w:rFonts w:cs="Arial"/>
          <w:color w:val="000000" w:themeColor="text1"/>
        </w:rPr>
        <w:t xml:space="preserve">  </w:t>
      </w:r>
      <w:r w:rsidR="005B576E">
        <w:rPr>
          <w:rFonts w:cs="Arial"/>
          <w:color w:val="000000" w:themeColor="text1"/>
        </w:rPr>
        <w:t xml:space="preserve"> </w:t>
      </w:r>
      <w:r w:rsidR="001F14BA">
        <w:rPr>
          <w:rFonts w:cs="Arial"/>
          <w:color w:val="000000" w:themeColor="text1"/>
        </w:rPr>
        <w:t xml:space="preserve">                </w:t>
      </w:r>
      <w:r w:rsidR="005B576E">
        <w:rPr>
          <w:rFonts w:cs="Arial"/>
          <w:color w:val="000000" w:themeColor="text1"/>
        </w:rPr>
        <w:t>Q.</w:t>
      </w:r>
      <w:r w:rsidR="000A3972">
        <w:rPr>
          <w:rFonts w:cs="Arial"/>
          <w:color w:val="000000" w:themeColor="text1"/>
        </w:rPr>
        <w:t xml:space="preserve"> </w:t>
      </w:r>
      <w:r w:rsidR="007D04D5">
        <w:rPr>
          <w:rFonts w:cs="Arial"/>
          <w:color w:val="000000" w:themeColor="text1"/>
        </w:rPr>
        <w:t>1</w:t>
      </w:r>
      <w:r w:rsidR="00CD6890">
        <w:rPr>
          <w:rFonts w:cs="Arial"/>
          <w:color w:val="000000" w:themeColor="text1"/>
        </w:rPr>
        <w:t>91.3</w:t>
      </w:r>
      <w:r w:rsidR="004C2977">
        <w:rPr>
          <w:rFonts w:cs="Arial"/>
          <w:color w:val="000000" w:themeColor="text1"/>
        </w:rPr>
        <w:t xml:space="preserve"> </w:t>
      </w:r>
      <w:r w:rsidR="005B576E">
        <w:rPr>
          <w:rFonts w:cs="Arial"/>
          <w:color w:val="000000" w:themeColor="text1"/>
        </w:rPr>
        <w:t>millones</w:t>
      </w:r>
      <w:r w:rsidR="00641944" w:rsidRPr="00505F1E">
        <w:rPr>
          <w:rFonts w:cs="Arial"/>
          <w:color w:val="000000" w:themeColor="text1"/>
        </w:rPr>
        <w:t>.</w:t>
      </w:r>
    </w:p>
    <w:p w:rsidR="00D738D1" w:rsidRPr="00BD50CC" w:rsidRDefault="00D738D1" w:rsidP="00D738D1">
      <w:pPr>
        <w:pStyle w:val="Prrafodelista"/>
        <w:rPr>
          <w:rFonts w:cs="Arial"/>
          <w:color w:val="000000" w:themeColor="text1"/>
        </w:rPr>
      </w:pPr>
    </w:p>
    <w:p w:rsidR="00565B66" w:rsidRPr="0094472A" w:rsidRDefault="00AE0214" w:rsidP="00565B66">
      <w:pPr>
        <w:pStyle w:val="Prrafodelista"/>
        <w:numPr>
          <w:ilvl w:val="0"/>
          <w:numId w:val="1"/>
        </w:numPr>
        <w:jc w:val="both"/>
        <w:rPr>
          <w:rFonts w:cs="Arial"/>
          <w:color w:val="000000" w:themeColor="text1"/>
        </w:rPr>
      </w:pPr>
      <w:r w:rsidRPr="00685FEB">
        <w:rPr>
          <w:rFonts w:cs="Arial"/>
          <w:color w:val="000000" w:themeColor="text1"/>
        </w:rPr>
        <w:t>Para 2013</w:t>
      </w:r>
      <w:r w:rsidR="006A2D06" w:rsidRPr="00685FEB">
        <w:rPr>
          <w:rFonts w:cs="Arial"/>
          <w:color w:val="000000" w:themeColor="text1"/>
        </w:rPr>
        <w:t>,</w:t>
      </w:r>
      <w:r w:rsidRPr="00685FEB">
        <w:rPr>
          <w:rFonts w:cs="Arial"/>
          <w:color w:val="000000" w:themeColor="text1"/>
        </w:rPr>
        <w:t xml:space="preserve"> e</w:t>
      </w:r>
      <w:r w:rsidR="00D738D1" w:rsidRPr="00685FEB">
        <w:rPr>
          <w:rFonts w:cs="Arial"/>
          <w:color w:val="000000" w:themeColor="text1"/>
        </w:rPr>
        <w:t xml:space="preserve">l Fideicomiso </w:t>
      </w:r>
      <w:r w:rsidR="00C829C6" w:rsidRPr="00685FEB">
        <w:rPr>
          <w:rFonts w:cs="Arial"/>
          <w:color w:val="000000" w:themeColor="text1"/>
        </w:rPr>
        <w:t>Fondo de Protección Social</w:t>
      </w:r>
      <w:r w:rsidR="009C6CC3" w:rsidRPr="00685FEB">
        <w:rPr>
          <w:rFonts w:cs="Arial"/>
          <w:color w:val="000000" w:themeColor="text1"/>
        </w:rPr>
        <w:t xml:space="preserve">, resultado de la modificación </w:t>
      </w:r>
      <w:r w:rsidR="00177F98" w:rsidRPr="00685FEB">
        <w:rPr>
          <w:rFonts w:cs="Arial"/>
          <w:color w:val="000000" w:themeColor="text1"/>
        </w:rPr>
        <w:t xml:space="preserve">del nombre </w:t>
      </w:r>
      <w:r w:rsidR="009C6CC3" w:rsidRPr="00685FEB">
        <w:rPr>
          <w:rFonts w:cs="Arial"/>
          <w:color w:val="000000" w:themeColor="text1"/>
        </w:rPr>
        <w:t xml:space="preserve">del anterior fideicomiso </w:t>
      </w:r>
      <w:r w:rsidR="00AF3859" w:rsidRPr="00685FEB">
        <w:rPr>
          <w:rFonts w:cs="Arial"/>
          <w:color w:val="000000" w:themeColor="text1"/>
        </w:rPr>
        <w:t xml:space="preserve">Fondo Social </w:t>
      </w:r>
      <w:r w:rsidR="009C6CC3" w:rsidRPr="00685FEB">
        <w:rPr>
          <w:rFonts w:cs="Arial"/>
          <w:color w:val="000000" w:themeColor="text1"/>
        </w:rPr>
        <w:t>Mi Familia Progresa,</w:t>
      </w:r>
      <w:r w:rsidR="00C829C6" w:rsidRPr="00685FEB">
        <w:rPr>
          <w:rFonts w:cs="Arial"/>
          <w:color w:val="000000" w:themeColor="text1"/>
        </w:rPr>
        <w:t xml:space="preserve"> tuvo un incremento de </w:t>
      </w:r>
      <w:r w:rsidRPr="00685FEB">
        <w:rPr>
          <w:rFonts w:cs="Arial"/>
          <w:color w:val="000000" w:themeColor="text1"/>
        </w:rPr>
        <w:t>Q.</w:t>
      </w:r>
      <w:r w:rsidR="00CB509F" w:rsidRPr="00685FEB">
        <w:rPr>
          <w:rFonts w:cs="Arial"/>
          <w:color w:val="000000" w:themeColor="text1"/>
        </w:rPr>
        <w:t>228.5</w:t>
      </w:r>
      <w:r w:rsidR="00C829C6" w:rsidRPr="00685FEB">
        <w:rPr>
          <w:rFonts w:cs="Arial"/>
          <w:color w:val="000000" w:themeColor="text1"/>
        </w:rPr>
        <w:t xml:space="preserve"> millones </w:t>
      </w:r>
      <w:r w:rsidR="00BC10B4" w:rsidRPr="00685FEB">
        <w:rPr>
          <w:rFonts w:cs="Arial"/>
          <w:color w:val="000000" w:themeColor="text1"/>
        </w:rPr>
        <w:t xml:space="preserve">con </w:t>
      </w:r>
      <w:r w:rsidR="00C829C6" w:rsidRPr="00685FEB">
        <w:rPr>
          <w:rFonts w:cs="Arial"/>
          <w:color w:val="000000" w:themeColor="text1"/>
        </w:rPr>
        <w:t>respecto al año 2012</w:t>
      </w:r>
      <w:r w:rsidR="009C6CC3" w:rsidRPr="00685FEB">
        <w:rPr>
          <w:rFonts w:cs="Arial"/>
          <w:color w:val="000000" w:themeColor="text1"/>
        </w:rPr>
        <w:t>.</w:t>
      </w:r>
      <w:r w:rsidR="00C829C6" w:rsidRPr="00685FEB">
        <w:rPr>
          <w:rFonts w:cs="Arial"/>
          <w:color w:val="000000" w:themeColor="text1"/>
        </w:rPr>
        <w:t xml:space="preserve"> </w:t>
      </w:r>
      <w:r w:rsidR="009C6CC3" w:rsidRPr="00685FEB">
        <w:rPr>
          <w:rFonts w:cs="Arial"/>
          <w:color w:val="000000" w:themeColor="text1"/>
        </w:rPr>
        <w:t xml:space="preserve">Cabe indicar que durante el </w:t>
      </w:r>
      <w:r w:rsidR="00C829C6" w:rsidRPr="00685FEB">
        <w:rPr>
          <w:rFonts w:cs="Arial"/>
          <w:color w:val="000000" w:themeColor="text1"/>
        </w:rPr>
        <w:t>proceso de modificación</w:t>
      </w:r>
      <w:r w:rsidR="00D7077A" w:rsidRPr="00685FEB">
        <w:rPr>
          <w:rFonts w:cs="Arial"/>
          <w:color w:val="000000" w:themeColor="text1"/>
        </w:rPr>
        <w:t xml:space="preserve"> </w:t>
      </w:r>
      <w:r w:rsidR="009C6CC3" w:rsidRPr="00685FEB">
        <w:rPr>
          <w:rFonts w:cs="Arial"/>
          <w:color w:val="000000" w:themeColor="text1"/>
        </w:rPr>
        <w:t xml:space="preserve">contractual y de readscripción institucional </w:t>
      </w:r>
      <w:r w:rsidR="00C829C6" w:rsidRPr="00685FEB">
        <w:rPr>
          <w:rFonts w:cs="Arial"/>
          <w:color w:val="000000" w:themeColor="text1"/>
        </w:rPr>
        <w:t>(</w:t>
      </w:r>
      <w:r w:rsidR="009C6CC3" w:rsidRPr="00685FEB">
        <w:rPr>
          <w:rFonts w:cs="Arial"/>
          <w:color w:val="000000" w:themeColor="text1"/>
        </w:rPr>
        <w:t>del Ministerio de Educación al Ministerio de Desarrollo Social</w:t>
      </w:r>
      <w:r w:rsidR="00C829C6" w:rsidRPr="00685FEB">
        <w:rPr>
          <w:rFonts w:cs="Arial"/>
          <w:color w:val="000000" w:themeColor="text1"/>
        </w:rPr>
        <w:t xml:space="preserve">) </w:t>
      </w:r>
      <w:r w:rsidR="009C6CC3" w:rsidRPr="00685FEB">
        <w:rPr>
          <w:rFonts w:cs="Arial"/>
          <w:color w:val="000000" w:themeColor="text1"/>
        </w:rPr>
        <w:t xml:space="preserve">el fideicomiso </w:t>
      </w:r>
      <w:r w:rsidR="00C829C6" w:rsidRPr="00685FEB">
        <w:rPr>
          <w:rFonts w:cs="Arial"/>
          <w:color w:val="000000" w:themeColor="text1"/>
        </w:rPr>
        <w:t>n</w:t>
      </w:r>
      <w:r w:rsidR="00D7077A" w:rsidRPr="00685FEB">
        <w:rPr>
          <w:rFonts w:cs="Arial"/>
          <w:color w:val="000000" w:themeColor="text1"/>
        </w:rPr>
        <w:t>o ejecut</w:t>
      </w:r>
      <w:r w:rsidRPr="00685FEB">
        <w:rPr>
          <w:rFonts w:cs="Arial"/>
          <w:color w:val="000000" w:themeColor="text1"/>
        </w:rPr>
        <w:t>ó</w:t>
      </w:r>
      <w:r w:rsidR="00D7077A" w:rsidRPr="00685FEB">
        <w:rPr>
          <w:rFonts w:cs="Arial"/>
          <w:color w:val="000000" w:themeColor="text1"/>
        </w:rPr>
        <w:t xml:space="preserve"> de manera continua, reportando en el año 2012 una ejecución de </w:t>
      </w:r>
      <w:r w:rsidRPr="00685FEB">
        <w:rPr>
          <w:rFonts w:cs="Arial"/>
          <w:color w:val="000000" w:themeColor="text1"/>
        </w:rPr>
        <w:t>Q.</w:t>
      </w:r>
      <w:r w:rsidR="00D7077A" w:rsidRPr="00685FEB">
        <w:rPr>
          <w:rFonts w:cs="Arial"/>
          <w:color w:val="000000" w:themeColor="text1"/>
        </w:rPr>
        <w:t>21.9 millones</w:t>
      </w:r>
      <w:r w:rsidR="00D21C58" w:rsidRPr="00685FEB">
        <w:rPr>
          <w:rFonts w:cs="Arial"/>
          <w:color w:val="000000" w:themeColor="text1"/>
        </w:rPr>
        <w:t>,</w:t>
      </w:r>
      <w:r w:rsidR="00D7077A" w:rsidRPr="00685FEB">
        <w:rPr>
          <w:rFonts w:cs="Arial"/>
          <w:color w:val="000000" w:themeColor="text1"/>
        </w:rPr>
        <w:t xml:space="preserve"> </w:t>
      </w:r>
      <w:r w:rsidR="00D21C58" w:rsidRPr="00685FEB">
        <w:rPr>
          <w:rFonts w:cs="Arial"/>
          <w:color w:val="000000" w:themeColor="text1"/>
        </w:rPr>
        <w:t>p</w:t>
      </w:r>
      <w:r w:rsidR="00D7077A" w:rsidRPr="00685FEB">
        <w:rPr>
          <w:rFonts w:cs="Arial"/>
          <w:color w:val="000000" w:themeColor="text1"/>
        </w:rPr>
        <w:t>ara el año 2013</w:t>
      </w:r>
      <w:r w:rsidRPr="00685FEB">
        <w:rPr>
          <w:rFonts w:cs="Arial"/>
          <w:color w:val="000000" w:themeColor="text1"/>
        </w:rPr>
        <w:t>,</w:t>
      </w:r>
      <w:r w:rsidR="00D7077A" w:rsidRPr="00685FEB">
        <w:rPr>
          <w:rFonts w:cs="Arial"/>
          <w:color w:val="000000" w:themeColor="text1"/>
        </w:rPr>
        <w:t xml:space="preserve"> </w:t>
      </w:r>
      <w:r w:rsidRPr="00685FEB">
        <w:rPr>
          <w:rFonts w:cs="Arial"/>
          <w:color w:val="000000" w:themeColor="text1"/>
        </w:rPr>
        <w:t>Q.</w:t>
      </w:r>
      <w:r w:rsidR="00756784" w:rsidRPr="00685FEB">
        <w:rPr>
          <w:rFonts w:cs="Arial"/>
          <w:color w:val="000000" w:themeColor="text1"/>
        </w:rPr>
        <w:t xml:space="preserve">250.4 </w:t>
      </w:r>
      <w:r w:rsidR="00DF59AD" w:rsidRPr="00685FEB">
        <w:rPr>
          <w:rFonts w:cs="Arial"/>
          <w:color w:val="000000" w:themeColor="text1"/>
        </w:rPr>
        <w:t>millones</w:t>
      </w:r>
      <w:r w:rsidR="00D21C58" w:rsidRPr="00685FEB">
        <w:rPr>
          <w:rFonts w:cs="Arial"/>
          <w:color w:val="000000" w:themeColor="text1"/>
        </w:rPr>
        <w:t xml:space="preserve">, y para </w:t>
      </w:r>
      <w:r w:rsidR="00334F97" w:rsidRPr="00685FEB">
        <w:rPr>
          <w:rFonts w:cs="Arial"/>
          <w:color w:val="000000" w:themeColor="text1"/>
        </w:rPr>
        <w:t>2014, Q.</w:t>
      </w:r>
      <w:r w:rsidR="001D3CE2" w:rsidRPr="00685FEB">
        <w:rPr>
          <w:rFonts w:cs="Arial"/>
          <w:color w:val="000000" w:themeColor="text1"/>
        </w:rPr>
        <w:t xml:space="preserve"> 455.6 millones.</w:t>
      </w:r>
      <w:r w:rsidR="00DB3CC3" w:rsidRPr="00685FEB">
        <w:rPr>
          <w:rFonts w:cs="Arial"/>
          <w:color w:val="000000" w:themeColor="text1"/>
        </w:rPr>
        <w:t xml:space="preserve"> A</w:t>
      </w:r>
      <w:r w:rsidR="00066497" w:rsidRPr="00685FEB">
        <w:rPr>
          <w:rFonts w:cs="Arial"/>
          <w:color w:val="000000" w:themeColor="text1"/>
        </w:rPr>
        <w:t xml:space="preserve"> diciembre </w:t>
      </w:r>
      <w:r w:rsidR="00D21C58" w:rsidRPr="00685FEB">
        <w:rPr>
          <w:rFonts w:cs="Arial"/>
          <w:color w:val="000000" w:themeColor="text1"/>
        </w:rPr>
        <w:t>de 201</w:t>
      </w:r>
      <w:r w:rsidR="00926E34" w:rsidRPr="00685FEB">
        <w:rPr>
          <w:rFonts w:cs="Arial"/>
          <w:color w:val="000000" w:themeColor="text1"/>
        </w:rPr>
        <w:t>5 se report</w:t>
      </w:r>
      <w:r w:rsidR="00BC228E" w:rsidRPr="00685FEB">
        <w:rPr>
          <w:rFonts w:cs="Arial"/>
          <w:color w:val="000000" w:themeColor="text1"/>
        </w:rPr>
        <w:t>ó</w:t>
      </w:r>
      <w:r w:rsidR="00926E34" w:rsidRPr="00685FEB">
        <w:rPr>
          <w:rFonts w:cs="Arial"/>
          <w:color w:val="000000" w:themeColor="text1"/>
        </w:rPr>
        <w:t xml:space="preserve"> una ejecución de Q. 56</w:t>
      </w:r>
      <w:r w:rsidR="00D25584" w:rsidRPr="00685FEB">
        <w:rPr>
          <w:rFonts w:cs="Arial"/>
          <w:color w:val="000000" w:themeColor="text1"/>
        </w:rPr>
        <w:t>6</w:t>
      </w:r>
      <w:r w:rsidR="00926E34" w:rsidRPr="00685FEB">
        <w:rPr>
          <w:rFonts w:cs="Arial"/>
          <w:color w:val="000000" w:themeColor="text1"/>
        </w:rPr>
        <w:t>.</w:t>
      </w:r>
      <w:r w:rsidR="00066497" w:rsidRPr="00685FEB">
        <w:rPr>
          <w:rFonts w:cs="Arial"/>
          <w:color w:val="000000" w:themeColor="text1"/>
        </w:rPr>
        <w:t>5</w:t>
      </w:r>
      <w:r w:rsidR="00926E34" w:rsidRPr="00685FEB">
        <w:rPr>
          <w:rFonts w:cs="Arial"/>
          <w:color w:val="000000" w:themeColor="text1"/>
        </w:rPr>
        <w:t xml:space="preserve"> </w:t>
      </w:r>
      <w:r w:rsidR="0096234C" w:rsidRPr="00685FEB">
        <w:rPr>
          <w:rFonts w:cs="Arial"/>
          <w:color w:val="000000" w:themeColor="text1"/>
        </w:rPr>
        <w:t>millones, mientras que a diciembre de 2016, Q</w:t>
      </w:r>
      <w:r w:rsidR="006C6165" w:rsidRPr="00685FEB">
        <w:rPr>
          <w:rFonts w:cs="Arial"/>
          <w:color w:val="000000" w:themeColor="text1"/>
        </w:rPr>
        <w:t>.505.4</w:t>
      </w:r>
      <w:r w:rsidR="0096234C" w:rsidRPr="00685FEB">
        <w:rPr>
          <w:rFonts w:cs="Arial"/>
          <w:color w:val="000000" w:themeColor="text1"/>
        </w:rPr>
        <w:t xml:space="preserve"> millones</w:t>
      </w:r>
      <w:r w:rsidR="00BC228E" w:rsidRPr="00685FEB">
        <w:rPr>
          <w:rFonts w:cs="Arial"/>
          <w:color w:val="000000" w:themeColor="text1"/>
        </w:rPr>
        <w:t xml:space="preserve">, y a </w:t>
      </w:r>
      <w:r w:rsidR="003452EA" w:rsidRPr="00685FEB">
        <w:rPr>
          <w:rFonts w:cs="Arial"/>
          <w:color w:val="000000" w:themeColor="text1"/>
        </w:rPr>
        <w:t>diciembre</w:t>
      </w:r>
      <w:r w:rsidR="00611172" w:rsidRPr="00685FEB">
        <w:rPr>
          <w:rFonts w:cs="Arial"/>
          <w:color w:val="000000" w:themeColor="text1"/>
        </w:rPr>
        <w:t xml:space="preserve"> </w:t>
      </w:r>
      <w:r w:rsidR="00BC228E" w:rsidRPr="00685FEB">
        <w:rPr>
          <w:rFonts w:cs="Arial"/>
          <w:color w:val="000000" w:themeColor="text1"/>
        </w:rPr>
        <w:t xml:space="preserve">de </w:t>
      </w:r>
      <w:r w:rsidR="00611172" w:rsidRPr="0094472A">
        <w:rPr>
          <w:rFonts w:cs="Arial"/>
          <w:color w:val="000000" w:themeColor="text1"/>
        </w:rPr>
        <w:t>2017</w:t>
      </w:r>
      <w:r w:rsidR="00BC228E" w:rsidRPr="0094472A">
        <w:rPr>
          <w:rFonts w:cs="Arial"/>
          <w:color w:val="000000" w:themeColor="text1"/>
        </w:rPr>
        <w:t>,</w:t>
      </w:r>
      <w:r w:rsidR="00611172" w:rsidRPr="0094472A">
        <w:rPr>
          <w:rFonts w:cs="Arial"/>
          <w:color w:val="000000" w:themeColor="text1"/>
        </w:rPr>
        <w:t xml:space="preserve"> </w:t>
      </w:r>
      <w:r w:rsidR="007A21E7" w:rsidRPr="0094472A">
        <w:rPr>
          <w:rFonts w:cs="Arial"/>
          <w:color w:val="000000" w:themeColor="text1"/>
        </w:rPr>
        <w:t>Q.</w:t>
      </w:r>
      <w:r w:rsidR="00E639E2" w:rsidRPr="0094472A">
        <w:rPr>
          <w:rFonts w:cs="Arial"/>
          <w:color w:val="000000" w:themeColor="text1"/>
        </w:rPr>
        <w:t xml:space="preserve"> </w:t>
      </w:r>
      <w:r w:rsidR="003452EA" w:rsidRPr="0094472A">
        <w:rPr>
          <w:rFonts w:cs="Arial"/>
          <w:color w:val="000000" w:themeColor="text1"/>
        </w:rPr>
        <w:t>211.5</w:t>
      </w:r>
      <w:r w:rsidR="008313B1" w:rsidRPr="0094472A">
        <w:rPr>
          <w:rFonts w:cs="Arial"/>
          <w:color w:val="000000" w:themeColor="text1"/>
        </w:rPr>
        <w:t xml:space="preserve"> millones</w:t>
      </w:r>
      <w:r w:rsidR="007A21E7" w:rsidRPr="0094472A">
        <w:rPr>
          <w:rFonts w:cs="Arial"/>
          <w:color w:val="000000" w:themeColor="text1"/>
        </w:rPr>
        <w:t>.</w:t>
      </w:r>
      <w:r w:rsidR="003A5534" w:rsidRPr="0094472A">
        <w:rPr>
          <w:rFonts w:cs="Arial"/>
          <w:color w:val="000000" w:themeColor="text1"/>
        </w:rPr>
        <w:t xml:space="preserve"> </w:t>
      </w:r>
      <w:r w:rsidR="00065A37" w:rsidRPr="0094472A">
        <w:rPr>
          <w:rFonts w:cs="Arial"/>
          <w:color w:val="000000" w:themeColor="text1"/>
        </w:rPr>
        <w:t xml:space="preserve">Para </w:t>
      </w:r>
      <w:r w:rsidR="0076491B" w:rsidRPr="0094472A">
        <w:rPr>
          <w:rFonts w:cs="Arial"/>
          <w:color w:val="000000" w:themeColor="text1"/>
        </w:rPr>
        <w:t>diciembre</w:t>
      </w:r>
      <w:r w:rsidR="00B35AFD" w:rsidRPr="0094472A">
        <w:rPr>
          <w:rFonts w:cs="Arial"/>
          <w:color w:val="000000" w:themeColor="text1"/>
        </w:rPr>
        <w:t xml:space="preserve"> </w:t>
      </w:r>
      <w:r w:rsidR="00065A37" w:rsidRPr="0094472A">
        <w:rPr>
          <w:rFonts w:cs="Arial"/>
          <w:color w:val="000000" w:themeColor="text1"/>
        </w:rPr>
        <w:t xml:space="preserve">de </w:t>
      </w:r>
      <w:r w:rsidR="00B35AFD" w:rsidRPr="0094472A">
        <w:rPr>
          <w:rFonts w:cs="Arial"/>
          <w:color w:val="000000" w:themeColor="text1"/>
        </w:rPr>
        <w:t xml:space="preserve">2018 </w:t>
      </w:r>
      <w:r w:rsidR="00BC228E" w:rsidRPr="0094472A">
        <w:rPr>
          <w:rFonts w:cs="Arial"/>
          <w:color w:val="000000" w:themeColor="text1"/>
        </w:rPr>
        <w:t xml:space="preserve">se </w:t>
      </w:r>
      <w:r w:rsidR="00B35AFD" w:rsidRPr="0094472A">
        <w:rPr>
          <w:rFonts w:cs="Arial"/>
          <w:color w:val="000000" w:themeColor="text1"/>
        </w:rPr>
        <w:t>reporta una ejecución de Q.</w:t>
      </w:r>
      <w:r w:rsidR="0082477E" w:rsidRPr="0094472A">
        <w:rPr>
          <w:rFonts w:cs="Arial"/>
          <w:color w:val="000000" w:themeColor="text1"/>
        </w:rPr>
        <w:t xml:space="preserve"> 2</w:t>
      </w:r>
      <w:r w:rsidR="0076491B" w:rsidRPr="0094472A">
        <w:rPr>
          <w:rFonts w:cs="Arial"/>
          <w:color w:val="000000" w:themeColor="text1"/>
        </w:rPr>
        <w:t>60</w:t>
      </w:r>
      <w:r w:rsidR="00255ACE" w:rsidRPr="0094472A">
        <w:rPr>
          <w:rFonts w:cs="Arial"/>
          <w:color w:val="000000" w:themeColor="text1"/>
        </w:rPr>
        <w:t>.4</w:t>
      </w:r>
      <w:r w:rsidR="004258AD" w:rsidRPr="0094472A">
        <w:rPr>
          <w:rFonts w:cs="Arial"/>
          <w:color w:val="000000" w:themeColor="text1"/>
        </w:rPr>
        <w:t xml:space="preserve"> millones</w:t>
      </w:r>
      <w:r w:rsidR="004955CB" w:rsidRPr="0094472A">
        <w:rPr>
          <w:rFonts w:cs="Arial"/>
          <w:color w:val="000000" w:themeColor="text1"/>
        </w:rPr>
        <w:t xml:space="preserve"> y a </w:t>
      </w:r>
      <w:r w:rsidR="00CF78CD">
        <w:rPr>
          <w:rFonts w:cs="Arial"/>
          <w:color w:val="000000" w:themeColor="text1"/>
        </w:rPr>
        <w:t>diciembre</w:t>
      </w:r>
      <w:r w:rsidR="00A5019B">
        <w:rPr>
          <w:rFonts w:cs="Arial"/>
          <w:color w:val="000000" w:themeColor="text1"/>
        </w:rPr>
        <w:t xml:space="preserve"> </w:t>
      </w:r>
      <w:r w:rsidR="00356737" w:rsidRPr="0094472A">
        <w:rPr>
          <w:rFonts w:cs="Arial"/>
          <w:color w:val="000000" w:themeColor="text1"/>
        </w:rPr>
        <w:t xml:space="preserve">de </w:t>
      </w:r>
      <w:r w:rsidR="004955CB" w:rsidRPr="0094472A">
        <w:rPr>
          <w:rFonts w:cs="Arial"/>
          <w:color w:val="000000" w:themeColor="text1"/>
        </w:rPr>
        <w:t xml:space="preserve">2019 reporta una ejecución de Q. </w:t>
      </w:r>
      <w:r w:rsidR="00670BD2">
        <w:rPr>
          <w:rFonts w:cs="Arial"/>
          <w:color w:val="000000" w:themeColor="text1"/>
        </w:rPr>
        <w:t>231.</w:t>
      </w:r>
      <w:r w:rsidR="00195F27">
        <w:rPr>
          <w:rFonts w:cs="Arial"/>
          <w:color w:val="000000" w:themeColor="text1"/>
        </w:rPr>
        <w:t>4</w:t>
      </w:r>
      <w:r w:rsidR="00353FBE">
        <w:rPr>
          <w:rFonts w:cs="Arial"/>
          <w:color w:val="000000" w:themeColor="text1"/>
        </w:rPr>
        <w:t xml:space="preserve"> </w:t>
      </w:r>
      <w:r w:rsidR="004955CB" w:rsidRPr="0094472A">
        <w:rPr>
          <w:rFonts w:cs="Arial"/>
          <w:color w:val="000000" w:themeColor="text1"/>
        </w:rPr>
        <w:t>millones</w:t>
      </w:r>
      <w:r w:rsidR="00685FEB" w:rsidRPr="0094472A">
        <w:rPr>
          <w:rFonts w:cs="Arial"/>
          <w:color w:val="000000" w:themeColor="text1"/>
        </w:rPr>
        <w:t>.</w:t>
      </w:r>
    </w:p>
    <w:p w:rsidR="00685FEB" w:rsidRPr="0094472A" w:rsidRDefault="00685FEB" w:rsidP="00685FEB">
      <w:pPr>
        <w:jc w:val="both"/>
        <w:rPr>
          <w:rFonts w:cs="Arial"/>
          <w:color w:val="000000" w:themeColor="text1"/>
        </w:rPr>
      </w:pPr>
    </w:p>
    <w:p w:rsidR="0093109F" w:rsidRPr="0094472A" w:rsidRDefault="0000122D" w:rsidP="0000122D">
      <w:pPr>
        <w:pStyle w:val="Prrafodelista"/>
        <w:numPr>
          <w:ilvl w:val="0"/>
          <w:numId w:val="1"/>
        </w:numPr>
        <w:jc w:val="both"/>
        <w:rPr>
          <w:rFonts w:cs="Arial"/>
          <w:color w:val="000000" w:themeColor="text1"/>
        </w:rPr>
      </w:pPr>
      <w:r w:rsidRPr="0094472A">
        <w:rPr>
          <w:rFonts w:cs="Arial"/>
          <w:color w:val="000000" w:themeColor="text1"/>
        </w:rPr>
        <w:t>El 26 de diciembre de 2015 venció el plazo contractual del fideicomiso Fondo de Desarrollo Indígena Guatemalteco –FODIGUA– razón por la cual no fue posible ejecutar el  presupuesto asignado a dicho Fondo Social durante el ejercicio fiscal 2016.</w:t>
      </w:r>
      <w:r w:rsidR="006755D5" w:rsidRPr="0094472A">
        <w:rPr>
          <w:rFonts w:cs="Arial"/>
          <w:color w:val="000000" w:themeColor="text1"/>
        </w:rPr>
        <w:t xml:space="preserve"> </w:t>
      </w:r>
      <w:r w:rsidR="008E7F48" w:rsidRPr="0094472A">
        <w:rPr>
          <w:rFonts w:cs="Arial"/>
          <w:color w:val="000000" w:themeColor="text1"/>
        </w:rPr>
        <w:t xml:space="preserve">El 22 de agosto de 2018 mediante escritura pública número 76 </w:t>
      </w:r>
      <w:r w:rsidR="008162AE" w:rsidRPr="0094472A">
        <w:rPr>
          <w:rFonts w:cs="Arial"/>
          <w:color w:val="000000" w:themeColor="text1"/>
        </w:rPr>
        <w:t xml:space="preserve">autorizada por la Escribano de Cámara y de Gobierno, </w:t>
      </w:r>
      <w:r w:rsidR="00921A04" w:rsidRPr="0094472A">
        <w:rPr>
          <w:rFonts w:cs="Arial"/>
          <w:color w:val="000000" w:themeColor="text1"/>
        </w:rPr>
        <w:t>s</w:t>
      </w:r>
      <w:r w:rsidR="008E7F48" w:rsidRPr="0094472A">
        <w:rPr>
          <w:rFonts w:cs="Arial"/>
          <w:color w:val="000000" w:themeColor="text1"/>
        </w:rPr>
        <w:t>e extinguió formalmente dicho fideicomiso</w:t>
      </w:r>
      <w:r w:rsidR="00356737" w:rsidRPr="0094472A">
        <w:rPr>
          <w:rFonts w:cs="Arial"/>
          <w:color w:val="000000" w:themeColor="text1"/>
        </w:rPr>
        <w:t>, mismo que se encuentra actualmente en fase de liquidación</w:t>
      </w:r>
      <w:r w:rsidR="008E7F48" w:rsidRPr="0094472A">
        <w:rPr>
          <w:rFonts w:cs="Arial"/>
          <w:color w:val="000000" w:themeColor="text1"/>
        </w:rPr>
        <w:t xml:space="preserve">. </w:t>
      </w:r>
    </w:p>
    <w:p w:rsidR="0093109F" w:rsidRPr="0093109F" w:rsidRDefault="0093109F" w:rsidP="0093109F">
      <w:pPr>
        <w:pStyle w:val="Prrafodelista"/>
        <w:rPr>
          <w:rFonts w:cs="Arial"/>
          <w:color w:val="000000" w:themeColor="text1"/>
        </w:rPr>
      </w:pPr>
    </w:p>
    <w:p w:rsidR="008254D0" w:rsidRDefault="0000122D" w:rsidP="00E639E2">
      <w:pPr>
        <w:pStyle w:val="Prrafodelista"/>
        <w:numPr>
          <w:ilvl w:val="0"/>
          <w:numId w:val="1"/>
        </w:numPr>
        <w:jc w:val="both"/>
        <w:rPr>
          <w:rFonts w:cs="Arial"/>
          <w:color w:val="000000" w:themeColor="text1"/>
        </w:rPr>
      </w:pPr>
      <w:r w:rsidRPr="00685FEB">
        <w:rPr>
          <w:rFonts w:cs="Arial"/>
          <w:color w:val="000000" w:themeColor="text1"/>
        </w:rPr>
        <w:t>Con base en el Acuerdo Gubernativo</w:t>
      </w:r>
      <w:r w:rsidR="00AF3859" w:rsidRPr="00685FEB">
        <w:rPr>
          <w:rFonts w:cs="Arial"/>
          <w:color w:val="000000" w:themeColor="text1"/>
        </w:rPr>
        <w:t xml:space="preserve"> </w:t>
      </w:r>
      <w:r w:rsidR="006755D5" w:rsidRPr="00685FEB">
        <w:rPr>
          <w:rFonts w:cs="Arial"/>
          <w:color w:val="000000" w:themeColor="text1"/>
        </w:rPr>
        <w:t>435-94</w:t>
      </w:r>
      <w:r w:rsidRPr="00685FEB">
        <w:rPr>
          <w:rFonts w:cs="Arial"/>
          <w:color w:val="000000" w:themeColor="text1"/>
        </w:rPr>
        <w:t xml:space="preserve"> de creación del Fondo</w:t>
      </w:r>
      <w:r w:rsidR="00D35494" w:rsidRPr="00685FEB">
        <w:rPr>
          <w:rFonts w:cs="Arial"/>
          <w:color w:val="000000" w:themeColor="text1"/>
        </w:rPr>
        <w:t xml:space="preserve"> de Desarrollo Indígena Guatemalteco –FODIGUA–</w:t>
      </w:r>
      <w:r w:rsidRPr="00685FEB">
        <w:rPr>
          <w:rFonts w:cs="Arial"/>
          <w:color w:val="000000" w:themeColor="text1"/>
        </w:rPr>
        <w:t xml:space="preserve"> y a requerimiento del Consejo Directivo Nacional de dicha entidad, se inició el proceso de constitución de un nuevo fideicomiso, </w:t>
      </w:r>
      <w:r w:rsidR="006755D5" w:rsidRPr="00685FEB">
        <w:rPr>
          <w:rFonts w:cs="Arial"/>
          <w:color w:val="000000" w:themeColor="text1"/>
        </w:rPr>
        <w:t xml:space="preserve">autorizado mediante Acuerdo Gubernativo No. 70-2016 y que </w:t>
      </w:r>
      <w:r w:rsidRPr="00685FEB">
        <w:rPr>
          <w:rFonts w:cs="Arial"/>
          <w:color w:val="000000" w:themeColor="text1"/>
        </w:rPr>
        <w:t>inició formalmente o</w:t>
      </w:r>
      <w:r w:rsidR="00D24D7A" w:rsidRPr="00685FEB">
        <w:rPr>
          <w:rFonts w:cs="Arial"/>
          <w:color w:val="000000" w:themeColor="text1"/>
        </w:rPr>
        <w:t xml:space="preserve">peraciones en noviembre de 2016, </w:t>
      </w:r>
      <w:r w:rsidRPr="00685FEB">
        <w:rPr>
          <w:rFonts w:cs="Arial"/>
          <w:color w:val="000000" w:themeColor="text1"/>
        </w:rPr>
        <w:t>denominado Fideicomiso del Fondo de Desarrollo Indígena Guatemalteco –FIFODIGUA–.</w:t>
      </w:r>
      <w:r w:rsidR="006745C6" w:rsidRPr="00685FEB">
        <w:rPr>
          <w:rFonts w:cs="Arial"/>
          <w:color w:val="000000" w:themeColor="text1"/>
        </w:rPr>
        <w:t xml:space="preserve"> De ahí que la ejecución de dicho fideicomiso se situara en solamente Q</w:t>
      </w:r>
      <w:r w:rsidR="005C34BB" w:rsidRPr="00685FEB">
        <w:rPr>
          <w:rFonts w:cs="Arial"/>
          <w:color w:val="000000" w:themeColor="text1"/>
        </w:rPr>
        <w:t>. 2.1 millones</w:t>
      </w:r>
      <w:r w:rsidR="006745C6" w:rsidRPr="00685FEB">
        <w:rPr>
          <w:rFonts w:cs="Arial"/>
          <w:color w:val="000000" w:themeColor="text1"/>
        </w:rPr>
        <w:t xml:space="preserve"> al cierre de dicho ejercicio fiscal.</w:t>
      </w:r>
      <w:r w:rsidR="00A05CF4" w:rsidRPr="00685FEB">
        <w:rPr>
          <w:rFonts w:cs="Arial"/>
          <w:color w:val="000000" w:themeColor="text1"/>
        </w:rPr>
        <w:t xml:space="preserve"> A </w:t>
      </w:r>
      <w:r w:rsidR="00790A4E" w:rsidRPr="00685FEB">
        <w:rPr>
          <w:rFonts w:cs="Arial"/>
          <w:color w:val="000000" w:themeColor="text1"/>
        </w:rPr>
        <w:t>dici</w:t>
      </w:r>
      <w:r w:rsidR="0029673F" w:rsidRPr="00685FEB">
        <w:rPr>
          <w:rFonts w:cs="Arial"/>
          <w:color w:val="000000" w:themeColor="text1"/>
        </w:rPr>
        <w:t xml:space="preserve">embre </w:t>
      </w:r>
      <w:r w:rsidR="00AC0146" w:rsidRPr="00685FEB">
        <w:rPr>
          <w:rFonts w:cs="Arial"/>
          <w:color w:val="000000" w:themeColor="text1"/>
        </w:rPr>
        <w:t>2017 present</w:t>
      </w:r>
      <w:r w:rsidR="00FA4C41" w:rsidRPr="00685FEB">
        <w:rPr>
          <w:rFonts w:cs="Arial"/>
          <w:color w:val="000000" w:themeColor="text1"/>
        </w:rPr>
        <w:t>ó</w:t>
      </w:r>
      <w:r w:rsidR="00AC0146" w:rsidRPr="00685FEB">
        <w:rPr>
          <w:rFonts w:cs="Arial"/>
          <w:color w:val="000000" w:themeColor="text1"/>
        </w:rPr>
        <w:t xml:space="preserve"> una ejecución de </w:t>
      </w:r>
      <w:r w:rsidR="006D1734" w:rsidRPr="00685FEB">
        <w:rPr>
          <w:rFonts w:cs="Arial"/>
          <w:color w:val="000000" w:themeColor="text1"/>
        </w:rPr>
        <w:t>Q.</w:t>
      </w:r>
      <w:r w:rsidR="00534916" w:rsidRPr="00685FEB">
        <w:rPr>
          <w:rFonts w:cs="Arial"/>
          <w:color w:val="000000" w:themeColor="text1"/>
        </w:rPr>
        <w:t xml:space="preserve"> </w:t>
      </w:r>
      <w:r w:rsidR="008D1E9A" w:rsidRPr="00685FEB">
        <w:rPr>
          <w:rFonts w:cs="Arial"/>
          <w:color w:val="000000" w:themeColor="text1"/>
        </w:rPr>
        <w:t xml:space="preserve">6.9 </w:t>
      </w:r>
      <w:r w:rsidR="005227D5" w:rsidRPr="00685FEB">
        <w:rPr>
          <w:rFonts w:cs="Arial"/>
          <w:color w:val="000000" w:themeColor="text1"/>
        </w:rPr>
        <w:t>millones</w:t>
      </w:r>
      <w:r w:rsidR="00B35AFD" w:rsidRPr="00685FEB">
        <w:rPr>
          <w:rFonts w:cs="Arial"/>
          <w:color w:val="000000" w:themeColor="text1"/>
        </w:rPr>
        <w:t>. Para</w:t>
      </w:r>
      <w:r w:rsidR="003A5534" w:rsidRPr="00685FEB">
        <w:rPr>
          <w:rFonts w:cs="Arial"/>
          <w:color w:val="000000" w:themeColor="text1"/>
        </w:rPr>
        <w:t xml:space="preserve"> </w:t>
      </w:r>
      <w:r w:rsidR="00E15D28" w:rsidRPr="00685FEB">
        <w:rPr>
          <w:rFonts w:cs="Arial"/>
          <w:color w:val="000000" w:themeColor="text1"/>
        </w:rPr>
        <w:t>diciembre</w:t>
      </w:r>
      <w:r w:rsidR="004A545B" w:rsidRPr="00685FEB">
        <w:rPr>
          <w:rFonts w:cs="Arial"/>
          <w:color w:val="000000" w:themeColor="text1"/>
        </w:rPr>
        <w:t xml:space="preserve"> </w:t>
      </w:r>
      <w:r w:rsidR="00B35AFD" w:rsidRPr="00685FEB">
        <w:rPr>
          <w:rFonts w:cs="Arial"/>
          <w:color w:val="000000" w:themeColor="text1"/>
        </w:rPr>
        <w:t xml:space="preserve">2018 </w:t>
      </w:r>
      <w:r w:rsidR="00BC228E" w:rsidRPr="00685FEB">
        <w:rPr>
          <w:rFonts w:cs="Arial"/>
          <w:color w:val="000000" w:themeColor="text1"/>
        </w:rPr>
        <w:t xml:space="preserve">se </w:t>
      </w:r>
      <w:r w:rsidR="00B35AFD" w:rsidRPr="00685FEB">
        <w:rPr>
          <w:rFonts w:cs="Arial"/>
          <w:color w:val="000000" w:themeColor="text1"/>
        </w:rPr>
        <w:t>refleja una ejecución de Q.</w:t>
      </w:r>
      <w:r w:rsidR="00874432" w:rsidRPr="00685FEB">
        <w:rPr>
          <w:rFonts w:cs="Arial"/>
          <w:color w:val="000000" w:themeColor="text1"/>
        </w:rPr>
        <w:t xml:space="preserve"> 3.</w:t>
      </w:r>
      <w:r w:rsidR="002A48C8" w:rsidRPr="00685FEB">
        <w:rPr>
          <w:rFonts w:cs="Arial"/>
          <w:color w:val="000000" w:themeColor="text1"/>
        </w:rPr>
        <w:t>8</w:t>
      </w:r>
      <w:r w:rsidR="003A5534" w:rsidRPr="00685FEB">
        <w:rPr>
          <w:rFonts w:cs="Arial"/>
          <w:color w:val="000000" w:themeColor="text1"/>
        </w:rPr>
        <w:t xml:space="preserve"> </w:t>
      </w:r>
      <w:r w:rsidR="00850DC8" w:rsidRPr="00685FEB">
        <w:rPr>
          <w:rFonts w:cs="Arial"/>
          <w:color w:val="000000" w:themeColor="text1"/>
        </w:rPr>
        <w:t>millones</w:t>
      </w:r>
      <w:r w:rsidR="00DA1CE4">
        <w:rPr>
          <w:rFonts w:cs="Arial"/>
          <w:color w:val="000000" w:themeColor="text1"/>
        </w:rPr>
        <w:t xml:space="preserve"> y a </w:t>
      </w:r>
      <w:r w:rsidR="00CF78CD">
        <w:rPr>
          <w:rFonts w:cs="Arial"/>
          <w:color w:val="000000" w:themeColor="text1"/>
        </w:rPr>
        <w:t>Diciembre</w:t>
      </w:r>
      <w:r w:rsidR="005D3183">
        <w:rPr>
          <w:rFonts w:cs="Arial"/>
          <w:color w:val="000000" w:themeColor="text1"/>
        </w:rPr>
        <w:t xml:space="preserve"> </w:t>
      </w:r>
      <w:r w:rsidR="00DA1CE4">
        <w:rPr>
          <w:rFonts w:cs="Arial"/>
          <w:color w:val="000000" w:themeColor="text1"/>
        </w:rPr>
        <w:t xml:space="preserve">de 2019 reporta una ejecución de Q. </w:t>
      </w:r>
      <w:r w:rsidR="00CF78CD">
        <w:rPr>
          <w:rFonts w:cs="Arial"/>
          <w:color w:val="000000" w:themeColor="text1"/>
        </w:rPr>
        <w:t>7.9</w:t>
      </w:r>
      <w:r w:rsidR="00AA5385">
        <w:rPr>
          <w:rFonts w:cs="Arial"/>
          <w:color w:val="000000" w:themeColor="text1"/>
        </w:rPr>
        <w:t xml:space="preserve"> millones</w:t>
      </w:r>
      <w:r w:rsidR="00527FF4">
        <w:rPr>
          <w:rFonts w:cs="Arial"/>
          <w:color w:val="000000" w:themeColor="text1"/>
        </w:rPr>
        <w:t>.</w:t>
      </w:r>
      <w:r w:rsidR="006745C6" w:rsidRPr="00685FEB">
        <w:rPr>
          <w:rFonts w:cs="Arial"/>
          <w:color w:val="000000" w:themeColor="text1"/>
        </w:rPr>
        <w:t xml:space="preserve"> </w:t>
      </w:r>
    </w:p>
    <w:p w:rsidR="00685FEB" w:rsidRPr="00685FEB" w:rsidRDefault="00685FEB" w:rsidP="00685FEB">
      <w:pPr>
        <w:jc w:val="both"/>
        <w:rPr>
          <w:rFonts w:cs="Arial"/>
          <w:color w:val="000000" w:themeColor="text1"/>
        </w:rPr>
      </w:pPr>
    </w:p>
    <w:p w:rsidR="0093109F" w:rsidRDefault="00C97164" w:rsidP="00334D39">
      <w:pPr>
        <w:pStyle w:val="Prrafodelista"/>
        <w:numPr>
          <w:ilvl w:val="0"/>
          <w:numId w:val="1"/>
        </w:numPr>
        <w:jc w:val="both"/>
        <w:rPr>
          <w:rFonts w:cs="Arial"/>
          <w:color w:val="000000" w:themeColor="text1"/>
        </w:rPr>
      </w:pPr>
      <w:r w:rsidRPr="00BD50CC">
        <w:rPr>
          <w:rFonts w:cs="Arial"/>
          <w:color w:val="000000" w:themeColor="text1"/>
        </w:rPr>
        <w:t xml:space="preserve">La ejecución del fideicomiso denominado Fondo Nacional de Ciencia y Tecnología </w:t>
      </w:r>
      <w:r w:rsidR="008254D0" w:rsidRPr="00BD50CC">
        <w:rPr>
          <w:rFonts w:cs="Arial"/>
          <w:color w:val="000000" w:themeColor="text1"/>
        </w:rPr>
        <w:t xml:space="preserve">                    </w:t>
      </w:r>
      <w:r w:rsidRPr="00BD50CC">
        <w:rPr>
          <w:rFonts w:cs="Arial"/>
          <w:color w:val="000000" w:themeColor="text1"/>
        </w:rPr>
        <w:t>–FONACYT– se suspendió a partir de julio de 2016, por vencimiento de su plazo contractual.</w:t>
      </w:r>
    </w:p>
    <w:p w:rsidR="0093109F" w:rsidRPr="0093109F" w:rsidRDefault="0093109F" w:rsidP="0093109F">
      <w:pPr>
        <w:pStyle w:val="Prrafodelista"/>
        <w:rPr>
          <w:rFonts w:cs="Arial"/>
          <w:color w:val="000000" w:themeColor="text1"/>
        </w:rPr>
      </w:pPr>
    </w:p>
    <w:p w:rsidR="00334D39" w:rsidRDefault="00C97164" w:rsidP="00334D39">
      <w:pPr>
        <w:pStyle w:val="Prrafodelista"/>
        <w:numPr>
          <w:ilvl w:val="0"/>
          <w:numId w:val="1"/>
        </w:numPr>
        <w:jc w:val="both"/>
        <w:rPr>
          <w:rFonts w:cs="Arial"/>
          <w:color w:val="000000" w:themeColor="text1"/>
        </w:rPr>
      </w:pPr>
      <w:r w:rsidRPr="00CC7F32">
        <w:rPr>
          <w:rFonts w:cs="Arial"/>
          <w:color w:val="000000" w:themeColor="text1"/>
        </w:rPr>
        <w:t>El Consejo Nacional de Ciencia y Tecnología, con fundamento en su ley específica, inició las gestiones para la constitución de un nuevo fideicomiso</w:t>
      </w:r>
      <w:r w:rsidR="008254D0" w:rsidRPr="00CC7F32">
        <w:rPr>
          <w:rFonts w:cs="Arial"/>
          <w:color w:val="000000" w:themeColor="text1"/>
        </w:rPr>
        <w:t xml:space="preserve"> a denominarse Fideicomiso Nacional de </w:t>
      </w:r>
      <w:r w:rsidR="008254D0" w:rsidRPr="00CC7F32">
        <w:rPr>
          <w:rFonts w:cs="Arial"/>
          <w:color w:val="000000" w:themeColor="text1"/>
        </w:rPr>
        <w:lastRenderedPageBreak/>
        <w:t>Ciencia y Tecnología –FINDECYT–, la cual se concretó en noviembre de 2016</w:t>
      </w:r>
      <w:r w:rsidR="003B33AE" w:rsidRPr="00CC7F32">
        <w:rPr>
          <w:rFonts w:cs="Arial"/>
          <w:color w:val="000000" w:themeColor="text1"/>
        </w:rPr>
        <w:t xml:space="preserve"> mediante Acuerdo Gubernativo 125-2016</w:t>
      </w:r>
      <w:r w:rsidR="008254D0" w:rsidRPr="00CC7F32">
        <w:rPr>
          <w:rFonts w:cs="Arial"/>
          <w:color w:val="000000" w:themeColor="text1"/>
        </w:rPr>
        <w:t>.</w:t>
      </w:r>
      <w:r w:rsidR="00CC7F32">
        <w:rPr>
          <w:rFonts w:cs="Arial"/>
          <w:color w:val="000000" w:themeColor="text1"/>
        </w:rPr>
        <w:t xml:space="preserve"> </w:t>
      </w:r>
      <w:r w:rsidR="006745C6" w:rsidRPr="00CC7F32">
        <w:rPr>
          <w:rFonts w:cs="Arial"/>
          <w:color w:val="000000" w:themeColor="text1"/>
        </w:rPr>
        <w:t>Al cierre</w:t>
      </w:r>
      <w:r w:rsidR="00CC7F32">
        <w:rPr>
          <w:rFonts w:cs="Arial"/>
          <w:color w:val="000000" w:themeColor="text1"/>
        </w:rPr>
        <w:t xml:space="preserve"> </w:t>
      </w:r>
      <w:r w:rsidR="006745C6" w:rsidRPr="00CC7F32">
        <w:rPr>
          <w:rFonts w:cs="Arial"/>
          <w:color w:val="000000" w:themeColor="text1"/>
        </w:rPr>
        <w:t>de 2016 se report</w:t>
      </w:r>
      <w:r w:rsidR="00BC228E" w:rsidRPr="00CC7F32">
        <w:rPr>
          <w:rFonts w:cs="Arial"/>
          <w:color w:val="000000" w:themeColor="text1"/>
        </w:rPr>
        <w:t>ó</w:t>
      </w:r>
      <w:r w:rsidR="006745C6" w:rsidRPr="00CC7F32">
        <w:rPr>
          <w:rFonts w:cs="Arial"/>
          <w:color w:val="000000" w:themeColor="text1"/>
        </w:rPr>
        <w:t xml:space="preserve"> una ejecución total de</w:t>
      </w:r>
      <w:r w:rsidR="00CC7F32">
        <w:rPr>
          <w:rFonts w:cs="Arial"/>
          <w:color w:val="000000" w:themeColor="text1"/>
        </w:rPr>
        <w:t xml:space="preserve">                 </w:t>
      </w:r>
      <w:r w:rsidR="006745C6" w:rsidRPr="00CC7F32">
        <w:rPr>
          <w:rFonts w:cs="Arial"/>
          <w:color w:val="000000" w:themeColor="text1"/>
        </w:rPr>
        <w:t xml:space="preserve"> Q</w:t>
      </w:r>
      <w:r w:rsidR="00A60BAF" w:rsidRPr="00CC7F32">
        <w:rPr>
          <w:rFonts w:cs="Arial"/>
          <w:color w:val="000000" w:themeColor="text1"/>
        </w:rPr>
        <w:t xml:space="preserve">. </w:t>
      </w:r>
      <w:r w:rsidR="00E639E2" w:rsidRPr="00CC7F32">
        <w:rPr>
          <w:rFonts w:cs="Arial"/>
          <w:color w:val="000000" w:themeColor="text1"/>
        </w:rPr>
        <w:t>223,936.49</w:t>
      </w:r>
      <w:r w:rsidR="006745C6" w:rsidRPr="00CC7F32">
        <w:rPr>
          <w:rFonts w:cs="Arial"/>
          <w:color w:val="000000" w:themeColor="text1"/>
        </w:rPr>
        <w:t>.</w:t>
      </w:r>
      <w:r w:rsidR="002D1ED7" w:rsidRPr="00CC7F32">
        <w:rPr>
          <w:rFonts w:cs="Arial"/>
          <w:color w:val="000000" w:themeColor="text1"/>
        </w:rPr>
        <w:t xml:space="preserve"> </w:t>
      </w:r>
      <w:r w:rsidR="00F535AC" w:rsidRPr="00CC7F32">
        <w:rPr>
          <w:rFonts w:cs="Arial"/>
          <w:color w:val="000000" w:themeColor="text1"/>
        </w:rPr>
        <w:t>A</w:t>
      </w:r>
      <w:r w:rsidR="000246A5" w:rsidRPr="00CC7F32">
        <w:rPr>
          <w:rFonts w:cs="Arial"/>
          <w:color w:val="000000" w:themeColor="text1"/>
        </w:rPr>
        <w:t xml:space="preserve"> </w:t>
      </w:r>
      <w:r w:rsidR="00C80C11" w:rsidRPr="00CC7F32">
        <w:rPr>
          <w:rFonts w:cs="Arial"/>
          <w:color w:val="000000" w:themeColor="text1"/>
        </w:rPr>
        <w:t>diciembre</w:t>
      </w:r>
      <w:r w:rsidR="000246A5" w:rsidRPr="00CC7F32">
        <w:rPr>
          <w:rFonts w:cs="Arial"/>
          <w:color w:val="000000" w:themeColor="text1"/>
        </w:rPr>
        <w:t xml:space="preserve"> </w:t>
      </w:r>
      <w:r w:rsidR="002D1ED7" w:rsidRPr="00CC7F32">
        <w:rPr>
          <w:rFonts w:cs="Arial"/>
          <w:color w:val="000000" w:themeColor="text1"/>
        </w:rPr>
        <w:t xml:space="preserve">2017 </w:t>
      </w:r>
      <w:r w:rsidR="00BC228E" w:rsidRPr="00CC7F32">
        <w:rPr>
          <w:rFonts w:cs="Arial"/>
          <w:color w:val="000000" w:themeColor="text1"/>
        </w:rPr>
        <w:t xml:space="preserve">se registró </w:t>
      </w:r>
      <w:r w:rsidR="002D1ED7" w:rsidRPr="00CC7F32">
        <w:rPr>
          <w:rFonts w:cs="Arial"/>
          <w:color w:val="000000" w:themeColor="text1"/>
        </w:rPr>
        <w:t>una ejecución de</w:t>
      </w:r>
      <w:r w:rsidR="00FF4720" w:rsidRPr="00CC7F32">
        <w:rPr>
          <w:rFonts w:cs="Arial"/>
          <w:color w:val="000000" w:themeColor="text1"/>
        </w:rPr>
        <w:t xml:space="preserve"> </w:t>
      </w:r>
      <w:r w:rsidR="002D1ED7" w:rsidRPr="00CC7F32">
        <w:rPr>
          <w:rFonts w:cs="Arial"/>
          <w:color w:val="000000" w:themeColor="text1"/>
        </w:rPr>
        <w:t>Q.</w:t>
      </w:r>
      <w:r w:rsidR="001925CE" w:rsidRPr="00CC7F32">
        <w:rPr>
          <w:rFonts w:cs="Arial"/>
          <w:color w:val="000000" w:themeColor="text1"/>
        </w:rPr>
        <w:t xml:space="preserve"> </w:t>
      </w:r>
      <w:r w:rsidR="00C80C11" w:rsidRPr="00CC7F32">
        <w:rPr>
          <w:rFonts w:cs="Arial"/>
          <w:color w:val="000000" w:themeColor="text1"/>
        </w:rPr>
        <w:t>4</w:t>
      </w:r>
      <w:r w:rsidR="00FF4720" w:rsidRPr="00CC7F32">
        <w:rPr>
          <w:rFonts w:cs="Arial"/>
          <w:color w:val="000000" w:themeColor="text1"/>
        </w:rPr>
        <w:t>.</w:t>
      </w:r>
      <w:r w:rsidR="00C80C11" w:rsidRPr="00CC7F32">
        <w:rPr>
          <w:rFonts w:cs="Arial"/>
          <w:color w:val="000000" w:themeColor="text1"/>
        </w:rPr>
        <w:t>1</w:t>
      </w:r>
      <w:r w:rsidR="001925CE" w:rsidRPr="00CC7F32">
        <w:rPr>
          <w:rFonts w:cs="Arial"/>
          <w:color w:val="000000" w:themeColor="text1"/>
        </w:rPr>
        <w:t xml:space="preserve"> millones</w:t>
      </w:r>
      <w:r w:rsidR="00815DCD">
        <w:rPr>
          <w:rFonts w:cs="Arial"/>
          <w:color w:val="000000" w:themeColor="text1"/>
        </w:rPr>
        <w:t>, p</w:t>
      </w:r>
      <w:r w:rsidR="00657DA1" w:rsidRPr="00CC7F32">
        <w:rPr>
          <w:rFonts w:cs="Arial"/>
          <w:color w:val="000000" w:themeColor="text1"/>
        </w:rPr>
        <w:t>ara</w:t>
      </w:r>
      <w:r w:rsidR="00E14233">
        <w:rPr>
          <w:rFonts w:cs="Arial"/>
          <w:color w:val="000000" w:themeColor="text1"/>
        </w:rPr>
        <w:t xml:space="preserve"> </w:t>
      </w:r>
      <w:r w:rsidR="009D3FCD">
        <w:rPr>
          <w:rFonts w:cs="Arial"/>
          <w:color w:val="000000" w:themeColor="text1"/>
        </w:rPr>
        <w:t>diciembre</w:t>
      </w:r>
      <w:r w:rsidR="00E14233" w:rsidRPr="0096473A">
        <w:rPr>
          <w:rFonts w:cs="Arial"/>
          <w:color w:val="000000" w:themeColor="text1"/>
        </w:rPr>
        <w:t xml:space="preserve"> </w:t>
      </w:r>
      <w:r w:rsidR="00065A37" w:rsidRPr="0096473A">
        <w:rPr>
          <w:rFonts w:cs="Arial"/>
          <w:color w:val="000000" w:themeColor="text1"/>
        </w:rPr>
        <w:t xml:space="preserve">de </w:t>
      </w:r>
      <w:r w:rsidR="00657DA1" w:rsidRPr="00CC7F32">
        <w:rPr>
          <w:rFonts w:cs="Arial"/>
          <w:color w:val="000000" w:themeColor="text1"/>
        </w:rPr>
        <w:t xml:space="preserve">2018 </w:t>
      </w:r>
      <w:r w:rsidR="00BC228E" w:rsidRPr="00CC7F32">
        <w:rPr>
          <w:rFonts w:cs="Arial"/>
          <w:color w:val="000000" w:themeColor="text1"/>
        </w:rPr>
        <w:t>la</w:t>
      </w:r>
      <w:r w:rsidR="00657DA1" w:rsidRPr="00CC7F32">
        <w:rPr>
          <w:rFonts w:cs="Arial"/>
          <w:color w:val="000000" w:themeColor="text1"/>
        </w:rPr>
        <w:t xml:space="preserve"> ejecución </w:t>
      </w:r>
      <w:r w:rsidR="00BC228E" w:rsidRPr="00CC7F32">
        <w:rPr>
          <w:rFonts w:cs="Arial"/>
          <w:color w:val="000000" w:themeColor="text1"/>
        </w:rPr>
        <w:t xml:space="preserve">alcanza los </w:t>
      </w:r>
      <w:r w:rsidR="00657DA1" w:rsidRPr="00CC7F32">
        <w:rPr>
          <w:rFonts w:cs="Arial"/>
          <w:color w:val="000000" w:themeColor="text1"/>
        </w:rPr>
        <w:t>Q.</w:t>
      </w:r>
      <w:r w:rsidR="001C49F7" w:rsidRPr="00CC7F32">
        <w:rPr>
          <w:rFonts w:cs="Arial"/>
          <w:color w:val="000000" w:themeColor="text1"/>
        </w:rPr>
        <w:t xml:space="preserve"> </w:t>
      </w:r>
      <w:r w:rsidR="009D3FCD">
        <w:rPr>
          <w:rFonts w:cs="Arial"/>
          <w:color w:val="000000" w:themeColor="text1"/>
        </w:rPr>
        <w:t>9.6</w:t>
      </w:r>
      <w:r w:rsidR="00BD7DBD">
        <w:rPr>
          <w:rFonts w:cs="Arial"/>
          <w:color w:val="000000" w:themeColor="text1"/>
        </w:rPr>
        <w:t xml:space="preserve"> </w:t>
      </w:r>
      <w:r w:rsidR="0059064F" w:rsidRPr="00CC7F32">
        <w:rPr>
          <w:rFonts w:cs="Arial"/>
          <w:color w:val="000000" w:themeColor="text1"/>
        </w:rPr>
        <w:t>millones</w:t>
      </w:r>
      <w:r w:rsidR="00D35494" w:rsidRPr="00685FEB">
        <w:rPr>
          <w:rFonts w:cs="Arial"/>
          <w:color w:val="FF0000"/>
        </w:rPr>
        <w:t xml:space="preserve">, </w:t>
      </w:r>
      <w:r w:rsidR="00D35494" w:rsidRPr="00685FEB">
        <w:rPr>
          <w:rFonts w:cs="Arial"/>
          <w:color w:val="000000" w:themeColor="text1"/>
        </w:rPr>
        <w:t xml:space="preserve">y </w:t>
      </w:r>
      <w:r w:rsidR="00815DCD">
        <w:rPr>
          <w:rFonts w:cs="Arial"/>
          <w:color w:val="000000" w:themeColor="text1"/>
        </w:rPr>
        <w:t xml:space="preserve">para </w:t>
      </w:r>
      <w:r w:rsidR="00745771">
        <w:rPr>
          <w:rFonts w:cs="Arial"/>
          <w:color w:val="000000" w:themeColor="text1"/>
        </w:rPr>
        <w:t>diciembre</w:t>
      </w:r>
      <w:r w:rsidR="00815DCD">
        <w:rPr>
          <w:rFonts w:cs="Arial"/>
          <w:color w:val="000000" w:themeColor="text1"/>
        </w:rPr>
        <w:t xml:space="preserve"> 2019 reporta una ejecución</w:t>
      </w:r>
      <w:r w:rsidR="008665B7">
        <w:rPr>
          <w:rFonts w:cs="Arial"/>
          <w:color w:val="000000" w:themeColor="text1"/>
        </w:rPr>
        <w:t xml:space="preserve">    </w:t>
      </w:r>
      <w:r w:rsidR="007A0B59">
        <w:rPr>
          <w:rFonts w:cs="Arial"/>
          <w:color w:val="000000" w:themeColor="text1"/>
        </w:rPr>
        <w:t xml:space="preserve"> </w:t>
      </w:r>
      <w:r w:rsidR="00834A8D">
        <w:rPr>
          <w:rFonts w:cs="Arial"/>
          <w:color w:val="000000" w:themeColor="text1"/>
        </w:rPr>
        <w:t xml:space="preserve">    </w:t>
      </w:r>
      <w:r w:rsidR="00815DCD">
        <w:rPr>
          <w:rFonts w:cs="Arial"/>
          <w:color w:val="000000" w:themeColor="text1"/>
        </w:rPr>
        <w:t xml:space="preserve">Q. </w:t>
      </w:r>
      <w:r w:rsidR="00745771">
        <w:rPr>
          <w:rFonts w:cs="Arial"/>
          <w:color w:val="000000" w:themeColor="text1"/>
        </w:rPr>
        <w:t xml:space="preserve">4.7 </w:t>
      </w:r>
      <w:r w:rsidR="0056658A">
        <w:rPr>
          <w:rFonts w:cs="Arial"/>
          <w:color w:val="000000" w:themeColor="text1"/>
        </w:rPr>
        <w:t>millones</w:t>
      </w:r>
      <w:r w:rsidR="002719C7">
        <w:rPr>
          <w:rFonts w:cs="Arial"/>
          <w:color w:val="000000" w:themeColor="text1"/>
        </w:rPr>
        <w:t>.</w:t>
      </w:r>
    </w:p>
    <w:p w:rsidR="006A4B98" w:rsidRPr="006A4B98" w:rsidRDefault="006A4B98" w:rsidP="006A4B98">
      <w:pPr>
        <w:pStyle w:val="Prrafodelista"/>
        <w:rPr>
          <w:rFonts w:cs="Arial"/>
          <w:color w:val="000000" w:themeColor="text1"/>
        </w:rPr>
      </w:pPr>
    </w:p>
    <w:p w:rsidR="006A4B98" w:rsidRDefault="006A4B98" w:rsidP="006A4B98">
      <w:pPr>
        <w:pStyle w:val="Prrafodelista"/>
        <w:numPr>
          <w:ilvl w:val="0"/>
          <w:numId w:val="1"/>
        </w:numPr>
        <w:jc w:val="both"/>
        <w:rPr>
          <w:rFonts w:cs="Arial"/>
          <w:color w:val="000000" w:themeColor="text1"/>
        </w:rPr>
      </w:pPr>
      <w:r w:rsidRPr="00BD50CC">
        <w:rPr>
          <w:rFonts w:cs="Arial"/>
          <w:color w:val="000000" w:themeColor="text1"/>
        </w:rPr>
        <w:t xml:space="preserve">La ejecución del fideicomiso denominado Fondo </w:t>
      </w:r>
      <w:r>
        <w:rPr>
          <w:rFonts w:cs="Arial"/>
          <w:color w:val="000000" w:themeColor="text1"/>
        </w:rPr>
        <w:t xml:space="preserve">Social de Solidaridad se </w:t>
      </w:r>
      <w:r w:rsidRPr="00BD50CC">
        <w:rPr>
          <w:rFonts w:cs="Arial"/>
          <w:color w:val="000000" w:themeColor="text1"/>
        </w:rPr>
        <w:t>suspendió a partir de</w:t>
      </w:r>
      <w:r>
        <w:rPr>
          <w:rFonts w:cs="Arial"/>
          <w:color w:val="000000" w:themeColor="text1"/>
        </w:rPr>
        <w:t>l 02 de abril de 2019</w:t>
      </w:r>
      <w:r w:rsidRPr="00BD50CC">
        <w:rPr>
          <w:rFonts w:cs="Arial"/>
          <w:color w:val="000000" w:themeColor="text1"/>
        </w:rPr>
        <w:t>, por vencimiento de su plazo contractual</w:t>
      </w:r>
      <w:r w:rsidR="0029037D">
        <w:rPr>
          <w:rFonts w:cs="Arial"/>
          <w:color w:val="000000" w:themeColor="text1"/>
        </w:rPr>
        <w:t>, habiendo reportado una ejecución no reembolsable</w:t>
      </w:r>
      <w:r w:rsidR="00394CF2">
        <w:rPr>
          <w:rFonts w:cs="Arial"/>
          <w:color w:val="000000" w:themeColor="text1"/>
        </w:rPr>
        <w:t xml:space="preserve"> al 01 de abril</w:t>
      </w:r>
      <w:r w:rsidR="0029037D">
        <w:rPr>
          <w:rFonts w:cs="Arial"/>
          <w:color w:val="000000" w:themeColor="text1"/>
        </w:rPr>
        <w:t xml:space="preserve"> de </w:t>
      </w:r>
      <w:r w:rsidR="00394CF2">
        <w:rPr>
          <w:rFonts w:cs="Arial"/>
          <w:color w:val="000000" w:themeColor="text1"/>
        </w:rPr>
        <w:t>Q.</w:t>
      </w:r>
      <w:r w:rsidR="0029037D">
        <w:rPr>
          <w:rFonts w:cs="Arial"/>
          <w:color w:val="000000" w:themeColor="text1"/>
        </w:rPr>
        <w:t>85.1 millones</w:t>
      </w:r>
      <w:r w:rsidRPr="00BD50CC">
        <w:rPr>
          <w:rFonts w:cs="Arial"/>
          <w:color w:val="000000" w:themeColor="text1"/>
        </w:rPr>
        <w:t>.</w:t>
      </w:r>
    </w:p>
    <w:p w:rsidR="001C178A" w:rsidRDefault="001C178A" w:rsidP="001C178A">
      <w:pPr>
        <w:pStyle w:val="Prrafodelista"/>
        <w:rPr>
          <w:rFonts w:cs="Arial"/>
          <w:color w:val="000000" w:themeColor="text1"/>
        </w:rPr>
      </w:pPr>
    </w:p>
    <w:p w:rsidR="00E3794A" w:rsidRPr="00BD50CC" w:rsidRDefault="00E3794A" w:rsidP="006F2E8D">
      <w:pPr>
        <w:pStyle w:val="Prrafodelista"/>
        <w:numPr>
          <w:ilvl w:val="0"/>
          <w:numId w:val="3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ind w:left="142" w:hanging="142"/>
        <w:jc w:val="both"/>
        <w:rPr>
          <w:rFonts w:cs="Arial"/>
          <w:b/>
          <w:color w:val="000000" w:themeColor="text1"/>
        </w:rPr>
      </w:pPr>
      <w:r w:rsidRPr="006F2E8D">
        <w:rPr>
          <w:rFonts w:cs="Arial"/>
          <w:b/>
        </w:rPr>
        <w:t>Disponibilidades</w:t>
      </w:r>
    </w:p>
    <w:p w:rsidR="009D36E0" w:rsidRPr="00BD50CC" w:rsidRDefault="009D36E0" w:rsidP="009753C6">
      <w:pPr>
        <w:jc w:val="both"/>
        <w:rPr>
          <w:rFonts w:cs="Arial"/>
          <w:color w:val="000000" w:themeColor="text1"/>
        </w:rPr>
      </w:pPr>
    </w:p>
    <w:p w:rsidR="00A148CB" w:rsidRPr="00375E07" w:rsidRDefault="00D21C58" w:rsidP="009753C6">
      <w:pPr>
        <w:jc w:val="both"/>
        <w:rPr>
          <w:rFonts w:cs="Arial"/>
        </w:rPr>
      </w:pPr>
      <w:r w:rsidRPr="00BD50CC">
        <w:rPr>
          <w:rFonts w:cs="Arial"/>
          <w:color w:val="000000" w:themeColor="text1"/>
        </w:rPr>
        <w:t>A</w:t>
      </w:r>
      <w:r w:rsidR="009C17ED">
        <w:rPr>
          <w:rFonts w:cs="Arial"/>
          <w:color w:val="000000" w:themeColor="text1"/>
        </w:rPr>
        <w:t xml:space="preserve"> </w:t>
      </w:r>
      <w:r w:rsidR="00EB25EC">
        <w:rPr>
          <w:rFonts w:cs="Arial"/>
          <w:color w:val="000000" w:themeColor="text1"/>
        </w:rPr>
        <w:t xml:space="preserve">diciembre </w:t>
      </w:r>
      <w:r w:rsidR="00A01BF4" w:rsidRPr="00BD50CC">
        <w:rPr>
          <w:rFonts w:cs="Arial"/>
          <w:color w:val="000000" w:themeColor="text1"/>
        </w:rPr>
        <w:t>201</w:t>
      </w:r>
      <w:r w:rsidR="009C17ED">
        <w:rPr>
          <w:rFonts w:cs="Arial"/>
          <w:color w:val="000000" w:themeColor="text1"/>
        </w:rPr>
        <w:t>9</w:t>
      </w:r>
      <w:r w:rsidR="00E37484" w:rsidRPr="00BD50CC">
        <w:rPr>
          <w:rFonts w:cs="Arial"/>
          <w:color w:val="000000" w:themeColor="text1"/>
        </w:rPr>
        <w:t xml:space="preserve">, </w:t>
      </w:r>
      <w:r w:rsidR="00701485" w:rsidRPr="00BD50CC">
        <w:rPr>
          <w:rFonts w:cs="Arial"/>
          <w:color w:val="000000" w:themeColor="text1"/>
        </w:rPr>
        <w:t xml:space="preserve">las </w:t>
      </w:r>
      <w:r w:rsidR="00E37484" w:rsidRPr="00BD50CC">
        <w:rPr>
          <w:rFonts w:cs="Arial"/>
          <w:color w:val="000000" w:themeColor="text1"/>
        </w:rPr>
        <w:t xml:space="preserve">disponibilidades </w:t>
      </w:r>
      <w:r w:rsidR="00701485" w:rsidRPr="00BD50CC">
        <w:rPr>
          <w:rFonts w:cs="Arial"/>
          <w:color w:val="000000" w:themeColor="text1"/>
        </w:rPr>
        <w:t>(inmediatas e inversiones)</w:t>
      </w:r>
      <w:r w:rsidR="00D202A8" w:rsidRPr="00BD50CC">
        <w:rPr>
          <w:rFonts w:cs="Arial"/>
          <w:color w:val="000000" w:themeColor="text1"/>
        </w:rPr>
        <w:t xml:space="preserve"> </w:t>
      </w:r>
      <w:r w:rsidRPr="00BD50CC">
        <w:rPr>
          <w:rFonts w:cs="Arial"/>
          <w:color w:val="000000" w:themeColor="text1"/>
        </w:rPr>
        <w:t>de los fideicomisos</w:t>
      </w:r>
      <w:r w:rsidR="002724AE" w:rsidRPr="00BD50CC">
        <w:rPr>
          <w:rFonts w:cs="Arial"/>
          <w:color w:val="000000" w:themeColor="text1"/>
        </w:rPr>
        <w:t xml:space="preserve"> vigentes</w:t>
      </w:r>
      <w:r w:rsidRPr="00BD50CC">
        <w:rPr>
          <w:rFonts w:cs="Arial"/>
          <w:color w:val="000000" w:themeColor="text1"/>
        </w:rPr>
        <w:t xml:space="preserve"> </w:t>
      </w:r>
      <w:r w:rsidRPr="00242B4F">
        <w:rPr>
          <w:rFonts w:cs="Arial"/>
          <w:color w:val="000000"/>
        </w:rPr>
        <w:t xml:space="preserve">registrados en el Ministerio de Finanzas Públicas </w:t>
      </w:r>
      <w:r w:rsidR="00D202A8" w:rsidRPr="00242B4F">
        <w:rPr>
          <w:rFonts w:cs="Arial"/>
          <w:color w:val="000000"/>
        </w:rPr>
        <w:t>ascienden a</w:t>
      </w:r>
      <w:r w:rsidR="00D202A8" w:rsidRPr="00242B4F">
        <w:rPr>
          <w:rFonts w:cs="Arial"/>
        </w:rPr>
        <w:t xml:space="preserve"> Q.</w:t>
      </w:r>
      <w:r w:rsidR="004632AD">
        <w:rPr>
          <w:rFonts w:cs="Arial"/>
        </w:rPr>
        <w:t xml:space="preserve"> </w:t>
      </w:r>
      <w:r w:rsidR="00E93C89">
        <w:rPr>
          <w:rFonts w:cs="Arial"/>
        </w:rPr>
        <w:t>2,</w:t>
      </w:r>
      <w:r w:rsidR="00375E07">
        <w:rPr>
          <w:rFonts w:cs="Arial"/>
        </w:rPr>
        <w:t>371.6</w:t>
      </w:r>
      <w:r w:rsidR="006D3E07">
        <w:rPr>
          <w:rFonts w:cs="Arial"/>
        </w:rPr>
        <w:t xml:space="preserve"> </w:t>
      </w:r>
      <w:r w:rsidR="00D202A8" w:rsidRPr="00242B4F">
        <w:rPr>
          <w:rFonts w:cs="Arial"/>
        </w:rPr>
        <w:t>millones</w:t>
      </w:r>
      <w:r w:rsidR="00D202A8" w:rsidRPr="00242B4F">
        <w:rPr>
          <w:rFonts w:cs="Arial"/>
          <w:color w:val="000000"/>
        </w:rPr>
        <w:t xml:space="preserve">, las cuales se </w:t>
      </w:r>
      <w:r w:rsidR="00A40F64" w:rsidRPr="00242B4F">
        <w:rPr>
          <w:rFonts w:cs="Arial"/>
          <w:color w:val="000000"/>
        </w:rPr>
        <w:t>distribuyen</w:t>
      </w:r>
      <w:r w:rsidR="00D202A8" w:rsidRPr="00242B4F">
        <w:rPr>
          <w:rFonts w:cs="Arial"/>
          <w:color w:val="000000"/>
        </w:rPr>
        <w:t xml:space="preserve"> </w:t>
      </w:r>
      <w:r w:rsidR="00E37484" w:rsidRPr="00242B4F">
        <w:rPr>
          <w:rFonts w:cs="Arial"/>
          <w:color w:val="000000"/>
        </w:rPr>
        <w:t xml:space="preserve">en las </w:t>
      </w:r>
      <w:r w:rsidR="00CE566D" w:rsidRPr="00242B4F">
        <w:rPr>
          <w:rFonts w:cs="Arial"/>
          <w:color w:val="000000"/>
        </w:rPr>
        <w:t>e</w:t>
      </w:r>
      <w:r w:rsidR="00E37484" w:rsidRPr="00242B4F">
        <w:rPr>
          <w:rFonts w:cs="Arial"/>
          <w:color w:val="000000"/>
        </w:rPr>
        <w:t>ntidades Fiduciarias</w:t>
      </w:r>
      <w:r w:rsidR="00701485" w:rsidRPr="00242B4F">
        <w:rPr>
          <w:rFonts w:cs="Arial"/>
          <w:color w:val="000000"/>
        </w:rPr>
        <w:t xml:space="preserve"> </w:t>
      </w:r>
      <w:r w:rsidR="0093108D" w:rsidRPr="00242B4F">
        <w:rPr>
          <w:rFonts w:cs="Arial"/>
          <w:color w:val="000000"/>
        </w:rPr>
        <w:t xml:space="preserve">según </w:t>
      </w:r>
      <w:r w:rsidR="00A40F64" w:rsidRPr="00242B4F">
        <w:rPr>
          <w:rFonts w:cs="Arial"/>
          <w:color w:val="000000"/>
        </w:rPr>
        <w:t xml:space="preserve">se muestra en </w:t>
      </w:r>
      <w:r w:rsidR="0093108D" w:rsidRPr="00242B4F">
        <w:rPr>
          <w:rFonts w:cs="Arial"/>
          <w:color w:val="000000"/>
        </w:rPr>
        <w:t>la</w:t>
      </w:r>
      <w:r w:rsidR="00701485" w:rsidRPr="00242B4F">
        <w:rPr>
          <w:rFonts w:cs="Arial"/>
          <w:color w:val="000000"/>
        </w:rPr>
        <w:t xml:space="preserve"> siguiente gráfica:</w:t>
      </w:r>
    </w:p>
    <w:p w:rsidR="00334D39" w:rsidRDefault="00334D39" w:rsidP="009753C6">
      <w:pPr>
        <w:jc w:val="both"/>
        <w:rPr>
          <w:rFonts w:cs="Arial"/>
          <w:color w:val="000000"/>
        </w:rPr>
      </w:pPr>
    </w:p>
    <w:p w:rsidR="00E37484" w:rsidRPr="00340BA7" w:rsidRDefault="006B56E8" w:rsidP="00C15718">
      <w:pPr>
        <w:autoSpaceDE w:val="0"/>
        <w:autoSpaceDN w:val="0"/>
        <w:adjustRightInd w:val="0"/>
        <w:jc w:val="center"/>
        <w:rPr>
          <w:rFonts w:cs="Arial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Gráfica No. 3</w:t>
      </w:r>
    </w:p>
    <w:p w:rsidR="00F10B71" w:rsidRPr="00340BA7" w:rsidRDefault="00F10B71" w:rsidP="00C15718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</w:rPr>
      </w:pPr>
      <w:r w:rsidRPr="00340BA7">
        <w:rPr>
          <w:rFonts w:cs="Arial"/>
          <w:b/>
          <w:sz w:val="20"/>
          <w:szCs w:val="20"/>
        </w:rPr>
        <w:t>Fideicomisos Públicos Vigentes</w:t>
      </w:r>
    </w:p>
    <w:p w:rsidR="00E37484" w:rsidRPr="00340BA7" w:rsidRDefault="00E37484" w:rsidP="00C15718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vertAlign w:val="superscript"/>
        </w:rPr>
      </w:pPr>
      <w:r w:rsidRPr="00340BA7">
        <w:rPr>
          <w:rFonts w:cs="Arial"/>
          <w:b/>
          <w:sz w:val="20"/>
          <w:szCs w:val="20"/>
        </w:rPr>
        <w:t>Disponibilidades</w:t>
      </w:r>
      <w:r w:rsidR="002010AA" w:rsidRPr="00340BA7">
        <w:rPr>
          <w:rFonts w:cs="Arial"/>
          <w:b/>
          <w:sz w:val="20"/>
          <w:szCs w:val="20"/>
        </w:rPr>
        <w:t xml:space="preserve"> </w:t>
      </w:r>
      <w:r w:rsidR="00412665" w:rsidRPr="00340BA7">
        <w:rPr>
          <w:rFonts w:cs="Arial"/>
          <w:b/>
          <w:sz w:val="20"/>
          <w:szCs w:val="20"/>
        </w:rPr>
        <w:t>p</w:t>
      </w:r>
      <w:r w:rsidRPr="00340BA7">
        <w:rPr>
          <w:rFonts w:cs="Arial"/>
          <w:b/>
          <w:sz w:val="20"/>
          <w:szCs w:val="20"/>
        </w:rPr>
        <w:t>or Fiduciario</w:t>
      </w:r>
    </w:p>
    <w:p w:rsidR="009246CF" w:rsidRDefault="006C7C4E" w:rsidP="00E37484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</w:t>
      </w:r>
      <w:r w:rsidR="0069308E" w:rsidRPr="00340BA7">
        <w:rPr>
          <w:rFonts w:cs="Arial"/>
          <w:b/>
          <w:sz w:val="20"/>
          <w:szCs w:val="20"/>
        </w:rPr>
        <w:t xml:space="preserve"> </w:t>
      </w:r>
      <w:r w:rsidR="00375E07">
        <w:rPr>
          <w:rFonts w:cs="Arial"/>
          <w:b/>
          <w:sz w:val="20"/>
          <w:szCs w:val="20"/>
        </w:rPr>
        <w:t>diciembre</w:t>
      </w:r>
      <w:r w:rsidR="0033011E">
        <w:rPr>
          <w:rFonts w:cs="Arial"/>
          <w:b/>
          <w:sz w:val="20"/>
          <w:szCs w:val="20"/>
        </w:rPr>
        <w:t xml:space="preserve"> </w:t>
      </w:r>
      <w:r w:rsidR="00EB1B01" w:rsidRPr="00340BA7">
        <w:rPr>
          <w:rFonts w:cs="Arial"/>
          <w:b/>
          <w:sz w:val="20"/>
          <w:szCs w:val="20"/>
        </w:rPr>
        <w:t>201</w:t>
      </w:r>
      <w:r w:rsidR="009C17ED">
        <w:rPr>
          <w:rFonts w:cs="Arial"/>
          <w:b/>
          <w:sz w:val="20"/>
          <w:szCs w:val="20"/>
        </w:rPr>
        <w:t>9</w:t>
      </w:r>
    </w:p>
    <w:p w:rsidR="004F541D" w:rsidRDefault="004F541D" w:rsidP="00E37484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</w:rPr>
      </w:pPr>
      <w:r w:rsidRPr="00340BA7">
        <w:rPr>
          <w:rFonts w:cs="Arial"/>
          <w:b/>
          <w:sz w:val="20"/>
          <w:szCs w:val="20"/>
        </w:rPr>
        <w:t>En millones de quetzales</w:t>
      </w:r>
    </w:p>
    <w:p w:rsidR="003A5D31" w:rsidRDefault="003A5D31" w:rsidP="00E37484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</w:rPr>
      </w:pPr>
    </w:p>
    <w:p w:rsidR="00E37484" w:rsidRPr="008F1D72" w:rsidRDefault="00375E07" w:rsidP="001425A8">
      <w:pPr>
        <w:tabs>
          <w:tab w:val="left" w:pos="4631"/>
        </w:tabs>
        <w:autoSpaceDE w:val="0"/>
        <w:autoSpaceDN w:val="0"/>
        <w:adjustRightInd w:val="0"/>
        <w:ind w:left="708" w:firstLine="12"/>
        <w:jc w:val="center"/>
        <w:rPr>
          <w:rFonts w:cs="Arial"/>
          <w:color w:val="000000"/>
          <w:sz w:val="16"/>
          <w:szCs w:val="20"/>
        </w:rPr>
      </w:pPr>
      <w:r>
        <w:rPr>
          <w:rFonts w:cs="Arial"/>
          <w:noProof/>
          <w:color w:val="000000"/>
          <w:sz w:val="16"/>
          <w:szCs w:val="20"/>
          <w:lang w:val="es-GT" w:eastAsia="es-GT"/>
        </w:rPr>
        <w:drawing>
          <wp:inline distT="0" distB="0" distL="0" distR="0" wp14:anchorId="3288DD60">
            <wp:extent cx="4469587" cy="2258370"/>
            <wp:effectExtent l="0" t="0" r="7620" b="889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421" cy="2261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5D31" w:rsidRDefault="003A5D31" w:rsidP="003A5D31">
      <w:pPr>
        <w:autoSpaceDE w:val="0"/>
        <w:autoSpaceDN w:val="0"/>
        <w:adjustRightInd w:val="0"/>
        <w:ind w:left="708" w:firstLine="12"/>
        <w:jc w:val="both"/>
        <w:rPr>
          <w:rFonts w:cs="Arial"/>
          <w:color w:val="000000"/>
          <w:sz w:val="16"/>
          <w:szCs w:val="20"/>
        </w:rPr>
      </w:pPr>
    </w:p>
    <w:p w:rsidR="003A5D31" w:rsidRDefault="003A5D31" w:rsidP="003A5D31">
      <w:pPr>
        <w:autoSpaceDE w:val="0"/>
        <w:autoSpaceDN w:val="0"/>
        <w:adjustRightInd w:val="0"/>
        <w:rPr>
          <w:rFonts w:cs="Arial"/>
          <w:color w:val="000000"/>
          <w:sz w:val="16"/>
          <w:szCs w:val="20"/>
        </w:rPr>
      </w:pPr>
      <w:r>
        <w:rPr>
          <w:rFonts w:cs="Arial"/>
          <w:color w:val="000000"/>
          <w:sz w:val="16"/>
          <w:szCs w:val="20"/>
        </w:rPr>
        <w:t xml:space="preserve">    </w:t>
      </w:r>
      <w:r w:rsidRPr="008F1D72">
        <w:rPr>
          <w:rFonts w:cs="Arial"/>
          <w:color w:val="000000"/>
          <w:sz w:val="16"/>
          <w:szCs w:val="20"/>
        </w:rPr>
        <w:t>FUENTE: Estados financieros elaborados por los Fiduciarios.</w:t>
      </w:r>
    </w:p>
    <w:p w:rsidR="004F3E31" w:rsidRDefault="004F3E31" w:rsidP="003A5D31">
      <w:pPr>
        <w:autoSpaceDE w:val="0"/>
        <w:autoSpaceDN w:val="0"/>
        <w:adjustRightInd w:val="0"/>
        <w:rPr>
          <w:rFonts w:cs="Arial"/>
          <w:color w:val="000000"/>
          <w:sz w:val="16"/>
          <w:szCs w:val="20"/>
        </w:rPr>
      </w:pPr>
    </w:p>
    <w:p w:rsidR="00137870" w:rsidRDefault="00137870" w:rsidP="003A5D31">
      <w:pPr>
        <w:autoSpaceDE w:val="0"/>
        <w:autoSpaceDN w:val="0"/>
        <w:adjustRightInd w:val="0"/>
        <w:rPr>
          <w:rFonts w:cs="Arial"/>
          <w:color w:val="000000"/>
          <w:sz w:val="16"/>
          <w:szCs w:val="20"/>
        </w:rPr>
      </w:pPr>
    </w:p>
    <w:p w:rsidR="00137870" w:rsidRDefault="00137870" w:rsidP="003A5D31">
      <w:pPr>
        <w:autoSpaceDE w:val="0"/>
        <w:autoSpaceDN w:val="0"/>
        <w:adjustRightInd w:val="0"/>
        <w:rPr>
          <w:rFonts w:cs="Arial"/>
          <w:color w:val="000000"/>
          <w:sz w:val="16"/>
          <w:szCs w:val="20"/>
        </w:rPr>
      </w:pPr>
    </w:p>
    <w:p w:rsidR="00137870" w:rsidRDefault="00137870" w:rsidP="003A5D31">
      <w:pPr>
        <w:autoSpaceDE w:val="0"/>
        <w:autoSpaceDN w:val="0"/>
        <w:adjustRightInd w:val="0"/>
        <w:rPr>
          <w:rFonts w:cs="Arial"/>
          <w:color w:val="000000"/>
          <w:sz w:val="16"/>
          <w:szCs w:val="20"/>
        </w:rPr>
      </w:pPr>
    </w:p>
    <w:p w:rsidR="00A473EB" w:rsidRDefault="00A473EB" w:rsidP="003A5D31">
      <w:pPr>
        <w:autoSpaceDE w:val="0"/>
        <w:autoSpaceDN w:val="0"/>
        <w:adjustRightInd w:val="0"/>
        <w:rPr>
          <w:rFonts w:cs="Arial"/>
          <w:color w:val="000000"/>
          <w:sz w:val="16"/>
          <w:szCs w:val="20"/>
        </w:rPr>
      </w:pPr>
    </w:p>
    <w:p w:rsidR="008F1D72" w:rsidRPr="00C84E9C" w:rsidRDefault="008F1D72" w:rsidP="006F2E8D">
      <w:pPr>
        <w:pStyle w:val="Prrafodelista"/>
        <w:numPr>
          <w:ilvl w:val="0"/>
          <w:numId w:val="3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ind w:left="142" w:hanging="142"/>
        <w:jc w:val="both"/>
        <w:rPr>
          <w:rFonts w:cs="Arial"/>
          <w:b/>
        </w:rPr>
      </w:pPr>
      <w:r w:rsidRPr="00C84E9C">
        <w:rPr>
          <w:rFonts w:cs="Arial"/>
          <w:b/>
        </w:rPr>
        <w:t>Activos</w:t>
      </w:r>
    </w:p>
    <w:p w:rsidR="00DF20B3" w:rsidRPr="00A20172" w:rsidRDefault="00DF20B3" w:rsidP="00E97932">
      <w:pPr>
        <w:pStyle w:val="Textoindependiente"/>
        <w:rPr>
          <w:sz w:val="22"/>
          <w:szCs w:val="22"/>
        </w:rPr>
      </w:pPr>
    </w:p>
    <w:p w:rsidR="00086716" w:rsidRPr="000D7DB3" w:rsidRDefault="00A40F64" w:rsidP="000D7DB3">
      <w:pPr>
        <w:pStyle w:val="Textoindependiente"/>
        <w:rPr>
          <w:sz w:val="22"/>
          <w:szCs w:val="22"/>
        </w:rPr>
      </w:pPr>
      <w:r w:rsidRPr="00A20172">
        <w:rPr>
          <w:sz w:val="22"/>
          <w:szCs w:val="22"/>
        </w:rPr>
        <w:t>Los activos totales de los fideicomisos públicos vigentes, a</w:t>
      </w:r>
      <w:r w:rsidR="00177F03">
        <w:rPr>
          <w:sz w:val="22"/>
          <w:szCs w:val="22"/>
        </w:rPr>
        <w:t xml:space="preserve"> </w:t>
      </w:r>
      <w:r w:rsidR="001476D1">
        <w:rPr>
          <w:sz w:val="22"/>
          <w:szCs w:val="22"/>
        </w:rPr>
        <w:t>diciembre</w:t>
      </w:r>
      <w:r w:rsidR="0033011E">
        <w:rPr>
          <w:sz w:val="22"/>
          <w:szCs w:val="22"/>
        </w:rPr>
        <w:t xml:space="preserve"> </w:t>
      </w:r>
      <w:r w:rsidR="00D91F6D">
        <w:rPr>
          <w:sz w:val="22"/>
          <w:szCs w:val="22"/>
        </w:rPr>
        <w:t>201</w:t>
      </w:r>
      <w:r w:rsidR="00D8795C">
        <w:rPr>
          <w:sz w:val="22"/>
          <w:szCs w:val="22"/>
        </w:rPr>
        <w:t>9</w:t>
      </w:r>
      <w:r w:rsidRPr="0092558D">
        <w:rPr>
          <w:color w:val="000000" w:themeColor="text1"/>
          <w:sz w:val="22"/>
          <w:szCs w:val="22"/>
        </w:rPr>
        <w:t>, ascienden a Q.</w:t>
      </w:r>
      <w:r w:rsidR="001476D1">
        <w:rPr>
          <w:color w:val="000000" w:themeColor="text1"/>
          <w:sz w:val="22"/>
          <w:szCs w:val="22"/>
        </w:rPr>
        <w:t xml:space="preserve"> </w:t>
      </w:r>
      <w:r w:rsidR="006F4C21">
        <w:rPr>
          <w:color w:val="000000" w:themeColor="text1"/>
          <w:sz w:val="22"/>
          <w:szCs w:val="22"/>
        </w:rPr>
        <w:t>4,1</w:t>
      </w:r>
      <w:r w:rsidR="001476D1">
        <w:rPr>
          <w:color w:val="000000" w:themeColor="text1"/>
          <w:sz w:val="22"/>
          <w:szCs w:val="22"/>
        </w:rPr>
        <w:t>1</w:t>
      </w:r>
      <w:r w:rsidR="009F5AA5">
        <w:rPr>
          <w:color w:val="000000" w:themeColor="text1"/>
          <w:sz w:val="22"/>
          <w:szCs w:val="22"/>
        </w:rPr>
        <w:t>1</w:t>
      </w:r>
      <w:r w:rsidR="001476D1">
        <w:rPr>
          <w:color w:val="000000" w:themeColor="text1"/>
          <w:sz w:val="22"/>
          <w:szCs w:val="22"/>
        </w:rPr>
        <w:t>.0</w:t>
      </w:r>
      <w:r w:rsidR="00227C96">
        <w:rPr>
          <w:color w:val="000000" w:themeColor="text1"/>
          <w:sz w:val="22"/>
          <w:szCs w:val="22"/>
        </w:rPr>
        <w:t xml:space="preserve"> </w:t>
      </w:r>
      <w:r w:rsidRPr="00A20172">
        <w:rPr>
          <w:sz w:val="22"/>
          <w:szCs w:val="22"/>
        </w:rPr>
        <w:t xml:space="preserve">millones, cuya composición y distribución por fiduciario </w:t>
      </w:r>
      <w:r w:rsidR="00BC00F6" w:rsidRPr="00A20172">
        <w:rPr>
          <w:sz w:val="22"/>
          <w:szCs w:val="22"/>
        </w:rPr>
        <w:t xml:space="preserve">se </w:t>
      </w:r>
      <w:r w:rsidR="00CE473B" w:rsidRPr="00A20172">
        <w:rPr>
          <w:sz w:val="22"/>
          <w:szCs w:val="22"/>
        </w:rPr>
        <w:t xml:space="preserve">presenta </w:t>
      </w:r>
      <w:r w:rsidR="0071640B">
        <w:rPr>
          <w:sz w:val="22"/>
          <w:szCs w:val="22"/>
        </w:rPr>
        <w:t xml:space="preserve">en </w:t>
      </w:r>
      <w:r w:rsidR="00CE473B" w:rsidRPr="00A20172">
        <w:rPr>
          <w:sz w:val="22"/>
          <w:szCs w:val="22"/>
        </w:rPr>
        <w:t>el</w:t>
      </w:r>
      <w:r w:rsidR="00E97932" w:rsidRPr="00A20172">
        <w:rPr>
          <w:sz w:val="22"/>
          <w:szCs w:val="22"/>
        </w:rPr>
        <w:t xml:space="preserve"> </w:t>
      </w:r>
      <w:r w:rsidR="00BC00F6" w:rsidRPr="00A20172">
        <w:rPr>
          <w:sz w:val="22"/>
          <w:szCs w:val="22"/>
        </w:rPr>
        <w:t xml:space="preserve">siguiente </w:t>
      </w:r>
      <w:r w:rsidR="00E97932" w:rsidRPr="00A20172">
        <w:rPr>
          <w:sz w:val="22"/>
          <w:szCs w:val="22"/>
        </w:rPr>
        <w:t>cuadro</w:t>
      </w:r>
      <w:r w:rsidRPr="00A20172">
        <w:rPr>
          <w:sz w:val="22"/>
          <w:szCs w:val="22"/>
        </w:rPr>
        <w:t>:</w:t>
      </w:r>
    </w:p>
    <w:p w:rsidR="002811FA" w:rsidRPr="005D012F" w:rsidRDefault="002811FA" w:rsidP="002811FA">
      <w:pPr>
        <w:autoSpaceDE w:val="0"/>
        <w:autoSpaceDN w:val="0"/>
        <w:adjustRightInd w:val="0"/>
        <w:jc w:val="center"/>
        <w:rPr>
          <w:rFonts w:cs="Arial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D012F">
        <w:rPr>
          <w:rFonts w:cs="Arial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Cuadro No. 2</w:t>
      </w:r>
    </w:p>
    <w:p w:rsidR="00F10B71" w:rsidRPr="005D012F" w:rsidRDefault="00F10B71" w:rsidP="00F10B71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</w:rPr>
      </w:pPr>
      <w:r w:rsidRPr="005D012F">
        <w:rPr>
          <w:rFonts w:cs="Arial"/>
          <w:b/>
          <w:sz w:val="20"/>
          <w:szCs w:val="20"/>
        </w:rPr>
        <w:lastRenderedPageBreak/>
        <w:t>Fideicomisos Públicos Vigentes</w:t>
      </w:r>
    </w:p>
    <w:p w:rsidR="00622397" w:rsidRPr="005D012F" w:rsidRDefault="00622397" w:rsidP="00622397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vertAlign w:val="superscript"/>
        </w:rPr>
      </w:pPr>
      <w:r w:rsidRPr="005D012F">
        <w:rPr>
          <w:rFonts w:cs="Arial"/>
          <w:b/>
          <w:sz w:val="20"/>
          <w:szCs w:val="20"/>
        </w:rPr>
        <w:t xml:space="preserve">Activos </w:t>
      </w:r>
      <w:r w:rsidR="00412665" w:rsidRPr="005D012F">
        <w:rPr>
          <w:rFonts w:cs="Arial"/>
          <w:b/>
          <w:sz w:val="20"/>
          <w:szCs w:val="20"/>
        </w:rPr>
        <w:t>p</w:t>
      </w:r>
      <w:r w:rsidRPr="005D012F">
        <w:rPr>
          <w:rFonts w:cs="Arial"/>
          <w:b/>
          <w:sz w:val="20"/>
          <w:szCs w:val="20"/>
        </w:rPr>
        <w:t>or</w:t>
      </w:r>
      <w:r w:rsidR="006608A0" w:rsidRPr="005D012F">
        <w:rPr>
          <w:rFonts w:cs="Arial"/>
          <w:b/>
          <w:sz w:val="20"/>
          <w:szCs w:val="20"/>
        </w:rPr>
        <w:t xml:space="preserve"> </w:t>
      </w:r>
      <w:r w:rsidR="00616474" w:rsidRPr="005D012F">
        <w:rPr>
          <w:rFonts w:cs="Arial"/>
          <w:b/>
          <w:sz w:val="20"/>
          <w:szCs w:val="20"/>
        </w:rPr>
        <w:t>Fiduciario</w:t>
      </w:r>
    </w:p>
    <w:p w:rsidR="00EA434D" w:rsidRPr="005D012F" w:rsidRDefault="00A152D5" w:rsidP="00CD0B11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</w:rPr>
      </w:pPr>
      <w:r w:rsidRPr="005D012F">
        <w:rPr>
          <w:rFonts w:cs="Arial"/>
          <w:sz w:val="20"/>
          <w:szCs w:val="20"/>
        </w:rPr>
        <w:t xml:space="preserve"> </w:t>
      </w:r>
      <w:r w:rsidR="004675BB">
        <w:rPr>
          <w:rFonts w:cs="Arial"/>
          <w:b/>
          <w:sz w:val="20"/>
          <w:szCs w:val="20"/>
        </w:rPr>
        <w:t>A</w:t>
      </w:r>
      <w:r w:rsidR="000519FF">
        <w:rPr>
          <w:rFonts w:cs="Arial"/>
          <w:b/>
          <w:sz w:val="20"/>
          <w:szCs w:val="20"/>
        </w:rPr>
        <w:t xml:space="preserve"> </w:t>
      </w:r>
      <w:r w:rsidR="00227E01">
        <w:rPr>
          <w:rFonts w:cs="Arial"/>
          <w:b/>
          <w:sz w:val="20"/>
          <w:szCs w:val="20"/>
        </w:rPr>
        <w:t>diciembre</w:t>
      </w:r>
      <w:r w:rsidR="000519FF">
        <w:rPr>
          <w:rFonts w:cs="Arial"/>
          <w:b/>
          <w:sz w:val="20"/>
          <w:szCs w:val="20"/>
        </w:rPr>
        <w:t xml:space="preserve"> </w:t>
      </w:r>
      <w:r w:rsidR="005C58D7" w:rsidRPr="005D012F">
        <w:rPr>
          <w:rFonts w:cs="Arial"/>
          <w:b/>
          <w:sz w:val="20"/>
          <w:szCs w:val="20"/>
        </w:rPr>
        <w:t>201</w:t>
      </w:r>
      <w:r w:rsidR="00D8795C">
        <w:rPr>
          <w:rFonts w:cs="Arial"/>
          <w:b/>
          <w:sz w:val="20"/>
          <w:szCs w:val="20"/>
        </w:rPr>
        <w:t>9</w:t>
      </w:r>
    </w:p>
    <w:p w:rsidR="00296432" w:rsidRPr="005D012F" w:rsidRDefault="00C11D0C" w:rsidP="00CE7E7F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</w:rPr>
      </w:pPr>
      <w:r w:rsidRPr="005D012F">
        <w:rPr>
          <w:rFonts w:cs="Arial"/>
          <w:b/>
          <w:sz w:val="20"/>
          <w:szCs w:val="20"/>
        </w:rPr>
        <w:t>-Millones de Quetzales-</w:t>
      </w:r>
    </w:p>
    <w:p w:rsidR="002D298B" w:rsidRDefault="002D298B" w:rsidP="00CE7E7F">
      <w:pPr>
        <w:autoSpaceDE w:val="0"/>
        <w:autoSpaceDN w:val="0"/>
        <w:adjustRightInd w:val="0"/>
        <w:jc w:val="center"/>
        <w:rPr>
          <w:rFonts w:cs="Arial"/>
          <w:sz w:val="20"/>
          <w:szCs w:val="20"/>
        </w:rPr>
      </w:pPr>
    </w:p>
    <w:p w:rsidR="001425A8" w:rsidRDefault="000D7DB3" w:rsidP="001425A8">
      <w:pPr>
        <w:autoSpaceDE w:val="0"/>
        <w:autoSpaceDN w:val="0"/>
        <w:adjustRightInd w:val="0"/>
        <w:jc w:val="center"/>
        <w:rPr>
          <w:rFonts w:cs="Arial"/>
          <w:sz w:val="16"/>
          <w:szCs w:val="16"/>
          <w:vertAlign w:val="superscript"/>
        </w:rPr>
      </w:pPr>
      <w:r w:rsidRPr="000D7DB3">
        <w:rPr>
          <w:noProof/>
          <w:lang w:val="es-GT" w:eastAsia="es-GT"/>
        </w:rPr>
        <w:drawing>
          <wp:inline distT="0" distB="0" distL="0" distR="0">
            <wp:extent cx="4257446" cy="1715654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048" cy="172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5A8" w:rsidRDefault="001425A8" w:rsidP="001425A8">
      <w:pPr>
        <w:autoSpaceDE w:val="0"/>
        <w:autoSpaceDN w:val="0"/>
        <w:adjustRightInd w:val="0"/>
        <w:jc w:val="center"/>
        <w:rPr>
          <w:rFonts w:cs="Arial"/>
          <w:sz w:val="16"/>
          <w:szCs w:val="16"/>
          <w:vertAlign w:val="superscript"/>
        </w:rPr>
      </w:pPr>
    </w:p>
    <w:p w:rsidR="00AE38CF" w:rsidRPr="00A2122E" w:rsidRDefault="00AE38CF" w:rsidP="001425A8">
      <w:pPr>
        <w:autoSpaceDE w:val="0"/>
        <w:autoSpaceDN w:val="0"/>
        <w:adjustRightInd w:val="0"/>
        <w:jc w:val="center"/>
        <w:rPr>
          <w:rFonts w:cs="Arial"/>
          <w:sz w:val="16"/>
          <w:szCs w:val="16"/>
        </w:rPr>
      </w:pPr>
      <w:r w:rsidRPr="007A0B59">
        <w:rPr>
          <w:rFonts w:cs="Arial"/>
          <w:sz w:val="16"/>
          <w:szCs w:val="16"/>
          <w:vertAlign w:val="superscript"/>
        </w:rPr>
        <w:t xml:space="preserve">1/ </w:t>
      </w:r>
      <w:r w:rsidRPr="007A0B59">
        <w:rPr>
          <w:rFonts w:cs="Arial"/>
          <w:sz w:val="16"/>
          <w:szCs w:val="16"/>
        </w:rPr>
        <w:t xml:space="preserve">Incluye, entre otros, </w:t>
      </w:r>
      <w:r w:rsidR="003E323E" w:rsidRPr="007A0B59">
        <w:rPr>
          <w:rFonts w:cs="Arial"/>
          <w:sz w:val="16"/>
          <w:szCs w:val="16"/>
        </w:rPr>
        <w:t>gastos anticipados, activos extraordinarios, cargos diferidos</w:t>
      </w:r>
      <w:r w:rsidR="003E323E" w:rsidRPr="007A0B59">
        <w:rPr>
          <w:rFonts w:cs="Arial"/>
          <w:color w:val="000000" w:themeColor="text1"/>
          <w:sz w:val="16"/>
          <w:szCs w:val="16"/>
        </w:rPr>
        <w:t xml:space="preserve">, </w:t>
      </w:r>
      <w:r w:rsidR="00D35494" w:rsidRPr="007A0B59">
        <w:rPr>
          <w:rFonts w:cs="Arial"/>
          <w:color w:val="000000" w:themeColor="text1"/>
          <w:sz w:val="16"/>
          <w:szCs w:val="16"/>
        </w:rPr>
        <w:t>cuentas por cobrar, i</w:t>
      </w:r>
      <w:r w:rsidR="003E323E" w:rsidRPr="007A0B59">
        <w:rPr>
          <w:rFonts w:cs="Arial"/>
          <w:color w:val="000000" w:themeColor="text1"/>
          <w:sz w:val="16"/>
          <w:szCs w:val="16"/>
        </w:rPr>
        <w:t xml:space="preserve">nmuebles </w:t>
      </w:r>
      <w:r w:rsidR="003E323E" w:rsidRPr="00A2122E">
        <w:rPr>
          <w:rFonts w:cs="Arial"/>
          <w:sz w:val="16"/>
          <w:szCs w:val="16"/>
        </w:rPr>
        <w:t>y muebles.</w:t>
      </w:r>
    </w:p>
    <w:p w:rsidR="00622397" w:rsidRDefault="001425A8" w:rsidP="001425A8">
      <w:pPr>
        <w:autoSpaceDE w:val="0"/>
        <w:autoSpaceDN w:val="0"/>
        <w:adjustRightInd w:val="0"/>
        <w:ind w:firstLine="142"/>
        <w:jc w:val="both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    </w:t>
      </w:r>
      <w:r w:rsidR="00622397" w:rsidRPr="00A2122E">
        <w:rPr>
          <w:rFonts w:cs="Arial"/>
          <w:color w:val="000000"/>
          <w:sz w:val="16"/>
          <w:szCs w:val="16"/>
        </w:rPr>
        <w:t>FUENTE: Estados financieros elaborados por los Fiduciarios.</w:t>
      </w:r>
      <w:r w:rsidR="00682FD2" w:rsidRPr="00A2122E">
        <w:rPr>
          <w:rFonts w:cs="Arial"/>
          <w:color w:val="000000"/>
          <w:sz w:val="16"/>
          <w:szCs w:val="16"/>
        </w:rPr>
        <w:tab/>
      </w:r>
    </w:p>
    <w:p w:rsidR="009D36E0" w:rsidRDefault="009D36E0" w:rsidP="00D65B57">
      <w:pPr>
        <w:autoSpaceDE w:val="0"/>
        <w:autoSpaceDN w:val="0"/>
        <w:adjustRightInd w:val="0"/>
        <w:ind w:left="708"/>
        <w:rPr>
          <w:rFonts w:cs="Arial"/>
          <w:color w:val="000000"/>
        </w:rPr>
      </w:pPr>
    </w:p>
    <w:p w:rsidR="008F1D72" w:rsidRPr="00C84E9C" w:rsidRDefault="008F1D72" w:rsidP="00B614A2">
      <w:pPr>
        <w:pStyle w:val="Prrafodelista"/>
        <w:numPr>
          <w:ilvl w:val="0"/>
          <w:numId w:val="3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ind w:left="142" w:hanging="142"/>
        <w:jc w:val="both"/>
        <w:rPr>
          <w:rFonts w:cs="Arial"/>
          <w:b/>
        </w:rPr>
      </w:pPr>
      <w:r w:rsidRPr="00C84E9C">
        <w:rPr>
          <w:rFonts w:cs="Arial"/>
          <w:b/>
        </w:rPr>
        <w:t>Cartera de créditos</w:t>
      </w:r>
    </w:p>
    <w:p w:rsidR="008F1D72" w:rsidRPr="008F1D72" w:rsidRDefault="008F1D72" w:rsidP="008F1D72">
      <w:pPr>
        <w:pStyle w:val="Prrafodelista"/>
        <w:autoSpaceDE w:val="0"/>
        <w:autoSpaceDN w:val="0"/>
        <w:adjustRightInd w:val="0"/>
        <w:jc w:val="both"/>
        <w:rPr>
          <w:rFonts w:cs="Arial"/>
          <w:b/>
          <w:highlight w:val="yellow"/>
        </w:rPr>
      </w:pPr>
    </w:p>
    <w:p w:rsidR="00595E23" w:rsidRDefault="0093108D" w:rsidP="00430B9F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A20172">
        <w:rPr>
          <w:rFonts w:cs="Arial"/>
          <w:color w:val="000000"/>
        </w:rPr>
        <w:t>L</w:t>
      </w:r>
      <w:r w:rsidR="00701485" w:rsidRPr="00A20172">
        <w:rPr>
          <w:rFonts w:cs="Arial"/>
          <w:color w:val="000000"/>
        </w:rPr>
        <w:t>a situación de la cartera de los fideicomisos públicos vigentes</w:t>
      </w:r>
      <w:r w:rsidR="00D37A94" w:rsidRPr="00A20172">
        <w:rPr>
          <w:rFonts w:cs="Arial"/>
          <w:color w:val="000000"/>
        </w:rPr>
        <w:t xml:space="preserve"> </w:t>
      </w:r>
      <w:r w:rsidR="00701485" w:rsidRPr="00A20172">
        <w:rPr>
          <w:rFonts w:cs="Arial"/>
          <w:color w:val="000000"/>
        </w:rPr>
        <w:t xml:space="preserve">orientados a la actividad </w:t>
      </w:r>
      <w:r w:rsidR="00701485" w:rsidRPr="00CB5045">
        <w:rPr>
          <w:rFonts w:cs="Arial"/>
          <w:color w:val="000000"/>
        </w:rPr>
        <w:t>crediticia</w:t>
      </w:r>
      <w:r w:rsidR="00385B78" w:rsidRPr="00CB5045">
        <w:rPr>
          <w:rFonts w:cs="Arial"/>
          <w:color w:val="000000"/>
        </w:rPr>
        <w:t xml:space="preserve"> </w:t>
      </w:r>
      <w:r w:rsidR="00FF3D5E" w:rsidRPr="00CB5045">
        <w:rPr>
          <w:rFonts w:cs="Arial"/>
          <w:color w:val="000000"/>
        </w:rPr>
        <w:t xml:space="preserve">o recuperación de cartera </w:t>
      </w:r>
      <w:r w:rsidR="007D6CFF" w:rsidRPr="00CB5045">
        <w:rPr>
          <w:rFonts w:cs="Arial"/>
          <w:color w:val="000000"/>
        </w:rPr>
        <w:t>(financiamiento reembolsable)</w:t>
      </w:r>
      <w:r w:rsidR="00701485" w:rsidRPr="00CB5045">
        <w:rPr>
          <w:rFonts w:cs="Arial"/>
          <w:color w:val="000000"/>
        </w:rPr>
        <w:t xml:space="preserve">, </w:t>
      </w:r>
      <w:r w:rsidR="0071266D" w:rsidRPr="00CB5045">
        <w:rPr>
          <w:rFonts w:cs="Arial"/>
          <w:color w:val="000000"/>
        </w:rPr>
        <w:t xml:space="preserve">muestra a </w:t>
      </w:r>
      <w:r w:rsidR="00DB3E14">
        <w:rPr>
          <w:rFonts w:cs="Arial"/>
          <w:color w:val="000000"/>
        </w:rPr>
        <w:t>diciembre</w:t>
      </w:r>
      <w:r w:rsidR="0006172C">
        <w:rPr>
          <w:rFonts w:cs="Arial"/>
          <w:color w:val="000000"/>
        </w:rPr>
        <w:t xml:space="preserve"> </w:t>
      </w:r>
      <w:r w:rsidR="00385B78" w:rsidRPr="00CB5045">
        <w:rPr>
          <w:rFonts w:cs="Arial"/>
          <w:color w:val="000000"/>
        </w:rPr>
        <w:t>2</w:t>
      </w:r>
      <w:r w:rsidR="004114AB" w:rsidRPr="00CB5045">
        <w:rPr>
          <w:rFonts w:cs="Arial"/>
          <w:color w:val="000000"/>
        </w:rPr>
        <w:t>01</w:t>
      </w:r>
      <w:r w:rsidR="003E0AE2">
        <w:rPr>
          <w:rFonts w:cs="Arial"/>
          <w:color w:val="000000"/>
        </w:rPr>
        <w:t>9</w:t>
      </w:r>
      <w:r w:rsidR="00986487" w:rsidRPr="00CB5045">
        <w:rPr>
          <w:rFonts w:cs="Arial"/>
          <w:color w:val="000000"/>
        </w:rPr>
        <w:t xml:space="preserve">, </w:t>
      </w:r>
      <w:r w:rsidR="00CE566D" w:rsidRPr="00CB5045">
        <w:rPr>
          <w:rFonts w:cs="Arial"/>
          <w:color w:val="000000"/>
        </w:rPr>
        <w:t xml:space="preserve">conforme </w:t>
      </w:r>
      <w:r w:rsidR="0007629D" w:rsidRPr="00CB5045">
        <w:rPr>
          <w:rFonts w:cs="Arial"/>
          <w:color w:val="000000"/>
        </w:rPr>
        <w:t xml:space="preserve">el </w:t>
      </w:r>
      <w:r w:rsidR="00CE566D" w:rsidRPr="00CB5045">
        <w:rPr>
          <w:rFonts w:cs="Arial"/>
          <w:color w:val="000000"/>
        </w:rPr>
        <w:t>siguiente</w:t>
      </w:r>
      <w:r w:rsidR="00CE566D" w:rsidRPr="00A20172">
        <w:rPr>
          <w:rFonts w:cs="Arial"/>
          <w:color w:val="000000"/>
        </w:rPr>
        <w:t xml:space="preserve"> </w:t>
      </w:r>
      <w:r w:rsidR="00DE15B6">
        <w:rPr>
          <w:rFonts w:cs="Arial"/>
          <w:color w:val="000000"/>
        </w:rPr>
        <w:t>cuadro, una cartera vigente del</w:t>
      </w:r>
      <w:r w:rsidR="00597ABE">
        <w:rPr>
          <w:rFonts w:cs="Arial"/>
          <w:color w:val="000000"/>
        </w:rPr>
        <w:t xml:space="preserve"> </w:t>
      </w:r>
      <w:r w:rsidR="004D062C">
        <w:rPr>
          <w:rFonts w:cs="Arial"/>
          <w:color w:val="000000"/>
        </w:rPr>
        <w:t>6</w:t>
      </w:r>
      <w:r w:rsidR="00E464A7">
        <w:rPr>
          <w:rFonts w:cs="Arial"/>
          <w:color w:val="000000"/>
        </w:rPr>
        <w:t>2</w:t>
      </w:r>
      <w:r w:rsidR="00DE15B6">
        <w:rPr>
          <w:rFonts w:cs="Arial"/>
          <w:color w:val="000000"/>
        </w:rPr>
        <w:t>%</w:t>
      </w:r>
      <w:r w:rsidR="00CE566D" w:rsidRPr="00A20172">
        <w:rPr>
          <w:rFonts w:cs="Arial"/>
          <w:color w:val="000000"/>
        </w:rPr>
        <w:t xml:space="preserve"> y </w:t>
      </w:r>
      <w:r w:rsidR="00A708EB" w:rsidRPr="00A20172">
        <w:rPr>
          <w:rFonts w:cs="Arial"/>
          <w:color w:val="000000"/>
        </w:rPr>
        <w:t xml:space="preserve">cartera </w:t>
      </w:r>
      <w:r w:rsidR="00CE566D" w:rsidRPr="00A20172">
        <w:rPr>
          <w:rFonts w:cs="Arial"/>
          <w:color w:val="000000"/>
        </w:rPr>
        <w:t xml:space="preserve">vencida del </w:t>
      </w:r>
      <w:r w:rsidR="00E464A7">
        <w:rPr>
          <w:rFonts w:cs="Arial"/>
          <w:color w:val="000000"/>
        </w:rPr>
        <w:t>38</w:t>
      </w:r>
      <w:r w:rsidR="00CE566D" w:rsidRPr="00A20172">
        <w:rPr>
          <w:rFonts w:cs="Arial"/>
          <w:color w:val="000000"/>
        </w:rPr>
        <w:t>%, correspondiendo a fideicomisos públicos vigentes a cargo de entidades de la Administración Cent</w:t>
      </w:r>
      <w:r w:rsidR="00520B6F" w:rsidRPr="00A20172">
        <w:rPr>
          <w:rFonts w:cs="Arial"/>
          <w:color w:val="000000"/>
        </w:rPr>
        <w:t xml:space="preserve">ral el </w:t>
      </w:r>
      <w:r w:rsidR="004F26CF">
        <w:rPr>
          <w:rFonts w:cs="Arial"/>
          <w:color w:val="000000"/>
        </w:rPr>
        <w:t>7</w:t>
      </w:r>
      <w:r w:rsidR="00E464A7">
        <w:rPr>
          <w:rFonts w:cs="Arial"/>
          <w:color w:val="000000"/>
        </w:rPr>
        <w:t>0</w:t>
      </w:r>
      <w:r w:rsidR="00CE566D" w:rsidRPr="006A1F76">
        <w:rPr>
          <w:rFonts w:cs="Arial"/>
          <w:color w:val="000000"/>
        </w:rPr>
        <w:t>%</w:t>
      </w:r>
      <w:r w:rsidR="00CE566D" w:rsidRPr="00A20172">
        <w:rPr>
          <w:rFonts w:cs="Arial"/>
          <w:color w:val="000000"/>
        </w:rPr>
        <w:t xml:space="preserve"> </w:t>
      </w:r>
      <w:r w:rsidR="009A5C0F" w:rsidRPr="00A20172">
        <w:rPr>
          <w:rFonts w:cs="Arial"/>
          <w:color w:val="000000"/>
        </w:rPr>
        <w:t xml:space="preserve">de la cartera total, </w:t>
      </w:r>
      <w:r w:rsidR="00CE566D" w:rsidRPr="00A20172">
        <w:rPr>
          <w:rFonts w:cs="Arial"/>
          <w:color w:val="000000"/>
        </w:rPr>
        <w:t>y</w:t>
      </w:r>
      <w:r w:rsidR="00D26EEA" w:rsidRPr="00A20172">
        <w:rPr>
          <w:rFonts w:cs="Arial"/>
          <w:color w:val="000000"/>
        </w:rPr>
        <w:t xml:space="preserve"> al </w:t>
      </w:r>
      <w:r w:rsidR="00D26EEA" w:rsidRPr="00C137D1">
        <w:rPr>
          <w:rFonts w:cs="Arial"/>
          <w:color w:val="000000"/>
        </w:rPr>
        <w:t xml:space="preserve">fideicomiso </w:t>
      </w:r>
      <w:r w:rsidR="008828CE" w:rsidRPr="00C137D1">
        <w:rPr>
          <w:rFonts w:cs="Arial"/>
          <w:color w:val="000000"/>
        </w:rPr>
        <w:t>“</w:t>
      </w:r>
      <w:r w:rsidR="00D26EEA" w:rsidRPr="00C137D1">
        <w:rPr>
          <w:rFonts w:cs="Arial"/>
          <w:color w:val="000000"/>
        </w:rPr>
        <w:t>Fondo</w:t>
      </w:r>
      <w:r w:rsidR="00D26EEA" w:rsidRPr="00A20172">
        <w:rPr>
          <w:rFonts w:cs="Arial"/>
          <w:color w:val="000000"/>
        </w:rPr>
        <w:t xml:space="preserve"> de Tierras Acuerdos de Paz</w:t>
      </w:r>
      <w:r w:rsidR="00885DAA" w:rsidRPr="00A20172">
        <w:rPr>
          <w:rFonts w:cs="Arial"/>
          <w:color w:val="000000"/>
        </w:rPr>
        <w:t>”,</w:t>
      </w:r>
      <w:r w:rsidR="00D26EEA" w:rsidRPr="00A20172">
        <w:rPr>
          <w:rFonts w:cs="Arial"/>
          <w:color w:val="000000"/>
        </w:rPr>
        <w:t xml:space="preserve"> </w:t>
      </w:r>
      <w:r w:rsidR="009A5C0F" w:rsidRPr="00A20172">
        <w:rPr>
          <w:rFonts w:cs="Arial"/>
          <w:color w:val="000000"/>
        </w:rPr>
        <w:t xml:space="preserve">único fideicomiso crediticio en el sector de </w:t>
      </w:r>
      <w:r w:rsidR="00A708EB" w:rsidRPr="00A20172">
        <w:rPr>
          <w:rFonts w:cs="Arial"/>
          <w:color w:val="000000"/>
        </w:rPr>
        <w:t xml:space="preserve">entidades </w:t>
      </w:r>
      <w:r w:rsidR="00CE566D" w:rsidRPr="00A20172">
        <w:rPr>
          <w:rFonts w:cs="Arial"/>
          <w:color w:val="000000"/>
        </w:rPr>
        <w:t>Desc</w:t>
      </w:r>
      <w:r w:rsidR="00316E32" w:rsidRPr="00A20172">
        <w:rPr>
          <w:rFonts w:cs="Arial"/>
          <w:color w:val="000000"/>
        </w:rPr>
        <w:t>entralizadas y Autónomas</w:t>
      </w:r>
      <w:r w:rsidR="00885DAA" w:rsidRPr="00A20172">
        <w:rPr>
          <w:rFonts w:cs="Arial"/>
          <w:color w:val="000000"/>
        </w:rPr>
        <w:t>,</w:t>
      </w:r>
      <w:r w:rsidR="00316E32" w:rsidRPr="00A20172">
        <w:rPr>
          <w:rFonts w:cs="Arial"/>
          <w:color w:val="000000"/>
        </w:rPr>
        <w:t xml:space="preserve"> el </w:t>
      </w:r>
      <w:r w:rsidR="00E464A7">
        <w:rPr>
          <w:rFonts w:cs="Arial"/>
          <w:color w:val="000000"/>
        </w:rPr>
        <w:t>30</w:t>
      </w:r>
      <w:r w:rsidR="00D03272">
        <w:rPr>
          <w:rFonts w:cs="Arial"/>
          <w:color w:val="000000"/>
        </w:rPr>
        <w:t xml:space="preserve"> </w:t>
      </w:r>
      <w:r w:rsidR="004802A7" w:rsidRPr="00A20172">
        <w:rPr>
          <w:rFonts w:cs="Arial"/>
          <w:color w:val="000000"/>
        </w:rPr>
        <w:t>%</w:t>
      </w:r>
      <w:r w:rsidR="00595E23" w:rsidRPr="00A20172">
        <w:rPr>
          <w:rFonts w:cs="Arial"/>
          <w:color w:val="000000"/>
        </w:rPr>
        <w:t>.</w:t>
      </w:r>
    </w:p>
    <w:p w:rsidR="00086716" w:rsidRDefault="00086716" w:rsidP="00430B9F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DF20B3" w:rsidRPr="00EC2DD5" w:rsidRDefault="00DF20B3" w:rsidP="00DF20B3">
      <w:pPr>
        <w:autoSpaceDE w:val="0"/>
        <w:autoSpaceDN w:val="0"/>
        <w:adjustRightInd w:val="0"/>
        <w:jc w:val="center"/>
        <w:rPr>
          <w:rFonts w:cs="Arial"/>
          <w:color w:val="000000" w:themeColor="text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2DD5">
        <w:rPr>
          <w:rFonts w:cs="Arial"/>
          <w:color w:val="000000" w:themeColor="text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Cuadro No. 3</w:t>
      </w:r>
    </w:p>
    <w:p w:rsidR="00DF20B3" w:rsidRPr="00EC2DD5" w:rsidRDefault="00DF20B3" w:rsidP="00DF20B3">
      <w:pPr>
        <w:autoSpaceDE w:val="0"/>
        <w:autoSpaceDN w:val="0"/>
        <w:adjustRightInd w:val="0"/>
        <w:jc w:val="center"/>
        <w:rPr>
          <w:rFonts w:cs="Arial"/>
          <w:b/>
          <w:color w:val="000000" w:themeColor="text1"/>
          <w:sz w:val="20"/>
          <w:szCs w:val="20"/>
        </w:rPr>
      </w:pPr>
      <w:r w:rsidRPr="00EC2DD5">
        <w:rPr>
          <w:rFonts w:cs="Arial"/>
          <w:b/>
          <w:color w:val="000000" w:themeColor="text1"/>
          <w:sz w:val="20"/>
          <w:szCs w:val="20"/>
        </w:rPr>
        <w:t>Fideicomisos Públicos Vigentes</w:t>
      </w:r>
    </w:p>
    <w:p w:rsidR="00DF20B3" w:rsidRPr="00EC2DD5" w:rsidRDefault="00DF20B3" w:rsidP="00DF20B3">
      <w:pPr>
        <w:autoSpaceDE w:val="0"/>
        <w:autoSpaceDN w:val="0"/>
        <w:adjustRightInd w:val="0"/>
        <w:jc w:val="center"/>
        <w:rPr>
          <w:rFonts w:cs="Arial"/>
          <w:b/>
          <w:color w:val="000000" w:themeColor="text1"/>
          <w:sz w:val="20"/>
          <w:szCs w:val="20"/>
          <w:vertAlign w:val="superscript"/>
        </w:rPr>
      </w:pPr>
      <w:r w:rsidRPr="00EC2DD5">
        <w:rPr>
          <w:rFonts w:cs="Arial"/>
          <w:b/>
          <w:color w:val="000000" w:themeColor="text1"/>
          <w:sz w:val="20"/>
          <w:szCs w:val="20"/>
        </w:rPr>
        <w:t xml:space="preserve">Situación de la Cartera </w:t>
      </w:r>
      <w:r w:rsidR="001F5DFF" w:rsidRPr="00EC2DD5">
        <w:rPr>
          <w:rFonts w:cs="Arial"/>
          <w:b/>
          <w:color w:val="000000" w:themeColor="text1"/>
          <w:sz w:val="20"/>
          <w:szCs w:val="20"/>
        </w:rPr>
        <w:t>de Fideicomisos Reembolsables y Mixtos</w:t>
      </w:r>
    </w:p>
    <w:p w:rsidR="006B2276" w:rsidRPr="00EC2DD5" w:rsidRDefault="003B41EE" w:rsidP="002E2475">
      <w:pPr>
        <w:autoSpaceDE w:val="0"/>
        <w:autoSpaceDN w:val="0"/>
        <w:adjustRightInd w:val="0"/>
        <w:jc w:val="center"/>
        <w:rPr>
          <w:rFonts w:cs="Arial"/>
          <w:b/>
          <w:color w:val="000000" w:themeColor="text1"/>
          <w:sz w:val="20"/>
          <w:szCs w:val="20"/>
        </w:rPr>
      </w:pPr>
      <w:r>
        <w:rPr>
          <w:rFonts w:cs="Arial"/>
          <w:b/>
          <w:color w:val="000000" w:themeColor="text1"/>
          <w:sz w:val="20"/>
          <w:szCs w:val="20"/>
        </w:rPr>
        <w:t>A</w:t>
      </w:r>
      <w:r w:rsidR="00086716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88095F">
        <w:rPr>
          <w:rFonts w:cs="Arial"/>
          <w:b/>
          <w:color w:val="000000" w:themeColor="text1"/>
          <w:sz w:val="20"/>
          <w:szCs w:val="20"/>
        </w:rPr>
        <w:t xml:space="preserve">diciembre </w:t>
      </w:r>
      <w:r w:rsidR="00DF20B3" w:rsidRPr="00EC2DD5">
        <w:rPr>
          <w:rFonts w:cs="Arial"/>
          <w:b/>
          <w:color w:val="000000" w:themeColor="text1"/>
          <w:sz w:val="20"/>
          <w:szCs w:val="20"/>
        </w:rPr>
        <w:t>201</w:t>
      </w:r>
      <w:r w:rsidR="003E0AE2">
        <w:rPr>
          <w:rFonts w:cs="Arial"/>
          <w:b/>
          <w:color w:val="000000" w:themeColor="text1"/>
          <w:sz w:val="20"/>
          <w:szCs w:val="20"/>
        </w:rPr>
        <w:t>9</w:t>
      </w:r>
    </w:p>
    <w:p w:rsidR="00CF6794" w:rsidRDefault="00DF20B3" w:rsidP="00DF20B3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</w:rPr>
      </w:pPr>
      <w:r w:rsidRPr="00EC2DD5">
        <w:rPr>
          <w:rFonts w:cs="Arial"/>
          <w:b/>
          <w:color w:val="000000" w:themeColor="text1"/>
          <w:sz w:val="20"/>
          <w:szCs w:val="20"/>
        </w:rPr>
        <w:t>-Millones de Quetzales</w:t>
      </w:r>
      <w:r w:rsidRPr="00EC2DD5">
        <w:rPr>
          <w:rFonts w:cs="Arial"/>
          <w:b/>
          <w:sz w:val="20"/>
          <w:szCs w:val="20"/>
        </w:rPr>
        <w:t>-</w:t>
      </w:r>
    </w:p>
    <w:p w:rsidR="00086716" w:rsidRDefault="00086716" w:rsidP="00DF20B3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</w:rPr>
      </w:pPr>
    </w:p>
    <w:p w:rsidR="004A0F4A" w:rsidRDefault="00E464A7" w:rsidP="004F26CF">
      <w:pPr>
        <w:jc w:val="center"/>
        <w:rPr>
          <w:rFonts w:cs="Arial"/>
          <w:sz w:val="20"/>
          <w:szCs w:val="20"/>
        </w:rPr>
      </w:pPr>
      <w:r w:rsidRPr="00E464A7">
        <w:rPr>
          <w:noProof/>
          <w:lang w:val="es-GT" w:eastAsia="es-GT"/>
        </w:rPr>
        <w:drawing>
          <wp:inline distT="0" distB="0" distL="0" distR="0">
            <wp:extent cx="5159364" cy="1521561"/>
            <wp:effectExtent l="0" t="0" r="3810" b="254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315" cy="1524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A18" w:rsidRPr="004A0F4A" w:rsidRDefault="00EE5A18" w:rsidP="004F26CF">
      <w:pPr>
        <w:jc w:val="center"/>
        <w:rPr>
          <w:rFonts w:cs="Arial"/>
          <w:sz w:val="20"/>
          <w:szCs w:val="20"/>
        </w:rPr>
      </w:pPr>
    </w:p>
    <w:p w:rsidR="001C178A" w:rsidRDefault="00DF20B3" w:rsidP="0088192F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A2122E">
        <w:rPr>
          <w:rFonts w:cs="Arial"/>
          <w:color w:val="000000"/>
          <w:sz w:val="16"/>
          <w:szCs w:val="16"/>
        </w:rPr>
        <w:t>FUENTE: Estados financieros elaborados por los Fiduciarios.</w:t>
      </w:r>
      <w:r w:rsidR="00A40F64" w:rsidRPr="00A2122E">
        <w:rPr>
          <w:rFonts w:cs="Arial"/>
          <w:color w:val="000000"/>
          <w:sz w:val="16"/>
          <w:szCs w:val="16"/>
        </w:rPr>
        <w:t xml:space="preserve">  </w:t>
      </w:r>
      <w:r w:rsidR="00FC506B" w:rsidRPr="00A2122E">
        <w:rPr>
          <w:rFonts w:cs="Arial"/>
          <w:color w:val="000000"/>
          <w:sz w:val="16"/>
          <w:szCs w:val="16"/>
        </w:rPr>
        <w:tab/>
      </w:r>
    </w:p>
    <w:p w:rsidR="00F37E07" w:rsidRDefault="00F37E07" w:rsidP="0088192F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A333B1" w:rsidRPr="00343A69" w:rsidRDefault="00F556A3" w:rsidP="006B5103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740893">
        <w:rPr>
          <w:rFonts w:cs="Arial"/>
          <w:color w:val="000000"/>
        </w:rPr>
        <w:lastRenderedPageBreak/>
        <w:t xml:space="preserve">La </w:t>
      </w:r>
      <w:r w:rsidR="00255611" w:rsidRPr="00740893">
        <w:rPr>
          <w:rFonts w:cs="Arial"/>
          <w:color w:val="000000"/>
        </w:rPr>
        <w:t xml:space="preserve"> </w:t>
      </w:r>
      <w:r w:rsidRPr="00740893">
        <w:rPr>
          <w:rFonts w:cs="Arial"/>
          <w:color w:val="000000"/>
        </w:rPr>
        <w:t>cartera</w:t>
      </w:r>
      <w:r w:rsidR="00255611" w:rsidRPr="00740893">
        <w:rPr>
          <w:rFonts w:cs="Arial"/>
          <w:color w:val="000000"/>
        </w:rPr>
        <w:t xml:space="preserve"> </w:t>
      </w:r>
      <w:r w:rsidR="00EB766B" w:rsidRPr="00740893">
        <w:rPr>
          <w:rFonts w:cs="Arial"/>
          <w:color w:val="000000"/>
        </w:rPr>
        <w:t xml:space="preserve"> total</w:t>
      </w:r>
      <w:r w:rsidRPr="00740893">
        <w:rPr>
          <w:rFonts w:cs="Arial"/>
          <w:color w:val="000000"/>
        </w:rPr>
        <w:t xml:space="preserve"> </w:t>
      </w:r>
      <w:r w:rsidR="00255611" w:rsidRPr="00740893">
        <w:rPr>
          <w:rFonts w:cs="Arial"/>
          <w:color w:val="000000"/>
        </w:rPr>
        <w:t xml:space="preserve"> </w:t>
      </w:r>
      <w:r w:rsidRPr="00740893">
        <w:rPr>
          <w:rFonts w:cs="Arial"/>
          <w:color w:val="000000"/>
        </w:rPr>
        <w:t>de los fideicomisos públicos vigentes a</w:t>
      </w:r>
      <w:r w:rsidR="00D40CCE" w:rsidRPr="00740893">
        <w:rPr>
          <w:rFonts w:cs="Arial"/>
          <w:color w:val="000000"/>
        </w:rPr>
        <w:t xml:space="preserve"> </w:t>
      </w:r>
      <w:r w:rsidR="002A43C9">
        <w:rPr>
          <w:rFonts w:cs="Arial"/>
          <w:color w:val="000000"/>
        </w:rPr>
        <w:t>diciembre</w:t>
      </w:r>
      <w:r w:rsidR="00A473EB">
        <w:rPr>
          <w:rFonts w:cs="Arial"/>
          <w:color w:val="000000"/>
        </w:rPr>
        <w:t xml:space="preserve"> </w:t>
      </w:r>
      <w:r w:rsidR="002C0C94" w:rsidRPr="00740893">
        <w:rPr>
          <w:rFonts w:cs="Arial"/>
          <w:color w:val="000000"/>
        </w:rPr>
        <w:t>2</w:t>
      </w:r>
      <w:r w:rsidR="00A058C9" w:rsidRPr="00740893">
        <w:rPr>
          <w:rFonts w:cs="Arial"/>
          <w:color w:val="000000"/>
        </w:rPr>
        <w:t>01</w:t>
      </w:r>
      <w:r w:rsidR="00FF5300">
        <w:rPr>
          <w:rFonts w:cs="Arial"/>
          <w:color w:val="000000"/>
        </w:rPr>
        <w:t>9</w:t>
      </w:r>
      <w:r w:rsidR="002C0C94" w:rsidRPr="00740893">
        <w:rPr>
          <w:rFonts w:cs="Arial"/>
          <w:color w:val="000000"/>
        </w:rPr>
        <w:t>, a</w:t>
      </w:r>
      <w:r w:rsidR="00F54C6D" w:rsidRPr="00740893">
        <w:rPr>
          <w:rFonts w:cs="Arial"/>
          <w:color w:val="000000"/>
        </w:rPr>
        <w:t>sciende</w:t>
      </w:r>
      <w:r w:rsidR="006B5103" w:rsidRPr="00740893">
        <w:rPr>
          <w:rFonts w:cs="Arial"/>
          <w:color w:val="000000"/>
        </w:rPr>
        <w:t xml:space="preserve"> </w:t>
      </w:r>
      <w:r w:rsidRPr="00740893">
        <w:rPr>
          <w:rFonts w:cs="Arial"/>
          <w:color w:val="000000"/>
        </w:rPr>
        <w:t>a</w:t>
      </w:r>
      <w:r w:rsidR="00255611" w:rsidRPr="00740893">
        <w:rPr>
          <w:rFonts w:cs="Arial"/>
          <w:color w:val="000000"/>
        </w:rPr>
        <w:t xml:space="preserve"> </w:t>
      </w:r>
      <w:r w:rsidR="00AC057B" w:rsidRPr="00740893">
        <w:rPr>
          <w:rFonts w:cs="Arial"/>
          <w:color w:val="000000"/>
        </w:rPr>
        <w:t>Q.</w:t>
      </w:r>
      <w:r w:rsidR="00781AF2" w:rsidRPr="00740893">
        <w:rPr>
          <w:rFonts w:cs="Arial"/>
          <w:color w:val="000000"/>
        </w:rPr>
        <w:t>1</w:t>
      </w:r>
      <w:proofErr w:type="gramStart"/>
      <w:r w:rsidR="00EF6EB5" w:rsidRPr="00740893">
        <w:rPr>
          <w:rFonts w:cs="Arial"/>
          <w:color w:val="000000"/>
        </w:rPr>
        <w:t>,</w:t>
      </w:r>
      <w:r w:rsidR="003843A0">
        <w:rPr>
          <w:rFonts w:cs="Arial"/>
          <w:color w:val="000000"/>
        </w:rPr>
        <w:t>311.0</w:t>
      </w:r>
      <w:proofErr w:type="gramEnd"/>
      <w:r w:rsidR="00255611" w:rsidRPr="00740893">
        <w:rPr>
          <w:rFonts w:cs="Arial"/>
          <w:color w:val="000000"/>
        </w:rPr>
        <w:t xml:space="preserve"> </w:t>
      </w:r>
      <w:r w:rsidR="00F54C6D" w:rsidRPr="00740893">
        <w:rPr>
          <w:rFonts w:cs="Arial"/>
          <w:color w:val="000000"/>
        </w:rPr>
        <w:t>millones</w:t>
      </w:r>
      <w:r w:rsidR="00764DAA" w:rsidRPr="00740893">
        <w:rPr>
          <w:rFonts w:cs="Arial"/>
          <w:color w:val="000000"/>
        </w:rPr>
        <w:t>,</w:t>
      </w:r>
      <w:r w:rsidRPr="00740893">
        <w:rPr>
          <w:rFonts w:cs="Arial"/>
          <w:color w:val="000000"/>
        </w:rPr>
        <w:t xml:space="preserve"> mientr</w:t>
      </w:r>
      <w:r w:rsidR="005C557D" w:rsidRPr="00740893">
        <w:rPr>
          <w:rFonts w:cs="Arial"/>
          <w:color w:val="000000"/>
        </w:rPr>
        <w:t xml:space="preserve">as que </w:t>
      </w:r>
      <w:r w:rsidR="0016435F" w:rsidRPr="00740893">
        <w:rPr>
          <w:rFonts w:cs="Arial"/>
          <w:color w:val="000000"/>
        </w:rPr>
        <w:t>en el mes</w:t>
      </w:r>
      <w:r w:rsidR="00D63467" w:rsidRPr="00740893">
        <w:rPr>
          <w:rFonts w:cs="Arial"/>
          <w:color w:val="000000"/>
        </w:rPr>
        <w:t xml:space="preserve"> </w:t>
      </w:r>
      <w:r w:rsidR="005C557D" w:rsidRPr="00740893">
        <w:rPr>
          <w:rFonts w:cs="Arial"/>
          <w:color w:val="000000"/>
        </w:rPr>
        <w:t>anterior</w:t>
      </w:r>
      <w:r w:rsidR="00C93803" w:rsidRPr="00740893">
        <w:rPr>
          <w:rFonts w:cs="Arial"/>
          <w:color w:val="000000"/>
        </w:rPr>
        <w:t xml:space="preserve"> </w:t>
      </w:r>
      <w:r w:rsidR="005C557D" w:rsidRPr="00740893">
        <w:rPr>
          <w:rFonts w:cs="Arial"/>
          <w:color w:val="000000"/>
        </w:rPr>
        <w:t>(</w:t>
      </w:r>
      <w:r w:rsidR="003843A0">
        <w:rPr>
          <w:rFonts w:cs="Arial"/>
          <w:color w:val="000000"/>
        </w:rPr>
        <w:t xml:space="preserve">noviembre </w:t>
      </w:r>
      <w:r w:rsidR="00A058C9" w:rsidRPr="00740893">
        <w:rPr>
          <w:rFonts w:cs="Arial"/>
          <w:color w:val="000000"/>
        </w:rPr>
        <w:t>201</w:t>
      </w:r>
      <w:r w:rsidR="00772CBE">
        <w:rPr>
          <w:rFonts w:cs="Arial"/>
          <w:color w:val="000000"/>
        </w:rPr>
        <w:t>9</w:t>
      </w:r>
      <w:r w:rsidRPr="00740893">
        <w:rPr>
          <w:rFonts w:cs="Arial"/>
          <w:color w:val="000000"/>
        </w:rPr>
        <w:t>)</w:t>
      </w:r>
      <w:r w:rsidR="00F54C6D" w:rsidRPr="00740893">
        <w:rPr>
          <w:rFonts w:cs="Arial"/>
          <w:color w:val="000000"/>
        </w:rPr>
        <w:t xml:space="preserve"> ascendió a </w:t>
      </w:r>
      <w:r w:rsidR="00AC057B" w:rsidRPr="00740893">
        <w:rPr>
          <w:rFonts w:cs="Arial"/>
          <w:color w:val="000000"/>
        </w:rPr>
        <w:t>Q.</w:t>
      </w:r>
      <w:r w:rsidR="00751F7A" w:rsidRPr="00740893">
        <w:rPr>
          <w:rFonts w:cs="Arial"/>
          <w:color w:val="000000"/>
        </w:rPr>
        <w:t>1,</w:t>
      </w:r>
      <w:r w:rsidR="008841C2">
        <w:rPr>
          <w:rFonts w:cs="Arial"/>
          <w:color w:val="000000"/>
        </w:rPr>
        <w:t>2</w:t>
      </w:r>
      <w:r w:rsidR="003843A0">
        <w:rPr>
          <w:rFonts w:cs="Arial"/>
          <w:color w:val="000000"/>
        </w:rPr>
        <w:t xml:space="preserve">40.8 </w:t>
      </w:r>
      <w:r w:rsidR="00F54C6D" w:rsidRPr="00740893">
        <w:rPr>
          <w:rFonts w:cs="Arial"/>
          <w:color w:val="000000"/>
        </w:rPr>
        <w:t>millones</w:t>
      </w:r>
      <w:r w:rsidR="00920AE8" w:rsidRPr="00740893">
        <w:rPr>
          <w:rFonts w:cs="Arial"/>
          <w:color w:val="000000"/>
        </w:rPr>
        <w:t>,</w:t>
      </w:r>
      <w:r w:rsidR="00F54C6D" w:rsidRPr="00740893">
        <w:rPr>
          <w:rFonts w:cs="Arial"/>
          <w:color w:val="000000"/>
        </w:rPr>
        <w:t xml:space="preserve"> </w:t>
      </w:r>
      <w:r w:rsidR="00F54C6D" w:rsidRPr="0039432B">
        <w:rPr>
          <w:rFonts w:cs="Arial"/>
          <w:color w:val="000000"/>
        </w:rPr>
        <w:t>reflejando</w:t>
      </w:r>
      <w:r w:rsidR="00FA0237" w:rsidRPr="0039432B">
        <w:rPr>
          <w:rFonts w:cs="Arial"/>
          <w:color w:val="000000"/>
        </w:rPr>
        <w:t xml:space="preserve"> </w:t>
      </w:r>
      <w:r w:rsidR="00436A7C" w:rsidRPr="0039432B">
        <w:rPr>
          <w:rFonts w:cs="Arial"/>
          <w:color w:val="000000"/>
        </w:rPr>
        <w:t>un</w:t>
      </w:r>
      <w:r w:rsidR="00E042FE">
        <w:rPr>
          <w:rFonts w:cs="Arial"/>
          <w:color w:val="000000"/>
        </w:rPr>
        <w:t xml:space="preserve"> </w:t>
      </w:r>
      <w:r w:rsidR="00742B37">
        <w:rPr>
          <w:rFonts w:cs="Arial"/>
          <w:color w:val="000000"/>
        </w:rPr>
        <w:t>incremento</w:t>
      </w:r>
      <w:r w:rsidR="000D7FDA">
        <w:rPr>
          <w:rFonts w:cs="Arial"/>
          <w:color w:val="000000"/>
        </w:rPr>
        <w:t xml:space="preserve"> </w:t>
      </w:r>
      <w:r w:rsidR="005F5B2A" w:rsidRPr="0039432B">
        <w:rPr>
          <w:rFonts w:cs="Arial"/>
          <w:color w:val="000000"/>
        </w:rPr>
        <w:t>net</w:t>
      </w:r>
      <w:r w:rsidR="00E042FE">
        <w:rPr>
          <w:rFonts w:cs="Arial"/>
          <w:color w:val="000000"/>
        </w:rPr>
        <w:t>o</w:t>
      </w:r>
      <w:r w:rsidR="00436A7C" w:rsidRPr="00343A69">
        <w:rPr>
          <w:rFonts w:cs="Arial"/>
          <w:color w:val="000000"/>
        </w:rPr>
        <w:t xml:space="preserve"> integrad</w:t>
      </w:r>
      <w:r w:rsidR="00E042FE">
        <w:rPr>
          <w:rFonts w:cs="Arial"/>
          <w:color w:val="000000"/>
        </w:rPr>
        <w:t>o</w:t>
      </w:r>
      <w:r w:rsidR="00EF3EA4" w:rsidRPr="00343A69">
        <w:rPr>
          <w:rFonts w:cs="Arial"/>
          <w:color w:val="000000"/>
        </w:rPr>
        <w:t xml:space="preserve"> </w:t>
      </w:r>
      <w:r w:rsidR="00080E27" w:rsidRPr="00343A69">
        <w:rPr>
          <w:rFonts w:cs="Arial"/>
          <w:color w:val="000000"/>
        </w:rPr>
        <w:t>así</w:t>
      </w:r>
      <w:r w:rsidR="00920AE8" w:rsidRPr="00343A69">
        <w:rPr>
          <w:rFonts w:cs="Arial"/>
          <w:color w:val="000000"/>
        </w:rPr>
        <w:t>:</w:t>
      </w:r>
      <w:r w:rsidR="00987940" w:rsidRPr="00343A69">
        <w:rPr>
          <w:rFonts w:cs="Arial"/>
          <w:color w:val="000000"/>
        </w:rPr>
        <w:t xml:space="preserve"> </w:t>
      </w:r>
    </w:p>
    <w:p w:rsidR="00B72168" w:rsidRPr="00343A69" w:rsidRDefault="00B72168" w:rsidP="006B5103">
      <w:pPr>
        <w:autoSpaceDE w:val="0"/>
        <w:autoSpaceDN w:val="0"/>
        <w:adjustRightInd w:val="0"/>
        <w:jc w:val="both"/>
        <w:rPr>
          <w:rFonts w:cs="Arial"/>
          <w:color w:val="000000" w:themeColor="text1"/>
          <w:sz w:val="20"/>
          <w:szCs w:val="20"/>
        </w:rPr>
      </w:pPr>
    </w:p>
    <w:p w:rsidR="001C06A0" w:rsidRPr="00343A69" w:rsidRDefault="001C06A0" w:rsidP="001C06A0">
      <w:pPr>
        <w:autoSpaceDE w:val="0"/>
        <w:autoSpaceDN w:val="0"/>
        <w:adjustRightInd w:val="0"/>
        <w:jc w:val="center"/>
        <w:rPr>
          <w:rFonts w:cs="Arial"/>
          <w:color w:val="000000" w:themeColor="text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3A69">
        <w:rPr>
          <w:rFonts w:cs="Arial"/>
          <w:color w:val="000000" w:themeColor="text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Cuadro No. </w:t>
      </w:r>
      <w:r w:rsidR="00DF20B3" w:rsidRPr="00343A69">
        <w:rPr>
          <w:rFonts w:cs="Arial"/>
          <w:color w:val="000000" w:themeColor="text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:rsidR="001C06A0" w:rsidRPr="00343A69" w:rsidRDefault="001C06A0" w:rsidP="00ED5628">
      <w:pPr>
        <w:autoSpaceDE w:val="0"/>
        <w:autoSpaceDN w:val="0"/>
        <w:adjustRightInd w:val="0"/>
        <w:ind w:firstLine="708"/>
        <w:jc w:val="center"/>
        <w:rPr>
          <w:rFonts w:cs="Arial"/>
          <w:b/>
          <w:color w:val="000000" w:themeColor="text1"/>
          <w:sz w:val="20"/>
          <w:szCs w:val="20"/>
        </w:rPr>
      </w:pPr>
      <w:r w:rsidRPr="00343A69">
        <w:rPr>
          <w:rFonts w:cs="Arial"/>
          <w:b/>
          <w:color w:val="000000" w:themeColor="text1"/>
          <w:sz w:val="20"/>
          <w:szCs w:val="20"/>
        </w:rPr>
        <w:t>Fideicomisos Públicos Vigentes</w:t>
      </w:r>
      <w:r w:rsidR="00FF0938" w:rsidRPr="00343A69">
        <w:rPr>
          <w:rFonts w:cs="Arial"/>
          <w:b/>
          <w:color w:val="000000" w:themeColor="text1"/>
          <w:sz w:val="20"/>
          <w:szCs w:val="20"/>
        </w:rPr>
        <w:tab/>
      </w:r>
      <w:r w:rsidR="00FF0938" w:rsidRPr="00343A69">
        <w:rPr>
          <w:rFonts w:cs="Arial"/>
          <w:b/>
          <w:color w:val="000000" w:themeColor="text1"/>
          <w:sz w:val="20"/>
          <w:szCs w:val="20"/>
        </w:rPr>
        <w:tab/>
      </w:r>
    </w:p>
    <w:p w:rsidR="0074615D" w:rsidRPr="00343A69" w:rsidRDefault="00D941FB" w:rsidP="001C06A0">
      <w:pPr>
        <w:autoSpaceDE w:val="0"/>
        <w:autoSpaceDN w:val="0"/>
        <w:adjustRightInd w:val="0"/>
        <w:jc w:val="center"/>
        <w:rPr>
          <w:rFonts w:cs="Arial"/>
          <w:b/>
          <w:color w:val="000000" w:themeColor="text1"/>
          <w:sz w:val="20"/>
          <w:szCs w:val="20"/>
        </w:rPr>
      </w:pPr>
      <w:r w:rsidRPr="00343A69">
        <w:rPr>
          <w:rFonts w:cs="Arial"/>
          <w:b/>
          <w:color w:val="000000" w:themeColor="text1"/>
          <w:sz w:val="20"/>
          <w:szCs w:val="20"/>
        </w:rPr>
        <w:t>Variación</w:t>
      </w:r>
      <w:r w:rsidR="001C06A0" w:rsidRPr="00343A69">
        <w:rPr>
          <w:rFonts w:cs="Arial"/>
          <w:b/>
          <w:color w:val="000000" w:themeColor="text1"/>
          <w:sz w:val="20"/>
          <w:szCs w:val="20"/>
        </w:rPr>
        <w:t xml:space="preserve"> de la Cartera </w:t>
      </w:r>
    </w:p>
    <w:p w:rsidR="00550CC5" w:rsidRPr="00EC2DD5" w:rsidRDefault="005F6014" w:rsidP="0030334C">
      <w:pPr>
        <w:autoSpaceDE w:val="0"/>
        <w:autoSpaceDN w:val="0"/>
        <w:adjustRightInd w:val="0"/>
        <w:jc w:val="center"/>
        <w:rPr>
          <w:rFonts w:cs="Arial"/>
          <w:b/>
          <w:color w:val="000000" w:themeColor="text1"/>
          <w:sz w:val="20"/>
          <w:szCs w:val="20"/>
        </w:rPr>
      </w:pPr>
      <w:r w:rsidRPr="00343A69">
        <w:rPr>
          <w:rFonts w:cs="Arial"/>
          <w:b/>
          <w:color w:val="000000" w:themeColor="text1"/>
          <w:sz w:val="20"/>
          <w:szCs w:val="20"/>
        </w:rPr>
        <w:t>Comparativo</w:t>
      </w:r>
      <w:r w:rsidR="00AE6957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1B28E3">
        <w:rPr>
          <w:rFonts w:cs="Arial"/>
          <w:b/>
          <w:color w:val="000000" w:themeColor="text1"/>
          <w:sz w:val="20"/>
          <w:szCs w:val="20"/>
        </w:rPr>
        <w:t>octubre</w:t>
      </w:r>
      <w:r w:rsidR="00AE6957">
        <w:rPr>
          <w:rFonts w:cs="Arial"/>
          <w:b/>
          <w:color w:val="000000" w:themeColor="text1"/>
          <w:sz w:val="20"/>
          <w:szCs w:val="20"/>
        </w:rPr>
        <w:t xml:space="preserve">-noviembre </w:t>
      </w:r>
      <w:r w:rsidR="00A66171">
        <w:rPr>
          <w:rFonts w:cs="Arial"/>
          <w:b/>
          <w:color w:val="000000" w:themeColor="text1"/>
          <w:sz w:val="20"/>
          <w:szCs w:val="20"/>
        </w:rPr>
        <w:t>2019</w:t>
      </w:r>
    </w:p>
    <w:p w:rsidR="00194FDC" w:rsidRDefault="00194FDC" w:rsidP="00194FDC">
      <w:pPr>
        <w:autoSpaceDE w:val="0"/>
        <w:autoSpaceDN w:val="0"/>
        <w:adjustRightInd w:val="0"/>
        <w:jc w:val="center"/>
        <w:rPr>
          <w:rFonts w:cs="Arial"/>
          <w:b/>
          <w:color w:val="000000" w:themeColor="text1"/>
          <w:sz w:val="20"/>
          <w:szCs w:val="20"/>
        </w:rPr>
      </w:pPr>
      <w:r w:rsidRPr="00EC2DD5">
        <w:rPr>
          <w:rFonts w:cs="Arial"/>
          <w:b/>
          <w:color w:val="000000" w:themeColor="text1"/>
          <w:sz w:val="20"/>
          <w:szCs w:val="20"/>
        </w:rPr>
        <w:t>-Millones de Quetzales-</w:t>
      </w:r>
    </w:p>
    <w:p w:rsidR="009705F9" w:rsidRDefault="009705F9" w:rsidP="00194FDC">
      <w:pPr>
        <w:autoSpaceDE w:val="0"/>
        <w:autoSpaceDN w:val="0"/>
        <w:adjustRightInd w:val="0"/>
        <w:jc w:val="center"/>
        <w:rPr>
          <w:rFonts w:cs="Arial"/>
          <w:b/>
          <w:color w:val="000000" w:themeColor="text1"/>
          <w:sz w:val="20"/>
          <w:szCs w:val="20"/>
        </w:rPr>
      </w:pPr>
    </w:p>
    <w:p w:rsidR="00596095" w:rsidRDefault="00297C56" w:rsidP="00194FDC">
      <w:pPr>
        <w:autoSpaceDE w:val="0"/>
        <w:autoSpaceDN w:val="0"/>
        <w:adjustRightInd w:val="0"/>
        <w:jc w:val="center"/>
        <w:rPr>
          <w:rFonts w:cs="Arial"/>
          <w:color w:val="000000" w:themeColor="text1"/>
        </w:rPr>
      </w:pPr>
      <w:r w:rsidRPr="00297C56">
        <w:rPr>
          <w:noProof/>
          <w:lang w:val="es-GT" w:eastAsia="es-GT"/>
        </w:rPr>
        <w:drawing>
          <wp:inline distT="0" distB="0" distL="0" distR="0" wp14:anchorId="79AEF680" wp14:editId="483390F9">
            <wp:extent cx="4959705" cy="1223712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821" cy="123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E0" w:rsidRDefault="009D36E0" w:rsidP="008F28F5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A333B1" w:rsidRDefault="001C06A0" w:rsidP="008F28F5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A2122E">
        <w:rPr>
          <w:rFonts w:cs="Arial"/>
          <w:color w:val="000000"/>
          <w:sz w:val="16"/>
          <w:szCs w:val="16"/>
        </w:rPr>
        <w:t>FUENTE: Estados financieros elaborados por los Fiduciarios.</w:t>
      </w:r>
    </w:p>
    <w:p w:rsidR="009D36E0" w:rsidRDefault="009D36E0" w:rsidP="008F28F5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490188" w:rsidRPr="008F660A" w:rsidRDefault="00456483" w:rsidP="009D0213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CC7F32">
        <w:rPr>
          <w:rFonts w:cs="Arial"/>
          <w:color w:val="000000"/>
        </w:rPr>
        <w:t>E</w:t>
      </w:r>
      <w:r w:rsidR="006F7A6E" w:rsidRPr="00CC7F32">
        <w:rPr>
          <w:rFonts w:cs="Arial"/>
          <w:color w:val="000000"/>
        </w:rPr>
        <w:t xml:space="preserve">l comportamiento de la cartera </w:t>
      </w:r>
      <w:r w:rsidRPr="00CC7F32">
        <w:rPr>
          <w:rFonts w:cs="Arial"/>
          <w:color w:val="000000"/>
        </w:rPr>
        <w:t xml:space="preserve">crediticia de los fideicomisos constituidos con recursos públicos ha sido decreciente </w:t>
      </w:r>
      <w:r w:rsidR="006F7A6E" w:rsidRPr="00CC7F32">
        <w:rPr>
          <w:rFonts w:cs="Arial"/>
          <w:color w:val="000000"/>
        </w:rPr>
        <w:t xml:space="preserve">en los últimos 6 años, </w:t>
      </w:r>
      <w:r w:rsidRPr="00CC7F32">
        <w:rPr>
          <w:rFonts w:cs="Arial"/>
          <w:color w:val="000000"/>
        </w:rPr>
        <w:t xml:space="preserve">marcándose una </w:t>
      </w:r>
      <w:r w:rsidR="0099741A" w:rsidRPr="00CC7F32">
        <w:rPr>
          <w:rFonts w:cs="Arial"/>
          <w:color w:val="000000"/>
        </w:rPr>
        <w:t xml:space="preserve">disminución </w:t>
      </w:r>
      <w:r w:rsidRPr="00CC7F32">
        <w:rPr>
          <w:rFonts w:cs="Arial"/>
          <w:color w:val="000000"/>
        </w:rPr>
        <w:t xml:space="preserve">sostenida </w:t>
      </w:r>
      <w:r w:rsidR="0099741A" w:rsidRPr="00CC7F32">
        <w:rPr>
          <w:rFonts w:cs="Arial"/>
          <w:color w:val="000000"/>
        </w:rPr>
        <w:t>a partir del año 201</w:t>
      </w:r>
      <w:r w:rsidR="007B658F" w:rsidRPr="00CC7F32">
        <w:rPr>
          <w:rFonts w:cs="Arial"/>
          <w:color w:val="000000"/>
        </w:rPr>
        <w:t>4</w:t>
      </w:r>
      <w:r w:rsidRPr="00CC7F32">
        <w:rPr>
          <w:rFonts w:cs="Arial"/>
          <w:color w:val="000000"/>
        </w:rPr>
        <w:t>.</w:t>
      </w:r>
      <w:r w:rsidR="0099741A" w:rsidRPr="00CC7F32">
        <w:rPr>
          <w:rFonts w:cs="Arial"/>
          <w:color w:val="000000"/>
        </w:rPr>
        <w:t xml:space="preserve"> </w:t>
      </w:r>
      <w:r w:rsidRPr="00CC7F32">
        <w:rPr>
          <w:rFonts w:cs="Arial"/>
          <w:color w:val="000000"/>
        </w:rPr>
        <w:t xml:space="preserve">Se refleja a su vez un deterioro en la calidad de dicha cartera, generándose un </w:t>
      </w:r>
      <w:r w:rsidRPr="00AB0602">
        <w:rPr>
          <w:rFonts w:cs="Arial"/>
          <w:color w:val="000000"/>
        </w:rPr>
        <w:t>incremento</w:t>
      </w:r>
      <w:r w:rsidRPr="00CC7F32">
        <w:rPr>
          <w:rFonts w:cs="Arial"/>
          <w:color w:val="000000"/>
        </w:rPr>
        <w:t xml:space="preserve"> de la cartera vencida, que pasó de un </w:t>
      </w:r>
      <w:r w:rsidR="005528E2" w:rsidRPr="00CC7F32">
        <w:rPr>
          <w:rFonts w:cs="Arial"/>
          <w:color w:val="000000"/>
        </w:rPr>
        <w:t>24</w:t>
      </w:r>
      <w:r w:rsidRPr="00CC7F32">
        <w:rPr>
          <w:rFonts w:cs="Arial"/>
          <w:color w:val="000000"/>
        </w:rPr>
        <w:t>% de la cartera total en 2012, a un</w:t>
      </w:r>
      <w:r w:rsidR="005528E2" w:rsidRPr="00CC7F32">
        <w:rPr>
          <w:rFonts w:cs="Arial"/>
          <w:color w:val="000000"/>
        </w:rPr>
        <w:t xml:space="preserve"> </w:t>
      </w:r>
      <w:r w:rsidR="007A050C">
        <w:rPr>
          <w:rFonts w:cs="Arial"/>
          <w:color w:val="000000"/>
        </w:rPr>
        <w:t>38</w:t>
      </w:r>
      <w:r w:rsidRPr="00CC7F32">
        <w:rPr>
          <w:rFonts w:cs="Arial"/>
          <w:color w:val="000000"/>
        </w:rPr>
        <w:t xml:space="preserve">% a </w:t>
      </w:r>
      <w:r w:rsidR="00137870">
        <w:rPr>
          <w:rFonts w:cs="Arial"/>
          <w:color w:val="000000"/>
        </w:rPr>
        <w:t>diciembre</w:t>
      </w:r>
      <w:r w:rsidR="008C7EAF" w:rsidRPr="008C7EAF">
        <w:rPr>
          <w:rFonts w:cs="Arial"/>
          <w:color w:val="000000"/>
        </w:rPr>
        <w:t xml:space="preserve"> </w:t>
      </w:r>
      <w:r w:rsidR="00717550" w:rsidRPr="008C7EAF">
        <w:rPr>
          <w:rFonts w:cs="Arial"/>
          <w:color w:val="000000"/>
        </w:rPr>
        <w:t>2019</w:t>
      </w:r>
      <w:r w:rsidR="008C7EAF">
        <w:rPr>
          <w:rFonts w:cs="Arial"/>
          <w:color w:val="000000"/>
        </w:rPr>
        <w:t>.</w:t>
      </w:r>
      <w:r w:rsidR="009705F9" w:rsidRPr="008C7EAF">
        <w:rPr>
          <w:rFonts w:cs="Arial"/>
          <w:color w:val="000000"/>
        </w:rPr>
        <w:t xml:space="preserve"> </w:t>
      </w:r>
      <w:r w:rsidRPr="008C7EAF">
        <w:rPr>
          <w:rFonts w:cs="Arial"/>
          <w:color w:val="000000"/>
        </w:rPr>
        <w:t xml:space="preserve">En contraste, la cartera vigente </w:t>
      </w:r>
      <w:r w:rsidR="007B658F" w:rsidRPr="008C7EAF">
        <w:rPr>
          <w:rFonts w:cs="Arial"/>
          <w:color w:val="000000"/>
        </w:rPr>
        <w:t xml:space="preserve">pasó de un </w:t>
      </w:r>
      <w:r w:rsidR="005528E2" w:rsidRPr="008C7EAF">
        <w:rPr>
          <w:rFonts w:cs="Arial"/>
          <w:color w:val="000000"/>
        </w:rPr>
        <w:t>76</w:t>
      </w:r>
      <w:r w:rsidR="007B658F" w:rsidRPr="008C7EAF">
        <w:rPr>
          <w:rFonts w:cs="Arial"/>
          <w:color w:val="000000"/>
        </w:rPr>
        <w:t xml:space="preserve">% en 2012, al </w:t>
      </w:r>
      <w:r w:rsidR="007A050C">
        <w:rPr>
          <w:rFonts w:cs="Arial"/>
          <w:color w:val="000000"/>
        </w:rPr>
        <w:t>62</w:t>
      </w:r>
      <w:r w:rsidR="007B658F" w:rsidRPr="008C7EAF">
        <w:rPr>
          <w:rFonts w:cs="Arial"/>
          <w:color w:val="000000"/>
        </w:rPr>
        <w:t>%</w:t>
      </w:r>
      <w:r w:rsidR="0051424E" w:rsidRPr="008C7EAF">
        <w:rPr>
          <w:rFonts w:cs="Arial"/>
          <w:color w:val="000000"/>
        </w:rPr>
        <w:t xml:space="preserve"> </w:t>
      </w:r>
      <w:r w:rsidR="00E14510" w:rsidRPr="008C7EAF">
        <w:rPr>
          <w:rFonts w:cs="Arial"/>
          <w:color w:val="000000"/>
        </w:rPr>
        <w:t xml:space="preserve">a </w:t>
      </w:r>
      <w:r w:rsidR="00DB3E14">
        <w:rPr>
          <w:rFonts w:cs="Arial"/>
          <w:color w:val="000000"/>
        </w:rPr>
        <w:t>diciembre</w:t>
      </w:r>
      <w:r w:rsidR="00EE52D8">
        <w:rPr>
          <w:rFonts w:cs="Arial"/>
          <w:color w:val="000000"/>
        </w:rPr>
        <w:t xml:space="preserve"> </w:t>
      </w:r>
      <w:r w:rsidR="00CC7F32" w:rsidRPr="008C7EAF">
        <w:rPr>
          <w:rFonts w:cs="Arial"/>
          <w:color w:val="000000"/>
        </w:rPr>
        <w:t>de 201</w:t>
      </w:r>
      <w:r w:rsidR="00B31002" w:rsidRPr="008C7EAF">
        <w:rPr>
          <w:rFonts w:cs="Arial"/>
          <w:color w:val="000000"/>
        </w:rPr>
        <w:t>9</w:t>
      </w:r>
      <w:r w:rsidR="007B658F" w:rsidRPr="008C7EAF">
        <w:rPr>
          <w:rFonts w:cs="Arial"/>
          <w:color w:val="000000"/>
        </w:rPr>
        <w:t>.</w:t>
      </w:r>
    </w:p>
    <w:p w:rsidR="007B658F" w:rsidRDefault="007B658F" w:rsidP="007D747D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1C178A" w:rsidRPr="001C178A" w:rsidRDefault="007B658F" w:rsidP="007D747D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5528E2">
        <w:rPr>
          <w:rFonts w:cs="Arial"/>
          <w:color w:val="000000"/>
        </w:rPr>
        <w:t>Este</w:t>
      </w:r>
      <w:r w:rsidR="00490188" w:rsidRPr="005528E2">
        <w:rPr>
          <w:rFonts w:cs="Arial"/>
          <w:color w:val="000000"/>
        </w:rPr>
        <w:t xml:space="preserve"> </w:t>
      </w:r>
      <w:r w:rsidRPr="005528E2">
        <w:rPr>
          <w:rFonts w:cs="Arial"/>
          <w:color w:val="000000"/>
        </w:rPr>
        <w:t xml:space="preserve">comportamiento </w:t>
      </w:r>
      <w:r w:rsidR="00490188" w:rsidRPr="005528E2">
        <w:rPr>
          <w:rFonts w:cs="Arial"/>
          <w:color w:val="000000"/>
        </w:rPr>
        <w:t xml:space="preserve">obedece </w:t>
      </w:r>
      <w:r w:rsidRPr="005528E2">
        <w:rPr>
          <w:rFonts w:cs="Arial"/>
          <w:color w:val="000000"/>
        </w:rPr>
        <w:t xml:space="preserve">principalmente a la extinción y liquidación de varios fideicomisos destinados al financiamiento reembolsable de actividades productivas, asimismo ciertos </w:t>
      </w:r>
      <w:r w:rsidR="0099741A" w:rsidRPr="005528E2">
        <w:rPr>
          <w:rFonts w:cs="Arial"/>
          <w:color w:val="000000"/>
        </w:rPr>
        <w:t xml:space="preserve">fideicomisos </w:t>
      </w:r>
      <w:r w:rsidRPr="005528E2">
        <w:rPr>
          <w:rFonts w:cs="Arial"/>
          <w:color w:val="000000"/>
        </w:rPr>
        <w:t xml:space="preserve">con destinos muy específicos, cuyo plazo contractual está próximo a vencer, se encuentran sin </w:t>
      </w:r>
      <w:r w:rsidR="0099741A" w:rsidRPr="005528E2">
        <w:rPr>
          <w:rFonts w:cs="Arial"/>
          <w:color w:val="000000"/>
        </w:rPr>
        <w:t>movimiento</w:t>
      </w:r>
      <w:r w:rsidRPr="005528E2">
        <w:rPr>
          <w:rFonts w:cs="Arial"/>
          <w:color w:val="000000"/>
        </w:rPr>
        <w:t xml:space="preserve"> o han reducido la concesión de créditos.</w:t>
      </w:r>
    </w:p>
    <w:p w:rsidR="001020FE" w:rsidRDefault="001020FE" w:rsidP="007D747D">
      <w:pPr>
        <w:autoSpaceDE w:val="0"/>
        <w:autoSpaceDN w:val="0"/>
        <w:adjustRightInd w:val="0"/>
        <w:jc w:val="both"/>
        <w:rPr>
          <w:rFonts w:cs="Arial"/>
          <w:color w:val="000000" w:themeColor="text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42A94" w:rsidRPr="00BD50CC" w:rsidRDefault="005528E2" w:rsidP="00442A94">
      <w:pPr>
        <w:autoSpaceDE w:val="0"/>
        <w:autoSpaceDN w:val="0"/>
        <w:adjustRightInd w:val="0"/>
        <w:jc w:val="center"/>
        <w:rPr>
          <w:rFonts w:cs="Arial"/>
          <w:b/>
          <w:color w:val="000000" w:themeColor="text1"/>
          <w:sz w:val="20"/>
          <w:szCs w:val="20"/>
        </w:rPr>
      </w:pPr>
      <w:r w:rsidRPr="00BD50CC">
        <w:rPr>
          <w:rFonts w:cs="Arial"/>
          <w:b/>
          <w:color w:val="000000" w:themeColor="text1"/>
          <w:sz w:val="20"/>
          <w:szCs w:val="20"/>
        </w:rPr>
        <w:t>Gráfica</w:t>
      </w:r>
      <w:r w:rsidR="006B56E8">
        <w:rPr>
          <w:rFonts w:cs="Arial"/>
          <w:b/>
          <w:color w:val="000000" w:themeColor="text1"/>
          <w:sz w:val="20"/>
          <w:szCs w:val="20"/>
        </w:rPr>
        <w:t xml:space="preserve"> 4</w:t>
      </w:r>
    </w:p>
    <w:p w:rsidR="00442A94" w:rsidRPr="00BD50CC" w:rsidRDefault="00442A94" w:rsidP="00442A94">
      <w:pPr>
        <w:autoSpaceDE w:val="0"/>
        <w:autoSpaceDN w:val="0"/>
        <w:adjustRightInd w:val="0"/>
        <w:jc w:val="center"/>
        <w:rPr>
          <w:rFonts w:cs="Arial"/>
          <w:b/>
          <w:color w:val="000000" w:themeColor="text1"/>
          <w:sz w:val="20"/>
          <w:szCs w:val="20"/>
        </w:rPr>
      </w:pPr>
      <w:r w:rsidRPr="00BD50CC">
        <w:rPr>
          <w:rFonts w:cs="Arial"/>
          <w:b/>
          <w:color w:val="000000" w:themeColor="text1"/>
          <w:sz w:val="20"/>
          <w:szCs w:val="20"/>
        </w:rPr>
        <w:t>Fideicomisos Públicos Vigentes</w:t>
      </w:r>
    </w:p>
    <w:p w:rsidR="00442A94" w:rsidRPr="00BD50CC" w:rsidRDefault="00442A94" w:rsidP="00442A94">
      <w:pPr>
        <w:autoSpaceDE w:val="0"/>
        <w:autoSpaceDN w:val="0"/>
        <w:adjustRightInd w:val="0"/>
        <w:jc w:val="center"/>
        <w:rPr>
          <w:rFonts w:cs="Arial"/>
          <w:b/>
          <w:color w:val="000000" w:themeColor="text1"/>
          <w:sz w:val="20"/>
          <w:szCs w:val="20"/>
          <w:vertAlign w:val="superscript"/>
        </w:rPr>
      </w:pPr>
      <w:r w:rsidRPr="00BD50CC">
        <w:rPr>
          <w:rFonts w:cs="Arial"/>
          <w:b/>
          <w:color w:val="000000" w:themeColor="text1"/>
          <w:sz w:val="20"/>
          <w:szCs w:val="20"/>
        </w:rPr>
        <w:t>Comportamiento de la Cartera de Fideicomisos Reembolsables y Mixtos</w:t>
      </w:r>
    </w:p>
    <w:p w:rsidR="00442A94" w:rsidRPr="00BD50CC" w:rsidRDefault="00C313F3" w:rsidP="00442A94">
      <w:pPr>
        <w:autoSpaceDE w:val="0"/>
        <w:autoSpaceDN w:val="0"/>
        <w:adjustRightInd w:val="0"/>
        <w:jc w:val="center"/>
        <w:rPr>
          <w:rFonts w:cs="Arial"/>
          <w:b/>
          <w:color w:val="000000" w:themeColor="text1"/>
          <w:sz w:val="20"/>
          <w:szCs w:val="20"/>
        </w:rPr>
      </w:pPr>
      <w:r w:rsidRPr="00BD50CC">
        <w:rPr>
          <w:rFonts w:cs="Arial"/>
          <w:b/>
          <w:color w:val="000000" w:themeColor="text1"/>
          <w:sz w:val="20"/>
          <w:szCs w:val="20"/>
        </w:rPr>
        <w:t>De los años 201</w:t>
      </w:r>
      <w:r w:rsidR="00A17079">
        <w:rPr>
          <w:rFonts w:cs="Arial"/>
          <w:b/>
          <w:color w:val="000000" w:themeColor="text1"/>
          <w:sz w:val="20"/>
          <w:szCs w:val="20"/>
        </w:rPr>
        <w:t>3</w:t>
      </w:r>
      <w:r w:rsidRPr="00BD50CC">
        <w:rPr>
          <w:rFonts w:cs="Arial"/>
          <w:b/>
          <w:color w:val="000000" w:themeColor="text1"/>
          <w:sz w:val="20"/>
          <w:szCs w:val="20"/>
        </w:rPr>
        <w:t xml:space="preserve"> a</w:t>
      </w:r>
      <w:r w:rsidR="00CE00BB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7A050C">
        <w:rPr>
          <w:rFonts w:cs="Arial"/>
          <w:b/>
          <w:color w:val="000000" w:themeColor="text1"/>
          <w:sz w:val="20"/>
          <w:szCs w:val="20"/>
        </w:rPr>
        <w:t>diciembre</w:t>
      </w:r>
      <w:r w:rsidR="00F72372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8A7869">
        <w:rPr>
          <w:rFonts w:cs="Arial"/>
          <w:b/>
          <w:color w:val="000000" w:themeColor="text1"/>
          <w:sz w:val="20"/>
          <w:szCs w:val="20"/>
        </w:rPr>
        <w:t>201</w:t>
      </w:r>
      <w:r w:rsidR="004574FB">
        <w:rPr>
          <w:rFonts w:cs="Arial"/>
          <w:b/>
          <w:color w:val="000000" w:themeColor="text1"/>
          <w:sz w:val="20"/>
          <w:szCs w:val="20"/>
        </w:rPr>
        <w:t>9</w:t>
      </w:r>
    </w:p>
    <w:p w:rsidR="00442A94" w:rsidRPr="00BD50CC" w:rsidRDefault="00442A94" w:rsidP="00442A94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</w:rPr>
      </w:pPr>
      <w:r w:rsidRPr="00BD50CC">
        <w:rPr>
          <w:rFonts w:cs="Arial"/>
          <w:b/>
          <w:color w:val="000000" w:themeColor="text1"/>
          <w:sz w:val="20"/>
          <w:szCs w:val="20"/>
        </w:rPr>
        <w:t>-Miles de Quetzales</w:t>
      </w:r>
      <w:r w:rsidRPr="00BD50CC">
        <w:rPr>
          <w:rFonts w:cs="Arial"/>
          <w:b/>
          <w:sz w:val="20"/>
          <w:szCs w:val="20"/>
        </w:rPr>
        <w:t>-</w:t>
      </w:r>
    </w:p>
    <w:p w:rsidR="00817908" w:rsidRDefault="00817908" w:rsidP="006D44CD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8C7EAF" w:rsidRDefault="00947864" w:rsidP="006D44CD">
      <w:pPr>
        <w:autoSpaceDE w:val="0"/>
        <w:autoSpaceDN w:val="0"/>
        <w:adjustRightInd w:val="0"/>
        <w:jc w:val="center"/>
        <w:rPr>
          <w:color w:val="000000" w:themeColor="text1"/>
        </w:rPr>
      </w:pPr>
      <w:r>
        <w:rPr>
          <w:noProof/>
          <w:lang w:val="es-GT" w:eastAsia="es-GT"/>
        </w:rPr>
        <w:drawing>
          <wp:inline distT="0" distB="0" distL="0" distR="0" wp14:anchorId="442F0DF1" wp14:editId="36EC1717">
            <wp:extent cx="4403750" cy="1367942"/>
            <wp:effectExtent l="0" t="0" r="15875" b="2286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17908" w:rsidRDefault="00817908" w:rsidP="00BD50CC">
      <w:pPr>
        <w:autoSpaceDE w:val="0"/>
        <w:autoSpaceDN w:val="0"/>
        <w:adjustRightInd w:val="0"/>
        <w:rPr>
          <w:rFonts w:cs="Arial"/>
          <w:color w:val="000000" w:themeColor="text1"/>
          <w:sz w:val="16"/>
          <w:szCs w:val="16"/>
        </w:rPr>
      </w:pPr>
    </w:p>
    <w:p w:rsidR="00BD50CC" w:rsidRDefault="00D64A45" w:rsidP="00BD50CC">
      <w:pPr>
        <w:autoSpaceDE w:val="0"/>
        <w:autoSpaceDN w:val="0"/>
        <w:adjustRightInd w:val="0"/>
        <w:rPr>
          <w:rFonts w:cs="Arial"/>
          <w:color w:val="FF0000"/>
          <w:sz w:val="16"/>
          <w:szCs w:val="16"/>
        </w:rPr>
      </w:pPr>
      <w:r w:rsidRPr="00921A04">
        <w:rPr>
          <w:rFonts w:cs="Arial"/>
          <w:color w:val="000000" w:themeColor="text1"/>
          <w:sz w:val="16"/>
          <w:szCs w:val="16"/>
        </w:rPr>
        <w:t>FUENTE: Estados financieros elaborados por los Fiduciarios</w:t>
      </w:r>
      <w:r w:rsidR="00F769BB" w:rsidRPr="00921A04">
        <w:rPr>
          <w:rFonts w:cs="Arial"/>
          <w:color w:val="000000" w:themeColor="text1"/>
          <w:sz w:val="16"/>
          <w:szCs w:val="16"/>
        </w:rPr>
        <w:t xml:space="preserve"> al 31 de diciembre de cada año</w:t>
      </w:r>
      <w:r w:rsidR="00902593">
        <w:rPr>
          <w:rFonts w:cs="Arial"/>
          <w:color w:val="000000" w:themeColor="text1"/>
          <w:sz w:val="16"/>
          <w:szCs w:val="16"/>
        </w:rPr>
        <w:t>.</w:t>
      </w:r>
      <w:r w:rsidR="00F769BB" w:rsidRPr="008162AE">
        <w:rPr>
          <w:rFonts w:cs="Arial"/>
          <w:color w:val="FF0000"/>
          <w:sz w:val="16"/>
          <w:szCs w:val="16"/>
        </w:rPr>
        <w:t xml:space="preserve"> </w:t>
      </w:r>
    </w:p>
    <w:p w:rsidR="00817908" w:rsidRPr="00BD50CC" w:rsidRDefault="00817908" w:rsidP="00BD50CC">
      <w:pPr>
        <w:autoSpaceDE w:val="0"/>
        <w:autoSpaceDN w:val="0"/>
        <w:adjustRightInd w:val="0"/>
        <w:rPr>
          <w:rFonts w:cs="Arial"/>
          <w:color w:val="000000" w:themeColor="text1"/>
          <w:sz w:val="16"/>
          <w:szCs w:val="16"/>
        </w:rPr>
      </w:pPr>
    </w:p>
    <w:p w:rsidR="00155094" w:rsidRPr="00C84E9C" w:rsidRDefault="00155094" w:rsidP="00B614A2">
      <w:pPr>
        <w:pStyle w:val="Prrafodelista"/>
        <w:numPr>
          <w:ilvl w:val="0"/>
          <w:numId w:val="3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ind w:left="142" w:hanging="142"/>
        <w:jc w:val="both"/>
        <w:rPr>
          <w:rFonts w:cs="Arial"/>
          <w:b/>
        </w:rPr>
      </w:pPr>
      <w:r w:rsidRPr="00C84E9C">
        <w:rPr>
          <w:rFonts w:cs="Arial"/>
          <w:b/>
        </w:rPr>
        <w:t>Honorarios</w:t>
      </w:r>
    </w:p>
    <w:p w:rsidR="00155094" w:rsidRDefault="00155094" w:rsidP="00A806AC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A333B1" w:rsidRDefault="00D26EEA" w:rsidP="00A806AC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E639E2">
        <w:rPr>
          <w:rFonts w:cs="Arial"/>
          <w:color w:val="000000"/>
        </w:rPr>
        <w:t xml:space="preserve">Los </w:t>
      </w:r>
      <w:r w:rsidR="00F42416" w:rsidRPr="00E639E2">
        <w:rPr>
          <w:rFonts w:cs="Arial"/>
          <w:color w:val="000000"/>
        </w:rPr>
        <w:t xml:space="preserve"> honorarios pagados a los f</w:t>
      </w:r>
      <w:r w:rsidR="00BE4879" w:rsidRPr="00E639E2">
        <w:rPr>
          <w:rFonts w:cs="Arial"/>
          <w:color w:val="000000"/>
        </w:rPr>
        <w:t>i</w:t>
      </w:r>
      <w:r w:rsidR="00615385" w:rsidRPr="00E639E2">
        <w:rPr>
          <w:rFonts w:cs="Arial"/>
          <w:color w:val="000000"/>
        </w:rPr>
        <w:t xml:space="preserve">duciarios </w:t>
      </w:r>
      <w:r w:rsidR="00BE4879" w:rsidRPr="00E639E2">
        <w:rPr>
          <w:rFonts w:cs="Arial"/>
          <w:color w:val="000000"/>
        </w:rPr>
        <w:t>de los fideicomisos públicos vigentes mostraron una tendencia creciente</w:t>
      </w:r>
      <w:r w:rsidR="00CF6973" w:rsidRPr="00E639E2">
        <w:rPr>
          <w:rFonts w:cs="Arial"/>
          <w:color w:val="000000"/>
        </w:rPr>
        <w:t xml:space="preserve"> </w:t>
      </w:r>
      <w:r w:rsidR="00F42416" w:rsidRPr="00E639E2">
        <w:rPr>
          <w:rFonts w:cs="Arial"/>
          <w:color w:val="000000"/>
        </w:rPr>
        <w:t xml:space="preserve">desde el año </w:t>
      </w:r>
      <w:r w:rsidR="00CF6973" w:rsidRPr="00E639E2">
        <w:rPr>
          <w:rFonts w:cs="Arial"/>
          <w:color w:val="000000"/>
        </w:rPr>
        <w:t xml:space="preserve">2007 </w:t>
      </w:r>
      <w:r w:rsidR="00940040" w:rsidRPr="00E639E2">
        <w:rPr>
          <w:rFonts w:cs="Arial"/>
          <w:color w:val="000000"/>
        </w:rPr>
        <w:t>al</w:t>
      </w:r>
      <w:r w:rsidR="00186DA4" w:rsidRPr="00E639E2">
        <w:rPr>
          <w:rFonts w:cs="Arial"/>
          <w:color w:val="000000"/>
        </w:rPr>
        <w:t xml:space="preserve"> 2011</w:t>
      </w:r>
      <w:r w:rsidR="007258B6" w:rsidRPr="00E639E2">
        <w:rPr>
          <w:rFonts w:cs="Arial"/>
          <w:color w:val="000000"/>
        </w:rPr>
        <w:t>,</w:t>
      </w:r>
      <w:r w:rsidR="00186DA4" w:rsidRPr="00E639E2">
        <w:rPr>
          <w:rFonts w:cs="Arial"/>
          <w:color w:val="000000"/>
        </w:rPr>
        <w:t xml:space="preserve"> </w:t>
      </w:r>
      <w:r w:rsidR="00F42416" w:rsidRPr="00E639E2">
        <w:rPr>
          <w:rFonts w:cs="Arial"/>
          <w:color w:val="000000"/>
        </w:rPr>
        <w:t xml:space="preserve">consistente con el incremento de los recursos administrados a través de dicha figura. </w:t>
      </w:r>
      <w:r w:rsidR="00C572B1" w:rsidRPr="00E639E2">
        <w:rPr>
          <w:rFonts w:cs="Arial"/>
          <w:color w:val="000000"/>
        </w:rPr>
        <w:t>Del</w:t>
      </w:r>
      <w:r w:rsidR="00F42416" w:rsidRPr="00E639E2">
        <w:rPr>
          <w:rFonts w:cs="Arial"/>
          <w:color w:val="000000"/>
        </w:rPr>
        <w:t xml:space="preserve"> </w:t>
      </w:r>
      <w:r w:rsidR="00C572B1" w:rsidRPr="00E639E2">
        <w:rPr>
          <w:rFonts w:cs="Arial"/>
          <w:color w:val="000000"/>
        </w:rPr>
        <w:t xml:space="preserve">ejercicio </w:t>
      </w:r>
      <w:r w:rsidR="00F42416" w:rsidRPr="00E639E2">
        <w:rPr>
          <w:rFonts w:cs="Arial"/>
          <w:color w:val="000000"/>
        </w:rPr>
        <w:t>fiscal</w:t>
      </w:r>
      <w:r w:rsidR="00186DA4" w:rsidRPr="00E639E2">
        <w:rPr>
          <w:rFonts w:cs="Arial"/>
          <w:color w:val="000000"/>
        </w:rPr>
        <w:t xml:space="preserve"> 2012</w:t>
      </w:r>
      <w:r w:rsidR="00C572B1" w:rsidRPr="00E639E2">
        <w:rPr>
          <w:rFonts w:cs="Arial"/>
          <w:color w:val="000000"/>
        </w:rPr>
        <w:t xml:space="preserve"> en adelante los pagos de honorarios </w:t>
      </w:r>
      <w:r w:rsidR="00186DA4" w:rsidRPr="00E639E2">
        <w:rPr>
          <w:rFonts w:cs="Arial"/>
          <w:color w:val="000000"/>
        </w:rPr>
        <w:t xml:space="preserve">muestran una disminución </w:t>
      </w:r>
      <w:r w:rsidR="00494D39" w:rsidRPr="00E639E2">
        <w:rPr>
          <w:rFonts w:cs="Arial"/>
          <w:color w:val="000000"/>
        </w:rPr>
        <w:t xml:space="preserve">que se explica por el menor número de </w:t>
      </w:r>
      <w:r w:rsidR="00186DA4" w:rsidRPr="00E639E2">
        <w:rPr>
          <w:rFonts w:cs="Arial"/>
          <w:color w:val="000000"/>
        </w:rPr>
        <w:t>fideicomisos activos y una menor ejecución presupuestaria</w:t>
      </w:r>
      <w:r w:rsidR="00494D39" w:rsidRPr="00E639E2">
        <w:rPr>
          <w:rFonts w:cs="Arial"/>
          <w:color w:val="000000"/>
        </w:rPr>
        <w:t xml:space="preserve"> a través de esta modalidad</w:t>
      </w:r>
      <w:r w:rsidR="00445591" w:rsidRPr="00E639E2">
        <w:rPr>
          <w:rFonts w:cs="Arial"/>
          <w:color w:val="000000"/>
        </w:rPr>
        <w:t>.</w:t>
      </w:r>
      <w:r w:rsidR="006D6D41" w:rsidRPr="00E639E2">
        <w:rPr>
          <w:rFonts w:cs="Arial"/>
          <w:color w:val="000000"/>
        </w:rPr>
        <w:t xml:space="preserve"> </w:t>
      </w:r>
      <w:r w:rsidR="00E95ACA">
        <w:rPr>
          <w:rFonts w:cs="Arial"/>
          <w:color w:val="000000"/>
        </w:rPr>
        <w:t>A</w:t>
      </w:r>
      <w:r w:rsidR="004A2385">
        <w:rPr>
          <w:rFonts w:cs="Arial"/>
          <w:color w:val="000000"/>
        </w:rPr>
        <w:t xml:space="preserve"> </w:t>
      </w:r>
      <w:r w:rsidR="000A40C5">
        <w:rPr>
          <w:rFonts w:cs="Arial"/>
          <w:color w:val="000000"/>
        </w:rPr>
        <w:t>diciembre</w:t>
      </w:r>
      <w:r w:rsidR="0027040C">
        <w:rPr>
          <w:rFonts w:cs="Arial"/>
          <w:color w:val="000000"/>
        </w:rPr>
        <w:t xml:space="preserve"> </w:t>
      </w:r>
      <w:r w:rsidR="00E95ACA">
        <w:rPr>
          <w:rFonts w:cs="Arial"/>
          <w:color w:val="000000"/>
        </w:rPr>
        <w:t>de</w:t>
      </w:r>
      <w:r w:rsidR="00F922BA">
        <w:rPr>
          <w:rFonts w:cs="Arial"/>
          <w:color w:val="000000"/>
        </w:rPr>
        <w:t xml:space="preserve"> </w:t>
      </w:r>
      <w:r w:rsidR="009269F2" w:rsidRPr="00E639E2">
        <w:rPr>
          <w:rFonts w:cs="Arial"/>
          <w:color w:val="000000"/>
        </w:rPr>
        <w:t>201</w:t>
      </w:r>
      <w:r w:rsidR="00014ABE">
        <w:rPr>
          <w:rFonts w:cs="Arial"/>
          <w:color w:val="000000"/>
        </w:rPr>
        <w:t>9</w:t>
      </w:r>
      <w:r w:rsidR="00494D39" w:rsidRPr="00E639E2">
        <w:rPr>
          <w:rFonts w:cs="Arial"/>
          <w:color w:val="000000"/>
        </w:rPr>
        <w:t xml:space="preserve"> se r</w:t>
      </w:r>
      <w:r w:rsidR="00FB2786">
        <w:rPr>
          <w:rFonts w:cs="Arial"/>
          <w:color w:val="000000"/>
        </w:rPr>
        <w:t>eportan 19</w:t>
      </w:r>
      <w:r w:rsidR="006D6D41" w:rsidRPr="00E639E2">
        <w:rPr>
          <w:rFonts w:cs="Arial"/>
          <w:color w:val="000000"/>
        </w:rPr>
        <w:t xml:space="preserve"> </w:t>
      </w:r>
      <w:r w:rsidR="00494D39" w:rsidRPr="00E639E2">
        <w:rPr>
          <w:rFonts w:cs="Arial"/>
          <w:color w:val="000000"/>
        </w:rPr>
        <w:t xml:space="preserve">fideicomisos </w:t>
      </w:r>
      <w:r w:rsidR="00CE2F42" w:rsidRPr="00E639E2">
        <w:rPr>
          <w:rFonts w:cs="Arial"/>
          <w:color w:val="000000"/>
        </w:rPr>
        <w:t xml:space="preserve">vigentes </w:t>
      </w:r>
      <w:r w:rsidR="00CF6973" w:rsidRPr="00E639E2">
        <w:rPr>
          <w:rFonts w:cs="Arial"/>
          <w:color w:val="000000"/>
        </w:rPr>
        <w:t>de entidades de la Admini</w:t>
      </w:r>
      <w:r w:rsidR="00CF6973" w:rsidRPr="00DD0406">
        <w:rPr>
          <w:rFonts w:cs="Arial"/>
          <w:color w:val="000000"/>
          <w:u w:val="single"/>
        </w:rPr>
        <w:t>s</w:t>
      </w:r>
      <w:r w:rsidR="00CF6973" w:rsidRPr="00E639E2">
        <w:rPr>
          <w:rFonts w:cs="Arial"/>
          <w:color w:val="000000"/>
        </w:rPr>
        <w:t xml:space="preserve">tración Central y </w:t>
      </w:r>
      <w:r w:rsidR="00AE152C">
        <w:rPr>
          <w:rFonts w:cs="Arial"/>
          <w:color w:val="000000"/>
        </w:rPr>
        <w:t>6</w:t>
      </w:r>
      <w:r w:rsidR="0009715A">
        <w:rPr>
          <w:rFonts w:cs="Arial"/>
          <w:color w:val="000000"/>
        </w:rPr>
        <w:t xml:space="preserve"> </w:t>
      </w:r>
      <w:r w:rsidR="00494D39" w:rsidRPr="00E639E2">
        <w:rPr>
          <w:rFonts w:cs="Arial"/>
          <w:color w:val="000000"/>
        </w:rPr>
        <w:t xml:space="preserve">de </w:t>
      </w:r>
      <w:r w:rsidR="00CF6973" w:rsidRPr="00E639E2">
        <w:rPr>
          <w:rFonts w:cs="Arial"/>
          <w:color w:val="000000"/>
        </w:rPr>
        <w:t xml:space="preserve">entidades Descentralizadas y Autónomas, </w:t>
      </w:r>
      <w:r w:rsidR="0041788B" w:rsidRPr="00E639E2">
        <w:rPr>
          <w:rFonts w:cs="Arial"/>
          <w:color w:val="000000"/>
        </w:rPr>
        <w:t xml:space="preserve">cuyos honorarios por administración se muestran en el </w:t>
      </w:r>
      <w:r w:rsidR="00CF6973" w:rsidRPr="00E639E2">
        <w:rPr>
          <w:rFonts w:cs="Arial"/>
          <w:color w:val="000000"/>
        </w:rPr>
        <w:t>cuadro siguiente:</w:t>
      </w:r>
    </w:p>
    <w:p w:rsidR="00567D3A" w:rsidRPr="00E639E2" w:rsidRDefault="00567D3A" w:rsidP="00A806AC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615385" w:rsidRPr="0039432B" w:rsidRDefault="00615385" w:rsidP="00615385">
      <w:pPr>
        <w:autoSpaceDE w:val="0"/>
        <w:autoSpaceDN w:val="0"/>
        <w:adjustRightInd w:val="0"/>
        <w:jc w:val="center"/>
        <w:rPr>
          <w:rFonts w:cs="Arial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432B">
        <w:rPr>
          <w:rFonts w:cs="Arial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Cuadro No. </w:t>
      </w:r>
      <w:r w:rsidR="001C06A0" w:rsidRPr="0039432B">
        <w:rPr>
          <w:rFonts w:cs="Arial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F10B71" w:rsidRPr="0039432B" w:rsidRDefault="00F10B71" w:rsidP="00F10B71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</w:rPr>
      </w:pPr>
      <w:r w:rsidRPr="0039432B">
        <w:rPr>
          <w:rFonts w:cs="Arial"/>
          <w:b/>
          <w:sz w:val="20"/>
          <w:szCs w:val="20"/>
        </w:rPr>
        <w:t>Fideicomisos Públicos Vigentes</w:t>
      </w:r>
      <w:r w:rsidR="00B425C9" w:rsidRPr="0039432B">
        <w:rPr>
          <w:rFonts w:cs="Arial"/>
          <w:b/>
          <w:sz w:val="20"/>
          <w:szCs w:val="20"/>
        </w:rPr>
        <w:t xml:space="preserve"> </w:t>
      </w:r>
    </w:p>
    <w:p w:rsidR="00615385" w:rsidRPr="0039432B" w:rsidRDefault="00615385" w:rsidP="00615385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</w:rPr>
      </w:pPr>
      <w:r w:rsidRPr="0039432B">
        <w:rPr>
          <w:rFonts w:cs="Arial"/>
          <w:b/>
          <w:sz w:val="20"/>
          <w:szCs w:val="20"/>
        </w:rPr>
        <w:t>Honorarios Pagados a los Fiduciarios</w:t>
      </w:r>
    </w:p>
    <w:p w:rsidR="00870729" w:rsidRPr="0039432B" w:rsidRDefault="00870729" w:rsidP="00870729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</w:rPr>
      </w:pPr>
      <w:r w:rsidRPr="0039432B">
        <w:rPr>
          <w:rFonts w:cs="Arial"/>
          <w:b/>
          <w:sz w:val="20"/>
          <w:szCs w:val="20"/>
        </w:rPr>
        <w:t>Período 20</w:t>
      </w:r>
      <w:r w:rsidR="00014ABE" w:rsidRPr="0039432B">
        <w:rPr>
          <w:rFonts w:cs="Arial"/>
          <w:b/>
          <w:sz w:val="20"/>
          <w:szCs w:val="20"/>
        </w:rPr>
        <w:t>13</w:t>
      </w:r>
      <w:r w:rsidRPr="0039432B">
        <w:rPr>
          <w:rFonts w:cs="Arial"/>
          <w:b/>
          <w:sz w:val="20"/>
          <w:szCs w:val="20"/>
        </w:rPr>
        <w:t xml:space="preserve"> a</w:t>
      </w:r>
      <w:r w:rsidR="00DB3B8B" w:rsidRPr="0039432B">
        <w:rPr>
          <w:rFonts w:cs="Arial"/>
          <w:b/>
          <w:sz w:val="20"/>
          <w:szCs w:val="20"/>
        </w:rPr>
        <w:t xml:space="preserve"> </w:t>
      </w:r>
      <w:r w:rsidR="003D6CF8">
        <w:rPr>
          <w:rFonts w:cs="Arial"/>
          <w:b/>
          <w:sz w:val="20"/>
          <w:szCs w:val="20"/>
        </w:rPr>
        <w:t>diciembre</w:t>
      </w:r>
      <w:r w:rsidR="00363A52">
        <w:rPr>
          <w:rFonts w:cs="Arial"/>
          <w:b/>
          <w:sz w:val="20"/>
          <w:szCs w:val="20"/>
        </w:rPr>
        <w:t xml:space="preserve"> </w:t>
      </w:r>
      <w:r w:rsidR="00C65830">
        <w:rPr>
          <w:rFonts w:cs="Arial"/>
          <w:b/>
          <w:sz w:val="20"/>
          <w:szCs w:val="20"/>
        </w:rPr>
        <w:t>2019</w:t>
      </w:r>
    </w:p>
    <w:p w:rsidR="0085042F" w:rsidRDefault="00C11D0C" w:rsidP="000C193C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</w:rPr>
      </w:pPr>
      <w:r w:rsidRPr="0039432B">
        <w:rPr>
          <w:rFonts w:cs="Arial"/>
          <w:b/>
          <w:sz w:val="20"/>
          <w:szCs w:val="20"/>
        </w:rPr>
        <w:t>-Millones de Quetzales-</w:t>
      </w:r>
    </w:p>
    <w:p w:rsidR="00363A52" w:rsidRPr="0039432B" w:rsidRDefault="00363A52" w:rsidP="000C193C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</w:rPr>
      </w:pPr>
    </w:p>
    <w:p w:rsidR="00495279" w:rsidRPr="0039432B" w:rsidRDefault="008511FB" w:rsidP="000C193C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</w:rPr>
      </w:pPr>
      <w:r w:rsidRPr="008511FB">
        <w:rPr>
          <w:noProof/>
          <w:lang w:val="es-GT" w:eastAsia="es-GT"/>
        </w:rPr>
        <w:drawing>
          <wp:inline distT="0" distB="0" distL="0" distR="0" wp14:anchorId="67B7B1DD" wp14:editId="0D2F4F78">
            <wp:extent cx="6156960" cy="1699489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69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7DC" w:rsidRPr="0039432B" w:rsidRDefault="00C217DC" w:rsidP="002E100D">
      <w:pPr>
        <w:tabs>
          <w:tab w:val="left" w:pos="7080"/>
        </w:tabs>
        <w:autoSpaceDE w:val="0"/>
        <w:autoSpaceDN w:val="0"/>
        <w:adjustRightInd w:val="0"/>
        <w:jc w:val="center"/>
        <w:rPr>
          <w:rFonts w:cs="Arial"/>
          <w:b/>
          <w:sz w:val="20"/>
          <w:szCs w:val="20"/>
        </w:rPr>
      </w:pPr>
    </w:p>
    <w:p w:rsidR="00206227" w:rsidRPr="0039432B" w:rsidRDefault="00206227" w:rsidP="007C50BC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p w:rsidR="007C50BC" w:rsidRPr="0039432B" w:rsidRDefault="006D787A" w:rsidP="007C50BC">
      <w:pPr>
        <w:autoSpaceDE w:val="0"/>
        <w:autoSpaceDN w:val="0"/>
        <w:adjustRightInd w:val="0"/>
        <w:rPr>
          <w:rFonts w:cs="Arial"/>
          <w:color w:val="FF0000"/>
          <w:sz w:val="16"/>
          <w:szCs w:val="16"/>
        </w:rPr>
      </w:pPr>
      <w:r w:rsidRPr="0039432B">
        <w:rPr>
          <w:rFonts w:cs="Arial"/>
          <w:color w:val="000000" w:themeColor="text1"/>
          <w:sz w:val="16"/>
          <w:szCs w:val="16"/>
        </w:rPr>
        <w:t>*</w:t>
      </w:r>
      <w:r w:rsidR="007C50BC" w:rsidRPr="0039432B">
        <w:rPr>
          <w:rFonts w:cs="Arial"/>
          <w:color w:val="000000" w:themeColor="text1"/>
          <w:sz w:val="16"/>
          <w:szCs w:val="16"/>
        </w:rPr>
        <w:t xml:space="preserve">Corresponde al total de </w:t>
      </w:r>
      <w:r w:rsidR="007C50BC" w:rsidRPr="007A0B59">
        <w:rPr>
          <w:rFonts w:cs="Arial"/>
          <w:color w:val="000000" w:themeColor="text1"/>
          <w:sz w:val="16"/>
          <w:szCs w:val="16"/>
        </w:rPr>
        <w:t xml:space="preserve">fideicomisos </w:t>
      </w:r>
      <w:r w:rsidR="00D35494" w:rsidRPr="007A0B59">
        <w:rPr>
          <w:rFonts w:cs="Arial"/>
          <w:color w:val="000000" w:themeColor="text1"/>
          <w:sz w:val="16"/>
          <w:szCs w:val="16"/>
        </w:rPr>
        <w:t>v</w:t>
      </w:r>
      <w:r w:rsidR="007C50BC" w:rsidRPr="007A0B59">
        <w:rPr>
          <w:rFonts w:cs="Arial"/>
          <w:color w:val="000000" w:themeColor="text1"/>
          <w:sz w:val="16"/>
          <w:szCs w:val="16"/>
        </w:rPr>
        <w:t xml:space="preserve">igentes </w:t>
      </w:r>
      <w:r w:rsidR="00D35494" w:rsidRPr="007A0B59">
        <w:rPr>
          <w:rFonts w:cs="Arial"/>
          <w:color w:val="000000" w:themeColor="text1"/>
          <w:sz w:val="16"/>
          <w:szCs w:val="16"/>
        </w:rPr>
        <w:t>registrados</w:t>
      </w:r>
      <w:r w:rsidR="00D35494" w:rsidRPr="007A0B59">
        <w:rPr>
          <w:rFonts w:cs="Arial"/>
          <w:color w:val="FF0000"/>
          <w:sz w:val="16"/>
          <w:szCs w:val="16"/>
        </w:rPr>
        <w:t>,</w:t>
      </w:r>
      <w:r w:rsidR="00D35494" w:rsidRPr="007A0B59">
        <w:rPr>
          <w:rFonts w:cs="Arial"/>
          <w:color w:val="000000" w:themeColor="text1"/>
          <w:sz w:val="16"/>
          <w:szCs w:val="16"/>
        </w:rPr>
        <w:t xml:space="preserve"> </w:t>
      </w:r>
      <w:r w:rsidR="007C50BC" w:rsidRPr="007A0B59">
        <w:rPr>
          <w:rFonts w:cs="Arial"/>
          <w:color w:val="000000" w:themeColor="text1"/>
          <w:sz w:val="16"/>
          <w:szCs w:val="16"/>
        </w:rPr>
        <w:t>al 31</w:t>
      </w:r>
      <w:r w:rsidR="007C50BC" w:rsidRPr="0039432B">
        <w:rPr>
          <w:rFonts w:cs="Arial"/>
          <w:color w:val="000000" w:themeColor="text1"/>
          <w:sz w:val="16"/>
          <w:szCs w:val="16"/>
        </w:rPr>
        <w:t xml:space="preserve"> de diciembre de cada</w:t>
      </w:r>
      <w:r w:rsidR="008162AE" w:rsidRPr="0039432B">
        <w:rPr>
          <w:rFonts w:cs="Arial"/>
          <w:color w:val="000000" w:themeColor="text1"/>
          <w:sz w:val="16"/>
          <w:szCs w:val="16"/>
        </w:rPr>
        <w:t xml:space="preserve"> año.</w:t>
      </w:r>
      <w:r w:rsidR="007C50BC" w:rsidRPr="0039432B">
        <w:rPr>
          <w:rFonts w:cs="Arial"/>
          <w:color w:val="000000" w:themeColor="text1"/>
          <w:sz w:val="16"/>
          <w:szCs w:val="16"/>
        </w:rPr>
        <w:t xml:space="preserve"> </w:t>
      </w:r>
    </w:p>
    <w:p w:rsidR="00615385" w:rsidRPr="0039432B" w:rsidRDefault="00615385" w:rsidP="0028275F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39432B">
        <w:rPr>
          <w:rFonts w:cs="Arial"/>
          <w:color w:val="000000"/>
          <w:sz w:val="16"/>
          <w:szCs w:val="16"/>
        </w:rPr>
        <w:t>FUENTE: Estados financieros elaborados por los Fiduciarios.</w:t>
      </w:r>
    </w:p>
    <w:p w:rsidR="007532A4" w:rsidRPr="0039432B" w:rsidRDefault="007532A4" w:rsidP="0028275F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p w:rsidR="009A5C0F" w:rsidRPr="005B2EB2" w:rsidRDefault="00CF6973" w:rsidP="008D682C">
      <w:pPr>
        <w:jc w:val="both"/>
        <w:rPr>
          <w:rFonts w:cs="Arial"/>
          <w:color w:val="000000" w:themeColor="text1"/>
        </w:rPr>
      </w:pPr>
      <w:r w:rsidRPr="005B2EB2">
        <w:rPr>
          <w:rFonts w:cs="Arial"/>
          <w:color w:val="000000" w:themeColor="text1"/>
        </w:rPr>
        <w:t xml:space="preserve">Cabe indicar que los honorarios pactados varían en cada fideicomiso, dependiendo de las finalidades, objetivos y actividades a realizar por los Fiduciarios, estableciéndose honorarios fijos </w:t>
      </w:r>
      <w:r w:rsidR="00376B16" w:rsidRPr="005B2EB2">
        <w:rPr>
          <w:rFonts w:cs="Arial"/>
          <w:color w:val="000000" w:themeColor="text1"/>
        </w:rPr>
        <w:t>o</w:t>
      </w:r>
      <w:r w:rsidRPr="005B2EB2">
        <w:rPr>
          <w:rFonts w:cs="Arial"/>
          <w:color w:val="000000" w:themeColor="text1"/>
        </w:rPr>
        <w:t xml:space="preserve"> variables dependiendo de la ejecución de los fideicomisos y aportes recibidos durante el año correspondiente.</w:t>
      </w:r>
    </w:p>
    <w:p w:rsidR="00B80BC9" w:rsidRPr="00E639E2" w:rsidRDefault="00B80BC9" w:rsidP="008D682C">
      <w:pPr>
        <w:jc w:val="both"/>
        <w:rPr>
          <w:rFonts w:cs="Arial"/>
          <w:color w:val="000000"/>
        </w:rPr>
      </w:pPr>
    </w:p>
    <w:p w:rsidR="00C84E9C" w:rsidRDefault="009A5C0F" w:rsidP="004621C7">
      <w:pPr>
        <w:pStyle w:val="Default"/>
        <w:jc w:val="both"/>
        <w:rPr>
          <w:color w:val="000000" w:themeColor="text1"/>
          <w:sz w:val="22"/>
          <w:szCs w:val="22"/>
          <w:lang w:val="es-ES"/>
        </w:rPr>
      </w:pPr>
      <w:r w:rsidRPr="00E639E2">
        <w:rPr>
          <w:sz w:val="22"/>
          <w:szCs w:val="22"/>
          <w:lang w:val="es-ES"/>
        </w:rPr>
        <w:t xml:space="preserve">El </w:t>
      </w:r>
      <w:r w:rsidRPr="00E639E2">
        <w:rPr>
          <w:color w:val="000000" w:themeColor="text1"/>
          <w:sz w:val="22"/>
          <w:szCs w:val="22"/>
          <w:lang w:val="es-ES"/>
        </w:rPr>
        <w:t xml:space="preserve">menor pago de honorarios que se observa en el ejercicio fiscal 2012 </w:t>
      </w:r>
      <w:r w:rsidR="00CE2F42" w:rsidRPr="00E639E2">
        <w:rPr>
          <w:color w:val="000000" w:themeColor="text1"/>
          <w:sz w:val="22"/>
          <w:szCs w:val="22"/>
          <w:lang w:val="es-ES"/>
        </w:rPr>
        <w:t xml:space="preserve">y su tendencia decreciente </w:t>
      </w:r>
      <w:r w:rsidR="001012BE" w:rsidRPr="00E639E2">
        <w:rPr>
          <w:color w:val="000000" w:themeColor="text1"/>
          <w:sz w:val="22"/>
          <w:szCs w:val="22"/>
          <w:lang w:val="es-ES"/>
        </w:rPr>
        <w:t xml:space="preserve">a partir de </w:t>
      </w:r>
      <w:r w:rsidR="001012BE" w:rsidRPr="00C84E9C">
        <w:rPr>
          <w:color w:val="000000" w:themeColor="text1"/>
          <w:sz w:val="22"/>
          <w:szCs w:val="22"/>
          <w:lang w:val="es-ES"/>
        </w:rPr>
        <w:t>entonces</w:t>
      </w:r>
      <w:r w:rsidR="00CE2F42" w:rsidRPr="00C84E9C">
        <w:rPr>
          <w:color w:val="000000" w:themeColor="text1"/>
          <w:sz w:val="22"/>
          <w:szCs w:val="22"/>
          <w:lang w:val="es-ES"/>
        </w:rPr>
        <w:t xml:space="preserve"> </w:t>
      </w:r>
      <w:r w:rsidRPr="00C84E9C">
        <w:rPr>
          <w:color w:val="000000" w:themeColor="text1"/>
          <w:sz w:val="22"/>
          <w:szCs w:val="22"/>
          <w:lang w:val="es-ES"/>
        </w:rPr>
        <w:t>está explicado por un menor porcentaje del presupuesto público que se ha ejecutado a través de la modalidad del fideicomiso</w:t>
      </w:r>
      <w:r w:rsidR="00E33C80" w:rsidRPr="00C84E9C">
        <w:rPr>
          <w:color w:val="000000" w:themeColor="text1"/>
          <w:sz w:val="22"/>
          <w:szCs w:val="22"/>
          <w:lang w:val="es-ES"/>
        </w:rPr>
        <w:t>,</w:t>
      </w:r>
      <w:r w:rsidR="001012BE" w:rsidRPr="00C84E9C">
        <w:rPr>
          <w:color w:val="000000" w:themeColor="text1"/>
          <w:sz w:val="22"/>
          <w:szCs w:val="22"/>
          <w:lang w:val="es-ES"/>
        </w:rPr>
        <w:t xml:space="preserve"> </w:t>
      </w:r>
      <w:r w:rsidR="00376B16" w:rsidRPr="00C84E9C">
        <w:rPr>
          <w:color w:val="000000" w:themeColor="text1"/>
          <w:sz w:val="22"/>
          <w:szCs w:val="22"/>
          <w:lang w:val="es-ES"/>
        </w:rPr>
        <w:t xml:space="preserve">el cual </w:t>
      </w:r>
      <w:r w:rsidR="008163E3" w:rsidRPr="00C84E9C">
        <w:rPr>
          <w:color w:val="000000" w:themeColor="text1"/>
          <w:sz w:val="22"/>
          <w:szCs w:val="22"/>
          <w:lang w:val="es-ES"/>
        </w:rPr>
        <w:t xml:space="preserve">al 31 de diciembre de </w:t>
      </w:r>
      <w:r w:rsidR="008163E3" w:rsidRPr="00C46531">
        <w:rPr>
          <w:color w:val="000000" w:themeColor="text1"/>
          <w:sz w:val="22"/>
          <w:szCs w:val="22"/>
          <w:lang w:val="es-ES"/>
        </w:rPr>
        <w:t xml:space="preserve">2011 ascendió a </w:t>
      </w:r>
      <w:r w:rsidR="009009B9" w:rsidRPr="00C46531">
        <w:rPr>
          <w:color w:val="000000" w:themeColor="text1"/>
          <w:sz w:val="22"/>
          <w:szCs w:val="22"/>
          <w:lang w:val="es-ES"/>
        </w:rPr>
        <w:t>6</w:t>
      </w:r>
      <w:r w:rsidR="0000313A" w:rsidRPr="00C46531">
        <w:rPr>
          <w:color w:val="000000" w:themeColor="text1"/>
          <w:sz w:val="22"/>
          <w:szCs w:val="22"/>
          <w:lang w:val="es-ES"/>
        </w:rPr>
        <w:t>.2%</w:t>
      </w:r>
      <w:r w:rsidR="00376B16" w:rsidRPr="00C46531">
        <w:rPr>
          <w:color w:val="000000" w:themeColor="text1"/>
          <w:sz w:val="22"/>
          <w:szCs w:val="22"/>
          <w:lang w:val="es-ES"/>
        </w:rPr>
        <w:t>;</w:t>
      </w:r>
      <w:r w:rsidR="0000313A" w:rsidRPr="00C46531">
        <w:rPr>
          <w:color w:val="000000" w:themeColor="text1"/>
          <w:sz w:val="22"/>
          <w:szCs w:val="22"/>
          <w:lang w:val="es-ES"/>
        </w:rPr>
        <w:t xml:space="preserve"> </w:t>
      </w:r>
      <w:r w:rsidR="00626752" w:rsidRPr="00C46531">
        <w:rPr>
          <w:color w:val="000000" w:themeColor="text1"/>
          <w:sz w:val="22"/>
          <w:szCs w:val="22"/>
          <w:lang w:val="es-ES"/>
        </w:rPr>
        <w:t>3.4%</w:t>
      </w:r>
      <w:r w:rsidR="001012BE" w:rsidRPr="00C46531">
        <w:rPr>
          <w:color w:val="000000" w:themeColor="text1"/>
          <w:sz w:val="22"/>
          <w:szCs w:val="22"/>
          <w:lang w:val="es-ES"/>
        </w:rPr>
        <w:t xml:space="preserve"> en 2012</w:t>
      </w:r>
      <w:r w:rsidR="00376B16" w:rsidRPr="00C46531">
        <w:rPr>
          <w:color w:val="000000" w:themeColor="text1"/>
          <w:sz w:val="22"/>
          <w:szCs w:val="22"/>
          <w:lang w:val="es-ES"/>
        </w:rPr>
        <w:t>;</w:t>
      </w:r>
      <w:r w:rsidR="00626752" w:rsidRPr="00C46531">
        <w:rPr>
          <w:color w:val="000000" w:themeColor="text1"/>
          <w:sz w:val="22"/>
          <w:szCs w:val="22"/>
          <w:lang w:val="es-ES"/>
        </w:rPr>
        <w:t xml:space="preserve"> </w:t>
      </w:r>
      <w:r w:rsidR="000E4B53" w:rsidRPr="00C46531">
        <w:rPr>
          <w:color w:val="000000" w:themeColor="text1"/>
          <w:sz w:val="22"/>
          <w:szCs w:val="22"/>
          <w:lang w:val="es-ES"/>
        </w:rPr>
        <w:t>4.6</w:t>
      </w:r>
      <w:r w:rsidR="007C1A00" w:rsidRPr="00C46531">
        <w:rPr>
          <w:color w:val="000000" w:themeColor="text1"/>
          <w:sz w:val="22"/>
          <w:szCs w:val="22"/>
          <w:lang w:val="es-ES"/>
        </w:rPr>
        <w:t>%</w:t>
      </w:r>
      <w:r w:rsidR="001012BE" w:rsidRPr="00C46531">
        <w:rPr>
          <w:color w:val="000000" w:themeColor="text1"/>
          <w:sz w:val="22"/>
          <w:szCs w:val="22"/>
          <w:lang w:val="es-ES"/>
        </w:rPr>
        <w:t xml:space="preserve"> en 2013</w:t>
      </w:r>
      <w:r w:rsidR="00376B16" w:rsidRPr="00C46531">
        <w:rPr>
          <w:color w:val="000000" w:themeColor="text1"/>
          <w:sz w:val="22"/>
          <w:szCs w:val="22"/>
          <w:lang w:val="es-ES"/>
        </w:rPr>
        <w:t>;</w:t>
      </w:r>
      <w:r w:rsidR="001012BE" w:rsidRPr="00C46531">
        <w:rPr>
          <w:color w:val="000000" w:themeColor="text1"/>
          <w:sz w:val="22"/>
          <w:szCs w:val="22"/>
          <w:lang w:val="es-ES"/>
        </w:rPr>
        <w:t xml:space="preserve"> </w:t>
      </w:r>
      <w:r w:rsidR="008437DC" w:rsidRPr="00C46531">
        <w:rPr>
          <w:color w:val="000000" w:themeColor="text1"/>
          <w:sz w:val="22"/>
          <w:szCs w:val="22"/>
          <w:lang w:val="es-ES"/>
        </w:rPr>
        <w:t>4</w:t>
      </w:r>
      <w:r w:rsidR="00C23B12" w:rsidRPr="00C46531">
        <w:rPr>
          <w:color w:val="000000" w:themeColor="text1"/>
          <w:sz w:val="22"/>
          <w:szCs w:val="22"/>
          <w:lang w:val="es-ES"/>
        </w:rPr>
        <w:t>.</w:t>
      </w:r>
      <w:r w:rsidR="00DA4DE3" w:rsidRPr="00C46531">
        <w:rPr>
          <w:color w:val="000000" w:themeColor="text1"/>
          <w:sz w:val="22"/>
          <w:szCs w:val="22"/>
          <w:lang w:val="es-ES"/>
        </w:rPr>
        <w:t>9</w:t>
      </w:r>
      <w:r w:rsidR="0022249E" w:rsidRPr="00C46531">
        <w:rPr>
          <w:color w:val="000000" w:themeColor="text1"/>
          <w:sz w:val="22"/>
          <w:szCs w:val="22"/>
          <w:lang w:val="es-ES"/>
        </w:rPr>
        <w:t>%</w:t>
      </w:r>
      <w:r w:rsidR="001012BE" w:rsidRPr="00C46531">
        <w:rPr>
          <w:color w:val="000000" w:themeColor="text1"/>
          <w:sz w:val="22"/>
          <w:szCs w:val="22"/>
          <w:lang w:val="es-ES"/>
        </w:rPr>
        <w:t xml:space="preserve"> en 2014</w:t>
      </w:r>
      <w:r w:rsidR="00155094" w:rsidRPr="00C46531">
        <w:rPr>
          <w:color w:val="000000" w:themeColor="text1"/>
          <w:sz w:val="22"/>
          <w:szCs w:val="22"/>
          <w:lang w:val="es-ES"/>
        </w:rPr>
        <w:t>;</w:t>
      </w:r>
      <w:r w:rsidR="001012BE" w:rsidRPr="00C46531">
        <w:rPr>
          <w:color w:val="000000" w:themeColor="text1"/>
          <w:sz w:val="22"/>
          <w:szCs w:val="22"/>
          <w:lang w:val="es-ES"/>
        </w:rPr>
        <w:t xml:space="preserve"> </w:t>
      </w:r>
      <w:r w:rsidR="00E639E2" w:rsidRPr="00C46531">
        <w:rPr>
          <w:color w:val="000000" w:themeColor="text1"/>
          <w:sz w:val="22"/>
          <w:szCs w:val="22"/>
          <w:lang w:val="es-ES"/>
        </w:rPr>
        <w:t>en</w:t>
      </w:r>
      <w:r w:rsidR="0039330B" w:rsidRPr="00C46531">
        <w:rPr>
          <w:color w:val="000000" w:themeColor="text1"/>
          <w:sz w:val="22"/>
          <w:szCs w:val="22"/>
          <w:lang w:val="es-ES"/>
        </w:rPr>
        <w:t xml:space="preserve"> 2015</w:t>
      </w:r>
      <w:r w:rsidR="00376B16" w:rsidRPr="00C46531">
        <w:rPr>
          <w:color w:val="000000" w:themeColor="text1"/>
          <w:sz w:val="22"/>
          <w:szCs w:val="22"/>
          <w:lang w:val="es-ES"/>
        </w:rPr>
        <w:t>,</w:t>
      </w:r>
      <w:r w:rsidR="0039330B" w:rsidRPr="00C46531">
        <w:rPr>
          <w:color w:val="000000" w:themeColor="text1"/>
          <w:sz w:val="22"/>
          <w:szCs w:val="22"/>
          <w:lang w:val="es-ES"/>
        </w:rPr>
        <w:t xml:space="preserve"> un</w:t>
      </w:r>
      <w:r w:rsidR="003F60A5" w:rsidRPr="00C46531">
        <w:rPr>
          <w:color w:val="000000" w:themeColor="text1"/>
          <w:sz w:val="22"/>
          <w:szCs w:val="22"/>
          <w:lang w:val="es-ES"/>
        </w:rPr>
        <w:t xml:space="preserve"> </w:t>
      </w:r>
      <w:r w:rsidR="0039330B" w:rsidRPr="00C46531">
        <w:rPr>
          <w:color w:val="000000" w:themeColor="text1"/>
          <w:sz w:val="22"/>
          <w:szCs w:val="22"/>
          <w:lang w:val="es-ES"/>
        </w:rPr>
        <w:t>3.1%</w:t>
      </w:r>
      <w:r w:rsidR="00155094" w:rsidRPr="00C46531">
        <w:rPr>
          <w:color w:val="000000" w:themeColor="text1"/>
          <w:sz w:val="22"/>
          <w:szCs w:val="22"/>
          <w:lang w:val="es-ES"/>
        </w:rPr>
        <w:t>;</w:t>
      </w:r>
      <w:r w:rsidR="00E639E2" w:rsidRPr="00C46531">
        <w:rPr>
          <w:color w:val="000000" w:themeColor="text1"/>
          <w:sz w:val="22"/>
          <w:szCs w:val="22"/>
          <w:lang w:val="es-ES"/>
        </w:rPr>
        <w:t xml:space="preserve"> al </w:t>
      </w:r>
      <w:r w:rsidR="000D5B66" w:rsidRPr="00C46531">
        <w:rPr>
          <w:color w:val="000000" w:themeColor="text1"/>
          <w:sz w:val="22"/>
          <w:szCs w:val="22"/>
          <w:lang w:val="es-ES"/>
        </w:rPr>
        <w:t xml:space="preserve">2016 </w:t>
      </w:r>
      <w:r w:rsidR="00690BB2" w:rsidRPr="00C46531">
        <w:rPr>
          <w:color w:val="000000" w:themeColor="text1"/>
          <w:sz w:val="22"/>
          <w:szCs w:val="22"/>
          <w:lang w:val="es-ES"/>
        </w:rPr>
        <w:t>un 1.98%</w:t>
      </w:r>
      <w:r w:rsidR="00F769BB" w:rsidRPr="00C46531">
        <w:rPr>
          <w:color w:val="000000" w:themeColor="text1"/>
          <w:sz w:val="22"/>
          <w:szCs w:val="22"/>
          <w:lang w:val="es-ES"/>
        </w:rPr>
        <w:t>;</w:t>
      </w:r>
      <w:r w:rsidR="00F4547D" w:rsidRPr="00C46531">
        <w:rPr>
          <w:color w:val="000000" w:themeColor="text1"/>
          <w:sz w:val="22"/>
          <w:szCs w:val="22"/>
          <w:lang w:val="es-ES"/>
        </w:rPr>
        <w:t xml:space="preserve"> </w:t>
      </w:r>
      <w:r w:rsidR="00F769BB" w:rsidRPr="00C46531">
        <w:rPr>
          <w:color w:val="000000" w:themeColor="text1"/>
          <w:sz w:val="22"/>
          <w:szCs w:val="22"/>
          <w:lang w:val="es-ES"/>
        </w:rPr>
        <w:t xml:space="preserve">1.2% en </w:t>
      </w:r>
      <w:r w:rsidR="005B2EB2" w:rsidRPr="00C46531">
        <w:rPr>
          <w:color w:val="000000" w:themeColor="text1"/>
          <w:sz w:val="22"/>
          <w:szCs w:val="22"/>
          <w:lang w:val="es-ES"/>
        </w:rPr>
        <w:t xml:space="preserve"> 2017</w:t>
      </w:r>
      <w:r w:rsidR="00F769BB" w:rsidRPr="00C46531">
        <w:rPr>
          <w:color w:val="000000" w:themeColor="text1"/>
          <w:sz w:val="22"/>
          <w:szCs w:val="22"/>
          <w:lang w:val="es-ES"/>
        </w:rPr>
        <w:t xml:space="preserve">; </w:t>
      </w:r>
      <w:r w:rsidR="005D74A6">
        <w:rPr>
          <w:color w:val="000000" w:themeColor="text1"/>
          <w:sz w:val="22"/>
          <w:szCs w:val="22"/>
          <w:lang w:val="es-ES"/>
        </w:rPr>
        <w:t xml:space="preserve">al </w:t>
      </w:r>
      <w:r w:rsidR="005B2EB2" w:rsidRPr="00C46531">
        <w:rPr>
          <w:color w:val="000000" w:themeColor="text1"/>
          <w:sz w:val="22"/>
          <w:szCs w:val="22"/>
          <w:lang w:val="es-ES"/>
        </w:rPr>
        <w:t>2018</w:t>
      </w:r>
      <w:r w:rsidR="005D74A6">
        <w:rPr>
          <w:color w:val="000000" w:themeColor="text1"/>
          <w:sz w:val="22"/>
          <w:szCs w:val="22"/>
          <w:lang w:val="es-ES"/>
        </w:rPr>
        <w:t xml:space="preserve"> un 1</w:t>
      </w:r>
      <w:r w:rsidR="00F75DD6" w:rsidRPr="00052353">
        <w:rPr>
          <w:color w:val="000000" w:themeColor="text1"/>
          <w:sz w:val="22"/>
          <w:szCs w:val="22"/>
          <w:lang w:val="es-ES"/>
        </w:rPr>
        <w:t>.</w:t>
      </w:r>
      <w:r w:rsidR="003073A9" w:rsidRPr="00052353">
        <w:rPr>
          <w:color w:val="000000" w:themeColor="text1"/>
          <w:sz w:val="22"/>
          <w:szCs w:val="22"/>
          <w:lang w:val="es-ES"/>
        </w:rPr>
        <w:t>3</w:t>
      </w:r>
      <w:r w:rsidR="00F61CBB" w:rsidRPr="00C46531">
        <w:rPr>
          <w:color w:val="000000" w:themeColor="text1"/>
          <w:sz w:val="22"/>
          <w:szCs w:val="22"/>
          <w:lang w:val="es-ES"/>
        </w:rPr>
        <w:t>%</w:t>
      </w:r>
      <w:r w:rsidR="005D74A6">
        <w:rPr>
          <w:color w:val="000000" w:themeColor="text1"/>
          <w:sz w:val="22"/>
          <w:szCs w:val="22"/>
          <w:lang w:val="es-ES"/>
        </w:rPr>
        <w:t xml:space="preserve"> y a </w:t>
      </w:r>
      <w:r w:rsidR="008511FB">
        <w:rPr>
          <w:color w:val="000000" w:themeColor="text1"/>
          <w:sz w:val="22"/>
          <w:szCs w:val="22"/>
          <w:lang w:val="es-ES"/>
        </w:rPr>
        <w:t>diciembre</w:t>
      </w:r>
      <w:r w:rsidR="005B0AD4">
        <w:rPr>
          <w:color w:val="000000" w:themeColor="text1"/>
          <w:sz w:val="22"/>
          <w:szCs w:val="22"/>
          <w:lang w:val="es-ES"/>
        </w:rPr>
        <w:t xml:space="preserve"> </w:t>
      </w:r>
      <w:r w:rsidR="001B4FD2">
        <w:rPr>
          <w:color w:val="000000" w:themeColor="text1"/>
          <w:sz w:val="22"/>
          <w:szCs w:val="22"/>
          <w:lang w:val="es-ES"/>
        </w:rPr>
        <w:t xml:space="preserve">2019 </w:t>
      </w:r>
      <w:r w:rsidR="001B4FD2" w:rsidRPr="007318B2">
        <w:rPr>
          <w:color w:val="000000" w:themeColor="text1"/>
          <w:sz w:val="22"/>
          <w:szCs w:val="22"/>
          <w:lang w:val="es-ES"/>
        </w:rPr>
        <w:t xml:space="preserve">un </w:t>
      </w:r>
      <w:r w:rsidR="00DF1659" w:rsidRPr="004F3E31">
        <w:rPr>
          <w:color w:val="000000" w:themeColor="text1"/>
          <w:sz w:val="22"/>
          <w:szCs w:val="22"/>
          <w:lang w:val="es-ES"/>
        </w:rPr>
        <w:t>0</w:t>
      </w:r>
      <w:r w:rsidR="00725A08">
        <w:rPr>
          <w:color w:val="000000" w:themeColor="text1"/>
          <w:sz w:val="22"/>
          <w:szCs w:val="22"/>
          <w:lang w:val="es-ES"/>
        </w:rPr>
        <w:t>.8</w:t>
      </w:r>
      <w:r w:rsidR="005D74A6" w:rsidRPr="007318B2">
        <w:rPr>
          <w:color w:val="000000" w:themeColor="text1"/>
          <w:sz w:val="22"/>
          <w:szCs w:val="22"/>
          <w:lang w:val="es-ES"/>
        </w:rPr>
        <w:t>%</w:t>
      </w:r>
      <w:r w:rsidR="00C57F5B" w:rsidRPr="00C46531">
        <w:rPr>
          <w:color w:val="000000" w:themeColor="text1"/>
          <w:sz w:val="22"/>
          <w:szCs w:val="22"/>
          <w:lang w:val="es-ES"/>
        </w:rPr>
        <w:t xml:space="preserve"> </w:t>
      </w:r>
      <w:r w:rsidR="00F4547D" w:rsidRPr="00C46531">
        <w:rPr>
          <w:color w:val="000000" w:themeColor="text1"/>
          <w:sz w:val="22"/>
          <w:szCs w:val="22"/>
          <w:lang w:val="es-ES"/>
        </w:rPr>
        <w:t>de la ejecución presupuestaria total</w:t>
      </w:r>
      <w:r w:rsidR="00376B16" w:rsidRPr="00C46531">
        <w:rPr>
          <w:color w:val="000000" w:themeColor="text1"/>
          <w:sz w:val="22"/>
          <w:szCs w:val="22"/>
          <w:lang w:val="es-ES"/>
        </w:rPr>
        <w:t xml:space="preserve">. </w:t>
      </w:r>
      <w:r w:rsidR="00F4547D" w:rsidRPr="00C46531">
        <w:rPr>
          <w:color w:val="000000" w:themeColor="text1"/>
          <w:sz w:val="22"/>
          <w:szCs w:val="22"/>
          <w:lang w:val="es-ES"/>
        </w:rPr>
        <w:t xml:space="preserve"> </w:t>
      </w:r>
      <w:r w:rsidR="00376B16" w:rsidRPr="00C46531">
        <w:rPr>
          <w:color w:val="000000" w:themeColor="text1"/>
          <w:sz w:val="22"/>
          <w:szCs w:val="22"/>
          <w:lang w:val="es-ES"/>
        </w:rPr>
        <w:t xml:space="preserve">También </w:t>
      </w:r>
      <w:r w:rsidR="0052478F" w:rsidRPr="00C46531">
        <w:rPr>
          <w:color w:val="000000" w:themeColor="text1"/>
          <w:sz w:val="22"/>
          <w:szCs w:val="22"/>
          <w:lang w:val="es-ES"/>
        </w:rPr>
        <w:t xml:space="preserve">inciden </w:t>
      </w:r>
      <w:r w:rsidR="004D21B8" w:rsidRPr="00C46531">
        <w:rPr>
          <w:color w:val="000000" w:themeColor="text1"/>
          <w:sz w:val="22"/>
          <w:szCs w:val="22"/>
          <w:lang w:val="es-ES"/>
        </w:rPr>
        <w:t xml:space="preserve">en este </w:t>
      </w:r>
      <w:r w:rsidR="004D21B8" w:rsidRPr="00C84E9C">
        <w:rPr>
          <w:color w:val="000000" w:themeColor="text1"/>
          <w:sz w:val="22"/>
          <w:szCs w:val="22"/>
          <w:lang w:val="es-ES"/>
        </w:rPr>
        <w:t>comportamiento</w:t>
      </w:r>
      <w:r w:rsidR="00376B16" w:rsidRPr="00C84E9C">
        <w:rPr>
          <w:color w:val="000000" w:themeColor="text1"/>
          <w:sz w:val="22"/>
          <w:szCs w:val="22"/>
          <w:lang w:val="es-ES"/>
        </w:rPr>
        <w:t xml:space="preserve"> la </w:t>
      </w:r>
      <w:r w:rsidR="00F4547D" w:rsidRPr="00C84E9C">
        <w:rPr>
          <w:color w:val="000000" w:themeColor="text1"/>
          <w:sz w:val="22"/>
          <w:szCs w:val="22"/>
          <w:lang w:val="es-ES"/>
        </w:rPr>
        <w:t>menor cantidad de fideicomisos vigentes en el período</w:t>
      </w:r>
      <w:r w:rsidR="00376B16" w:rsidRPr="00C84E9C">
        <w:rPr>
          <w:color w:val="000000" w:themeColor="text1"/>
          <w:sz w:val="22"/>
          <w:szCs w:val="22"/>
          <w:lang w:val="es-ES"/>
        </w:rPr>
        <w:t xml:space="preserve"> y la contención del gasto impl</w:t>
      </w:r>
      <w:r w:rsidR="00565B66">
        <w:rPr>
          <w:color w:val="000000" w:themeColor="text1"/>
          <w:sz w:val="22"/>
          <w:szCs w:val="22"/>
          <w:lang w:val="es-ES"/>
        </w:rPr>
        <w:t xml:space="preserve">ementada en ejercicios fiscales </w:t>
      </w:r>
      <w:r w:rsidR="00584D9D" w:rsidRPr="00565B66">
        <w:rPr>
          <w:color w:val="000000" w:themeColor="text1"/>
          <w:sz w:val="22"/>
          <w:szCs w:val="22"/>
          <w:lang w:val="es-ES"/>
        </w:rPr>
        <w:t>anteriores</w:t>
      </w:r>
      <w:r w:rsidR="004621C7" w:rsidRPr="00565B66">
        <w:rPr>
          <w:color w:val="000000" w:themeColor="text1"/>
          <w:sz w:val="22"/>
          <w:szCs w:val="22"/>
          <w:lang w:val="es-ES"/>
        </w:rPr>
        <w:t>.</w:t>
      </w:r>
    </w:p>
    <w:p w:rsidR="00052353" w:rsidRDefault="00052353" w:rsidP="004621C7">
      <w:pPr>
        <w:pStyle w:val="Default"/>
        <w:jc w:val="both"/>
        <w:rPr>
          <w:color w:val="000000" w:themeColor="text1"/>
          <w:sz w:val="22"/>
          <w:szCs w:val="22"/>
          <w:lang w:val="es-ES"/>
        </w:rPr>
      </w:pPr>
    </w:p>
    <w:p w:rsidR="00B614A2" w:rsidRDefault="00B614A2" w:rsidP="00B614A2">
      <w:pPr>
        <w:pStyle w:val="Prrafodelista"/>
        <w:autoSpaceDE w:val="0"/>
        <w:autoSpaceDN w:val="0"/>
        <w:adjustRightInd w:val="0"/>
        <w:jc w:val="both"/>
        <w:rPr>
          <w:rFonts w:cs="Arial"/>
          <w:b/>
        </w:rPr>
      </w:pPr>
    </w:p>
    <w:p w:rsidR="00CB1042" w:rsidRDefault="00CB1042" w:rsidP="00B614A2">
      <w:pPr>
        <w:pStyle w:val="Prrafodelista"/>
        <w:numPr>
          <w:ilvl w:val="0"/>
          <w:numId w:val="3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ind w:left="142" w:hanging="142"/>
        <w:jc w:val="both"/>
        <w:rPr>
          <w:rFonts w:cs="Arial"/>
          <w:b/>
        </w:rPr>
      </w:pPr>
      <w:r w:rsidRPr="00C84E9C">
        <w:rPr>
          <w:rFonts w:cs="Arial"/>
          <w:b/>
        </w:rPr>
        <w:lastRenderedPageBreak/>
        <w:t>Cambios en la situación contractua</w:t>
      </w:r>
      <w:r w:rsidR="00BD12F5">
        <w:rPr>
          <w:rFonts w:cs="Arial"/>
          <w:b/>
        </w:rPr>
        <w:t>l de los fideicomisos (2014-2019</w:t>
      </w:r>
      <w:r w:rsidRPr="00C84E9C">
        <w:rPr>
          <w:rFonts w:cs="Arial"/>
          <w:b/>
        </w:rPr>
        <w:t>)</w:t>
      </w:r>
    </w:p>
    <w:p w:rsidR="002E100D" w:rsidRPr="00C84E9C" w:rsidRDefault="002E100D" w:rsidP="002E100D">
      <w:pPr>
        <w:pStyle w:val="Prrafodelista"/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ind w:left="142"/>
        <w:jc w:val="both"/>
        <w:rPr>
          <w:rFonts w:cs="Arial"/>
          <w:b/>
        </w:rPr>
      </w:pPr>
    </w:p>
    <w:p w:rsidR="00D63467" w:rsidRPr="00155094" w:rsidRDefault="00D63467" w:rsidP="004621C7">
      <w:pPr>
        <w:pStyle w:val="Default"/>
        <w:jc w:val="both"/>
        <w:rPr>
          <w:sz w:val="22"/>
          <w:szCs w:val="22"/>
        </w:rPr>
      </w:pPr>
      <w:r w:rsidRPr="00C84E9C">
        <w:rPr>
          <w:sz w:val="22"/>
          <w:szCs w:val="22"/>
        </w:rPr>
        <w:t xml:space="preserve">Durante </w:t>
      </w:r>
      <w:r w:rsidR="00376B16" w:rsidRPr="00C84E9C">
        <w:rPr>
          <w:sz w:val="22"/>
          <w:szCs w:val="22"/>
        </w:rPr>
        <w:t>los</w:t>
      </w:r>
      <w:r w:rsidRPr="00C84E9C">
        <w:rPr>
          <w:sz w:val="22"/>
          <w:szCs w:val="22"/>
        </w:rPr>
        <w:t xml:space="preserve"> ejercicio</w:t>
      </w:r>
      <w:r w:rsidR="00376B16" w:rsidRPr="00C84E9C">
        <w:rPr>
          <w:sz w:val="22"/>
          <w:szCs w:val="22"/>
        </w:rPr>
        <w:t>s</w:t>
      </w:r>
      <w:r w:rsidRPr="00C84E9C">
        <w:rPr>
          <w:sz w:val="22"/>
          <w:szCs w:val="22"/>
        </w:rPr>
        <w:t xml:space="preserve"> fiscal</w:t>
      </w:r>
      <w:r w:rsidR="00376B16" w:rsidRPr="00C84E9C">
        <w:rPr>
          <w:sz w:val="22"/>
          <w:szCs w:val="22"/>
        </w:rPr>
        <w:t>es</w:t>
      </w:r>
      <w:r w:rsidRPr="00C84E9C">
        <w:rPr>
          <w:sz w:val="22"/>
          <w:szCs w:val="22"/>
        </w:rPr>
        <w:t xml:space="preserve"> 2014</w:t>
      </w:r>
      <w:r w:rsidR="003E323E" w:rsidRPr="00C84E9C">
        <w:rPr>
          <w:sz w:val="22"/>
          <w:szCs w:val="22"/>
        </w:rPr>
        <w:t xml:space="preserve"> </w:t>
      </w:r>
      <w:r w:rsidR="006745C6" w:rsidRPr="00C84E9C">
        <w:rPr>
          <w:sz w:val="22"/>
          <w:szCs w:val="22"/>
        </w:rPr>
        <w:t>a</w:t>
      </w:r>
      <w:r w:rsidR="003E323E" w:rsidRPr="00C84E9C">
        <w:rPr>
          <w:sz w:val="22"/>
          <w:szCs w:val="22"/>
        </w:rPr>
        <w:t xml:space="preserve"> </w:t>
      </w:r>
      <w:r w:rsidR="00376B16" w:rsidRPr="00C84E9C">
        <w:rPr>
          <w:sz w:val="22"/>
          <w:szCs w:val="22"/>
        </w:rPr>
        <w:t>2</w:t>
      </w:r>
      <w:r w:rsidR="00376B16" w:rsidRPr="00FB5BF3">
        <w:rPr>
          <w:sz w:val="22"/>
          <w:szCs w:val="22"/>
        </w:rPr>
        <w:t>01</w:t>
      </w:r>
      <w:r w:rsidR="00BD12F5">
        <w:rPr>
          <w:sz w:val="22"/>
          <w:szCs w:val="22"/>
        </w:rPr>
        <w:t>9</w:t>
      </w:r>
      <w:r w:rsidRPr="00C84E9C">
        <w:rPr>
          <w:sz w:val="22"/>
          <w:szCs w:val="22"/>
        </w:rPr>
        <w:t xml:space="preserve"> </w:t>
      </w:r>
      <w:r w:rsidR="00376B16" w:rsidRPr="00C84E9C">
        <w:rPr>
          <w:sz w:val="22"/>
          <w:szCs w:val="22"/>
        </w:rPr>
        <w:t xml:space="preserve">han </w:t>
      </w:r>
      <w:r w:rsidR="00CB1042" w:rsidRPr="00C84E9C">
        <w:rPr>
          <w:sz w:val="22"/>
          <w:szCs w:val="22"/>
        </w:rPr>
        <w:t>acontecido</w:t>
      </w:r>
      <w:r w:rsidRPr="00C84E9C">
        <w:rPr>
          <w:sz w:val="22"/>
          <w:szCs w:val="22"/>
        </w:rPr>
        <w:t xml:space="preserve"> los siguientes cambios en el estado contractual de los fideicomisos registrados en el Ministerio de Finanzas Públicas:</w:t>
      </w:r>
    </w:p>
    <w:p w:rsidR="00070C5F" w:rsidRPr="00984A6F" w:rsidRDefault="00070C5F" w:rsidP="00070C5F">
      <w:pPr>
        <w:pStyle w:val="Prrafodelista"/>
        <w:jc w:val="both"/>
        <w:rPr>
          <w:rFonts w:cs="Arial"/>
          <w:color w:val="FF0000"/>
        </w:rPr>
      </w:pPr>
    </w:p>
    <w:p w:rsidR="0041355E" w:rsidRPr="00984A6F" w:rsidRDefault="00807E90" w:rsidP="00D63467">
      <w:pPr>
        <w:pStyle w:val="Prrafodelista"/>
        <w:numPr>
          <w:ilvl w:val="0"/>
          <w:numId w:val="2"/>
        </w:numPr>
        <w:jc w:val="both"/>
        <w:rPr>
          <w:rFonts w:cs="Arial"/>
          <w:color w:val="000000"/>
        </w:rPr>
      </w:pPr>
      <w:r w:rsidRPr="00984A6F">
        <w:rPr>
          <w:rFonts w:cs="Arial"/>
          <w:color w:val="000000"/>
        </w:rPr>
        <w:t xml:space="preserve">En febrero </w:t>
      </w:r>
      <w:r w:rsidR="00376B16" w:rsidRPr="00984A6F">
        <w:rPr>
          <w:rFonts w:cs="Arial"/>
          <w:color w:val="000000"/>
        </w:rPr>
        <w:t xml:space="preserve">de </w:t>
      </w:r>
      <w:r w:rsidR="00070C5F" w:rsidRPr="00984A6F">
        <w:rPr>
          <w:rFonts w:cs="Arial"/>
          <w:color w:val="000000" w:themeColor="text1"/>
        </w:rPr>
        <w:t>2014</w:t>
      </w:r>
      <w:r w:rsidR="00070C5F" w:rsidRPr="00984A6F">
        <w:rPr>
          <w:rFonts w:cs="Arial"/>
          <w:color w:val="000000"/>
        </w:rPr>
        <w:t xml:space="preserve"> </w:t>
      </w:r>
      <w:r w:rsidR="004F6D07" w:rsidRPr="00984A6F">
        <w:rPr>
          <w:rFonts w:cs="Arial"/>
          <w:color w:val="000000"/>
        </w:rPr>
        <w:t xml:space="preserve">venció </w:t>
      </w:r>
      <w:r w:rsidR="00D63467" w:rsidRPr="00984A6F">
        <w:rPr>
          <w:rFonts w:cs="Arial"/>
          <w:color w:val="000000"/>
        </w:rPr>
        <w:t>el plazo d</w:t>
      </w:r>
      <w:r w:rsidR="004F6D07" w:rsidRPr="00984A6F">
        <w:rPr>
          <w:rFonts w:cs="Arial"/>
          <w:color w:val="000000"/>
        </w:rPr>
        <w:t xml:space="preserve">el Fideicomiso de Administración y Cumplimiento INDE-SECACAO y se extinguió el Fideicomiso para el Fortalecimiento Urbano y Rural del Municipio de Santa Catarina </w:t>
      </w:r>
      <w:proofErr w:type="spellStart"/>
      <w:r w:rsidR="00385B78" w:rsidRPr="00984A6F">
        <w:rPr>
          <w:rFonts w:cs="Arial"/>
          <w:color w:val="000000"/>
        </w:rPr>
        <w:t>Pi</w:t>
      </w:r>
      <w:r w:rsidR="004F6D07" w:rsidRPr="00984A6F">
        <w:rPr>
          <w:rFonts w:cs="Arial"/>
          <w:color w:val="000000"/>
        </w:rPr>
        <w:t>nula</w:t>
      </w:r>
      <w:proofErr w:type="spellEnd"/>
      <w:r w:rsidR="004F6D07" w:rsidRPr="00984A6F">
        <w:rPr>
          <w:rFonts w:cs="Arial"/>
          <w:color w:val="000000"/>
        </w:rPr>
        <w:t xml:space="preserve"> -FIFORTA-.</w:t>
      </w:r>
      <w:r w:rsidR="00385B78" w:rsidRPr="00984A6F">
        <w:rPr>
          <w:rFonts w:cs="Arial"/>
          <w:color w:val="000000"/>
        </w:rPr>
        <w:t xml:space="preserve"> Adicionalmente se agregó a los reportes la información del </w:t>
      </w:r>
      <w:r w:rsidR="003B07DD" w:rsidRPr="00984A6F">
        <w:rPr>
          <w:rFonts w:cs="Arial"/>
          <w:color w:val="000000"/>
        </w:rPr>
        <w:t xml:space="preserve">Fideicomiso para la Rehabilitación y Modernización de la Red Ferroviaria en Guatemala </w:t>
      </w:r>
      <w:r w:rsidR="00B37B13" w:rsidRPr="00984A6F">
        <w:rPr>
          <w:rFonts w:cs="Arial"/>
          <w:color w:val="000000"/>
        </w:rPr>
        <w:t>constituido en el B</w:t>
      </w:r>
      <w:r w:rsidR="00385B78" w:rsidRPr="00984A6F">
        <w:rPr>
          <w:rFonts w:cs="Arial"/>
          <w:color w:val="000000"/>
        </w:rPr>
        <w:t>anco</w:t>
      </w:r>
      <w:r w:rsidR="00B37B13" w:rsidRPr="00984A6F">
        <w:rPr>
          <w:rFonts w:cs="Arial"/>
          <w:color w:val="000000"/>
        </w:rPr>
        <w:t xml:space="preserve"> Agr</w:t>
      </w:r>
      <w:r w:rsidR="003579A9" w:rsidRPr="00984A6F">
        <w:rPr>
          <w:rFonts w:cs="Arial"/>
          <w:color w:val="000000"/>
        </w:rPr>
        <w:t>o</w:t>
      </w:r>
      <w:r w:rsidR="00B37B13" w:rsidRPr="00984A6F">
        <w:rPr>
          <w:rFonts w:cs="Arial"/>
          <w:color w:val="000000"/>
        </w:rPr>
        <w:t xml:space="preserve"> Mercantil.</w:t>
      </w:r>
    </w:p>
    <w:p w:rsidR="0041355E" w:rsidRPr="00984A6F" w:rsidRDefault="0041355E" w:rsidP="0041355E">
      <w:pPr>
        <w:pStyle w:val="Prrafodelista"/>
        <w:jc w:val="both"/>
        <w:rPr>
          <w:rFonts w:cs="Arial"/>
          <w:color w:val="000000"/>
        </w:rPr>
      </w:pPr>
    </w:p>
    <w:p w:rsidR="007628E6" w:rsidRPr="00984A6F" w:rsidRDefault="00A12A69" w:rsidP="00D63467">
      <w:pPr>
        <w:pStyle w:val="Prrafodelista"/>
        <w:numPr>
          <w:ilvl w:val="0"/>
          <w:numId w:val="2"/>
        </w:numPr>
        <w:jc w:val="both"/>
        <w:rPr>
          <w:rFonts w:cs="Arial"/>
          <w:color w:val="000000"/>
        </w:rPr>
      </w:pPr>
      <w:r w:rsidRPr="00984A6F">
        <w:rPr>
          <w:rFonts w:cs="Arial"/>
          <w:color w:val="000000"/>
        </w:rPr>
        <w:t>En abril</w:t>
      </w:r>
      <w:r w:rsidR="00B01B55" w:rsidRPr="00984A6F">
        <w:rPr>
          <w:rFonts w:cs="Arial"/>
          <w:color w:val="000000"/>
        </w:rPr>
        <w:t xml:space="preserve"> </w:t>
      </w:r>
      <w:r w:rsidR="00376B16" w:rsidRPr="00984A6F">
        <w:rPr>
          <w:rFonts w:cs="Arial"/>
          <w:color w:val="000000"/>
        </w:rPr>
        <w:t xml:space="preserve">de </w:t>
      </w:r>
      <w:r w:rsidR="00B01B55" w:rsidRPr="00984A6F">
        <w:rPr>
          <w:rFonts w:cs="Arial"/>
          <w:color w:val="000000"/>
        </w:rPr>
        <w:t>2014</w:t>
      </w:r>
      <w:r w:rsidRPr="00984A6F">
        <w:rPr>
          <w:rFonts w:cs="Arial"/>
          <w:color w:val="000000"/>
        </w:rPr>
        <w:t xml:space="preserve"> se extinguió </w:t>
      </w:r>
      <w:r w:rsidR="002A499D" w:rsidRPr="00984A6F">
        <w:rPr>
          <w:rFonts w:cs="Arial"/>
          <w:color w:val="000000"/>
        </w:rPr>
        <w:t xml:space="preserve">formalmente </w:t>
      </w:r>
      <w:r w:rsidRPr="00984A6F">
        <w:rPr>
          <w:rFonts w:cs="Arial"/>
          <w:color w:val="000000"/>
        </w:rPr>
        <w:t xml:space="preserve">el fideicomiso de la Municipalidad de </w:t>
      </w:r>
      <w:proofErr w:type="spellStart"/>
      <w:r w:rsidRPr="00984A6F">
        <w:rPr>
          <w:rFonts w:cs="Arial"/>
          <w:color w:val="000000"/>
        </w:rPr>
        <w:t>Frai</w:t>
      </w:r>
      <w:r w:rsidR="00B27CE3" w:rsidRPr="00984A6F">
        <w:rPr>
          <w:rFonts w:cs="Arial"/>
          <w:color w:val="000000"/>
        </w:rPr>
        <w:t>j</w:t>
      </w:r>
      <w:r w:rsidR="002A499D" w:rsidRPr="00984A6F">
        <w:rPr>
          <w:rFonts w:cs="Arial"/>
          <w:color w:val="000000"/>
        </w:rPr>
        <w:t>anes</w:t>
      </w:r>
      <w:proofErr w:type="spellEnd"/>
      <w:r w:rsidR="007628E6" w:rsidRPr="00984A6F">
        <w:rPr>
          <w:rFonts w:cs="Arial"/>
          <w:color w:val="000000"/>
        </w:rPr>
        <w:t>.</w:t>
      </w:r>
    </w:p>
    <w:p w:rsidR="007628E6" w:rsidRPr="00B01B55" w:rsidRDefault="008927E2" w:rsidP="008927E2">
      <w:pPr>
        <w:tabs>
          <w:tab w:val="left" w:pos="1152"/>
        </w:tabs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:rsidR="00727E40" w:rsidRPr="00984A6F" w:rsidRDefault="00727E40" w:rsidP="00D63467">
      <w:pPr>
        <w:pStyle w:val="Default"/>
        <w:numPr>
          <w:ilvl w:val="0"/>
          <w:numId w:val="2"/>
        </w:numPr>
        <w:jc w:val="both"/>
        <w:rPr>
          <w:sz w:val="22"/>
          <w:szCs w:val="22"/>
          <w:lang w:val="es-ES"/>
        </w:rPr>
      </w:pPr>
      <w:r w:rsidRPr="00B01B55">
        <w:rPr>
          <w:sz w:val="22"/>
          <w:szCs w:val="22"/>
        </w:rPr>
        <w:t xml:space="preserve">En </w:t>
      </w:r>
      <w:r w:rsidRPr="00984A6F">
        <w:rPr>
          <w:sz w:val="22"/>
          <w:szCs w:val="22"/>
        </w:rPr>
        <w:t>junio</w:t>
      </w:r>
      <w:r w:rsidR="00B01B55" w:rsidRPr="00984A6F">
        <w:rPr>
          <w:sz w:val="22"/>
          <w:szCs w:val="22"/>
        </w:rPr>
        <w:t xml:space="preserve"> </w:t>
      </w:r>
      <w:r w:rsidR="00376B16" w:rsidRPr="00984A6F">
        <w:rPr>
          <w:sz w:val="22"/>
          <w:szCs w:val="22"/>
        </w:rPr>
        <w:t xml:space="preserve">de </w:t>
      </w:r>
      <w:r w:rsidR="00B01B55" w:rsidRPr="00984A6F">
        <w:rPr>
          <w:sz w:val="22"/>
          <w:szCs w:val="22"/>
        </w:rPr>
        <w:t xml:space="preserve">2014 </w:t>
      </w:r>
      <w:r w:rsidRPr="00984A6F">
        <w:rPr>
          <w:sz w:val="22"/>
          <w:szCs w:val="22"/>
        </w:rPr>
        <w:t xml:space="preserve">se extinguió </w:t>
      </w:r>
      <w:r w:rsidRPr="00984A6F">
        <w:rPr>
          <w:sz w:val="22"/>
          <w:szCs w:val="22"/>
          <w:lang w:val="es-ES"/>
        </w:rPr>
        <w:t>el fideicomiso Crédito Programa de Desarrollo Rural en el Departamento de To</w:t>
      </w:r>
      <w:r w:rsidR="0041355E" w:rsidRPr="00984A6F">
        <w:rPr>
          <w:sz w:val="22"/>
          <w:szCs w:val="22"/>
          <w:lang w:val="es-ES"/>
        </w:rPr>
        <w:t>tonicapán -CREDITOTO- ALA 94/81, gestión que fue conducida por la Secretaría de Coordinación Ejecutiva de la Presidencia de la República.</w:t>
      </w:r>
    </w:p>
    <w:p w:rsidR="00727E40" w:rsidRPr="00984A6F" w:rsidRDefault="00727E40" w:rsidP="008D682C">
      <w:pPr>
        <w:jc w:val="both"/>
        <w:rPr>
          <w:rFonts w:cs="Arial"/>
          <w:color w:val="000000"/>
        </w:rPr>
      </w:pPr>
    </w:p>
    <w:p w:rsidR="0041355E" w:rsidRPr="00984A6F" w:rsidRDefault="007628E6" w:rsidP="00D63467">
      <w:pPr>
        <w:pStyle w:val="Prrafodelista"/>
        <w:numPr>
          <w:ilvl w:val="0"/>
          <w:numId w:val="2"/>
        </w:numPr>
        <w:jc w:val="both"/>
        <w:rPr>
          <w:rFonts w:cs="Arial"/>
          <w:color w:val="000000"/>
        </w:rPr>
      </w:pPr>
      <w:r w:rsidRPr="00984A6F">
        <w:rPr>
          <w:rFonts w:cs="Arial"/>
          <w:color w:val="000000"/>
        </w:rPr>
        <w:t>En julio</w:t>
      </w:r>
      <w:r w:rsidR="00B01B55" w:rsidRPr="00984A6F">
        <w:rPr>
          <w:rFonts w:cs="Arial"/>
          <w:color w:val="000000"/>
        </w:rPr>
        <w:t xml:space="preserve"> </w:t>
      </w:r>
      <w:r w:rsidR="00376B16" w:rsidRPr="00984A6F">
        <w:rPr>
          <w:rFonts w:cs="Arial"/>
          <w:color w:val="000000"/>
        </w:rPr>
        <w:t xml:space="preserve">de </w:t>
      </w:r>
      <w:r w:rsidR="00B01B55" w:rsidRPr="00984A6F">
        <w:rPr>
          <w:rFonts w:cs="Arial"/>
          <w:color w:val="000000"/>
        </w:rPr>
        <w:t>2014</w:t>
      </w:r>
      <w:r w:rsidRPr="00984A6F">
        <w:rPr>
          <w:rFonts w:cs="Arial"/>
          <w:color w:val="000000"/>
        </w:rPr>
        <w:t xml:space="preserve"> venció el fideicomiso “Mejoramiento del Pequeño Caficultor” a cargo del Ministerio de Agricultura, Ganadería y Alimentación</w:t>
      </w:r>
      <w:r w:rsidR="006A1F76" w:rsidRPr="00984A6F">
        <w:rPr>
          <w:rFonts w:cs="Arial"/>
          <w:color w:val="000000"/>
        </w:rPr>
        <w:t>.</w:t>
      </w:r>
    </w:p>
    <w:p w:rsidR="0041355E" w:rsidRPr="00984A6F" w:rsidRDefault="0041355E" w:rsidP="0041355E">
      <w:pPr>
        <w:pStyle w:val="Prrafodelista"/>
        <w:rPr>
          <w:rFonts w:cs="Arial"/>
          <w:color w:val="000000"/>
        </w:rPr>
      </w:pPr>
    </w:p>
    <w:p w:rsidR="007628E6" w:rsidRPr="001F0684" w:rsidRDefault="00174797" w:rsidP="00376B16">
      <w:pPr>
        <w:pStyle w:val="Prrafodelista"/>
        <w:numPr>
          <w:ilvl w:val="0"/>
          <w:numId w:val="2"/>
        </w:numPr>
        <w:jc w:val="both"/>
        <w:rPr>
          <w:rFonts w:cs="Arial"/>
          <w:color w:val="000000"/>
        </w:rPr>
      </w:pPr>
      <w:r w:rsidRPr="00984A6F">
        <w:rPr>
          <w:rFonts w:cs="Arial"/>
          <w:color w:val="000000"/>
        </w:rPr>
        <w:t xml:space="preserve">En </w:t>
      </w:r>
      <w:r w:rsidR="006A1F76" w:rsidRPr="00984A6F">
        <w:rPr>
          <w:rFonts w:cs="Arial"/>
          <w:color w:val="000000"/>
        </w:rPr>
        <w:t>agosto</w:t>
      </w:r>
      <w:r w:rsidR="001E071D" w:rsidRPr="00984A6F">
        <w:rPr>
          <w:rFonts w:cs="Arial"/>
          <w:color w:val="000000"/>
        </w:rPr>
        <w:t xml:space="preserve"> y septiembre</w:t>
      </w:r>
      <w:r w:rsidR="00B01B55" w:rsidRPr="00984A6F">
        <w:rPr>
          <w:rFonts w:cs="Arial"/>
          <w:color w:val="000000"/>
        </w:rPr>
        <w:t xml:space="preserve"> </w:t>
      </w:r>
      <w:r w:rsidR="00376B16" w:rsidRPr="00984A6F">
        <w:rPr>
          <w:rFonts w:cs="Arial"/>
          <w:color w:val="000000"/>
        </w:rPr>
        <w:t xml:space="preserve">de </w:t>
      </w:r>
      <w:r w:rsidR="00B01B55" w:rsidRPr="00984A6F">
        <w:rPr>
          <w:rFonts w:cs="Arial"/>
          <w:color w:val="000000"/>
        </w:rPr>
        <w:t>2014</w:t>
      </w:r>
      <w:r w:rsidRPr="00984A6F">
        <w:rPr>
          <w:rFonts w:cs="Arial"/>
          <w:color w:val="000000"/>
        </w:rPr>
        <w:t xml:space="preserve"> </w:t>
      </w:r>
      <w:r w:rsidR="0041355E" w:rsidRPr="00984A6F">
        <w:rPr>
          <w:rFonts w:cs="Arial"/>
          <w:color w:val="000000"/>
        </w:rPr>
        <w:t>vencieron</w:t>
      </w:r>
      <w:r w:rsidR="006A1F76" w:rsidRPr="00984A6F">
        <w:rPr>
          <w:rFonts w:cs="Arial"/>
          <w:color w:val="000000"/>
        </w:rPr>
        <w:t xml:space="preserve"> </w:t>
      </w:r>
      <w:r w:rsidR="006A1F76" w:rsidRPr="001F0684">
        <w:rPr>
          <w:rFonts w:cs="Arial"/>
          <w:color w:val="000000"/>
        </w:rPr>
        <w:t>el</w:t>
      </w:r>
      <w:r w:rsidR="007628E6" w:rsidRPr="001F0684">
        <w:rPr>
          <w:rFonts w:cs="Arial"/>
          <w:color w:val="000000"/>
        </w:rPr>
        <w:t xml:space="preserve"> </w:t>
      </w:r>
      <w:r w:rsidR="006A1F76" w:rsidRPr="001F0684">
        <w:rPr>
          <w:rFonts w:cs="Arial"/>
          <w:color w:val="000000"/>
        </w:rPr>
        <w:t xml:space="preserve">fideicomiso Fondo de Desarrollo de la Microempresa y Pequeña </w:t>
      </w:r>
      <w:r w:rsidR="006A1F76" w:rsidRPr="001F0684">
        <w:rPr>
          <w:rFonts w:cs="Arial"/>
          <w:color w:val="000000" w:themeColor="text1"/>
        </w:rPr>
        <w:t>Empresa</w:t>
      </w:r>
      <w:r w:rsidR="001E071D" w:rsidRPr="001F0684">
        <w:rPr>
          <w:rFonts w:cs="Arial"/>
          <w:color w:val="000000" w:themeColor="text1"/>
        </w:rPr>
        <w:t xml:space="preserve"> </w:t>
      </w:r>
      <w:r w:rsidR="00376B16" w:rsidRPr="001F0684">
        <w:rPr>
          <w:rFonts w:cs="Arial"/>
          <w:color w:val="000000" w:themeColor="text1"/>
        </w:rPr>
        <w:t>constituido en</w:t>
      </w:r>
      <w:r w:rsidR="00A644AC" w:rsidRPr="001F0684">
        <w:rPr>
          <w:rFonts w:cs="Arial"/>
          <w:color w:val="000000" w:themeColor="text1"/>
        </w:rPr>
        <w:t xml:space="preserve"> el Crédito Hipotecario Nacional</w:t>
      </w:r>
      <w:r w:rsidR="00155094" w:rsidRPr="001F0684">
        <w:rPr>
          <w:rFonts w:cs="Arial"/>
          <w:color w:val="000000" w:themeColor="text1"/>
        </w:rPr>
        <w:t>,</w:t>
      </w:r>
      <w:r w:rsidR="00A644AC" w:rsidRPr="001F0684">
        <w:rPr>
          <w:rFonts w:cs="Arial"/>
          <w:color w:val="000000" w:themeColor="text1"/>
        </w:rPr>
        <w:t xml:space="preserve"> </w:t>
      </w:r>
      <w:r w:rsidR="001E071D" w:rsidRPr="001F0684">
        <w:rPr>
          <w:rFonts w:cs="Arial"/>
          <w:color w:val="000000" w:themeColor="text1"/>
        </w:rPr>
        <w:t xml:space="preserve">y </w:t>
      </w:r>
      <w:r w:rsidR="007628E6" w:rsidRPr="001F0684">
        <w:rPr>
          <w:rFonts w:cs="Arial"/>
          <w:color w:val="000000"/>
        </w:rPr>
        <w:t>el</w:t>
      </w:r>
      <w:r w:rsidR="006A1F76" w:rsidRPr="001F0684">
        <w:rPr>
          <w:rFonts w:cs="Arial"/>
          <w:color w:val="000000"/>
        </w:rPr>
        <w:t xml:space="preserve"> fideicomiso Sistema Nacional de Financiamiento de la </w:t>
      </w:r>
      <w:proofErr w:type="spellStart"/>
      <w:r w:rsidR="00E377D2" w:rsidRPr="001F0684">
        <w:rPr>
          <w:rFonts w:cs="Arial"/>
          <w:color w:val="000000"/>
        </w:rPr>
        <w:t>Preinversión</w:t>
      </w:r>
      <w:proofErr w:type="spellEnd"/>
      <w:r w:rsidR="006A1F76" w:rsidRPr="001F0684">
        <w:rPr>
          <w:rFonts w:cs="Arial"/>
          <w:color w:val="000000"/>
        </w:rPr>
        <w:t xml:space="preserve"> –SINAFIP-</w:t>
      </w:r>
      <w:r w:rsidR="001E071D" w:rsidRPr="001F0684">
        <w:rPr>
          <w:rFonts w:cs="Arial"/>
          <w:color w:val="000000"/>
        </w:rPr>
        <w:t xml:space="preserve"> respectivamente</w:t>
      </w:r>
      <w:r w:rsidR="006A1F76" w:rsidRPr="001F0684">
        <w:rPr>
          <w:rFonts w:cs="Arial"/>
          <w:color w:val="000000"/>
        </w:rPr>
        <w:t>.</w:t>
      </w:r>
    </w:p>
    <w:p w:rsidR="00813220" w:rsidRPr="001F0684" w:rsidRDefault="00813220" w:rsidP="007628E6">
      <w:pPr>
        <w:jc w:val="both"/>
        <w:rPr>
          <w:rFonts w:cs="Arial"/>
          <w:color w:val="000000"/>
        </w:rPr>
      </w:pPr>
    </w:p>
    <w:p w:rsidR="00813220" w:rsidRPr="001F0684" w:rsidRDefault="00813220" w:rsidP="00D63467">
      <w:pPr>
        <w:pStyle w:val="Prrafodelista"/>
        <w:numPr>
          <w:ilvl w:val="0"/>
          <w:numId w:val="2"/>
        </w:numPr>
        <w:jc w:val="both"/>
        <w:rPr>
          <w:rFonts w:cs="Arial"/>
          <w:color w:val="000000"/>
        </w:rPr>
      </w:pPr>
      <w:r w:rsidRPr="001F0684">
        <w:rPr>
          <w:rFonts w:cs="Arial"/>
          <w:color w:val="000000"/>
        </w:rPr>
        <w:t xml:space="preserve">En septiembre </w:t>
      </w:r>
      <w:r w:rsidR="00376B16" w:rsidRPr="001F0684">
        <w:rPr>
          <w:rFonts w:cs="Arial"/>
          <w:color w:val="000000"/>
        </w:rPr>
        <w:t xml:space="preserve">de </w:t>
      </w:r>
      <w:r w:rsidR="00B01B55" w:rsidRPr="001F0684">
        <w:rPr>
          <w:rFonts w:cs="Arial"/>
          <w:color w:val="000000"/>
        </w:rPr>
        <w:t xml:space="preserve">2014 </w:t>
      </w:r>
      <w:r w:rsidRPr="001F0684">
        <w:rPr>
          <w:rFonts w:cs="Arial"/>
          <w:color w:val="000000"/>
        </w:rPr>
        <w:t xml:space="preserve">se </w:t>
      </w:r>
      <w:r w:rsidR="0041355E" w:rsidRPr="001F0684">
        <w:rPr>
          <w:rFonts w:cs="Arial"/>
          <w:color w:val="000000"/>
        </w:rPr>
        <w:t>formalizó la ex</w:t>
      </w:r>
      <w:r w:rsidRPr="001F0684">
        <w:rPr>
          <w:rFonts w:cs="Arial"/>
          <w:color w:val="000000"/>
        </w:rPr>
        <w:t>tin</w:t>
      </w:r>
      <w:r w:rsidR="0041355E" w:rsidRPr="001F0684">
        <w:rPr>
          <w:rFonts w:cs="Arial"/>
          <w:color w:val="000000"/>
        </w:rPr>
        <w:t>ción de</w:t>
      </w:r>
      <w:r w:rsidRPr="001F0684">
        <w:rPr>
          <w:rFonts w:cs="Arial"/>
          <w:color w:val="000000"/>
        </w:rPr>
        <w:t xml:space="preserve"> los fideicomisos Desarrollo Integral de Comunidades Rurales -DICOR- y Crédito para el Desarrollo Productivo DICOR II</w:t>
      </w:r>
      <w:r w:rsidR="00E16A3B" w:rsidRPr="001F0684">
        <w:rPr>
          <w:rFonts w:cs="Arial"/>
          <w:color w:val="000000"/>
        </w:rPr>
        <w:t xml:space="preserve">   </w:t>
      </w:r>
      <w:r w:rsidR="0041355E" w:rsidRPr="001F0684">
        <w:rPr>
          <w:rFonts w:cs="Arial"/>
          <w:color w:val="000000"/>
        </w:rPr>
        <w:t xml:space="preserve">              </w:t>
      </w:r>
      <w:r w:rsidRPr="001F0684">
        <w:rPr>
          <w:rFonts w:cs="Arial"/>
          <w:color w:val="000000"/>
        </w:rPr>
        <w:t>–CREDEPRODI</w:t>
      </w:r>
      <w:r w:rsidR="00E16A3B" w:rsidRPr="001F0684">
        <w:rPr>
          <w:rFonts w:cs="Arial"/>
          <w:color w:val="000000"/>
        </w:rPr>
        <w:t>–</w:t>
      </w:r>
      <w:r w:rsidRPr="001F0684">
        <w:rPr>
          <w:rFonts w:cs="Arial"/>
          <w:color w:val="000000"/>
        </w:rPr>
        <w:t xml:space="preserve">, mediante escrituras </w:t>
      </w:r>
      <w:r w:rsidR="0041355E" w:rsidRPr="001F0684">
        <w:rPr>
          <w:rFonts w:cs="Arial"/>
          <w:color w:val="000000"/>
        </w:rPr>
        <w:t xml:space="preserve">públicas </w:t>
      </w:r>
      <w:r w:rsidRPr="001F0684">
        <w:rPr>
          <w:rFonts w:cs="Arial"/>
          <w:color w:val="000000"/>
        </w:rPr>
        <w:t xml:space="preserve">números 162 y 163 </w:t>
      </w:r>
      <w:r w:rsidR="00155094" w:rsidRPr="001F0684">
        <w:rPr>
          <w:rFonts w:cs="Arial"/>
          <w:color w:val="000000"/>
        </w:rPr>
        <w:t>autorizadas por</w:t>
      </w:r>
      <w:r w:rsidR="0041355E" w:rsidRPr="001F0684">
        <w:rPr>
          <w:rFonts w:cs="Arial"/>
          <w:color w:val="000000"/>
        </w:rPr>
        <w:t xml:space="preserve"> la E</w:t>
      </w:r>
      <w:r w:rsidR="00FA33C4" w:rsidRPr="001F0684">
        <w:rPr>
          <w:rFonts w:cs="Arial"/>
          <w:color w:val="000000"/>
        </w:rPr>
        <w:t>scribana de Cámara y de Gobierno, respectivamente.</w:t>
      </w:r>
    </w:p>
    <w:p w:rsidR="003515A7" w:rsidRPr="00984A6F" w:rsidRDefault="003515A7" w:rsidP="007628E6">
      <w:pPr>
        <w:jc w:val="both"/>
        <w:rPr>
          <w:rFonts w:cs="Arial"/>
          <w:color w:val="000000"/>
        </w:rPr>
      </w:pPr>
    </w:p>
    <w:p w:rsidR="003515A7" w:rsidRPr="00E639E2" w:rsidRDefault="003515A7" w:rsidP="00D63467">
      <w:pPr>
        <w:pStyle w:val="Prrafodelista"/>
        <w:numPr>
          <w:ilvl w:val="0"/>
          <w:numId w:val="2"/>
        </w:numPr>
        <w:jc w:val="both"/>
        <w:rPr>
          <w:rFonts w:cs="Arial"/>
          <w:color w:val="000000"/>
        </w:rPr>
      </w:pPr>
      <w:r w:rsidRPr="00984A6F">
        <w:rPr>
          <w:rFonts w:cs="Arial"/>
          <w:color w:val="000000"/>
        </w:rPr>
        <w:t xml:space="preserve">El 24 de noviembre </w:t>
      </w:r>
      <w:r w:rsidR="00376B16" w:rsidRPr="00984A6F">
        <w:rPr>
          <w:rFonts w:cs="Arial"/>
          <w:color w:val="000000"/>
        </w:rPr>
        <w:t xml:space="preserve">de </w:t>
      </w:r>
      <w:r w:rsidRPr="00984A6F">
        <w:rPr>
          <w:rFonts w:cs="Arial"/>
          <w:color w:val="000000"/>
        </w:rPr>
        <w:t xml:space="preserve">2014, se extinguió </w:t>
      </w:r>
      <w:r w:rsidR="0041355E" w:rsidRPr="00984A6F">
        <w:rPr>
          <w:rFonts w:cs="Arial"/>
          <w:color w:val="000000"/>
        </w:rPr>
        <w:t xml:space="preserve">formalmente </w:t>
      </w:r>
      <w:r w:rsidRPr="00984A6F">
        <w:rPr>
          <w:rFonts w:cs="Arial"/>
          <w:color w:val="000000"/>
        </w:rPr>
        <w:t>el Fideicomiso Nacional del Fondo de Educación</w:t>
      </w:r>
      <w:r w:rsidR="00C46531">
        <w:rPr>
          <w:rFonts w:cs="Arial"/>
          <w:color w:val="000000"/>
        </w:rPr>
        <w:t xml:space="preserve"> </w:t>
      </w:r>
      <w:r w:rsidRPr="00C46531">
        <w:rPr>
          <w:rFonts w:cs="Arial"/>
          <w:color w:val="000000"/>
        </w:rPr>
        <w:t>R</w:t>
      </w:r>
      <w:r w:rsidRPr="00984A6F">
        <w:rPr>
          <w:rFonts w:cs="Arial"/>
          <w:color w:val="000000"/>
        </w:rPr>
        <w:t xml:space="preserve">ural </w:t>
      </w:r>
      <w:proofErr w:type="spellStart"/>
      <w:r w:rsidRPr="00984A6F">
        <w:rPr>
          <w:rFonts w:cs="Arial"/>
          <w:color w:val="000000"/>
        </w:rPr>
        <w:t>Coparticipativa</w:t>
      </w:r>
      <w:proofErr w:type="spellEnd"/>
      <w:r w:rsidRPr="00984A6F">
        <w:rPr>
          <w:rFonts w:cs="Arial"/>
          <w:color w:val="000000"/>
        </w:rPr>
        <w:t xml:space="preserve"> mediante escritura </w:t>
      </w:r>
      <w:r w:rsidR="0041355E" w:rsidRPr="00984A6F">
        <w:rPr>
          <w:rFonts w:cs="Arial"/>
          <w:color w:val="000000"/>
        </w:rPr>
        <w:t xml:space="preserve">pública </w:t>
      </w:r>
      <w:r w:rsidRPr="00984A6F">
        <w:rPr>
          <w:rFonts w:cs="Arial"/>
          <w:color w:val="000000"/>
        </w:rPr>
        <w:t>número 202</w:t>
      </w:r>
      <w:r w:rsidR="0041355E" w:rsidRPr="00984A6F">
        <w:rPr>
          <w:rFonts w:cs="Arial"/>
          <w:color w:val="000000"/>
        </w:rPr>
        <w:t xml:space="preserve"> de la Escribana de Cámara y de Gobierno.</w:t>
      </w:r>
      <w:r w:rsidR="00016153" w:rsidRPr="00984A6F">
        <w:rPr>
          <w:rFonts w:cs="Arial"/>
          <w:color w:val="000000"/>
        </w:rPr>
        <w:t xml:space="preserve"> El informe final de liquidación </w:t>
      </w:r>
      <w:r w:rsidR="00C475CE" w:rsidRPr="00984A6F">
        <w:rPr>
          <w:rFonts w:cs="Arial"/>
          <w:color w:val="000000"/>
        </w:rPr>
        <w:t xml:space="preserve">de este fideicomiso </w:t>
      </w:r>
      <w:r w:rsidR="00016153" w:rsidRPr="00984A6F">
        <w:rPr>
          <w:rFonts w:cs="Arial"/>
          <w:color w:val="000000"/>
        </w:rPr>
        <w:t xml:space="preserve">fue aprobado por el Ministerio de Finanzas Públicas el </w:t>
      </w:r>
      <w:r w:rsidR="005441C4" w:rsidRPr="00984A6F">
        <w:rPr>
          <w:rFonts w:cs="Arial"/>
          <w:color w:val="000000"/>
        </w:rPr>
        <w:t>14 de agosto de 20</w:t>
      </w:r>
      <w:r w:rsidR="005441C4" w:rsidRPr="00E639E2">
        <w:rPr>
          <w:rFonts w:cs="Arial"/>
          <w:color w:val="000000"/>
        </w:rPr>
        <w:t>15</w:t>
      </w:r>
      <w:r w:rsidR="00C93E14" w:rsidRPr="00E639E2">
        <w:rPr>
          <w:rFonts w:cs="Arial"/>
          <w:color w:val="000000"/>
        </w:rPr>
        <w:t xml:space="preserve"> y se encuentra en trámite la emisión de la escritura pública de finiquito</w:t>
      </w:r>
      <w:r w:rsidR="005441C4" w:rsidRPr="00E639E2">
        <w:rPr>
          <w:rFonts w:cs="Arial"/>
          <w:color w:val="000000"/>
        </w:rPr>
        <w:t>.</w:t>
      </w:r>
    </w:p>
    <w:p w:rsidR="00E33C80" w:rsidRPr="00984A6F" w:rsidRDefault="00E33C80" w:rsidP="00E33C80">
      <w:pPr>
        <w:pStyle w:val="Prrafodelista"/>
        <w:rPr>
          <w:rFonts w:cs="Arial"/>
          <w:color w:val="000000"/>
        </w:rPr>
      </w:pPr>
    </w:p>
    <w:p w:rsidR="00E33C80" w:rsidRPr="00984A6F" w:rsidRDefault="00E33C80" w:rsidP="00E33C80">
      <w:pPr>
        <w:pStyle w:val="Prrafodelista"/>
        <w:numPr>
          <w:ilvl w:val="0"/>
          <w:numId w:val="2"/>
        </w:numPr>
        <w:jc w:val="both"/>
        <w:rPr>
          <w:rFonts w:cs="Arial"/>
          <w:color w:val="000000"/>
        </w:rPr>
      </w:pPr>
      <w:r w:rsidRPr="00984A6F">
        <w:rPr>
          <w:rFonts w:cs="Arial"/>
          <w:color w:val="000000"/>
        </w:rPr>
        <w:t xml:space="preserve">El 23 de Marzo de 2015 se extinguió formalmente el Fideicomiso de Administración </w:t>
      </w:r>
      <w:r w:rsidR="004B17A7" w:rsidRPr="00984A6F">
        <w:rPr>
          <w:rFonts w:cs="Arial"/>
          <w:color w:val="000000"/>
        </w:rPr>
        <w:t>y C</w:t>
      </w:r>
      <w:r w:rsidR="001D6777" w:rsidRPr="00984A6F">
        <w:rPr>
          <w:rFonts w:cs="Arial"/>
          <w:color w:val="000000"/>
        </w:rPr>
        <w:t xml:space="preserve">umplimiento INDE-SECACAO </w:t>
      </w:r>
      <w:r w:rsidRPr="00984A6F">
        <w:rPr>
          <w:rFonts w:cs="Arial"/>
          <w:color w:val="000000"/>
        </w:rPr>
        <w:t xml:space="preserve">mediante escritura </w:t>
      </w:r>
      <w:r w:rsidR="00922AF4" w:rsidRPr="00984A6F">
        <w:rPr>
          <w:rFonts w:cs="Arial"/>
          <w:color w:val="000000"/>
        </w:rPr>
        <w:t>Pública</w:t>
      </w:r>
      <w:r w:rsidR="00A24CED" w:rsidRPr="00984A6F">
        <w:rPr>
          <w:rFonts w:cs="Arial"/>
          <w:color w:val="000000"/>
        </w:rPr>
        <w:t xml:space="preserve"> </w:t>
      </w:r>
      <w:r w:rsidRPr="00984A6F">
        <w:rPr>
          <w:rFonts w:cs="Arial"/>
          <w:color w:val="000000"/>
        </w:rPr>
        <w:t xml:space="preserve">número </w:t>
      </w:r>
      <w:r w:rsidR="001D6777" w:rsidRPr="00984A6F">
        <w:rPr>
          <w:rFonts w:cs="Arial"/>
          <w:color w:val="000000"/>
        </w:rPr>
        <w:t>0</w:t>
      </w:r>
      <w:r w:rsidRPr="00984A6F">
        <w:rPr>
          <w:rFonts w:cs="Arial"/>
          <w:color w:val="000000"/>
        </w:rPr>
        <w:t>2</w:t>
      </w:r>
      <w:r w:rsidR="006A2DDE" w:rsidRPr="00984A6F">
        <w:rPr>
          <w:rFonts w:cs="Arial"/>
          <w:color w:val="000000"/>
        </w:rPr>
        <w:t xml:space="preserve"> autorizada por </w:t>
      </w:r>
      <w:r w:rsidR="00D21950" w:rsidRPr="00984A6F">
        <w:rPr>
          <w:rFonts w:cs="Arial"/>
          <w:color w:val="000000"/>
        </w:rPr>
        <w:t>la</w:t>
      </w:r>
      <w:r w:rsidR="006A2DDE" w:rsidRPr="00984A6F">
        <w:rPr>
          <w:rFonts w:cs="Arial"/>
          <w:color w:val="000000"/>
        </w:rPr>
        <w:t xml:space="preserve"> notari</w:t>
      </w:r>
      <w:r w:rsidR="00D21950" w:rsidRPr="00984A6F">
        <w:rPr>
          <w:rFonts w:cs="Arial"/>
          <w:color w:val="000000"/>
        </w:rPr>
        <w:t>a Ligia María del Valle Vega</w:t>
      </w:r>
      <w:r w:rsidRPr="00984A6F">
        <w:rPr>
          <w:rFonts w:cs="Arial"/>
          <w:color w:val="000000"/>
        </w:rPr>
        <w:t>.</w:t>
      </w:r>
    </w:p>
    <w:p w:rsidR="00126C5B" w:rsidRPr="00984A6F" w:rsidRDefault="00126C5B" w:rsidP="00126C5B">
      <w:pPr>
        <w:pStyle w:val="Prrafodelista"/>
        <w:rPr>
          <w:rFonts w:cs="Arial"/>
          <w:color w:val="000000"/>
        </w:rPr>
      </w:pPr>
    </w:p>
    <w:p w:rsidR="00126C5B" w:rsidRPr="00984A6F" w:rsidRDefault="00126C5B" w:rsidP="00126C5B">
      <w:pPr>
        <w:pStyle w:val="Prrafodelista"/>
        <w:numPr>
          <w:ilvl w:val="0"/>
          <w:numId w:val="2"/>
        </w:numPr>
        <w:jc w:val="both"/>
        <w:rPr>
          <w:rFonts w:cs="Arial"/>
          <w:color w:val="000000"/>
        </w:rPr>
      </w:pPr>
      <w:r w:rsidRPr="00984A6F">
        <w:rPr>
          <w:rFonts w:cs="Arial"/>
          <w:color w:val="000000"/>
        </w:rPr>
        <w:t>El 29 de Mayo de 2015 se extinguió formalmente el Fideicomiso Programa de Desarrollo Comunitario para la PAZ -DECOPAZ-</w:t>
      </w:r>
      <w:r w:rsidR="00923220" w:rsidRPr="00984A6F">
        <w:rPr>
          <w:rFonts w:cs="Arial"/>
          <w:color w:val="000000"/>
        </w:rPr>
        <w:t xml:space="preserve"> </w:t>
      </w:r>
      <w:r w:rsidRPr="00984A6F">
        <w:rPr>
          <w:rFonts w:cs="Arial"/>
          <w:color w:val="000000"/>
        </w:rPr>
        <w:t>mediante escritura Pública número 155, de la Escribana de Cámara y de Gobierno.</w:t>
      </w:r>
    </w:p>
    <w:p w:rsidR="000C6310" w:rsidRPr="00984A6F" w:rsidRDefault="000C6310" w:rsidP="00D37F94">
      <w:pPr>
        <w:pStyle w:val="Prrafodelista"/>
        <w:ind w:left="1416"/>
        <w:rPr>
          <w:rFonts w:cs="Arial"/>
          <w:color w:val="000000"/>
        </w:rPr>
      </w:pPr>
    </w:p>
    <w:p w:rsidR="000C6310" w:rsidRPr="00F17656" w:rsidRDefault="000C6310" w:rsidP="006A2DDE">
      <w:pPr>
        <w:pStyle w:val="Prrafodelista"/>
        <w:numPr>
          <w:ilvl w:val="0"/>
          <w:numId w:val="2"/>
        </w:numPr>
        <w:jc w:val="both"/>
        <w:rPr>
          <w:rFonts w:cs="Arial"/>
          <w:color w:val="000000"/>
        </w:rPr>
      </w:pPr>
      <w:r w:rsidRPr="00984A6F">
        <w:rPr>
          <w:rFonts w:cs="Arial"/>
          <w:color w:val="000000"/>
        </w:rPr>
        <w:lastRenderedPageBreak/>
        <w:t>El 30 de Junio de 2015</w:t>
      </w:r>
      <w:r w:rsidR="004B17A7" w:rsidRPr="00984A6F">
        <w:rPr>
          <w:rFonts w:cs="Arial"/>
          <w:color w:val="000000"/>
        </w:rPr>
        <w:t xml:space="preserve"> </w:t>
      </w:r>
      <w:r w:rsidRPr="00984A6F">
        <w:rPr>
          <w:rFonts w:cs="Arial"/>
          <w:color w:val="000000"/>
        </w:rPr>
        <w:t xml:space="preserve">venció </w:t>
      </w:r>
      <w:r w:rsidR="004B17A7" w:rsidRPr="00984A6F">
        <w:rPr>
          <w:rFonts w:cs="Arial"/>
          <w:color w:val="000000"/>
        </w:rPr>
        <w:t>el Fideicomiso de Administración y Cumplimiento INDE-PASABIEN</w:t>
      </w:r>
      <w:r w:rsidR="006A2DDE" w:rsidRPr="00984A6F">
        <w:rPr>
          <w:rFonts w:cs="Arial"/>
          <w:color w:val="000000"/>
        </w:rPr>
        <w:t xml:space="preserve">, </w:t>
      </w:r>
      <w:r w:rsidR="00376B16" w:rsidRPr="00984A6F">
        <w:rPr>
          <w:rFonts w:cs="Arial"/>
          <w:color w:val="000000"/>
        </w:rPr>
        <w:t>asi</w:t>
      </w:r>
      <w:r w:rsidR="006A2DDE" w:rsidRPr="00984A6F">
        <w:rPr>
          <w:rFonts w:cs="Arial"/>
          <w:color w:val="000000"/>
        </w:rPr>
        <w:t xml:space="preserve">mismo, el 14 de julio de </w:t>
      </w:r>
      <w:r w:rsidR="006A2DDE" w:rsidRPr="00F17656">
        <w:rPr>
          <w:rFonts w:cs="Arial"/>
          <w:color w:val="000000"/>
        </w:rPr>
        <w:t>2015 venció el Fideicomiso de Administración INDE-Obras Rurales de Occidente y Oriente,</w:t>
      </w:r>
      <w:r w:rsidR="00BB150B" w:rsidRPr="00F17656">
        <w:rPr>
          <w:rFonts w:cs="Arial"/>
          <w:color w:val="000000"/>
        </w:rPr>
        <w:t xml:space="preserve"> ambos responsabilidad del INDE y a los cuales se ha venido dando el seguimiento correspondiente.</w:t>
      </w:r>
    </w:p>
    <w:p w:rsidR="00016153" w:rsidRPr="00984A6F" w:rsidRDefault="00016153" w:rsidP="00016153">
      <w:pPr>
        <w:pStyle w:val="Prrafodelista"/>
        <w:rPr>
          <w:rFonts w:cs="Arial"/>
          <w:color w:val="000000"/>
        </w:rPr>
      </w:pPr>
    </w:p>
    <w:p w:rsidR="00330EAB" w:rsidRDefault="0053122C" w:rsidP="00330EAB">
      <w:pPr>
        <w:pStyle w:val="Prrafodelista"/>
        <w:numPr>
          <w:ilvl w:val="0"/>
          <w:numId w:val="2"/>
        </w:numPr>
        <w:jc w:val="both"/>
        <w:rPr>
          <w:rFonts w:cs="Arial"/>
          <w:color w:val="000000"/>
        </w:rPr>
      </w:pPr>
      <w:r w:rsidRPr="00984A6F">
        <w:rPr>
          <w:rFonts w:cs="Arial"/>
          <w:color w:val="000000"/>
        </w:rPr>
        <w:t xml:space="preserve">El </w:t>
      </w:r>
      <w:r w:rsidR="005C7865" w:rsidRPr="00984A6F">
        <w:rPr>
          <w:rFonts w:cs="Arial"/>
          <w:color w:val="000000"/>
        </w:rPr>
        <w:t>14</w:t>
      </w:r>
      <w:r w:rsidRPr="00984A6F">
        <w:rPr>
          <w:rFonts w:cs="Arial"/>
          <w:color w:val="000000"/>
        </w:rPr>
        <w:t xml:space="preserve"> de </w:t>
      </w:r>
      <w:r w:rsidR="005C7865" w:rsidRPr="001F0684">
        <w:rPr>
          <w:rFonts w:cs="Arial"/>
          <w:color w:val="000000"/>
        </w:rPr>
        <w:t>Julio</w:t>
      </w:r>
      <w:r w:rsidRPr="001F0684">
        <w:rPr>
          <w:rFonts w:cs="Arial"/>
          <w:color w:val="000000"/>
        </w:rPr>
        <w:t xml:space="preserve"> de 2015 se extinguió formalmente el Fideicomiso Movimiento Agrícola Regional</w:t>
      </w:r>
      <w:r w:rsidR="00126C5B" w:rsidRPr="001F0684">
        <w:rPr>
          <w:rFonts w:cs="Arial"/>
          <w:color w:val="000000"/>
        </w:rPr>
        <w:t xml:space="preserve"> -MAR-</w:t>
      </w:r>
      <w:r w:rsidRPr="001F0684">
        <w:rPr>
          <w:rFonts w:cs="Arial"/>
          <w:color w:val="000000"/>
        </w:rPr>
        <w:t xml:space="preserve"> mediante escritura Pública número</w:t>
      </w:r>
      <w:r w:rsidR="005C7865" w:rsidRPr="001F0684">
        <w:rPr>
          <w:rFonts w:cs="Arial"/>
          <w:color w:val="000000"/>
        </w:rPr>
        <w:t xml:space="preserve"> 181, de la Escribana de Cámara y de Gobierno</w:t>
      </w:r>
      <w:r w:rsidR="00290C34" w:rsidRPr="00330EAB">
        <w:rPr>
          <w:rFonts w:cs="Arial"/>
          <w:color w:val="000000"/>
        </w:rPr>
        <w:t>.</w:t>
      </w:r>
      <w:r w:rsidR="00CB1042" w:rsidRPr="00330EAB">
        <w:rPr>
          <w:rFonts w:cs="Arial"/>
          <w:color w:val="000000"/>
        </w:rPr>
        <w:t xml:space="preserve"> </w:t>
      </w:r>
      <w:r w:rsidR="00290C34" w:rsidRPr="00330EAB">
        <w:rPr>
          <w:rFonts w:cs="Arial"/>
          <w:color w:val="000000"/>
        </w:rPr>
        <w:t xml:space="preserve">Se emitió la </w:t>
      </w:r>
      <w:r w:rsidR="00CB1042" w:rsidRPr="00330EAB">
        <w:rPr>
          <w:rFonts w:cs="Arial"/>
          <w:color w:val="000000"/>
        </w:rPr>
        <w:t xml:space="preserve">escritura pública de finiquito </w:t>
      </w:r>
      <w:r w:rsidR="00290C34" w:rsidRPr="00330EAB">
        <w:rPr>
          <w:rFonts w:cs="Arial"/>
          <w:color w:val="000000"/>
        </w:rPr>
        <w:t>No.</w:t>
      </w:r>
      <w:r w:rsidR="00330EAB" w:rsidRPr="00330EAB">
        <w:rPr>
          <w:rFonts w:cs="Arial"/>
          <w:color w:val="000000"/>
        </w:rPr>
        <w:t xml:space="preserve"> 19 </w:t>
      </w:r>
      <w:r w:rsidR="00290C34" w:rsidRPr="00330EAB">
        <w:rPr>
          <w:rFonts w:cs="Arial"/>
          <w:color w:val="000000"/>
        </w:rPr>
        <w:t xml:space="preserve">del </w:t>
      </w:r>
      <w:r w:rsidR="00330EAB" w:rsidRPr="00330EAB">
        <w:rPr>
          <w:rFonts w:cs="Arial"/>
          <w:color w:val="000000"/>
        </w:rPr>
        <w:t>27 de febrero de 2018</w:t>
      </w:r>
      <w:r w:rsidR="00290C34" w:rsidRPr="00330EAB">
        <w:rPr>
          <w:rFonts w:cs="Arial"/>
          <w:color w:val="000000"/>
        </w:rPr>
        <w:t>, autorizada por la Escribana de Cámara y de Gobierno.</w:t>
      </w:r>
    </w:p>
    <w:p w:rsidR="00B577F8" w:rsidRPr="00B577F8" w:rsidRDefault="00B577F8" w:rsidP="00B577F8">
      <w:pPr>
        <w:pStyle w:val="Prrafodelista"/>
        <w:rPr>
          <w:rFonts w:cs="Arial"/>
          <w:color w:val="000000"/>
        </w:rPr>
      </w:pPr>
    </w:p>
    <w:p w:rsidR="00283CB8" w:rsidRPr="00330EAB" w:rsidRDefault="00283CB8" w:rsidP="00330EAB">
      <w:pPr>
        <w:jc w:val="both"/>
        <w:rPr>
          <w:rFonts w:cs="Arial"/>
          <w:color w:val="000000"/>
        </w:rPr>
      </w:pPr>
    </w:p>
    <w:p w:rsidR="00565B66" w:rsidRPr="00565B66" w:rsidRDefault="00283CB8" w:rsidP="00565B66">
      <w:pPr>
        <w:pStyle w:val="Prrafodelista"/>
        <w:numPr>
          <w:ilvl w:val="0"/>
          <w:numId w:val="2"/>
        </w:numPr>
        <w:jc w:val="both"/>
        <w:rPr>
          <w:rFonts w:cs="Arial"/>
          <w:color w:val="000000"/>
        </w:rPr>
      </w:pPr>
      <w:r w:rsidRPr="00565B66">
        <w:rPr>
          <w:rFonts w:cs="Arial"/>
          <w:color w:val="000000"/>
        </w:rPr>
        <w:t xml:space="preserve">El 12 de agosto de 2015 se extinguió formalmente el </w:t>
      </w:r>
      <w:r w:rsidR="00376B16" w:rsidRPr="00565B66">
        <w:rPr>
          <w:rFonts w:cs="Arial"/>
          <w:color w:val="000000"/>
        </w:rPr>
        <w:t>“</w:t>
      </w:r>
      <w:r w:rsidRPr="00565B66">
        <w:rPr>
          <w:rFonts w:cs="Arial"/>
          <w:color w:val="000000"/>
        </w:rPr>
        <w:t xml:space="preserve">Fideicomiso </w:t>
      </w:r>
      <w:r w:rsidR="009B0FDE" w:rsidRPr="00565B66">
        <w:rPr>
          <w:rFonts w:cs="Arial"/>
          <w:color w:val="000000"/>
        </w:rPr>
        <w:t xml:space="preserve">Proveniente de las </w:t>
      </w:r>
      <w:r w:rsidRPr="00565B66">
        <w:rPr>
          <w:rFonts w:cs="Arial"/>
          <w:color w:val="000000"/>
        </w:rPr>
        <w:t>Utilidades</w:t>
      </w:r>
      <w:r w:rsidR="009B0FDE" w:rsidRPr="00565B66">
        <w:rPr>
          <w:rFonts w:cs="Arial"/>
          <w:color w:val="000000"/>
        </w:rPr>
        <w:t xml:space="preserve"> N</w:t>
      </w:r>
      <w:r w:rsidR="00967676" w:rsidRPr="00565B66">
        <w:rPr>
          <w:rFonts w:cs="Arial"/>
          <w:color w:val="000000"/>
        </w:rPr>
        <w:t xml:space="preserve">etas </w:t>
      </w:r>
      <w:r w:rsidR="009B0FDE" w:rsidRPr="00565B66">
        <w:rPr>
          <w:rFonts w:cs="Arial"/>
          <w:color w:val="000000"/>
        </w:rPr>
        <w:t>A</w:t>
      </w:r>
      <w:r w:rsidR="00967676" w:rsidRPr="00565B66">
        <w:rPr>
          <w:rFonts w:cs="Arial"/>
          <w:color w:val="000000"/>
        </w:rPr>
        <w:t xml:space="preserve">nuales y </w:t>
      </w:r>
      <w:r w:rsidR="009B0FDE" w:rsidRPr="00565B66">
        <w:rPr>
          <w:rFonts w:cs="Arial"/>
          <w:color w:val="000000"/>
        </w:rPr>
        <w:t>D</w:t>
      </w:r>
      <w:r w:rsidR="00967676" w:rsidRPr="00565B66">
        <w:rPr>
          <w:rFonts w:cs="Arial"/>
          <w:color w:val="000000"/>
        </w:rPr>
        <w:t xml:space="preserve">ividendos de </w:t>
      </w:r>
      <w:r w:rsidR="009B0FDE" w:rsidRPr="00565B66">
        <w:rPr>
          <w:rFonts w:cs="Arial"/>
          <w:color w:val="000000"/>
        </w:rPr>
        <w:t>CORFINA</w:t>
      </w:r>
      <w:r w:rsidR="00376B16" w:rsidRPr="00565B66">
        <w:rPr>
          <w:rFonts w:cs="Arial"/>
          <w:color w:val="000000"/>
        </w:rPr>
        <w:t>” (Fideicomiso UTILIDADES)</w:t>
      </w:r>
      <w:r w:rsidR="009B0FDE" w:rsidRPr="00565B66">
        <w:rPr>
          <w:rFonts w:cs="Arial"/>
          <w:color w:val="000000"/>
        </w:rPr>
        <w:t xml:space="preserve"> </w:t>
      </w:r>
      <w:r w:rsidRPr="00565B66">
        <w:rPr>
          <w:rFonts w:cs="Arial"/>
          <w:color w:val="000000"/>
        </w:rPr>
        <w:t>mediante escritura Pública número 192 de la Escribana de Cámara y de Gobierno.</w:t>
      </w:r>
      <w:r w:rsidR="00FF3D5E" w:rsidRPr="00565B66">
        <w:rPr>
          <w:rFonts w:cs="Arial"/>
          <w:color w:val="000000"/>
        </w:rPr>
        <w:t xml:space="preserve"> </w:t>
      </w:r>
      <w:r w:rsidR="00565B66" w:rsidRPr="00565B66">
        <w:rPr>
          <w:rFonts w:cs="Arial"/>
          <w:color w:val="000000"/>
        </w:rPr>
        <w:t>Se emitió la escritura pública de finiquito No.</w:t>
      </w:r>
      <w:r w:rsidR="00565B66">
        <w:rPr>
          <w:rFonts w:cs="Arial"/>
          <w:color w:val="000000"/>
        </w:rPr>
        <w:t xml:space="preserve"> 100</w:t>
      </w:r>
      <w:r w:rsidR="00565B66" w:rsidRPr="00565B66">
        <w:rPr>
          <w:rFonts w:cs="Arial"/>
          <w:color w:val="000000"/>
        </w:rPr>
        <w:t xml:space="preserve"> del </w:t>
      </w:r>
      <w:r w:rsidR="00565B66">
        <w:rPr>
          <w:rFonts w:cs="Arial"/>
          <w:color w:val="000000"/>
        </w:rPr>
        <w:t>16</w:t>
      </w:r>
      <w:r w:rsidR="00565B66" w:rsidRPr="00565B66">
        <w:rPr>
          <w:rFonts w:cs="Arial"/>
          <w:color w:val="000000"/>
        </w:rPr>
        <w:t xml:space="preserve"> de </w:t>
      </w:r>
      <w:r w:rsidR="00565B66">
        <w:rPr>
          <w:rFonts w:cs="Arial"/>
          <w:color w:val="000000"/>
        </w:rPr>
        <w:t>noviembre de</w:t>
      </w:r>
      <w:r w:rsidR="00ED0DCE">
        <w:rPr>
          <w:rFonts w:cs="Arial"/>
          <w:color w:val="000000"/>
        </w:rPr>
        <w:t xml:space="preserve"> 2017</w:t>
      </w:r>
      <w:r w:rsidR="00565B66" w:rsidRPr="00565B66">
        <w:rPr>
          <w:rFonts w:cs="Arial"/>
          <w:color w:val="000000"/>
        </w:rPr>
        <w:t>, autorizada por la Escribana de Cámara y de Gobierno.</w:t>
      </w:r>
    </w:p>
    <w:p w:rsidR="00565B66" w:rsidRPr="00565B66" w:rsidRDefault="00565B66" w:rsidP="00565B66">
      <w:pPr>
        <w:pStyle w:val="Prrafodelista"/>
        <w:jc w:val="both"/>
        <w:rPr>
          <w:rFonts w:cs="Arial"/>
          <w:color w:val="000000"/>
        </w:rPr>
      </w:pPr>
    </w:p>
    <w:p w:rsidR="00232B57" w:rsidRPr="00584D9D" w:rsidRDefault="00232B57" w:rsidP="00232B57">
      <w:pPr>
        <w:pStyle w:val="Prrafodelista"/>
        <w:numPr>
          <w:ilvl w:val="0"/>
          <w:numId w:val="2"/>
        </w:numPr>
        <w:jc w:val="both"/>
        <w:rPr>
          <w:rFonts w:cs="Arial"/>
          <w:color w:val="000000"/>
        </w:rPr>
      </w:pPr>
      <w:r w:rsidRPr="00565B66">
        <w:rPr>
          <w:rFonts w:cs="Arial"/>
          <w:color w:val="000000"/>
        </w:rPr>
        <w:t>El 11 de noviembre de 2015 se extinguió formalmente el Fideicomiso de Inversión con</w:t>
      </w:r>
      <w:r w:rsidR="00584D9D" w:rsidRPr="00565B66">
        <w:rPr>
          <w:rFonts w:cs="Arial"/>
          <w:color w:val="000000"/>
        </w:rPr>
        <w:t xml:space="preserve"> </w:t>
      </w:r>
      <w:r w:rsidRPr="00565B66">
        <w:rPr>
          <w:rFonts w:cs="Arial"/>
          <w:color w:val="000000"/>
        </w:rPr>
        <w:t>Garantía</w:t>
      </w:r>
      <w:r w:rsidR="00CB1042" w:rsidRPr="00565B66">
        <w:rPr>
          <w:rFonts w:cs="Arial"/>
          <w:color w:val="000000"/>
        </w:rPr>
        <w:t>, constituido en CORFINA,</w:t>
      </w:r>
      <w:r w:rsidRPr="00565B66">
        <w:rPr>
          <w:rFonts w:cs="Arial"/>
          <w:color w:val="000000"/>
        </w:rPr>
        <w:t xml:space="preserve"> mediante escritura Pública número 223 de la Escribana de Cámara y de Gobierno</w:t>
      </w:r>
      <w:r w:rsidRPr="00584D9D">
        <w:rPr>
          <w:rFonts w:cs="Arial"/>
          <w:color w:val="000000"/>
        </w:rPr>
        <w:t>.</w:t>
      </w:r>
    </w:p>
    <w:p w:rsidR="00232B57" w:rsidRPr="00984A6F" w:rsidRDefault="00232B57" w:rsidP="00232B57">
      <w:pPr>
        <w:pStyle w:val="Prrafodelista"/>
        <w:rPr>
          <w:rFonts w:cs="Arial"/>
          <w:color w:val="000000"/>
        </w:rPr>
      </w:pPr>
    </w:p>
    <w:p w:rsidR="0039330B" w:rsidRPr="00984A6F" w:rsidRDefault="00232B57" w:rsidP="00C137D1">
      <w:pPr>
        <w:pStyle w:val="Prrafodelista"/>
        <w:numPr>
          <w:ilvl w:val="0"/>
          <w:numId w:val="2"/>
        </w:numPr>
        <w:jc w:val="both"/>
        <w:rPr>
          <w:rFonts w:cs="Arial"/>
          <w:color w:val="000000"/>
        </w:rPr>
      </w:pPr>
      <w:r w:rsidRPr="00984A6F">
        <w:rPr>
          <w:rFonts w:cs="Arial"/>
          <w:color w:val="000000"/>
        </w:rPr>
        <w:t xml:space="preserve">El 13 de noviembre de 2015 se extinguió formalmente el Fideicomiso </w:t>
      </w:r>
      <w:r w:rsidR="00777658" w:rsidRPr="00984A6F">
        <w:rPr>
          <w:rFonts w:cs="Arial"/>
          <w:color w:val="000000"/>
        </w:rPr>
        <w:t>Crédito</w:t>
      </w:r>
      <w:r w:rsidRPr="00984A6F">
        <w:rPr>
          <w:rFonts w:cs="Arial"/>
          <w:color w:val="000000"/>
        </w:rPr>
        <w:t xml:space="preserve"> de Desarrollo Agropecuario </w:t>
      </w:r>
      <w:r w:rsidR="00376B16" w:rsidRPr="00984A6F">
        <w:rPr>
          <w:rFonts w:cs="Arial"/>
          <w:color w:val="000000"/>
        </w:rPr>
        <w:t xml:space="preserve">–CREDESA– </w:t>
      </w:r>
      <w:r w:rsidRPr="00984A6F">
        <w:rPr>
          <w:rFonts w:cs="Arial"/>
          <w:color w:val="000000"/>
        </w:rPr>
        <w:t>mediante escritura Pública número 224 de la Es</w:t>
      </w:r>
      <w:r w:rsidR="00C137D1" w:rsidRPr="00984A6F">
        <w:rPr>
          <w:rFonts w:cs="Arial"/>
          <w:color w:val="000000"/>
        </w:rPr>
        <w:t>cribana de Cámara y de Gobierno.</w:t>
      </w:r>
    </w:p>
    <w:p w:rsidR="00C137D1" w:rsidRPr="00C137D1" w:rsidRDefault="00C137D1" w:rsidP="00C137D1">
      <w:pPr>
        <w:pStyle w:val="Prrafodelista"/>
        <w:rPr>
          <w:rFonts w:cs="Arial"/>
          <w:color w:val="000000"/>
        </w:rPr>
      </w:pPr>
    </w:p>
    <w:p w:rsidR="00F4547D" w:rsidRPr="0025130C" w:rsidRDefault="007A1E0A" w:rsidP="00F4547D">
      <w:pPr>
        <w:pStyle w:val="Prrafodelista"/>
        <w:numPr>
          <w:ilvl w:val="0"/>
          <w:numId w:val="2"/>
        </w:numPr>
        <w:jc w:val="both"/>
        <w:rPr>
          <w:rFonts w:cs="Arial"/>
          <w:color w:val="000000"/>
        </w:rPr>
      </w:pPr>
      <w:r w:rsidRPr="0025130C">
        <w:rPr>
          <w:rFonts w:cs="Arial"/>
          <w:color w:val="000000"/>
        </w:rPr>
        <w:t xml:space="preserve">El 26 de </w:t>
      </w:r>
      <w:r w:rsidR="0025130C" w:rsidRPr="00332A7B">
        <w:rPr>
          <w:rFonts w:cs="Arial"/>
        </w:rPr>
        <w:t>octubre se constituyó mediante escritura pública número 95</w:t>
      </w:r>
      <w:r w:rsidR="00CB1042" w:rsidRPr="00332A7B">
        <w:rPr>
          <w:rFonts w:cs="Arial"/>
        </w:rPr>
        <w:t xml:space="preserve"> de la Escribano de Cámara y de Gobierno </w:t>
      </w:r>
      <w:r w:rsidR="0025130C" w:rsidRPr="00332A7B">
        <w:rPr>
          <w:rFonts w:cs="Arial"/>
        </w:rPr>
        <w:t xml:space="preserve">el Fideicomiso del Fondo de Desarrollo </w:t>
      </w:r>
      <w:r w:rsidR="00BF1BAF" w:rsidRPr="00332A7B">
        <w:rPr>
          <w:rFonts w:cs="Arial"/>
        </w:rPr>
        <w:t>Indígena</w:t>
      </w:r>
      <w:r w:rsidR="0025130C" w:rsidRPr="00332A7B">
        <w:rPr>
          <w:rFonts w:cs="Arial"/>
        </w:rPr>
        <w:t xml:space="preserve"> Guatemalteco</w:t>
      </w:r>
      <w:r w:rsidR="0025130C">
        <w:rPr>
          <w:rFonts w:cs="Arial"/>
        </w:rPr>
        <w:t xml:space="preserve"> -FIFODIGUA</w:t>
      </w:r>
      <w:r w:rsidR="0025130C" w:rsidRPr="0025130C">
        <w:rPr>
          <w:rFonts w:cs="Arial"/>
        </w:rPr>
        <w:t>- cuyo fiduciario es el Banco Crédito Hipotecario Nacional –CHN-</w:t>
      </w:r>
      <w:r w:rsidR="0025130C">
        <w:rPr>
          <w:rFonts w:cs="Arial"/>
        </w:rPr>
        <w:t>, el cual sustituye al fide</w:t>
      </w:r>
      <w:r w:rsidR="005A216A">
        <w:rPr>
          <w:rFonts w:cs="Arial"/>
        </w:rPr>
        <w:t>icomiso FODIGUA</w:t>
      </w:r>
      <w:r w:rsidR="0025130C">
        <w:rPr>
          <w:rFonts w:cs="Arial"/>
        </w:rPr>
        <w:t>.</w:t>
      </w:r>
    </w:p>
    <w:p w:rsidR="0025130C" w:rsidRPr="0025130C" w:rsidRDefault="0025130C" w:rsidP="0025130C">
      <w:pPr>
        <w:jc w:val="both"/>
        <w:rPr>
          <w:rFonts w:cs="Arial"/>
          <w:color w:val="000000"/>
        </w:rPr>
      </w:pPr>
    </w:p>
    <w:p w:rsidR="00F94C8F" w:rsidRPr="00F17656" w:rsidRDefault="00556348" w:rsidP="00E16B64">
      <w:pPr>
        <w:pStyle w:val="Prrafodelista"/>
        <w:numPr>
          <w:ilvl w:val="0"/>
          <w:numId w:val="2"/>
        </w:numPr>
        <w:jc w:val="both"/>
        <w:rPr>
          <w:rFonts w:cs="Arial"/>
          <w:color w:val="000000"/>
        </w:rPr>
      </w:pPr>
      <w:r w:rsidRPr="00F17656">
        <w:rPr>
          <w:rFonts w:cs="Arial"/>
          <w:color w:val="000000"/>
        </w:rPr>
        <w:t>El 30 de diciembre 2015 venc</w:t>
      </w:r>
      <w:r w:rsidR="00BB150B" w:rsidRPr="00F17656">
        <w:rPr>
          <w:rFonts w:cs="Arial"/>
          <w:color w:val="000000"/>
        </w:rPr>
        <w:t>ió</w:t>
      </w:r>
      <w:r w:rsidRPr="00F17656">
        <w:rPr>
          <w:rFonts w:cs="Arial"/>
          <w:color w:val="000000"/>
        </w:rPr>
        <w:t xml:space="preserve"> el Fideicomiso FIDEMIXCO</w:t>
      </w:r>
      <w:r w:rsidR="00BB150B" w:rsidRPr="00F17656">
        <w:rPr>
          <w:rFonts w:cs="Arial"/>
          <w:color w:val="000000"/>
        </w:rPr>
        <w:t>,</w:t>
      </w:r>
      <w:r w:rsidRPr="00F17656">
        <w:rPr>
          <w:rFonts w:cs="Arial"/>
          <w:color w:val="000000"/>
        </w:rPr>
        <w:t xml:space="preserve"> y se extinguió formalmente e</w:t>
      </w:r>
      <w:r w:rsidR="00F4547D" w:rsidRPr="00F17656">
        <w:rPr>
          <w:rFonts w:cs="Arial"/>
          <w:color w:val="000000"/>
        </w:rPr>
        <w:t xml:space="preserve">l 14 de enero de 2016 </w:t>
      </w:r>
      <w:r w:rsidR="00F94C8F" w:rsidRPr="00F17656">
        <w:rPr>
          <w:rFonts w:cs="Arial"/>
          <w:color w:val="000000"/>
        </w:rPr>
        <w:t xml:space="preserve">mediante escritura Pública número 01 autorizada por </w:t>
      </w:r>
      <w:r w:rsidR="00376B16" w:rsidRPr="00F17656">
        <w:rPr>
          <w:rFonts w:cs="Arial"/>
          <w:color w:val="000000"/>
        </w:rPr>
        <w:t xml:space="preserve">el </w:t>
      </w:r>
      <w:r w:rsidR="00F94C8F" w:rsidRPr="00F17656">
        <w:rPr>
          <w:rFonts w:cs="Arial"/>
          <w:color w:val="000000"/>
        </w:rPr>
        <w:t>notari</w:t>
      </w:r>
      <w:r w:rsidR="00376B16" w:rsidRPr="00F17656">
        <w:rPr>
          <w:rFonts w:cs="Arial"/>
          <w:color w:val="000000"/>
        </w:rPr>
        <w:t>o</w:t>
      </w:r>
      <w:r w:rsidR="00F94C8F" w:rsidRPr="00F17656">
        <w:rPr>
          <w:rFonts w:cs="Arial"/>
          <w:color w:val="000000"/>
        </w:rPr>
        <w:t xml:space="preserve"> Sergio Daniel Medina </w:t>
      </w:r>
      <w:proofErr w:type="spellStart"/>
      <w:r w:rsidR="00F94C8F" w:rsidRPr="00F17656">
        <w:rPr>
          <w:rFonts w:cs="Arial"/>
          <w:color w:val="000000"/>
        </w:rPr>
        <w:t>Vielman</w:t>
      </w:r>
      <w:proofErr w:type="spellEnd"/>
      <w:r w:rsidR="00F94C8F" w:rsidRPr="00F17656">
        <w:rPr>
          <w:rFonts w:cs="Arial"/>
          <w:color w:val="000000"/>
        </w:rPr>
        <w:t>.</w:t>
      </w:r>
    </w:p>
    <w:p w:rsidR="005A1B20" w:rsidRPr="005A1B20" w:rsidRDefault="005A1B20" w:rsidP="005A1B20">
      <w:pPr>
        <w:pStyle w:val="Prrafodelista"/>
        <w:rPr>
          <w:rFonts w:cs="Arial"/>
          <w:color w:val="000000"/>
        </w:rPr>
      </w:pPr>
    </w:p>
    <w:p w:rsidR="00012C94" w:rsidRPr="00F17656" w:rsidRDefault="005A1B20" w:rsidP="00012C94">
      <w:pPr>
        <w:pStyle w:val="Prrafodelista"/>
        <w:numPr>
          <w:ilvl w:val="0"/>
          <w:numId w:val="2"/>
        </w:numPr>
        <w:jc w:val="both"/>
        <w:rPr>
          <w:rFonts w:cs="Arial"/>
          <w:color w:val="000000"/>
        </w:rPr>
      </w:pPr>
      <w:r w:rsidRPr="00012C94">
        <w:rPr>
          <w:rFonts w:cs="Arial"/>
          <w:color w:val="000000"/>
        </w:rPr>
        <w:t xml:space="preserve">El 20 de abril </w:t>
      </w:r>
      <w:r w:rsidRPr="00012C94">
        <w:rPr>
          <w:rFonts w:cs="Arial"/>
          <w:color w:val="000000" w:themeColor="text1"/>
        </w:rPr>
        <w:t>de 2016 venció el Fideicomiso Muni</w:t>
      </w:r>
      <w:r w:rsidR="004D21B8" w:rsidRPr="00012C94">
        <w:rPr>
          <w:rFonts w:cs="Arial"/>
          <w:color w:val="000000" w:themeColor="text1"/>
        </w:rPr>
        <w:t xml:space="preserve">cipalidad de </w:t>
      </w:r>
      <w:proofErr w:type="spellStart"/>
      <w:r w:rsidR="004D21B8" w:rsidRPr="00012C94">
        <w:rPr>
          <w:rFonts w:cs="Arial"/>
          <w:color w:val="000000" w:themeColor="text1"/>
        </w:rPr>
        <w:t>Iztapa</w:t>
      </w:r>
      <w:proofErr w:type="spellEnd"/>
      <w:r w:rsidR="004D21B8" w:rsidRPr="00012C94">
        <w:rPr>
          <w:rFonts w:cs="Arial"/>
          <w:color w:val="000000" w:themeColor="text1"/>
        </w:rPr>
        <w:t xml:space="preserve">, </w:t>
      </w:r>
      <w:r w:rsidR="00012C94" w:rsidRPr="00F17656">
        <w:rPr>
          <w:rFonts w:cs="Arial"/>
          <w:color w:val="000000"/>
        </w:rPr>
        <w:t xml:space="preserve">y se extinguió formalmente el </w:t>
      </w:r>
      <w:r w:rsidR="00012C94">
        <w:rPr>
          <w:rFonts w:cs="Arial"/>
          <w:color w:val="000000"/>
        </w:rPr>
        <w:t>27</w:t>
      </w:r>
      <w:r w:rsidR="00012C94" w:rsidRPr="00F17656">
        <w:rPr>
          <w:rFonts w:cs="Arial"/>
          <w:color w:val="000000"/>
        </w:rPr>
        <w:t xml:space="preserve"> de </w:t>
      </w:r>
      <w:r w:rsidR="00012C94">
        <w:rPr>
          <w:rFonts w:cs="Arial"/>
          <w:color w:val="000000"/>
        </w:rPr>
        <w:t xml:space="preserve">marzo </w:t>
      </w:r>
      <w:r w:rsidR="00012C94" w:rsidRPr="00F17656">
        <w:rPr>
          <w:rFonts w:cs="Arial"/>
          <w:color w:val="000000"/>
        </w:rPr>
        <w:t>de 201</w:t>
      </w:r>
      <w:r w:rsidR="00012C94">
        <w:rPr>
          <w:rFonts w:cs="Arial"/>
          <w:color w:val="000000"/>
        </w:rPr>
        <w:t xml:space="preserve">7 </w:t>
      </w:r>
      <w:r w:rsidR="00012C94" w:rsidRPr="00F17656">
        <w:rPr>
          <w:rFonts w:cs="Arial"/>
          <w:color w:val="000000"/>
        </w:rPr>
        <w:t>medi</w:t>
      </w:r>
      <w:r w:rsidR="00012C94">
        <w:rPr>
          <w:rFonts w:cs="Arial"/>
          <w:color w:val="000000"/>
        </w:rPr>
        <w:t>ante escritura Pública número 57</w:t>
      </w:r>
      <w:r w:rsidR="00012C94" w:rsidRPr="00F17656">
        <w:rPr>
          <w:rFonts w:cs="Arial"/>
          <w:color w:val="000000"/>
        </w:rPr>
        <w:t xml:space="preserve"> autorizada por </w:t>
      </w:r>
      <w:r w:rsidR="00012C94">
        <w:rPr>
          <w:rFonts w:cs="Arial"/>
          <w:color w:val="000000"/>
        </w:rPr>
        <w:t>la</w:t>
      </w:r>
      <w:r w:rsidR="00012C94" w:rsidRPr="00F17656">
        <w:rPr>
          <w:rFonts w:cs="Arial"/>
          <w:color w:val="000000"/>
        </w:rPr>
        <w:t xml:space="preserve"> notari</w:t>
      </w:r>
      <w:r w:rsidR="00012C94">
        <w:rPr>
          <w:rFonts w:cs="Arial"/>
          <w:color w:val="000000"/>
        </w:rPr>
        <w:t>a</w:t>
      </w:r>
      <w:r w:rsidR="00012C94" w:rsidRPr="00F17656">
        <w:rPr>
          <w:rFonts w:cs="Arial"/>
          <w:color w:val="000000"/>
        </w:rPr>
        <w:t xml:space="preserve"> </w:t>
      </w:r>
      <w:proofErr w:type="spellStart"/>
      <w:r w:rsidR="00012C94">
        <w:rPr>
          <w:rFonts w:cs="Arial"/>
          <w:color w:val="000000"/>
        </w:rPr>
        <w:t>Jackqueline</w:t>
      </w:r>
      <w:proofErr w:type="spellEnd"/>
      <w:r w:rsidR="00012C94">
        <w:rPr>
          <w:rFonts w:cs="Arial"/>
          <w:color w:val="000000"/>
        </w:rPr>
        <w:t xml:space="preserve"> </w:t>
      </w:r>
      <w:proofErr w:type="spellStart"/>
      <w:r w:rsidR="00012C94">
        <w:rPr>
          <w:rFonts w:cs="Arial"/>
          <w:color w:val="000000"/>
        </w:rPr>
        <w:t>Lisseth</w:t>
      </w:r>
      <w:proofErr w:type="spellEnd"/>
      <w:r w:rsidR="00012C94">
        <w:rPr>
          <w:rFonts w:cs="Arial"/>
          <w:color w:val="000000"/>
        </w:rPr>
        <w:t xml:space="preserve"> </w:t>
      </w:r>
      <w:proofErr w:type="spellStart"/>
      <w:r w:rsidR="00012C94">
        <w:rPr>
          <w:rFonts w:cs="Arial"/>
          <w:color w:val="000000"/>
        </w:rPr>
        <w:t>Salay</w:t>
      </w:r>
      <w:proofErr w:type="spellEnd"/>
      <w:r w:rsidR="00012C94">
        <w:rPr>
          <w:rFonts w:cs="Arial"/>
          <w:color w:val="000000"/>
        </w:rPr>
        <w:t xml:space="preserve"> Hernández</w:t>
      </w:r>
      <w:r w:rsidR="00012C94" w:rsidRPr="00F17656">
        <w:rPr>
          <w:rFonts w:cs="Arial"/>
          <w:color w:val="000000"/>
        </w:rPr>
        <w:t>.</w:t>
      </w:r>
    </w:p>
    <w:p w:rsidR="007F4293" w:rsidRPr="00012C94" w:rsidRDefault="007F4293" w:rsidP="009D4E98">
      <w:pPr>
        <w:pStyle w:val="Prrafodelista"/>
        <w:jc w:val="both"/>
        <w:rPr>
          <w:rFonts w:cs="Arial"/>
          <w:color w:val="000000" w:themeColor="text1"/>
        </w:rPr>
      </w:pPr>
    </w:p>
    <w:p w:rsidR="007F4293" w:rsidRPr="00332A7B" w:rsidRDefault="007F4293" w:rsidP="007F4293">
      <w:pPr>
        <w:pStyle w:val="Prrafodelista"/>
        <w:numPr>
          <w:ilvl w:val="0"/>
          <w:numId w:val="2"/>
        </w:numPr>
        <w:jc w:val="both"/>
        <w:rPr>
          <w:rFonts w:cs="Arial"/>
          <w:color w:val="000000" w:themeColor="text1"/>
        </w:rPr>
      </w:pPr>
      <w:r w:rsidRPr="0052478F">
        <w:rPr>
          <w:rFonts w:cs="Arial"/>
          <w:color w:val="000000" w:themeColor="text1"/>
        </w:rPr>
        <w:t>El 11 de Julio de 2016 venció el Fideicomiso de Administración del Fondo Nacional de Ciencia y Tecnología -FONACYT-.</w:t>
      </w:r>
      <w:r w:rsidR="00A0089D" w:rsidRPr="0052478F">
        <w:rPr>
          <w:rFonts w:cs="Arial"/>
          <w:color w:val="000000" w:themeColor="text1"/>
        </w:rPr>
        <w:t xml:space="preserve"> </w:t>
      </w:r>
      <w:r w:rsidR="0025130C" w:rsidRPr="0052478F">
        <w:rPr>
          <w:rFonts w:cs="Arial"/>
          <w:color w:val="000000" w:themeColor="text1"/>
        </w:rPr>
        <w:t xml:space="preserve">El </w:t>
      </w:r>
      <w:r w:rsidR="0025130C" w:rsidRPr="00332A7B">
        <w:rPr>
          <w:rFonts w:cs="Arial"/>
          <w:color w:val="000000" w:themeColor="text1"/>
        </w:rPr>
        <w:t>04 de octubre se constituyó mediante escritura pública número 87, el F</w:t>
      </w:r>
      <w:r w:rsidR="00A0089D" w:rsidRPr="00332A7B">
        <w:rPr>
          <w:rFonts w:cs="Arial"/>
          <w:color w:val="000000" w:themeColor="text1"/>
        </w:rPr>
        <w:t>ideicomiso</w:t>
      </w:r>
      <w:r w:rsidR="0025130C" w:rsidRPr="00332A7B">
        <w:rPr>
          <w:rFonts w:cs="Arial"/>
          <w:color w:val="000000" w:themeColor="text1"/>
        </w:rPr>
        <w:t xml:space="preserve"> Nacional de Desarrollo Científico y Tecnológico               -FINDECYT-  cuyo </w:t>
      </w:r>
      <w:r w:rsidR="001B44F1" w:rsidRPr="00332A7B">
        <w:rPr>
          <w:rFonts w:cs="Arial"/>
          <w:color w:val="000000" w:themeColor="text1"/>
        </w:rPr>
        <w:t>fiduciario</w:t>
      </w:r>
      <w:r w:rsidR="0025130C" w:rsidRPr="00332A7B">
        <w:rPr>
          <w:rFonts w:cs="Arial"/>
          <w:color w:val="000000" w:themeColor="text1"/>
        </w:rPr>
        <w:t xml:space="preserve"> es el Banco </w:t>
      </w:r>
      <w:r w:rsidR="00921A04">
        <w:rPr>
          <w:rFonts w:cs="Arial"/>
          <w:color w:val="000000" w:themeColor="text1"/>
        </w:rPr>
        <w:t xml:space="preserve">El </w:t>
      </w:r>
      <w:r w:rsidR="0025130C" w:rsidRPr="00332A7B">
        <w:rPr>
          <w:rFonts w:cs="Arial"/>
          <w:color w:val="000000" w:themeColor="text1"/>
        </w:rPr>
        <w:t>Crédito Hipotecario Nacional</w:t>
      </w:r>
      <w:r w:rsidR="00921A04">
        <w:rPr>
          <w:rFonts w:cs="Arial"/>
          <w:color w:val="000000" w:themeColor="text1"/>
        </w:rPr>
        <w:t xml:space="preserve"> de Guatemala</w:t>
      </w:r>
      <w:r w:rsidR="001B44F1" w:rsidRPr="00332A7B">
        <w:rPr>
          <w:rFonts w:cs="Arial"/>
          <w:color w:val="000000" w:themeColor="text1"/>
        </w:rPr>
        <w:t xml:space="preserve"> </w:t>
      </w:r>
      <w:r w:rsidR="0025130C" w:rsidRPr="00332A7B">
        <w:rPr>
          <w:rFonts w:cs="Arial"/>
          <w:color w:val="000000" w:themeColor="text1"/>
        </w:rPr>
        <w:t>–</w:t>
      </w:r>
      <w:r w:rsidR="001B44F1" w:rsidRPr="00332A7B">
        <w:rPr>
          <w:rFonts w:cs="Arial"/>
          <w:color w:val="000000" w:themeColor="text1"/>
        </w:rPr>
        <w:t>CHN</w:t>
      </w:r>
      <w:r w:rsidR="0025130C" w:rsidRPr="00332A7B">
        <w:rPr>
          <w:rFonts w:cs="Arial"/>
          <w:color w:val="000000" w:themeColor="text1"/>
        </w:rPr>
        <w:t xml:space="preserve">-, el cual </w:t>
      </w:r>
      <w:r w:rsidR="00CB1042" w:rsidRPr="00332A7B">
        <w:rPr>
          <w:rFonts w:cs="Arial"/>
          <w:color w:val="000000" w:themeColor="text1"/>
        </w:rPr>
        <w:t xml:space="preserve">lo </w:t>
      </w:r>
      <w:r w:rsidR="0025130C" w:rsidRPr="00332A7B">
        <w:rPr>
          <w:rFonts w:cs="Arial"/>
          <w:color w:val="000000" w:themeColor="text1"/>
        </w:rPr>
        <w:t>sustituy</w:t>
      </w:r>
      <w:r w:rsidR="00CB1042" w:rsidRPr="00332A7B">
        <w:rPr>
          <w:rFonts w:cs="Arial"/>
          <w:color w:val="000000" w:themeColor="text1"/>
        </w:rPr>
        <w:t>ó</w:t>
      </w:r>
      <w:r w:rsidR="0025130C" w:rsidRPr="00332A7B">
        <w:rPr>
          <w:rFonts w:cs="Arial"/>
          <w:color w:val="000000" w:themeColor="text1"/>
        </w:rPr>
        <w:t xml:space="preserve"> </w:t>
      </w:r>
      <w:r w:rsidR="00CB1042" w:rsidRPr="00332A7B">
        <w:rPr>
          <w:rFonts w:cs="Arial"/>
          <w:color w:val="000000" w:themeColor="text1"/>
        </w:rPr>
        <w:t>como instrumento de ejecución del Fondo.</w:t>
      </w:r>
    </w:p>
    <w:p w:rsidR="000255A3" w:rsidRPr="0052478F" w:rsidRDefault="000255A3" w:rsidP="000255A3">
      <w:pPr>
        <w:pStyle w:val="Prrafodelista"/>
        <w:rPr>
          <w:rFonts w:cs="Arial"/>
          <w:color w:val="000000" w:themeColor="text1"/>
        </w:rPr>
      </w:pPr>
    </w:p>
    <w:p w:rsidR="000255A3" w:rsidRDefault="000255A3" w:rsidP="004D21B8">
      <w:pPr>
        <w:pStyle w:val="Prrafodelista"/>
        <w:numPr>
          <w:ilvl w:val="0"/>
          <w:numId w:val="2"/>
        </w:numPr>
        <w:jc w:val="both"/>
        <w:rPr>
          <w:rFonts w:cs="Arial"/>
          <w:color w:val="000000" w:themeColor="text1"/>
        </w:rPr>
      </w:pPr>
      <w:r w:rsidRPr="0052478F">
        <w:rPr>
          <w:rFonts w:cs="Arial"/>
          <w:color w:val="000000" w:themeColor="text1"/>
        </w:rPr>
        <w:lastRenderedPageBreak/>
        <w:t xml:space="preserve">El 13 </w:t>
      </w:r>
      <w:r w:rsidR="004D21B8" w:rsidRPr="0052478F">
        <w:rPr>
          <w:rFonts w:cs="Arial"/>
          <w:color w:val="000000" w:themeColor="text1"/>
        </w:rPr>
        <w:t xml:space="preserve">y 28 </w:t>
      </w:r>
      <w:r w:rsidRPr="0052478F">
        <w:rPr>
          <w:rFonts w:cs="Arial"/>
          <w:color w:val="000000" w:themeColor="text1"/>
        </w:rPr>
        <w:t>de noviembre de 2016</w:t>
      </w:r>
      <w:r w:rsidR="004D21B8" w:rsidRPr="0052478F">
        <w:rPr>
          <w:rFonts w:cs="Arial"/>
          <w:color w:val="000000" w:themeColor="text1"/>
        </w:rPr>
        <w:t>, respectivamente,</w:t>
      </w:r>
      <w:r w:rsidRPr="0052478F">
        <w:rPr>
          <w:rFonts w:cs="Arial"/>
          <w:color w:val="000000" w:themeColor="text1"/>
        </w:rPr>
        <w:t xml:space="preserve"> venci</w:t>
      </w:r>
      <w:r w:rsidR="004D21B8" w:rsidRPr="0052478F">
        <w:rPr>
          <w:rFonts w:cs="Arial"/>
          <w:color w:val="000000" w:themeColor="text1"/>
        </w:rPr>
        <w:t xml:space="preserve">eron los fideicomisos </w:t>
      </w:r>
      <w:r w:rsidRPr="0052478F">
        <w:rPr>
          <w:rFonts w:cs="Arial"/>
          <w:color w:val="000000" w:themeColor="text1"/>
        </w:rPr>
        <w:t>Formación de Recurso Humano</w:t>
      </w:r>
      <w:r w:rsidR="004D21B8" w:rsidRPr="0052478F">
        <w:rPr>
          <w:rFonts w:cs="Arial"/>
          <w:color w:val="000000" w:themeColor="text1"/>
        </w:rPr>
        <w:t xml:space="preserve"> constituido en el Banco Agro Mercantil y </w:t>
      </w:r>
      <w:r w:rsidRPr="0052478F">
        <w:rPr>
          <w:rFonts w:cs="Arial"/>
          <w:color w:val="000000" w:themeColor="text1"/>
        </w:rPr>
        <w:t>Fondo Nacional de Desarrollo</w:t>
      </w:r>
      <w:r w:rsidR="00127F2B" w:rsidRPr="0052478F">
        <w:rPr>
          <w:rFonts w:cs="Arial"/>
          <w:color w:val="000000" w:themeColor="text1"/>
        </w:rPr>
        <w:t xml:space="preserve"> -FONADES-</w:t>
      </w:r>
      <w:r w:rsidR="004D21B8" w:rsidRPr="0052478F">
        <w:rPr>
          <w:rFonts w:cs="Arial"/>
          <w:color w:val="000000" w:themeColor="text1"/>
        </w:rPr>
        <w:t xml:space="preserve"> constituido en </w:t>
      </w:r>
      <w:r w:rsidR="00921A04">
        <w:rPr>
          <w:rFonts w:cs="Arial"/>
          <w:color w:val="000000" w:themeColor="text1"/>
        </w:rPr>
        <w:t xml:space="preserve">el Banco </w:t>
      </w:r>
      <w:r w:rsidR="004D21B8" w:rsidRPr="0052478F">
        <w:rPr>
          <w:rFonts w:cs="Arial"/>
          <w:color w:val="000000" w:themeColor="text1"/>
        </w:rPr>
        <w:t>El Crédito Hipotecario Nacional</w:t>
      </w:r>
      <w:r w:rsidR="00CB1042">
        <w:rPr>
          <w:rFonts w:cs="Arial"/>
          <w:color w:val="000000" w:themeColor="text1"/>
        </w:rPr>
        <w:t xml:space="preserve"> de Guatemala</w:t>
      </w:r>
      <w:r w:rsidR="004D21B8" w:rsidRPr="0052478F">
        <w:rPr>
          <w:rFonts w:cs="Arial"/>
          <w:color w:val="000000" w:themeColor="text1"/>
        </w:rPr>
        <w:t>. Corresponde al Ministerio de Agricultura, Ganadería y Alimentación iniciar los trámites para formalizar su extinción y proceder a su liquidación.</w:t>
      </w:r>
    </w:p>
    <w:p w:rsidR="002B70AD" w:rsidRPr="002B70AD" w:rsidRDefault="002B70AD" w:rsidP="002B70AD">
      <w:pPr>
        <w:pStyle w:val="Prrafodelista"/>
        <w:rPr>
          <w:rFonts w:cs="Arial"/>
          <w:color w:val="000000" w:themeColor="text1"/>
        </w:rPr>
      </w:pPr>
    </w:p>
    <w:p w:rsidR="002B70AD" w:rsidRPr="00E639E2" w:rsidRDefault="002B70AD" w:rsidP="004D21B8">
      <w:pPr>
        <w:pStyle w:val="Prrafodelista"/>
        <w:numPr>
          <w:ilvl w:val="0"/>
          <w:numId w:val="2"/>
        </w:numPr>
        <w:jc w:val="both"/>
        <w:rPr>
          <w:rFonts w:cs="Arial"/>
          <w:color w:val="000000" w:themeColor="text1"/>
        </w:rPr>
      </w:pPr>
      <w:r w:rsidRPr="00E639E2">
        <w:rPr>
          <w:rFonts w:cs="Arial"/>
          <w:color w:val="000000" w:themeColor="text1"/>
        </w:rPr>
        <w:t xml:space="preserve">El 25 de diciembre de 2016 </w:t>
      </w:r>
      <w:r w:rsidR="00E04766" w:rsidRPr="00E639E2">
        <w:rPr>
          <w:rFonts w:cs="Arial"/>
          <w:color w:val="000000" w:themeColor="text1"/>
        </w:rPr>
        <w:t>venció</w:t>
      </w:r>
      <w:r w:rsidRPr="00E639E2">
        <w:rPr>
          <w:rFonts w:cs="Arial"/>
          <w:color w:val="000000" w:themeColor="text1"/>
        </w:rPr>
        <w:t xml:space="preserve"> el Fideicomiso Fondo Nacional para la Paz.</w:t>
      </w:r>
      <w:r w:rsidR="000D5B66" w:rsidRPr="00E639E2">
        <w:rPr>
          <w:rFonts w:cs="Arial"/>
          <w:color w:val="000000" w:themeColor="text1"/>
        </w:rPr>
        <w:t xml:space="preserve"> En virtud del Acuerdo Gubernativo 296-2015, el Ministerio de Desarrollo Social deberá efectuar en representación del Estado los trámites tend</w:t>
      </w:r>
      <w:r w:rsidR="00CB1042">
        <w:rPr>
          <w:rFonts w:cs="Arial"/>
          <w:color w:val="000000" w:themeColor="text1"/>
        </w:rPr>
        <w:t>entes a formalizar su extinción.</w:t>
      </w:r>
    </w:p>
    <w:p w:rsidR="002200A9" w:rsidRPr="00E639E2" w:rsidRDefault="002200A9" w:rsidP="002200A9">
      <w:pPr>
        <w:pStyle w:val="Prrafodelista"/>
        <w:rPr>
          <w:rFonts w:cs="Arial"/>
          <w:color w:val="000000" w:themeColor="text1"/>
        </w:rPr>
      </w:pPr>
    </w:p>
    <w:p w:rsidR="002200A9" w:rsidRPr="00565B66" w:rsidRDefault="00102FA7" w:rsidP="00584D9D">
      <w:pPr>
        <w:pStyle w:val="Prrafodelista"/>
        <w:numPr>
          <w:ilvl w:val="0"/>
          <w:numId w:val="2"/>
        </w:numPr>
        <w:jc w:val="both"/>
        <w:rPr>
          <w:rFonts w:cs="Arial"/>
          <w:color w:val="000000" w:themeColor="text1"/>
        </w:rPr>
      </w:pPr>
      <w:r w:rsidRPr="00565B66">
        <w:rPr>
          <w:rFonts w:cs="Arial"/>
          <w:color w:val="000000" w:themeColor="text1"/>
        </w:rPr>
        <w:t>El 0</w:t>
      </w:r>
      <w:r w:rsidR="002200A9" w:rsidRPr="00565B66">
        <w:rPr>
          <w:rFonts w:cs="Arial"/>
          <w:color w:val="000000" w:themeColor="text1"/>
        </w:rPr>
        <w:t xml:space="preserve">2 de </w:t>
      </w:r>
      <w:r w:rsidRPr="00565B66">
        <w:rPr>
          <w:rFonts w:cs="Arial"/>
          <w:color w:val="000000" w:themeColor="text1"/>
        </w:rPr>
        <w:t xml:space="preserve">mayo </w:t>
      </w:r>
      <w:r w:rsidR="002200A9" w:rsidRPr="00565B66">
        <w:rPr>
          <w:rFonts w:cs="Arial"/>
          <w:color w:val="000000" w:themeColor="text1"/>
        </w:rPr>
        <w:t>de 201</w:t>
      </w:r>
      <w:r w:rsidRPr="00565B66">
        <w:rPr>
          <w:rFonts w:cs="Arial"/>
          <w:color w:val="000000" w:themeColor="text1"/>
        </w:rPr>
        <w:t>7</w:t>
      </w:r>
      <w:r w:rsidR="002200A9" w:rsidRPr="00565B66">
        <w:rPr>
          <w:rFonts w:cs="Arial"/>
          <w:color w:val="000000" w:themeColor="text1"/>
        </w:rPr>
        <w:t xml:space="preserve"> se extinguió formalmente el Fideicomiso </w:t>
      </w:r>
      <w:r w:rsidRPr="00565B66">
        <w:rPr>
          <w:rFonts w:cs="Arial"/>
          <w:color w:val="000000" w:themeColor="text1"/>
        </w:rPr>
        <w:t xml:space="preserve">Fondo para el Fomento de la Forestación y Reforestación del Oriente y Nororiente de Guatemala, </w:t>
      </w:r>
      <w:r w:rsidR="000D5B66" w:rsidRPr="00565B66">
        <w:rPr>
          <w:rFonts w:cs="Arial"/>
          <w:color w:val="000000" w:themeColor="text1"/>
        </w:rPr>
        <w:t>constituido en CORFINA,</w:t>
      </w:r>
      <w:r w:rsidR="00ED591E" w:rsidRPr="00565B66">
        <w:rPr>
          <w:rFonts w:cs="Arial"/>
          <w:color w:val="000000" w:themeColor="text1"/>
        </w:rPr>
        <w:t xml:space="preserve"> </w:t>
      </w:r>
      <w:r w:rsidR="002200A9" w:rsidRPr="00565B66">
        <w:rPr>
          <w:rFonts w:cs="Arial"/>
          <w:color w:val="000000" w:themeColor="text1"/>
        </w:rPr>
        <w:t xml:space="preserve">mediante escritura Pública número </w:t>
      </w:r>
      <w:r w:rsidR="001F2289" w:rsidRPr="00565B66">
        <w:rPr>
          <w:rFonts w:cs="Arial"/>
          <w:color w:val="000000" w:themeColor="text1"/>
        </w:rPr>
        <w:t>44</w:t>
      </w:r>
      <w:r w:rsidR="002200A9" w:rsidRPr="00565B66">
        <w:rPr>
          <w:rFonts w:cs="Arial"/>
          <w:color w:val="000000" w:themeColor="text1"/>
        </w:rPr>
        <w:t xml:space="preserve"> de la Escriban</w:t>
      </w:r>
      <w:r w:rsidR="00921A04">
        <w:rPr>
          <w:rFonts w:cs="Arial"/>
          <w:color w:val="000000" w:themeColor="text1"/>
        </w:rPr>
        <w:t>o</w:t>
      </w:r>
      <w:r w:rsidR="002200A9" w:rsidRPr="00565B66">
        <w:rPr>
          <w:rFonts w:cs="Arial"/>
          <w:color w:val="000000" w:themeColor="text1"/>
        </w:rPr>
        <w:t xml:space="preserve"> de Cámara y de </w:t>
      </w:r>
      <w:r w:rsidR="002200A9" w:rsidRPr="00962E3D">
        <w:rPr>
          <w:rFonts w:cs="Arial"/>
          <w:color w:val="000000" w:themeColor="text1"/>
        </w:rPr>
        <w:t>Gobierno.</w:t>
      </w:r>
    </w:p>
    <w:p w:rsidR="00102FA7" w:rsidRPr="00102FA7" w:rsidRDefault="00102FA7" w:rsidP="00102FA7">
      <w:pPr>
        <w:pStyle w:val="Prrafodelista"/>
        <w:rPr>
          <w:rFonts w:cs="Arial"/>
          <w:color w:val="000000"/>
        </w:rPr>
      </w:pPr>
    </w:p>
    <w:p w:rsidR="00102FA7" w:rsidRDefault="00102FA7" w:rsidP="00102FA7">
      <w:pPr>
        <w:pStyle w:val="Prrafodelista"/>
        <w:numPr>
          <w:ilvl w:val="0"/>
          <w:numId w:val="2"/>
        </w:numPr>
        <w:jc w:val="both"/>
        <w:rPr>
          <w:rFonts w:cs="Arial"/>
          <w:color w:val="000000"/>
        </w:rPr>
      </w:pPr>
      <w:r w:rsidRPr="00E639E2">
        <w:rPr>
          <w:rFonts w:cs="Arial"/>
          <w:color w:val="000000" w:themeColor="text1"/>
        </w:rPr>
        <w:t xml:space="preserve">El 12 de diciembre de 2016 </w:t>
      </w:r>
      <w:r w:rsidRPr="00E639E2">
        <w:rPr>
          <w:rFonts w:cs="Arial"/>
          <w:color w:val="000000"/>
        </w:rPr>
        <w:t>se extinguió formalmente el Fideicomiso para el Desarrollo Integral del Tercer Sector de la Economía, constituido en CORFINA, mediante escritura Pública número 108, de la Escriban</w:t>
      </w:r>
      <w:r w:rsidR="00921A04">
        <w:rPr>
          <w:rFonts w:cs="Arial"/>
          <w:color w:val="000000"/>
        </w:rPr>
        <w:t>o</w:t>
      </w:r>
      <w:r w:rsidRPr="00E639E2">
        <w:rPr>
          <w:rFonts w:cs="Arial"/>
          <w:color w:val="000000"/>
        </w:rPr>
        <w:t xml:space="preserve"> de Cámara y de Gobierno.</w:t>
      </w:r>
    </w:p>
    <w:p w:rsidR="00050748" w:rsidRPr="00050748" w:rsidRDefault="00050748" w:rsidP="00050748">
      <w:pPr>
        <w:pStyle w:val="Prrafodelista"/>
        <w:rPr>
          <w:rFonts w:cs="Arial"/>
          <w:color w:val="000000"/>
        </w:rPr>
      </w:pPr>
    </w:p>
    <w:p w:rsidR="00050748" w:rsidRPr="00565B66" w:rsidRDefault="00050748" w:rsidP="00050748">
      <w:pPr>
        <w:pStyle w:val="Prrafodelista"/>
        <w:numPr>
          <w:ilvl w:val="0"/>
          <w:numId w:val="2"/>
        </w:numPr>
        <w:jc w:val="both"/>
        <w:rPr>
          <w:rFonts w:cs="Arial"/>
          <w:color w:val="000000"/>
        </w:rPr>
      </w:pPr>
      <w:r w:rsidRPr="00E639E2">
        <w:rPr>
          <w:rFonts w:cs="Arial"/>
          <w:color w:val="000000" w:themeColor="text1"/>
        </w:rPr>
        <w:t xml:space="preserve">El </w:t>
      </w:r>
      <w:r w:rsidR="00C56449">
        <w:rPr>
          <w:rFonts w:cs="Arial"/>
          <w:color w:val="000000" w:themeColor="text1"/>
        </w:rPr>
        <w:t>2</w:t>
      </w:r>
      <w:r w:rsidRPr="00E639E2">
        <w:rPr>
          <w:rFonts w:cs="Arial"/>
          <w:color w:val="000000" w:themeColor="text1"/>
        </w:rPr>
        <w:t xml:space="preserve">2 de </w:t>
      </w:r>
      <w:r w:rsidR="00C56449">
        <w:rPr>
          <w:rFonts w:cs="Arial"/>
          <w:color w:val="000000" w:themeColor="text1"/>
        </w:rPr>
        <w:t>junio</w:t>
      </w:r>
      <w:r w:rsidRPr="00E639E2">
        <w:rPr>
          <w:rFonts w:cs="Arial"/>
          <w:color w:val="000000" w:themeColor="text1"/>
        </w:rPr>
        <w:t xml:space="preserve"> de 201</w:t>
      </w:r>
      <w:r w:rsidR="00C56449">
        <w:rPr>
          <w:rFonts w:cs="Arial"/>
          <w:color w:val="000000" w:themeColor="text1"/>
        </w:rPr>
        <w:t>7</w:t>
      </w:r>
      <w:r w:rsidRPr="00E639E2">
        <w:rPr>
          <w:rFonts w:cs="Arial"/>
          <w:color w:val="000000" w:themeColor="text1"/>
        </w:rPr>
        <w:t xml:space="preserve"> </w:t>
      </w:r>
      <w:r w:rsidRPr="00E639E2">
        <w:rPr>
          <w:rFonts w:cs="Arial"/>
          <w:color w:val="000000"/>
        </w:rPr>
        <w:t xml:space="preserve">se extinguió formalmente el </w:t>
      </w:r>
      <w:r w:rsidRPr="00565B66">
        <w:rPr>
          <w:rFonts w:cs="Arial"/>
          <w:color w:val="000000"/>
        </w:rPr>
        <w:t xml:space="preserve">Fideicomiso </w:t>
      </w:r>
      <w:r w:rsidR="00C56449" w:rsidRPr="00565B66">
        <w:rPr>
          <w:rFonts w:cs="Arial"/>
          <w:color w:val="000000"/>
        </w:rPr>
        <w:t>Apoyo Crediticio al Comité Pro-mejoramiento de Agricultores del Norte</w:t>
      </w:r>
      <w:r w:rsidRPr="00565B66">
        <w:rPr>
          <w:rFonts w:cs="Arial"/>
          <w:color w:val="000000"/>
        </w:rPr>
        <w:t xml:space="preserve">, constituido en </w:t>
      </w:r>
      <w:r w:rsidR="00584D9D" w:rsidRPr="00565B66">
        <w:rPr>
          <w:rFonts w:cs="Arial"/>
          <w:color w:val="000000"/>
        </w:rPr>
        <w:t xml:space="preserve">el </w:t>
      </w:r>
      <w:r w:rsidR="00C56449" w:rsidRPr="00565B66">
        <w:rPr>
          <w:rFonts w:cs="Arial"/>
          <w:color w:val="000000"/>
        </w:rPr>
        <w:t>CHN</w:t>
      </w:r>
      <w:r w:rsidRPr="00565B66">
        <w:rPr>
          <w:rFonts w:cs="Arial"/>
          <w:color w:val="000000"/>
        </w:rPr>
        <w:t xml:space="preserve">, mediante escritura Pública número </w:t>
      </w:r>
      <w:r w:rsidR="00C56449" w:rsidRPr="00565B66">
        <w:rPr>
          <w:rFonts w:cs="Arial"/>
          <w:color w:val="000000"/>
        </w:rPr>
        <w:t>60</w:t>
      </w:r>
      <w:r w:rsidRPr="00565B66">
        <w:rPr>
          <w:rFonts w:cs="Arial"/>
          <w:color w:val="000000"/>
        </w:rPr>
        <w:t>, de la Escriban</w:t>
      </w:r>
      <w:r w:rsidR="00921A04">
        <w:rPr>
          <w:rFonts w:cs="Arial"/>
          <w:color w:val="000000"/>
        </w:rPr>
        <w:t>o</w:t>
      </w:r>
      <w:r w:rsidRPr="00565B66">
        <w:rPr>
          <w:rFonts w:cs="Arial"/>
          <w:color w:val="000000"/>
        </w:rPr>
        <w:t xml:space="preserve"> de Cámara y de Gobierno.</w:t>
      </w:r>
    </w:p>
    <w:p w:rsidR="00275512" w:rsidRPr="00565B66" w:rsidRDefault="00275512" w:rsidP="00275512">
      <w:pPr>
        <w:pStyle w:val="Prrafodelista"/>
        <w:rPr>
          <w:rFonts w:cs="Arial"/>
          <w:color w:val="000000"/>
        </w:rPr>
      </w:pPr>
    </w:p>
    <w:p w:rsidR="00F77288" w:rsidRPr="00565B66" w:rsidRDefault="00275512" w:rsidP="00F77288">
      <w:pPr>
        <w:pStyle w:val="Prrafodelista"/>
        <w:numPr>
          <w:ilvl w:val="0"/>
          <w:numId w:val="2"/>
        </w:numPr>
        <w:jc w:val="both"/>
        <w:rPr>
          <w:rFonts w:cs="Arial"/>
          <w:color w:val="000000"/>
        </w:rPr>
      </w:pPr>
      <w:r w:rsidRPr="00565B66">
        <w:rPr>
          <w:rFonts w:cs="Arial"/>
          <w:color w:val="000000" w:themeColor="text1"/>
        </w:rPr>
        <w:t xml:space="preserve">El 28 de septiembre de 2017 </w:t>
      </w:r>
      <w:r w:rsidRPr="00565B66">
        <w:rPr>
          <w:rFonts w:cs="Arial"/>
          <w:color w:val="000000"/>
        </w:rPr>
        <w:t xml:space="preserve">se extinguió formalmente el Fideicomiso Sistema Nacional de  Financiamiento de la </w:t>
      </w:r>
      <w:proofErr w:type="spellStart"/>
      <w:r w:rsidRPr="00565B66">
        <w:rPr>
          <w:rFonts w:cs="Arial"/>
          <w:color w:val="000000"/>
        </w:rPr>
        <w:t>Preinversión</w:t>
      </w:r>
      <w:proofErr w:type="spellEnd"/>
      <w:r w:rsidRPr="00565B66">
        <w:rPr>
          <w:rFonts w:cs="Arial"/>
          <w:color w:val="000000"/>
        </w:rPr>
        <w:t xml:space="preserve"> -SINAFIP-, constituido en </w:t>
      </w:r>
      <w:r w:rsidR="00584D9D" w:rsidRPr="00565B66">
        <w:rPr>
          <w:rFonts w:cs="Arial"/>
          <w:color w:val="000000"/>
        </w:rPr>
        <w:t xml:space="preserve">el </w:t>
      </w:r>
      <w:r w:rsidRPr="00565B66">
        <w:rPr>
          <w:rFonts w:cs="Arial"/>
          <w:color w:val="000000"/>
        </w:rPr>
        <w:t>CHN, mediante escritura Pública número 86, de la Escriban</w:t>
      </w:r>
      <w:r w:rsidR="00921A04">
        <w:rPr>
          <w:rFonts w:cs="Arial"/>
          <w:color w:val="000000"/>
        </w:rPr>
        <w:t>o</w:t>
      </w:r>
      <w:r w:rsidRPr="00565B66">
        <w:rPr>
          <w:rFonts w:cs="Arial"/>
          <w:color w:val="000000"/>
        </w:rPr>
        <w:t xml:space="preserve"> de Cámara y de Gobierno.</w:t>
      </w:r>
    </w:p>
    <w:p w:rsidR="00F77288" w:rsidRPr="00565B66" w:rsidRDefault="00F77288" w:rsidP="00F77288">
      <w:pPr>
        <w:pStyle w:val="Prrafodelista"/>
        <w:rPr>
          <w:rFonts w:cs="Arial"/>
          <w:color w:val="000000"/>
        </w:rPr>
      </w:pPr>
    </w:p>
    <w:p w:rsidR="00F77288" w:rsidRPr="00565B66" w:rsidRDefault="00F77288" w:rsidP="00F77288">
      <w:pPr>
        <w:pStyle w:val="Prrafodelista"/>
        <w:numPr>
          <w:ilvl w:val="0"/>
          <w:numId w:val="2"/>
        </w:numPr>
        <w:jc w:val="both"/>
        <w:rPr>
          <w:rFonts w:cs="Arial"/>
          <w:color w:val="000000"/>
        </w:rPr>
      </w:pPr>
      <w:r w:rsidRPr="00565B66">
        <w:rPr>
          <w:rFonts w:cs="Arial"/>
          <w:color w:val="000000"/>
        </w:rPr>
        <w:t>En septiembre de 2017, se incluyó en el registro de esta Dirección, al Fideicomiso de Apoyo a la Planificación Urbana, cuyo</w:t>
      </w:r>
      <w:r w:rsidR="00FB5BF3" w:rsidRPr="00565B66">
        <w:rPr>
          <w:rFonts w:cs="Arial"/>
          <w:color w:val="000000"/>
        </w:rPr>
        <w:t xml:space="preserve">, </w:t>
      </w:r>
      <w:r w:rsidRPr="00565B66">
        <w:rPr>
          <w:rFonts w:cs="Arial"/>
          <w:color w:val="000000"/>
        </w:rPr>
        <w:t>fiduciario es la Financiera de Occidente; lo anterior fue solicitado por la Municipalidad de Guatemala.</w:t>
      </w:r>
    </w:p>
    <w:p w:rsidR="00D70436" w:rsidRPr="00565B66" w:rsidRDefault="00D70436" w:rsidP="00D70436">
      <w:pPr>
        <w:pStyle w:val="Prrafodelista"/>
        <w:rPr>
          <w:rFonts w:cs="Arial"/>
          <w:color w:val="000000"/>
        </w:rPr>
      </w:pPr>
    </w:p>
    <w:p w:rsidR="00F77288" w:rsidRDefault="00D70436" w:rsidP="00D70436">
      <w:pPr>
        <w:pStyle w:val="Prrafodelista"/>
        <w:numPr>
          <w:ilvl w:val="0"/>
          <w:numId w:val="2"/>
        </w:numPr>
        <w:jc w:val="both"/>
        <w:rPr>
          <w:rFonts w:cs="Arial"/>
          <w:color w:val="000000"/>
        </w:rPr>
      </w:pPr>
      <w:r w:rsidRPr="00565B66">
        <w:rPr>
          <w:rFonts w:cs="Arial"/>
          <w:color w:val="000000"/>
        </w:rPr>
        <w:t>El 10 de marzo de 201</w:t>
      </w:r>
      <w:r w:rsidR="0042074D" w:rsidRPr="00565B66">
        <w:rPr>
          <w:rFonts w:cs="Arial"/>
          <w:color w:val="000000"/>
        </w:rPr>
        <w:t>8</w:t>
      </w:r>
      <w:r w:rsidRPr="00565B66">
        <w:rPr>
          <w:rFonts w:cs="Arial"/>
          <w:color w:val="000000"/>
        </w:rPr>
        <w:t xml:space="preserve"> venc</w:t>
      </w:r>
      <w:r w:rsidR="00584D9D" w:rsidRPr="00565B66">
        <w:rPr>
          <w:rFonts w:cs="Arial"/>
          <w:color w:val="000000"/>
        </w:rPr>
        <w:t>ió</w:t>
      </w:r>
      <w:r w:rsidRPr="00565B66">
        <w:rPr>
          <w:rFonts w:cs="Arial"/>
          <w:color w:val="000000"/>
        </w:rPr>
        <w:t xml:space="preserve"> el </w:t>
      </w:r>
      <w:r w:rsidR="00584D9D" w:rsidRPr="00565B66">
        <w:rPr>
          <w:rFonts w:cs="Arial"/>
          <w:color w:val="000000"/>
        </w:rPr>
        <w:t xml:space="preserve">plazo contractual del </w:t>
      </w:r>
      <w:r w:rsidRPr="00565B66">
        <w:rPr>
          <w:rFonts w:cs="Arial"/>
          <w:color w:val="000000"/>
        </w:rPr>
        <w:t xml:space="preserve">Fideicomiso </w:t>
      </w:r>
      <w:r w:rsidR="00584D9D" w:rsidRPr="00565B66">
        <w:rPr>
          <w:rFonts w:cs="Arial"/>
          <w:color w:val="000000"/>
        </w:rPr>
        <w:t>“</w:t>
      </w:r>
      <w:r w:rsidRPr="00565B66">
        <w:rPr>
          <w:rFonts w:cs="Arial"/>
          <w:color w:val="000000"/>
        </w:rPr>
        <w:t>Proyecto de Desarrollo Rural Sostenible en Zonas de Fragilidad Ecológica en la Región del Trifin</w:t>
      </w:r>
      <w:r w:rsidR="00290C34" w:rsidRPr="00565B66">
        <w:rPr>
          <w:rFonts w:cs="Arial"/>
          <w:color w:val="000000"/>
        </w:rPr>
        <w:t>io, Área de Guatemala -PRODERT-</w:t>
      </w:r>
      <w:r w:rsidR="00584D9D" w:rsidRPr="00565B66">
        <w:rPr>
          <w:rFonts w:cs="Arial"/>
          <w:color w:val="000000"/>
        </w:rPr>
        <w:t>”</w:t>
      </w:r>
      <w:r w:rsidR="00290C34" w:rsidRPr="00565B66">
        <w:rPr>
          <w:rFonts w:cs="Arial"/>
          <w:color w:val="000000"/>
        </w:rPr>
        <w:t>, a cargo del Ministerio de Agricultura, Ganadería y Alimentación.</w:t>
      </w:r>
    </w:p>
    <w:p w:rsidR="00F8282D" w:rsidRPr="00F8282D" w:rsidRDefault="00F8282D" w:rsidP="00F8282D">
      <w:pPr>
        <w:pStyle w:val="Prrafodelista"/>
        <w:rPr>
          <w:rFonts w:cs="Arial"/>
          <w:color w:val="000000"/>
        </w:rPr>
      </w:pPr>
    </w:p>
    <w:p w:rsidR="00F8282D" w:rsidRDefault="00F8282D" w:rsidP="00F8282D">
      <w:pPr>
        <w:pStyle w:val="Prrafodelista"/>
        <w:numPr>
          <w:ilvl w:val="0"/>
          <w:numId w:val="2"/>
        </w:numPr>
        <w:jc w:val="both"/>
        <w:rPr>
          <w:rFonts w:cs="Arial"/>
          <w:color w:val="000000"/>
        </w:rPr>
      </w:pPr>
      <w:r w:rsidRPr="00565B66">
        <w:rPr>
          <w:rFonts w:cs="Arial"/>
          <w:color w:val="000000" w:themeColor="text1"/>
        </w:rPr>
        <w:t xml:space="preserve">El </w:t>
      </w:r>
      <w:r w:rsidR="00FF596A">
        <w:rPr>
          <w:rFonts w:cs="Arial"/>
          <w:color w:val="000000" w:themeColor="text1"/>
        </w:rPr>
        <w:t>16</w:t>
      </w:r>
      <w:r w:rsidRPr="00565B66">
        <w:rPr>
          <w:rFonts w:cs="Arial"/>
          <w:color w:val="000000" w:themeColor="text1"/>
        </w:rPr>
        <w:t xml:space="preserve"> de </w:t>
      </w:r>
      <w:r w:rsidR="00FF596A">
        <w:rPr>
          <w:rFonts w:cs="Arial"/>
          <w:color w:val="000000" w:themeColor="text1"/>
        </w:rPr>
        <w:t xml:space="preserve">agosto de </w:t>
      </w:r>
      <w:r w:rsidRPr="00565B66">
        <w:rPr>
          <w:rFonts w:cs="Arial"/>
          <w:color w:val="000000" w:themeColor="text1"/>
        </w:rPr>
        <w:t xml:space="preserve">2017 </w:t>
      </w:r>
      <w:r w:rsidRPr="00565B66">
        <w:rPr>
          <w:rFonts w:cs="Arial"/>
          <w:color w:val="000000"/>
        </w:rPr>
        <w:t xml:space="preserve">se extinguió formalmente el Fideicomiso </w:t>
      </w:r>
      <w:r w:rsidR="00FF596A">
        <w:rPr>
          <w:rFonts w:cs="Arial"/>
          <w:color w:val="000000"/>
        </w:rPr>
        <w:t xml:space="preserve">“Municipalidad de </w:t>
      </w:r>
      <w:proofErr w:type="spellStart"/>
      <w:r w:rsidR="00FF596A">
        <w:rPr>
          <w:rFonts w:cs="Arial"/>
          <w:color w:val="000000"/>
        </w:rPr>
        <w:t>Chinautla</w:t>
      </w:r>
      <w:proofErr w:type="spellEnd"/>
      <w:r w:rsidR="00FF596A">
        <w:rPr>
          <w:rFonts w:cs="Arial"/>
          <w:color w:val="000000"/>
        </w:rPr>
        <w:t>”</w:t>
      </w:r>
      <w:r w:rsidRPr="00565B66">
        <w:rPr>
          <w:rFonts w:cs="Arial"/>
          <w:color w:val="000000"/>
        </w:rPr>
        <w:t xml:space="preserve">, constituido en </w:t>
      </w:r>
      <w:r w:rsidR="00EB20D6">
        <w:rPr>
          <w:rFonts w:cs="Arial"/>
          <w:color w:val="000000"/>
        </w:rPr>
        <w:t>el B</w:t>
      </w:r>
      <w:r w:rsidR="00FF596A">
        <w:rPr>
          <w:rFonts w:cs="Arial"/>
          <w:color w:val="000000"/>
        </w:rPr>
        <w:t>A</w:t>
      </w:r>
      <w:r w:rsidR="00EB20D6">
        <w:rPr>
          <w:rFonts w:cs="Arial"/>
          <w:color w:val="000000"/>
        </w:rPr>
        <w:t>N</w:t>
      </w:r>
      <w:r w:rsidR="00FF596A">
        <w:rPr>
          <w:rFonts w:cs="Arial"/>
          <w:color w:val="000000"/>
        </w:rPr>
        <w:t>RURAL</w:t>
      </w:r>
      <w:r w:rsidRPr="00565B66">
        <w:rPr>
          <w:rFonts w:cs="Arial"/>
          <w:color w:val="000000"/>
        </w:rPr>
        <w:t xml:space="preserve">, mediante escritura Pública número </w:t>
      </w:r>
      <w:r w:rsidR="00FF596A">
        <w:rPr>
          <w:rFonts w:cs="Arial"/>
          <w:color w:val="000000"/>
        </w:rPr>
        <w:t>31</w:t>
      </w:r>
      <w:r w:rsidRPr="00565B66">
        <w:rPr>
          <w:rFonts w:cs="Arial"/>
          <w:color w:val="000000"/>
        </w:rPr>
        <w:t>,</w:t>
      </w:r>
      <w:r w:rsidR="00EB20D6">
        <w:rPr>
          <w:rFonts w:cs="Arial"/>
          <w:color w:val="000000"/>
        </w:rPr>
        <w:t xml:space="preserve"> autorizada por el</w:t>
      </w:r>
      <w:r w:rsidR="00FF596A">
        <w:rPr>
          <w:rFonts w:cs="Arial"/>
          <w:color w:val="000000"/>
        </w:rPr>
        <w:t xml:space="preserve"> notario Erick Estuardo </w:t>
      </w:r>
      <w:proofErr w:type="spellStart"/>
      <w:r w:rsidR="00FF596A">
        <w:rPr>
          <w:rFonts w:cs="Arial"/>
          <w:color w:val="000000"/>
        </w:rPr>
        <w:t>Pocasangre</w:t>
      </w:r>
      <w:proofErr w:type="spellEnd"/>
      <w:r w:rsidR="00FF596A">
        <w:rPr>
          <w:rFonts w:cs="Arial"/>
          <w:color w:val="000000"/>
        </w:rPr>
        <w:t xml:space="preserve"> Morán.</w:t>
      </w:r>
    </w:p>
    <w:p w:rsidR="00D23CE5" w:rsidRPr="00D23CE5" w:rsidRDefault="00D23CE5" w:rsidP="00D23CE5">
      <w:pPr>
        <w:jc w:val="both"/>
        <w:rPr>
          <w:rFonts w:cs="Arial"/>
          <w:color w:val="000000"/>
        </w:rPr>
      </w:pPr>
    </w:p>
    <w:p w:rsidR="00F8282D" w:rsidRDefault="00D23CE5" w:rsidP="00D70436">
      <w:pPr>
        <w:pStyle w:val="Prrafodelista"/>
        <w:numPr>
          <w:ilvl w:val="0"/>
          <w:numId w:val="2"/>
        </w:numPr>
        <w:jc w:val="both"/>
        <w:rPr>
          <w:rFonts w:cs="Arial"/>
          <w:color w:val="000000"/>
        </w:rPr>
      </w:pPr>
      <w:r w:rsidRPr="00565B66">
        <w:rPr>
          <w:rFonts w:cs="Arial"/>
          <w:color w:val="000000" w:themeColor="text1"/>
        </w:rPr>
        <w:t xml:space="preserve">El </w:t>
      </w:r>
      <w:r>
        <w:rPr>
          <w:rFonts w:cs="Arial"/>
          <w:color w:val="000000" w:themeColor="text1"/>
        </w:rPr>
        <w:t>01</w:t>
      </w:r>
      <w:r w:rsidRPr="00565B66">
        <w:rPr>
          <w:rFonts w:cs="Arial"/>
          <w:color w:val="000000" w:themeColor="text1"/>
        </w:rPr>
        <w:t xml:space="preserve"> de </w:t>
      </w:r>
      <w:r>
        <w:rPr>
          <w:rFonts w:cs="Arial"/>
          <w:color w:val="000000" w:themeColor="text1"/>
        </w:rPr>
        <w:t xml:space="preserve">febrero de 2018 </w:t>
      </w:r>
      <w:r w:rsidRPr="00565B66">
        <w:rPr>
          <w:rFonts w:cs="Arial"/>
          <w:color w:val="000000"/>
        </w:rPr>
        <w:t xml:space="preserve">se extinguió formalmente el Fideicomiso </w:t>
      </w:r>
      <w:r>
        <w:rPr>
          <w:rFonts w:cs="Arial"/>
          <w:color w:val="000000"/>
        </w:rPr>
        <w:t>“De Administración y Cumplimiento INDE-TECNOGUAT”</w:t>
      </w:r>
      <w:r w:rsidRPr="00565B66">
        <w:rPr>
          <w:rFonts w:cs="Arial"/>
          <w:color w:val="000000"/>
        </w:rPr>
        <w:t xml:space="preserve">, constituido en </w:t>
      </w:r>
      <w:r>
        <w:rPr>
          <w:rFonts w:cs="Arial"/>
          <w:color w:val="000000"/>
        </w:rPr>
        <w:t>el Banco Industrial</w:t>
      </w:r>
      <w:r w:rsidRPr="00565B66">
        <w:rPr>
          <w:rFonts w:cs="Arial"/>
          <w:color w:val="000000"/>
        </w:rPr>
        <w:t xml:space="preserve">, mediante escritura Pública número </w:t>
      </w:r>
      <w:r>
        <w:rPr>
          <w:rFonts w:cs="Arial"/>
          <w:color w:val="000000"/>
        </w:rPr>
        <w:t>11</w:t>
      </w:r>
      <w:r w:rsidRPr="00565B66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autorizada por el notario Jorge Augusto Girón Rosales.</w:t>
      </w:r>
    </w:p>
    <w:p w:rsidR="00DD03C7" w:rsidRPr="00DD03C7" w:rsidRDefault="00DD03C7" w:rsidP="00DD03C7">
      <w:pPr>
        <w:pStyle w:val="Prrafodelista"/>
        <w:rPr>
          <w:rFonts w:cs="Arial"/>
          <w:color w:val="000000"/>
        </w:rPr>
      </w:pPr>
    </w:p>
    <w:p w:rsidR="00DD03C7" w:rsidRPr="00291C02" w:rsidRDefault="00DD03C7" w:rsidP="007912BC">
      <w:pPr>
        <w:pStyle w:val="Prrafodelista"/>
        <w:numPr>
          <w:ilvl w:val="0"/>
          <w:numId w:val="2"/>
        </w:numPr>
        <w:jc w:val="both"/>
        <w:rPr>
          <w:rFonts w:cs="Arial"/>
          <w:color w:val="000000"/>
        </w:rPr>
      </w:pPr>
      <w:r w:rsidRPr="00291C02">
        <w:rPr>
          <w:rFonts w:cs="Arial"/>
          <w:color w:val="000000" w:themeColor="text1"/>
        </w:rPr>
        <w:t>El 2</w:t>
      </w:r>
      <w:r w:rsidR="00354D33" w:rsidRPr="00291C02">
        <w:rPr>
          <w:rFonts w:cs="Arial"/>
          <w:color w:val="000000" w:themeColor="text1"/>
        </w:rPr>
        <w:t xml:space="preserve">4 </w:t>
      </w:r>
      <w:r w:rsidRPr="00291C02">
        <w:rPr>
          <w:rFonts w:cs="Arial"/>
          <w:color w:val="000000" w:themeColor="text1"/>
        </w:rPr>
        <w:t>de junio de 2018 venció</w:t>
      </w:r>
      <w:r w:rsidRPr="00291C02">
        <w:rPr>
          <w:rFonts w:cs="Arial"/>
          <w:color w:val="000000"/>
        </w:rPr>
        <w:t xml:space="preserve"> el Fideicomiso Programa Global de Crédito para la Microempresa y la Pequeña Empresa, constituido en el BANGUAT</w:t>
      </w:r>
      <w:r w:rsidR="00AC5214" w:rsidRPr="00291C02">
        <w:rPr>
          <w:rFonts w:cs="Arial"/>
          <w:color w:val="000000"/>
        </w:rPr>
        <w:t>.</w:t>
      </w:r>
      <w:r w:rsidR="00DD0406" w:rsidRPr="00291C02">
        <w:rPr>
          <w:rFonts w:cs="Arial"/>
          <w:color w:val="000000"/>
        </w:rPr>
        <w:t xml:space="preserve"> Ya se iniciaron los </w:t>
      </w:r>
      <w:r w:rsidR="00DD0406" w:rsidRPr="00291C02">
        <w:rPr>
          <w:rFonts w:cs="Arial"/>
          <w:color w:val="000000"/>
        </w:rPr>
        <w:lastRenderedPageBreak/>
        <w:t>contactos con la Unidad Ejecutora del Programa, adscrita al Ministerio de Economía, para iniciar el proceso de extinción.</w:t>
      </w:r>
    </w:p>
    <w:p w:rsidR="002916B0" w:rsidRPr="00A121EF" w:rsidRDefault="002916B0" w:rsidP="002916B0">
      <w:pPr>
        <w:pStyle w:val="Prrafodelista"/>
        <w:rPr>
          <w:rFonts w:cs="Arial"/>
          <w:color w:val="000000"/>
        </w:rPr>
      </w:pPr>
    </w:p>
    <w:p w:rsidR="002916B0" w:rsidRDefault="002916B0" w:rsidP="00DD03C7">
      <w:pPr>
        <w:pStyle w:val="Prrafodelista"/>
        <w:numPr>
          <w:ilvl w:val="0"/>
          <w:numId w:val="2"/>
        </w:numPr>
        <w:jc w:val="both"/>
        <w:rPr>
          <w:rFonts w:cs="Arial"/>
          <w:color w:val="000000"/>
        </w:rPr>
      </w:pPr>
      <w:r w:rsidRPr="00A121EF">
        <w:rPr>
          <w:rFonts w:cs="Arial"/>
          <w:color w:val="000000"/>
        </w:rPr>
        <w:t xml:space="preserve">El 22 de julio de 2018 </w:t>
      </w:r>
      <w:r w:rsidR="00D540DE" w:rsidRPr="00A121EF">
        <w:rPr>
          <w:rFonts w:cs="Arial"/>
          <w:color w:val="000000"/>
        </w:rPr>
        <w:t xml:space="preserve">venció el Fideicomiso </w:t>
      </w:r>
      <w:r w:rsidRPr="00A121EF">
        <w:rPr>
          <w:rFonts w:cs="Arial"/>
          <w:color w:val="000000"/>
        </w:rPr>
        <w:t>de</w:t>
      </w:r>
      <w:r w:rsidR="00D540DE" w:rsidRPr="00A121EF">
        <w:rPr>
          <w:rFonts w:cs="Arial"/>
          <w:color w:val="000000"/>
        </w:rPr>
        <w:t xml:space="preserve"> </w:t>
      </w:r>
      <w:r w:rsidRPr="00A121EF">
        <w:rPr>
          <w:rFonts w:cs="Arial"/>
          <w:color w:val="000000"/>
        </w:rPr>
        <w:t>Desarrollo Social</w:t>
      </w:r>
      <w:r w:rsidR="00DD0406" w:rsidRPr="00A121EF">
        <w:rPr>
          <w:rFonts w:cs="Arial"/>
          <w:color w:val="000000"/>
        </w:rPr>
        <w:t>,</w:t>
      </w:r>
      <w:r w:rsidRPr="00A121EF">
        <w:rPr>
          <w:rFonts w:cs="Arial"/>
          <w:color w:val="000000"/>
        </w:rPr>
        <w:t xml:space="preserve"> </w:t>
      </w:r>
      <w:r w:rsidR="00DD0406" w:rsidRPr="00A121EF">
        <w:rPr>
          <w:rFonts w:cs="Arial"/>
          <w:color w:val="000000"/>
        </w:rPr>
        <w:t>c</w:t>
      </w:r>
      <w:r w:rsidRPr="00A121EF">
        <w:rPr>
          <w:rFonts w:cs="Arial"/>
          <w:color w:val="000000"/>
        </w:rPr>
        <w:t>onstituido en BANRURAL.</w:t>
      </w:r>
      <w:r w:rsidR="00DD0406" w:rsidRPr="00A121EF">
        <w:rPr>
          <w:rFonts w:cs="Arial"/>
          <w:color w:val="000000"/>
        </w:rPr>
        <w:t xml:space="preserve"> Las gestiones para su liquidación y formal extinción corresponde iniciarlas al Ministerio de Desarrollo Social, responsable del mismo.</w:t>
      </w:r>
    </w:p>
    <w:p w:rsidR="00A611E5" w:rsidRPr="00A611E5" w:rsidRDefault="00A611E5" w:rsidP="00A611E5">
      <w:pPr>
        <w:jc w:val="both"/>
        <w:rPr>
          <w:rFonts w:cs="Arial"/>
          <w:color w:val="000000"/>
        </w:rPr>
      </w:pPr>
    </w:p>
    <w:p w:rsidR="00D70436" w:rsidRDefault="00A611E5" w:rsidP="00D70436">
      <w:pPr>
        <w:pStyle w:val="Prrafodelista"/>
        <w:numPr>
          <w:ilvl w:val="0"/>
          <w:numId w:val="2"/>
        </w:numPr>
        <w:jc w:val="both"/>
        <w:rPr>
          <w:rFonts w:cs="Arial"/>
          <w:color w:val="000000"/>
        </w:rPr>
      </w:pPr>
      <w:r w:rsidRPr="00DE740F">
        <w:rPr>
          <w:rFonts w:cs="Arial"/>
          <w:color w:val="000000"/>
        </w:rPr>
        <w:t xml:space="preserve">El 22 de </w:t>
      </w:r>
      <w:r w:rsidR="00DE740F" w:rsidRPr="00DE740F">
        <w:rPr>
          <w:rFonts w:cs="Arial"/>
          <w:color w:val="000000"/>
        </w:rPr>
        <w:t xml:space="preserve">agosto </w:t>
      </w:r>
      <w:r w:rsidRPr="00DE740F">
        <w:rPr>
          <w:rFonts w:cs="Arial"/>
          <w:color w:val="000000"/>
        </w:rPr>
        <w:t xml:space="preserve">de 2018 </w:t>
      </w:r>
      <w:r w:rsidR="00DE740F" w:rsidRPr="00DE740F">
        <w:rPr>
          <w:rFonts w:cs="Arial"/>
          <w:color w:val="000000"/>
        </w:rPr>
        <w:t xml:space="preserve">se extinguió formalmente </w:t>
      </w:r>
      <w:r w:rsidRPr="00DE740F">
        <w:rPr>
          <w:rFonts w:cs="Arial"/>
          <w:color w:val="000000"/>
        </w:rPr>
        <w:t xml:space="preserve">el Fideicomiso </w:t>
      </w:r>
      <w:r w:rsidR="00DE740F" w:rsidRPr="00DE740F">
        <w:rPr>
          <w:rFonts w:cs="Arial"/>
          <w:color w:val="000000"/>
        </w:rPr>
        <w:t>Fondo de Desarrollo Indígena Guatemalteco</w:t>
      </w:r>
      <w:r w:rsidRPr="00DE740F">
        <w:rPr>
          <w:rFonts w:cs="Arial"/>
          <w:color w:val="000000"/>
        </w:rPr>
        <w:t xml:space="preserve">, </w:t>
      </w:r>
      <w:r w:rsidR="00DE740F" w:rsidRPr="00DE740F">
        <w:rPr>
          <w:rFonts w:cs="Arial"/>
          <w:color w:val="000000"/>
        </w:rPr>
        <w:t>constituido</w:t>
      </w:r>
      <w:r w:rsidRPr="00DE740F">
        <w:rPr>
          <w:rFonts w:cs="Arial"/>
          <w:color w:val="000000"/>
        </w:rPr>
        <w:t xml:space="preserve"> en </w:t>
      </w:r>
      <w:r w:rsidR="00DE740F" w:rsidRPr="00DE740F">
        <w:rPr>
          <w:rFonts w:cs="Arial"/>
          <w:color w:val="000000"/>
        </w:rPr>
        <w:t>BANTRAB,</w:t>
      </w:r>
      <w:r w:rsidRPr="00DE740F">
        <w:rPr>
          <w:rFonts w:cs="Arial"/>
          <w:color w:val="000000"/>
        </w:rPr>
        <w:t xml:space="preserve"> </w:t>
      </w:r>
      <w:r w:rsidR="00DE740F" w:rsidRPr="00DE740F">
        <w:rPr>
          <w:rFonts w:cs="Arial"/>
          <w:color w:val="000000"/>
        </w:rPr>
        <w:t xml:space="preserve">mediante escritura Pública número 76, autorizada por la </w:t>
      </w:r>
      <w:r w:rsidR="00DE740F" w:rsidRPr="00565B66">
        <w:rPr>
          <w:rFonts w:cs="Arial"/>
          <w:color w:val="000000"/>
        </w:rPr>
        <w:t>Escriban</w:t>
      </w:r>
      <w:r w:rsidR="00921A04">
        <w:rPr>
          <w:rFonts w:cs="Arial"/>
          <w:color w:val="000000"/>
        </w:rPr>
        <w:t>o</w:t>
      </w:r>
      <w:r w:rsidR="00DE740F" w:rsidRPr="00565B66">
        <w:rPr>
          <w:rFonts w:cs="Arial"/>
          <w:color w:val="000000"/>
        </w:rPr>
        <w:t xml:space="preserve"> de Cámara y de Gobierno.</w:t>
      </w:r>
    </w:p>
    <w:p w:rsidR="001C304F" w:rsidRPr="001C304F" w:rsidRDefault="001C304F" w:rsidP="001C304F">
      <w:pPr>
        <w:pStyle w:val="Prrafodelista"/>
        <w:rPr>
          <w:rFonts w:cs="Arial"/>
          <w:color w:val="000000"/>
        </w:rPr>
      </w:pPr>
    </w:p>
    <w:p w:rsidR="001C304F" w:rsidRDefault="001C304F" w:rsidP="001C304F">
      <w:pPr>
        <w:pStyle w:val="Prrafodelista"/>
        <w:numPr>
          <w:ilvl w:val="0"/>
          <w:numId w:val="2"/>
        </w:numPr>
        <w:jc w:val="both"/>
        <w:rPr>
          <w:rFonts w:cs="Arial"/>
          <w:color w:val="000000"/>
        </w:rPr>
      </w:pPr>
      <w:r w:rsidRPr="00984A6F">
        <w:rPr>
          <w:rFonts w:cs="Arial"/>
          <w:color w:val="000000"/>
        </w:rPr>
        <w:t>El 2</w:t>
      </w:r>
      <w:r>
        <w:rPr>
          <w:rFonts w:cs="Arial"/>
          <w:color w:val="000000"/>
        </w:rPr>
        <w:t>0</w:t>
      </w:r>
      <w:r w:rsidRPr="00984A6F">
        <w:rPr>
          <w:rFonts w:cs="Arial"/>
          <w:color w:val="000000"/>
        </w:rPr>
        <w:t xml:space="preserve"> de </w:t>
      </w:r>
      <w:r>
        <w:rPr>
          <w:rFonts w:cs="Arial"/>
          <w:color w:val="000000"/>
        </w:rPr>
        <w:t>diciembre</w:t>
      </w:r>
      <w:r w:rsidRPr="00984A6F">
        <w:rPr>
          <w:rFonts w:cs="Arial"/>
          <w:color w:val="000000"/>
        </w:rPr>
        <w:t xml:space="preserve"> de 201</w:t>
      </w:r>
      <w:r>
        <w:rPr>
          <w:rFonts w:cs="Arial"/>
          <w:color w:val="000000"/>
        </w:rPr>
        <w:t>8,</w:t>
      </w:r>
      <w:r w:rsidRPr="00984A6F">
        <w:rPr>
          <w:rFonts w:cs="Arial"/>
          <w:color w:val="000000"/>
        </w:rPr>
        <w:t xml:space="preserve"> se extinguió formalmente </w:t>
      </w:r>
      <w:r w:rsidRPr="00B577F8">
        <w:rPr>
          <w:rFonts w:cs="Arial"/>
          <w:color w:val="000000"/>
        </w:rPr>
        <w:t>Fideicomiso de Administración y Pago Empresa Eléctrica Municipal de Puerto Barrios, Izabal / INDE</w:t>
      </w:r>
      <w:r>
        <w:rPr>
          <w:rFonts w:cs="Arial"/>
          <w:color w:val="000000"/>
        </w:rPr>
        <w:t xml:space="preserve">, </w:t>
      </w:r>
      <w:r w:rsidRPr="00984A6F">
        <w:rPr>
          <w:rFonts w:cs="Arial"/>
          <w:color w:val="000000"/>
        </w:rPr>
        <w:t xml:space="preserve">mediante escritura Pública número </w:t>
      </w:r>
      <w:r>
        <w:rPr>
          <w:rFonts w:cs="Arial"/>
          <w:color w:val="000000"/>
        </w:rPr>
        <w:t>400</w:t>
      </w:r>
      <w:r w:rsidRPr="00984A6F">
        <w:rPr>
          <w:rFonts w:cs="Arial"/>
          <w:color w:val="000000"/>
        </w:rPr>
        <w:t xml:space="preserve"> autorizada por la notaria</w:t>
      </w:r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Mariella</w:t>
      </w:r>
      <w:proofErr w:type="spellEnd"/>
      <w:r>
        <w:rPr>
          <w:rFonts w:cs="Arial"/>
          <w:color w:val="000000"/>
        </w:rPr>
        <w:t xml:space="preserve"> Flores Urrutia.</w:t>
      </w:r>
    </w:p>
    <w:p w:rsidR="003E6948" w:rsidRPr="003E6948" w:rsidRDefault="003E6948" w:rsidP="003E6948">
      <w:pPr>
        <w:pStyle w:val="Prrafodelista"/>
        <w:rPr>
          <w:rFonts w:cs="Arial"/>
          <w:color w:val="000000"/>
        </w:rPr>
      </w:pPr>
    </w:p>
    <w:p w:rsidR="005B6A8D" w:rsidRPr="007318B2" w:rsidRDefault="003E6948" w:rsidP="007318B2">
      <w:pPr>
        <w:pStyle w:val="Prrafodelista"/>
        <w:numPr>
          <w:ilvl w:val="0"/>
          <w:numId w:val="2"/>
        </w:numPr>
        <w:jc w:val="both"/>
        <w:rPr>
          <w:rFonts w:cs="Arial"/>
          <w:color w:val="000000"/>
        </w:rPr>
      </w:pPr>
      <w:r w:rsidRPr="00012C94">
        <w:rPr>
          <w:rFonts w:cs="Arial"/>
          <w:color w:val="000000"/>
        </w:rPr>
        <w:t xml:space="preserve">El </w:t>
      </w:r>
      <w:r>
        <w:rPr>
          <w:rFonts w:cs="Arial"/>
          <w:color w:val="000000"/>
        </w:rPr>
        <w:t xml:space="preserve">01 </w:t>
      </w:r>
      <w:r w:rsidRPr="00012C94">
        <w:rPr>
          <w:rFonts w:cs="Arial"/>
          <w:color w:val="000000"/>
        </w:rPr>
        <w:t>d</w:t>
      </w:r>
      <w:r w:rsidRPr="001816A6">
        <w:rPr>
          <w:rFonts w:cs="Arial"/>
          <w:color w:val="000000"/>
        </w:rPr>
        <w:t xml:space="preserve">e abril </w:t>
      </w:r>
      <w:r w:rsidRPr="001816A6">
        <w:rPr>
          <w:rFonts w:cs="Arial"/>
          <w:color w:val="000000" w:themeColor="text1"/>
        </w:rPr>
        <w:t>de 2019 venció el Fideicomiso Fondo Social de Solid</w:t>
      </w:r>
      <w:r w:rsidR="001816A6" w:rsidRPr="001816A6">
        <w:rPr>
          <w:rFonts w:cs="Arial"/>
          <w:color w:val="000000" w:themeColor="text1"/>
        </w:rPr>
        <w:t xml:space="preserve">aridad, constituido en </w:t>
      </w:r>
      <w:proofErr w:type="spellStart"/>
      <w:r w:rsidR="001816A6" w:rsidRPr="001816A6">
        <w:rPr>
          <w:rFonts w:cs="Arial"/>
          <w:color w:val="000000" w:themeColor="text1"/>
        </w:rPr>
        <w:t>Banrural</w:t>
      </w:r>
      <w:proofErr w:type="spellEnd"/>
      <w:r w:rsidR="001816A6" w:rsidRPr="001816A6">
        <w:rPr>
          <w:rFonts w:cs="Arial"/>
          <w:color w:val="000000" w:themeColor="text1"/>
        </w:rPr>
        <w:t>,</w:t>
      </w:r>
      <w:r w:rsidR="001816A6" w:rsidRPr="001816A6">
        <w:rPr>
          <w:rFonts w:cs="Arial"/>
        </w:rPr>
        <w:t xml:space="preserve"> </w:t>
      </w:r>
      <w:r w:rsidR="001816A6" w:rsidRPr="001816A6">
        <w:rPr>
          <w:rFonts w:cs="Arial"/>
          <w:color w:val="000000" w:themeColor="text1"/>
        </w:rPr>
        <w:t>cuyo ente responsable es el Ministerio de Comunicaciones, Infraestructura y Vivienda.</w:t>
      </w:r>
    </w:p>
    <w:p w:rsidR="007318B2" w:rsidRPr="007318B2" w:rsidRDefault="007318B2" w:rsidP="007318B2">
      <w:pPr>
        <w:jc w:val="both"/>
        <w:rPr>
          <w:rFonts w:cs="Arial"/>
          <w:color w:val="000000"/>
        </w:rPr>
      </w:pPr>
    </w:p>
    <w:p w:rsidR="005B6A8D" w:rsidRPr="00291C02" w:rsidRDefault="005B6A8D" w:rsidP="005B6A8D">
      <w:pPr>
        <w:pStyle w:val="Prrafodelista"/>
        <w:numPr>
          <w:ilvl w:val="0"/>
          <w:numId w:val="2"/>
        </w:numPr>
        <w:jc w:val="both"/>
        <w:rPr>
          <w:rFonts w:cs="Arial"/>
          <w:color w:val="000000"/>
        </w:rPr>
      </w:pPr>
      <w:r w:rsidRPr="005B6A8D">
        <w:rPr>
          <w:rFonts w:cs="Arial"/>
          <w:color w:val="000000"/>
        </w:rPr>
        <w:t xml:space="preserve">El 14 de julio de 2019 feneció el plazo contractual del Fideicomiso del Fondo Vial. El Ministerio de </w:t>
      </w:r>
      <w:r w:rsidRPr="005B6A8D">
        <w:rPr>
          <w:rFonts w:cs="Arial"/>
          <w:color w:val="000000" w:themeColor="text1"/>
        </w:rPr>
        <w:t>Comunicaciones, Infraestructura y Vivienda, por conducto de la Unidad Ejecutora de Conservación Vial –COVIAL– deberá conducir las gestiones tendentes a su extinción y liquidación.</w:t>
      </w:r>
    </w:p>
    <w:p w:rsidR="00291C02" w:rsidRPr="00291C02" w:rsidRDefault="00291C02" w:rsidP="00291C02">
      <w:pPr>
        <w:pStyle w:val="Prrafodelista"/>
        <w:rPr>
          <w:rFonts w:cs="Arial"/>
          <w:color w:val="000000"/>
        </w:rPr>
      </w:pPr>
    </w:p>
    <w:p w:rsidR="00291C02" w:rsidRDefault="00291C02" w:rsidP="00291C02">
      <w:pPr>
        <w:pStyle w:val="Prrafodelista"/>
        <w:numPr>
          <w:ilvl w:val="0"/>
          <w:numId w:val="2"/>
        </w:numPr>
        <w:jc w:val="both"/>
        <w:rPr>
          <w:rFonts w:cs="Arial"/>
          <w:color w:val="000000"/>
        </w:rPr>
      </w:pPr>
      <w:r w:rsidRPr="00DE740F">
        <w:rPr>
          <w:rFonts w:cs="Arial"/>
          <w:color w:val="000000"/>
        </w:rPr>
        <w:t>El 2</w:t>
      </w:r>
      <w:r>
        <w:rPr>
          <w:rFonts w:cs="Arial"/>
          <w:color w:val="000000"/>
        </w:rPr>
        <w:t>9</w:t>
      </w:r>
      <w:r w:rsidRPr="00DE740F">
        <w:rPr>
          <w:rFonts w:cs="Arial"/>
          <w:color w:val="000000"/>
        </w:rPr>
        <w:t xml:space="preserve"> de </w:t>
      </w:r>
      <w:r>
        <w:rPr>
          <w:rFonts w:cs="Arial"/>
          <w:color w:val="000000"/>
        </w:rPr>
        <w:t>julio</w:t>
      </w:r>
      <w:r w:rsidRPr="00DE740F">
        <w:rPr>
          <w:rFonts w:cs="Arial"/>
          <w:color w:val="000000"/>
        </w:rPr>
        <w:t xml:space="preserve"> de 201</w:t>
      </w:r>
      <w:r>
        <w:rPr>
          <w:rFonts w:cs="Arial"/>
          <w:color w:val="000000"/>
        </w:rPr>
        <w:t>9</w:t>
      </w:r>
      <w:r w:rsidRPr="00DE740F">
        <w:rPr>
          <w:rFonts w:cs="Arial"/>
          <w:color w:val="000000"/>
        </w:rPr>
        <w:t xml:space="preserve"> se extinguió formalmente el Fideicomiso</w:t>
      </w:r>
      <w:r>
        <w:rPr>
          <w:rFonts w:cs="Arial"/>
          <w:color w:val="000000"/>
        </w:rPr>
        <w:t xml:space="preserve"> Bosques y Agua para la Concordia</w:t>
      </w:r>
      <w:r w:rsidRPr="00DE740F">
        <w:rPr>
          <w:rFonts w:cs="Arial"/>
          <w:color w:val="000000"/>
        </w:rPr>
        <w:t xml:space="preserve">, constituido en </w:t>
      </w:r>
      <w:r>
        <w:rPr>
          <w:rFonts w:cs="Arial"/>
          <w:color w:val="000000"/>
        </w:rPr>
        <w:t>CHN</w:t>
      </w:r>
      <w:r w:rsidRPr="00DE740F">
        <w:rPr>
          <w:rFonts w:cs="Arial"/>
          <w:color w:val="000000"/>
        </w:rPr>
        <w:t xml:space="preserve">, mediante escritura Pública número </w:t>
      </w:r>
      <w:r>
        <w:rPr>
          <w:rFonts w:cs="Arial"/>
          <w:color w:val="000000"/>
        </w:rPr>
        <w:t>48</w:t>
      </w:r>
      <w:r w:rsidRPr="00DE740F">
        <w:rPr>
          <w:rFonts w:cs="Arial"/>
          <w:color w:val="000000"/>
        </w:rPr>
        <w:t xml:space="preserve">, autorizada por la </w:t>
      </w:r>
      <w:r w:rsidRPr="00565B66">
        <w:rPr>
          <w:rFonts w:cs="Arial"/>
          <w:color w:val="000000"/>
        </w:rPr>
        <w:t>Escriban</w:t>
      </w:r>
      <w:r>
        <w:rPr>
          <w:rFonts w:cs="Arial"/>
          <w:color w:val="000000"/>
        </w:rPr>
        <w:t>o</w:t>
      </w:r>
      <w:r w:rsidRPr="00565B66">
        <w:rPr>
          <w:rFonts w:cs="Arial"/>
          <w:color w:val="000000"/>
        </w:rPr>
        <w:t xml:space="preserve"> de Cámara y de Gobierno.</w:t>
      </w:r>
    </w:p>
    <w:p w:rsidR="004C7880" w:rsidRPr="004C7880" w:rsidRDefault="004C7880" w:rsidP="004C7880">
      <w:pPr>
        <w:pStyle w:val="Prrafodelista"/>
        <w:rPr>
          <w:rFonts w:cs="Arial"/>
          <w:color w:val="000000"/>
        </w:rPr>
      </w:pPr>
    </w:p>
    <w:p w:rsidR="004C7880" w:rsidRDefault="00927179" w:rsidP="00291C02">
      <w:pPr>
        <w:pStyle w:val="Prrafodelista"/>
        <w:numPr>
          <w:ilvl w:val="0"/>
          <w:numId w:val="2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El 23 de julio de 2019 mediante acuerdo Gubernativo número 132-2019 y Escritura Pública número 56 de fecha 20 de septiembre de 2019, se modificó y amplio el plazo del Fideicomiso “Fondo Nacional para la Reactivación y Modernización de la Actividad Agropecuaria -FONAGRO-”, estableciéndose un plazo de 25 años a partir del 23 de septiembre de 2019 hasta el 22 de septiembre del 2044.</w:t>
      </w:r>
    </w:p>
    <w:p w:rsidR="004A047D" w:rsidRDefault="004A047D" w:rsidP="004A047D">
      <w:pPr>
        <w:pStyle w:val="Prrafodelista"/>
        <w:jc w:val="both"/>
        <w:rPr>
          <w:rFonts w:cs="Arial"/>
          <w:color w:val="000000"/>
        </w:rPr>
      </w:pPr>
    </w:p>
    <w:p w:rsidR="004A047D" w:rsidRPr="00C730D7" w:rsidRDefault="004A047D" w:rsidP="004A047D">
      <w:pPr>
        <w:pStyle w:val="Prrafodelista"/>
        <w:numPr>
          <w:ilvl w:val="0"/>
          <w:numId w:val="2"/>
        </w:numPr>
        <w:jc w:val="both"/>
        <w:rPr>
          <w:rFonts w:cs="Arial"/>
          <w:color w:val="000000"/>
        </w:rPr>
      </w:pPr>
      <w:r w:rsidRPr="00C730D7">
        <w:rPr>
          <w:rFonts w:cs="Arial"/>
          <w:color w:val="000000"/>
        </w:rPr>
        <w:t>Mediante escritura pública No. 78 del 20 de diciembre de 2019, autorizada por la Escribano de Cámara y de Gobierno, se amplió el plazo contractual del fideicomiso Fondo Fiduciario de Capitalización Bancaria -FCB-, el cual continuará operando bajo las mismas condiciones hasta el 22 de diciembre de 2035.</w:t>
      </w:r>
    </w:p>
    <w:p w:rsidR="001C304F" w:rsidRDefault="001C304F" w:rsidP="001C304F">
      <w:pPr>
        <w:pStyle w:val="Prrafodelista"/>
        <w:jc w:val="both"/>
        <w:rPr>
          <w:rFonts w:cs="Arial"/>
          <w:color w:val="000000"/>
        </w:rPr>
      </w:pPr>
    </w:p>
    <w:p w:rsidR="0072352F" w:rsidRPr="0052478F" w:rsidRDefault="00E92E1A" w:rsidP="008D682C">
      <w:pPr>
        <w:jc w:val="both"/>
        <w:rPr>
          <w:rFonts w:cs="Arial"/>
          <w:color w:val="000000" w:themeColor="text1"/>
        </w:rPr>
      </w:pPr>
      <w:r w:rsidRPr="0052478F">
        <w:rPr>
          <w:color w:val="000000" w:themeColor="text1"/>
        </w:rPr>
        <w:t>El Ministerio de Finanzas Públicas se encuentra dando seguimiento al trámite de extinción y liquidación de los fideicomisos cuyos plazos han fenecido</w:t>
      </w:r>
      <w:r w:rsidR="00525B60" w:rsidRPr="0052478F">
        <w:rPr>
          <w:color w:val="000000" w:themeColor="text1"/>
        </w:rPr>
        <w:t xml:space="preserve"> y brinda apoyo técnico a las unidades ejecutoras de fideicomisos que se encuentran próximos a vencer.</w:t>
      </w:r>
      <w:r w:rsidR="001B44F1" w:rsidRPr="0052478F">
        <w:rPr>
          <w:color w:val="000000" w:themeColor="text1"/>
        </w:rPr>
        <w:t xml:space="preserve"> Asimismo le corresponde, de conformidad con la ley, emitir dictamen previo a la constitución, modificación o extinción de los contratos de fideicomiso constituidos con recursos públicos.</w:t>
      </w:r>
    </w:p>
    <w:sectPr w:rsidR="0072352F" w:rsidRPr="0052478F" w:rsidSect="00C7339B">
      <w:headerReference w:type="default" r:id="rId17"/>
      <w:footerReference w:type="default" r:id="rId18"/>
      <w:pgSz w:w="12240" w:h="15840" w:code="1"/>
      <w:pgMar w:top="993" w:right="1183" w:bottom="2410" w:left="1361" w:header="426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98D" w:rsidRDefault="00EE498D" w:rsidP="00AF4392">
      <w:r>
        <w:separator/>
      </w:r>
    </w:p>
  </w:endnote>
  <w:endnote w:type="continuationSeparator" w:id="0">
    <w:p w:rsidR="00EE498D" w:rsidRDefault="00EE498D" w:rsidP="00AF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74501"/>
      <w:docPartObj>
        <w:docPartGallery w:val="Page Numbers (Bottom of Page)"/>
        <w:docPartUnique/>
      </w:docPartObj>
    </w:sdtPr>
    <w:sdtEndPr/>
    <w:sdtContent>
      <w:sdt>
        <w:sdtPr>
          <w:id w:val="216747541"/>
          <w:docPartObj>
            <w:docPartGallery w:val="Page Numbers (Top of Page)"/>
            <w:docPartUnique/>
          </w:docPartObj>
        </w:sdtPr>
        <w:sdtEndPr/>
        <w:sdtContent>
          <w:p w:rsidR="009C15C5" w:rsidRDefault="009C15C5">
            <w:pPr>
              <w:pStyle w:val="Piedepgina"/>
              <w:jc w:val="center"/>
            </w:pPr>
            <w:r w:rsidRPr="00AF4392">
              <w:rPr>
                <w:rFonts w:ascii="Arial Narrow" w:hAnsi="Arial Narrow"/>
                <w:sz w:val="16"/>
                <w:szCs w:val="16"/>
              </w:rPr>
              <w:t xml:space="preserve">Página </w:t>
            </w:r>
            <w:r w:rsidRPr="00AF4392">
              <w:rPr>
                <w:rFonts w:ascii="Arial Narrow" w:hAnsi="Arial Narrow"/>
                <w:b/>
                <w:sz w:val="16"/>
                <w:szCs w:val="16"/>
              </w:rPr>
              <w:fldChar w:fldCharType="begin"/>
            </w:r>
            <w:r w:rsidRPr="00AF4392">
              <w:rPr>
                <w:rFonts w:ascii="Arial Narrow" w:hAnsi="Arial Narrow"/>
                <w:b/>
                <w:sz w:val="16"/>
                <w:szCs w:val="16"/>
              </w:rPr>
              <w:instrText>PAGE</w:instrText>
            </w:r>
            <w:r w:rsidRPr="00AF4392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C62912">
              <w:rPr>
                <w:rFonts w:ascii="Arial Narrow" w:hAnsi="Arial Narrow"/>
                <w:b/>
                <w:noProof/>
                <w:sz w:val="16"/>
                <w:szCs w:val="16"/>
              </w:rPr>
              <w:t>12</w:t>
            </w:r>
            <w:r w:rsidRPr="00AF4392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 w:rsidRPr="00AF4392">
              <w:rPr>
                <w:rFonts w:ascii="Arial Narrow" w:hAnsi="Arial Narrow"/>
                <w:sz w:val="16"/>
                <w:szCs w:val="16"/>
              </w:rPr>
              <w:t xml:space="preserve"> de </w:t>
            </w:r>
            <w:r w:rsidRPr="00AF4392">
              <w:rPr>
                <w:rFonts w:ascii="Arial Narrow" w:hAnsi="Arial Narrow"/>
                <w:b/>
                <w:sz w:val="16"/>
                <w:szCs w:val="16"/>
              </w:rPr>
              <w:fldChar w:fldCharType="begin"/>
            </w:r>
            <w:r w:rsidRPr="00AF4392">
              <w:rPr>
                <w:rFonts w:ascii="Arial Narrow" w:hAnsi="Arial Narrow"/>
                <w:b/>
                <w:sz w:val="16"/>
                <w:szCs w:val="16"/>
              </w:rPr>
              <w:instrText>NUMPAGES</w:instrText>
            </w:r>
            <w:r w:rsidRPr="00AF4392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C62912">
              <w:rPr>
                <w:rFonts w:ascii="Arial Narrow" w:hAnsi="Arial Narrow"/>
                <w:b/>
                <w:noProof/>
                <w:sz w:val="16"/>
                <w:szCs w:val="16"/>
              </w:rPr>
              <w:t>12</w:t>
            </w:r>
            <w:r w:rsidRPr="00AF4392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9C15C5" w:rsidRDefault="00D8253A">
    <w:pPr>
      <w:pStyle w:val="Piedepgina"/>
    </w:pPr>
    <w:r>
      <w:rPr>
        <w:noProof/>
        <w:lang w:val="es-GT" w:eastAsia="es-GT"/>
      </w:rPr>
      <w:drawing>
        <wp:inline distT="0" distB="0" distL="0" distR="0" wp14:anchorId="075B50D1" wp14:editId="55381EFE">
          <wp:extent cx="6578562" cy="907085"/>
          <wp:effectExtent l="0" t="0" r="0" b="762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1435" t="36659" r="1121" b="39443"/>
                  <a:stretch/>
                </pic:blipFill>
                <pic:spPr bwMode="auto">
                  <a:xfrm>
                    <a:off x="0" y="0"/>
                    <a:ext cx="6583713" cy="907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98D" w:rsidRDefault="00EE498D" w:rsidP="00AF4392">
      <w:r>
        <w:separator/>
      </w:r>
    </w:p>
  </w:footnote>
  <w:footnote w:type="continuationSeparator" w:id="0">
    <w:p w:rsidR="00EE498D" w:rsidRDefault="00EE498D" w:rsidP="00AF4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82" w:rsidRDefault="00B82B82" w:rsidP="00B82B82">
    <w:pPr>
      <w:pStyle w:val="Encabezado"/>
      <w:ind w:left="-851"/>
    </w:pPr>
    <w:r>
      <w:rPr>
        <w:noProof/>
        <w:lang w:val="es-GT" w:eastAsia="es-GT"/>
      </w:rPr>
      <w:drawing>
        <wp:inline distT="0" distB="0" distL="0" distR="0" wp14:anchorId="4CF1AEB0" wp14:editId="6EC76C7A">
          <wp:extent cx="2031912" cy="848564"/>
          <wp:effectExtent l="0" t="0" r="6985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8870" t="18561" r="11165" b="22042"/>
                  <a:stretch/>
                </pic:blipFill>
                <pic:spPr bwMode="auto">
                  <a:xfrm>
                    <a:off x="0" y="0"/>
                    <a:ext cx="2033500" cy="8492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D4B73"/>
    <w:multiLevelType w:val="hybridMultilevel"/>
    <w:tmpl w:val="D6F8805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F0C91"/>
    <w:multiLevelType w:val="hybridMultilevel"/>
    <w:tmpl w:val="B96A97AA"/>
    <w:lvl w:ilvl="0" w:tplc="4378D30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2805EF"/>
    <w:multiLevelType w:val="hybridMultilevel"/>
    <w:tmpl w:val="C9041EA4"/>
    <w:lvl w:ilvl="0" w:tplc="8D4AD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1697C"/>
    <w:multiLevelType w:val="hybridMultilevel"/>
    <w:tmpl w:val="4352F86C"/>
    <w:lvl w:ilvl="0" w:tplc="0546C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43CF2"/>
    <w:multiLevelType w:val="hybridMultilevel"/>
    <w:tmpl w:val="B9F6C04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32C47"/>
    <w:multiLevelType w:val="hybridMultilevel"/>
    <w:tmpl w:val="0E948472"/>
    <w:lvl w:ilvl="0" w:tplc="4A54D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05B75"/>
    <w:multiLevelType w:val="hybridMultilevel"/>
    <w:tmpl w:val="3120E8A0"/>
    <w:lvl w:ilvl="0" w:tplc="1F160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E431A"/>
    <w:multiLevelType w:val="hybridMultilevel"/>
    <w:tmpl w:val="E16C8C78"/>
    <w:lvl w:ilvl="0" w:tplc="ECAAF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94330"/>
    <w:multiLevelType w:val="hybridMultilevel"/>
    <w:tmpl w:val="3ADC62AA"/>
    <w:lvl w:ilvl="0" w:tplc="B9D26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53"/>
    <w:rsid w:val="00000D59"/>
    <w:rsid w:val="0000122D"/>
    <w:rsid w:val="00001780"/>
    <w:rsid w:val="00001BE1"/>
    <w:rsid w:val="00001F00"/>
    <w:rsid w:val="000027AE"/>
    <w:rsid w:val="0000313A"/>
    <w:rsid w:val="00005092"/>
    <w:rsid w:val="00005B27"/>
    <w:rsid w:val="00005FFD"/>
    <w:rsid w:val="000061A5"/>
    <w:rsid w:val="00006336"/>
    <w:rsid w:val="00006821"/>
    <w:rsid w:val="00007444"/>
    <w:rsid w:val="000079FE"/>
    <w:rsid w:val="00007CAD"/>
    <w:rsid w:val="000102EC"/>
    <w:rsid w:val="000108B9"/>
    <w:rsid w:val="00011121"/>
    <w:rsid w:val="000114C7"/>
    <w:rsid w:val="00012837"/>
    <w:rsid w:val="00012C94"/>
    <w:rsid w:val="0001308F"/>
    <w:rsid w:val="00013196"/>
    <w:rsid w:val="0001414A"/>
    <w:rsid w:val="0001473A"/>
    <w:rsid w:val="00014ABE"/>
    <w:rsid w:val="00014E97"/>
    <w:rsid w:val="000151CF"/>
    <w:rsid w:val="00016153"/>
    <w:rsid w:val="000162ED"/>
    <w:rsid w:val="000164EF"/>
    <w:rsid w:val="00017546"/>
    <w:rsid w:val="00022C08"/>
    <w:rsid w:val="00022F0A"/>
    <w:rsid w:val="00023003"/>
    <w:rsid w:val="0002312C"/>
    <w:rsid w:val="0002352A"/>
    <w:rsid w:val="00023BD7"/>
    <w:rsid w:val="000246A5"/>
    <w:rsid w:val="000255A3"/>
    <w:rsid w:val="0002640A"/>
    <w:rsid w:val="00026460"/>
    <w:rsid w:val="00026688"/>
    <w:rsid w:val="000268FB"/>
    <w:rsid w:val="00026A90"/>
    <w:rsid w:val="000278CE"/>
    <w:rsid w:val="00030E77"/>
    <w:rsid w:val="000317E5"/>
    <w:rsid w:val="00032355"/>
    <w:rsid w:val="00032A8A"/>
    <w:rsid w:val="00033D38"/>
    <w:rsid w:val="00034AF1"/>
    <w:rsid w:val="000352ED"/>
    <w:rsid w:val="00035A82"/>
    <w:rsid w:val="00035EC2"/>
    <w:rsid w:val="000367FF"/>
    <w:rsid w:val="00037560"/>
    <w:rsid w:val="000379A0"/>
    <w:rsid w:val="000400D0"/>
    <w:rsid w:val="00040C30"/>
    <w:rsid w:val="00040DB0"/>
    <w:rsid w:val="00040EA4"/>
    <w:rsid w:val="0004122F"/>
    <w:rsid w:val="000416D6"/>
    <w:rsid w:val="00041CF7"/>
    <w:rsid w:val="0004427E"/>
    <w:rsid w:val="00045005"/>
    <w:rsid w:val="000503AD"/>
    <w:rsid w:val="00050748"/>
    <w:rsid w:val="000509A6"/>
    <w:rsid w:val="0005186C"/>
    <w:rsid w:val="000519FF"/>
    <w:rsid w:val="00052353"/>
    <w:rsid w:val="0005317D"/>
    <w:rsid w:val="00053237"/>
    <w:rsid w:val="0005325F"/>
    <w:rsid w:val="000533F4"/>
    <w:rsid w:val="0005340D"/>
    <w:rsid w:val="00053B2D"/>
    <w:rsid w:val="00053C30"/>
    <w:rsid w:val="00054A3C"/>
    <w:rsid w:val="00054D40"/>
    <w:rsid w:val="0005504D"/>
    <w:rsid w:val="000551A2"/>
    <w:rsid w:val="00056098"/>
    <w:rsid w:val="0005637E"/>
    <w:rsid w:val="000564AA"/>
    <w:rsid w:val="0006167D"/>
    <w:rsid w:val="0006172C"/>
    <w:rsid w:val="00061C39"/>
    <w:rsid w:val="00061CE9"/>
    <w:rsid w:val="00062228"/>
    <w:rsid w:val="000634BA"/>
    <w:rsid w:val="00063713"/>
    <w:rsid w:val="00063BCA"/>
    <w:rsid w:val="0006436D"/>
    <w:rsid w:val="00064819"/>
    <w:rsid w:val="0006513B"/>
    <w:rsid w:val="000656A1"/>
    <w:rsid w:val="00065A37"/>
    <w:rsid w:val="00066112"/>
    <w:rsid w:val="00066271"/>
    <w:rsid w:val="00066497"/>
    <w:rsid w:val="000670B5"/>
    <w:rsid w:val="000708EE"/>
    <w:rsid w:val="00070C5F"/>
    <w:rsid w:val="00071132"/>
    <w:rsid w:val="00071361"/>
    <w:rsid w:val="00071890"/>
    <w:rsid w:val="00071BF1"/>
    <w:rsid w:val="00072260"/>
    <w:rsid w:val="00072E84"/>
    <w:rsid w:val="0007339A"/>
    <w:rsid w:val="00073AA3"/>
    <w:rsid w:val="00073D0A"/>
    <w:rsid w:val="00074007"/>
    <w:rsid w:val="000745B2"/>
    <w:rsid w:val="000751FF"/>
    <w:rsid w:val="00075290"/>
    <w:rsid w:val="000757BA"/>
    <w:rsid w:val="00075846"/>
    <w:rsid w:val="0007600F"/>
    <w:rsid w:val="0007629D"/>
    <w:rsid w:val="000768E8"/>
    <w:rsid w:val="000769CD"/>
    <w:rsid w:val="00080E27"/>
    <w:rsid w:val="00081CCA"/>
    <w:rsid w:val="00081DE3"/>
    <w:rsid w:val="00082387"/>
    <w:rsid w:val="00082997"/>
    <w:rsid w:val="00083E18"/>
    <w:rsid w:val="00084306"/>
    <w:rsid w:val="000845A1"/>
    <w:rsid w:val="0008497C"/>
    <w:rsid w:val="0008539E"/>
    <w:rsid w:val="000855F1"/>
    <w:rsid w:val="0008583F"/>
    <w:rsid w:val="00085AA2"/>
    <w:rsid w:val="00086471"/>
    <w:rsid w:val="00086716"/>
    <w:rsid w:val="00086B0F"/>
    <w:rsid w:val="00086E59"/>
    <w:rsid w:val="00087790"/>
    <w:rsid w:val="00090336"/>
    <w:rsid w:val="00090E54"/>
    <w:rsid w:val="0009269C"/>
    <w:rsid w:val="000927B3"/>
    <w:rsid w:val="000927D9"/>
    <w:rsid w:val="00093036"/>
    <w:rsid w:val="000930A6"/>
    <w:rsid w:val="00093D1A"/>
    <w:rsid w:val="000943E8"/>
    <w:rsid w:val="000944E1"/>
    <w:rsid w:val="00095861"/>
    <w:rsid w:val="000959D1"/>
    <w:rsid w:val="00095B76"/>
    <w:rsid w:val="000966B4"/>
    <w:rsid w:val="000966E4"/>
    <w:rsid w:val="000969CB"/>
    <w:rsid w:val="0009715A"/>
    <w:rsid w:val="00097E67"/>
    <w:rsid w:val="000A0147"/>
    <w:rsid w:val="000A1C10"/>
    <w:rsid w:val="000A1ED0"/>
    <w:rsid w:val="000A20E9"/>
    <w:rsid w:val="000A3972"/>
    <w:rsid w:val="000A40C5"/>
    <w:rsid w:val="000A4765"/>
    <w:rsid w:val="000A4E81"/>
    <w:rsid w:val="000A4FC7"/>
    <w:rsid w:val="000A52E1"/>
    <w:rsid w:val="000A6C09"/>
    <w:rsid w:val="000A7000"/>
    <w:rsid w:val="000A78EE"/>
    <w:rsid w:val="000A7B23"/>
    <w:rsid w:val="000B006E"/>
    <w:rsid w:val="000B03CF"/>
    <w:rsid w:val="000B0932"/>
    <w:rsid w:val="000B0EA3"/>
    <w:rsid w:val="000B1403"/>
    <w:rsid w:val="000B14E1"/>
    <w:rsid w:val="000B18E5"/>
    <w:rsid w:val="000B1B66"/>
    <w:rsid w:val="000B1C4A"/>
    <w:rsid w:val="000B26F4"/>
    <w:rsid w:val="000B2705"/>
    <w:rsid w:val="000B2E6F"/>
    <w:rsid w:val="000B3830"/>
    <w:rsid w:val="000B3C2A"/>
    <w:rsid w:val="000B40E3"/>
    <w:rsid w:val="000B428E"/>
    <w:rsid w:val="000B444C"/>
    <w:rsid w:val="000B4642"/>
    <w:rsid w:val="000B4DD7"/>
    <w:rsid w:val="000B5EED"/>
    <w:rsid w:val="000C193C"/>
    <w:rsid w:val="000C1AB8"/>
    <w:rsid w:val="000C2047"/>
    <w:rsid w:val="000C266F"/>
    <w:rsid w:val="000C2775"/>
    <w:rsid w:val="000C342F"/>
    <w:rsid w:val="000C3F46"/>
    <w:rsid w:val="000C46C4"/>
    <w:rsid w:val="000C4943"/>
    <w:rsid w:val="000C568D"/>
    <w:rsid w:val="000C5E96"/>
    <w:rsid w:val="000C6310"/>
    <w:rsid w:val="000C6532"/>
    <w:rsid w:val="000C7390"/>
    <w:rsid w:val="000C73AA"/>
    <w:rsid w:val="000D0FA9"/>
    <w:rsid w:val="000D1011"/>
    <w:rsid w:val="000D13DC"/>
    <w:rsid w:val="000D1C4C"/>
    <w:rsid w:val="000D239E"/>
    <w:rsid w:val="000D23E5"/>
    <w:rsid w:val="000D2A6D"/>
    <w:rsid w:val="000D2D77"/>
    <w:rsid w:val="000D340D"/>
    <w:rsid w:val="000D3701"/>
    <w:rsid w:val="000D45B3"/>
    <w:rsid w:val="000D4BCA"/>
    <w:rsid w:val="000D4D13"/>
    <w:rsid w:val="000D51DE"/>
    <w:rsid w:val="000D5A64"/>
    <w:rsid w:val="000D5B66"/>
    <w:rsid w:val="000D5B7C"/>
    <w:rsid w:val="000D5CF1"/>
    <w:rsid w:val="000D6E0F"/>
    <w:rsid w:val="000D71E9"/>
    <w:rsid w:val="000D799D"/>
    <w:rsid w:val="000D7DB3"/>
    <w:rsid w:val="000D7DE1"/>
    <w:rsid w:val="000D7FDA"/>
    <w:rsid w:val="000E1308"/>
    <w:rsid w:val="000E1E32"/>
    <w:rsid w:val="000E2A65"/>
    <w:rsid w:val="000E2B4E"/>
    <w:rsid w:val="000E2D2D"/>
    <w:rsid w:val="000E2DB9"/>
    <w:rsid w:val="000E30C6"/>
    <w:rsid w:val="000E3571"/>
    <w:rsid w:val="000E3C18"/>
    <w:rsid w:val="000E4965"/>
    <w:rsid w:val="000E4B53"/>
    <w:rsid w:val="000E56E0"/>
    <w:rsid w:val="000E5C84"/>
    <w:rsid w:val="000E6700"/>
    <w:rsid w:val="000E6909"/>
    <w:rsid w:val="000E6AFE"/>
    <w:rsid w:val="000E7994"/>
    <w:rsid w:val="000E7C17"/>
    <w:rsid w:val="000E7C1F"/>
    <w:rsid w:val="000E7F80"/>
    <w:rsid w:val="000F07CF"/>
    <w:rsid w:val="000F0BE8"/>
    <w:rsid w:val="000F1717"/>
    <w:rsid w:val="000F1E63"/>
    <w:rsid w:val="000F31FE"/>
    <w:rsid w:val="000F3403"/>
    <w:rsid w:val="000F69EC"/>
    <w:rsid w:val="000F6C71"/>
    <w:rsid w:val="000F70DA"/>
    <w:rsid w:val="000F7140"/>
    <w:rsid w:val="00100CF6"/>
    <w:rsid w:val="001012BE"/>
    <w:rsid w:val="0010132B"/>
    <w:rsid w:val="0010167F"/>
    <w:rsid w:val="001020FE"/>
    <w:rsid w:val="0010213E"/>
    <w:rsid w:val="001025D7"/>
    <w:rsid w:val="00102FA7"/>
    <w:rsid w:val="00103349"/>
    <w:rsid w:val="00103652"/>
    <w:rsid w:val="00103C4A"/>
    <w:rsid w:val="00103C52"/>
    <w:rsid w:val="00103D0C"/>
    <w:rsid w:val="0010448D"/>
    <w:rsid w:val="0010492B"/>
    <w:rsid w:val="00104BE9"/>
    <w:rsid w:val="001050E6"/>
    <w:rsid w:val="001055D8"/>
    <w:rsid w:val="00106232"/>
    <w:rsid w:val="00106838"/>
    <w:rsid w:val="0010698B"/>
    <w:rsid w:val="00106A2C"/>
    <w:rsid w:val="00106E21"/>
    <w:rsid w:val="00107220"/>
    <w:rsid w:val="00107CE6"/>
    <w:rsid w:val="00107FF1"/>
    <w:rsid w:val="00110714"/>
    <w:rsid w:val="0011126F"/>
    <w:rsid w:val="0011132C"/>
    <w:rsid w:val="00111D16"/>
    <w:rsid w:val="00112390"/>
    <w:rsid w:val="00112393"/>
    <w:rsid w:val="001123A5"/>
    <w:rsid w:val="00113670"/>
    <w:rsid w:val="00113CB6"/>
    <w:rsid w:val="00114162"/>
    <w:rsid w:val="001151B0"/>
    <w:rsid w:val="00116D3A"/>
    <w:rsid w:val="00120B0C"/>
    <w:rsid w:val="00121368"/>
    <w:rsid w:val="00121584"/>
    <w:rsid w:val="00121C90"/>
    <w:rsid w:val="00125127"/>
    <w:rsid w:val="00126C5B"/>
    <w:rsid w:val="00126E3A"/>
    <w:rsid w:val="00127187"/>
    <w:rsid w:val="00127C0E"/>
    <w:rsid w:val="00127F2B"/>
    <w:rsid w:val="00130157"/>
    <w:rsid w:val="001307AE"/>
    <w:rsid w:val="00130F24"/>
    <w:rsid w:val="0013214F"/>
    <w:rsid w:val="00132426"/>
    <w:rsid w:val="00132557"/>
    <w:rsid w:val="001325D5"/>
    <w:rsid w:val="001330B0"/>
    <w:rsid w:val="0013317C"/>
    <w:rsid w:val="00133CD9"/>
    <w:rsid w:val="0013448F"/>
    <w:rsid w:val="00134A92"/>
    <w:rsid w:val="0013585A"/>
    <w:rsid w:val="0013588B"/>
    <w:rsid w:val="0013591A"/>
    <w:rsid w:val="001368DB"/>
    <w:rsid w:val="001370DF"/>
    <w:rsid w:val="00137870"/>
    <w:rsid w:val="00137E81"/>
    <w:rsid w:val="00140331"/>
    <w:rsid w:val="00141FC1"/>
    <w:rsid w:val="001425A8"/>
    <w:rsid w:val="001436CF"/>
    <w:rsid w:val="0014466F"/>
    <w:rsid w:val="00144F28"/>
    <w:rsid w:val="001457CB"/>
    <w:rsid w:val="001458DB"/>
    <w:rsid w:val="00145CFF"/>
    <w:rsid w:val="00145E2B"/>
    <w:rsid w:val="00146091"/>
    <w:rsid w:val="00147480"/>
    <w:rsid w:val="001476D1"/>
    <w:rsid w:val="0015147B"/>
    <w:rsid w:val="0015191F"/>
    <w:rsid w:val="00151B43"/>
    <w:rsid w:val="001524B3"/>
    <w:rsid w:val="00152924"/>
    <w:rsid w:val="001536AF"/>
    <w:rsid w:val="00153AE0"/>
    <w:rsid w:val="00154478"/>
    <w:rsid w:val="001549BA"/>
    <w:rsid w:val="00155094"/>
    <w:rsid w:val="00155162"/>
    <w:rsid w:val="00155C54"/>
    <w:rsid w:val="001569DB"/>
    <w:rsid w:val="00157856"/>
    <w:rsid w:val="00157967"/>
    <w:rsid w:val="00157A23"/>
    <w:rsid w:val="00160C51"/>
    <w:rsid w:val="0016160E"/>
    <w:rsid w:val="00162C15"/>
    <w:rsid w:val="001637BD"/>
    <w:rsid w:val="0016435F"/>
    <w:rsid w:val="00164A0F"/>
    <w:rsid w:val="00164C1F"/>
    <w:rsid w:val="00165209"/>
    <w:rsid w:val="0016688C"/>
    <w:rsid w:val="00167EFE"/>
    <w:rsid w:val="00170A9A"/>
    <w:rsid w:val="00170BF4"/>
    <w:rsid w:val="001716CC"/>
    <w:rsid w:val="00172112"/>
    <w:rsid w:val="0017242F"/>
    <w:rsid w:val="00174797"/>
    <w:rsid w:val="00174D18"/>
    <w:rsid w:val="00175549"/>
    <w:rsid w:val="001756B6"/>
    <w:rsid w:val="00176CD0"/>
    <w:rsid w:val="00177F03"/>
    <w:rsid w:val="00177F98"/>
    <w:rsid w:val="00180BCD"/>
    <w:rsid w:val="00181627"/>
    <w:rsid w:val="001816A6"/>
    <w:rsid w:val="001820C7"/>
    <w:rsid w:val="001828D7"/>
    <w:rsid w:val="00182B96"/>
    <w:rsid w:val="00183865"/>
    <w:rsid w:val="001844FD"/>
    <w:rsid w:val="0018495B"/>
    <w:rsid w:val="00184CDA"/>
    <w:rsid w:val="00185711"/>
    <w:rsid w:val="00185E2B"/>
    <w:rsid w:val="00186DA4"/>
    <w:rsid w:val="00187566"/>
    <w:rsid w:val="0018765C"/>
    <w:rsid w:val="00187F65"/>
    <w:rsid w:val="00190271"/>
    <w:rsid w:val="00190DBE"/>
    <w:rsid w:val="001910B3"/>
    <w:rsid w:val="00191838"/>
    <w:rsid w:val="0019199D"/>
    <w:rsid w:val="00191D1C"/>
    <w:rsid w:val="001924FA"/>
    <w:rsid w:val="001925CE"/>
    <w:rsid w:val="00192636"/>
    <w:rsid w:val="00192BC7"/>
    <w:rsid w:val="00193CE9"/>
    <w:rsid w:val="00194FDC"/>
    <w:rsid w:val="001959FF"/>
    <w:rsid w:val="00195E9D"/>
    <w:rsid w:val="00195F27"/>
    <w:rsid w:val="001961E1"/>
    <w:rsid w:val="00196295"/>
    <w:rsid w:val="00196635"/>
    <w:rsid w:val="001A02C3"/>
    <w:rsid w:val="001A0572"/>
    <w:rsid w:val="001A12A6"/>
    <w:rsid w:val="001A15BE"/>
    <w:rsid w:val="001A3C2A"/>
    <w:rsid w:val="001A3FA4"/>
    <w:rsid w:val="001A4099"/>
    <w:rsid w:val="001A4211"/>
    <w:rsid w:val="001A4ACE"/>
    <w:rsid w:val="001A5692"/>
    <w:rsid w:val="001A6341"/>
    <w:rsid w:val="001A6761"/>
    <w:rsid w:val="001A6DF9"/>
    <w:rsid w:val="001A7BB7"/>
    <w:rsid w:val="001A7DD6"/>
    <w:rsid w:val="001B027B"/>
    <w:rsid w:val="001B11A2"/>
    <w:rsid w:val="001B1250"/>
    <w:rsid w:val="001B13B3"/>
    <w:rsid w:val="001B28E3"/>
    <w:rsid w:val="001B2A03"/>
    <w:rsid w:val="001B2E57"/>
    <w:rsid w:val="001B374D"/>
    <w:rsid w:val="001B3843"/>
    <w:rsid w:val="001B3D7D"/>
    <w:rsid w:val="001B4282"/>
    <w:rsid w:val="001B44F1"/>
    <w:rsid w:val="001B4D17"/>
    <w:rsid w:val="001B4FD2"/>
    <w:rsid w:val="001B5A9B"/>
    <w:rsid w:val="001B739B"/>
    <w:rsid w:val="001B7C14"/>
    <w:rsid w:val="001C0592"/>
    <w:rsid w:val="001C06A0"/>
    <w:rsid w:val="001C1269"/>
    <w:rsid w:val="001C178A"/>
    <w:rsid w:val="001C1D07"/>
    <w:rsid w:val="001C2592"/>
    <w:rsid w:val="001C2B0B"/>
    <w:rsid w:val="001C304F"/>
    <w:rsid w:val="001C396B"/>
    <w:rsid w:val="001C39C9"/>
    <w:rsid w:val="001C3F98"/>
    <w:rsid w:val="001C4013"/>
    <w:rsid w:val="001C49F7"/>
    <w:rsid w:val="001C6FD1"/>
    <w:rsid w:val="001C7797"/>
    <w:rsid w:val="001D0238"/>
    <w:rsid w:val="001D09A0"/>
    <w:rsid w:val="001D14D0"/>
    <w:rsid w:val="001D384F"/>
    <w:rsid w:val="001D39CC"/>
    <w:rsid w:val="001D3C16"/>
    <w:rsid w:val="001D3C28"/>
    <w:rsid w:val="001D3CE2"/>
    <w:rsid w:val="001D3EFE"/>
    <w:rsid w:val="001D48BD"/>
    <w:rsid w:val="001D50AC"/>
    <w:rsid w:val="001D5BCE"/>
    <w:rsid w:val="001D5C49"/>
    <w:rsid w:val="001D64A0"/>
    <w:rsid w:val="001D6777"/>
    <w:rsid w:val="001D69A6"/>
    <w:rsid w:val="001E000B"/>
    <w:rsid w:val="001E04B9"/>
    <w:rsid w:val="001E071D"/>
    <w:rsid w:val="001E26EC"/>
    <w:rsid w:val="001E2EF0"/>
    <w:rsid w:val="001E2F9F"/>
    <w:rsid w:val="001E38DF"/>
    <w:rsid w:val="001E39D0"/>
    <w:rsid w:val="001E4DAF"/>
    <w:rsid w:val="001E50B5"/>
    <w:rsid w:val="001E5136"/>
    <w:rsid w:val="001E5FF6"/>
    <w:rsid w:val="001E6246"/>
    <w:rsid w:val="001E627F"/>
    <w:rsid w:val="001E7340"/>
    <w:rsid w:val="001F0684"/>
    <w:rsid w:val="001F08E5"/>
    <w:rsid w:val="001F0A7C"/>
    <w:rsid w:val="001F104E"/>
    <w:rsid w:val="001F14BA"/>
    <w:rsid w:val="001F1B6D"/>
    <w:rsid w:val="001F1DA2"/>
    <w:rsid w:val="001F2289"/>
    <w:rsid w:val="001F2BF4"/>
    <w:rsid w:val="001F2DD7"/>
    <w:rsid w:val="001F38FA"/>
    <w:rsid w:val="001F3A48"/>
    <w:rsid w:val="001F48A4"/>
    <w:rsid w:val="001F48FC"/>
    <w:rsid w:val="001F5DFF"/>
    <w:rsid w:val="001F60AB"/>
    <w:rsid w:val="001F68D6"/>
    <w:rsid w:val="001F6C58"/>
    <w:rsid w:val="001F7A06"/>
    <w:rsid w:val="001F7C1B"/>
    <w:rsid w:val="002010AA"/>
    <w:rsid w:val="0020160A"/>
    <w:rsid w:val="002019AF"/>
    <w:rsid w:val="00201CBA"/>
    <w:rsid w:val="00201D01"/>
    <w:rsid w:val="00201E58"/>
    <w:rsid w:val="0020333C"/>
    <w:rsid w:val="00204260"/>
    <w:rsid w:val="00206227"/>
    <w:rsid w:val="0020690B"/>
    <w:rsid w:val="002076CA"/>
    <w:rsid w:val="00211DE3"/>
    <w:rsid w:val="00211F6B"/>
    <w:rsid w:val="002125C8"/>
    <w:rsid w:val="00212808"/>
    <w:rsid w:val="00212966"/>
    <w:rsid w:val="002142F8"/>
    <w:rsid w:val="0021553B"/>
    <w:rsid w:val="0022003E"/>
    <w:rsid w:val="002200A9"/>
    <w:rsid w:val="0022056D"/>
    <w:rsid w:val="0022071B"/>
    <w:rsid w:val="00220D46"/>
    <w:rsid w:val="00221E98"/>
    <w:rsid w:val="00222270"/>
    <w:rsid w:val="0022249E"/>
    <w:rsid w:val="00222536"/>
    <w:rsid w:val="002237A2"/>
    <w:rsid w:val="0022397B"/>
    <w:rsid w:val="00223F47"/>
    <w:rsid w:val="00225859"/>
    <w:rsid w:val="00225983"/>
    <w:rsid w:val="00225C3B"/>
    <w:rsid w:val="00225E76"/>
    <w:rsid w:val="00226AF7"/>
    <w:rsid w:val="00226B43"/>
    <w:rsid w:val="00227760"/>
    <w:rsid w:val="00227C96"/>
    <w:rsid w:val="00227E01"/>
    <w:rsid w:val="002305E5"/>
    <w:rsid w:val="0023096C"/>
    <w:rsid w:val="00230A4E"/>
    <w:rsid w:val="00231179"/>
    <w:rsid w:val="00231B7E"/>
    <w:rsid w:val="0023262B"/>
    <w:rsid w:val="0023278B"/>
    <w:rsid w:val="00232B57"/>
    <w:rsid w:val="002333E8"/>
    <w:rsid w:val="002336F2"/>
    <w:rsid w:val="0023416A"/>
    <w:rsid w:val="00234484"/>
    <w:rsid w:val="00234E24"/>
    <w:rsid w:val="0023508B"/>
    <w:rsid w:val="00235187"/>
    <w:rsid w:val="002352BF"/>
    <w:rsid w:val="0023533C"/>
    <w:rsid w:val="00235B21"/>
    <w:rsid w:val="00236E8D"/>
    <w:rsid w:val="002371AF"/>
    <w:rsid w:val="00237BA6"/>
    <w:rsid w:val="00237FBC"/>
    <w:rsid w:val="00240007"/>
    <w:rsid w:val="00240390"/>
    <w:rsid w:val="0024051C"/>
    <w:rsid w:val="00241251"/>
    <w:rsid w:val="00242254"/>
    <w:rsid w:val="00242ACC"/>
    <w:rsid w:val="00242B4F"/>
    <w:rsid w:val="00242D2F"/>
    <w:rsid w:val="00242F21"/>
    <w:rsid w:val="00243151"/>
    <w:rsid w:val="00245E0F"/>
    <w:rsid w:val="0024689C"/>
    <w:rsid w:val="002508BB"/>
    <w:rsid w:val="0025130C"/>
    <w:rsid w:val="00251430"/>
    <w:rsid w:val="002517D0"/>
    <w:rsid w:val="00251CEB"/>
    <w:rsid w:val="00251DFC"/>
    <w:rsid w:val="00251F92"/>
    <w:rsid w:val="00252DCC"/>
    <w:rsid w:val="00252F18"/>
    <w:rsid w:val="00253450"/>
    <w:rsid w:val="00254DE9"/>
    <w:rsid w:val="00255611"/>
    <w:rsid w:val="00255897"/>
    <w:rsid w:val="00255ACE"/>
    <w:rsid w:val="00255B22"/>
    <w:rsid w:val="00255FFA"/>
    <w:rsid w:val="00256037"/>
    <w:rsid w:val="00256531"/>
    <w:rsid w:val="00257A10"/>
    <w:rsid w:val="0026119E"/>
    <w:rsid w:val="00261388"/>
    <w:rsid w:val="00261502"/>
    <w:rsid w:val="0026188D"/>
    <w:rsid w:val="002618F4"/>
    <w:rsid w:val="002628DF"/>
    <w:rsid w:val="00262927"/>
    <w:rsid w:val="00262C19"/>
    <w:rsid w:val="00263B65"/>
    <w:rsid w:val="002644E4"/>
    <w:rsid w:val="00264F2C"/>
    <w:rsid w:val="00266231"/>
    <w:rsid w:val="00266557"/>
    <w:rsid w:val="00267226"/>
    <w:rsid w:val="002674B0"/>
    <w:rsid w:val="00267967"/>
    <w:rsid w:val="0027040C"/>
    <w:rsid w:val="00270DFE"/>
    <w:rsid w:val="002719C7"/>
    <w:rsid w:val="00271AD7"/>
    <w:rsid w:val="00271AFF"/>
    <w:rsid w:val="00271BBD"/>
    <w:rsid w:val="00271C92"/>
    <w:rsid w:val="00272399"/>
    <w:rsid w:val="002724AE"/>
    <w:rsid w:val="0027268D"/>
    <w:rsid w:val="00272F43"/>
    <w:rsid w:val="002733A7"/>
    <w:rsid w:val="00273A15"/>
    <w:rsid w:val="00273CC9"/>
    <w:rsid w:val="0027535D"/>
    <w:rsid w:val="00275512"/>
    <w:rsid w:val="00276CB8"/>
    <w:rsid w:val="00276F12"/>
    <w:rsid w:val="002770BF"/>
    <w:rsid w:val="00280488"/>
    <w:rsid w:val="002811FA"/>
    <w:rsid w:val="00281EE9"/>
    <w:rsid w:val="00281FF2"/>
    <w:rsid w:val="00282295"/>
    <w:rsid w:val="00282610"/>
    <w:rsid w:val="0028275F"/>
    <w:rsid w:val="00282B43"/>
    <w:rsid w:val="00282C1E"/>
    <w:rsid w:val="00282C1F"/>
    <w:rsid w:val="00283CB8"/>
    <w:rsid w:val="00284FAA"/>
    <w:rsid w:val="0028603D"/>
    <w:rsid w:val="002868DE"/>
    <w:rsid w:val="00287668"/>
    <w:rsid w:val="00287C7B"/>
    <w:rsid w:val="00287CEB"/>
    <w:rsid w:val="0029037D"/>
    <w:rsid w:val="00290705"/>
    <w:rsid w:val="00290C34"/>
    <w:rsid w:val="0029158E"/>
    <w:rsid w:val="002916B0"/>
    <w:rsid w:val="00291C02"/>
    <w:rsid w:val="00292104"/>
    <w:rsid w:val="00293E86"/>
    <w:rsid w:val="00294000"/>
    <w:rsid w:val="0029523C"/>
    <w:rsid w:val="00296099"/>
    <w:rsid w:val="00296432"/>
    <w:rsid w:val="00296685"/>
    <w:rsid w:val="0029673F"/>
    <w:rsid w:val="00296C09"/>
    <w:rsid w:val="00297200"/>
    <w:rsid w:val="00297302"/>
    <w:rsid w:val="00297901"/>
    <w:rsid w:val="00297C56"/>
    <w:rsid w:val="002A07FB"/>
    <w:rsid w:val="002A0C4E"/>
    <w:rsid w:val="002A0F7B"/>
    <w:rsid w:val="002A1873"/>
    <w:rsid w:val="002A1A8E"/>
    <w:rsid w:val="002A1DAF"/>
    <w:rsid w:val="002A220F"/>
    <w:rsid w:val="002A2459"/>
    <w:rsid w:val="002A287B"/>
    <w:rsid w:val="002A3209"/>
    <w:rsid w:val="002A365B"/>
    <w:rsid w:val="002A36DF"/>
    <w:rsid w:val="002A3767"/>
    <w:rsid w:val="002A38E4"/>
    <w:rsid w:val="002A43C9"/>
    <w:rsid w:val="002A43DD"/>
    <w:rsid w:val="002A48C8"/>
    <w:rsid w:val="002A499D"/>
    <w:rsid w:val="002A5194"/>
    <w:rsid w:val="002A5845"/>
    <w:rsid w:val="002A5BB7"/>
    <w:rsid w:val="002A5C1D"/>
    <w:rsid w:val="002A601C"/>
    <w:rsid w:val="002A66A3"/>
    <w:rsid w:val="002B0B01"/>
    <w:rsid w:val="002B161C"/>
    <w:rsid w:val="002B1898"/>
    <w:rsid w:val="002B1C79"/>
    <w:rsid w:val="002B23EC"/>
    <w:rsid w:val="002B3208"/>
    <w:rsid w:val="002B4780"/>
    <w:rsid w:val="002B49BE"/>
    <w:rsid w:val="002B4B10"/>
    <w:rsid w:val="002B6D00"/>
    <w:rsid w:val="002B70AD"/>
    <w:rsid w:val="002B73F9"/>
    <w:rsid w:val="002B7923"/>
    <w:rsid w:val="002B79AB"/>
    <w:rsid w:val="002C0C94"/>
    <w:rsid w:val="002C1982"/>
    <w:rsid w:val="002C29B3"/>
    <w:rsid w:val="002C306D"/>
    <w:rsid w:val="002C4414"/>
    <w:rsid w:val="002C4FE0"/>
    <w:rsid w:val="002C5195"/>
    <w:rsid w:val="002C5297"/>
    <w:rsid w:val="002C6686"/>
    <w:rsid w:val="002C6D75"/>
    <w:rsid w:val="002C75BD"/>
    <w:rsid w:val="002C7635"/>
    <w:rsid w:val="002C7842"/>
    <w:rsid w:val="002D01FD"/>
    <w:rsid w:val="002D11B2"/>
    <w:rsid w:val="002D1ED7"/>
    <w:rsid w:val="002D2153"/>
    <w:rsid w:val="002D23EE"/>
    <w:rsid w:val="002D28F9"/>
    <w:rsid w:val="002D298B"/>
    <w:rsid w:val="002D2C5D"/>
    <w:rsid w:val="002D52EC"/>
    <w:rsid w:val="002D54DE"/>
    <w:rsid w:val="002D55CB"/>
    <w:rsid w:val="002D5639"/>
    <w:rsid w:val="002D5D2B"/>
    <w:rsid w:val="002D6493"/>
    <w:rsid w:val="002D69D2"/>
    <w:rsid w:val="002D6B56"/>
    <w:rsid w:val="002D7FA8"/>
    <w:rsid w:val="002E04D0"/>
    <w:rsid w:val="002E0EB5"/>
    <w:rsid w:val="002E100D"/>
    <w:rsid w:val="002E15F1"/>
    <w:rsid w:val="002E2475"/>
    <w:rsid w:val="002E264C"/>
    <w:rsid w:val="002E396B"/>
    <w:rsid w:val="002E4089"/>
    <w:rsid w:val="002E491C"/>
    <w:rsid w:val="002E49CA"/>
    <w:rsid w:val="002E4D7E"/>
    <w:rsid w:val="002E5C13"/>
    <w:rsid w:val="002E7723"/>
    <w:rsid w:val="002E79B8"/>
    <w:rsid w:val="002E7A37"/>
    <w:rsid w:val="002F0224"/>
    <w:rsid w:val="002F03AD"/>
    <w:rsid w:val="002F04A8"/>
    <w:rsid w:val="002F073D"/>
    <w:rsid w:val="002F138D"/>
    <w:rsid w:val="002F153C"/>
    <w:rsid w:val="002F1847"/>
    <w:rsid w:val="002F1F7C"/>
    <w:rsid w:val="002F29A2"/>
    <w:rsid w:val="002F31AC"/>
    <w:rsid w:val="002F35D6"/>
    <w:rsid w:val="002F4652"/>
    <w:rsid w:val="002F466F"/>
    <w:rsid w:val="002F49AB"/>
    <w:rsid w:val="002F4ED6"/>
    <w:rsid w:val="002F6733"/>
    <w:rsid w:val="002F68A1"/>
    <w:rsid w:val="002F6F52"/>
    <w:rsid w:val="002F76B4"/>
    <w:rsid w:val="002F7CB3"/>
    <w:rsid w:val="00300421"/>
    <w:rsid w:val="003004EE"/>
    <w:rsid w:val="003018E2"/>
    <w:rsid w:val="00301A58"/>
    <w:rsid w:val="00301E0F"/>
    <w:rsid w:val="00302D36"/>
    <w:rsid w:val="0030334C"/>
    <w:rsid w:val="00303395"/>
    <w:rsid w:val="00304A7F"/>
    <w:rsid w:val="003073A9"/>
    <w:rsid w:val="00307B08"/>
    <w:rsid w:val="0031014D"/>
    <w:rsid w:val="00310214"/>
    <w:rsid w:val="003102A1"/>
    <w:rsid w:val="00310A39"/>
    <w:rsid w:val="00311090"/>
    <w:rsid w:val="00313878"/>
    <w:rsid w:val="00313CE3"/>
    <w:rsid w:val="003153BC"/>
    <w:rsid w:val="003155D0"/>
    <w:rsid w:val="00315F11"/>
    <w:rsid w:val="0031601A"/>
    <w:rsid w:val="00316107"/>
    <w:rsid w:val="0031621B"/>
    <w:rsid w:val="003166A0"/>
    <w:rsid w:val="00316711"/>
    <w:rsid w:val="003169D2"/>
    <w:rsid w:val="00316E32"/>
    <w:rsid w:val="0031774A"/>
    <w:rsid w:val="00317C88"/>
    <w:rsid w:val="00317CDF"/>
    <w:rsid w:val="003210C9"/>
    <w:rsid w:val="0032117E"/>
    <w:rsid w:val="003211B3"/>
    <w:rsid w:val="00322029"/>
    <w:rsid w:val="003223AB"/>
    <w:rsid w:val="00322F6D"/>
    <w:rsid w:val="00322F7E"/>
    <w:rsid w:val="00323043"/>
    <w:rsid w:val="00323255"/>
    <w:rsid w:val="003237E8"/>
    <w:rsid w:val="003239EB"/>
    <w:rsid w:val="00325D9D"/>
    <w:rsid w:val="00326039"/>
    <w:rsid w:val="003262D7"/>
    <w:rsid w:val="0032630E"/>
    <w:rsid w:val="00326EAF"/>
    <w:rsid w:val="00326EB5"/>
    <w:rsid w:val="00327485"/>
    <w:rsid w:val="00327529"/>
    <w:rsid w:val="0033011E"/>
    <w:rsid w:val="00330EAB"/>
    <w:rsid w:val="00331BC0"/>
    <w:rsid w:val="00332A7B"/>
    <w:rsid w:val="00332E0F"/>
    <w:rsid w:val="00332FA0"/>
    <w:rsid w:val="003338B8"/>
    <w:rsid w:val="00333A25"/>
    <w:rsid w:val="00333C27"/>
    <w:rsid w:val="00333D4E"/>
    <w:rsid w:val="00333F52"/>
    <w:rsid w:val="00334D39"/>
    <w:rsid w:val="00334F97"/>
    <w:rsid w:val="0033501C"/>
    <w:rsid w:val="00335146"/>
    <w:rsid w:val="0033559C"/>
    <w:rsid w:val="00335C40"/>
    <w:rsid w:val="00336740"/>
    <w:rsid w:val="00336CD1"/>
    <w:rsid w:val="00337551"/>
    <w:rsid w:val="00340BA7"/>
    <w:rsid w:val="00341499"/>
    <w:rsid w:val="00342866"/>
    <w:rsid w:val="00343033"/>
    <w:rsid w:val="00343540"/>
    <w:rsid w:val="00343A69"/>
    <w:rsid w:val="0034417C"/>
    <w:rsid w:val="003452EA"/>
    <w:rsid w:val="00345C85"/>
    <w:rsid w:val="00345F11"/>
    <w:rsid w:val="00346FBD"/>
    <w:rsid w:val="0034722C"/>
    <w:rsid w:val="00347E3A"/>
    <w:rsid w:val="003502DA"/>
    <w:rsid w:val="00350EA5"/>
    <w:rsid w:val="003513D6"/>
    <w:rsid w:val="003514B6"/>
    <w:rsid w:val="003515A7"/>
    <w:rsid w:val="00351F94"/>
    <w:rsid w:val="00352A99"/>
    <w:rsid w:val="00353749"/>
    <w:rsid w:val="00353FBE"/>
    <w:rsid w:val="00354220"/>
    <w:rsid w:val="00354C3D"/>
    <w:rsid w:val="00354D33"/>
    <w:rsid w:val="0035559D"/>
    <w:rsid w:val="003559C8"/>
    <w:rsid w:val="00356737"/>
    <w:rsid w:val="003569E6"/>
    <w:rsid w:val="00356B76"/>
    <w:rsid w:val="003579A9"/>
    <w:rsid w:val="003602C2"/>
    <w:rsid w:val="003603C0"/>
    <w:rsid w:val="00360CC5"/>
    <w:rsid w:val="00361216"/>
    <w:rsid w:val="00361DAF"/>
    <w:rsid w:val="00361E1F"/>
    <w:rsid w:val="00362435"/>
    <w:rsid w:val="00363A52"/>
    <w:rsid w:val="00363C06"/>
    <w:rsid w:val="003647C9"/>
    <w:rsid w:val="0036490E"/>
    <w:rsid w:val="00364A82"/>
    <w:rsid w:val="00364EE0"/>
    <w:rsid w:val="00365047"/>
    <w:rsid w:val="0036512E"/>
    <w:rsid w:val="003653E4"/>
    <w:rsid w:val="00365884"/>
    <w:rsid w:val="00366BD2"/>
    <w:rsid w:val="00366FAB"/>
    <w:rsid w:val="003674DC"/>
    <w:rsid w:val="0036753C"/>
    <w:rsid w:val="00367895"/>
    <w:rsid w:val="00367983"/>
    <w:rsid w:val="00367DC1"/>
    <w:rsid w:val="00371C76"/>
    <w:rsid w:val="00372F59"/>
    <w:rsid w:val="00375E07"/>
    <w:rsid w:val="003762F1"/>
    <w:rsid w:val="003767DD"/>
    <w:rsid w:val="00376B16"/>
    <w:rsid w:val="00376FD8"/>
    <w:rsid w:val="003806C5"/>
    <w:rsid w:val="00380792"/>
    <w:rsid w:val="0038084B"/>
    <w:rsid w:val="003808B7"/>
    <w:rsid w:val="00380B6E"/>
    <w:rsid w:val="00380E7E"/>
    <w:rsid w:val="00381BBA"/>
    <w:rsid w:val="00381DE4"/>
    <w:rsid w:val="0038231A"/>
    <w:rsid w:val="0038268B"/>
    <w:rsid w:val="00382FC4"/>
    <w:rsid w:val="0038301C"/>
    <w:rsid w:val="00383455"/>
    <w:rsid w:val="003843A0"/>
    <w:rsid w:val="00384867"/>
    <w:rsid w:val="00384E40"/>
    <w:rsid w:val="00385928"/>
    <w:rsid w:val="00385B78"/>
    <w:rsid w:val="003866A0"/>
    <w:rsid w:val="00386AE3"/>
    <w:rsid w:val="0038703E"/>
    <w:rsid w:val="00387905"/>
    <w:rsid w:val="0039092D"/>
    <w:rsid w:val="00390CBE"/>
    <w:rsid w:val="00391EC2"/>
    <w:rsid w:val="003922BE"/>
    <w:rsid w:val="00392CDF"/>
    <w:rsid w:val="00393189"/>
    <w:rsid w:val="0039330B"/>
    <w:rsid w:val="0039432B"/>
    <w:rsid w:val="00394CF2"/>
    <w:rsid w:val="003950FC"/>
    <w:rsid w:val="00395187"/>
    <w:rsid w:val="003952C4"/>
    <w:rsid w:val="00395D1C"/>
    <w:rsid w:val="00396BFD"/>
    <w:rsid w:val="00396EC7"/>
    <w:rsid w:val="003972AC"/>
    <w:rsid w:val="00397EA1"/>
    <w:rsid w:val="003A00CB"/>
    <w:rsid w:val="003A039B"/>
    <w:rsid w:val="003A0E39"/>
    <w:rsid w:val="003A1204"/>
    <w:rsid w:val="003A184D"/>
    <w:rsid w:val="003A1991"/>
    <w:rsid w:val="003A2043"/>
    <w:rsid w:val="003A23A0"/>
    <w:rsid w:val="003A3C45"/>
    <w:rsid w:val="003A3F37"/>
    <w:rsid w:val="003A4DA0"/>
    <w:rsid w:val="003A5534"/>
    <w:rsid w:val="003A576A"/>
    <w:rsid w:val="003A5780"/>
    <w:rsid w:val="003A5BE8"/>
    <w:rsid w:val="003A5D31"/>
    <w:rsid w:val="003A61E7"/>
    <w:rsid w:val="003A79CB"/>
    <w:rsid w:val="003A7A33"/>
    <w:rsid w:val="003A7F00"/>
    <w:rsid w:val="003B07DD"/>
    <w:rsid w:val="003B08E9"/>
    <w:rsid w:val="003B0E46"/>
    <w:rsid w:val="003B1EF1"/>
    <w:rsid w:val="003B22E4"/>
    <w:rsid w:val="003B289B"/>
    <w:rsid w:val="003B28E3"/>
    <w:rsid w:val="003B2A43"/>
    <w:rsid w:val="003B2BB5"/>
    <w:rsid w:val="003B31E7"/>
    <w:rsid w:val="003B33AE"/>
    <w:rsid w:val="003B33FF"/>
    <w:rsid w:val="003B342A"/>
    <w:rsid w:val="003B38CB"/>
    <w:rsid w:val="003B3D22"/>
    <w:rsid w:val="003B3D46"/>
    <w:rsid w:val="003B41EE"/>
    <w:rsid w:val="003B4452"/>
    <w:rsid w:val="003B4EA8"/>
    <w:rsid w:val="003B5766"/>
    <w:rsid w:val="003B5952"/>
    <w:rsid w:val="003B742F"/>
    <w:rsid w:val="003B7650"/>
    <w:rsid w:val="003B7CC8"/>
    <w:rsid w:val="003C08C4"/>
    <w:rsid w:val="003C1FD6"/>
    <w:rsid w:val="003C213B"/>
    <w:rsid w:val="003C25B2"/>
    <w:rsid w:val="003C2D2C"/>
    <w:rsid w:val="003C2ECF"/>
    <w:rsid w:val="003C3336"/>
    <w:rsid w:val="003C3B80"/>
    <w:rsid w:val="003C4330"/>
    <w:rsid w:val="003C497D"/>
    <w:rsid w:val="003C49B2"/>
    <w:rsid w:val="003C4ED9"/>
    <w:rsid w:val="003C58CF"/>
    <w:rsid w:val="003C5E39"/>
    <w:rsid w:val="003C640F"/>
    <w:rsid w:val="003C64DE"/>
    <w:rsid w:val="003C6F06"/>
    <w:rsid w:val="003C71F9"/>
    <w:rsid w:val="003C7AA3"/>
    <w:rsid w:val="003D08F6"/>
    <w:rsid w:val="003D16D4"/>
    <w:rsid w:val="003D17CA"/>
    <w:rsid w:val="003D2371"/>
    <w:rsid w:val="003D3601"/>
    <w:rsid w:val="003D4041"/>
    <w:rsid w:val="003D459E"/>
    <w:rsid w:val="003D4692"/>
    <w:rsid w:val="003D4A79"/>
    <w:rsid w:val="003D4D5D"/>
    <w:rsid w:val="003D510F"/>
    <w:rsid w:val="003D5407"/>
    <w:rsid w:val="003D5489"/>
    <w:rsid w:val="003D55A4"/>
    <w:rsid w:val="003D56B7"/>
    <w:rsid w:val="003D5B65"/>
    <w:rsid w:val="003D6CF8"/>
    <w:rsid w:val="003E0AE2"/>
    <w:rsid w:val="003E0FC8"/>
    <w:rsid w:val="003E0FF5"/>
    <w:rsid w:val="003E1941"/>
    <w:rsid w:val="003E24F4"/>
    <w:rsid w:val="003E323E"/>
    <w:rsid w:val="003E3306"/>
    <w:rsid w:val="003E3465"/>
    <w:rsid w:val="003E35F1"/>
    <w:rsid w:val="003E37C2"/>
    <w:rsid w:val="003E3C66"/>
    <w:rsid w:val="003E48B4"/>
    <w:rsid w:val="003E50A6"/>
    <w:rsid w:val="003E6948"/>
    <w:rsid w:val="003E6B5A"/>
    <w:rsid w:val="003E6C9A"/>
    <w:rsid w:val="003E6CE1"/>
    <w:rsid w:val="003E727C"/>
    <w:rsid w:val="003E7471"/>
    <w:rsid w:val="003E7691"/>
    <w:rsid w:val="003E7C90"/>
    <w:rsid w:val="003E7E64"/>
    <w:rsid w:val="003F025D"/>
    <w:rsid w:val="003F04FA"/>
    <w:rsid w:val="003F065E"/>
    <w:rsid w:val="003F0730"/>
    <w:rsid w:val="003F1508"/>
    <w:rsid w:val="003F1736"/>
    <w:rsid w:val="003F187A"/>
    <w:rsid w:val="003F1A16"/>
    <w:rsid w:val="003F2F4F"/>
    <w:rsid w:val="003F31C3"/>
    <w:rsid w:val="003F3B95"/>
    <w:rsid w:val="003F3C1D"/>
    <w:rsid w:val="003F3D68"/>
    <w:rsid w:val="003F404C"/>
    <w:rsid w:val="003F50DF"/>
    <w:rsid w:val="003F5B26"/>
    <w:rsid w:val="003F5C89"/>
    <w:rsid w:val="003F60A5"/>
    <w:rsid w:val="003F7595"/>
    <w:rsid w:val="003F7AC1"/>
    <w:rsid w:val="003F7FF2"/>
    <w:rsid w:val="00400400"/>
    <w:rsid w:val="004007CA"/>
    <w:rsid w:val="00400A8B"/>
    <w:rsid w:val="00402763"/>
    <w:rsid w:val="00402B27"/>
    <w:rsid w:val="00403397"/>
    <w:rsid w:val="00404539"/>
    <w:rsid w:val="004054D0"/>
    <w:rsid w:val="00405A43"/>
    <w:rsid w:val="00406615"/>
    <w:rsid w:val="00407C25"/>
    <w:rsid w:val="004101DA"/>
    <w:rsid w:val="004108E4"/>
    <w:rsid w:val="00410EAD"/>
    <w:rsid w:val="004110C5"/>
    <w:rsid w:val="004114AB"/>
    <w:rsid w:val="00411FA5"/>
    <w:rsid w:val="00412665"/>
    <w:rsid w:val="0041355E"/>
    <w:rsid w:val="0041362A"/>
    <w:rsid w:val="0041365F"/>
    <w:rsid w:val="0041464C"/>
    <w:rsid w:val="00415961"/>
    <w:rsid w:val="004159C6"/>
    <w:rsid w:val="00417457"/>
    <w:rsid w:val="0041788B"/>
    <w:rsid w:val="00417AD9"/>
    <w:rsid w:val="004201D9"/>
    <w:rsid w:val="0042074D"/>
    <w:rsid w:val="00420933"/>
    <w:rsid w:val="00420E9E"/>
    <w:rsid w:val="004217E1"/>
    <w:rsid w:val="00421B43"/>
    <w:rsid w:val="00422336"/>
    <w:rsid w:val="004238A4"/>
    <w:rsid w:val="00424B15"/>
    <w:rsid w:val="00424B2C"/>
    <w:rsid w:val="00424EE0"/>
    <w:rsid w:val="0042553F"/>
    <w:rsid w:val="004258AD"/>
    <w:rsid w:val="00426B85"/>
    <w:rsid w:val="00427111"/>
    <w:rsid w:val="00430B9F"/>
    <w:rsid w:val="00430CEC"/>
    <w:rsid w:val="00431050"/>
    <w:rsid w:val="00433395"/>
    <w:rsid w:val="00433759"/>
    <w:rsid w:val="00434500"/>
    <w:rsid w:val="004347E7"/>
    <w:rsid w:val="00434DA1"/>
    <w:rsid w:val="0043510F"/>
    <w:rsid w:val="00436A7C"/>
    <w:rsid w:val="00436BB3"/>
    <w:rsid w:val="00436DDF"/>
    <w:rsid w:val="0043779D"/>
    <w:rsid w:val="00437E0E"/>
    <w:rsid w:val="00440484"/>
    <w:rsid w:val="00440CDA"/>
    <w:rsid w:val="00440DDB"/>
    <w:rsid w:val="004417DD"/>
    <w:rsid w:val="004418A6"/>
    <w:rsid w:val="00442A94"/>
    <w:rsid w:val="00444658"/>
    <w:rsid w:val="00444927"/>
    <w:rsid w:val="00444E2E"/>
    <w:rsid w:val="0044544B"/>
    <w:rsid w:val="00445591"/>
    <w:rsid w:val="00445BE5"/>
    <w:rsid w:val="00447AAB"/>
    <w:rsid w:val="004502F4"/>
    <w:rsid w:val="004502FF"/>
    <w:rsid w:val="00450A12"/>
    <w:rsid w:val="004512AF"/>
    <w:rsid w:val="004517B7"/>
    <w:rsid w:val="004520B2"/>
    <w:rsid w:val="00452EF7"/>
    <w:rsid w:val="00454DB8"/>
    <w:rsid w:val="00455EC5"/>
    <w:rsid w:val="00456483"/>
    <w:rsid w:val="004573EE"/>
    <w:rsid w:val="004574FB"/>
    <w:rsid w:val="00457BD4"/>
    <w:rsid w:val="004601C4"/>
    <w:rsid w:val="004612DF"/>
    <w:rsid w:val="00461A2D"/>
    <w:rsid w:val="00461A6F"/>
    <w:rsid w:val="00461C09"/>
    <w:rsid w:val="004621C7"/>
    <w:rsid w:val="00462F54"/>
    <w:rsid w:val="004632AD"/>
    <w:rsid w:val="00463743"/>
    <w:rsid w:val="00463B12"/>
    <w:rsid w:val="00464353"/>
    <w:rsid w:val="004644E4"/>
    <w:rsid w:val="004647F4"/>
    <w:rsid w:val="004653B0"/>
    <w:rsid w:val="0046565A"/>
    <w:rsid w:val="00465BAC"/>
    <w:rsid w:val="004672A5"/>
    <w:rsid w:val="004675AF"/>
    <w:rsid w:val="004675BB"/>
    <w:rsid w:val="00467B18"/>
    <w:rsid w:val="00470BAE"/>
    <w:rsid w:val="00471434"/>
    <w:rsid w:val="004714BC"/>
    <w:rsid w:val="004720A7"/>
    <w:rsid w:val="00472195"/>
    <w:rsid w:val="00472720"/>
    <w:rsid w:val="0047360A"/>
    <w:rsid w:val="00474A46"/>
    <w:rsid w:val="00474F01"/>
    <w:rsid w:val="00475063"/>
    <w:rsid w:val="00475A94"/>
    <w:rsid w:val="00477075"/>
    <w:rsid w:val="00477147"/>
    <w:rsid w:val="00477CA4"/>
    <w:rsid w:val="00477E37"/>
    <w:rsid w:val="004801EE"/>
    <w:rsid w:val="004802A7"/>
    <w:rsid w:val="0048207C"/>
    <w:rsid w:val="0048248E"/>
    <w:rsid w:val="00482CED"/>
    <w:rsid w:val="00484182"/>
    <w:rsid w:val="00484676"/>
    <w:rsid w:val="004848E4"/>
    <w:rsid w:val="00484927"/>
    <w:rsid w:val="00485455"/>
    <w:rsid w:val="00485F12"/>
    <w:rsid w:val="00486459"/>
    <w:rsid w:val="00486895"/>
    <w:rsid w:val="00487C7C"/>
    <w:rsid w:val="00487EB7"/>
    <w:rsid w:val="00490188"/>
    <w:rsid w:val="004904B5"/>
    <w:rsid w:val="00490727"/>
    <w:rsid w:val="00490C17"/>
    <w:rsid w:val="00490CB0"/>
    <w:rsid w:val="00491B50"/>
    <w:rsid w:val="004926D3"/>
    <w:rsid w:val="004927EB"/>
    <w:rsid w:val="00492CCB"/>
    <w:rsid w:val="00493F59"/>
    <w:rsid w:val="00494D39"/>
    <w:rsid w:val="00495042"/>
    <w:rsid w:val="00495279"/>
    <w:rsid w:val="004955CB"/>
    <w:rsid w:val="004958BE"/>
    <w:rsid w:val="0049620A"/>
    <w:rsid w:val="004969EF"/>
    <w:rsid w:val="00496C31"/>
    <w:rsid w:val="004A047D"/>
    <w:rsid w:val="004A0DAB"/>
    <w:rsid w:val="004A0F4A"/>
    <w:rsid w:val="004A1383"/>
    <w:rsid w:val="004A2385"/>
    <w:rsid w:val="004A2632"/>
    <w:rsid w:val="004A2686"/>
    <w:rsid w:val="004A2F95"/>
    <w:rsid w:val="004A3270"/>
    <w:rsid w:val="004A4540"/>
    <w:rsid w:val="004A4626"/>
    <w:rsid w:val="004A545B"/>
    <w:rsid w:val="004A635B"/>
    <w:rsid w:val="004A6838"/>
    <w:rsid w:val="004A7BE7"/>
    <w:rsid w:val="004A7E70"/>
    <w:rsid w:val="004B070A"/>
    <w:rsid w:val="004B0D4F"/>
    <w:rsid w:val="004B10F2"/>
    <w:rsid w:val="004B132B"/>
    <w:rsid w:val="004B17A7"/>
    <w:rsid w:val="004B21AB"/>
    <w:rsid w:val="004B27AC"/>
    <w:rsid w:val="004B34B4"/>
    <w:rsid w:val="004B4702"/>
    <w:rsid w:val="004B69A8"/>
    <w:rsid w:val="004B7A99"/>
    <w:rsid w:val="004C007E"/>
    <w:rsid w:val="004C00A3"/>
    <w:rsid w:val="004C0712"/>
    <w:rsid w:val="004C09A9"/>
    <w:rsid w:val="004C11C1"/>
    <w:rsid w:val="004C1B51"/>
    <w:rsid w:val="004C1F04"/>
    <w:rsid w:val="004C2977"/>
    <w:rsid w:val="004C2D14"/>
    <w:rsid w:val="004C2DA4"/>
    <w:rsid w:val="004C2DF0"/>
    <w:rsid w:val="004C33D9"/>
    <w:rsid w:val="004C450E"/>
    <w:rsid w:val="004C4F47"/>
    <w:rsid w:val="004C563A"/>
    <w:rsid w:val="004C6486"/>
    <w:rsid w:val="004C64B4"/>
    <w:rsid w:val="004C7880"/>
    <w:rsid w:val="004D062C"/>
    <w:rsid w:val="004D0D6D"/>
    <w:rsid w:val="004D14B5"/>
    <w:rsid w:val="004D1641"/>
    <w:rsid w:val="004D1D71"/>
    <w:rsid w:val="004D21B8"/>
    <w:rsid w:val="004D279C"/>
    <w:rsid w:val="004D3159"/>
    <w:rsid w:val="004D3211"/>
    <w:rsid w:val="004D347C"/>
    <w:rsid w:val="004D370D"/>
    <w:rsid w:val="004D3ECB"/>
    <w:rsid w:val="004D4CE1"/>
    <w:rsid w:val="004D4D89"/>
    <w:rsid w:val="004D5EAB"/>
    <w:rsid w:val="004D70FF"/>
    <w:rsid w:val="004E0620"/>
    <w:rsid w:val="004E2929"/>
    <w:rsid w:val="004E2BE9"/>
    <w:rsid w:val="004E2D93"/>
    <w:rsid w:val="004E3ABB"/>
    <w:rsid w:val="004E3F7F"/>
    <w:rsid w:val="004E4323"/>
    <w:rsid w:val="004E460C"/>
    <w:rsid w:val="004E4A5B"/>
    <w:rsid w:val="004E6EE1"/>
    <w:rsid w:val="004E70B1"/>
    <w:rsid w:val="004E7F18"/>
    <w:rsid w:val="004F0053"/>
    <w:rsid w:val="004F00FF"/>
    <w:rsid w:val="004F1874"/>
    <w:rsid w:val="004F1AC2"/>
    <w:rsid w:val="004F1FAD"/>
    <w:rsid w:val="004F26CF"/>
    <w:rsid w:val="004F2BD1"/>
    <w:rsid w:val="004F2BE2"/>
    <w:rsid w:val="004F3E31"/>
    <w:rsid w:val="004F41FF"/>
    <w:rsid w:val="004F4DD2"/>
    <w:rsid w:val="004F541D"/>
    <w:rsid w:val="004F54DA"/>
    <w:rsid w:val="004F618E"/>
    <w:rsid w:val="004F6617"/>
    <w:rsid w:val="004F6BAD"/>
    <w:rsid w:val="004F6D07"/>
    <w:rsid w:val="004F6F40"/>
    <w:rsid w:val="004F790A"/>
    <w:rsid w:val="004F7925"/>
    <w:rsid w:val="005007E6"/>
    <w:rsid w:val="005008E7"/>
    <w:rsid w:val="00500E69"/>
    <w:rsid w:val="00501E30"/>
    <w:rsid w:val="00501F88"/>
    <w:rsid w:val="005024F2"/>
    <w:rsid w:val="00502630"/>
    <w:rsid w:val="00502915"/>
    <w:rsid w:val="00502B9F"/>
    <w:rsid w:val="00502E7E"/>
    <w:rsid w:val="005032BC"/>
    <w:rsid w:val="00503C85"/>
    <w:rsid w:val="0050470E"/>
    <w:rsid w:val="00505F1E"/>
    <w:rsid w:val="0050604E"/>
    <w:rsid w:val="00506258"/>
    <w:rsid w:val="00506C1B"/>
    <w:rsid w:val="005077CA"/>
    <w:rsid w:val="00511486"/>
    <w:rsid w:val="00512C2D"/>
    <w:rsid w:val="00512C7F"/>
    <w:rsid w:val="00514039"/>
    <w:rsid w:val="00514172"/>
    <w:rsid w:val="0051424E"/>
    <w:rsid w:val="00514532"/>
    <w:rsid w:val="00514B4F"/>
    <w:rsid w:val="00515FB0"/>
    <w:rsid w:val="0051631E"/>
    <w:rsid w:val="00516564"/>
    <w:rsid w:val="00516567"/>
    <w:rsid w:val="005177A8"/>
    <w:rsid w:val="00517D61"/>
    <w:rsid w:val="005204BD"/>
    <w:rsid w:val="00520B6F"/>
    <w:rsid w:val="005227D5"/>
    <w:rsid w:val="00523119"/>
    <w:rsid w:val="005236E5"/>
    <w:rsid w:val="0052478F"/>
    <w:rsid w:val="00524DD5"/>
    <w:rsid w:val="00524DEE"/>
    <w:rsid w:val="00524F28"/>
    <w:rsid w:val="005251E5"/>
    <w:rsid w:val="00525264"/>
    <w:rsid w:val="0052568B"/>
    <w:rsid w:val="00525963"/>
    <w:rsid w:val="00525B60"/>
    <w:rsid w:val="00525E38"/>
    <w:rsid w:val="0052665C"/>
    <w:rsid w:val="005269A4"/>
    <w:rsid w:val="00526AF4"/>
    <w:rsid w:val="00527024"/>
    <w:rsid w:val="00527F64"/>
    <w:rsid w:val="00527FF4"/>
    <w:rsid w:val="00530069"/>
    <w:rsid w:val="005301C9"/>
    <w:rsid w:val="005302C7"/>
    <w:rsid w:val="00530B29"/>
    <w:rsid w:val="00530CFC"/>
    <w:rsid w:val="00530DB5"/>
    <w:rsid w:val="0053122C"/>
    <w:rsid w:val="00531240"/>
    <w:rsid w:val="005313DE"/>
    <w:rsid w:val="00531EBF"/>
    <w:rsid w:val="00532627"/>
    <w:rsid w:val="005337DC"/>
    <w:rsid w:val="00533B6E"/>
    <w:rsid w:val="00533FA9"/>
    <w:rsid w:val="00534916"/>
    <w:rsid w:val="00534967"/>
    <w:rsid w:val="0053658F"/>
    <w:rsid w:val="00536D62"/>
    <w:rsid w:val="0053716D"/>
    <w:rsid w:val="00537963"/>
    <w:rsid w:val="00537A32"/>
    <w:rsid w:val="00537CFD"/>
    <w:rsid w:val="005417C0"/>
    <w:rsid w:val="00543331"/>
    <w:rsid w:val="005433EC"/>
    <w:rsid w:val="0054417E"/>
    <w:rsid w:val="005441C4"/>
    <w:rsid w:val="00544961"/>
    <w:rsid w:val="00546711"/>
    <w:rsid w:val="00546A15"/>
    <w:rsid w:val="00547D88"/>
    <w:rsid w:val="00547F04"/>
    <w:rsid w:val="00550754"/>
    <w:rsid w:val="00550CC5"/>
    <w:rsid w:val="005513EE"/>
    <w:rsid w:val="005516D3"/>
    <w:rsid w:val="005528E2"/>
    <w:rsid w:val="00553205"/>
    <w:rsid w:val="00553612"/>
    <w:rsid w:val="00554215"/>
    <w:rsid w:val="005542EF"/>
    <w:rsid w:val="005545BD"/>
    <w:rsid w:val="00554BAF"/>
    <w:rsid w:val="005553A6"/>
    <w:rsid w:val="00555F4E"/>
    <w:rsid w:val="00556348"/>
    <w:rsid w:val="00557D28"/>
    <w:rsid w:val="00557DBD"/>
    <w:rsid w:val="00561716"/>
    <w:rsid w:val="00561A95"/>
    <w:rsid w:val="00562BC5"/>
    <w:rsid w:val="00563053"/>
    <w:rsid w:val="005635AF"/>
    <w:rsid w:val="00565252"/>
    <w:rsid w:val="005655DD"/>
    <w:rsid w:val="00565B66"/>
    <w:rsid w:val="00565D57"/>
    <w:rsid w:val="0056658A"/>
    <w:rsid w:val="00567A4D"/>
    <w:rsid w:val="00567D3A"/>
    <w:rsid w:val="00567E16"/>
    <w:rsid w:val="005703C0"/>
    <w:rsid w:val="00570743"/>
    <w:rsid w:val="0057275C"/>
    <w:rsid w:val="00572B7F"/>
    <w:rsid w:val="00573EE2"/>
    <w:rsid w:val="00574766"/>
    <w:rsid w:val="005751F2"/>
    <w:rsid w:val="005751FE"/>
    <w:rsid w:val="00576032"/>
    <w:rsid w:val="00576571"/>
    <w:rsid w:val="005769FA"/>
    <w:rsid w:val="005777E1"/>
    <w:rsid w:val="00577B33"/>
    <w:rsid w:val="00577C1C"/>
    <w:rsid w:val="00577F66"/>
    <w:rsid w:val="0058033E"/>
    <w:rsid w:val="005803E9"/>
    <w:rsid w:val="00581021"/>
    <w:rsid w:val="00581491"/>
    <w:rsid w:val="0058202F"/>
    <w:rsid w:val="005827F8"/>
    <w:rsid w:val="00582B06"/>
    <w:rsid w:val="005846B1"/>
    <w:rsid w:val="00584D9D"/>
    <w:rsid w:val="005858C7"/>
    <w:rsid w:val="00585EB5"/>
    <w:rsid w:val="005861B9"/>
    <w:rsid w:val="00590645"/>
    <w:rsid w:val="0059064F"/>
    <w:rsid w:val="005907E7"/>
    <w:rsid w:val="00590C4E"/>
    <w:rsid w:val="00590CE3"/>
    <w:rsid w:val="00591BC9"/>
    <w:rsid w:val="00591CBD"/>
    <w:rsid w:val="00592C5E"/>
    <w:rsid w:val="00593074"/>
    <w:rsid w:val="00593F9C"/>
    <w:rsid w:val="005949A5"/>
    <w:rsid w:val="00595493"/>
    <w:rsid w:val="0059558F"/>
    <w:rsid w:val="00595E23"/>
    <w:rsid w:val="00595E56"/>
    <w:rsid w:val="00596095"/>
    <w:rsid w:val="00597173"/>
    <w:rsid w:val="00597510"/>
    <w:rsid w:val="00597ABE"/>
    <w:rsid w:val="005A05BC"/>
    <w:rsid w:val="005A116E"/>
    <w:rsid w:val="005A13B0"/>
    <w:rsid w:val="005A1B20"/>
    <w:rsid w:val="005A1FAD"/>
    <w:rsid w:val="005A216A"/>
    <w:rsid w:val="005A236E"/>
    <w:rsid w:val="005A3806"/>
    <w:rsid w:val="005A40CE"/>
    <w:rsid w:val="005A555E"/>
    <w:rsid w:val="005A5E62"/>
    <w:rsid w:val="005A5FB6"/>
    <w:rsid w:val="005A65E6"/>
    <w:rsid w:val="005B0157"/>
    <w:rsid w:val="005B0AD4"/>
    <w:rsid w:val="005B12F6"/>
    <w:rsid w:val="005B2CAE"/>
    <w:rsid w:val="005B2EB2"/>
    <w:rsid w:val="005B3964"/>
    <w:rsid w:val="005B430F"/>
    <w:rsid w:val="005B48E8"/>
    <w:rsid w:val="005B526D"/>
    <w:rsid w:val="005B5715"/>
    <w:rsid w:val="005B576E"/>
    <w:rsid w:val="005B60F3"/>
    <w:rsid w:val="005B6A8D"/>
    <w:rsid w:val="005B729F"/>
    <w:rsid w:val="005B79A4"/>
    <w:rsid w:val="005B7B41"/>
    <w:rsid w:val="005B7CDC"/>
    <w:rsid w:val="005C05B5"/>
    <w:rsid w:val="005C0C00"/>
    <w:rsid w:val="005C118C"/>
    <w:rsid w:val="005C208F"/>
    <w:rsid w:val="005C23A4"/>
    <w:rsid w:val="005C34BB"/>
    <w:rsid w:val="005C37D8"/>
    <w:rsid w:val="005C5567"/>
    <w:rsid w:val="005C557D"/>
    <w:rsid w:val="005C58D7"/>
    <w:rsid w:val="005C5F53"/>
    <w:rsid w:val="005C656D"/>
    <w:rsid w:val="005C7865"/>
    <w:rsid w:val="005C7D54"/>
    <w:rsid w:val="005D012F"/>
    <w:rsid w:val="005D091F"/>
    <w:rsid w:val="005D0A28"/>
    <w:rsid w:val="005D119D"/>
    <w:rsid w:val="005D14CB"/>
    <w:rsid w:val="005D15EB"/>
    <w:rsid w:val="005D1A95"/>
    <w:rsid w:val="005D1E94"/>
    <w:rsid w:val="005D30F0"/>
    <w:rsid w:val="005D3183"/>
    <w:rsid w:val="005D386F"/>
    <w:rsid w:val="005D4181"/>
    <w:rsid w:val="005D47D6"/>
    <w:rsid w:val="005D4924"/>
    <w:rsid w:val="005D55BE"/>
    <w:rsid w:val="005D59B9"/>
    <w:rsid w:val="005D6A63"/>
    <w:rsid w:val="005D74A6"/>
    <w:rsid w:val="005D7E93"/>
    <w:rsid w:val="005E0920"/>
    <w:rsid w:val="005E0DD0"/>
    <w:rsid w:val="005E1463"/>
    <w:rsid w:val="005E22AD"/>
    <w:rsid w:val="005E3A65"/>
    <w:rsid w:val="005E46A9"/>
    <w:rsid w:val="005E46BC"/>
    <w:rsid w:val="005E4850"/>
    <w:rsid w:val="005E51B7"/>
    <w:rsid w:val="005E58A5"/>
    <w:rsid w:val="005E58E1"/>
    <w:rsid w:val="005E5979"/>
    <w:rsid w:val="005E5F63"/>
    <w:rsid w:val="005E680E"/>
    <w:rsid w:val="005E72BD"/>
    <w:rsid w:val="005E788C"/>
    <w:rsid w:val="005F0130"/>
    <w:rsid w:val="005F14FE"/>
    <w:rsid w:val="005F1BC9"/>
    <w:rsid w:val="005F2B13"/>
    <w:rsid w:val="005F3547"/>
    <w:rsid w:val="005F39CB"/>
    <w:rsid w:val="005F3C93"/>
    <w:rsid w:val="005F3F16"/>
    <w:rsid w:val="005F4003"/>
    <w:rsid w:val="005F4232"/>
    <w:rsid w:val="005F42FB"/>
    <w:rsid w:val="005F4DAE"/>
    <w:rsid w:val="005F54F2"/>
    <w:rsid w:val="005F56B1"/>
    <w:rsid w:val="005F577C"/>
    <w:rsid w:val="005F5B2A"/>
    <w:rsid w:val="005F6014"/>
    <w:rsid w:val="005F62B4"/>
    <w:rsid w:val="005F69D5"/>
    <w:rsid w:val="005F747C"/>
    <w:rsid w:val="005F7571"/>
    <w:rsid w:val="006006A3"/>
    <w:rsid w:val="0060110D"/>
    <w:rsid w:val="0060162F"/>
    <w:rsid w:val="00602734"/>
    <w:rsid w:val="00602F19"/>
    <w:rsid w:val="00603B9B"/>
    <w:rsid w:val="00604000"/>
    <w:rsid w:val="006043EF"/>
    <w:rsid w:val="00604832"/>
    <w:rsid w:val="00605541"/>
    <w:rsid w:val="00605F0E"/>
    <w:rsid w:val="006061C0"/>
    <w:rsid w:val="00606D2E"/>
    <w:rsid w:val="006075D1"/>
    <w:rsid w:val="0060777F"/>
    <w:rsid w:val="006077F8"/>
    <w:rsid w:val="00611160"/>
    <w:rsid w:val="00611172"/>
    <w:rsid w:val="00611B98"/>
    <w:rsid w:val="006120E4"/>
    <w:rsid w:val="00612180"/>
    <w:rsid w:val="0061234F"/>
    <w:rsid w:val="0061249F"/>
    <w:rsid w:val="00612B81"/>
    <w:rsid w:val="006132E0"/>
    <w:rsid w:val="00613598"/>
    <w:rsid w:val="00613AF8"/>
    <w:rsid w:val="00613B22"/>
    <w:rsid w:val="00613EDF"/>
    <w:rsid w:val="006143D8"/>
    <w:rsid w:val="00615385"/>
    <w:rsid w:val="00616474"/>
    <w:rsid w:val="00616568"/>
    <w:rsid w:val="0061667B"/>
    <w:rsid w:val="00616841"/>
    <w:rsid w:val="00617ED1"/>
    <w:rsid w:val="006211F6"/>
    <w:rsid w:val="00622397"/>
    <w:rsid w:val="00622AA9"/>
    <w:rsid w:val="0062321E"/>
    <w:rsid w:val="006232CC"/>
    <w:rsid w:val="0062341B"/>
    <w:rsid w:val="00623641"/>
    <w:rsid w:val="006244DD"/>
    <w:rsid w:val="00624F87"/>
    <w:rsid w:val="00625379"/>
    <w:rsid w:val="00626752"/>
    <w:rsid w:val="00626B0A"/>
    <w:rsid w:val="00627099"/>
    <w:rsid w:val="00627578"/>
    <w:rsid w:val="00627D3C"/>
    <w:rsid w:val="00630B50"/>
    <w:rsid w:val="00630F25"/>
    <w:rsid w:val="00631170"/>
    <w:rsid w:val="00631211"/>
    <w:rsid w:val="0063150A"/>
    <w:rsid w:val="006321B9"/>
    <w:rsid w:val="00633162"/>
    <w:rsid w:val="00633A62"/>
    <w:rsid w:val="00634E7A"/>
    <w:rsid w:val="00635424"/>
    <w:rsid w:val="00640185"/>
    <w:rsid w:val="00640200"/>
    <w:rsid w:val="00640A9B"/>
    <w:rsid w:val="00641944"/>
    <w:rsid w:val="00641EDD"/>
    <w:rsid w:val="006436A7"/>
    <w:rsid w:val="0064377E"/>
    <w:rsid w:val="00644CEB"/>
    <w:rsid w:val="00644EF4"/>
    <w:rsid w:val="00645AF7"/>
    <w:rsid w:val="00645C62"/>
    <w:rsid w:val="006462AB"/>
    <w:rsid w:val="006472F7"/>
    <w:rsid w:val="0064736D"/>
    <w:rsid w:val="006476F7"/>
    <w:rsid w:val="00652333"/>
    <w:rsid w:val="006523F5"/>
    <w:rsid w:val="0065263D"/>
    <w:rsid w:val="006527DC"/>
    <w:rsid w:val="00653257"/>
    <w:rsid w:val="0065361B"/>
    <w:rsid w:val="00653623"/>
    <w:rsid w:val="0065375D"/>
    <w:rsid w:val="00653A5B"/>
    <w:rsid w:val="00653E78"/>
    <w:rsid w:val="006545FF"/>
    <w:rsid w:val="00654D49"/>
    <w:rsid w:val="00655301"/>
    <w:rsid w:val="006556CC"/>
    <w:rsid w:val="006558FE"/>
    <w:rsid w:val="00655D5C"/>
    <w:rsid w:val="006567CF"/>
    <w:rsid w:val="0065788A"/>
    <w:rsid w:val="00657DA1"/>
    <w:rsid w:val="00660456"/>
    <w:rsid w:val="006606C5"/>
    <w:rsid w:val="006608A0"/>
    <w:rsid w:val="00660BAF"/>
    <w:rsid w:val="006612CC"/>
    <w:rsid w:val="00662055"/>
    <w:rsid w:val="00662C8F"/>
    <w:rsid w:val="0066372F"/>
    <w:rsid w:val="0066374B"/>
    <w:rsid w:val="006643A8"/>
    <w:rsid w:val="006645C2"/>
    <w:rsid w:val="0066516B"/>
    <w:rsid w:val="006657CD"/>
    <w:rsid w:val="00665E36"/>
    <w:rsid w:val="00666254"/>
    <w:rsid w:val="00666436"/>
    <w:rsid w:val="006672FD"/>
    <w:rsid w:val="00667D15"/>
    <w:rsid w:val="006702E2"/>
    <w:rsid w:val="0067082B"/>
    <w:rsid w:val="00670BD2"/>
    <w:rsid w:val="006745C6"/>
    <w:rsid w:val="00674A82"/>
    <w:rsid w:val="006755D5"/>
    <w:rsid w:val="00677624"/>
    <w:rsid w:val="00680B4D"/>
    <w:rsid w:val="00681031"/>
    <w:rsid w:val="006813DD"/>
    <w:rsid w:val="006814CE"/>
    <w:rsid w:val="00681B16"/>
    <w:rsid w:val="00682073"/>
    <w:rsid w:val="006823A1"/>
    <w:rsid w:val="00682962"/>
    <w:rsid w:val="00682FD2"/>
    <w:rsid w:val="006830F8"/>
    <w:rsid w:val="00684094"/>
    <w:rsid w:val="00685FEB"/>
    <w:rsid w:val="00686AD1"/>
    <w:rsid w:val="00686BC3"/>
    <w:rsid w:val="00687B74"/>
    <w:rsid w:val="006903C2"/>
    <w:rsid w:val="006906C0"/>
    <w:rsid w:val="00690BB2"/>
    <w:rsid w:val="00692001"/>
    <w:rsid w:val="006923CC"/>
    <w:rsid w:val="0069308E"/>
    <w:rsid w:val="0069338D"/>
    <w:rsid w:val="00693C9B"/>
    <w:rsid w:val="00693CD2"/>
    <w:rsid w:val="006947E5"/>
    <w:rsid w:val="00694E5F"/>
    <w:rsid w:val="00695698"/>
    <w:rsid w:val="00696511"/>
    <w:rsid w:val="00696787"/>
    <w:rsid w:val="00696EB4"/>
    <w:rsid w:val="00696F2B"/>
    <w:rsid w:val="00697423"/>
    <w:rsid w:val="00697CBE"/>
    <w:rsid w:val="006A06C7"/>
    <w:rsid w:val="006A0EF1"/>
    <w:rsid w:val="006A0F61"/>
    <w:rsid w:val="006A0F76"/>
    <w:rsid w:val="006A1738"/>
    <w:rsid w:val="006A19B4"/>
    <w:rsid w:val="006A1D59"/>
    <w:rsid w:val="006A1F76"/>
    <w:rsid w:val="006A23D8"/>
    <w:rsid w:val="006A2B3A"/>
    <w:rsid w:val="006A2D06"/>
    <w:rsid w:val="006A2D27"/>
    <w:rsid w:val="006A2DDE"/>
    <w:rsid w:val="006A3BA2"/>
    <w:rsid w:val="006A3ED8"/>
    <w:rsid w:val="006A3F7F"/>
    <w:rsid w:val="006A4B98"/>
    <w:rsid w:val="006A4EC3"/>
    <w:rsid w:val="006A5B22"/>
    <w:rsid w:val="006A5BEA"/>
    <w:rsid w:val="006A5DE7"/>
    <w:rsid w:val="006A778F"/>
    <w:rsid w:val="006B0087"/>
    <w:rsid w:val="006B1040"/>
    <w:rsid w:val="006B10C3"/>
    <w:rsid w:val="006B1144"/>
    <w:rsid w:val="006B1EF9"/>
    <w:rsid w:val="006B2276"/>
    <w:rsid w:val="006B35AB"/>
    <w:rsid w:val="006B4AD5"/>
    <w:rsid w:val="006B5103"/>
    <w:rsid w:val="006B56E8"/>
    <w:rsid w:val="006B5AAD"/>
    <w:rsid w:val="006B5EC2"/>
    <w:rsid w:val="006B638A"/>
    <w:rsid w:val="006B6A6D"/>
    <w:rsid w:val="006B712F"/>
    <w:rsid w:val="006B7774"/>
    <w:rsid w:val="006B7B31"/>
    <w:rsid w:val="006C0853"/>
    <w:rsid w:val="006C1270"/>
    <w:rsid w:val="006C12C4"/>
    <w:rsid w:val="006C1669"/>
    <w:rsid w:val="006C18D6"/>
    <w:rsid w:val="006C1A17"/>
    <w:rsid w:val="006C1C3A"/>
    <w:rsid w:val="006C264B"/>
    <w:rsid w:val="006C2D28"/>
    <w:rsid w:val="006C3A4A"/>
    <w:rsid w:val="006C4281"/>
    <w:rsid w:val="006C42F1"/>
    <w:rsid w:val="006C5066"/>
    <w:rsid w:val="006C551F"/>
    <w:rsid w:val="006C5EBA"/>
    <w:rsid w:val="006C5F59"/>
    <w:rsid w:val="006C6165"/>
    <w:rsid w:val="006C61A0"/>
    <w:rsid w:val="006C6CC9"/>
    <w:rsid w:val="006C72CE"/>
    <w:rsid w:val="006C7C4E"/>
    <w:rsid w:val="006D0BD9"/>
    <w:rsid w:val="006D113C"/>
    <w:rsid w:val="006D114D"/>
    <w:rsid w:val="006D1469"/>
    <w:rsid w:val="006D15FD"/>
    <w:rsid w:val="006D1734"/>
    <w:rsid w:val="006D182F"/>
    <w:rsid w:val="006D1E66"/>
    <w:rsid w:val="006D1FC4"/>
    <w:rsid w:val="006D2181"/>
    <w:rsid w:val="006D2308"/>
    <w:rsid w:val="006D2416"/>
    <w:rsid w:val="006D252B"/>
    <w:rsid w:val="006D30F4"/>
    <w:rsid w:val="006D35D0"/>
    <w:rsid w:val="006D3ABA"/>
    <w:rsid w:val="006D3E07"/>
    <w:rsid w:val="006D4249"/>
    <w:rsid w:val="006D44CD"/>
    <w:rsid w:val="006D4B31"/>
    <w:rsid w:val="006D5A75"/>
    <w:rsid w:val="006D66F1"/>
    <w:rsid w:val="006D6D41"/>
    <w:rsid w:val="006D6E08"/>
    <w:rsid w:val="006D75FE"/>
    <w:rsid w:val="006D787A"/>
    <w:rsid w:val="006D7CC1"/>
    <w:rsid w:val="006E00B5"/>
    <w:rsid w:val="006E06BB"/>
    <w:rsid w:val="006E3862"/>
    <w:rsid w:val="006E3BE2"/>
    <w:rsid w:val="006E4F91"/>
    <w:rsid w:val="006E7177"/>
    <w:rsid w:val="006E757E"/>
    <w:rsid w:val="006F05DD"/>
    <w:rsid w:val="006F0E12"/>
    <w:rsid w:val="006F0E6D"/>
    <w:rsid w:val="006F1829"/>
    <w:rsid w:val="006F1A3A"/>
    <w:rsid w:val="006F21FD"/>
    <w:rsid w:val="006F2716"/>
    <w:rsid w:val="006F2C87"/>
    <w:rsid w:val="006F2E8D"/>
    <w:rsid w:val="006F2F0A"/>
    <w:rsid w:val="006F2F8A"/>
    <w:rsid w:val="006F331D"/>
    <w:rsid w:val="006F3D94"/>
    <w:rsid w:val="006F484D"/>
    <w:rsid w:val="006F4C21"/>
    <w:rsid w:val="006F5A74"/>
    <w:rsid w:val="006F5C4F"/>
    <w:rsid w:val="006F711A"/>
    <w:rsid w:val="006F7A6E"/>
    <w:rsid w:val="00700153"/>
    <w:rsid w:val="00700752"/>
    <w:rsid w:val="00701400"/>
    <w:rsid w:val="00701485"/>
    <w:rsid w:val="00701CC9"/>
    <w:rsid w:val="00702607"/>
    <w:rsid w:val="00703124"/>
    <w:rsid w:val="00703B6F"/>
    <w:rsid w:val="007044F2"/>
    <w:rsid w:val="007047BB"/>
    <w:rsid w:val="00705BD6"/>
    <w:rsid w:val="0070614F"/>
    <w:rsid w:val="00706215"/>
    <w:rsid w:val="007064F9"/>
    <w:rsid w:val="007068CA"/>
    <w:rsid w:val="0070706C"/>
    <w:rsid w:val="00707467"/>
    <w:rsid w:val="00707B9D"/>
    <w:rsid w:val="00710839"/>
    <w:rsid w:val="00710A9F"/>
    <w:rsid w:val="00710CDA"/>
    <w:rsid w:val="00710DED"/>
    <w:rsid w:val="00711887"/>
    <w:rsid w:val="00711983"/>
    <w:rsid w:val="00711F91"/>
    <w:rsid w:val="00712006"/>
    <w:rsid w:val="00712267"/>
    <w:rsid w:val="0071266D"/>
    <w:rsid w:val="00712BB2"/>
    <w:rsid w:val="007131EB"/>
    <w:rsid w:val="00713537"/>
    <w:rsid w:val="0071383F"/>
    <w:rsid w:val="00714EB7"/>
    <w:rsid w:val="00715055"/>
    <w:rsid w:val="007151C8"/>
    <w:rsid w:val="0071620E"/>
    <w:rsid w:val="0071640B"/>
    <w:rsid w:val="0071739C"/>
    <w:rsid w:val="00717434"/>
    <w:rsid w:val="007174C2"/>
    <w:rsid w:val="00717550"/>
    <w:rsid w:val="00717780"/>
    <w:rsid w:val="00717A81"/>
    <w:rsid w:val="00717B3E"/>
    <w:rsid w:val="00717B48"/>
    <w:rsid w:val="00717B61"/>
    <w:rsid w:val="00717BC9"/>
    <w:rsid w:val="007206B8"/>
    <w:rsid w:val="007208CC"/>
    <w:rsid w:val="007210A4"/>
    <w:rsid w:val="007211B5"/>
    <w:rsid w:val="007212B0"/>
    <w:rsid w:val="00721421"/>
    <w:rsid w:val="00721803"/>
    <w:rsid w:val="00721E3E"/>
    <w:rsid w:val="007220C6"/>
    <w:rsid w:val="00723154"/>
    <w:rsid w:val="0072352F"/>
    <w:rsid w:val="0072372A"/>
    <w:rsid w:val="00723733"/>
    <w:rsid w:val="007252F6"/>
    <w:rsid w:val="007258B6"/>
    <w:rsid w:val="00725A08"/>
    <w:rsid w:val="00725EBF"/>
    <w:rsid w:val="00726538"/>
    <w:rsid w:val="00727252"/>
    <w:rsid w:val="007273B3"/>
    <w:rsid w:val="007275B8"/>
    <w:rsid w:val="00727E2D"/>
    <w:rsid w:val="00727E40"/>
    <w:rsid w:val="00727F2F"/>
    <w:rsid w:val="00727FA1"/>
    <w:rsid w:val="00730DF5"/>
    <w:rsid w:val="007312AD"/>
    <w:rsid w:val="007318B2"/>
    <w:rsid w:val="00731A5C"/>
    <w:rsid w:val="007321ED"/>
    <w:rsid w:val="0073248A"/>
    <w:rsid w:val="007333C9"/>
    <w:rsid w:val="007333EF"/>
    <w:rsid w:val="00733BDE"/>
    <w:rsid w:val="00733CAC"/>
    <w:rsid w:val="00733EEA"/>
    <w:rsid w:val="00733F48"/>
    <w:rsid w:val="00734182"/>
    <w:rsid w:val="00734334"/>
    <w:rsid w:val="00734B0B"/>
    <w:rsid w:val="00734D40"/>
    <w:rsid w:val="00735F10"/>
    <w:rsid w:val="00736A06"/>
    <w:rsid w:val="00736DD9"/>
    <w:rsid w:val="00737173"/>
    <w:rsid w:val="00737952"/>
    <w:rsid w:val="00740238"/>
    <w:rsid w:val="00740458"/>
    <w:rsid w:val="007406DC"/>
    <w:rsid w:val="00740893"/>
    <w:rsid w:val="0074092E"/>
    <w:rsid w:val="00740CD0"/>
    <w:rsid w:val="00740F1F"/>
    <w:rsid w:val="0074152C"/>
    <w:rsid w:val="00742B37"/>
    <w:rsid w:val="007430C6"/>
    <w:rsid w:val="00743672"/>
    <w:rsid w:val="007446AE"/>
    <w:rsid w:val="00744DFD"/>
    <w:rsid w:val="00745771"/>
    <w:rsid w:val="0074612D"/>
    <w:rsid w:val="0074615D"/>
    <w:rsid w:val="00746B87"/>
    <w:rsid w:val="00750876"/>
    <w:rsid w:val="007515F0"/>
    <w:rsid w:val="007517C4"/>
    <w:rsid w:val="00751A56"/>
    <w:rsid w:val="00751F7A"/>
    <w:rsid w:val="007528B2"/>
    <w:rsid w:val="00752C38"/>
    <w:rsid w:val="007532A4"/>
    <w:rsid w:val="00753868"/>
    <w:rsid w:val="0075438A"/>
    <w:rsid w:val="00754B78"/>
    <w:rsid w:val="007551F1"/>
    <w:rsid w:val="00755DED"/>
    <w:rsid w:val="00756784"/>
    <w:rsid w:val="00756B53"/>
    <w:rsid w:val="00756D3D"/>
    <w:rsid w:val="0075721B"/>
    <w:rsid w:val="00757988"/>
    <w:rsid w:val="007624A9"/>
    <w:rsid w:val="007628E6"/>
    <w:rsid w:val="00762DFF"/>
    <w:rsid w:val="00763803"/>
    <w:rsid w:val="007647D7"/>
    <w:rsid w:val="0076491B"/>
    <w:rsid w:val="007649D7"/>
    <w:rsid w:val="00764DAA"/>
    <w:rsid w:val="00764E54"/>
    <w:rsid w:val="007654AB"/>
    <w:rsid w:val="007655E8"/>
    <w:rsid w:val="00765BA4"/>
    <w:rsid w:val="00765CB0"/>
    <w:rsid w:val="007665BD"/>
    <w:rsid w:val="00767014"/>
    <w:rsid w:val="00767165"/>
    <w:rsid w:val="00770D9E"/>
    <w:rsid w:val="007719C0"/>
    <w:rsid w:val="007726BD"/>
    <w:rsid w:val="00772B89"/>
    <w:rsid w:val="00772CBE"/>
    <w:rsid w:val="00773CE3"/>
    <w:rsid w:val="00774160"/>
    <w:rsid w:val="0077416A"/>
    <w:rsid w:val="00774202"/>
    <w:rsid w:val="00774A57"/>
    <w:rsid w:val="00775811"/>
    <w:rsid w:val="00775A77"/>
    <w:rsid w:val="00776495"/>
    <w:rsid w:val="0077709A"/>
    <w:rsid w:val="00777658"/>
    <w:rsid w:val="00781AF2"/>
    <w:rsid w:val="0078231F"/>
    <w:rsid w:val="00782664"/>
    <w:rsid w:val="00782905"/>
    <w:rsid w:val="00783D78"/>
    <w:rsid w:val="007847B1"/>
    <w:rsid w:val="00785DE3"/>
    <w:rsid w:val="007866C9"/>
    <w:rsid w:val="00786B5B"/>
    <w:rsid w:val="00787891"/>
    <w:rsid w:val="007903F0"/>
    <w:rsid w:val="007905EE"/>
    <w:rsid w:val="00790A3C"/>
    <w:rsid w:val="00790A4E"/>
    <w:rsid w:val="00790D8B"/>
    <w:rsid w:val="007912BC"/>
    <w:rsid w:val="007919C4"/>
    <w:rsid w:val="00792D61"/>
    <w:rsid w:val="00793E6A"/>
    <w:rsid w:val="00794F98"/>
    <w:rsid w:val="00795E0D"/>
    <w:rsid w:val="0079688D"/>
    <w:rsid w:val="007976B3"/>
    <w:rsid w:val="00797FCF"/>
    <w:rsid w:val="007A022A"/>
    <w:rsid w:val="007A050C"/>
    <w:rsid w:val="007A058C"/>
    <w:rsid w:val="007A0B59"/>
    <w:rsid w:val="007A126D"/>
    <w:rsid w:val="007A1E0A"/>
    <w:rsid w:val="007A21E7"/>
    <w:rsid w:val="007A25FB"/>
    <w:rsid w:val="007A279D"/>
    <w:rsid w:val="007A27AF"/>
    <w:rsid w:val="007A2818"/>
    <w:rsid w:val="007A2B81"/>
    <w:rsid w:val="007A2C26"/>
    <w:rsid w:val="007A3B1D"/>
    <w:rsid w:val="007A3D33"/>
    <w:rsid w:val="007A552C"/>
    <w:rsid w:val="007A5DB6"/>
    <w:rsid w:val="007A5E40"/>
    <w:rsid w:val="007A6C27"/>
    <w:rsid w:val="007A7342"/>
    <w:rsid w:val="007A7D04"/>
    <w:rsid w:val="007A7E44"/>
    <w:rsid w:val="007B0015"/>
    <w:rsid w:val="007B0886"/>
    <w:rsid w:val="007B088F"/>
    <w:rsid w:val="007B0E6C"/>
    <w:rsid w:val="007B100D"/>
    <w:rsid w:val="007B21A0"/>
    <w:rsid w:val="007B23B2"/>
    <w:rsid w:val="007B285E"/>
    <w:rsid w:val="007B2A63"/>
    <w:rsid w:val="007B2F17"/>
    <w:rsid w:val="007B3CA4"/>
    <w:rsid w:val="007B3ED4"/>
    <w:rsid w:val="007B4B4E"/>
    <w:rsid w:val="007B4BB4"/>
    <w:rsid w:val="007B56EF"/>
    <w:rsid w:val="007B658F"/>
    <w:rsid w:val="007B6C29"/>
    <w:rsid w:val="007B6FA1"/>
    <w:rsid w:val="007C1244"/>
    <w:rsid w:val="007C1A00"/>
    <w:rsid w:val="007C1FC7"/>
    <w:rsid w:val="007C2B50"/>
    <w:rsid w:val="007C331E"/>
    <w:rsid w:val="007C35FA"/>
    <w:rsid w:val="007C5065"/>
    <w:rsid w:val="007C50BC"/>
    <w:rsid w:val="007C5641"/>
    <w:rsid w:val="007C6504"/>
    <w:rsid w:val="007C6E44"/>
    <w:rsid w:val="007C7660"/>
    <w:rsid w:val="007C7E7D"/>
    <w:rsid w:val="007C7ED1"/>
    <w:rsid w:val="007D04D5"/>
    <w:rsid w:val="007D16F1"/>
    <w:rsid w:val="007D24F2"/>
    <w:rsid w:val="007D3263"/>
    <w:rsid w:val="007D367B"/>
    <w:rsid w:val="007D3A09"/>
    <w:rsid w:val="007D3F61"/>
    <w:rsid w:val="007D403D"/>
    <w:rsid w:val="007D4543"/>
    <w:rsid w:val="007D4D3B"/>
    <w:rsid w:val="007D53EC"/>
    <w:rsid w:val="007D5E2F"/>
    <w:rsid w:val="007D6CFF"/>
    <w:rsid w:val="007D747D"/>
    <w:rsid w:val="007D7FD6"/>
    <w:rsid w:val="007E0010"/>
    <w:rsid w:val="007E085E"/>
    <w:rsid w:val="007E092C"/>
    <w:rsid w:val="007E14F9"/>
    <w:rsid w:val="007E2184"/>
    <w:rsid w:val="007E25C5"/>
    <w:rsid w:val="007E28AE"/>
    <w:rsid w:val="007E365A"/>
    <w:rsid w:val="007E38D3"/>
    <w:rsid w:val="007E5558"/>
    <w:rsid w:val="007E62BF"/>
    <w:rsid w:val="007E6B8F"/>
    <w:rsid w:val="007E6D82"/>
    <w:rsid w:val="007E6F99"/>
    <w:rsid w:val="007E760D"/>
    <w:rsid w:val="007E7695"/>
    <w:rsid w:val="007F042A"/>
    <w:rsid w:val="007F05B0"/>
    <w:rsid w:val="007F0BB6"/>
    <w:rsid w:val="007F0DDE"/>
    <w:rsid w:val="007F12E7"/>
    <w:rsid w:val="007F1485"/>
    <w:rsid w:val="007F177B"/>
    <w:rsid w:val="007F1922"/>
    <w:rsid w:val="007F1E2A"/>
    <w:rsid w:val="007F219C"/>
    <w:rsid w:val="007F22A8"/>
    <w:rsid w:val="007F2C24"/>
    <w:rsid w:val="007F2E0F"/>
    <w:rsid w:val="007F3C3B"/>
    <w:rsid w:val="007F4293"/>
    <w:rsid w:val="007F49B7"/>
    <w:rsid w:val="007F4C30"/>
    <w:rsid w:val="007F5DC6"/>
    <w:rsid w:val="007F633F"/>
    <w:rsid w:val="007F6380"/>
    <w:rsid w:val="007F7C44"/>
    <w:rsid w:val="0080064E"/>
    <w:rsid w:val="00801D8C"/>
    <w:rsid w:val="00802CCC"/>
    <w:rsid w:val="00802DA8"/>
    <w:rsid w:val="00803464"/>
    <w:rsid w:val="008034B8"/>
    <w:rsid w:val="00803D5A"/>
    <w:rsid w:val="008041EC"/>
    <w:rsid w:val="00804496"/>
    <w:rsid w:val="00804B3C"/>
    <w:rsid w:val="00805961"/>
    <w:rsid w:val="00806965"/>
    <w:rsid w:val="008073B3"/>
    <w:rsid w:val="00807430"/>
    <w:rsid w:val="00807569"/>
    <w:rsid w:val="00807E90"/>
    <w:rsid w:val="00811B46"/>
    <w:rsid w:val="00812085"/>
    <w:rsid w:val="0081255A"/>
    <w:rsid w:val="00812C15"/>
    <w:rsid w:val="00813220"/>
    <w:rsid w:val="0081366A"/>
    <w:rsid w:val="008138B9"/>
    <w:rsid w:val="0081400D"/>
    <w:rsid w:val="00814CA8"/>
    <w:rsid w:val="00814CE3"/>
    <w:rsid w:val="00815DCD"/>
    <w:rsid w:val="00815E8D"/>
    <w:rsid w:val="008162AE"/>
    <w:rsid w:val="008163E3"/>
    <w:rsid w:val="00816503"/>
    <w:rsid w:val="008169DB"/>
    <w:rsid w:val="00817908"/>
    <w:rsid w:val="00820135"/>
    <w:rsid w:val="00820549"/>
    <w:rsid w:val="00820553"/>
    <w:rsid w:val="008207E1"/>
    <w:rsid w:val="008217D8"/>
    <w:rsid w:val="00821888"/>
    <w:rsid w:val="00822796"/>
    <w:rsid w:val="00823304"/>
    <w:rsid w:val="00824042"/>
    <w:rsid w:val="00824455"/>
    <w:rsid w:val="0082477E"/>
    <w:rsid w:val="00824AAD"/>
    <w:rsid w:val="008251D5"/>
    <w:rsid w:val="008254D0"/>
    <w:rsid w:val="00825BEF"/>
    <w:rsid w:val="00825C17"/>
    <w:rsid w:val="00826879"/>
    <w:rsid w:val="00826A71"/>
    <w:rsid w:val="0082727C"/>
    <w:rsid w:val="00827478"/>
    <w:rsid w:val="008276CE"/>
    <w:rsid w:val="0082775A"/>
    <w:rsid w:val="008313B1"/>
    <w:rsid w:val="008322BB"/>
    <w:rsid w:val="008323AE"/>
    <w:rsid w:val="00832A34"/>
    <w:rsid w:val="00832B39"/>
    <w:rsid w:val="00832E2D"/>
    <w:rsid w:val="00832F4E"/>
    <w:rsid w:val="00833118"/>
    <w:rsid w:val="0083329C"/>
    <w:rsid w:val="00833A0F"/>
    <w:rsid w:val="008341D3"/>
    <w:rsid w:val="00834755"/>
    <w:rsid w:val="00834A8D"/>
    <w:rsid w:val="00835212"/>
    <w:rsid w:val="00835334"/>
    <w:rsid w:val="0083562A"/>
    <w:rsid w:val="008356F1"/>
    <w:rsid w:val="00835CFE"/>
    <w:rsid w:val="00836061"/>
    <w:rsid w:val="008367F5"/>
    <w:rsid w:val="0083726B"/>
    <w:rsid w:val="00837A40"/>
    <w:rsid w:val="00837B0F"/>
    <w:rsid w:val="00837EF2"/>
    <w:rsid w:val="00840B35"/>
    <w:rsid w:val="00842C76"/>
    <w:rsid w:val="00842E8B"/>
    <w:rsid w:val="008437DC"/>
    <w:rsid w:val="00844566"/>
    <w:rsid w:val="00844BDD"/>
    <w:rsid w:val="00844E27"/>
    <w:rsid w:val="0084552E"/>
    <w:rsid w:val="0084570E"/>
    <w:rsid w:val="00845A9A"/>
    <w:rsid w:val="008470B7"/>
    <w:rsid w:val="0085042F"/>
    <w:rsid w:val="00850DC8"/>
    <w:rsid w:val="00850FC7"/>
    <w:rsid w:val="008511FB"/>
    <w:rsid w:val="008511FD"/>
    <w:rsid w:val="008515C4"/>
    <w:rsid w:val="00851705"/>
    <w:rsid w:val="00851938"/>
    <w:rsid w:val="0085194E"/>
    <w:rsid w:val="008526C9"/>
    <w:rsid w:val="0085297A"/>
    <w:rsid w:val="00853023"/>
    <w:rsid w:val="008533D5"/>
    <w:rsid w:val="00853E43"/>
    <w:rsid w:val="0085459C"/>
    <w:rsid w:val="008546AF"/>
    <w:rsid w:val="008554AD"/>
    <w:rsid w:val="008559F9"/>
    <w:rsid w:val="00855A78"/>
    <w:rsid w:val="00856B1D"/>
    <w:rsid w:val="008572FE"/>
    <w:rsid w:val="00860D5F"/>
    <w:rsid w:val="00860D8B"/>
    <w:rsid w:val="00860E7F"/>
    <w:rsid w:val="00861D5E"/>
    <w:rsid w:val="00862074"/>
    <w:rsid w:val="00862565"/>
    <w:rsid w:val="00862803"/>
    <w:rsid w:val="00863F34"/>
    <w:rsid w:val="008656B3"/>
    <w:rsid w:val="00865F1B"/>
    <w:rsid w:val="008665B7"/>
    <w:rsid w:val="00866A29"/>
    <w:rsid w:val="00866F6E"/>
    <w:rsid w:val="0086704F"/>
    <w:rsid w:val="008702F4"/>
    <w:rsid w:val="00870729"/>
    <w:rsid w:val="00871B99"/>
    <w:rsid w:val="00871C72"/>
    <w:rsid w:val="00871F81"/>
    <w:rsid w:val="00874432"/>
    <w:rsid w:val="00874ED8"/>
    <w:rsid w:val="00875B42"/>
    <w:rsid w:val="00875DB9"/>
    <w:rsid w:val="00876D10"/>
    <w:rsid w:val="00877F44"/>
    <w:rsid w:val="00877F8F"/>
    <w:rsid w:val="0088095F"/>
    <w:rsid w:val="008810A1"/>
    <w:rsid w:val="0088192F"/>
    <w:rsid w:val="00881E4F"/>
    <w:rsid w:val="008826D6"/>
    <w:rsid w:val="008828CE"/>
    <w:rsid w:val="0088310C"/>
    <w:rsid w:val="00883C61"/>
    <w:rsid w:val="008841C2"/>
    <w:rsid w:val="008845F7"/>
    <w:rsid w:val="00884B21"/>
    <w:rsid w:val="00884C44"/>
    <w:rsid w:val="00884D8C"/>
    <w:rsid w:val="00884D90"/>
    <w:rsid w:val="00885B56"/>
    <w:rsid w:val="00885DAA"/>
    <w:rsid w:val="00885EAC"/>
    <w:rsid w:val="0088644E"/>
    <w:rsid w:val="0088738D"/>
    <w:rsid w:val="00887545"/>
    <w:rsid w:val="00887E5C"/>
    <w:rsid w:val="00890623"/>
    <w:rsid w:val="00890BE6"/>
    <w:rsid w:val="00890BFD"/>
    <w:rsid w:val="00890EC3"/>
    <w:rsid w:val="00891B5A"/>
    <w:rsid w:val="00891D21"/>
    <w:rsid w:val="008927E2"/>
    <w:rsid w:val="00893D05"/>
    <w:rsid w:val="0089440F"/>
    <w:rsid w:val="008954E1"/>
    <w:rsid w:val="00895B02"/>
    <w:rsid w:val="00895C6A"/>
    <w:rsid w:val="00895EB0"/>
    <w:rsid w:val="00896435"/>
    <w:rsid w:val="008974FE"/>
    <w:rsid w:val="00897AF1"/>
    <w:rsid w:val="008A0802"/>
    <w:rsid w:val="008A0CF2"/>
    <w:rsid w:val="008A20FB"/>
    <w:rsid w:val="008A2960"/>
    <w:rsid w:val="008A359B"/>
    <w:rsid w:val="008A3B9D"/>
    <w:rsid w:val="008A3F14"/>
    <w:rsid w:val="008A5126"/>
    <w:rsid w:val="008A5607"/>
    <w:rsid w:val="008A563B"/>
    <w:rsid w:val="008A5833"/>
    <w:rsid w:val="008A5BB5"/>
    <w:rsid w:val="008A5D09"/>
    <w:rsid w:val="008A5DC8"/>
    <w:rsid w:val="008A6025"/>
    <w:rsid w:val="008A7869"/>
    <w:rsid w:val="008B004B"/>
    <w:rsid w:val="008B05DD"/>
    <w:rsid w:val="008B079D"/>
    <w:rsid w:val="008B1293"/>
    <w:rsid w:val="008B13DD"/>
    <w:rsid w:val="008B2272"/>
    <w:rsid w:val="008B29E3"/>
    <w:rsid w:val="008B2BDE"/>
    <w:rsid w:val="008B30E0"/>
    <w:rsid w:val="008B4003"/>
    <w:rsid w:val="008B42D0"/>
    <w:rsid w:val="008B4D2B"/>
    <w:rsid w:val="008B53D5"/>
    <w:rsid w:val="008B622F"/>
    <w:rsid w:val="008B686E"/>
    <w:rsid w:val="008B6AAB"/>
    <w:rsid w:val="008B73A6"/>
    <w:rsid w:val="008C01DB"/>
    <w:rsid w:val="008C0F0B"/>
    <w:rsid w:val="008C1334"/>
    <w:rsid w:val="008C140E"/>
    <w:rsid w:val="008C1FF7"/>
    <w:rsid w:val="008C2998"/>
    <w:rsid w:val="008C29D4"/>
    <w:rsid w:val="008C2F28"/>
    <w:rsid w:val="008C3377"/>
    <w:rsid w:val="008C3D20"/>
    <w:rsid w:val="008C458B"/>
    <w:rsid w:val="008C4995"/>
    <w:rsid w:val="008C5B88"/>
    <w:rsid w:val="008C5DED"/>
    <w:rsid w:val="008C6A23"/>
    <w:rsid w:val="008C77E2"/>
    <w:rsid w:val="008C7BB8"/>
    <w:rsid w:val="008C7EAF"/>
    <w:rsid w:val="008D01F6"/>
    <w:rsid w:val="008D069E"/>
    <w:rsid w:val="008D07A4"/>
    <w:rsid w:val="008D0E5C"/>
    <w:rsid w:val="008D10E5"/>
    <w:rsid w:val="008D1CBA"/>
    <w:rsid w:val="008D1E52"/>
    <w:rsid w:val="008D1E9A"/>
    <w:rsid w:val="008D2168"/>
    <w:rsid w:val="008D2656"/>
    <w:rsid w:val="008D2EBF"/>
    <w:rsid w:val="008D3621"/>
    <w:rsid w:val="008D3C1D"/>
    <w:rsid w:val="008D3CD0"/>
    <w:rsid w:val="008D5A1B"/>
    <w:rsid w:val="008D5EA6"/>
    <w:rsid w:val="008D5EC3"/>
    <w:rsid w:val="008D5F39"/>
    <w:rsid w:val="008D6140"/>
    <w:rsid w:val="008D682C"/>
    <w:rsid w:val="008D71F0"/>
    <w:rsid w:val="008E0A3E"/>
    <w:rsid w:val="008E12EE"/>
    <w:rsid w:val="008E13EA"/>
    <w:rsid w:val="008E1424"/>
    <w:rsid w:val="008E1C6E"/>
    <w:rsid w:val="008E2E9F"/>
    <w:rsid w:val="008E3840"/>
    <w:rsid w:val="008E59B4"/>
    <w:rsid w:val="008E68B2"/>
    <w:rsid w:val="008E6C6F"/>
    <w:rsid w:val="008E6F51"/>
    <w:rsid w:val="008E7891"/>
    <w:rsid w:val="008E7C15"/>
    <w:rsid w:val="008E7DAF"/>
    <w:rsid w:val="008E7F48"/>
    <w:rsid w:val="008F0A0F"/>
    <w:rsid w:val="008F1D72"/>
    <w:rsid w:val="008F1F2D"/>
    <w:rsid w:val="008F28F5"/>
    <w:rsid w:val="008F452A"/>
    <w:rsid w:val="008F5326"/>
    <w:rsid w:val="008F561E"/>
    <w:rsid w:val="008F59DF"/>
    <w:rsid w:val="008F6313"/>
    <w:rsid w:val="008F65EF"/>
    <w:rsid w:val="008F660A"/>
    <w:rsid w:val="008F6749"/>
    <w:rsid w:val="008F6B58"/>
    <w:rsid w:val="008F6E12"/>
    <w:rsid w:val="00900066"/>
    <w:rsid w:val="00900884"/>
    <w:rsid w:val="009009B9"/>
    <w:rsid w:val="009012BE"/>
    <w:rsid w:val="009014D8"/>
    <w:rsid w:val="0090161B"/>
    <w:rsid w:val="00901F8E"/>
    <w:rsid w:val="00902593"/>
    <w:rsid w:val="0090358D"/>
    <w:rsid w:val="0090546C"/>
    <w:rsid w:val="00906D53"/>
    <w:rsid w:val="00906E4C"/>
    <w:rsid w:val="0090713B"/>
    <w:rsid w:val="00907FC1"/>
    <w:rsid w:val="00910066"/>
    <w:rsid w:val="00910B09"/>
    <w:rsid w:val="009117A0"/>
    <w:rsid w:val="0091200D"/>
    <w:rsid w:val="00912097"/>
    <w:rsid w:val="0091233E"/>
    <w:rsid w:val="00913CA2"/>
    <w:rsid w:val="0091422B"/>
    <w:rsid w:val="00914786"/>
    <w:rsid w:val="00915896"/>
    <w:rsid w:val="00915C96"/>
    <w:rsid w:val="0091676F"/>
    <w:rsid w:val="00917D16"/>
    <w:rsid w:val="00920AE8"/>
    <w:rsid w:val="00920E05"/>
    <w:rsid w:val="00921A04"/>
    <w:rsid w:val="00921D90"/>
    <w:rsid w:val="00922914"/>
    <w:rsid w:val="00922AF4"/>
    <w:rsid w:val="00922B43"/>
    <w:rsid w:val="00922C91"/>
    <w:rsid w:val="00922D58"/>
    <w:rsid w:val="00923220"/>
    <w:rsid w:val="0092453D"/>
    <w:rsid w:val="009246CF"/>
    <w:rsid w:val="009249B8"/>
    <w:rsid w:val="00924AF6"/>
    <w:rsid w:val="00925477"/>
    <w:rsid w:val="0092558D"/>
    <w:rsid w:val="009269F2"/>
    <w:rsid w:val="00926BAF"/>
    <w:rsid w:val="00926E34"/>
    <w:rsid w:val="00927179"/>
    <w:rsid w:val="00927554"/>
    <w:rsid w:val="00930618"/>
    <w:rsid w:val="0093108D"/>
    <w:rsid w:val="0093109F"/>
    <w:rsid w:val="009317F7"/>
    <w:rsid w:val="00931BFF"/>
    <w:rsid w:val="0093222A"/>
    <w:rsid w:val="009332E0"/>
    <w:rsid w:val="00933BE2"/>
    <w:rsid w:val="00934322"/>
    <w:rsid w:val="009344CF"/>
    <w:rsid w:val="0093481F"/>
    <w:rsid w:val="00934B70"/>
    <w:rsid w:val="009351FA"/>
    <w:rsid w:val="00935990"/>
    <w:rsid w:val="00935C72"/>
    <w:rsid w:val="00940040"/>
    <w:rsid w:val="00940942"/>
    <w:rsid w:val="009422AF"/>
    <w:rsid w:val="0094261E"/>
    <w:rsid w:val="00942E58"/>
    <w:rsid w:val="00943181"/>
    <w:rsid w:val="00943497"/>
    <w:rsid w:val="00943822"/>
    <w:rsid w:val="0094472A"/>
    <w:rsid w:val="00944FCD"/>
    <w:rsid w:val="009455C0"/>
    <w:rsid w:val="00946963"/>
    <w:rsid w:val="009470FF"/>
    <w:rsid w:val="0094738C"/>
    <w:rsid w:val="009475E4"/>
    <w:rsid w:val="00947864"/>
    <w:rsid w:val="0095013C"/>
    <w:rsid w:val="0095044E"/>
    <w:rsid w:val="00951753"/>
    <w:rsid w:val="00952085"/>
    <w:rsid w:val="0095259B"/>
    <w:rsid w:val="0095285F"/>
    <w:rsid w:val="0095334E"/>
    <w:rsid w:val="00953919"/>
    <w:rsid w:val="00953999"/>
    <w:rsid w:val="00953AAC"/>
    <w:rsid w:val="00953ABC"/>
    <w:rsid w:val="00953B16"/>
    <w:rsid w:val="00954B8E"/>
    <w:rsid w:val="00954F15"/>
    <w:rsid w:val="00955332"/>
    <w:rsid w:val="009554A3"/>
    <w:rsid w:val="0095597E"/>
    <w:rsid w:val="009562B6"/>
    <w:rsid w:val="00956372"/>
    <w:rsid w:val="009578D8"/>
    <w:rsid w:val="00960027"/>
    <w:rsid w:val="009600D0"/>
    <w:rsid w:val="00961355"/>
    <w:rsid w:val="009619E6"/>
    <w:rsid w:val="00961A42"/>
    <w:rsid w:val="00961E05"/>
    <w:rsid w:val="0096234C"/>
    <w:rsid w:val="00962E3D"/>
    <w:rsid w:val="0096305D"/>
    <w:rsid w:val="009630BC"/>
    <w:rsid w:val="00963713"/>
    <w:rsid w:val="0096473A"/>
    <w:rsid w:val="00964946"/>
    <w:rsid w:val="00965194"/>
    <w:rsid w:val="00965799"/>
    <w:rsid w:val="00967676"/>
    <w:rsid w:val="0097043C"/>
    <w:rsid w:val="009705F9"/>
    <w:rsid w:val="009708E5"/>
    <w:rsid w:val="00970C09"/>
    <w:rsid w:val="00971439"/>
    <w:rsid w:val="00971513"/>
    <w:rsid w:val="0097185C"/>
    <w:rsid w:val="009728F8"/>
    <w:rsid w:val="009731D4"/>
    <w:rsid w:val="00973385"/>
    <w:rsid w:val="0097399F"/>
    <w:rsid w:val="00973FA1"/>
    <w:rsid w:val="00974634"/>
    <w:rsid w:val="00974A54"/>
    <w:rsid w:val="00974DFC"/>
    <w:rsid w:val="009753C6"/>
    <w:rsid w:val="00975A5B"/>
    <w:rsid w:val="00976667"/>
    <w:rsid w:val="00977357"/>
    <w:rsid w:val="00977E90"/>
    <w:rsid w:val="00981E1A"/>
    <w:rsid w:val="009825CE"/>
    <w:rsid w:val="00982DA3"/>
    <w:rsid w:val="00983650"/>
    <w:rsid w:val="009838D9"/>
    <w:rsid w:val="00983B26"/>
    <w:rsid w:val="00984660"/>
    <w:rsid w:val="00984823"/>
    <w:rsid w:val="00984A6F"/>
    <w:rsid w:val="00984FCD"/>
    <w:rsid w:val="00985597"/>
    <w:rsid w:val="0098590C"/>
    <w:rsid w:val="00986308"/>
    <w:rsid w:val="00986487"/>
    <w:rsid w:val="00986635"/>
    <w:rsid w:val="00986F84"/>
    <w:rsid w:val="00987940"/>
    <w:rsid w:val="0099109A"/>
    <w:rsid w:val="00991BE3"/>
    <w:rsid w:val="0099325B"/>
    <w:rsid w:val="0099327A"/>
    <w:rsid w:val="00993618"/>
    <w:rsid w:val="00993B62"/>
    <w:rsid w:val="009943B3"/>
    <w:rsid w:val="00995196"/>
    <w:rsid w:val="0099542C"/>
    <w:rsid w:val="00995AC1"/>
    <w:rsid w:val="00996763"/>
    <w:rsid w:val="009969E5"/>
    <w:rsid w:val="0099741A"/>
    <w:rsid w:val="00997A99"/>
    <w:rsid w:val="009A0304"/>
    <w:rsid w:val="009A0320"/>
    <w:rsid w:val="009A056D"/>
    <w:rsid w:val="009A116F"/>
    <w:rsid w:val="009A185E"/>
    <w:rsid w:val="009A251D"/>
    <w:rsid w:val="009A29F8"/>
    <w:rsid w:val="009A36C4"/>
    <w:rsid w:val="009A3A44"/>
    <w:rsid w:val="009A3D91"/>
    <w:rsid w:val="009A3E28"/>
    <w:rsid w:val="009A47BC"/>
    <w:rsid w:val="009A4EDF"/>
    <w:rsid w:val="009A5C0F"/>
    <w:rsid w:val="009A5DEF"/>
    <w:rsid w:val="009A6380"/>
    <w:rsid w:val="009A7F70"/>
    <w:rsid w:val="009B04B2"/>
    <w:rsid w:val="009B0FDE"/>
    <w:rsid w:val="009B2983"/>
    <w:rsid w:val="009B2D97"/>
    <w:rsid w:val="009B3207"/>
    <w:rsid w:val="009B45C3"/>
    <w:rsid w:val="009B4B99"/>
    <w:rsid w:val="009B5228"/>
    <w:rsid w:val="009B5479"/>
    <w:rsid w:val="009B576B"/>
    <w:rsid w:val="009B5C83"/>
    <w:rsid w:val="009B65D1"/>
    <w:rsid w:val="009B715C"/>
    <w:rsid w:val="009B736B"/>
    <w:rsid w:val="009B7925"/>
    <w:rsid w:val="009B7C29"/>
    <w:rsid w:val="009B7FD7"/>
    <w:rsid w:val="009C01E6"/>
    <w:rsid w:val="009C0BEB"/>
    <w:rsid w:val="009C13E5"/>
    <w:rsid w:val="009C15C5"/>
    <w:rsid w:val="009C17ED"/>
    <w:rsid w:val="009C2018"/>
    <w:rsid w:val="009C2BBA"/>
    <w:rsid w:val="009C34CB"/>
    <w:rsid w:val="009C4097"/>
    <w:rsid w:val="009C483E"/>
    <w:rsid w:val="009C4CC1"/>
    <w:rsid w:val="009C513E"/>
    <w:rsid w:val="009C577D"/>
    <w:rsid w:val="009C64D7"/>
    <w:rsid w:val="009C6BF0"/>
    <w:rsid w:val="009C6CC3"/>
    <w:rsid w:val="009C71FB"/>
    <w:rsid w:val="009D0213"/>
    <w:rsid w:val="009D03A7"/>
    <w:rsid w:val="009D0AEF"/>
    <w:rsid w:val="009D1242"/>
    <w:rsid w:val="009D193D"/>
    <w:rsid w:val="009D2836"/>
    <w:rsid w:val="009D2C74"/>
    <w:rsid w:val="009D30B2"/>
    <w:rsid w:val="009D36E0"/>
    <w:rsid w:val="009D3AA8"/>
    <w:rsid w:val="009D3C64"/>
    <w:rsid w:val="009D3FCD"/>
    <w:rsid w:val="009D48E2"/>
    <w:rsid w:val="009D4E19"/>
    <w:rsid w:val="009D4E98"/>
    <w:rsid w:val="009D5456"/>
    <w:rsid w:val="009D6705"/>
    <w:rsid w:val="009D7DAE"/>
    <w:rsid w:val="009E0760"/>
    <w:rsid w:val="009E2160"/>
    <w:rsid w:val="009E28BE"/>
    <w:rsid w:val="009E37CE"/>
    <w:rsid w:val="009E412E"/>
    <w:rsid w:val="009E55D3"/>
    <w:rsid w:val="009E5780"/>
    <w:rsid w:val="009E6D0C"/>
    <w:rsid w:val="009E6F09"/>
    <w:rsid w:val="009E7429"/>
    <w:rsid w:val="009E7659"/>
    <w:rsid w:val="009E79B5"/>
    <w:rsid w:val="009F0D5F"/>
    <w:rsid w:val="009F208D"/>
    <w:rsid w:val="009F20C1"/>
    <w:rsid w:val="009F2561"/>
    <w:rsid w:val="009F27F9"/>
    <w:rsid w:val="009F2B22"/>
    <w:rsid w:val="009F2F9E"/>
    <w:rsid w:val="009F3257"/>
    <w:rsid w:val="009F374E"/>
    <w:rsid w:val="009F3AB5"/>
    <w:rsid w:val="009F515C"/>
    <w:rsid w:val="009F5AA5"/>
    <w:rsid w:val="009F5F96"/>
    <w:rsid w:val="009F653C"/>
    <w:rsid w:val="009F6BDD"/>
    <w:rsid w:val="009F6FA3"/>
    <w:rsid w:val="00A00048"/>
    <w:rsid w:val="00A00572"/>
    <w:rsid w:val="00A007A4"/>
    <w:rsid w:val="00A0089D"/>
    <w:rsid w:val="00A00E69"/>
    <w:rsid w:val="00A0170F"/>
    <w:rsid w:val="00A01BF4"/>
    <w:rsid w:val="00A022C8"/>
    <w:rsid w:val="00A02B80"/>
    <w:rsid w:val="00A03CC4"/>
    <w:rsid w:val="00A04866"/>
    <w:rsid w:val="00A04BED"/>
    <w:rsid w:val="00A051EE"/>
    <w:rsid w:val="00A05769"/>
    <w:rsid w:val="00A058C9"/>
    <w:rsid w:val="00A0593E"/>
    <w:rsid w:val="00A05CF4"/>
    <w:rsid w:val="00A06B83"/>
    <w:rsid w:val="00A06C00"/>
    <w:rsid w:val="00A0778C"/>
    <w:rsid w:val="00A07AAC"/>
    <w:rsid w:val="00A1090C"/>
    <w:rsid w:val="00A121EF"/>
    <w:rsid w:val="00A12751"/>
    <w:rsid w:val="00A12A69"/>
    <w:rsid w:val="00A12FD4"/>
    <w:rsid w:val="00A14014"/>
    <w:rsid w:val="00A140EF"/>
    <w:rsid w:val="00A148CB"/>
    <w:rsid w:val="00A14D34"/>
    <w:rsid w:val="00A152D5"/>
    <w:rsid w:val="00A17079"/>
    <w:rsid w:val="00A17A39"/>
    <w:rsid w:val="00A20172"/>
    <w:rsid w:val="00A206B7"/>
    <w:rsid w:val="00A20B2E"/>
    <w:rsid w:val="00A2122E"/>
    <w:rsid w:val="00A21572"/>
    <w:rsid w:val="00A21640"/>
    <w:rsid w:val="00A22099"/>
    <w:rsid w:val="00A22247"/>
    <w:rsid w:val="00A22E8B"/>
    <w:rsid w:val="00A23936"/>
    <w:rsid w:val="00A24CED"/>
    <w:rsid w:val="00A258C5"/>
    <w:rsid w:val="00A25954"/>
    <w:rsid w:val="00A25CDD"/>
    <w:rsid w:val="00A26B6A"/>
    <w:rsid w:val="00A26CA3"/>
    <w:rsid w:val="00A27DFC"/>
    <w:rsid w:val="00A27EA8"/>
    <w:rsid w:val="00A308E2"/>
    <w:rsid w:val="00A312D8"/>
    <w:rsid w:val="00A3134F"/>
    <w:rsid w:val="00A3186A"/>
    <w:rsid w:val="00A31A98"/>
    <w:rsid w:val="00A31C52"/>
    <w:rsid w:val="00A327CF"/>
    <w:rsid w:val="00A333B1"/>
    <w:rsid w:val="00A33E45"/>
    <w:rsid w:val="00A34247"/>
    <w:rsid w:val="00A34C9E"/>
    <w:rsid w:val="00A351F8"/>
    <w:rsid w:val="00A35F8B"/>
    <w:rsid w:val="00A372F7"/>
    <w:rsid w:val="00A3758A"/>
    <w:rsid w:val="00A37C02"/>
    <w:rsid w:val="00A402CF"/>
    <w:rsid w:val="00A403EB"/>
    <w:rsid w:val="00A409E7"/>
    <w:rsid w:val="00A40A97"/>
    <w:rsid w:val="00A40F64"/>
    <w:rsid w:val="00A4117D"/>
    <w:rsid w:val="00A412C4"/>
    <w:rsid w:val="00A41316"/>
    <w:rsid w:val="00A41CC1"/>
    <w:rsid w:val="00A42108"/>
    <w:rsid w:val="00A42622"/>
    <w:rsid w:val="00A43C27"/>
    <w:rsid w:val="00A44BA3"/>
    <w:rsid w:val="00A45882"/>
    <w:rsid w:val="00A46315"/>
    <w:rsid w:val="00A46AB1"/>
    <w:rsid w:val="00A47118"/>
    <w:rsid w:val="00A473EB"/>
    <w:rsid w:val="00A4775A"/>
    <w:rsid w:val="00A4787B"/>
    <w:rsid w:val="00A5019B"/>
    <w:rsid w:val="00A50955"/>
    <w:rsid w:val="00A514FA"/>
    <w:rsid w:val="00A52F18"/>
    <w:rsid w:val="00A54314"/>
    <w:rsid w:val="00A55336"/>
    <w:rsid w:val="00A5563A"/>
    <w:rsid w:val="00A556AA"/>
    <w:rsid w:val="00A5643D"/>
    <w:rsid w:val="00A571B5"/>
    <w:rsid w:val="00A5723D"/>
    <w:rsid w:val="00A57887"/>
    <w:rsid w:val="00A60287"/>
    <w:rsid w:val="00A60BAF"/>
    <w:rsid w:val="00A60C66"/>
    <w:rsid w:val="00A60F88"/>
    <w:rsid w:val="00A61088"/>
    <w:rsid w:val="00A611E5"/>
    <w:rsid w:val="00A621A9"/>
    <w:rsid w:val="00A62336"/>
    <w:rsid w:val="00A62D83"/>
    <w:rsid w:val="00A643BE"/>
    <w:rsid w:val="00A644AC"/>
    <w:rsid w:val="00A6598D"/>
    <w:rsid w:val="00A65F5F"/>
    <w:rsid w:val="00A66171"/>
    <w:rsid w:val="00A66A5F"/>
    <w:rsid w:val="00A66CF1"/>
    <w:rsid w:val="00A66D89"/>
    <w:rsid w:val="00A70879"/>
    <w:rsid w:val="00A708EB"/>
    <w:rsid w:val="00A70E6B"/>
    <w:rsid w:val="00A71F6B"/>
    <w:rsid w:val="00A722E2"/>
    <w:rsid w:val="00A72F77"/>
    <w:rsid w:val="00A733BD"/>
    <w:rsid w:val="00A735B6"/>
    <w:rsid w:val="00A73EC5"/>
    <w:rsid w:val="00A75AB4"/>
    <w:rsid w:val="00A75D26"/>
    <w:rsid w:val="00A76819"/>
    <w:rsid w:val="00A76FA7"/>
    <w:rsid w:val="00A777EC"/>
    <w:rsid w:val="00A800AF"/>
    <w:rsid w:val="00A801B6"/>
    <w:rsid w:val="00A806AC"/>
    <w:rsid w:val="00A80AD5"/>
    <w:rsid w:val="00A80C03"/>
    <w:rsid w:val="00A82366"/>
    <w:rsid w:val="00A823BB"/>
    <w:rsid w:val="00A82719"/>
    <w:rsid w:val="00A827D9"/>
    <w:rsid w:val="00A829DE"/>
    <w:rsid w:val="00A8335C"/>
    <w:rsid w:val="00A834D3"/>
    <w:rsid w:val="00A8385A"/>
    <w:rsid w:val="00A83EDF"/>
    <w:rsid w:val="00A83EF8"/>
    <w:rsid w:val="00A83F1F"/>
    <w:rsid w:val="00A84781"/>
    <w:rsid w:val="00A85497"/>
    <w:rsid w:val="00A86056"/>
    <w:rsid w:val="00A861FD"/>
    <w:rsid w:val="00A86698"/>
    <w:rsid w:val="00A872CF"/>
    <w:rsid w:val="00A87561"/>
    <w:rsid w:val="00A87FC5"/>
    <w:rsid w:val="00A9073F"/>
    <w:rsid w:val="00A9080C"/>
    <w:rsid w:val="00A91148"/>
    <w:rsid w:val="00A916AB"/>
    <w:rsid w:val="00A91B69"/>
    <w:rsid w:val="00A924F1"/>
    <w:rsid w:val="00A92CD3"/>
    <w:rsid w:val="00A92CEC"/>
    <w:rsid w:val="00A93276"/>
    <w:rsid w:val="00A93C77"/>
    <w:rsid w:val="00A946CD"/>
    <w:rsid w:val="00A94F71"/>
    <w:rsid w:val="00A94FD5"/>
    <w:rsid w:val="00A95E04"/>
    <w:rsid w:val="00A95F5C"/>
    <w:rsid w:val="00A96C79"/>
    <w:rsid w:val="00A96D08"/>
    <w:rsid w:val="00A96EE5"/>
    <w:rsid w:val="00A973BC"/>
    <w:rsid w:val="00A9784B"/>
    <w:rsid w:val="00AA0A71"/>
    <w:rsid w:val="00AA1D41"/>
    <w:rsid w:val="00AA1F72"/>
    <w:rsid w:val="00AA2014"/>
    <w:rsid w:val="00AA5385"/>
    <w:rsid w:val="00AA5868"/>
    <w:rsid w:val="00AA5F22"/>
    <w:rsid w:val="00AA63C7"/>
    <w:rsid w:val="00AA6777"/>
    <w:rsid w:val="00AA6D28"/>
    <w:rsid w:val="00AB0602"/>
    <w:rsid w:val="00AB0770"/>
    <w:rsid w:val="00AB0FC5"/>
    <w:rsid w:val="00AB178F"/>
    <w:rsid w:val="00AB17E0"/>
    <w:rsid w:val="00AB2183"/>
    <w:rsid w:val="00AB2823"/>
    <w:rsid w:val="00AB285E"/>
    <w:rsid w:val="00AB2EAC"/>
    <w:rsid w:val="00AB44E0"/>
    <w:rsid w:val="00AB50A7"/>
    <w:rsid w:val="00AB5314"/>
    <w:rsid w:val="00AB5821"/>
    <w:rsid w:val="00AB70F8"/>
    <w:rsid w:val="00AC0146"/>
    <w:rsid w:val="00AC057B"/>
    <w:rsid w:val="00AC11ED"/>
    <w:rsid w:val="00AC1DFA"/>
    <w:rsid w:val="00AC2062"/>
    <w:rsid w:val="00AC2507"/>
    <w:rsid w:val="00AC2551"/>
    <w:rsid w:val="00AC2897"/>
    <w:rsid w:val="00AC3161"/>
    <w:rsid w:val="00AC31A2"/>
    <w:rsid w:val="00AC34E5"/>
    <w:rsid w:val="00AC3C26"/>
    <w:rsid w:val="00AC5214"/>
    <w:rsid w:val="00AC6E8A"/>
    <w:rsid w:val="00AC77A3"/>
    <w:rsid w:val="00AD0239"/>
    <w:rsid w:val="00AD0394"/>
    <w:rsid w:val="00AD0415"/>
    <w:rsid w:val="00AD1376"/>
    <w:rsid w:val="00AD19FB"/>
    <w:rsid w:val="00AD24D0"/>
    <w:rsid w:val="00AD33AE"/>
    <w:rsid w:val="00AD3AF1"/>
    <w:rsid w:val="00AD3EAD"/>
    <w:rsid w:val="00AD3F0C"/>
    <w:rsid w:val="00AD49BF"/>
    <w:rsid w:val="00AD67D7"/>
    <w:rsid w:val="00AD7596"/>
    <w:rsid w:val="00AD7B02"/>
    <w:rsid w:val="00AD7D7C"/>
    <w:rsid w:val="00AD7DB1"/>
    <w:rsid w:val="00AE0214"/>
    <w:rsid w:val="00AE0485"/>
    <w:rsid w:val="00AE152C"/>
    <w:rsid w:val="00AE2BBF"/>
    <w:rsid w:val="00AE2DA1"/>
    <w:rsid w:val="00AE31A7"/>
    <w:rsid w:val="00AE38CF"/>
    <w:rsid w:val="00AE413B"/>
    <w:rsid w:val="00AE4158"/>
    <w:rsid w:val="00AE493B"/>
    <w:rsid w:val="00AE49A1"/>
    <w:rsid w:val="00AE57C6"/>
    <w:rsid w:val="00AE5AF9"/>
    <w:rsid w:val="00AE5B1E"/>
    <w:rsid w:val="00AE6957"/>
    <w:rsid w:val="00AE71F5"/>
    <w:rsid w:val="00AF076C"/>
    <w:rsid w:val="00AF09F5"/>
    <w:rsid w:val="00AF0B1B"/>
    <w:rsid w:val="00AF17DB"/>
    <w:rsid w:val="00AF1C9E"/>
    <w:rsid w:val="00AF1E72"/>
    <w:rsid w:val="00AF27DC"/>
    <w:rsid w:val="00AF3859"/>
    <w:rsid w:val="00AF3B9A"/>
    <w:rsid w:val="00AF409C"/>
    <w:rsid w:val="00AF4392"/>
    <w:rsid w:val="00AF4943"/>
    <w:rsid w:val="00AF5222"/>
    <w:rsid w:val="00AF68BD"/>
    <w:rsid w:val="00AF6A25"/>
    <w:rsid w:val="00B00453"/>
    <w:rsid w:val="00B01B55"/>
    <w:rsid w:val="00B02F97"/>
    <w:rsid w:val="00B04494"/>
    <w:rsid w:val="00B0635A"/>
    <w:rsid w:val="00B067A6"/>
    <w:rsid w:val="00B072C4"/>
    <w:rsid w:val="00B07658"/>
    <w:rsid w:val="00B077B1"/>
    <w:rsid w:val="00B1044A"/>
    <w:rsid w:val="00B108B0"/>
    <w:rsid w:val="00B11981"/>
    <w:rsid w:val="00B12021"/>
    <w:rsid w:val="00B12DFD"/>
    <w:rsid w:val="00B13016"/>
    <w:rsid w:val="00B13380"/>
    <w:rsid w:val="00B134D8"/>
    <w:rsid w:val="00B1521F"/>
    <w:rsid w:val="00B1541E"/>
    <w:rsid w:val="00B162E3"/>
    <w:rsid w:val="00B1631A"/>
    <w:rsid w:val="00B16E66"/>
    <w:rsid w:val="00B16F60"/>
    <w:rsid w:val="00B17C4F"/>
    <w:rsid w:val="00B17D53"/>
    <w:rsid w:val="00B20437"/>
    <w:rsid w:val="00B20D10"/>
    <w:rsid w:val="00B214A9"/>
    <w:rsid w:val="00B228B3"/>
    <w:rsid w:val="00B248ED"/>
    <w:rsid w:val="00B25407"/>
    <w:rsid w:val="00B256B3"/>
    <w:rsid w:val="00B25C2F"/>
    <w:rsid w:val="00B27B08"/>
    <w:rsid w:val="00B27CE3"/>
    <w:rsid w:val="00B3064D"/>
    <w:rsid w:val="00B31002"/>
    <w:rsid w:val="00B31109"/>
    <w:rsid w:val="00B313AD"/>
    <w:rsid w:val="00B31720"/>
    <w:rsid w:val="00B322C8"/>
    <w:rsid w:val="00B3318E"/>
    <w:rsid w:val="00B335B0"/>
    <w:rsid w:val="00B33955"/>
    <w:rsid w:val="00B33E44"/>
    <w:rsid w:val="00B341A0"/>
    <w:rsid w:val="00B34443"/>
    <w:rsid w:val="00B3491B"/>
    <w:rsid w:val="00B35AFD"/>
    <w:rsid w:val="00B365A1"/>
    <w:rsid w:val="00B3734F"/>
    <w:rsid w:val="00B37B13"/>
    <w:rsid w:val="00B4087B"/>
    <w:rsid w:val="00B40B59"/>
    <w:rsid w:val="00B425C9"/>
    <w:rsid w:val="00B42A00"/>
    <w:rsid w:val="00B42C3F"/>
    <w:rsid w:val="00B42DA8"/>
    <w:rsid w:val="00B42FAC"/>
    <w:rsid w:val="00B4387B"/>
    <w:rsid w:val="00B43AC2"/>
    <w:rsid w:val="00B44048"/>
    <w:rsid w:val="00B45126"/>
    <w:rsid w:val="00B455F0"/>
    <w:rsid w:val="00B475B4"/>
    <w:rsid w:val="00B53040"/>
    <w:rsid w:val="00B532AA"/>
    <w:rsid w:val="00B537D7"/>
    <w:rsid w:val="00B53C54"/>
    <w:rsid w:val="00B53D90"/>
    <w:rsid w:val="00B54485"/>
    <w:rsid w:val="00B55EB4"/>
    <w:rsid w:val="00B577F8"/>
    <w:rsid w:val="00B604E8"/>
    <w:rsid w:val="00B606F7"/>
    <w:rsid w:val="00B614A2"/>
    <w:rsid w:val="00B61BAC"/>
    <w:rsid w:val="00B63720"/>
    <w:rsid w:val="00B637F8"/>
    <w:rsid w:val="00B64109"/>
    <w:rsid w:val="00B6591B"/>
    <w:rsid w:val="00B65E61"/>
    <w:rsid w:val="00B66AC1"/>
    <w:rsid w:val="00B66CDB"/>
    <w:rsid w:val="00B66E87"/>
    <w:rsid w:val="00B670F6"/>
    <w:rsid w:val="00B679CE"/>
    <w:rsid w:val="00B67E22"/>
    <w:rsid w:val="00B67FFA"/>
    <w:rsid w:val="00B701D2"/>
    <w:rsid w:val="00B704CF"/>
    <w:rsid w:val="00B705B3"/>
    <w:rsid w:val="00B709C9"/>
    <w:rsid w:val="00B710E0"/>
    <w:rsid w:val="00B717EC"/>
    <w:rsid w:val="00B718F3"/>
    <w:rsid w:val="00B71C34"/>
    <w:rsid w:val="00B72168"/>
    <w:rsid w:val="00B721CC"/>
    <w:rsid w:val="00B72BC8"/>
    <w:rsid w:val="00B73022"/>
    <w:rsid w:val="00B73832"/>
    <w:rsid w:val="00B73AA9"/>
    <w:rsid w:val="00B740E9"/>
    <w:rsid w:val="00B754E2"/>
    <w:rsid w:val="00B754EB"/>
    <w:rsid w:val="00B77557"/>
    <w:rsid w:val="00B8066F"/>
    <w:rsid w:val="00B80BC7"/>
    <w:rsid w:val="00B80BC9"/>
    <w:rsid w:val="00B81434"/>
    <w:rsid w:val="00B81C1D"/>
    <w:rsid w:val="00B82A23"/>
    <w:rsid w:val="00B82B82"/>
    <w:rsid w:val="00B834E9"/>
    <w:rsid w:val="00B83B58"/>
    <w:rsid w:val="00B842B1"/>
    <w:rsid w:val="00B84427"/>
    <w:rsid w:val="00B84C8D"/>
    <w:rsid w:val="00B84CCA"/>
    <w:rsid w:val="00B85B91"/>
    <w:rsid w:val="00B86460"/>
    <w:rsid w:val="00B867CB"/>
    <w:rsid w:val="00B868FD"/>
    <w:rsid w:val="00B86FB8"/>
    <w:rsid w:val="00B87A81"/>
    <w:rsid w:val="00B902E8"/>
    <w:rsid w:val="00B9068F"/>
    <w:rsid w:val="00B91F64"/>
    <w:rsid w:val="00B92370"/>
    <w:rsid w:val="00B930B7"/>
    <w:rsid w:val="00B93B1A"/>
    <w:rsid w:val="00B93CED"/>
    <w:rsid w:val="00B9417B"/>
    <w:rsid w:val="00B94397"/>
    <w:rsid w:val="00B96D28"/>
    <w:rsid w:val="00B97973"/>
    <w:rsid w:val="00BA0506"/>
    <w:rsid w:val="00BA08CF"/>
    <w:rsid w:val="00BA170A"/>
    <w:rsid w:val="00BA1C57"/>
    <w:rsid w:val="00BA1E65"/>
    <w:rsid w:val="00BA23C9"/>
    <w:rsid w:val="00BA299E"/>
    <w:rsid w:val="00BA3F5A"/>
    <w:rsid w:val="00BA401D"/>
    <w:rsid w:val="00BA4705"/>
    <w:rsid w:val="00BA47C3"/>
    <w:rsid w:val="00BA5D0C"/>
    <w:rsid w:val="00BA6157"/>
    <w:rsid w:val="00BA624B"/>
    <w:rsid w:val="00BA68B8"/>
    <w:rsid w:val="00BA6E6E"/>
    <w:rsid w:val="00BA7070"/>
    <w:rsid w:val="00BA7200"/>
    <w:rsid w:val="00BB026D"/>
    <w:rsid w:val="00BB150B"/>
    <w:rsid w:val="00BB35FF"/>
    <w:rsid w:val="00BB3F52"/>
    <w:rsid w:val="00BB6096"/>
    <w:rsid w:val="00BC00F6"/>
    <w:rsid w:val="00BC10B4"/>
    <w:rsid w:val="00BC1477"/>
    <w:rsid w:val="00BC1571"/>
    <w:rsid w:val="00BC1B31"/>
    <w:rsid w:val="00BC228E"/>
    <w:rsid w:val="00BC2BC1"/>
    <w:rsid w:val="00BC2EEE"/>
    <w:rsid w:val="00BC2F6A"/>
    <w:rsid w:val="00BC359A"/>
    <w:rsid w:val="00BC653D"/>
    <w:rsid w:val="00BC6A7A"/>
    <w:rsid w:val="00BC7B65"/>
    <w:rsid w:val="00BC7E27"/>
    <w:rsid w:val="00BD000A"/>
    <w:rsid w:val="00BD0495"/>
    <w:rsid w:val="00BD0AD2"/>
    <w:rsid w:val="00BD0B30"/>
    <w:rsid w:val="00BD12F5"/>
    <w:rsid w:val="00BD15D7"/>
    <w:rsid w:val="00BD17B6"/>
    <w:rsid w:val="00BD1DF6"/>
    <w:rsid w:val="00BD24A0"/>
    <w:rsid w:val="00BD4051"/>
    <w:rsid w:val="00BD4AAC"/>
    <w:rsid w:val="00BD50CC"/>
    <w:rsid w:val="00BD5CE1"/>
    <w:rsid w:val="00BD62C3"/>
    <w:rsid w:val="00BD6844"/>
    <w:rsid w:val="00BD7C92"/>
    <w:rsid w:val="00BD7DBD"/>
    <w:rsid w:val="00BD7E8B"/>
    <w:rsid w:val="00BE0459"/>
    <w:rsid w:val="00BE05E7"/>
    <w:rsid w:val="00BE07B9"/>
    <w:rsid w:val="00BE07C3"/>
    <w:rsid w:val="00BE1081"/>
    <w:rsid w:val="00BE1B7F"/>
    <w:rsid w:val="00BE1CCC"/>
    <w:rsid w:val="00BE2A45"/>
    <w:rsid w:val="00BE2B30"/>
    <w:rsid w:val="00BE453A"/>
    <w:rsid w:val="00BE4879"/>
    <w:rsid w:val="00BE4992"/>
    <w:rsid w:val="00BE4B7F"/>
    <w:rsid w:val="00BE4D68"/>
    <w:rsid w:val="00BE5F4D"/>
    <w:rsid w:val="00BE60D4"/>
    <w:rsid w:val="00BE62A6"/>
    <w:rsid w:val="00BE62B7"/>
    <w:rsid w:val="00BE76E8"/>
    <w:rsid w:val="00BF0A64"/>
    <w:rsid w:val="00BF0CE9"/>
    <w:rsid w:val="00BF1253"/>
    <w:rsid w:val="00BF1259"/>
    <w:rsid w:val="00BF1953"/>
    <w:rsid w:val="00BF1BAF"/>
    <w:rsid w:val="00BF2051"/>
    <w:rsid w:val="00BF21EC"/>
    <w:rsid w:val="00BF2A28"/>
    <w:rsid w:val="00BF3514"/>
    <w:rsid w:val="00BF4794"/>
    <w:rsid w:val="00BF57A7"/>
    <w:rsid w:val="00BF594F"/>
    <w:rsid w:val="00BF639F"/>
    <w:rsid w:val="00BF648C"/>
    <w:rsid w:val="00BF6A0C"/>
    <w:rsid w:val="00C00548"/>
    <w:rsid w:val="00C03C5E"/>
    <w:rsid w:val="00C0401E"/>
    <w:rsid w:val="00C0459B"/>
    <w:rsid w:val="00C04757"/>
    <w:rsid w:val="00C04DCC"/>
    <w:rsid w:val="00C05227"/>
    <w:rsid w:val="00C06AF3"/>
    <w:rsid w:val="00C06EE6"/>
    <w:rsid w:val="00C06FED"/>
    <w:rsid w:val="00C07236"/>
    <w:rsid w:val="00C07755"/>
    <w:rsid w:val="00C11436"/>
    <w:rsid w:val="00C11989"/>
    <w:rsid w:val="00C11AD1"/>
    <w:rsid w:val="00C11D0C"/>
    <w:rsid w:val="00C13158"/>
    <w:rsid w:val="00C1316C"/>
    <w:rsid w:val="00C1339E"/>
    <w:rsid w:val="00C137D1"/>
    <w:rsid w:val="00C14301"/>
    <w:rsid w:val="00C15718"/>
    <w:rsid w:val="00C15A87"/>
    <w:rsid w:val="00C16318"/>
    <w:rsid w:val="00C1727B"/>
    <w:rsid w:val="00C20F08"/>
    <w:rsid w:val="00C210BE"/>
    <w:rsid w:val="00C217DC"/>
    <w:rsid w:val="00C21FED"/>
    <w:rsid w:val="00C2271D"/>
    <w:rsid w:val="00C23245"/>
    <w:rsid w:val="00C23B12"/>
    <w:rsid w:val="00C2470B"/>
    <w:rsid w:val="00C24B90"/>
    <w:rsid w:val="00C257DB"/>
    <w:rsid w:val="00C2591A"/>
    <w:rsid w:val="00C25A51"/>
    <w:rsid w:val="00C25C6C"/>
    <w:rsid w:val="00C26EA0"/>
    <w:rsid w:val="00C27438"/>
    <w:rsid w:val="00C3021E"/>
    <w:rsid w:val="00C30406"/>
    <w:rsid w:val="00C307D6"/>
    <w:rsid w:val="00C313F3"/>
    <w:rsid w:val="00C3143E"/>
    <w:rsid w:val="00C31A06"/>
    <w:rsid w:val="00C31BFF"/>
    <w:rsid w:val="00C3420B"/>
    <w:rsid w:val="00C35035"/>
    <w:rsid w:val="00C36F0B"/>
    <w:rsid w:val="00C36FFD"/>
    <w:rsid w:val="00C40884"/>
    <w:rsid w:val="00C412AC"/>
    <w:rsid w:val="00C42736"/>
    <w:rsid w:val="00C42C02"/>
    <w:rsid w:val="00C43323"/>
    <w:rsid w:val="00C439A7"/>
    <w:rsid w:val="00C446A5"/>
    <w:rsid w:val="00C44C93"/>
    <w:rsid w:val="00C46531"/>
    <w:rsid w:val="00C4680A"/>
    <w:rsid w:val="00C471BC"/>
    <w:rsid w:val="00C475CE"/>
    <w:rsid w:val="00C47AEB"/>
    <w:rsid w:val="00C50334"/>
    <w:rsid w:val="00C506ED"/>
    <w:rsid w:val="00C50C53"/>
    <w:rsid w:val="00C51713"/>
    <w:rsid w:val="00C52A74"/>
    <w:rsid w:val="00C531DE"/>
    <w:rsid w:val="00C54370"/>
    <w:rsid w:val="00C55590"/>
    <w:rsid w:val="00C55BA4"/>
    <w:rsid w:val="00C56449"/>
    <w:rsid w:val="00C56A0C"/>
    <w:rsid w:val="00C570AC"/>
    <w:rsid w:val="00C571C8"/>
    <w:rsid w:val="00C572B1"/>
    <w:rsid w:val="00C57643"/>
    <w:rsid w:val="00C57F5B"/>
    <w:rsid w:val="00C60C24"/>
    <w:rsid w:val="00C617A9"/>
    <w:rsid w:val="00C61E37"/>
    <w:rsid w:val="00C62381"/>
    <w:rsid w:val="00C62912"/>
    <w:rsid w:val="00C6309B"/>
    <w:rsid w:val="00C64653"/>
    <w:rsid w:val="00C65666"/>
    <w:rsid w:val="00C6577E"/>
    <w:rsid w:val="00C65830"/>
    <w:rsid w:val="00C6589B"/>
    <w:rsid w:val="00C6598D"/>
    <w:rsid w:val="00C65A22"/>
    <w:rsid w:val="00C660A4"/>
    <w:rsid w:val="00C66386"/>
    <w:rsid w:val="00C66F0D"/>
    <w:rsid w:val="00C66F97"/>
    <w:rsid w:val="00C67053"/>
    <w:rsid w:val="00C671D5"/>
    <w:rsid w:val="00C67729"/>
    <w:rsid w:val="00C67952"/>
    <w:rsid w:val="00C67D94"/>
    <w:rsid w:val="00C703F8"/>
    <w:rsid w:val="00C70B93"/>
    <w:rsid w:val="00C70BD8"/>
    <w:rsid w:val="00C71ABF"/>
    <w:rsid w:val="00C726C7"/>
    <w:rsid w:val="00C72970"/>
    <w:rsid w:val="00C730D7"/>
    <w:rsid w:val="00C73219"/>
    <w:rsid w:val="00C7339B"/>
    <w:rsid w:val="00C736DC"/>
    <w:rsid w:val="00C7569D"/>
    <w:rsid w:val="00C76046"/>
    <w:rsid w:val="00C76923"/>
    <w:rsid w:val="00C80C11"/>
    <w:rsid w:val="00C80CFE"/>
    <w:rsid w:val="00C81135"/>
    <w:rsid w:val="00C811BD"/>
    <w:rsid w:val="00C817FD"/>
    <w:rsid w:val="00C829C6"/>
    <w:rsid w:val="00C82FBD"/>
    <w:rsid w:val="00C8333A"/>
    <w:rsid w:val="00C8373E"/>
    <w:rsid w:val="00C838BC"/>
    <w:rsid w:val="00C8483D"/>
    <w:rsid w:val="00C84E9C"/>
    <w:rsid w:val="00C856F8"/>
    <w:rsid w:val="00C858D3"/>
    <w:rsid w:val="00C85C02"/>
    <w:rsid w:val="00C85CA1"/>
    <w:rsid w:val="00C86C69"/>
    <w:rsid w:val="00C86D3E"/>
    <w:rsid w:val="00C87162"/>
    <w:rsid w:val="00C8730C"/>
    <w:rsid w:val="00C9015D"/>
    <w:rsid w:val="00C905EC"/>
    <w:rsid w:val="00C906D7"/>
    <w:rsid w:val="00C91938"/>
    <w:rsid w:val="00C919E3"/>
    <w:rsid w:val="00C91B9F"/>
    <w:rsid w:val="00C91DEE"/>
    <w:rsid w:val="00C9240A"/>
    <w:rsid w:val="00C93803"/>
    <w:rsid w:val="00C93E14"/>
    <w:rsid w:val="00C94014"/>
    <w:rsid w:val="00C941D4"/>
    <w:rsid w:val="00C9424F"/>
    <w:rsid w:val="00C96245"/>
    <w:rsid w:val="00C967D4"/>
    <w:rsid w:val="00C97164"/>
    <w:rsid w:val="00C97324"/>
    <w:rsid w:val="00C97587"/>
    <w:rsid w:val="00C9775B"/>
    <w:rsid w:val="00C97ABF"/>
    <w:rsid w:val="00C97B1D"/>
    <w:rsid w:val="00CA0544"/>
    <w:rsid w:val="00CA0D24"/>
    <w:rsid w:val="00CA1487"/>
    <w:rsid w:val="00CA1611"/>
    <w:rsid w:val="00CA1B6E"/>
    <w:rsid w:val="00CA1C14"/>
    <w:rsid w:val="00CA3460"/>
    <w:rsid w:val="00CA3C1F"/>
    <w:rsid w:val="00CA3CB1"/>
    <w:rsid w:val="00CA463A"/>
    <w:rsid w:val="00CA4824"/>
    <w:rsid w:val="00CA57FF"/>
    <w:rsid w:val="00CA6FA6"/>
    <w:rsid w:val="00CA7351"/>
    <w:rsid w:val="00CB1042"/>
    <w:rsid w:val="00CB11B2"/>
    <w:rsid w:val="00CB2F63"/>
    <w:rsid w:val="00CB3E90"/>
    <w:rsid w:val="00CB41E7"/>
    <w:rsid w:val="00CB45EE"/>
    <w:rsid w:val="00CB499C"/>
    <w:rsid w:val="00CB4D3D"/>
    <w:rsid w:val="00CB5045"/>
    <w:rsid w:val="00CB509F"/>
    <w:rsid w:val="00CB5C1C"/>
    <w:rsid w:val="00CB6637"/>
    <w:rsid w:val="00CB6745"/>
    <w:rsid w:val="00CB719F"/>
    <w:rsid w:val="00CB77B0"/>
    <w:rsid w:val="00CB7954"/>
    <w:rsid w:val="00CC2050"/>
    <w:rsid w:val="00CC278F"/>
    <w:rsid w:val="00CC2AE3"/>
    <w:rsid w:val="00CC36AC"/>
    <w:rsid w:val="00CC49F8"/>
    <w:rsid w:val="00CC4E66"/>
    <w:rsid w:val="00CC4FFE"/>
    <w:rsid w:val="00CC5108"/>
    <w:rsid w:val="00CC51A0"/>
    <w:rsid w:val="00CC73E3"/>
    <w:rsid w:val="00CC7646"/>
    <w:rsid w:val="00CC7D87"/>
    <w:rsid w:val="00CC7DBC"/>
    <w:rsid w:val="00CC7F32"/>
    <w:rsid w:val="00CD08CC"/>
    <w:rsid w:val="00CD0AE4"/>
    <w:rsid w:val="00CD0B11"/>
    <w:rsid w:val="00CD0D95"/>
    <w:rsid w:val="00CD0FE2"/>
    <w:rsid w:val="00CD127E"/>
    <w:rsid w:val="00CD17D3"/>
    <w:rsid w:val="00CD38F2"/>
    <w:rsid w:val="00CD3DA4"/>
    <w:rsid w:val="00CD416E"/>
    <w:rsid w:val="00CD444E"/>
    <w:rsid w:val="00CD6591"/>
    <w:rsid w:val="00CD6890"/>
    <w:rsid w:val="00CD68ED"/>
    <w:rsid w:val="00CD770A"/>
    <w:rsid w:val="00CE00BB"/>
    <w:rsid w:val="00CE0707"/>
    <w:rsid w:val="00CE08E6"/>
    <w:rsid w:val="00CE0B6C"/>
    <w:rsid w:val="00CE0C8D"/>
    <w:rsid w:val="00CE0E39"/>
    <w:rsid w:val="00CE0E3A"/>
    <w:rsid w:val="00CE1DBD"/>
    <w:rsid w:val="00CE2EAC"/>
    <w:rsid w:val="00CE2F42"/>
    <w:rsid w:val="00CE3062"/>
    <w:rsid w:val="00CE4124"/>
    <w:rsid w:val="00CE4561"/>
    <w:rsid w:val="00CE473B"/>
    <w:rsid w:val="00CE4B71"/>
    <w:rsid w:val="00CE566D"/>
    <w:rsid w:val="00CE5671"/>
    <w:rsid w:val="00CE57C9"/>
    <w:rsid w:val="00CE58A2"/>
    <w:rsid w:val="00CE6219"/>
    <w:rsid w:val="00CE6243"/>
    <w:rsid w:val="00CE7500"/>
    <w:rsid w:val="00CE7784"/>
    <w:rsid w:val="00CE7E7F"/>
    <w:rsid w:val="00CF0195"/>
    <w:rsid w:val="00CF105C"/>
    <w:rsid w:val="00CF1371"/>
    <w:rsid w:val="00CF1A18"/>
    <w:rsid w:val="00CF233F"/>
    <w:rsid w:val="00CF2C38"/>
    <w:rsid w:val="00CF2D0C"/>
    <w:rsid w:val="00CF3359"/>
    <w:rsid w:val="00CF3722"/>
    <w:rsid w:val="00CF37E6"/>
    <w:rsid w:val="00CF3C3D"/>
    <w:rsid w:val="00CF44D7"/>
    <w:rsid w:val="00CF6794"/>
    <w:rsid w:val="00CF6973"/>
    <w:rsid w:val="00CF7042"/>
    <w:rsid w:val="00CF7099"/>
    <w:rsid w:val="00CF78CD"/>
    <w:rsid w:val="00CF7EF2"/>
    <w:rsid w:val="00D00C18"/>
    <w:rsid w:val="00D0167A"/>
    <w:rsid w:val="00D02B19"/>
    <w:rsid w:val="00D02B39"/>
    <w:rsid w:val="00D0305D"/>
    <w:rsid w:val="00D03272"/>
    <w:rsid w:val="00D03393"/>
    <w:rsid w:val="00D042BA"/>
    <w:rsid w:val="00D043A9"/>
    <w:rsid w:val="00D048E1"/>
    <w:rsid w:val="00D050B8"/>
    <w:rsid w:val="00D055DA"/>
    <w:rsid w:val="00D05751"/>
    <w:rsid w:val="00D06F4A"/>
    <w:rsid w:val="00D0718B"/>
    <w:rsid w:val="00D107D7"/>
    <w:rsid w:val="00D11033"/>
    <w:rsid w:val="00D12589"/>
    <w:rsid w:val="00D12942"/>
    <w:rsid w:val="00D12FDE"/>
    <w:rsid w:val="00D1313E"/>
    <w:rsid w:val="00D13A8E"/>
    <w:rsid w:val="00D14737"/>
    <w:rsid w:val="00D1509D"/>
    <w:rsid w:val="00D171C1"/>
    <w:rsid w:val="00D17A79"/>
    <w:rsid w:val="00D17B94"/>
    <w:rsid w:val="00D202A8"/>
    <w:rsid w:val="00D206A9"/>
    <w:rsid w:val="00D209D0"/>
    <w:rsid w:val="00D20DD7"/>
    <w:rsid w:val="00D21044"/>
    <w:rsid w:val="00D2125F"/>
    <w:rsid w:val="00D2158B"/>
    <w:rsid w:val="00D21950"/>
    <w:rsid w:val="00D21C58"/>
    <w:rsid w:val="00D225D7"/>
    <w:rsid w:val="00D225E6"/>
    <w:rsid w:val="00D23A43"/>
    <w:rsid w:val="00D23CE1"/>
    <w:rsid w:val="00D23CE5"/>
    <w:rsid w:val="00D23F88"/>
    <w:rsid w:val="00D244A8"/>
    <w:rsid w:val="00D244C6"/>
    <w:rsid w:val="00D24ABC"/>
    <w:rsid w:val="00D24BA1"/>
    <w:rsid w:val="00D24D7A"/>
    <w:rsid w:val="00D25356"/>
    <w:rsid w:val="00D25584"/>
    <w:rsid w:val="00D25A43"/>
    <w:rsid w:val="00D25D77"/>
    <w:rsid w:val="00D26EEA"/>
    <w:rsid w:val="00D27914"/>
    <w:rsid w:val="00D306F7"/>
    <w:rsid w:val="00D329FC"/>
    <w:rsid w:val="00D3388B"/>
    <w:rsid w:val="00D35494"/>
    <w:rsid w:val="00D36031"/>
    <w:rsid w:val="00D36400"/>
    <w:rsid w:val="00D37590"/>
    <w:rsid w:val="00D37A94"/>
    <w:rsid w:val="00D37F53"/>
    <w:rsid w:val="00D37F94"/>
    <w:rsid w:val="00D40CCE"/>
    <w:rsid w:val="00D40D3A"/>
    <w:rsid w:val="00D4164E"/>
    <w:rsid w:val="00D41740"/>
    <w:rsid w:val="00D41CC5"/>
    <w:rsid w:val="00D4301A"/>
    <w:rsid w:val="00D432C5"/>
    <w:rsid w:val="00D43511"/>
    <w:rsid w:val="00D436A3"/>
    <w:rsid w:val="00D44989"/>
    <w:rsid w:val="00D449F9"/>
    <w:rsid w:val="00D456B8"/>
    <w:rsid w:val="00D4611A"/>
    <w:rsid w:val="00D4677C"/>
    <w:rsid w:val="00D4705A"/>
    <w:rsid w:val="00D47222"/>
    <w:rsid w:val="00D4743E"/>
    <w:rsid w:val="00D474BD"/>
    <w:rsid w:val="00D47D10"/>
    <w:rsid w:val="00D47DDF"/>
    <w:rsid w:val="00D50D49"/>
    <w:rsid w:val="00D5129F"/>
    <w:rsid w:val="00D51411"/>
    <w:rsid w:val="00D51A40"/>
    <w:rsid w:val="00D52087"/>
    <w:rsid w:val="00D53F4D"/>
    <w:rsid w:val="00D540DE"/>
    <w:rsid w:val="00D54116"/>
    <w:rsid w:val="00D54557"/>
    <w:rsid w:val="00D54F4C"/>
    <w:rsid w:val="00D55481"/>
    <w:rsid w:val="00D56BD1"/>
    <w:rsid w:val="00D57069"/>
    <w:rsid w:val="00D5791C"/>
    <w:rsid w:val="00D57A83"/>
    <w:rsid w:val="00D57A92"/>
    <w:rsid w:val="00D603D2"/>
    <w:rsid w:val="00D61940"/>
    <w:rsid w:val="00D627D4"/>
    <w:rsid w:val="00D6325B"/>
    <w:rsid w:val="00D63467"/>
    <w:rsid w:val="00D63629"/>
    <w:rsid w:val="00D643B3"/>
    <w:rsid w:val="00D64A45"/>
    <w:rsid w:val="00D64E33"/>
    <w:rsid w:val="00D652FA"/>
    <w:rsid w:val="00D65445"/>
    <w:rsid w:val="00D65957"/>
    <w:rsid w:val="00D65B57"/>
    <w:rsid w:val="00D66BBC"/>
    <w:rsid w:val="00D66D13"/>
    <w:rsid w:val="00D670D0"/>
    <w:rsid w:val="00D70436"/>
    <w:rsid w:val="00D706A6"/>
    <w:rsid w:val="00D7077A"/>
    <w:rsid w:val="00D70D9F"/>
    <w:rsid w:val="00D71A8F"/>
    <w:rsid w:val="00D72661"/>
    <w:rsid w:val="00D72EF8"/>
    <w:rsid w:val="00D734B4"/>
    <w:rsid w:val="00D736B5"/>
    <w:rsid w:val="00D738D1"/>
    <w:rsid w:val="00D7456B"/>
    <w:rsid w:val="00D75A8A"/>
    <w:rsid w:val="00D77429"/>
    <w:rsid w:val="00D77B02"/>
    <w:rsid w:val="00D80093"/>
    <w:rsid w:val="00D8040F"/>
    <w:rsid w:val="00D806C1"/>
    <w:rsid w:val="00D816BE"/>
    <w:rsid w:val="00D8179D"/>
    <w:rsid w:val="00D8253A"/>
    <w:rsid w:val="00D827DB"/>
    <w:rsid w:val="00D83087"/>
    <w:rsid w:val="00D8313A"/>
    <w:rsid w:val="00D832B2"/>
    <w:rsid w:val="00D8370C"/>
    <w:rsid w:val="00D83EF4"/>
    <w:rsid w:val="00D84665"/>
    <w:rsid w:val="00D854AA"/>
    <w:rsid w:val="00D86D52"/>
    <w:rsid w:val="00D873C6"/>
    <w:rsid w:val="00D87510"/>
    <w:rsid w:val="00D8795C"/>
    <w:rsid w:val="00D87A1F"/>
    <w:rsid w:val="00D90226"/>
    <w:rsid w:val="00D904F9"/>
    <w:rsid w:val="00D919AE"/>
    <w:rsid w:val="00D91F6D"/>
    <w:rsid w:val="00D92DFF"/>
    <w:rsid w:val="00D93498"/>
    <w:rsid w:val="00D941FB"/>
    <w:rsid w:val="00D942FE"/>
    <w:rsid w:val="00D94585"/>
    <w:rsid w:val="00D96319"/>
    <w:rsid w:val="00D97F6A"/>
    <w:rsid w:val="00DA14C1"/>
    <w:rsid w:val="00DA18FC"/>
    <w:rsid w:val="00DA1CE4"/>
    <w:rsid w:val="00DA3EF0"/>
    <w:rsid w:val="00DA4055"/>
    <w:rsid w:val="00DA439B"/>
    <w:rsid w:val="00DA4457"/>
    <w:rsid w:val="00DA49FC"/>
    <w:rsid w:val="00DA4CD2"/>
    <w:rsid w:val="00DA4DE3"/>
    <w:rsid w:val="00DA4E0A"/>
    <w:rsid w:val="00DA54E2"/>
    <w:rsid w:val="00DA6DF4"/>
    <w:rsid w:val="00DA735D"/>
    <w:rsid w:val="00DB0868"/>
    <w:rsid w:val="00DB0C8D"/>
    <w:rsid w:val="00DB174A"/>
    <w:rsid w:val="00DB220B"/>
    <w:rsid w:val="00DB289C"/>
    <w:rsid w:val="00DB3741"/>
    <w:rsid w:val="00DB37C6"/>
    <w:rsid w:val="00DB3B8B"/>
    <w:rsid w:val="00DB3CC3"/>
    <w:rsid w:val="00DB3E14"/>
    <w:rsid w:val="00DB4FC0"/>
    <w:rsid w:val="00DB50E2"/>
    <w:rsid w:val="00DB5894"/>
    <w:rsid w:val="00DB5AC5"/>
    <w:rsid w:val="00DB5DA6"/>
    <w:rsid w:val="00DB629A"/>
    <w:rsid w:val="00DB7953"/>
    <w:rsid w:val="00DB797D"/>
    <w:rsid w:val="00DB7A52"/>
    <w:rsid w:val="00DC02FE"/>
    <w:rsid w:val="00DC07D2"/>
    <w:rsid w:val="00DC13F2"/>
    <w:rsid w:val="00DC166F"/>
    <w:rsid w:val="00DC1854"/>
    <w:rsid w:val="00DC259F"/>
    <w:rsid w:val="00DC2A03"/>
    <w:rsid w:val="00DC2B68"/>
    <w:rsid w:val="00DC2F18"/>
    <w:rsid w:val="00DC3527"/>
    <w:rsid w:val="00DC3828"/>
    <w:rsid w:val="00DC461D"/>
    <w:rsid w:val="00DC4CA6"/>
    <w:rsid w:val="00DC5166"/>
    <w:rsid w:val="00DC61BB"/>
    <w:rsid w:val="00DC630F"/>
    <w:rsid w:val="00DC643B"/>
    <w:rsid w:val="00DC64AD"/>
    <w:rsid w:val="00DC6C33"/>
    <w:rsid w:val="00DC71C4"/>
    <w:rsid w:val="00DD023A"/>
    <w:rsid w:val="00DD03C7"/>
    <w:rsid w:val="00DD0406"/>
    <w:rsid w:val="00DD07F3"/>
    <w:rsid w:val="00DD11F0"/>
    <w:rsid w:val="00DD1B54"/>
    <w:rsid w:val="00DD1EAC"/>
    <w:rsid w:val="00DD2313"/>
    <w:rsid w:val="00DD40AE"/>
    <w:rsid w:val="00DD518C"/>
    <w:rsid w:val="00DD51A4"/>
    <w:rsid w:val="00DD628F"/>
    <w:rsid w:val="00DD6C22"/>
    <w:rsid w:val="00DE07B1"/>
    <w:rsid w:val="00DE15B6"/>
    <w:rsid w:val="00DE2369"/>
    <w:rsid w:val="00DE2440"/>
    <w:rsid w:val="00DE277E"/>
    <w:rsid w:val="00DE2DDB"/>
    <w:rsid w:val="00DE37FE"/>
    <w:rsid w:val="00DE381A"/>
    <w:rsid w:val="00DE393F"/>
    <w:rsid w:val="00DE426A"/>
    <w:rsid w:val="00DE569C"/>
    <w:rsid w:val="00DE619E"/>
    <w:rsid w:val="00DE6DD2"/>
    <w:rsid w:val="00DE740F"/>
    <w:rsid w:val="00DE78A5"/>
    <w:rsid w:val="00DE7C68"/>
    <w:rsid w:val="00DE7DAC"/>
    <w:rsid w:val="00DF02E0"/>
    <w:rsid w:val="00DF14B9"/>
    <w:rsid w:val="00DF1659"/>
    <w:rsid w:val="00DF20B3"/>
    <w:rsid w:val="00DF236E"/>
    <w:rsid w:val="00DF2486"/>
    <w:rsid w:val="00DF2D13"/>
    <w:rsid w:val="00DF317F"/>
    <w:rsid w:val="00DF331E"/>
    <w:rsid w:val="00DF337E"/>
    <w:rsid w:val="00DF3472"/>
    <w:rsid w:val="00DF397D"/>
    <w:rsid w:val="00DF3B5B"/>
    <w:rsid w:val="00DF42A7"/>
    <w:rsid w:val="00DF5180"/>
    <w:rsid w:val="00DF5502"/>
    <w:rsid w:val="00DF5610"/>
    <w:rsid w:val="00DF59AD"/>
    <w:rsid w:val="00DF623A"/>
    <w:rsid w:val="00DF64D7"/>
    <w:rsid w:val="00DF651B"/>
    <w:rsid w:val="00DF6A19"/>
    <w:rsid w:val="00DF7257"/>
    <w:rsid w:val="00DF7701"/>
    <w:rsid w:val="00E0136F"/>
    <w:rsid w:val="00E0178E"/>
    <w:rsid w:val="00E02329"/>
    <w:rsid w:val="00E02424"/>
    <w:rsid w:val="00E02B8D"/>
    <w:rsid w:val="00E02CFC"/>
    <w:rsid w:val="00E036C4"/>
    <w:rsid w:val="00E03FEF"/>
    <w:rsid w:val="00E042FE"/>
    <w:rsid w:val="00E04766"/>
    <w:rsid w:val="00E05E91"/>
    <w:rsid w:val="00E10243"/>
    <w:rsid w:val="00E102D4"/>
    <w:rsid w:val="00E10D16"/>
    <w:rsid w:val="00E11709"/>
    <w:rsid w:val="00E11916"/>
    <w:rsid w:val="00E11D65"/>
    <w:rsid w:val="00E12221"/>
    <w:rsid w:val="00E12D1E"/>
    <w:rsid w:val="00E13F13"/>
    <w:rsid w:val="00E1406B"/>
    <w:rsid w:val="00E141AB"/>
    <w:rsid w:val="00E14233"/>
    <w:rsid w:val="00E14510"/>
    <w:rsid w:val="00E14726"/>
    <w:rsid w:val="00E14DC8"/>
    <w:rsid w:val="00E15D28"/>
    <w:rsid w:val="00E167D7"/>
    <w:rsid w:val="00E16A3B"/>
    <w:rsid w:val="00E16B64"/>
    <w:rsid w:val="00E16CBF"/>
    <w:rsid w:val="00E174AC"/>
    <w:rsid w:val="00E17622"/>
    <w:rsid w:val="00E20E60"/>
    <w:rsid w:val="00E2114F"/>
    <w:rsid w:val="00E21753"/>
    <w:rsid w:val="00E21CDA"/>
    <w:rsid w:val="00E223A6"/>
    <w:rsid w:val="00E223BA"/>
    <w:rsid w:val="00E2260A"/>
    <w:rsid w:val="00E22C18"/>
    <w:rsid w:val="00E22FEC"/>
    <w:rsid w:val="00E23253"/>
    <w:rsid w:val="00E232CC"/>
    <w:rsid w:val="00E23B9C"/>
    <w:rsid w:val="00E24B61"/>
    <w:rsid w:val="00E30BB1"/>
    <w:rsid w:val="00E31AC6"/>
    <w:rsid w:val="00E31C3F"/>
    <w:rsid w:val="00E32A4F"/>
    <w:rsid w:val="00E330BD"/>
    <w:rsid w:val="00E3322F"/>
    <w:rsid w:val="00E33C80"/>
    <w:rsid w:val="00E34151"/>
    <w:rsid w:val="00E34B56"/>
    <w:rsid w:val="00E36887"/>
    <w:rsid w:val="00E37484"/>
    <w:rsid w:val="00E37624"/>
    <w:rsid w:val="00E377D2"/>
    <w:rsid w:val="00E3794A"/>
    <w:rsid w:val="00E400A9"/>
    <w:rsid w:val="00E4031F"/>
    <w:rsid w:val="00E40819"/>
    <w:rsid w:val="00E41C61"/>
    <w:rsid w:val="00E41E5F"/>
    <w:rsid w:val="00E41E61"/>
    <w:rsid w:val="00E41F18"/>
    <w:rsid w:val="00E435D2"/>
    <w:rsid w:val="00E44CC9"/>
    <w:rsid w:val="00E44E26"/>
    <w:rsid w:val="00E454C8"/>
    <w:rsid w:val="00E463A0"/>
    <w:rsid w:val="00E464A7"/>
    <w:rsid w:val="00E471DA"/>
    <w:rsid w:val="00E475B0"/>
    <w:rsid w:val="00E47DFA"/>
    <w:rsid w:val="00E47EDE"/>
    <w:rsid w:val="00E51350"/>
    <w:rsid w:val="00E539E3"/>
    <w:rsid w:val="00E545E5"/>
    <w:rsid w:val="00E54BBB"/>
    <w:rsid w:val="00E55562"/>
    <w:rsid w:val="00E55AB6"/>
    <w:rsid w:val="00E55F2C"/>
    <w:rsid w:val="00E56276"/>
    <w:rsid w:val="00E566A3"/>
    <w:rsid w:val="00E56FD5"/>
    <w:rsid w:val="00E57570"/>
    <w:rsid w:val="00E6018B"/>
    <w:rsid w:val="00E6041D"/>
    <w:rsid w:val="00E60468"/>
    <w:rsid w:val="00E61956"/>
    <w:rsid w:val="00E6225D"/>
    <w:rsid w:val="00E639E2"/>
    <w:rsid w:val="00E647AB"/>
    <w:rsid w:val="00E64A32"/>
    <w:rsid w:val="00E65E49"/>
    <w:rsid w:val="00E66FEE"/>
    <w:rsid w:val="00E6768A"/>
    <w:rsid w:val="00E70000"/>
    <w:rsid w:val="00E70157"/>
    <w:rsid w:val="00E70651"/>
    <w:rsid w:val="00E725C2"/>
    <w:rsid w:val="00E7390C"/>
    <w:rsid w:val="00E7411F"/>
    <w:rsid w:val="00E74547"/>
    <w:rsid w:val="00E75648"/>
    <w:rsid w:val="00E75F55"/>
    <w:rsid w:val="00E76026"/>
    <w:rsid w:val="00E7649A"/>
    <w:rsid w:val="00E800BF"/>
    <w:rsid w:val="00E80B13"/>
    <w:rsid w:val="00E80EF2"/>
    <w:rsid w:val="00E8112B"/>
    <w:rsid w:val="00E8155E"/>
    <w:rsid w:val="00E815F9"/>
    <w:rsid w:val="00E81997"/>
    <w:rsid w:val="00E819DD"/>
    <w:rsid w:val="00E8285F"/>
    <w:rsid w:val="00E82CA3"/>
    <w:rsid w:val="00E82DED"/>
    <w:rsid w:val="00E8304D"/>
    <w:rsid w:val="00E830F5"/>
    <w:rsid w:val="00E84886"/>
    <w:rsid w:val="00E858BA"/>
    <w:rsid w:val="00E86021"/>
    <w:rsid w:val="00E863B5"/>
    <w:rsid w:val="00E8661A"/>
    <w:rsid w:val="00E86BCF"/>
    <w:rsid w:val="00E86C5A"/>
    <w:rsid w:val="00E872BA"/>
    <w:rsid w:val="00E873F9"/>
    <w:rsid w:val="00E87494"/>
    <w:rsid w:val="00E877D3"/>
    <w:rsid w:val="00E87E68"/>
    <w:rsid w:val="00E907C0"/>
    <w:rsid w:val="00E90AE4"/>
    <w:rsid w:val="00E90BD5"/>
    <w:rsid w:val="00E91FEB"/>
    <w:rsid w:val="00E92DC4"/>
    <w:rsid w:val="00E92E1A"/>
    <w:rsid w:val="00E92F88"/>
    <w:rsid w:val="00E93C89"/>
    <w:rsid w:val="00E951A3"/>
    <w:rsid w:val="00E9545E"/>
    <w:rsid w:val="00E95ACA"/>
    <w:rsid w:val="00E95E08"/>
    <w:rsid w:val="00E96117"/>
    <w:rsid w:val="00E9692D"/>
    <w:rsid w:val="00E96DFA"/>
    <w:rsid w:val="00E96EE7"/>
    <w:rsid w:val="00E97932"/>
    <w:rsid w:val="00E97CB8"/>
    <w:rsid w:val="00EA0193"/>
    <w:rsid w:val="00EA136C"/>
    <w:rsid w:val="00EA145F"/>
    <w:rsid w:val="00EA17BF"/>
    <w:rsid w:val="00EA1F40"/>
    <w:rsid w:val="00EA2157"/>
    <w:rsid w:val="00EA2251"/>
    <w:rsid w:val="00EA23F7"/>
    <w:rsid w:val="00EA2DB5"/>
    <w:rsid w:val="00EA2F51"/>
    <w:rsid w:val="00EA36D5"/>
    <w:rsid w:val="00EA3F74"/>
    <w:rsid w:val="00EA410C"/>
    <w:rsid w:val="00EA434D"/>
    <w:rsid w:val="00EA4E60"/>
    <w:rsid w:val="00EA5563"/>
    <w:rsid w:val="00EA6117"/>
    <w:rsid w:val="00EA615C"/>
    <w:rsid w:val="00EA7051"/>
    <w:rsid w:val="00EA74D0"/>
    <w:rsid w:val="00EA76A0"/>
    <w:rsid w:val="00EA784C"/>
    <w:rsid w:val="00EB026B"/>
    <w:rsid w:val="00EB0D90"/>
    <w:rsid w:val="00EB1267"/>
    <w:rsid w:val="00EB138E"/>
    <w:rsid w:val="00EB19C7"/>
    <w:rsid w:val="00EB1B01"/>
    <w:rsid w:val="00EB1FE0"/>
    <w:rsid w:val="00EB20D6"/>
    <w:rsid w:val="00EB227C"/>
    <w:rsid w:val="00EB25EC"/>
    <w:rsid w:val="00EB26EA"/>
    <w:rsid w:val="00EB2849"/>
    <w:rsid w:val="00EB2B42"/>
    <w:rsid w:val="00EB38D2"/>
    <w:rsid w:val="00EB432B"/>
    <w:rsid w:val="00EB434E"/>
    <w:rsid w:val="00EB48AD"/>
    <w:rsid w:val="00EB4ED5"/>
    <w:rsid w:val="00EB6205"/>
    <w:rsid w:val="00EB64D6"/>
    <w:rsid w:val="00EB68AC"/>
    <w:rsid w:val="00EB6D21"/>
    <w:rsid w:val="00EB70AD"/>
    <w:rsid w:val="00EB766B"/>
    <w:rsid w:val="00EC040A"/>
    <w:rsid w:val="00EC077B"/>
    <w:rsid w:val="00EC1649"/>
    <w:rsid w:val="00EC1B18"/>
    <w:rsid w:val="00EC2328"/>
    <w:rsid w:val="00EC2725"/>
    <w:rsid w:val="00EC27EA"/>
    <w:rsid w:val="00EC2DD5"/>
    <w:rsid w:val="00EC36A6"/>
    <w:rsid w:val="00EC3F2F"/>
    <w:rsid w:val="00EC3F92"/>
    <w:rsid w:val="00EC4701"/>
    <w:rsid w:val="00EC492A"/>
    <w:rsid w:val="00EC499A"/>
    <w:rsid w:val="00EC4E65"/>
    <w:rsid w:val="00EC5CBB"/>
    <w:rsid w:val="00EC6AF8"/>
    <w:rsid w:val="00EC731B"/>
    <w:rsid w:val="00EC754D"/>
    <w:rsid w:val="00ED0CF8"/>
    <w:rsid w:val="00ED0DCE"/>
    <w:rsid w:val="00ED1682"/>
    <w:rsid w:val="00ED1B19"/>
    <w:rsid w:val="00ED2F67"/>
    <w:rsid w:val="00ED3578"/>
    <w:rsid w:val="00ED3A45"/>
    <w:rsid w:val="00ED4386"/>
    <w:rsid w:val="00ED43C2"/>
    <w:rsid w:val="00ED4F1B"/>
    <w:rsid w:val="00ED5628"/>
    <w:rsid w:val="00ED591E"/>
    <w:rsid w:val="00ED6173"/>
    <w:rsid w:val="00ED64F3"/>
    <w:rsid w:val="00ED6EC2"/>
    <w:rsid w:val="00ED79A9"/>
    <w:rsid w:val="00ED7A10"/>
    <w:rsid w:val="00ED7DDB"/>
    <w:rsid w:val="00EE0447"/>
    <w:rsid w:val="00EE049A"/>
    <w:rsid w:val="00EE05EF"/>
    <w:rsid w:val="00EE1563"/>
    <w:rsid w:val="00EE26D1"/>
    <w:rsid w:val="00EE2BD5"/>
    <w:rsid w:val="00EE2ECE"/>
    <w:rsid w:val="00EE3DB9"/>
    <w:rsid w:val="00EE3FE1"/>
    <w:rsid w:val="00EE42EC"/>
    <w:rsid w:val="00EE43DE"/>
    <w:rsid w:val="00EE447B"/>
    <w:rsid w:val="00EE498D"/>
    <w:rsid w:val="00EE52D8"/>
    <w:rsid w:val="00EE5A18"/>
    <w:rsid w:val="00EE7378"/>
    <w:rsid w:val="00EF089A"/>
    <w:rsid w:val="00EF1AF1"/>
    <w:rsid w:val="00EF24A0"/>
    <w:rsid w:val="00EF3222"/>
    <w:rsid w:val="00EF3521"/>
    <w:rsid w:val="00EF36DE"/>
    <w:rsid w:val="00EF3EA4"/>
    <w:rsid w:val="00EF4A53"/>
    <w:rsid w:val="00EF5050"/>
    <w:rsid w:val="00EF5A8F"/>
    <w:rsid w:val="00EF6049"/>
    <w:rsid w:val="00EF6178"/>
    <w:rsid w:val="00EF6BD9"/>
    <w:rsid w:val="00EF6DD4"/>
    <w:rsid w:val="00EF6EB5"/>
    <w:rsid w:val="00EF7628"/>
    <w:rsid w:val="00F0077E"/>
    <w:rsid w:val="00F00D85"/>
    <w:rsid w:val="00F0167F"/>
    <w:rsid w:val="00F01D2C"/>
    <w:rsid w:val="00F01D4C"/>
    <w:rsid w:val="00F02445"/>
    <w:rsid w:val="00F03030"/>
    <w:rsid w:val="00F030B1"/>
    <w:rsid w:val="00F03468"/>
    <w:rsid w:val="00F041A4"/>
    <w:rsid w:val="00F045E7"/>
    <w:rsid w:val="00F050BF"/>
    <w:rsid w:val="00F063EE"/>
    <w:rsid w:val="00F06487"/>
    <w:rsid w:val="00F07541"/>
    <w:rsid w:val="00F079DA"/>
    <w:rsid w:val="00F10B71"/>
    <w:rsid w:val="00F1202C"/>
    <w:rsid w:val="00F12713"/>
    <w:rsid w:val="00F1289D"/>
    <w:rsid w:val="00F12A82"/>
    <w:rsid w:val="00F12EA0"/>
    <w:rsid w:val="00F13CEB"/>
    <w:rsid w:val="00F147A9"/>
    <w:rsid w:val="00F166B7"/>
    <w:rsid w:val="00F1672A"/>
    <w:rsid w:val="00F17656"/>
    <w:rsid w:val="00F17BA7"/>
    <w:rsid w:val="00F17C3E"/>
    <w:rsid w:val="00F20F94"/>
    <w:rsid w:val="00F223C4"/>
    <w:rsid w:val="00F22663"/>
    <w:rsid w:val="00F25312"/>
    <w:rsid w:val="00F25FD5"/>
    <w:rsid w:val="00F2751A"/>
    <w:rsid w:val="00F2753B"/>
    <w:rsid w:val="00F277E8"/>
    <w:rsid w:val="00F2781C"/>
    <w:rsid w:val="00F27825"/>
    <w:rsid w:val="00F27873"/>
    <w:rsid w:val="00F303EF"/>
    <w:rsid w:val="00F30DD3"/>
    <w:rsid w:val="00F31CD3"/>
    <w:rsid w:val="00F31D24"/>
    <w:rsid w:val="00F32596"/>
    <w:rsid w:val="00F32702"/>
    <w:rsid w:val="00F34D91"/>
    <w:rsid w:val="00F34FFC"/>
    <w:rsid w:val="00F3563A"/>
    <w:rsid w:val="00F35AE5"/>
    <w:rsid w:val="00F35D29"/>
    <w:rsid w:val="00F35D77"/>
    <w:rsid w:val="00F364E0"/>
    <w:rsid w:val="00F376E3"/>
    <w:rsid w:val="00F37C03"/>
    <w:rsid w:val="00F37E07"/>
    <w:rsid w:val="00F406A1"/>
    <w:rsid w:val="00F40CE5"/>
    <w:rsid w:val="00F41CEA"/>
    <w:rsid w:val="00F42416"/>
    <w:rsid w:val="00F42685"/>
    <w:rsid w:val="00F4290F"/>
    <w:rsid w:val="00F43D17"/>
    <w:rsid w:val="00F44894"/>
    <w:rsid w:val="00F45279"/>
    <w:rsid w:val="00F45336"/>
    <w:rsid w:val="00F4547D"/>
    <w:rsid w:val="00F45ACE"/>
    <w:rsid w:val="00F4647A"/>
    <w:rsid w:val="00F46D69"/>
    <w:rsid w:val="00F46DF8"/>
    <w:rsid w:val="00F474E1"/>
    <w:rsid w:val="00F47587"/>
    <w:rsid w:val="00F47F56"/>
    <w:rsid w:val="00F50B57"/>
    <w:rsid w:val="00F50BFF"/>
    <w:rsid w:val="00F50D34"/>
    <w:rsid w:val="00F51539"/>
    <w:rsid w:val="00F51A4C"/>
    <w:rsid w:val="00F5211E"/>
    <w:rsid w:val="00F52D51"/>
    <w:rsid w:val="00F53409"/>
    <w:rsid w:val="00F535AC"/>
    <w:rsid w:val="00F545F2"/>
    <w:rsid w:val="00F54877"/>
    <w:rsid w:val="00F5487C"/>
    <w:rsid w:val="00F5499B"/>
    <w:rsid w:val="00F54C6D"/>
    <w:rsid w:val="00F54D7B"/>
    <w:rsid w:val="00F556A3"/>
    <w:rsid w:val="00F55790"/>
    <w:rsid w:val="00F55D45"/>
    <w:rsid w:val="00F5765C"/>
    <w:rsid w:val="00F60258"/>
    <w:rsid w:val="00F6037E"/>
    <w:rsid w:val="00F60511"/>
    <w:rsid w:val="00F60551"/>
    <w:rsid w:val="00F60A53"/>
    <w:rsid w:val="00F60B65"/>
    <w:rsid w:val="00F60D52"/>
    <w:rsid w:val="00F60EA7"/>
    <w:rsid w:val="00F61768"/>
    <w:rsid w:val="00F61CBB"/>
    <w:rsid w:val="00F62396"/>
    <w:rsid w:val="00F63517"/>
    <w:rsid w:val="00F63802"/>
    <w:rsid w:val="00F63E1D"/>
    <w:rsid w:val="00F647E0"/>
    <w:rsid w:val="00F65383"/>
    <w:rsid w:val="00F66B1D"/>
    <w:rsid w:val="00F67186"/>
    <w:rsid w:val="00F67AB0"/>
    <w:rsid w:val="00F703CC"/>
    <w:rsid w:val="00F7094E"/>
    <w:rsid w:val="00F71A0A"/>
    <w:rsid w:val="00F720BC"/>
    <w:rsid w:val="00F72372"/>
    <w:rsid w:val="00F73437"/>
    <w:rsid w:val="00F7367F"/>
    <w:rsid w:val="00F746C5"/>
    <w:rsid w:val="00F75337"/>
    <w:rsid w:val="00F757AD"/>
    <w:rsid w:val="00F75DD6"/>
    <w:rsid w:val="00F75FD8"/>
    <w:rsid w:val="00F76238"/>
    <w:rsid w:val="00F769BB"/>
    <w:rsid w:val="00F77288"/>
    <w:rsid w:val="00F777AD"/>
    <w:rsid w:val="00F77DE4"/>
    <w:rsid w:val="00F80063"/>
    <w:rsid w:val="00F80186"/>
    <w:rsid w:val="00F80CBF"/>
    <w:rsid w:val="00F80E6B"/>
    <w:rsid w:val="00F82602"/>
    <w:rsid w:val="00F8282D"/>
    <w:rsid w:val="00F830DC"/>
    <w:rsid w:val="00F83110"/>
    <w:rsid w:val="00F83623"/>
    <w:rsid w:val="00F845B9"/>
    <w:rsid w:val="00F8485E"/>
    <w:rsid w:val="00F84D91"/>
    <w:rsid w:val="00F85053"/>
    <w:rsid w:val="00F850D9"/>
    <w:rsid w:val="00F8512A"/>
    <w:rsid w:val="00F86931"/>
    <w:rsid w:val="00F87948"/>
    <w:rsid w:val="00F901AE"/>
    <w:rsid w:val="00F910B3"/>
    <w:rsid w:val="00F91C12"/>
    <w:rsid w:val="00F91FCB"/>
    <w:rsid w:val="00F922BA"/>
    <w:rsid w:val="00F924AF"/>
    <w:rsid w:val="00F927D8"/>
    <w:rsid w:val="00F92A50"/>
    <w:rsid w:val="00F92BDD"/>
    <w:rsid w:val="00F93CD9"/>
    <w:rsid w:val="00F9447C"/>
    <w:rsid w:val="00F94C8F"/>
    <w:rsid w:val="00F952A1"/>
    <w:rsid w:val="00F95946"/>
    <w:rsid w:val="00F96C6F"/>
    <w:rsid w:val="00F97124"/>
    <w:rsid w:val="00F9797C"/>
    <w:rsid w:val="00FA0237"/>
    <w:rsid w:val="00FA102A"/>
    <w:rsid w:val="00FA32BD"/>
    <w:rsid w:val="00FA33C4"/>
    <w:rsid w:val="00FA3FBA"/>
    <w:rsid w:val="00FA4840"/>
    <w:rsid w:val="00FA4C41"/>
    <w:rsid w:val="00FA50D2"/>
    <w:rsid w:val="00FA589B"/>
    <w:rsid w:val="00FA592E"/>
    <w:rsid w:val="00FA59B6"/>
    <w:rsid w:val="00FA7BF0"/>
    <w:rsid w:val="00FB0988"/>
    <w:rsid w:val="00FB1551"/>
    <w:rsid w:val="00FB19E4"/>
    <w:rsid w:val="00FB1E67"/>
    <w:rsid w:val="00FB2786"/>
    <w:rsid w:val="00FB2D72"/>
    <w:rsid w:val="00FB302B"/>
    <w:rsid w:val="00FB39B5"/>
    <w:rsid w:val="00FB3D2A"/>
    <w:rsid w:val="00FB3D4B"/>
    <w:rsid w:val="00FB4592"/>
    <w:rsid w:val="00FB4ACF"/>
    <w:rsid w:val="00FB5BF3"/>
    <w:rsid w:val="00FB669C"/>
    <w:rsid w:val="00FB7413"/>
    <w:rsid w:val="00FC0F14"/>
    <w:rsid w:val="00FC1740"/>
    <w:rsid w:val="00FC19EF"/>
    <w:rsid w:val="00FC1AFB"/>
    <w:rsid w:val="00FC225F"/>
    <w:rsid w:val="00FC28A5"/>
    <w:rsid w:val="00FC3427"/>
    <w:rsid w:val="00FC3BA9"/>
    <w:rsid w:val="00FC4B80"/>
    <w:rsid w:val="00FC506B"/>
    <w:rsid w:val="00FC589A"/>
    <w:rsid w:val="00FC6233"/>
    <w:rsid w:val="00FC6413"/>
    <w:rsid w:val="00FC68F7"/>
    <w:rsid w:val="00FC76BF"/>
    <w:rsid w:val="00FD0444"/>
    <w:rsid w:val="00FD0591"/>
    <w:rsid w:val="00FD0B8C"/>
    <w:rsid w:val="00FD12DC"/>
    <w:rsid w:val="00FD157F"/>
    <w:rsid w:val="00FD1A75"/>
    <w:rsid w:val="00FD1CF1"/>
    <w:rsid w:val="00FD338F"/>
    <w:rsid w:val="00FD576D"/>
    <w:rsid w:val="00FD5A46"/>
    <w:rsid w:val="00FD60F6"/>
    <w:rsid w:val="00FD61A6"/>
    <w:rsid w:val="00FD640E"/>
    <w:rsid w:val="00FD6766"/>
    <w:rsid w:val="00FD721B"/>
    <w:rsid w:val="00FD78EC"/>
    <w:rsid w:val="00FD7EA6"/>
    <w:rsid w:val="00FE0168"/>
    <w:rsid w:val="00FE0503"/>
    <w:rsid w:val="00FE1189"/>
    <w:rsid w:val="00FE1592"/>
    <w:rsid w:val="00FE2D54"/>
    <w:rsid w:val="00FE311E"/>
    <w:rsid w:val="00FE32CD"/>
    <w:rsid w:val="00FE37D3"/>
    <w:rsid w:val="00FE3C93"/>
    <w:rsid w:val="00FE44E1"/>
    <w:rsid w:val="00FE4AFF"/>
    <w:rsid w:val="00FE718E"/>
    <w:rsid w:val="00FE7291"/>
    <w:rsid w:val="00FE7853"/>
    <w:rsid w:val="00FE7A79"/>
    <w:rsid w:val="00FE7D9F"/>
    <w:rsid w:val="00FF0938"/>
    <w:rsid w:val="00FF0ABE"/>
    <w:rsid w:val="00FF0C0C"/>
    <w:rsid w:val="00FF0F66"/>
    <w:rsid w:val="00FF1043"/>
    <w:rsid w:val="00FF1358"/>
    <w:rsid w:val="00FF1819"/>
    <w:rsid w:val="00FF1A6F"/>
    <w:rsid w:val="00FF2809"/>
    <w:rsid w:val="00FF29AA"/>
    <w:rsid w:val="00FF3187"/>
    <w:rsid w:val="00FF336C"/>
    <w:rsid w:val="00FF395A"/>
    <w:rsid w:val="00FF3D5E"/>
    <w:rsid w:val="00FF40D2"/>
    <w:rsid w:val="00FF4720"/>
    <w:rsid w:val="00FF4C3B"/>
    <w:rsid w:val="00FF5300"/>
    <w:rsid w:val="00FF596A"/>
    <w:rsid w:val="00FF6202"/>
    <w:rsid w:val="00FF76A3"/>
    <w:rsid w:val="00FF7BEE"/>
    <w:rsid w:val="00FF7E9B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0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2-nfasis1">
    <w:name w:val="Medium List 2 Accent 1"/>
    <w:basedOn w:val="Tablanormal"/>
    <w:uiPriority w:val="66"/>
    <w:rsid w:val="00A27EA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vistoso-nfasis1">
    <w:name w:val="Colorful Shading Accent 1"/>
    <w:basedOn w:val="Tablanormal"/>
    <w:uiPriority w:val="71"/>
    <w:rsid w:val="00A27EA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media2-nfasis5">
    <w:name w:val="Medium List 2 Accent 5"/>
    <w:basedOn w:val="Tablanormal"/>
    <w:uiPriority w:val="66"/>
    <w:rsid w:val="00A27EA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5">
    <w:name w:val="Medium List 1 Accent 5"/>
    <w:basedOn w:val="Tablanormal"/>
    <w:uiPriority w:val="65"/>
    <w:rsid w:val="00A27EA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ombreadomedio2-nfasis3">
    <w:name w:val="Medium Shading 2 Accent 3"/>
    <w:basedOn w:val="Tablanormal"/>
    <w:uiPriority w:val="64"/>
    <w:rsid w:val="00A27EA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A27EA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basedOn w:val="Tablanormal"/>
    <w:uiPriority w:val="64"/>
    <w:rsid w:val="00A27EA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A27EA8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1">
    <w:name w:val="Sombreado medio 11"/>
    <w:basedOn w:val="Tablanormal"/>
    <w:uiPriority w:val="63"/>
    <w:rsid w:val="00A27EA8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A27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79D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6608A0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independiente">
    <w:name w:val="Body Text"/>
    <w:basedOn w:val="Normal"/>
    <w:link w:val="TextoindependienteCar"/>
    <w:rsid w:val="003D55A4"/>
    <w:pPr>
      <w:jc w:val="both"/>
    </w:pPr>
    <w:rPr>
      <w:rFonts w:eastAsia="Times New Roman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D55A4"/>
    <w:rPr>
      <w:rFonts w:eastAsia="Times New Roman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F1B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F43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392"/>
  </w:style>
  <w:style w:type="paragraph" w:styleId="Piedepgina">
    <w:name w:val="footer"/>
    <w:basedOn w:val="Normal"/>
    <w:link w:val="PiedepginaCar"/>
    <w:uiPriority w:val="99"/>
    <w:unhideWhenUsed/>
    <w:rsid w:val="00AF43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392"/>
  </w:style>
  <w:style w:type="character" w:styleId="Refdecomentario">
    <w:name w:val="annotation reference"/>
    <w:basedOn w:val="Fuentedeprrafopredeter"/>
    <w:uiPriority w:val="99"/>
    <w:semiHidden/>
    <w:unhideWhenUsed/>
    <w:rsid w:val="00C11D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1D0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1D0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1D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1D0C"/>
    <w:rPr>
      <w:b/>
      <w:bCs/>
      <w:sz w:val="20"/>
      <w:szCs w:val="20"/>
    </w:rPr>
  </w:style>
  <w:style w:type="table" w:customStyle="1" w:styleId="Sombreadomedio1-nfasis11">
    <w:name w:val="Sombreado medio 1 - Énfasis 11"/>
    <w:basedOn w:val="Tablanormal"/>
    <w:uiPriority w:val="63"/>
    <w:rsid w:val="00225C3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aconcuadrcula">
    <w:name w:val="Table Grid"/>
    <w:basedOn w:val="Tablanormal"/>
    <w:uiPriority w:val="59"/>
    <w:rsid w:val="009E0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basedOn w:val="Tablanormal"/>
    <w:uiPriority w:val="61"/>
    <w:rsid w:val="00550C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ombreadomedio1-nfasis12">
    <w:name w:val="Sombreado medio 1 - Énfasis 12"/>
    <w:basedOn w:val="Tablanormal"/>
    <w:uiPriority w:val="63"/>
    <w:rsid w:val="00550CC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6672FD"/>
    <w:pPr>
      <w:autoSpaceDE w:val="0"/>
      <w:autoSpaceDN w:val="0"/>
      <w:adjustRightInd w:val="0"/>
    </w:pPr>
    <w:rPr>
      <w:rFonts w:cs="Arial"/>
      <w:color w:val="000000"/>
      <w:sz w:val="24"/>
      <w:szCs w:val="24"/>
      <w:lang w:val="es-G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71BF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1BF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71BF1"/>
    <w:rPr>
      <w:vertAlign w:val="superscript"/>
    </w:rPr>
  </w:style>
  <w:style w:type="paragraph" w:styleId="Sinespaciado">
    <w:name w:val="No Spacing"/>
    <w:uiPriority w:val="1"/>
    <w:qFormat/>
    <w:rsid w:val="00232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0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2-nfasis1">
    <w:name w:val="Medium List 2 Accent 1"/>
    <w:basedOn w:val="Tablanormal"/>
    <w:uiPriority w:val="66"/>
    <w:rsid w:val="00A27EA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vistoso-nfasis1">
    <w:name w:val="Colorful Shading Accent 1"/>
    <w:basedOn w:val="Tablanormal"/>
    <w:uiPriority w:val="71"/>
    <w:rsid w:val="00A27EA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media2-nfasis5">
    <w:name w:val="Medium List 2 Accent 5"/>
    <w:basedOn w:val="Tablanormal"/>
    <w:uiPriority w:val="66"/>
    <w:rsid w:val="00A27EA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5">
    <w:name w:val="Medium List 1 Accent 5"/>
    <w:basedOn w:val="Tablanormal"/>
    <w:uiPriority w:val="65"/>
    <w:rsid w:val="00A27EA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ombreadomedio2-nfasis3">
    <w:name w:val="Medium Shading 2 Accent 3"/>
    <w:basedOn w:val="Tablanormal"/>
    <w:uiPriority w:val="64"/>
    <w:rsid w:val="00A27EA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A27EA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basedOn w:val="Tablanormal"/>
    <w:uiPriority w:val="64"/>
    <w:rsid w:val="00A27EA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A27EA8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1">
    <w:name w:val="Sombreado medio 11"/>
    <w:basedOn w:val="Tablanormal"/>
    <w:uiPriority w:val="63"/>
    <w:rsid w:val="00A27EA8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A27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79D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6608A0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independiente">
    <w:name w:val="Body Text"/>
    <w:basedOn w:val="Normal"/>
    <w:link w:val="TextoindependienteCar"/>
    <w:rsid w:val="003D55A4"/>
    <w:pPr>
      <w:jc w:val="both"/>
    </w:pPr>
    <w:rPr>
      <w:rFonts w:eastAsia="Times New Roman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D55A4"/>
    <w:rPr>
      <w:rFonts w:eastAsia="Times New Roman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F1B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F43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392"/>
  </w:style>
  <w:style w:type="paragraph" w:styleId="Piedepgina">
    <w:name w:val="footer"/>
    <w:basedOn w:val="Normal"/>
    <w:link w:val="PiedepginaCar"/>
    <w:uiPriority w:val="99"/>
    <w:unhideWhenUsed/>
    <w:rsid w:val="00AF43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392"/>
  </w:style>
  <w:style w:type="character" w:styleId="Refdecomentario">
    <w:name w:val="annotation reference"/>
    <w:basedOn w:val="Fuentedeprrafopredeter"/>
    <w:uiPriority w:val="99"/>
    <w:semiHidden/>
    <w:unhideWhenUsed/>
    <w:rsid w:val="00C11D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1D0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1D0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1D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1D0C"/>
    <w:rPr>
      <w:b/>
      <w:bCs/>
      <w:sz w:val="20"/>
      <w:szCs w:val="20"/>
    </w:rPr>
  </w:style>
  <w:style w:type="table" w:customStyle="1" w:styleId="Sombreadomedio1-nfasis11">
    <w:name w:val="Sombreado medio 1 - Énfasis 11"/>
    <w:basedOn w:val="Tablanormal"/>
    <w:uiPriority w:val="63"/>
    <w:rsid w:val="00225C3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aconcuadrcula">
    <w:name w:val="Table Grid"/>
    <w:basedOn w:val="Tablanormal"/>
    <w:uiPriority w:val="59"/>
    <w:rsid w:val="009E0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basedOn w:val="Tablanormal"/>
    <w:uiPriority w:val="61"/>
    <w:rsid w:val="00550C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ombreadomedio1-nfasis12">
    <w:name w:val="Sombreado medio 1 - Énfasis 12"/>
    <w:basedOn w:val="Tablanormal"/>
    <w:uiPriority w:val="63"/>
    <w:rsid w:val="00550CC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6672FD"/>
    <w:pPr>
      <w:autoSpaceDE w:val="0"/>
      <w:autoSpaceDN w:val="0"/>
      <w:adjustRightInd w:val="0"/>
    </w:pPr>
    <w:rPr>
      <w:rFonts w:cs="Arial"/>
      <w:color w:val="000000"/>
      <w:sz w:val="24"/>
      <w:szCs w:val="24"/>
      <w:lang w:val="es-G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71BF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1BF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71BF1"/>
    <w:rPr>
      <w:vertAlign w:val="superscript"/>
    </w:rPr>
  </w:style>
  <w:style w:type="paragraph" w:styleId="Sinespaciado">
    <w:name w:val="No Spacing"/>
    <w:uiPriority w:val="1"/>
    <w:qFormat/>
    <w:rsid w:val="00232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8.3.210\ddf\INFORMES\Portal%20DdF\AC%20Y%20DY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8.3.210\ddf\INFORMES\Portal%20DdF\AC%20Y%20DY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G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4"/>
              <c:layout>
                <c:manualLayout>
                  <c:x val="1.4981189851268591E-2"/>
                  <c:y val="2.09539953339165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'[AC Y DYA.xlsx]PNR AC'!$N$19:$N$23</c:f>
              <c:strCache>
                <c:ptCount val="5"/>
                <c:pt idx="0">
                  <c:v>BANGUAT</c:v>
                </c:pt>
                <c:pt idx="1">
                  <c:v>BANRURAL</c:v>
                </c:pt>
                <c:pt idx="2">
                  <c:v>CHN</c:v>
                </c:pt>
                <c:pt idx="3">
                  <c:v>INDUSTRIAL</c:v>
                </c:pt>
                <c:pt idx="4">
                  <c:v>OTROS</c:v>
                </c:pt>
              </c:strCache>
            </c:strRef>
          </c:cat>
          <c:val>
            <c:numRef>
              <c:f>'[AC Y DYA.xlsx]PNR AC'!$O$19:$O$23</c:f>
              <c:numCache>
                <c:formatCode>_(* #,##0.00_);_(* \(#,##0.00\);_(* "-"??_);_(@_)</c:formatCode>
                <c:ptCount val="5"/>
                <c:pt idx="0">
                  <c:v>667.30695981999997</c:v>
                </c:pt>
                <c:pt idx="1">
                  <c:v>9732.4154348699976</c:v>
                </c:pt>
                <c:pt idx="2">
                  <c:v>4280.8342890800004</c:v>
                </c:pt>
                <c:pt idx="3">
                  <c:v>1517.9778289600001</c:v>
                </c:pt>
                <c:pt idx="4">
                  <c:v>1483.5602938900001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G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'[AC Y DYA.xlsx]PNR AC'!$I$40:$I$42</c:f>
              <c:strCache>
                <c:ptCount val="1"/>
                <c:pt idx="0">
                  <c:v>NO REEMBOLSABLE REEMBOLSABLE MIXTO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3.4216867469879515E-2"/>
                  <c:y val="-6.77668517241796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4981189851268591E-2"/>
                  <c:y val="2.09539953339165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'\\172.18.3.210\ddf\INFORMES\Portal DdF\2019\bases de datos 2019\[AC Y DYA 07-2019.xlsx]PNR AC'!$I$40:$I$42</c:f>
              <c:strCache>
                <c:ptCount val="3"/>
                <c:pt idx="0">
                  <c:v>NO REEMBOLSABLE</c:v>
                </c:pt>
                <c:pt idx="1">
                  <c:v>REEMBOLSABLE</c:v>
                </c:pt>
                <c:pt idx="2">
                  <c:v>MIXTO</c:v>
                </c:pt>
              </c:strCache>
            </c:strRef>
          </c:cat>
          <c:val>
            <c:numRef>
              <c:f>'[AC Y DYA.xlsx]PNR AC'!$L$40:$L$42</c:f>
              <c:numCache>
                <c:formatCode>_(* #,##0.00_);_(* \(#,##0.00\);_(* "-"??_);_(@_)</c:formatCode>
                <c:ptCount val="3"/>
                <c:pt idx="0">
                  <c:v>12316.416760210001</c:v>
                </c:pt>
                <c:pt idx="1">
                  <c:v>1529.3873172899998</c:v>
                </c:pt>
                <c:pt idx="2">
                  <c:v>3836.2907291199999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GT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9732198340072354"/>
          <c:y val="5.9950097283484501E-2"/>
          <c:w val="0.58403849518810147"/>
          <c:h val="0.8326195683872849"/>
        </c:manualLayout>
      </c:layout>
      <c:lineChart>
        <c:grouping val="standard"/>
        <c:varyColors val="0"/>
        <c:ser>
          <c:idx val="1"/>
          <c:order val="0"/>
          <c:tx>
            <c:v>VIGENTE</c:v>
          </c:tx>
          <c:marker>
            <c:symbol val="none"/>
          </c:marker>
          <c:cat>
            <c:numRef>
              <c:f>'[AC Y DYA.xlsx]CARTERA'!$L$42:$L$48</c:f>
              <c:numCache>
                <c:formatCode>General</c:formatCod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 formatCode="mmm\-yy">
                  <c:v>43800</c:v>
                </c:pt>
              </c:numCache>
            </c:numRef>
          </c:cat>
          <c:val>
            <c:numRef>
              <c:f>'[AC Y DYA.xlsx]CARTERA'!$M$42:$M$48</c:f>
              <c:numCache>
                <c:formatCode>_(* #,##0.00_);_(* \(#,##0.00\);_(* "-"??_);_(@_)</c:formatCode>
                <c:ptCount val="7"/>
                <c:pt idx="0">
                  <c:v>1443110</c:v>
                </c:pt>
                <c:pt idx="1">
                  <c:v>1314398.8999999999</c:v>
                </c:pt>
                <c:pt idx="2">
                  <c:v>1209889.7</c:v>
                </c:pt>
                <c:pt idx="3">
                  <c:v>1086645.06</c:v>
                </c:pt>
                <c:pt idx="4">
                  <c:v>1053975.1499999999</c:v>
                </c:pt>
                <c:pt idx="5">
                  <c:v>1050991.6458099999</c:v>
                </c:pt>
                <c:pt idx="6">
                  <c:v>939977.26289999997</c:v>
                </c:pt>
              </c:numCache>
            </c:numRef>
          </c:val>
          <c:smooth val="0"/>
        </c:ser>
        <c:ser>
          <c:idx val="2"/>
          <c:order val="1"/>
          <c:tx>
            <c:v>VENCIDA</c:v>
          </c:tx>
          <c:marker>
            <c:symbol val="none"/>
          </c:marker>
          <c:cat>
            <c:numRef>
              <c:f>'[AC Y DYA.xlsx]CARTERA'!$L$42:$L$48</c:f>
              <c:numCache>
                <c:formatCode>General</c:formatCod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 formatCode="mmm\-yy">
                  <c:v>43800</c:v>
                </c:pt>
              </c:numCache>
            </c:numRef>
          </c:cat>
          <c:val>
            <c:numRef>
              <c:f>'[AC Y DYA.xlsx]CARTERA'!$N$42:$N$48</c:f>
              <c:numCache>
                <c:formatCode>_(* #,##0.00_);_(* \(#,##0.00\);_(* "-"??_);_(@_)</c:formatCode>
                <c:ptCount val="7"/>
                <c:pt idx="0">
                  <c:v>464902.5</c:v>
                </c:pt>
                <c:pt idx="1">
                  <c:v>592397.69999999995</c:v>
                </c:pt>
                <c:pt idx="2">
                  <c:v>570063.9</c:v>
                </c:pt>
                <c:pt idx="3">
                  <c:v>651705.57999999996</c:v>
                </c:pt>
                <c:pt idx="4">
                  <c:v>623481.61</c:v>
                </c:pt>
                <c:pt idx="5">
                  <c:v>622575.14003000001</c:v>
                </c:pt>
                <c:pt idx="6">
                  <c:v>571167.78049999988</c:v>
                </c:pt>
              </c:numCache>
            </c:numRef>
          </c:val>
          <c:smooth val="0"/>
        </c:ser>
        <c:ser>
          <c:idx val="0"/>
          <c:order val="2"/>
          <c:tx>
            <c:v>TOTAL </c:v>
          </c:tx>
          <c:marker>
            <c:symbol val="none"/>
          </c:marker>
          <c:cat>
            <c:numRef>
              <c:f>'[AC Y DYA.xlsx]CARTERA'!$L$42:$L$48</c:f>
              <c:numCache>
                <c:formatCode>General</c:formatCod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 formatCode="mmm\-yy">
                  <c:v>43800</c:v>
                </c:pt>
              </c:numCache>
            </c:numRef>
          </c:cat>
          <c:val>
            <c:numRef>
              <c:f>'[AC Y DYA.xlsx]CARTERA'!$O$42:$O$48</c:f>
              <c:numCache>
                <c:formatCode>_(* #,##0.00_);_(* \(#,##0.00\);_(* "-"??_);_(@_)</c:formatCode>
                <c:ptCount val="7"/>
                <c:pt idx="0">
                  <c:v>1908012.5</c:v>
                </c:pt>
                <c:pt idx="1">
                  <c:v>1906796.5999999999</c:v>
                </c:pt>
                <c:pt idx="2">
                  <c:v>1779953.6</c:v>
                </c:pt>
                <c:pt idx="3">
                  <c:v>1738350.6400000001</c:v>
                </c:pt>
                <c:pt idx="4">
                  <c:v>1677456.7599999998</c:v>
                </c:pt>
                <c:pt idx="5">
                  <c:v>1673566.78584</c:v>
                </c:pt>
                <c:pt idx="6">
                  <c:v>1511145.0433999998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207808"/>
        <c:axId val="31209344"/>
      </c:lineChart>
      <c:catAx>
        <c:axId val="31207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 i="0"/>
            </a:pPr>
            <a:endParaRPr lang="es-GT"/>
          </a:p>
        </c:txPr>
        <c:crossAx val="31209344"/>
        <c:crosses val="autoZero"/>
        <c:auto val="1"/>
        <c:lblAlgn val="ctr"/>
        <c:lblOffset val="100"/>
        <c:noMultiLvlLbl val="0"/>
      </c:catAx>
      <c:valAx>
        <c:axId val="3120934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_(* #,##0.00_);_(* \(#,##0.00\);_(* &quot;-&quot;??_);_(@_)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GT"/>
          </a:p>
        </c:txPr>
        <c:crossAx val="31207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294346711619274"/>
          <c:y val="0.41240536183804855"/>
          <c:w val="0.2670564304461942"/>
          <c:h val="0.2511515748031495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EBD49-1AA2-460E-B440-10924400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3896</Words>
  <Characters>21429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fideicomoper05</dc:creator>
  <cp:lastModifiedBy>Luis Adrián Guerra</cp:lastModifiedBy>
  <cp:revision>3</cp:revision>
  <cp:lastPrinted>2020-01-28T14:01:00Z</cp:lastPrinted>
  <dcterms:created xsi:type="dcterms:W3CDTF">2020-01-27T22:01:00Z</dcterms:created>
  <dcterms:modified xsi:type="dcterms:W3CDTF">2020-01-28T14:02:00Z</dcterms:modified>
</cp:coreProperties>
</file>