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98F" w:rsidRPr="00124AD6" w:rsidRDefault="009B198F" w:rsidP="009B198F">
      <w:pPr>
        <w:rPr>
          <w:b/>
        </w:rPr>
      </w:pPr>
      <w:bookmarkStart w:id="0" w:name="_GoBack"/>
      <w:bookmarkEnd w:id="0"/>
    </w:p>
    <w:p w:rsidR="008B5887" w:rsidRPr="00124AD6" w:rsidRDefault="008B5887" w:rsidP="009B198F">
      <w:pPr>
        <w:jc w:val="center"/>
        <w:rPr>
          <w:b/>
        </w:rPr>
      </w:pPr>
    </w:p>
    <w:p w:rsidR="008B5887" w:rsidRPr="00124AD6" w:rsidRDefault="008B5887" w:rsidP="009B198F">
      <w:pPr>
        <w:jc w:val="center"/>
        <w:rPr>
          <w:b/>
        </w:rPr>
      </w:pPr>
    </w:p>
    <w:p w:rsidR="00840F09" w:rsidRPr="00124AD6" w:rsidRDefault="00840F09" w:rsidP="009B198F">
      <w:pPr>
        <w:jc w:val="center"/>
        <w:rPr>
          <w:b/>
        </w:rPr>
      </w:pPr>
    </w:p>
    <w:p w:rsidR="005A7D3A" w:rsidRPr="00124AD6" w:rsidRDefault="005A7D3A" w:rsidP="009B198F">
      <w:pPr>
        <w:jc w:val="center"/>
        <w:rPr>
          <w:b/>
        </w:rPr>
      </w:pPr>
    </w:p>
    <w:p w:rsidR="005A7D3A" w:rsidRPr="00124AD6" w:rsidRDefault="005A7D3A" w:rsidP="009B198F">
      <w:pPr>
        <w:jc w:val="center"/>
        <w:rPr>
          <w:b/>
        </w:rPr>
      </w:pPr>
    </w:p>
    <w:p w:rsidR="005A7D3A" w:rsidRPr="00124AD6" w:rsidRDefault="005A7D3A" w:rsidP="009B198F">
      <w:pPr>
        <w:jc w:val="center"/>
        <w:rPr>
          <w:b/>
        </w:rPr>
      </w:pPr>
    </w:p>
    <w:p w:rsidR="000B2527" w:rsidRPr="00124AD6" w:rsidRDefault="000B2527" w:rsidP="009B198F">
      <w:pPr>
        <w:jc w:val="center"/>
        <w:rPr>
          <w:b/>
        </w:rPr>
      </w:pPr>
    </w:p>
    <w:p w:rsidR="000B2527" w:rsidRPr="00124AD6" w:rsidRDefault="000B2527" w:rsidP="009B198F">
      <w:pPr>
        <w:jc w:val="center"/>
        <w:rPr>
          <w:b/>
        </w:rPr>
      </w:pPr>
    </w:p>
    <w:p w:rsidR="000B2527" w:rsidRPr="00124AD6" w:rsidRDefault="000B2527" w:rsidP="009B198F">
      <w:pPr>
        <w:jc w:val="center"/>
        <w:rPr>
          <w:b/>
        </w:rPr>
      </w:pPr>
    </w:p>
    <w:p w:rsidR="009B198F" w:rsidRPr="00124AD6" w:rsidRDefault="009B198F" w:rsidP="009B198F">
      <w:pPr>
        <w:jc w:val="center"/>
        <w:rPr>
          <w:b/>
        </w:rPr>
      </w:pPr>
    </w:p>
    <w:p w:rsidR="00DE6251" w:rsidRPr="00124AD6" w:rsidRDefault="00DE6251" w:rsidP="009B198F">
      <w:pPr>
        <w:jc w:val="center"/>
        <w:rPr>
          <w:b/>
        </w:rPr>
      </w:pPr>
    </w:p>
    <w:p w:rsidR="00DE6251" w:rsidRPr="00124AD6" w:rsidRDefault="00DE6251" w:rsidP="009B198F">
      <w:pPr>
        <w:jc w:val="center"/>
        <w:rPr>
          <w:b/>
        </w:rPr>
      </w:pPr>
    </w:p>
    <w:p w:rsidR="000F4303" w:rsidRPr="00124AD6" w:rsidRDefault="000F4303" w:rsidP="009B198F">
      <w:pPr>
        <w:jc w:val="center"/>
        <w:rPr>
          <w:b/>
        </w:rPr>
      </w:pPr>
    </w:p>
    <w:p w:rsidR="000F4303" w:rsidRPr="00124AD6" w:rsidRDefault="000F4303" w:rsidP="009B198F">
      <w:pPr>
        <w:jc w:val="center"/>
        <w:rPr>
          <w:b/>
        </w:rPr>
      </w:pPr>
    </w:p>
    <w:p w:rsidR="00DE6251" w:rsidRPr="00124AD6" w:rsidRDefault="00DE6251" w:rsidP="009B198F">
      <w:pPr>
        <w:jc w:val="center"/>
        <w:rPr>
          <w:b/>
        </w:rPr>
      </w:pPr>
    </w:p>
    <w:p w:rsidR="00DE6251" w:rsidRPr="00124AD6" w:rsidRDefault="00DE6251" w:rsidP="009B198F">
      <w:pPr>
        <w:jc w:val="center"/>
        <w:rPr>
          <w:b/>
        </w:rPr>
      </w:pPr>
    </w:p>
    <w:p w:rsidR="009F4BF5" w:rsidRPr="00124AD6" w:rsidRDefault="009F4BF5" w:rsidP="009B198F">
      <w:pPr>
        <w:jc w:val="center"/>
        <w:rPr>
          <w:b/>
        </w:rPr>
      </w:pPr>
    </w:p>
    <w:p w:rsidR="009B198F" w:rsidRPr="00124AD6" w:rsidRDefault="009B198F" w:rsidP="009B198F">
      <w:pPr>
        <w:jc w:val="center"/>
        <w:rPr>
          <w:b/>
        </w:rPr>
      </w:pPr>
    </w:p>
    <w:p w:rsidR="00612210" w:rsidRPr="004C0853" w:rsidRDefault="00612210" w:rsidP="00612210">
      <w:pPr>
        <w:jc w:val="center"/>
        <w:rPr>
          <w:b/>
          <w:sz w:val="36"/>
        </w:rPr>
      </w:pPr>
      <w:r w:rsidRPr="004C0853">
        <w:rPr>
          <w:b/>
          <w:sz w:val="36"/>
        </w:rPr>
        <w:t>DESEMPEÑO</w:t>
      </w:r>
      <w:r w:rsidR="00FA3BE6" w:rsidRPr="004C0853">
        <w:rPr>
          <w:b/>
          <w:sz w:val="36"/>
        </w:rPr>
        <w:t xml:space="preserve"> RECIENTE DE LA POLÍTICA FISCAL</w:t>
      </w:r>
    </w:p>
    <w:p w:rsidR="00612210" w:rsidRPr="004C0853" w:rsidRDefault="00612210" w:rsidP="00612210">
      <w:pPr>
        <w:jc w:val="center"/>
        <w:rPr>
          <w:b/>
          <w:sz w:val="36"/>
        </w:rPr>
      </w:pPr>
      <w:r w:rsidRPr="004C0853">
        <w:rPr>
          <w:b/>
          <w:sz w:val="36"/>
        </w:rPr>
        <w:t>Y SITUACIÓN MACROECONÓMICA</w:t>
      </w:r>
    </w:p>
    <w:p w:rsidR="009C0920" w:rsidRPr="004C0853" w:rsidRDefault="002E3253" w:rsidP="009C0920">
      <w:pPr>
        <w:jc w:val="center"/>
        <w:rPr>
          <w:b/>
          <w:sz w:val="36"/>
        </w:rPr>
      </w:pPr>
      <w:r w:rsidRPr="004C0853">
        <w:rPr>
          <w:b/>
          <w:sz w:val="36"/>
        </w:rPr>
        <w:t>REPÚ</w:t>
      </w:r>
      <w:r w:rsidR="009C0920" w:rsidRPr="004C0853">
        <w:rPr>
          <w:b/>
          <w:sz w:val="36"/>
        </w:rPr>
        <w:t>BLICA DE GUATEMALA</w:t>
      </w:r>
    </w:p>
    <w:p w:rsidR="009B198F" w:rsidRPr="004C0853" w:rsidRDefault="00D92F84" w:rsidP="009B198F">
      <w:pPr>
        <w:jc w:val="center"/>
        <w:rPr>
          <w:b/>
          <w:sz w:val="36"/>
        </w:rPr>
      </w:pPr>
      <w:r w:rsidRPr="004C0853">
        <w:rPr>
          <w:b/>
          <w:sz w:val="36"/>
        </w:rPr>
        <w:t>AL 31 DE DICIEMBRE DE 201</w:t>
      </w:r>
      <w:r w:rsidR="003E005F" w:rsidRPr="004C0853">
        <w:rPr>
          <w:b/>
          <w:sz w:val="36"/>
        </w:rPr>
        <w:t>8</w:t>
      </w:r>
    </w:p>
    <w:p w:rsidR="009B198F" w:rsidRPr="00124AD6" w:rsidRDefault="009B198F" w:rsidP="008B2C6D">
      <w:pPr>
        <w:tabs>
          <w:tab w:val="left" w:pos="142"/>
        </w:tabs>
        <w:jc w:val="center"/>
        <w:rPr>
          <w:b/>
        </w:rPr>
      </w:pPr>
    </w:p>
    <w:p w:rsidR="009B198F" w:rsidRPr="00124AD6" w:rsidRDefault="009B198F" w:rsidP="009B198F">
      <w:pPr>
        <w:jc w:val="center"/>
        <w:rPr>
          <w:b/>
        </w:rPr>
      </w:pPr>
    </w:p>
    <w:p w:rsidR="009B198F" w:rsidRPr="00124AD6" w:rsidRDefault="009B198F" w:rsidP="009B198F">
      <w:pPr>
        <w:jc w:val="center"/>
        <w:rPr>
          <w:b/>
        </w:rPr>
      </w:pPr>
    </w:p>
    <w:p w:rsidR="008C03DC" w:rsidRPr="00124AD6" w:rsidRDefault="008C03DC" w:rsidP="009B198F">
      <w:pPr>
        <w:jc w:val="center"/>
        <w:rPr>
          <w:b/>
        </w:rPr>
      </w:pPr>
    </w:p>
    <w:p w:rsidR="009B198F" w:rsidRPr="00124AD6" w:rsidRDefault="009B198F" w:rsidP="009B198F">
      <w:pPr>
        <w:jc w:val="center"/>
        <w:rPr>
          <w:b/>
        </w:rPr>
      </w:pPr>
    </w:p>
    <w:p w:rsidR="009B198F" w:rsidRDefault="009B198F" w:rsidP="009B198F">
      <w:pPr>
        <w:jc w:val="center"/>
        <w:rPr>
          <w:b/>
        </w:rPr>
      </w:pPr>
    </w:p>
    <w:p w:rsidR="00C6402E" w:rsidRDefault="00C6402E" w:rsidP="009B198F">
      <w:pPr>
        <w:jc w:val="center"/>
        <w:rPr>
          <w:b/>
        </w:rPr>
      </w:pPr>
    </w:p>
    <w:p w:rsidR="00C6402E" w:rsidRDefault="00C6402E" w:rsidP="009B198F">
      <w:pPr>
        <w:jc w:val="center"/>
        <w:rPr>
          <w:b/>
        </w:rPr>
      </w:pPr>
    </w:p>
    <w:p w:rsidR="00C6402E" w:rsidRDefault="00C6402E" w:rsidP="009B198F">
      <w:pPr>
        <w:jc w:val="center"/>
        <w:rPr>
          <w:b/>
        </w:rPr>
      </w:pPr>
    </w:p>
    <w:p w:rsidR="00C6402E" w:rsidRPr="00124AD6" w:rsidRDefault="00C6402E" w:rsidP="009B198F">
      <w:pPr>
        <w:jc w:val="center"/>
        <w:rPr>
          <w:b/>
        </w:rPr>
      </w:pPr>
    </w:p>
    <w:p w:rsidR="009B198F" w:rsidRPr="00124AD6" w:rsidRDefault="009B198F" w:rsidP="009B198F">
      <w:pPr>
        <w:jc w:val="center"/>
        <w:rPr>
          <w:b/>
        </w:rPr>
      </w:pPr>
    </w:p>
    <w:p w:rsidR="009B198F" w:rsidRPr="00124AD6" w:rsidRDefault="009B198F" w:rsidP="009B198F">
      <w:pPr>
        <w:jc w:val="center"/>
        <w:rPr>
          <w:b/>
        </w:rPr>
      </w:pPr>
    </w:p>
    <w:p w:rsidR="009B198F" w:rsidRPr="00124AD6" w:rsidRDefault="009B198F" w:rsidP="009B198F">
      <w:pPr>
        <w:rPr>
          <w:b/>
        </w:rPr>
      </w:pPr>
    </w:p>
    <w:p w:rsidR="009B198F" w:rsidRPr="00124AD6" w:rsidRDefault="009B198F" w:rsidP="009B198F">
      <w:pPr>
        <w:jc w:val="center"/>
        <w:rPr>
          <w:b/>
        </w:rPr>
      </w:pPr>
    </w:p>
    <w:p w:rsidR="009B198F" w:rsidRPr="00124AD6" w:rsidRDefault="009B198F" w:rsidP="009B198F">
      <w:pPr>
        <w:rPr>
          <w:b/>
        </w:rPr>
      </w:pPr>
    </w:p>
    <w:p w:rsidR="009B198F" w:rsidRPr="00124AD6" w:rsidRDefault="009B198F" w:rsidP="009B198F">
      <w:pPr>
        <w:rPr>
          <w:b/>
        </w:rPr>
      </w:pPr>
    </w:p>
    <w:p w:rsidR="009C0920" w:rsidRPr="00124AD6" w:rsidRDefault="009C0920" w:rsidP="009C0920">
      <w:pPr>
        <w:jc w:val="center"/>
        <w:rPr>
          <w:b/>
        </w:rPr>
      </w:pPr>
      <w:r w:rsidRPr="00124AD6">
        <w:rPr>
          <w:b/>
        </w:rPr>
        <w:t>MINISTERIO DE FINANZAS PÚBLICAS</w:t>
      </w:r>
    </w:p>
    <w:p w:rsidR="009C0920" w:rsidRPr="00124AD6" w:rsidRDefault="009C0920" w:rsidP="009C0920">
      <w:pPr>
        <w:jc w:val="center"/>
        <w:rPr>
          <w:b/>
        </w:rPr>
      </w:pPr>
    </w:p>
    <w:p w:rsidR="008B5887" w:rsidRPr="00124AD6" w:rsidRDefault="008B5887" w:rsidP="008B5887">
      <w:pPr>
        <w:jc w:val="center"/>
        <w:rPr>
          <w:b/>
        </w:rPr>
      </w:pPr>
      <w:r w:rsidRPr="00124AD6">
        <w:rPr>
          <w:b/>
        </w:rPr>
        <w:t>Guatemala,</w:t>
      </w:r>
      <w:r w:rsidR="00680151" w:rsidRPr="00124AD6">
        <w:rPr>
          <w:b/>
        </w:rPr>
        <w:t xml:space="preserve"> </w:t>
      </w:r>
      <w:r w:rsidR="00EF2CDF">
        <w:rPr>
          <w:b/>
        </w:rPr>
        <w:t>ma</w:t>
      </w:r>
      <w:r w:rsidR="003E005F">
        <w:rPr>
          <w:b/>
        </w:rPr>
        <w:t>rzo de 2019</w:t>
      </w:r>
      <w:r w:rsidR="00EC58A6">
        <w:rPr>
          <w:b/>
        </w:rPr>
        <w:t>.</w:t>
      </w:r>
    </w:p>
    <w:p w:rsidR="00111E81" w:rsidRPr="00124AD6" w:rsidRDefault="00111E81" w:rsidP="008B5887">
      <w:pPr>
        <w:jc w:val="center"/>
        <w:rPr>
          <w:b/>
        </w:rPr>
      </w:pPr>
    </w:p>
    <w:p w:rsidR="00111E81" w:rsidRDefault="00111E81" w:rsidP="008B5887">
      <w:pPr>
        <w:jc w:val="center"/>
        <w:rPr>
          <w:b/>
        </w:rPr>
      </w:pPr>
    </w:p>
    <w:p w:rsidR="00C6402E" w:rsidRDefault="00C6402E" w:rsidP="008B5887">
      <w:pPr>
        <w:jc w:val="center"/>
        <w:rPr>
          <w:b/>
        </w:rPr>
      </w:pPr>
    </w:p>
    <w:p w:rsidR="00C6402E" w:rsidRPr="00124AD6" w:rsidRDefault="00C6402E" w:rsidP="008B5887">
      <w:pPr>
        <w:jc w:val="center"/>
        <w:rPr>
          <w:b/>
        </w:rPr>
      </w:pPr>
    </w:p>
    <w:p w:rsidR="00DE6251" w:rsidRPr="00124AD6" w:rsidRDefault="00DE6251" w:rsidP="008B5887">
      <w:pPr>
        <w:jc w:val="center"/>
        <w:rPr>
          <w:b/>
        </w:rPr>
      </w:pPr>
    </w:p>
    <w:p w:rsidR="003F76FF" w:rsidRPr="00124AD6" w:rsidRDefault="009B198F" w:rsidP="00D65111">
      <w:pPr>
        <w:tabs>
          <w:tab w:val="left" w:pos="0"/>
          <w:tab w:val="left" w:pos="9214"/>
        </w:tabs>
        <w:autoSpaceDE w:val="0"/>
        <w:autoSpaceDN w:val="0"/>
        <w:adjustRightInd w:val="0"/>
        <w:ind w:firstLine="567"/>
        <w:jc w:val="center"/>
      </w:pPr>
      <w:r w:rsidRPr="00124AD6">
        <w:t>CONTENIDO</w:t>
      </w:r>
    </w:p>
    <w:sdt>
      <w:sdtPr>
        <w:rPr>
          <w:rFonts w:ascii="Times New Roman" w:eastAsia="Times New Roman" w:hAnsi="Times New Roman" w:cs="Times New Roman"/>
          <w:b w:val="0"/>
          <w:bCs w:val="0"/>
          <w:color w:val="auto"/>
          <w:sz w:val="24"/>
          <w:szCs w:val="24"/>
          <w:lang w:val="es-ES" w:eastAsia="es-ES"/>
        </w:rPr>
        <w:id w:val="504640332"/>
        <w:docPartObj>
          <w:docPartGallery w:val="Table of Contents"/>
          <w:docPartUnique/>
        </w:docPartObj>
      </w:sdtPr>
      <w:sdtEndPr/>
      <w:sdtContent>
        <w:p w:rsidR="009C2D46" w:rsidRPr="00124AD6" w:rsidRDefault="009C2D46" w:rsidP="003F76FF">
          <w:pPr>
            <w:pStyle w:val="TtuloTDC"/>
            <w:jc w:val="center"/>
            <w:rPr>
              <w:rFonts w:ascii="Times New Roman" w:hAnsi="Times New Roman" w:cs="Times New Roman"/>
              <w:sz w:val="24"/>
              <w:szCs w:val="24"/>
            </w:rPr>
          </w:pPr>
        </w:p>
        <w:p w:rsidR="00065527" w:rsidRDefault="00782AE7">
          <w:pPr>
            <w:pStyle w:val="TDC1"/>
            <w:tabs>
              <w:tab w:val="left" w:pos="480"/>
              <w:tab w:val="right" w:leader="dot" w:pos="8828"/>
            </w:tabs>
            <w:rPr>
              <w:rFonts w:asciiTheme="minorHAnsi" w:eastAsiaTheme="minorEastAsia" w:hAnsiTheme="minorHAnsi" w:cstheme="minorBidi"/>
              <w:noProof/>
              <w:sz w:val="22"/>
              <w:szCs w:val="22"/>
              <w:lang w:val="es-GT" w:eastAsia="es-GT"/>
            </w:rPr>
          </w:pPr>
          <w:r w:rsidRPr="00124AD6">
            <w:fldChar w:fldCharType="begin"/>
          </w:r>
          <w:r w:rsidR="009C2D46" w:rsidRPr="00124AD6">
            <w:instrText xml:space="preserve"> TOC \o "1-3" \h \z \u </w:instrText>
          </w:r>
          <w:r w:rsidRPr="00124AD6">
            <w:fldChar w:fldCharType="separate"/>
          </w:r>
          <w:hyperlink w:anchor="_Toc4775331" w:history="1">
            <w:r w:rsidR="00065527" w:rsidRPr="00DD3A04">
              <w:rPr>
                <w:rStyle w:val="Hipervnculo"/>
                <w:noProof/>
                <w:lang w:val="es-MX"/>
              </w:rPr>
              <w:t>I.</w:t>
            </w:r>
            <w:r w:rsidR="00065527">
              <w:rPr>
                <w:rFonts w:asciiTheme="minorHAnsi" w:eastAsiaTheme="minorEastAsia" w:hAnsiTheme="minorHAnsi" w:cstheme="minorBidi"/>
                <w:noProof/>
                <w:sz w:val="22"/>
                <w:szCs w:val="22"/>
                <w:lang w:val="es-GT" w:eastAsia="es-GT"/>
              </w:rPr>
              <w:tab/>
            </w:r>
            <w:r w:rsidR="00065527" w:rsidRPr="00DD3A04">
              <w:rPr>
                <w:rStyle w:val="Hipervnculo"/>
                <w:noProof/>
                <w:lang w:val="es-MX"/>
              </w:rPr>
              <w:t>Entorno Macroeconómico Internacional</w:t>
            </w:r>
            <w:r w:rsidR="00065527">
              <w:rPr>
                <w:noProof/>
                <w:webHidden/>
              </w:rPr>
              <w:tab/>
            </w:r>
            <w:r w:rsidR="00065527">
              <w:rPr>
                <w:noProof/>
                <w:webHidden/>
              </w:rPr>
              <w:fldChar w:fldCharType="begin"/>
            </w:r>
            <w:r w:rsidR="00065527">
              <w:rPr>
                <w:noProof/>
                <w:webHidden/>
              </w:rPr>
              <w:instrText xml:space="preserve"> PAGEREF _Toc4775331 \h </w:instrText>
            </w:r>
            <w:r w:rsidR="00065527">
              <w:rPr>
                <w:noProof/>
                <w:webHidden/>
              </w:rPr>
            </w:r>
            <w:r w:rsidR="00065527">
              <w:rPr>
                <w:noProof/>
                <w:webHidden/>
              </w:rPr>
              <w:fldChar w:fldCharType="separate"/>
            </w:r>
            <w:r w:rsidR="00F430BD">
              <w:rPr>
                <w:noProof/>
                <w:webHidden/>
              </w:rPr>
              <w:t>3</w:t>
            </w:r>
            <w:r w:rsidR="00065527">
              <w:rPr>
                <w:noProof/>
                <w:webHidden/>
              </w:rPr>
              <w:fldChar w:fldCharType="end"/>
            </w:r>
          </w:hyperlink>
        </w:p>
        <w:p w:rsidR="00065527" w:rsidRDefault="0074737E">
          <w:pPr>
            <w:pStyle w:val="TDC1"/>
            <w:tabs>
              <w:tab w:val="left" w:pos="480"/>
              <w:tab w:val="right" w:leader="dot" w:pos="8828"/>
            </w:tabs>
            <w:rPr>
              <w:rFonts w:asciiTheme="minorHAnsi" w:eastAsiaTheme="minorEastAsia" w:hAnsiTheme="minorHAnsi" w:cstheme="minorBidi"/>
              <w:noProof/>
              <w:sz w:val="22"/>
              <w:szCs w:val="22"/>
              <w:lang w:val="es-GT" w:eastAsia="es-GT"/>
            </w:rPr>
          </w:pPr>
          <w:hyperlink w:anchor="_Toc4775332" w:history="1">
            <w:r w:rsidR="00065527" w:rsidRPr="00DD3A04">
              <w:rPr>
                <w:rStyle w:val="Hipervnculo"/>
                <w:noProof/>
                <w:lang w:val="es-MX"/>
              </w:rPr>
              <w:t>II.</w:t>
            </w:r>
            <w:r w:rsidR="00065527">
              <w:rPr>
                <w:rFonts w:asciiTheme="minorHAnsi" w:eastAsiaTheme="minorEastAsia" w:hAnsiTheme="minorHAnsi" w:cstheme="minorBidi"/>
                <w:noProof/>
                <w:sz w:val="22"/>
                <w:szCs w:val="22"/>
                <w:lang w:val="es-GT" w:eastAsia="es-GT"/>
              </w:rPr>
              <w:tab/>
            </w:r>
            <w:r w:rsidR="00065527" w:rsidRPr="00DD3A04">
              <w:rPr>
                <w:rStyle w:val="Hipervnculo"/>
                <w:noProof/>
                <w:lang w:val="es-MX"/>
              </w:rPr>
              <w:t>Perspectivas Económicas</w:t>
            </w:r>
            <w:r w:rsidR="00065527">
              <w:rPr>
                <w:noProof/>
                <w:webHidden/>
              </w:rPr>
              <w:tab/>
            </w:r>
            <w:r w:rsidR="00065527">
              <w:rPr>
                <w:noProof/>
                <w:webHidden/>
              </w:rPr>
              <w:fldChar w:fldCharType="begin"/>
            </w:r>
            <w:r w:rsidR="00065527">
              <w:rPr>
                <w:noProof/>
                <w:webHidden/>
              </w:rPr>
              <w:instrText xml:space="preserve"> PAGEREF _Toc4775332 \h </w:instrText>
            </w:r>
            <w:r w:rsidR="00065527">
              <w:rPr>
                <w:noProof/>
                <w:webHidden/>
              </w:rPr>
            </w:r>
            <w:r w:rsidR="00065527">
              <w:rPr>
                <w:noProof/>
                <w:webHidden/>
              </w:rPr>
              <w:fldChar w:fldCharType="separate"/>
            </w:r>
            <w:r w:rsidR="00F430BD">
              <w:rPr>
                <w:noProof/>
                <w:webHidden/>
              </w:rPr>
              <w:t>4</w:t>
            </w:r>
            <w:r w:rsidR="00065527">
              <w:rPr>
                <w:noProof/>
                <w:webHidden/>
              </w:rPr>
              <w:fldChar w:fldCharType="end"/>
            </w:r>
          </w:hyperlink>
        </w:p>
        <w:p w:rsidR="00065527" w:rsidRDefault="0074737E">
          <w:pPr>
            <w:pStyle w:val="TDC1"/>
            <w:tabs>
              <w:tab w:val="left" w:pos="660"/>
              <w:tab w:val="right" w:leader="dot" w:pos="8828"/>
            </w:tabs>
            <w:rPr>
              <w:rFonts w:asciiTheme="minorHAnsi" w:eastAsiaTheme="minorEastAsia" w:hAnsiTheme="minorHAnsi" w:cstheme="minorBidi"/>
              <w:noProof/>
              <w:sz w:val="22"/>
              <w:szCs w:val="22"/>
              <w:lang w:val="es-GT" w:eastAsia="es-GT"/>
            </w:rPr>
          </w:pPr>
          <w:hyperlink w:anchor="_Toc4775333" w:history="1">
            <w:r w:rsidR="00065527" w:rsidRPr="00DD3A04">
              <w:rPr>
                <w:rStyle w:val="Hipervnculo"/>
                <w:noProof/>
                <w:lang w:val="es-MX"/>
              </w:rPr>
              <w:t>III.</w:t>
            </w:r>
            <w:r w:rsidR="00065527">
              <w:rPr>
                <w:rFonts w:asciiTheme="minorHAnsi" w:eastAsiaTheme="minorEastAsia" w:hAnsiTheme="minorHAnsi" w:cstheme="minorBidi"/>
                <w:noProof/>
                <w:sz w:val="22"/>
                <w:szCs w:val="22"/>
                <w:lang w:val="es-GT" w:eastAsia="es-GT"/>
              </w:rPr>
              <w:tab/>
            </w:r>
            <w:r w:rsidR="00065527" w:rsidRPr="00DD3A04">
              <w:rPr>
                <w:rStyle w:val="Hipervnculo"/>
                <w:noProof/>
                <w:lang w:val="es-MX"/>
              </w:rPr>
              <w:t>Entorno Macroeconómico Nacional</w:t>
            </w:r>
            <w:r w:rsidR="00065527">
              <w:rPr>
                <w:noProof/>
                <w:webHidden/>
              </w:rPr>
              <w:tab/>
            </w:r>
            <w:r w:rsidR="00065527">
              <w:rPr>
                <w:noProof/>
                <w:webHidden/>
              </w:rPr>
              <w:fldChar w:fldCharType="begin"/>
            </w:r>
            <w:r w:rsidR="00065527">
              <w:rPr>
                <w:noProof/>
                <w:webHidden/>
              </w:rPr>
              <w:instrText xml:space="preserve"> PAGEREF _Toc4775333 \h </w:instrText>
            </w:r>
            <w:r w:rsidR="00065527">
              <w:rPr>
                <w:noProof/>
                <w:webHidden/>
              </w:rPr>
            </w:r>
            <w:r w:rsidR="00065527">
              <w:rPr>
                <w:noProof/>
                <w:webHidden/>
              </w:rPr>
              <w:fldChar w:fldCharType="separate"/>
            </w:r>
            <w:r w:rsidR="00F430BD">
              <w:rPr>
                <w:noProof/>
                <w:webHidden/>
              </w:rPr>
              <w:t>6</w:t>
            </w:r>
            <w:r w:rsidR="00065527">
              <w:rPr>
                <w:noProof/>
                <w:webHidden/>
              </w:rPr>
              <w:fldChar w:fldCharType="end"/>
            </w:r>
          </w:hyperlink>
        </w:p>
        <w:p w:rsidR="00065527" w:rsidRDefault="0074737E">
          <w:pPr>
            <w:pStyle w:val="TDC2"/>
            <w:rPr>
              <w:rFonts w:asciiTheme="minorHAnsi" w:eastAsiaTheme="minorEastAsia" w:hAnsiTheme="minorHAnsi" w:cstheme="minorBidi"/>
              <w:noProof/>
              <w:sz w:val="22"/>
              <w:szCs w:val="22"/>
              <w:lang w:val="es-GT" w:eastAsia="es-GT"/>
            </w:rPr>
          </w:pPr>
          <w:hyperlink w:anchor="_Toc4775334" w:history="1">
            <w:r w:rsidR="00065527" w:rsidRPr="00DD3A04">
              <w:rPr>
                <w:rStyle w:val="Hipervnculo"/>
                <w:noProof/>
              </w:rPr>
              <w:t>A.</w:t>
            </w:r>
            <w:r w:rsidR="00065527">
              <w:rPr>
                <w:rFonts w:asciiTheme="minorHAnsi" w:eastAsiaTheme="minorEastAsia" w:hAnsiTheme="minorHAnsi" w:cstheme="minorBidi"/>
                <w:noProof/>
                <w:sz w:val="22"/>
                <w:szCs w:val="22"/>
                <w:lang w:val="es-GT" w:eastAsia="es-GT"/>
              </w:rPr>
              <w:tab/>
            </w:r>
            <w:r w:rsidR="00065527" w:rsidRPr="00DD3A04">
              <w:rPr>
                <w:rStyle w:val="Hipervnculo"/>
                <w:noProof/>
                <w:shd w:val="clear" w:color="auto" w:fill="FFFFFF"/>
              </w:rPr>
              <w:t>Decisiones de Política Monetaria</w:t>
            </w:r>
            <w:r w:rsidR="00065527">
              <w:rPr>
                <w:noProof/>
                <w:webHidden/>
              </w:rPr>
              <w:tab/>
            </w:r>
            <w:r w:rsidR="00065527">
              <w:rPr>
                <w:noProof/>
                <w:webHidden/>
              </w:rPr>
              <w:fldChar w:fldCharType="begin"/>
            </w:r>
            <w:r w:rsidR="00065527">
              <w:rPr>
                <w:noProof/>
                <w:webHidden/>
              </w:rPr>
              <w:instrText xml:space="preserve"> PAGEREF _Toc4775334 \h </w:instrText>
            </w:r>
            <w:r w:rsidR="00065527">
              <w:rPr>
                <w:noProof/>
                <w:webHidden/>
              </w:rPr>
            </w:r>
            <w:r w:rsidR="00065527">
              <w:rPr>
                <w:noProof/>
                <w:webHidden/>
              </w:rPr>
              <w:fldChar w:fldCharType="separate"/>
            </w:r>
            <w:r w:rsidR="00F430BD">
              <w:rPr>
                <w:noProof/>
                <w:webHidden/>
              </w:rPr>
              <w:t>12</w:t>
            </w:r>
            <w:r w:rsidR="00065527">
              <w:rPr>
                <w:noProof/>
                <w:webHidden/>
              </w:rPr>
              <w:fldChar w:fldCharType="end"/>
            </w:r>
          </w:hyperlink>
        </w:p>
        <w:p w:rsidR="00065527" w:rsidRDefault="0074737E">
          <w:pPr>
            <w:pStyle w:val="TDC1"/>
            <w:tabs>
              <w:tab w:val="left" w:pos="660"/>
              <w:tab w:val="right" w:leader="dot" w:pos="8828"/>
            </w:tabs>
            <w:rPr>
              <w:rFonts w:asciiTheme="minorHAnsi" w:eastAsiaTheme="minorEastAsia" w:hAnsiTheme="minorHAnsi" w:cstheme="minorBidi"/>
              <w:noProof/>
              <w:sz w:val="22"/>
              <w:szCs w:val="22"/>
              <w:lang w:val="es-GT" w:eastAsia="es-GT"/>
            </w:rPr>
          </w:pPr>
          <w:hyperlink w:anchor="_Toc4775335" w:history="1">
            <w:r w:rsidR="00065527" w:rsidRPr="00DD3A04">
              <w:rPr>
                <w:rStyle w:val="Hipervnculo"/>
                <w:noProof/>
                <w:lang w:val="es-MX"/>
              </w:rPr>
              <w:t>IV.</w:t>
            </w:r>
            <w:r w:rsidR="00065527">
              <w:rPr>
                <w:rFonts w:asciiTheme="minorHAnsi" w:eastAsiaTheme="minorEastAsia" w:hAnsiTheme="minorHAnsi" w:cstheme="minorBidi"/>
                <w:noProof/>
                <w:sz w:val="22"/>
                <w:szCs w:val="22"/>
                <w:lang w:val="es-GT" w:eastAsia="es-GT"/>
              </w:rPr>
              <w:tab/>
            </w:r>
            <w:r w:rsidR="00065527" w:rsidRPr="00DD3A04">
              <w:rPr>
                <w:rStyle w:val="Hipervnculo"/>
                <w:noProof/>
                <w:lang w:val="es-MX"/>
              </w:rPr>
              <w:t>Política Fiscal en Guatemala</w:t>
            </w:r>
            <w:r w:rsidR="00065527">
              <w:rPr>
                <w:noProof/>
                <w:webHidden/>
              </w:rPr>
              <w:tab/>
            </w:r>
            <w:r w:rsidR="00065527">
              <w:rPr>
                <w:noProof/>
                <w:webHidden/>
              </w:rPr>
              <w:fldChar w:fldCharType="begin"/>
            </w:r>
            <w:r w:rsidR="00065527">
              <w:rPr>
                <w:noProof/>
                <w:webHidden/>
              </w:rPr>
              <w:instrText xml:space="preserve"> PAGEREF _Toc4775335 \h </w:instrText>
            </w:r>
            <w:r w:rsidR="00065527">
              <w:rPr>
                <w:noProof/>
                <w:webHidden/>
              </w:rPr>
            </w:r>
            <w:r w:rsidR="00065527">
              <w:rPr>
                <w:noProof/>
                <w:webHidden/>
              </w:rPr>
              <w:fldChar w:fldCharType="separate"/>
            </w:r>
            <w:r w:rsidR="00F430BD">
              <w:rPr>
                <w:noProof/>
                <w:webHidden/>
              </w:rPr>
              <w:t>14</w:t>
            </w:r>
            <w:r w:rsidR="00065527">
              <w:rPr>
                <w:noProof/>
                <w:webHidden/>
              </w:rPr>
              <w:fldChar w:fldCharType="end"/>
            </w:r>
          </w:hyperlink>
        </w:p>
        <w:p w:rsidR="00065527" w:rsidRDefault="0074737E">
          <w:pPr>
            <w:pStyle w:val="TDC2"/>
            <w:rPr>
              <w:rFonts w:asciiTheme="minorHAnsi" w:eastAsiaTheme="minorEastAsia" w:hAnsiTheme="minorHAnsi" w:cstheme="minorBidi"/>
              <w:noProof/>
              <w:sz w:val="22"/>
              <w:szCs w:val="22"/>
              <w:lang w:val="es-GT" w:eastAsia="es-GT"/>
            </w:rPr>
          </w:pPr>
          <w:hyperlink w:anchor="_Toc4775336" w:history="1">
            <w:r w:rsidR="00065527" w:rsidRPr="00DD3A04">
              <w:rPr>
                <w:rStyle w:val="Hipervnculo"/>
                <w:noProof/>
              </w:rPr>
              <w:t>A.</w:t>
            </w:r>
            <w:r w:rsidR="00065527">
              <w:rPr>
                <w:rFonts w:asciiTheme="minorHAnsi" w:eastAsiaTheme="minorEastAsia" w:hAnsiTheme="minorHAnsi" w:cstheme="minorBidi"/>
                <w:noProof/>
                <w:sz w:val="22"/>
                <w:szCs w:val="22"/>
                <w:lang w:val="es-GT" w:eastAsia="es-GT"/>
              </w:rPr>
              <w:tab/>
            </w:r>
            <w:r w:rsidR="00065527" w:rsidRPr="00DD3A04">
              <w:rPr>
                <w:rStyle w:val="Hipervnculo"/>
                <w:noProof/>
              </w:rPr>
              <w:t>Ingresos Fiscales</w:t>
            </w:r>
            <w:r w:rsidR="00065527">
              <w:rPr>
                <w:noProof/>
                <w:webHidden/>
              </w:rPr>
              <w:tab/>
            </w:r>
            <w:r w:rsidR="00065527">
              <w:rPr>
                <w:noProof/>
                <w:webHidden/>
              </w:rPr>
              <w:fldChar w:fldCharType="begin"/>
            </w:r>
            <w:r w:rsidR="00065527">
              <w:rPr>
                <w:noProof/>
                <w:webHidden/>
              </w:rPr>
              <w:instrText xml:space="preserve"> PAGEREF _Toc4775336 \h </w:instrText>
            </w:r>
            <w:r w:rsidR="00065527">
              <w:rPr>
                <w:noProof/>
                <w:webHidden/>
              </w:rPr>
            </w:r>
            <w:r w:rsidR="00065527">
              <w:rPr>
                <w:noProof/>
                <w:webHidden/>
              </w:rPr>
              <w:fldChar w:fldCharType="separate"/>
            </w:r>
            <w:r w:rsidR="00F430BD">
              <w:rPr>
                <w:noProof/>
                <w:webHidden/>
              </w:rPr>
              <w:t>16</w:t>
            </w:r>
            <w:r w:rsidR="00065527">
              <w:rPr>
                <w:noProof/>
                <w:webHidden/>
              </w:rPr>
              <w:fldChar w:fldCharType="end"/>
            </w:r>
          </w:hyperlink>
        </w:p>
        <w:p w:rsidR="00065527" w:rsidRDefault="0074737E">
          <w:pPr>
            <w:pStyle w:val="TDC2"/>
            <w:rPr>
              <w:rFonts w:asciiTheme="minorHAnsi" w:eastAsiaTheme="minorEastAsia" w:hAnsiTheme="minorHAnsi" w:cstheme="minorBidi"/>
              <w:noProof/>
              <w:sz w:val="22"/>
              <w:szCs w:val="22"/>
              <w:lang w:val="es-GT" w:eastAsia="es-GT"/>
            </w:rPr>
          </w:pPr>
          <w:hyperlink w:anchor="_Toc4775337" w:history="1">
            <w:r w:rsidR="00065527" w:rsidRPr="00DD3A04">
              <w:rPr>
                <w:rStyle w:val="Hipervnculo"/>
                <w:noProof/>
              </w:rPr>
              <w:t>B.</w:t>
            </w:r>
            <w:r w:rsidR="00065527">
              <w:rPr>
                <w:rFonts w:asciiTheme="minorHAnsi" w:eastAsiaTheme="minorEastAsia" w:hAnsiTheme="minorHAnsi" w:cstheme="minorBidi"/>
                <w:noProof/>
                <w:sz w:val="22"/>
                <w:szCs w:val="22"/>
                <w:lang w:val="es-GT" w:eastAsia="es-GT"/>
              </w:rPr>
              <w:tab/>
            </w:r>
            <w:r w:rsidR="00065527" w:rsidRPr="00DD3A04">
              <w:rPr>
                <w:rStyle w:val="Hipervnculo"/>
                <w:noProof/>
              </w:rPr>
              <w:t>Deuda Pública</w:t>
            </w:r>
            <w:r w:rsidR="00065527">
              <w:rPr>
                <w:noProof/>
                <w:webHidden/>
              </w:rPr>
              <w:tab/>
            </w:r>
            <w:r w:rsidR="00065527">
              <w:rPr>
                <w:noProof/>
                <w:webHidden/>
              </w:rPr>
              <w:fldChar w:fldCharType="begin"/>
            </w:r>
            <w:r w:rsidR="00065527">
              <w:rPr>
                <w:noProof/>
                <w:webHidden/>
              </w:rPr>
              <w:instrText xml:space="preserve"> PAGEREF _Toc4775337 \h </w:instrText>
            </w:r>
            <w:r w:rsidR="00065527">
              <w:rPr>
                <w:noProof/>
                <w:webHidden/>
              </w:rPr>
            </w:r>
            <w:r w:rsidR="00065527">
              <w:rPr>
                <w:noProof/>
                <w:webHidden/>
              </w:rPr>
              <w:fldChar w:fldCharType="separate"/>
            </w:r>
            <w:r w:rsidR="00F430BD">
              <w:rPr>
                <w:noProof/>
                <w:webHidden/>
              </w:rPr>
              <w:t>19</w:t>
            </w:r>
            <w:r w:rsidR="00065527">
              <w:rPr>
                <w:noProof/>
                <w:webHidden/>
              </w:rPr>
              <w:fldChar w:fldCharType="end"/>
            </w:r>
          </w:hyperlink>
        </w:p>
        <w:p w:rsidR="00065527" w:rsidRDefault="0074737E">
          <w:pPr>
            <w:pStyle w:val="TDC3"/>
            <w:tabs>
              <w:tab w:val="left" w:pos="1100"/>
              <w:tab w:val="right" w:leader="dot" w:pos="8828"/>
            </w:tabs>
            <w:rPr>
              <w:rFonts w:asciiTheme="minorHAnsi" w:eastAsiaTheme="minorEastAsia" w:hAnsiTheme="minorHAnsi" w:cstheme="minorBidi"/>
              <w:noProof/>
              <w:sz w:val="22"/>
              <w:szCs w:val="22"/>
              <w:lang w:val="es-GT" w:eastAsia="es-GT"/>
            </w:rPr>
          </w:pPr>
          <w:hyperlink w:anchor="_Toc4775338" w:history="1">
            <w:r w:rsidR="00065527" w:rsidRPr="00DD3A04">
              <w:rPr>
                <w:rStyle w:val="Hipervnculo"/>
                <w:noProof/>
              </w:rPr>
              <w:t>1.</w:t>
            </w:r>
            <w:r w:rsidR="00065527">
              <w:rPr>
                <w:rFonts w:asciiTheme="minorHAnsi" w:eastAsiaTheme="minorEastAsia" w:hAnsiTheme="minorHAnsi" w:cstheme="minorBidi"/>
                <w:noProof/>
                <w:sz w:val="22"/>
                <w:szCs w:val="22"/>
                <w:lang w:val="es-GT" w:eastAsia="es-GT"/>
              </w:rPr>
              <w:tab/>
            </w:r>
            <w:r w:rsidR="00065527" w:rsidRPr="00DD3A04">
              <w:rPr>
                <w:rStyle w:val="Hipervnculo"/>
                <w:noProof/>
              </w:rPr>
              <w:t>Indicadores de la Deuda Pública</w:t>
            </w:r>
            <w:r w:rsidR="00065527">
              <w:rPr>
                <w:noProof/>
                <w:webHidden/>
              </w:rPr>
              <w:tab/>
            </w:r>
            <w:r w:rsidR="00065527">
              <w:rPr>
                <w:noProof/>
                <w:webHidden/>
              </w:rPr>
              <w:fldChar w:fldCharType="begin"/>
            </w:r>
            <w:r w:rsidR="00065527">
              <w:rPr>
                <w:noProof/>
                <w:webHidden/>
              </w:rPr>
              <w:instrText xml:space="preserve"> PAGEREF _Toc4775338 \h </w:instrText>
            </w:r>
            <w:r w:rsidR="00065527">
              <w:rPr>
                <w:noProof/>
                <w:webHidden/>
              </w:rPr>
            </w:r>
            <w:r w:rsidR="00065527">
              <w:rPr>
                <w:noProof/>
                <w:webHidden/>
              </w:rPr>
              <w:fldChar w:fldCharType="separate"/>
            </w:r>
            <w:r w:rsidR="00F430BD">
              <w:rPr>
                <w:noProof/>
                <w:webHidden/>
              </w:rPr>
              <w:t>20</w:t>
            </w:r>
            <w:r w:rsidR="00065527">
              <w:rPr>
                <w:noProof/>
                <w:webHidden/>
              </w:rPr>
              <w:fldChar w:fldCharType="end"/>
            </w:r>
          </w:hyperlink>
        </w:p>
        <w:p w:rsidR="00065527" w:rsidRDefault="0074737E">
          <w:pPr>
            <w:pStyle w:val="TDC2"/>
            <w:rPr>
              <w:rFonts w:asciiTheme="minorHAnsi" w:eastAsiaTheme="minorEastAsia" w:hAnsiTheme="minorHAnsi" w:cstheme="minorBidi"/>
              <w:noProof/>
              <w:sz w:val="22"/>
              <w:szCs w:val="22"/>
              <w:lang w:val="es-GT" w:eastAsia="es-GT"/>
            </w:rPr>
          </w:pPr>
          <w:hyperlink w:anchor="_Toc4775339" w:history="1">
            <w:r w:rsidR="00065527" w:rsidRPr="00DD3A04">
              <w:rPr>
                <w:rStyle w:val="Hipervnculo"/>
                <w:noProof/>
              </w:rPr>
              <w:t>C.</w:t>
            </w:r>
            <w:r w:rsidR="00065527">
              <w:rPr>
                <w:rFonts w:asciiTheme="minorHAnsi" w:eastAsiaTheme="minorEastAsia" w:hAnsiTheme="minorHAnsi" w:cstheme="minorBidi"/>
                <w:noProof/>
                <w:sz w:val="22"/>
                <w:szCs w:val="22"/>
                <w:lang w:val="es-GT" w:eastAsia="es-GT"/>
              </w:rPr>
              <w:tab/>
            </w:r>
            <w:r w:rsidR="00065527" w:rsidRPr="00DD3A04">
              <w:rPr>
                <w:rStyle w:val="Hipervnculo"/>
                <w:noProof/>
              </w:rPr>
              <w:t>Ejecución del Gasto Público</w:t>
            </w:r>
            <w:r w:rsidR="00065527">
              <w:rPr>
                <w:noProof/>
                <w:webHidden/>
              </w:rPr>
              <w:tab/>
            </w:r>
            <w:r w:rsidR="00065527">
              <w:rPr>
                <w:noProof/>
                <w:webHidden/>
              </w:rPr>
              <w:fldChar w:fldCharType="begin"/>
            </w:r>
            <w:r w:rsidR="00065527">
              <w:rPr>
                <w:noProof/>
                <w:webHidden/>
              </w:rPr>
              <w:instrText xml:space="preserve"> PAGEREF _Toc4775339 \h </w:instrText>
            </w:r>
            <w:r w:rsidR="00065527">
              <w:rPr>
                <w:noProof/>
                <w:webHidden/>
              </w:rPr>
            </w:r>
            <w:r w:rsidR="00065527">
              <w:rPr>
                <w:noProof/>
                <w:webHidden/>
              </w:rPr>
              <w:fldChar w:fldCharType="separate"/>
            </w:r>
            <w:r w:rsidR="00F430BD">
              <w:rPr>
                <w:noProof/>
                <w:webHidden/>
              </w:rPr>
              <w:t>22</w:t>
            </w:r>
            <w:r w:rsidR="00065527">
              <w:rPr>
                <w:noProof/>
                <w:webHidden/>
              </w:rPr>
              <w:fldChar w:fldCharType="end"/>
            </w:r>
          </w:hyperlink>
        </w:p>
        <w:p w:rsidR="00065527" w:rsidRDefault="0074737E">
          <w:pPr>
            <w:pStyle w:val="TDC3"/>
            <w:tabs>
              <w:tab w:val="left" w:pos="1100"/>
              <w:tab w:val="right" w:leader="dot" w:pos="8828"/>
            </w:tabs>
            <w:rPr>
              <w:rFonts w:asciiTheme="minorHAnsi" w:eastAsiaTheme="minorEastAsia" w:hAnsiTheme="minorHAnsi" w:cstheme="minorBidi"/>
              <w:noProof/>
              <w:sz w:val="22"/>
              <w:szCs w:val="22"/>
              <w:lang w:val="es-GT" w:eastAsia="es-GT"/>
            </w:rPr>
          </w:pPr>
          <w:hyperlink w:anchor="_Toc4775340" w:history="1">
            <w:r w:rsidR="00065527" w:rsidRPr="00DD3A04">
              <w:rPr>
                <w:rStyle w:val="Hipervnculo"/>
                <w:noProof/>
              </w:rPr>
              <w:t>1.</w:t>
            </w:r>
            <w:r w:rsidR="00065527">
              <w:rPr>
                <w:rFonts w:asciiTheme="minorHAnsi" w:eastAsiaTheme="minorEastAsia" w:hAnsiTheme="minorHAnsi" w:cstheme="minorBidi"/>
                <w:noProof/>
                <w:sz w:val="22"/>
                <w:szCs w:val="22"/>
                <w:lang w:val="es-GT" w:eastAsia="es-GT"/>
              </w:rPr>
              <w:tab/>
            </w:r>
            <w:r w:rsidR="00065527" w:rsidRPr="00DD3A04">
              <w:rPr>
                <w:rStyle w:val="Hipervnculo"/>
                <w:noProof/>
              </w:rPr>
              <w:t>Gasto Social y Acuerdos de Paz</w:t>
            </w:r>
            <w:r w:rsidR="00065527">
              <w:rPr>
                <w:noProof/>
                <w:webHidden/>
              </w:rPr>
              <w:tab/>
            </w:r>
            <w:r w:rsidR="00065527">
              <w:rPr>
                <w:noProof/>
                <w:webHidden/>
              </w:rPr>
              <w:fldChar w:fldCharType="begin"/>
            </w:r>
            <w:r w:rsidR="00065527">
              <w:rPr>
                <w:noProof/>
                <w:webHidden/>
              </w:rPr>
              <w:instrText xml:space="preserve"> PAGEREF _Toc4775340 \h </w:instrText>
            </w:r>
            <w:r w:rsidR="00065527">
              <w:rPr>
                <w:noProof/>
                <w:webHidden/>
              </w:rPr>
            </w:r>
            <w:r w:rsidR="00065527">
              <w:rPr>
                <w:noProof/>
                <w:webHidden/>
              </w:rPr>
              <w:fldChar w:fldCharType="separate"/>
            </w:r>
            <w:r w:rsidR="00F430BD">
              <w:rPr>
                <w:noProof/>
                <w:webHidden/>
              </w:rPr>
              <w:t>24</w:t>
            </w:r>
            <w:r w:rsidR="00065527">
              <w:rPr>
                <w:noProof/>
                <w:webHidden/>
              </w:rPr>
              <w:fldChar w:fldCharType="end"/>
            </w:r>
          </w:hyperlink>
        </w:p>
        <w:p w:rsidR="00065527" w:rsidRDefault="0074737E">
          <w:pPr>
            <w:pStyle w:val="TDC3"/>
            <w:tabs>
              <w:tab w:val="left" w:pos="1100"/>
              <w:tab w:val="right" w:leader="dot" w:pos="8828"/>
            </w:tabs>
            <w:rPr>
              <w:rFonts w:asciiTheme="minorHAnsi" w:eastAsiaTheme="minorEastAsia" w:hAnsiTheme="minorHAnsi" w:cstheme="minorBidi"/>
              <w:noProof/>
              <w:sz w:val="22"/>
              <w:szCs w:val="22"/>
              <w:lang w:val="es-GT" w:eastAsia="es-GT"/>
            </w:rPr>
          </w:pPr>
          <w:hyperlink w:anchor="_Toc4775341" w:history="1">
            <w:r w:rsidR="00065527" w:rsidRPr="00DD3A04">
              <w:rPr>
                <w:rStyle w:val="Hipervnculo"/>
                <w:noProof/>
              </w:rPr>
              <w:t>2.</w:t>
            </w:r>
            <w:r w:rsidR="00065527">
              <w:rPr>
                <w:rFonts w:asciiTheme="minorHAnsi" w:eastAsiaTheme="minorEastAsia" w:hAnsiTheme="minorHAnsi" w:cstheme="minorBidi"/>
                <w:noProof/>
                <w:sz w:val="22"/>
                <w:szCs w:val="22"/>
                <w:lang w:val="es-GT" w:eastAsia="es-GT"/>
              </w:rPr>
              <w:tab/>
            </w:r>
            <w:r w:rsidR="00065527" w:rsidRPr="00DD3A04">
              <w:rPr>
                <w:rStyle w:val="Hipervnculo"/>
                <w:noProof/>
                <w:lang w:val="es-MX"/>
              </w:rPr>
              <w:t>Ejecución</w:t>
            </w:r>
            <w:r w:rsidR="00065527" w:rsidRPr="00DD3A04">
              <w:rPr>
                <w:rStyle w:val="Hipervnculo"/>
                <w:noProof/>
              </w:rPr>
              <w:t xml:space="preserve"> de los Fideicomisos p</w:t>
            </w:r>
            <w:r w:rsidR="00065527" w:rsidRPr="00DD3A04">
              <w:rPr>
                <w:rStyle w:val="Hipervnculo"/>
                <w:noProof/>
                <w:lang w:val="es-MX"/>
              </w:rPr>
              <w:t>ara</w:t>
            </w:r>
            <w:r w:rsidR="00065527" w:rsidRPr="00DD3A04">
              <w:rPr>
                <w:rStyle w:val="Hipervnculo"/>
                <w:noProof/>
              </w:rPr>
              <w:t xml:space="preserve"> Programas de Protección Social</w:t>
            </w:r>
            <w:r w:rsidR="00065527">
              <w:rPr>
                <w:noProof/>
                <w:webHidden/>
              </w:rPr>
              <w:tab/>
            </w:r>
            <w:r w:rsidR="00065527">
              <w:rPr>
                <w:noProof/>
                <w:webHidden/>
              </w:rPr>
              <w:fldChar w:fldCharType="begin"/>
            </w:r>
            <w:r w:rsidR="00065527">
              <w:rPr>
                <w:noProof/>
                <w:webHidden/>
              </w:rPr>
              <w:instrText xml:space="preserve"> PAGEREF _Toc4775341 \h </w:instrText>
            </w:r>
            <w:r w:rsidR="00065527">
              <w:rPr>
                <w:noProof/>
                <w:webHidden/>
              </w:rPr>
            </w:r>
            <w:r w:rsidR="00065527">
              <w:rPr>
                <w:noProof/>
                <w:webHidden/>
              </w:rPr>
              <w:fldChar w:fldCharType="separate"/>
            </w:r>
            <w:r w:rsidR="00F430BD">
              <w:rPr>
                <w:noProof/>
                <w:webHidden/>
              </w:rPr>
              <w:t>25</w:t>
            </w:r>
            <w:r w:rsidR="00065527">
              <w:rPr>
                <w:noProof/>
                <w:webHidden/>
              </w:rPr>
              <w:fldChar w:fldCharType="end"/>
            </w:r>
          </w:hyperlink>
        </w:p>
        <w:p w:rsidR="00065527" w:rsidRDefault="0074737E">
          <w:pPr>
            <w:pStyle w:val="TDC3"/>
            <w:tabs>
              <w:tab w:val="left" w:pos="1100"/>
              <w:tab w:val="right" w:leader="dot" w:pos="8828"/>
            </w:tabs>
            <w:rPr>
              <w:rFonts w:asciiTheme="minorHAnsi" w:eastAsiaTheme="minorEastAsia" w:hAnsiTheme="minorHAnsi" w:cstheme="minorBidi"/>
              <w:noProof/>
              <w:sz w:val="22"/>
              <w:szCs w:val="22"/>
              <w:lang w:val="es-GT" w:eastAsia="es-GT"/>
            </w:rPr>
          </w:pPr>
          <w:hyperlink w:anchor="_Toc4775342" w:history="1">
            <w:r w:rsidR="00065527" w:rsidRPr="00DD3A04">
              <w:rPr>
                <w:rStyle w:val="Hipervnculo"/>
                <w:noProof/>
                <w:lang w:val="es-MX"/>
              </w:rPr>
              <w:t>3.</w:t>
            </w:r>
            <w:r w:rsidR="00065527">
              <w:rPr>
                <w:rFonts w:asciiTheme="minorHAnsi" w:eastAsiaTheme="minorEastAsia" w:hAnsiTheme="minorHAnsi" w:cstheme="minorBidi"/>
                <w:noProof/>
                <w:sz w:val="22"/>
                <w:szCs w:val="22"/>
                <w:lang w:val="es-GT" w:eastAsia="es-GT"/>
              </w:rPr>
              <w:tab/>
            </w:r>
            <w:r w:rsidR="00065527" w:rsidRPr="00DD3A04">
              <w:rPr>
                <w:rStyle w:val="Hipervnculo"/>
                <w:noProof/>
              </w:rPr>
              <w:t>Gasto Público ejecutado a través de ONG</w:t>
            </w:r>
            <w:r w:rsidR="00065527">
              <w:rPr>
                <w:noProof/>
                <w:webHidden/>
              </w:rPr>
              <w:tab/>
            </w:r>
            <w:r w:rsidR="00065527">
              <w:rPr>
                <w:noProof/>
                <w:webHidden/>
              </w:rPr>
              <w:fldChar w:fldCharType="begin"/>
            </w:r>
            <w:r w:rsidR="00065527">
              <w:rPr>
                <w:noProof/>
                <w:webHidden/>
              </w:rPr>
              <w:instrText xml:space="preserve"> PAGEREF _Toc4775342 \h </w:instrText>
            </w:r>
            <w:r w:rsidR="00065527">
              <w:rPr>
                <w:noProof/>
                <w:webHidden/>
              </w:rPr>
            </w:r>
            <w:r w:rsidR="00065527">
              <w:rPr>
                <w:noProof/>
                <w:webHidden/>
              </w:rPr>
              <w:fldChar w:fldCharType="separate"/>
            </w:r>
            <w:r w:rsidR="00F430BD">
              <w:rPr>
                <w:noProof/>
                <w:webHidden/>
              </w:rPr>
              <w:t>25</w:t>
            </w:r>
            <w:r w:rsidR="00065527">
              <w:rPr>
                <w:noProof/>
                <w:webHidden/>
              </w:rPr>
              <w:fldChar w:fldCharType="end"/>
            </w:r>
          </w:hyperlink>
        </w:p>
        <w:p w:rsidR="00065527" w:rsidRDefault="0074737E">
          <w:pPr>
            <w:pStyle w:val="TDC2"/>
            <w:rPr>
              <w:rFonts w:asciiTheme="minorHAnsi" w:eastAsiaTheme="minorEastAsia" w:hAnsiTheme="minorHAnsi" w:cstheme="minorBidi"/>
              <w:noProof/>
              <w:sz w:val="22"/>
              <w:szCs w:val="22"/>
              <w:lang w:val="es-GT" w:eastAsia="es-GT"/>
            </w:rPr>
          </w:pPr>
          <w:hyperlink w:anchor="_Toc4775343" w:history="1">
            <w:r w:rsidR="00065527" w:rsidRPr="00DD3A04">
              <w:rPr>
                <w:rStyle w:val="Hipervnculo"/>
                <w:noProof/>
              </w:rPr>
              <w:t>D.</w:t>
            </w:r>
            <w:r w:rsidR="00065527">
              <w:rPr>
                <w:rFonts w:asciiTheme="minorHAnsi" w:eastAsiaTheme="minorEastAsia" w:hAnsiTheme="minorHAnsi" w:cstheme="minorBidi"/>
                <w:noProof/>
                <w:sz w:val="22"/>
                <w:szCs w:val="22"/>
                <w:lang w:val="es-GT" w:eastAsia="es-GT"/>
              </w:rPr>
              <w:tab/>
            </w:r>
            <w:r w:rsidR="00065527" w:rsidRPr="00DD3A04">
              <w:rPr>
                <w:rStyle w:val="Hipervnculo"/>
                <w:noProof/>
              </w:rPr>
              <w:t>Déficit Fiscal Sostenible</w:t>
            </w:r>
            <w:r w:rsidR="00065527">
              <w:rPr>
                <w:noProof/>
                <w:webHidden/>
              </w:rPr>
              <w:tab/>
            </w:r>
            <w:r w:rsidR="00065527">
              <w:rPr>
                <w:noProof/>
                <w:webHidden/>
              </w:rPr>
              <w:fldChar w:fldCharType="begin"/>
            </w:r>
            <w:r w:rsidR="00065527">
              <w:rPr>
                <w:noProof/>
                <w:webHidden/>
              </w:rPr>
              <w:instrText xml:space="preserve"> PAGEREF _Toc4775343 \h </w:instrText>
            </w:r>
            <w:r w:rsidR="00065527">
              <w:rPr>
                <w:noProof/>
                <w:webHidden/>
              </w:rPr>
            </w:r>
            <w:r w:rsidR="00065527">
              <w:rPr>
                <w:noProof/>
                <w:webHidden/>
              </w:rPr>
              <w:fldChar w:fldCharType="separate"/>
            </w:r>
            <w:r w:rsidR="00F430BD">
              <w:rPr>
                <w:noProof/>
                <w:webHidden/>
              </w:rPr>
              <w:t>29</w:t>
            </w:r>
            <w:r w:rsidR="00065527">
              <w:rPr>
                <w:noProof/>
                <w:webHidden/>
              </w:rPr>
              <w:fldChar w:fldCharType="end"/>
            </w:r>
          </w:hyperlink>
        </w:p>
        <w:p w:rsidR="00065527" w:rsidRDefault="0074737E">
          <w:pPr>
            <w:pStyle w:val="TDC2"/>
            <w:rPr>
              <w:rFonts w:asciiTheme="minorHAnsi" w:eastAsiaTheme="minorEastAsia" w:hAnsiTheme="minorHAnsi" w:cstheme="minorBidi"/>
              <w:noProof/>
              <w:sz w:val="22"/>
              <w:szCs w:val="22"/>
              <w:lang w:val="es-GT" w:eastAsia="es-GT"/>
            </w:rPr>
          </w:pPr>
          <w:hyperlink w:anchor="_Toc4775344" w:history="1">
            <w:r w:rsidR="00065527" w:rsidRPr="00DD3A04">
              <w:rPr>
                <w:rStyle w:val="Hipervnculo"/>
                <w:noProof/>
              </w:rPr>
              <w:t>E.</w:t>
            </w:r>
            <w:r w:rsidR="00065527">
              <w:rPr>
                <w:rFonts w:asciiTheme="minorHAnsi" w:eastAsiaTheme="minorEastAsia" w:hAnsiTheme="minorHAnsi" w:cstheme="minorBidi"/>
                <w:noProof/>
                <w:sz w:val="22"/>
                <w:szCs w:val="22"/>
                <w:lang w:val="es-GT" w:eastAsia="es-GT"/>
              </w:rPr>
              <w:tab/>
            </w:r>
            <w:r w:rsidR="00065527" w:rsidRPr="00DD3A04">
              <w:rPr>
                <w:rStyle w:val="Hipervnculo"/>
                <w:noProof/>
              </w:rPr>
              <w:t>Principales Metas y Resultados</w:t>
            </w:r>
            <w:r w:rsidR="00065527">
              <w:rPr>
                <w:noProof/>
                <w:webHidden/>
              </w:rPr>
              <w:tab/>
            </w:r>
            <w:r w:rsidR="00065527">
              <w:rPr>
                <w:noProof/>
                <w:webHidden/>
              </w:rPr>
              <w:fldChar w:fldCharType="begin"/>
            </w:r>
            <w:r w:rsidR="00065527">
              <w:rPr>
                <w:noProof/>
                <w:webHidden/>
              </w:rPr>
              <w:instrText xml:space="preserve"> PAGEREF _Toc4775344 \h </w:instrText>
            </w:r>
            <w:r w:rsidR="00065527">
              <w:rPr>
                <w:noProof/>
                <w:webHidden/>
              </w:rPr>
            </w:r>
            <w:r w:rsidR="00065527">
              <w:rPr>
                <w:noProof/>
                <w:webHidden/>
              </w:rPr>
              <w:fldChar w:fldCharType="separate"/>
            </w:r>
            <w:r w:rsidR="00F430BD">
              <w:rPr>
                <w:noProof/>
                <w:webHidden/>
              </w:rPr>
              <w:t>32</w:t>
            </w:r>
            <w:r w:rsidR="00065527">
              <w:rPr>
                <w:noProof/>
                <w:webHidden/>
              </w:rPr>
              <w:fldChar w:fldCharType="end"/>
            </w:r>
          </w:hyperlink>
        </w:p>
        <w:p w:rsidR="00065527" w:rsidRDefault="0074737E">
          <w:pPr>
            <w:pStyle w:val="TDC2"/>
            <w:rPr>
              <w:rFonts w:asciiTheme="minorHAnsi" w:eastAsiaTheme="minorEastAsia" w:hAnsiTheme="minorHAnsi" w:cstheme="minorBidi"/>
              <w:noProof/>
              <w:sz w:val="22"/>
              <w:szCs w:val="22"/>
              <w:lang w:val="es-GT" w:eastAsia="es-GT"/>
            </w:rPr>
          </w:pPr>
          <w:hyperlink w:anchor="_Toc4775345" w:history="1">
            <w:r w:rsidR="00065527" w:rsidRPr="00DD3A04">
              <w:rPr>
                <w:rStyle w:val="Hipervnculo"/>
                <w:noProof/>
              </w:rPr>
              <w:t>F.</w:t>
            </w:r>
            <w:r w:rsidR="00065527">
              <w:rPr>
                <w:rFonts w:asciiTheme="minorHAnsi" w:eastAsiaTheme="minorEastAsia" w:hAnsiTheme="minorHAnsi" w:cstheme="minorBidi"/>
                <w:noProof/>
                <w:sz w:val="22"/>
                <w:szCs w:val="22"/>
                <w:lang w:val="es-GT" w:eastAsia="es-GT"/>
              </w:rPr>
              <w:tab/>
            </w:r>
            <w:r w:rsidR="00065527" w:rsidRPr="00DD3A04">
              <w:rPr>
                <w:rStyle w:val="Hipervnculo"/>
                <w:noProof/>
              </w:rPr>
              <w:t>Fondos Extrapresupuestarios</w:t>
            </w:r>
            <w:r w:rsidR="00065527">
              <w:rPr>
                <w:noProof/>
                <w:webHidden/>
              </w:rPr>
              <w:tab/>
            </w:r>
            <w:r w:rsidR="00065527">
              <w:rPr>
                <w:noProof/>
                <w:webHidden/>
              </w:rPr>
              <w:fldChar w:fldCharType="begin"/>
            </w:r>
            <w:r w:rsidR="00065527">
              <w:rPr>
                <w:noProof/>
                <w:webHidden/>
              </w:rPr>
              <w:instrText xml:space="preserve"> PAGEREF _Toc4775345 \h </w:instrText>
            </w:r>
            <w:r w:rsidR="00065527">
              <w:rPr>
                <w:noProof/>
                <w:webHidden/>
              </w:rPr>
            </w:r>
            <w:r w:rsidR="00065527">
              <w:rPr>
                <w:noProof/>
                <w:webHidden/>
              </w:rPr>
              <w:fldChar w:fldCharType="separate"/>
            </w:r>
            <w:r w:rsidR="00F430BD">
              <w:rPr>
                <w:noProof/>
                <w:webHidden/>
              </w:rPr>
              <w:t>36</w:t>
            </w:r>
            <w:r w:rsidR="00065527">
              <w:rPr>
                <w:noProof/>
                <w:webHidden/>
              </w:rPr>
              <w:fldChar w:fldCharType="end"/>
            </w:r>
          </w:hyperlink>
        </w:p>
        <w:p w:rsidR="00065527" w:rsidRDefault="0074737E">
          <w:pPr>
            <w:pStyle w:val="TDC1"/>
            <w:tabs>
              <w:tab w:val="left" w:pos="480"/>
              <w:tab w:val="right" w:leader="dot" w:pos="8828"/>
            </w:tabs>
            <w:rPr>
              <w:rFonts w:asciiTheme="minorHAnsi" w:eastAsiaTheme="minorEastAsia" w:hAnsiTheme="minorHAnsi" w:cstheme="minorBidi"/>
              <w:noProof/>
              <w:sz w:val="22"/>
              <w:szCs w:val="22"/>
              <w:lang w:val="es-GT" w:eastAsia="es-GT"/>
            </w:rPr>
          </w:pPr>
          <w:hyperlink w:anchor="_Toc4775346" w:history="1">
            <w:r w:rsidR="00065527" w:rsidRPr="00DD3A04">
              <w:rPr>
                <w:rStyle w:val="Hipervnculo"/>
                <w:noProof/>
                <w:lang w:val="es-MX"/>
              </w:rPr>
              <w:t>V.</w:t>
            </w:r>
            <w:r w:rsidR="00065527">
              <w:rPr>
                <w:rFonts w:asciiTheme="minorHAnsi" w:eastAsiaTheme="minorEastAsia" w:hAnsiTheme="minorHAnsi" w:cstheme="minorBidi"/>
                <w:noProof/>
                <w:sz w:val="22"/>
                <w:szCs w:val="22"/>
                <w:lang w:val="es-GT" w:eastAsia="es-GT"/>
              </w:rPr>
              <w:tab/>
            </w:r>
            <w:r w:rsidR="00065527" w:rsidRPr="00DD3A04">
              <w:rPr>
                <w:rStyle w:val="Hipervnculo"/>
                <w:noProof/>
                <w:lang w:val="es-MX"/>
              </w:rPr>
              <w:t>Logros de la Gestión de las Finanzas Públicas 2018</w:t>
            </w:r>
            <w:r w:rsidR="00065527">
              <w:rPr>
                <w:noProof/>
                <w:webHidden/>
              </w:rPr>
              <w:tab/>
            </w:r>
            <w:r w:rsidR="00065527">
              <w:rPr>
                <w:noProof/>
                <w:webHidden/>
              </w:rPr>
              <w:fldChar w:fldCharType="begin"/>
            </w:r>
            <w:r w:rsidR="00065527">
              <w:rPr>
                <w:noProof/>
                <w:webHidden/>
              </w:rPr>
              <w:instrText xml:space="preserve"> PAGEREF _Toc4775346 \h </w:instrText>
            </w:r>
            <w:r w:rsidR="00065527">
              <w:rPr>
                <w:noProof/>
                <w:webHidden/>
              </w:rPr>
            </w:r>
            <w:r w:rsidR="00065527">
              <w:rPr>
                <w:noProof/>
                <w:webHidden/>
              </w:rPr>
              <w:fldChar w:fldCharType="separate"/>
            </w:r>
            <w:r w:rsidR="00F430BD">
              <w:rPr>
                <w:noProof/>
                <w:webHidden/>
              </w:rPr>
              <w:t>41</w:t>
            </w:r>
            <w:r w:rsidR="00065527">
              <w:rPr>
                <w:noProof/>
                <w:webHidden/>
              </w:rPr>
              <w:fldChar w:fldCharType="end"/>
            </w:r>
          </w:hyperlink>
        </w:p>
        <w:p w:rsidR="00065527" w:rsidRDefault="0074737E">
          <w:pPr>
            <w:pStyle w:val="TDC2"/>
            <w:rPr>
              <w:rFonts w:asciiTheme="minorHAnsi" w:eastAsiaTheme="minorEastAsia" w:hAnsiTheme="minorHAnsi" w:cstheme="minorBidi"/>
              <w:noProof/>
              <w:sz w:val="22"/>
              <w:szCs w:val="22"/>
              <w:lang w:val="es-GT" w:eastAsia="es-GT"/>
            </w:rPr>
          </w:pPr>
          <w:hyperlink w:anchor="_Toc4775347" w:history="1">
            <w:r w:rsidR="00065527" w:rsidRPr="00DD3A04">
              <w:rPr>
                <w:rStyle w:val="Hipervnculo"/>
                <w:rFonts w:eastAsia="Calibri"/>
                <w:noProof/>
                <w:lang w:val="es-GT" w:eastAsia="en-US" w:bidi="en-US"/>
              </w:rPr>
              <w:t>A.</w:t>
            </w:r>
            <w:r w:rsidR="00065527">
              <w:rPr>
                <w:rFonts w:asciiTheme="minorHAnsi" w:eastAsiaTheme="minorEastAsia" w:hAnsiTheme="minorHAnsi" w:cstheme="minorBidi"/>
                <w:noProof/>
                <w:sz w:val="22"/>
                <w:szCs w:val="22"/>
                <w:lang w:val="es-GT" w:eastAsia="es-GT"/>
              </w:rPr>
              <w:tab/>
            </w:r>
            <w:r w:rsidR="00065527" w:rsidRPr="00DD3A04">
              <w:rPr>
                <w:rStyle w:val="Hipervnculo"/>
                <w:rFonts w:eastAsia="Calibri"/>
                <w:noProof/>
                <w:lang w:val="es-GT" w:eastAsia="en-US" w:bidi="en-US"/>
              </w:rPr>
              <w:t>Gobierno Abierto y Transparencia Fiscal</w:t>
            </w:r>
            <w:r w:rsidR="00065527">
              <w:rPr>
                <w:noProof/>
                <w:webHidden/>
              </w:rPr>
              <w:tab/>
            </w:r>
            <w:r w:rsidR="00065527">
              <w:rPr>
                <w:noProof/>
                <w:webHidden/>
              </w:rPr>
              <w:fldChar w:fldCharType="begin"/>
            </w:r>
            <w:r w:rsidR="00065527">
              <w:rPr>
                <w:noProof/>
                <w:webHidden/>
              </w:rPr>
              <w:instrText xml:space="preserve"> PAGEREF _Toc4775347 \h </w:instrText>
            </w:r>
            <w:r w:rsidR="00065527">
              <w:rPr>
                <w:noProof/>
                <w:webHidden/>
              </w:rPr>
            </w:r>
            <w:r w:rsidR="00065527">
              <w:rPr>
                <w:noProof/>
                <w:webHidden/>
              </w:rPr>
              <w:fldChar w:fldCharType="separate"/>
            </w:r>
            <w:r w:rsidR="00F430BD">
              <w:rPr>
                <w:noProof/>
                <w:webHidden/>
              </w:rPr>
              <w:t>41</w:t>
            </w:r>
            <w:r w:rsidR="00065527">
              <w:rPr>
                <w:noProof/>
                <w:webHidden/>
              </w:rPr>
              <w:fldChar w:fldCharType="end"/>
            </w:r>
          </w:hyperlink>
        </w:p>
        <w:p w:rsidR="00065527" w:rsidRDefault="0074737E">
          <w:pPr>
            <w:pStyle w:val="TDC2"/>
            <w:rPr>
              <w:rFonts w:asciiTheme="minorHAnsi" w:eastAsiaTheme="minorEastAsia" w:hAnsiTheme="minorHAnsi" w:cstheme="minorBidi"/>
              <w:noProof/>
              <w:sz w:val="22"/>
              <w:szCs w:val="22"/>
              <w:lang w:val="es-GT" w:eastAsia="es-GT"/>
            </w:rPr>
          </w:pPr>
          <w:hyperlink w:anchor="_Toc4775348" w:history="1">
            <w:r w:rsidR="00065527" w:rsidRPr="00DD3A04">
              <w:rPr>
                <w:rStyle w:val="Hipervnculo"/>
                <w:rFonts w:eastAsia="Calibri"/>
                <w:noProof/>
                <w:lang w:val="es-GT" w:eastAsia="en-US" w:bidi="en-US"/>
              </w:rPr>
              <w:t>B.</w:t>
            </w:r>
            <w:r w:rsidR="00065527">
              <w:rPr>
                <w:rFonts w:asciiTheme="minorHAnsi" w:eastAsiaTheme="minorEastAsia" w:hAnsiTheme="minorHAnsi" w:cstheme="minorBidi"/>
                <w:noProof/>
                <w:sz w:val="22"/>
                <w:szCs w:val="22"/>
                <w:lang w:val="es-GT" w:eastAsia="es-GT"/>
              </w:rPr>
              <w:tab/>
            </w:r>
            <w:r w:rsidR="00065527" w:rsidRPr="00DD3A04">
              <w:rPr>
                <w:rStyle w:val="Hipervnculo"/>
                <w:rFonts w:eastAsia="Calibri"/>
                <w:noProof/>
                <w:lang w:val="es-GT" w:eastAsia="en-US" w:bidi="en-US"/>
              </w:rPr>
              <w:t>Institucionalización de los Talleres de Presupuesto Abierto</w:t>
            </w:r>
            <w:r w:rsidR="00065527">
              <w:rPr>
                <w:noProof/>
                <w:webHidden/>
              </w:rPr>
              <w:tab/>
            </w:r>
            <w:r w:rsidR="00065527">
              <w:rPr>
                <w:noProof/>
                <w:webHidden/>
              </w:rPr>
              <w:fldChar w:fldCharType="begin"/>
            </w:r>
            <w:r w:rsidR="00065527">
              <w:rPr>
                <w:noProof/>
                <w:webHidden/>
              </w:rPr>
              <w:instrText xml:space="preserve"> PAGEREF _Toc4775348 \h </w:instrText>
            </w:r>
            <w:r w:rsidR="00065527">
              <w:rPr>
                <w:noProof/>
                <w:webHidden/>
              </w:rPr>
            </w:r>
            <w:r w:rsidR="00065527">
              <w:rPr>
                <w:noProof/>
                <w:webHidden/>
              </w:rPr>
              <w:fldChar w:fldCharType="separate"/>
            </w:r>
            <w:r w:rsidR="00F430BD">
              <w:rPr>
                <w:noProof/>
                <w:webHidden/>
              </w:rPr>
              <w:t>43</w:t>
            </w:r>
            <w:r w:rsidR="00065527">
              <w:rPr>
                <w:noProof/>
                <w:webHidden/>
              </w:rPr>
              <w:fldChar w:fldCharType="end"/>
            </w:r>
          </w:hyperlink>
        </w:p>
        <w:p w:rsidR="00065527" w:rsidRDefault="0074737E">
          <w:pPr>
            <w:pStyle w:val="TDC2"/>
            <w:rPr>
              <w:rFonts w:asciiTheme="minorHAnsi" w:eastAsiaTheme="minorEastAsia" w:hAnsiTheme="minorHAnsi" w:cstheme="minorBidi"/>
              <w:noProof/>
              <w:sz w:val="22"/>
              <w:szCs w:val="22"/>
              <w:lang w:val="es-GT" w:eastAsia="es-GT"/>
            </w:rPr>
          </w:pPr>
          <w:hyperlink w:anchor="_Toc4775349" w:history="1">
            <w:r w:rsidR="00065527" w:rsidRPr="00DD3A04">
              <w:rPr>
                <w:rStyle w:val="Hipervnculo"/>
                <w:rFonts w:eastAsia="Calibri"/>
                <w:noProof/>
                <w:lang w:val="es-GT" w:eastAsia="en-US" w:bidi="en-US"/>
              </w:rPr>
              <w:t>C.</w:t>
            </w:r>
            <w:r w:rsidR="00065527">
              <w:rPr>
                <w:rFonts w:asciiTheme="minorHAnsi" w:eastAsiaTheme="minorEastAsia" w:hAnsiTheme="minorHAnsi" w:cstheme="minorBidi"/>
                <w:noProof/>
                <w:sz w:val="22"/>
                <w:szCs w:val="22"/>
                <w:lang w:val="es-GT" w:eastAsia="es-GT"/>
              </w:rPr>
              <w:tab/>
            </w:r>
            <w:r w:rsidR="00065527" w:rsidRPr="00DD3A04">
              <w:rPr>
                <w:rStyle w:val="Hipervnculo"/>
                <w:rFonts w:eastAsia="Calibri"/>
                <w:noProof/>
                <w:lang w:val="es-GT" w:eastAsia="en-US" w:bidi="en-US"/>
              </w:rPr>
              <w:t>Mejora en la Calificación del Índice de Presupuesto Abierto (OBI)</w:t>
            </w:r>
            <w:r w:rsidR="00065527">
              <w:rPr>
                <w:noProof/>
                <w:webHidden/>
              </w:rPr>
              <w:tab/>
            </w:r>
            <w:r w:rsidR="00065527">
              <w:rPr>
                <w:noProof/>
                <w:webHidden/>
              </w:rPr>
              <w:fldChar w:fldCharType="begin"/>
            </w:r>
            <w:r w:rsidR="00065527">
              <w:rPr>
                <w:noProof/>
                <w:webHidden/>
              </w:rPr>
              <w:instrText xml:space="preserve"> PAGEREF _Toc4775349 \h </w:instrText>
            </w:r>
            <w:r w:rsidR="00065527">
              <w:rPr>
                <w:noProof/>
                <w:webHidden/>
              </w:rPr>
            </w:r>
            <w:r w:rsidR="00065527">
              <w:rPr>
                <w:noProof/>
                <w:webHidden/>
              </w:rPr>
              <w:fldChar w:fldCharType="separate"/>
            </w:r>
            <w:r w:rsidR="00F430BD">
              <w:rPr>
                <w:noProof/>
                <w:webHidden/>
              </w:rPr>
              <w:t>43</w:t>
            </w:r>
            <w:r w:rsidR="00065527">
              <w:rPr>
                <w:noProof/>
                <w:webHidden/>
              </w:rPr>
              <w:fldChar w:fldCharType="end"/>
            </w:r>
          </w:hyperlink>
        </w:p>
        <w:p w:rsidR="00065527" w:rsidRDefault="0074737E">
          <w:pPr>
            <w:pStyle w:val="TDC2"/>
            <w:rPr>
              <w:rFonts w:asciiTheme="minorHAnsi" w:eastAsiaTheme="minorEastAsia" w:hAnsiTheme="minorHAnsi" w:cstheme="minorBidi"/>
              <w:noProof/>
              <w:sz w:val="22"/>
              <w:szCs w:val="22"/>
              <w:lang w:val="es-GT" w:eastAsia="es-GT"/>
            </w:rPr>
          </w:pPr>
          <w:hyperlink w:anchor="_Toc4775350" w:history="1">
            <w:r w:rsidR="00065527" w:rsidRPr="00DD3A04">
              <w:rPr>
                <w:rStyle w:val="Hipervnculo"/>
                <w:rFonts w:eastAsia="Calibri"/>
                <w:noProof/>
                <w:lang w:val="es-GT" w:eastAsia="en-US" w:bidi="en-US"/>
              </w:rPr>
              <w:t>D.</w:t>
            </w:r>
            <w:r w:rsidR="00065527">
              <w:rPr>
                <w:rFonts w:asciiTheme="minorHAnsi" w:eastAsiaTheme="minorEastAsia" w:hAnsiTheme="minorHAnsi" w:cstheme="minorBidi"/>
                <w:noProof/>
                <w:sz w:val="22"/>
                <w:szCs w:val="22"/>
                <w:lang w:val="es-GT" w:eastAsia="es-GT"/>
              </w:rPr>
              <w:tab/>
            </w:r>
            <w:r w:rsidR="00065527" w:rsidRPr="00DD3A04">
              <w:rPr>
                <w:rStyle w:val="Hipervnculo"/>
                <w:rFonts w:eastAsia="Calibri"/>
                <w:noProof/>
                <w:lang w:val="es-GT" w:eastAsia="en-US" w:bidi="en-US"/>
              </w:rPr>
              <w:t>Lanzamiento del Portal de Datos Abiertos</w:t>
            </w:r>
            <w:r w:rsidR="00065527">
              <w:rPr>
                <w:noProof/>
                <w:webHidden/>
              </w:rPr>
              <w:tab/>
            </w:r>
            <w:r w:rsidR="00065527">
              <w:rPr>
                <w:noProof/>
                <w:webHidden/>
              </w:rPr>
              <w:fldChar w:fldCharType="begin"/>
            </w:r>
            <w:r w:rsidR="00065527">
              <w:rPr>
                <w:noProof/>
                <w:webHidden/>
              </w:rPr>
              <w:instrText xml:space="preserve"> PAGEREF _Toc4775350 \h </w:instrText>
            </w:r>
            <w:r w:rsidR="00065527">
              <w:rPr>
                <w:noProof/>
                <w:webHidden/>
              </w:rPr>
            </w:r>
            <w:r w:rsidR="00065527">
              <w:rPr>
                <w:noProof/>
                <w:webHidden/>
              </w:rPr>
              <w:fldChar w:fldCharType="separate"/>
            </w:r>
            <w:r w:rsidR="00F430BD">
              <w:rPr>
                <w:noProof/>
                <w:webHidden/>
              </w:rPr>
              <w:t>44</w:t>
            </w:r>
            <w:r w:rsidR="00065527">
              <w:rPr>
                <w:noProof/>
                <w:webHidden/>
              </w:rPr>
              <w:fldChar w:fldCharType="end"/>
            </w:r>
          </w:hyperlink>
        </w:p>
        <w:p w:rsidR="00065527" w:rsidRDefault="0074737E">
          <w:pPr>
            <w:pStyle w:val="TDC2"/>
            <w:rPr>
              <w:rFonts w:asciiTheme="minorHAnsi" w:eastAsiaTheme="minorEastAsia" w:hAnsiTheme="minorHAnsi" w:cstheme="minorBidi"/>
              <w:noProof/>
              <w:sz w:val="22"/>
              <w:szCs w:val="22"/>
              <w:lang w:val="es-GT" w:eastAsia="es-GT"/>
            </w:rPr>
          </w:pPr>
          <w:hyperlink w:anchor="_Toc4775351" w:history="1">
            <w:r w:rsidR="00065527" w:rsidRPr="00DD3A04">
              <w:rPr>
                <w:rStyle w:val="Hipervnculo"/>
                <w:rFonts w:eastAsia="Calibri"/>
                <w:noProof/>
                <w:lang w:val="es-GT" w:eastAsia="en-US" w:bidi="en-US"/>
              </w:rPr>
              <w:t>E.</w:t>
            </w:r>
            <w:r w:rsidR="00065527">
              <w:rPr>
                <w:rFonts w:asciiTheme="minorHAnsi" w:eastAsiaTheme="minorEastAsia" w:hAnsiTheme="minorHAnsi" w:cstheme="minorBidi"/>
                <w:noProof/>
                <w:sz w:val="22"/>
                <w:szCs w:val="22"/>
                <w:lang w:val="es-GT" w:eastAsia="es-GT"/>
              </w:rPr>
              <w:tab/>
            </w:r>
            <w:r w:rsidR="00065527" w:rsidRPr="00DD3A04">
              <w:rPr>
                <w:rStyle w:val="Hipervnculo"/>
                <w:rFonts w:eastAsia="Calibri"/>
                <w:noProof/>
                <w:lang w:val="es-GT" w:eastAsia="en-US" w:bidi="en-US"/>
              </w:rPr>
              <w:t>Gestión de Riesgos Fiscales</w:t>
            </w:r>
            <w:r w:rsidR="00065527">
              <w:rPr>
                <w:noProof/>
                <w:webHidden/>
              </w:rPr>
              <w:tab/>
            </w:r>
            <w:r w:rsidR="00065527">
              <w:rPr>
                <w:noProof/>
                <w:webHidden/>
              </w:rPr>
              <w:fldChar w:fldCharType="begin"/>
            </w:r>
            <w:r w:rsidR="00065527">
              <w:rPr>
                <w:noProof/>
                <w:webHidden/>
              </w:rPr>
              <w:instrText xml:space="preserve"> PAGEREF _Toc4775351 \h </w:instrText>
            </w:r>
            <w:r w:rsidR="00065527">
              <w:rPr>
                <w:noProof/>
                <w:webHidden/>
              </w:rPr>
            </w:r>
            <w:r w:rsidR="00065527">
              <w:rPr>
                <w:noProof/>
                <w:webHidden/>
              </w:rPr>
              <w:fldChar w:fldCharType="separate"/>
            </w:r>
            <w:r w:rsidR="00F430BD">
              <w:rPr>
                <w:noProof/>
                <w:webHidden/>
              </w:rPr>
              <w:t>45</w:t>
            </w:r>
            <w:r w:rsidR="00065527">
              <w:rPr>
                <w:noProof/>
                <w:webHidden/>
              </w:rPr>
              <w:fldChar w:fldCharType="end"/>
            </w:r>
          </w:hyperlink>
        </w:p>
        <w:p w:rsidR="00065527" w:rsidRDefault="0074737E">
          <w:pPr>
            <w:pStyle w:val="TDC2"/>
            <w:rPr>
              <w:rFonts w:asciiTheme="minorHAnsi" w:eastAsiaTheme="minorEastAsia" w:hAnsiTheme="minorHAnsi" w:cstheme="minorBidi"/>
              <w:noProof/>
              <w:sz w:val="22"/>
              <w:szCs w:val="22"/>
              <w:lang w:val="es-GT" w:eastAsia="es-GT"/>
            </w:rPr>
          </w:pPr>
          <w:hyperlink w:anchor="_Toc4775352" w:history="1">
            <w:r w:rsidR="00065527" w:rsidRPr="00DD3A04">
              <w:rPr>
                <w:rStyle w:val="Hipervnculo"/>
                <w:rFonts w:eastAsia="Calibri"/>
                <w:noProof/>
                <w:lang w:val="es-GT" w:eastAsia="en-US" w:bidi="en-US"/>
              </w:rPr>
              <w:t>F.</w:t>
            </w:r>
            <w:r w:rsidR="00065527">
              <w:rPr>
                <w:rFonts w:asciiTheme="minorHAnsi" w:eastAsiaTheme="minorEastAsia" w:hAnsiTheme="minorHAnsi" w:cstheme="minorBidi"/>
                <w:noProof/>
                <w:sz w:val="22"/>
                <w:szCs w:val="22"/>
                <w:lang w:val="es-GT" w:eastAsia="es-GT"/>
              </w:rPr>
              <w:tab/>
            </w:r>
            <w:r w:rsidR="00065527" w:rsidRPr="00DD3A04">
              <w:rPr>
                <w:rStyle w:val="Hipervnculo"/>
                <w:rFonts w:eastAsia="Calibri"/>
                <w:noProof/>
                <w:lang w:val="es-GT" w:eastAsia="en-US" w:bidi="en-US"/>
              </w:rPr>
              <w:t>Contrataciones Públicas</w:t>
            </w:r>
            <w:r w:rsidR="00065527">
              <w:rPr>
                <w:noProof/>
                <w:webHidden/>
              </w:rPr>
              <w:tab/>
            </w:r>
            <w:r w:rsidR="00065527">
              <w:rPr>
                <w:noProof/>
                <w:webHidden/>
              </w:rPr>
              <w:fldChar w:fldCharType="begin"/>
            </w:r>
            <w:r w:rsidR="00065527">
              <w:rPr>
                <w:noProof/>
                <w:webHidden/>
              </w:rPr>
              <w:instrText xml:space="preserve"> PAGEREF _Toc4775352 \h </w:instrText>
            </w:r>
            <w:r w:rsidR="00065527">
              <w:rPr>
                <w:noProof/>
                <w:webHidden/>
              </w:rPr>
            </w:r>
            <w:r w:rsidR="00065527">
              <w:rPr>
                <w:noProof/>
                <w:webHidden/>
              </w:rPr>
              <w:fldChar w:fldCharType="separate"/>
            </w:r>
            <w:r w:rsidR="00F430BD">
              <w:rPr>
                <w:noProof/>
                <w:webHidden/>
              </w:rPr>
              <w:t>45</w:t>
            </w:r>
            <w:r w:rsidR="00065527">
              <w:rPr>
                <w:noProof/>
                <w:webHidden/>
              </w:rPr>
              <w:fldChar w:fldCharType="end"/>
            </w:r>
          </w:hyperlink>
        </w:p>
        <w:p w:rsidR="00AE2697" w:rsidRPr="00124AD6" w:rsidRDefault="00782AE7" w:rsidP="000F4303">
          <w:pPr>
            <w:pStyle w:val="TDC2"/>
            <w:ind w:left="0"/>
          </w:pPr>
          <w:r w:rsidRPr="00124AD6">
            <w:rPr>
              <w:b/>
              <w:bCs/>
            </w:rPr>
            <w:fldChar w:fldCharType="end"/>
          </w:r>
        </w:p>
      </w:sdtContent>
    </w:sdt>
    <w:bookmarkStart w:id="1" w:name="_Toc411001584" w:displacedByCustomXml="prev"/>
    <w:p w:rsidR="004B710F" w:rsidRDefault="004B710F">
      <w:r w:rsidRPr="00124AD6">
        <w:br w:type="page"/>
      </w:r>
    </w:p>
    <w:p w:rsidR="00564A01" w:rsidRPr="00124AD6" w:rsidRDefault="00564A01" w:rsidP="00564A01">
      <w:pPr>
        <w:pStyle w:val="Ttulo1"/>
        <w:rPr>
          <w:lang w:val="es-MX"/>
        </w:rPr>
      </w:pPr>
      <w:bookmarkStart w:id="2" w:name="_Toc4742458"/>
      <w:bookmarkStart w:id="3" w:name="_Toc4775331"/>
      <w:bookmarkStart w:id="4" w:name="_Toc417992518"/>
      <w:r w:rsidRPr="00124AD6">
        <w:rPr>
          <w:lang w:val="es-MX"/>
        </w:rPr>
        <w:lastRenderedPageBreak/>
        <w:t>Entorno Macroeconómico Internacional</w:t>
      </w:r>
      <w:bookmarkEnd w:id="2"/>
      <w:bookmarkEnd w:id="3"/>
    </w:p>
    <w:p w:rsidR="00564A01" w:rsidRPr="00124AD6" w:rsidRDefault="00564A01" w:rsidP="00564A01">
      <w:pPr>
        <w:rPr>
          <w:lang w:val="es-MX"/>
        </w:rPr>
      </w:pPr>
    </w:p>
    <w:p w:rsidR="00564A01" w:rsidRPr="003745E2" w:rsidRDefault="00564A01" w:rsidP="00564A01">
      <w:pPr>
        <w:pStyle w:val="Default"/>
        <w:jc w:val="both"/>
        <w:rPr>
          <w:rFonts w:ascii="Times New Roman" w:hAnsi="Times New Roman" w:cs="Times New Roman"/>
          <w:color w:val="auto"/>
        </w:rPr>
      </w:pPr>
      <w:r w:rsidRPr="00342AAF">
        <w:rPr>
          <w:rFonts w:ascii="Times New Roman" w:hAnsi="Times New Roman" w:cs="Times New Roman"/>
          <w:color w:val="auto"/>
        </w:rPr>
        <w:t>En 201</w:t>
      </w:r>
      <w:r>
        <w:rPr>
          <w:rFonts w:ascii="Times New Roman" w:hAnsi="Times New Roman" w:cs="Times New Roman"/>
          <w:color w:val="auto"/>
        </w:rPr>
        <w:t>8</w:t>
      </w:r>
      <w:r w:rsidRPr="00342AAF">
        <w:rPr>
          <w:rFonts w:ascii="Times New Roman" w:hAnsi="Times New Roman" w:cs="Times New Roman"/>
          <w:color w:val="auto"/>
        </w:rPr>
        <w:t xml:space="preserve"> la economía mundial registró un crecimiento estima</w:t>
      </w:r>
      <w:r>
        <w:rPr>
          <w:rFonts w:ascii="Times New Roman" w:hAnsi="Times New Roman" w:cs="Times New Roman"/>
          <w:color w:val="auto"/>
        </w:rPr>
        <w:t>do</w:t>
      </w:r>
      <w:r w:rsidRPr="00342AAF">
        <w:rPr>
          <w:rFonts w:ascii="Times New Roman" w:hAnsi="Times New Roman" w:cs="Times New Roman"/>
          <w:color w:val="auto"/>
        </w:rPr>
        <w:t xml:space="preserve"> </w:t>
      </w:r>
      <w:r>
        <w:rPr>
          <w:rFonts w:ascii="Times New Roman" w:hAnsi="Times New Roman" w:cs="Times New Roman"/>
          <w:color w:val="auto"/>
        </w:rPr>
        <w:t>de</w:t>
      </w:r>
      <w:r w:rsidRPr="00342AAF">
        <w:rPr>
          <w:rFonts w:ascii="Times New Roman" w:hAnsi="Times New Roman" w:cs="Times New Roman"/>
          <w:color w:val="auto"/>
        </w:rPr>
        <w:t xml:space="preserve"> 3</w:t>
      </w:r>
      <w:r>
        <w:rPr>
          <w:rFonts w:ascii="Times New Roman" w:hAnsi="Times New Roman" w:cs="Times New Roman"/>
          <w:color w:val="auto"/>
        </w:rPr>
        <w:t>.</w:t>
      </w:r>
      <w:r w:rsidRPr="00342AAF">
        <w:rPr>
          <w:rFonts w:ascii="Times New Roman" w:hAnsi="Times New Roman" w:cs="Times New Roman"/>
          <w:color w:val="auto"/>
        </w:rPr>
        <w:t xml:space="preserve">7%; </w:t>
      </w:r>
      <w:r>
        <w:rPr>
          <w:rFonts w:ascii="Times New Roman" w:hAnsi="Times New Roman" w:cs="Times New Roman"/>
          <w:color w:val="auto"/>
        </w:rPr>
        <w:t>conforme a lo pronosticado</w:t>
      </w:r>
      <w:r w:rsidRPr="00342AAF">
        <w:rPr>
          <w:rFonts w:ascii="Times New Roman" w:hAnsi="Times New Roman" w:cs="Times New Roman"/>
          <w:color w:val="auto"/>
        </w:rPr>
        <w:t xml:space="preserve">. </w:t>
      </w:r>
      <w:r>
        <w:rPr>
          <w:rFonts w:ascii="Times New Roman" w:hAnsi="Times New Roman" w:cs="Times New Roman"/>
          <w:color w:val="auto"/>
        </w:rPr>
        <w:t xml:space="preserve"> Pese al menor desempeño proyectado </w:t>
      </w:r>
      <w:r w:rsidRPr="003745E2">
        <w:rPr>
          <w:rFonts w:ascii="Times New Roman" w:hAnsi="Times New Roman" w:cs="Times New Roman"/>
          <w:color w:val="auto"/>
        </w:rPr>
        <w:t>particularmente en Europa y Asia. Se proyecta que la economía mundial crezca 3</w:t>
      </w:r>
      <w:r>
        <w:rPr>
          <w:rFonts w:ascii="Times New Roman" w:hAnsi="Times New Roman" w:cs="Times New Roman"/>
          <w:color w:val="auto"/>
        </w:rPr>
        <w:t>.</w:t>
      </w:r>
      <w:r w:rsidRPr="003745E2">
        <w:rPr>
          <w:rFonts w:ascii="Times New Roman" w:hAnsi="Times New Roman" w:cs="Times New Roman"/>
          <w:color w:val="auto"/>
        </w:rPr>
        <w:t>5% en 2019 y 3</w:t>
      </w:r>
      <w:r>
        <w:rPr>
          <w:rFonts w:ascii="Times New Roman" w:hAnsi="Times New Roman" w:cs="Times New Roman"/>
          <w:color w:val="auto"/>
        </w:rPr>
        <w:t>.</w:t>
      </w:r>
      <w:r w:rsidRPr="003745E2">
        <w:rPr>
          <w:rFonts w:ascii="Times New Roman" w:hAnsi="Times New Roman" w:cs="Times New Roman"/>
          <w:color w:val="auto"/>
        </w:rPr>
        <w:t>6% en 2020</w:t>
      </w:r>
      <w:r>
        <w:rPr>
          <w:rFonts w:ascii="Times New Roman" w:hAnsi="Times New Roman" w:cs="Times New Roman"/>
          <w:color w:val="auto"/>
        </w:rPr>
        <w:t>.</w:t>
      </w:r>
    </w:p>
    <w:p w:rsidR="00564A01" w:rsidRDefault="00564A01" w:rsidP="00564A01">
      <w:pPr>
        <w:pStyle w:val="Default"/>
        <w:jc w:val="both"/>
        <w:rPr>
          <w:rFonts w:ascii="Times New Roman" w:hAnsi="Times New Roman" w:cs="Times New Roman"/>
          <w:color w:val="auto"/>
        </w:rPr>
      </w:pPr>
    </w:p>
    <w:p w:rsidR="00564A01" w:rsidRPr="003745E2" w:rsidRDefault="00564A01" w:rsidP="00564A01">
      <w:pPr>
        <w:autoSpaceDE w:val="0"/>
        <w:autoSpaceDN w:val="0"/>
        <w:adjustRightInd w:val="0"/>
        <w:jc w:val="both"/>
      </w:pPr>
      <w:r w:rsidRPr="003745E2">
        <w:t>Los pronósticos de crecimiento mundial correspondientes a 2019 y 2020 se revisaron a la baja en el último informe WEO</w:t>
      </w:r>
      <w:r>
        <w:t xml:space="preserve"> del Banco Mundial</w:t>
      </w:r>
      <w:r w:rsidRPr="003745E2">
        <w:t xml:space="preserve">, a </w:t>
      </w:r>
      <w:r>
        <w:t xml:space="preserve">partir de los efectos negativos del </w:t>
      </w:r>
      <w:r w:rsidRPr="003745E2">
        <w:t xml:space="preserve">aumento de aranceles </w:t>
      </w:r>
      <w:r>
        <w:t>por parte de</w:t>
      </w:r>
      <w:r w:rsidRPr="003745E2">
        <w:t xml:space="preserve"> Estados Unidos y China. </w:t>
      </w:r>
    </w:p>
    <w:p w:rsidR="00564A01" w:rsidRDefault="00564A01" w:rsidP="00564A01">
      <w:pPr>
        <w:pStyle w:val="Default"/>
        <w:jc w:val="both"/>
        <w:rPr>
          <w:rFonts w:ascii="Times New Roman" w:hAnsi="Times New Roman" w:cs="Times New Roman"/>
          <w:color w:val="auto"/>
        </w:rPr>
      </w:pPr>
    </w:p>
    <w:p w:rsidR="00564A01" w:rsidRPr="00190F0E" w:rsidRDefault="00564A01" w:rsidP="00564A01">
      <w:pPr>
        <w:jc w:val="center"/>
        <w:rPr>
          <w:b/>
        </w:rPr>
      </w:pPr>
      <w:r w:rsidRPr="00190F0E">
        <w:rPr>
          <w:b/>
        </w:rPr>
        <w:t>Cuadro 1</w:t>
      </w:r>
    </w:p>
    <w:p w:rsidR="00564A01" w:rsidRPr="00124AD6" w:rsidRDefault="00564A01" w:rsidP="00564A01">
      <w:pPr>
        <w:autoSpaceDE w:val="0"/>
        <w:autoSpaceDN w:val="0"/>
        <w:adjustRightInd w:val="0"/>
        <w:jc w:val="center"/>
        <w:rPr>
          <w:rFonts w:eastAsia="Calibri"/>
          <w:color w:val="000000"/>
          <w:lang w:val="es-GT" w:eastAsia="es-GT"/>
        </w:rPr>
      </w:pPr>
      <w:r w:rsidRPr="00124AD6">
        <w:rPr>
          <w:rFonts w:eastAsia="Calibri"/>
          <w:b/>
          <w:bCs/>
          <w:color w:val="000000"/>
          <w:lang w:val="es-GT" w:eastAsia="es-GT"/>
        </w:rPr>
        <w:t>Crecimiento Económico Mundial</w:t>
      </w:r>
    </w:p>
    <w:p w:rsidR="00564A01" w:rsidRDefault="00564A01" w:rsidP="00564A01">
      <w:pPr>
        <w:autoSpaceDE w:val="0"/>
        <w:autoSpaceDN w:val="0"/>
        <w:adjustRightInd w:val="0"/>
        <w:jc w:val="center"/>
        <w:rPr>
          <w:rFonts w:eastAsia="Calibri"/>
          <w:b/>
          <w:bCs/>
          <w:color w:val="000000"/>
          <w:lang w:val="es-GT" w:eastAsia="es-GT"/>
        </w:rPr>
      </w:pPr>
      <w:r>
        <w:rPr>
          <w:rFonts w:eastAsia="Calibri"/>
          <w:b/>
          <w:bCs/>
          <w:color w:val="000000"/>
          <w:lang w:val="es-GT" w:eastAsia="es-GT"/>
        </w:rPr>
        <w:t xml:space="preserve">Período </w:t>
      </w:r>
      <w:r w:rsidRPr="00124AD6">
        <w:rPr>
          <w:rFonts w:eastAsia="Calibri"/>
          <w:b/>
          <w:bCs/>
          <w:color w:val="000000"/>
          <w:lang w:val="es-GT" w:eastAsia="es-GT"/>
        </w:rPr>
        <w:t>20</w:t>
      </w:r>
      <w:r>
        <w:rPr>
          <w:rFonts w:eastAsia="Calibri"/>
          <w:b/>
          <w:bCs/>
          <w:color w:val="000000"/>
          <w:lang w:val="es-GT" w:eastAsia="es-GT"/>
        </w:rPr>
        <w:t>17</w:t>
      </w:r>
      <w:r w:rsidRPr="00124AD6">
        <w:rPr>
          <w:rFonts w:eastAsia="Calibri"/>
          <w:b/>
          <w:bCs/>
          <w:color w:val="000000"/>
          <w:lang w:val="es-GT" w:eastAsia="es-GT"/>
        </w:rPr>
        <w:t>-</w:t>
      </w:r>
      <w:r>
        <w:rPr>
          <w:rFonts w:eastAsia="Calibri"/>
          <w:b/>
          <w:bCs/>
          <w:color w:val="000000"/>
          <w:lang w:val="es-GT" w:eastAsia="es-GT"/>
        </w:rPr>
        <w:t>2020</w:t>
      </w:r>
    </w:p>
    <w:p w:rsidR="00564A01" w:rsidRDefault="00CC7E0D" w:rsidP="00564A01">
      <w:pPr>
        <w:autoSpaceDE w:val="0"/>
        <w:autoSpaceDN w:val="0"/>
        <w:adjustRightInd w:val="0"/>
        <w:jc w:val="center"/>
        <w:rPr>
          <w:rFonts w:eastAsia="Calibri"/>
          <w:b/>
          <w:color w:val="000000"/>
          <w:lang w:val="es-GT" w:eastAsia="es-GT"/>
        </w:rPr>
      </w:pPr>
      <w:r>
        <w:rPr>
          <w:rFonts w:eastAsia="Calibri"/>
          <w:b/>
          <w:bCs/>
          <w:color w:val="000000"/>
          <w:lang w:val="es-GT" w:eastAsia="es-GT"/>
        </w:rPr>
        <w:t>(</w:t>
      </w:r>
      <w:r w:rsidR="00564A01">
        <w:rPr>
          <w:rFonts w:eastAsia="Calibri"/>
          <w:b/>
          <w:bCs/>
          <w:color w:val="000000"/>
          <w:lang w:val="es-GT" w:eastAsia="es-GT"/>
        </w:rPr>
        <w:t xml:space="preserve">Cifras en </w:t>
      </w:r>
      <w:r>
        <w:rPr>
          <w:rFonts w:eastAsia="Calibri"/>
          <w:b/>
          <w:bCs/>
          <w:color w:val="000000"/>
          <w:lang w:val="es-GT" w:eastAsia="es-GT"/>
        </w:rPr>
        <w:t>P</w:t>
      </w:r>
      <w:r w:rsidR="00564A01" w:rsidRPr="00190F0E">
        <w:rPr>
          <w:rFonts w:eastAsia="Calibri"/>
          <w:b/>
          <w:color w:val="000000"/>
          <w:lang w:val="es-GT" w:eastAsia="es-GT"/>
        </w:rPr>
        <w:t>orcentajes</w:t>
      </w:r>
      <w:r>
        <w:rPr>
          <w:rFonts w:eastAsia="Calibri"/>
          <w:b/>
          <w:color w:val="000000"/>
          <w:lang w:val="es-GT" w:eastAsia="es-GT"/>
        </w:rPr>
        <w:t>)</w:t>
      </w:r>
    </w:p>
    <w:p w:rsidR="00564A01" w:rsidRPr="0082029F" w:rsidRDefault="00564A01" w:rsidP="00564A01">
      <w:pPr>
        <w:autoSpaceDE w:val="0"/>
        <w:autoSpaceDN w:val="0"/>
        <w:adjustRightInd w:val="0"/>
        <w:jc w:val="center"/>
        <w:rPr>
          <w:sz w:val="12"/>
        </w:rPr>
      </w:pPr>
    </w:p>
    <w:tbl>
      <w:tblPr>
        <w:tblW w:w="8955" w:type="dxa"/>
        <w:tblInd w:w="55" w:type="dxa"/>
        <w:tblCellMar>
          <w:left w:w="70" w:type="dxa"/>
          <w:right w:w="70" w:type="dxa"/>
        </w:tblCellMar>
        <w:tblLook w:val="04A0" w:firstRow="1" w:lastRow="0" w:firstColumn="1" w:lastColumn="0" w:noHBand="0" w:noVBand="1"/>
      </w:tblPr>
      <w:tblGrid>
        <w:gridCol w:w="5951"/>
        <w:gridCol w:w="751"/>
        <w:gridCol w:w="751"/>
        <w:gridCol w:w="751"/>
        <w:gridCol w:w="751"/>
      </w:tblGrid>
      <w:tr w:rsidR="00564A01" w:rsidRPr="00342AAF" w:rsidTr="001E2EF8">
        <w:trPr>
          <w:trHeight w:val="383"/>
        </w:trPr>
        <w:tc>
          <w:tcPr>
            <w:tcW w:w="5951" w:type="dxa"/>
            <w:tcBorders>
              <w:top w:val="single" w:sz="4" w:space="0" w:color="auto"/>
              <w:left w:val="nil"/>
              <w:bottom w:val="single" w:sz="4" w:space="0" w:color="auto"/>
              <w:right w:val="nil"/>
            </w:tcBorders>
            <w:shd w:val="clear" w:color="000000" w:fill="auto"/>
            <w:noWrap/>
            <w:vAlign w:val="bottom"/>
            <w:hideMark/>
          </w:tcPr>
          <w:p w:rsidR="00564A01" w:rsidRPr="00342AAF" w:rsidRDefault="00564A01" w:rsidP="001E2EF8">
            <w:pPr>
              <w:rPr>
                <w:color w:val="000000"/>
                <w:lang w:val="es-GT" w:eastAsia="es-GT"/>
              </w:rPr>
            </w:pPr>
            <w:r w:rsidRPr="00342AAF">
              <w:rPr>
                <w:color w:val="000000"/>
                <w:lang w:val="es-GT" w:eastAsia="es-GT"/>
              </w:rPr>
              <w:t> </w:t>
            </w:r>
          </w:p>
        </w:tc>
        <w:tc>
          <w:tcPr>
            <w:tcW w:w="751" w:type="dxa"/>
            <w:tcBorders>
              <w:top w:val="single" w:sz="4" w:space="0" w:color="auto"/>
              <w:left w:val="nil"/>
              <w:bottom w:val="single" w:sz="4" w:space="0" w:color="auto"/>
              <w:right w:val="nil"/>
            </w:tcBorders>
            <w:shd w:val="clear" w:color="000000" w:fill="auto"/>
            <w:noWrap/>
            <w:vAlign w:val="center"/>
            <w:hideMark/>
          </w:tcPr>
          <w:p w:rsidR="00564A01" w:rsidRPr="00342AAF" w:rsidRDefault="00564A01" w:rsidP="001E2EF8">
            <w:pPr>
              <w:jc w:val="right"/>
              <w:rPr>
                <w:b/>
                <w:bCs/>
                <w:color w:val="000000"/>
                <w:lang w:val="es-GT" w:eastAsia="es-GT"/>
              </w:rPr>
            </w:pPr>
            <w:r w:rsidRPr="00342AAF">
              <w:rPr>
                <w:b/>
                <w:bCs/>
                <w:color w:val="000000"/>
                <w:lang w:val="es-GT" w:eastAsia="es-GT"/>
              </w:rPr>
              <w:t>20</w:t>
            </w:r>
            <w:r>
              <w:rPr>
                <w:b/>
                <w:bCs/>
                <w:color w:val="000000"/>
                <w:lang w:val="es-GT" w:eastAsia="es-GT"/>
              </w:rPr>
              <w:t>17</w:t>
            </w:r>
          </w:p>
        </w:tc>
        <w:tc>
          <w:tcPr>
            <w:tcW w:w="751" w:type="dxa"/>
            <w:tcBorders>
              <w:top w:val="single" w:sz="4" w:space="0" w:color="auto"/>
              <w:left w:val="nil"/>
              <w:bottom w:val="single" w:sz="4" w:space="0" w:color="auto"/>
              <w:right w:val="nil"/>
            </w:tcBorders>
            <w:shd w:val="clear" w:color="000000" w:fill="auto"/>
            <w:noWrap/>
            <w:vAlign w:val="center"/>
            <w:hideMark/>
          </w:tcPr>
          <w:p w:rsidR="00564A01" w:rsidRPr="00342AAF" w:rsidRDefault="00564A01" w:rsidP="001E2EF8">
            <w:pPr>
              <w:jc w:val="right"/>
              <w:rPr>
                <w:b/>
                <w:bCs/>
                <w:color w:val="000000"/>
                <w:lang w:val="es-GT" w:eastAsia="es-GT"/>
              </w:rPr>
            </w:pPr>
            <w:r>
              <w:rPr>
                <w:b/>
                <w:bCs/>
                <w:color w:val="000000"/>
                <w:lang w:val="es-GT" w:eastAsia="es-GT"/>
              </w:rPr>
              <w:t>2018</w:t>
            </w:r>
          </w:p>
        </w:tc>
        <w:tc>
          <w:tcPr>
            <w:tcW w:w="751" w:type="dxa"/>
            <w:tcBorders>
              <w:top w:val="single" w:sz="4" w:space="0" w:color="auto"/>
              <w:left w:val="nil"/>
              <w:bottom w:val="single" w:sz="4" w:space="0" w:color="auto"/>
              <w:right w:val="nil"/>
            </w:tcBorders>
            <w:shd w:val="clear" w:color="000000" w:fill="auto"/>
            <w:noWrap/>
            <w:vAlign w:val="center"/>
            <w:hideMark/>
          </w:tcPr>
          <w:p w:rsidR="00564A01" w:rsidRPr="00342AAF" w:rsidRDefault="00564A01" w:rsidP="001E2EF8">
            <w:pPr>
              <w:jc w:val="right"/>
              <w:rPr>
                <w:b/>
                <w:bCs/>
                <w:color w:val="000000"/>
                <w:lang w:val="es-GT" w:eastAsia="es-GT"/>
              </w:rPr>
            </w:pPr>
            <w:r>
              <w:rPr>
                <w:b/>
                <w:bCs/>
                <w:color w:val="000000"/>
                <w:lang w:val="es-GT" w:eastAsia="es-GT"/>
              </w:rPr>
              <w:t>2019</w:t>
            </w:r>
          </w:p>
        </w:tc>
        <w:tc>
          <w:tcPr>
            <w:tcW w:w="751" w:type="dxa"/>
            <w:tcBorders>
              <w:top w:val="single" w:sz="4" w:space="0" w:color="auto"/>
              <w:left w:val="nil"/>
              <w:bottom w:val="single" w:sz="4" w:space="0" w:color="auto"/>
              <w:right w:val="nil"/>
            </w:tcBorders>
            <w:shd w:val="clear" w:color="000000" w:fill="auto"/>
            <w:noWrap/>
            <w:vAlign w:val="center"/>
            <w:hideMark/>
          </w:tcPr>
          <w:p w:rsidR="00564A01" w:rsidRPr="00342AAF" w:rsidRDefault="00564A01" w:rsidP="001E2EF8">
            <w:pPr>
              <w:jc w:val="right"/>
              <w:rPr>
                <w:b/>
                <w:bCs/>
                <w:color w:val="000000"/>
                <w:lang w:val="es-GT" w:eastAsia="es-GT"/>
              </w:rPr>
            </w:pPr>
            <w:r>
              <w:rPr>
                <w:b/>
                <w:bCs/>
                <w:color w:val="000000"/>
                <w:lang w:val="es-GT" w:eastAsia="es-GT"/>
              </w:rPr>
              <w:t>2020</w:t>
            </w:r>
          </w:p>
        </w:tc>
      </w:tr>
      <w:tr w:rsidR="00564A01" w:rsidRPr="00342AAF" w:rsidTr="001E2EF8">
        <w:trPr>
          <w:trHeight w:val="286"/>
        </w:trPr>
        <w:tc>
          <w:tcPr>
            <w:tcW w:w="5951" w:type="dxa"/>
            <w:tcBorders>
              <w:top w:val="nil"/>
              <w:left w:val="nil"/>
              <w:bottom w:val="nil"/>
              <w:right w:val="nil"/>
            </w:tcBorders>
            <w:shd w:val="clear" w:color="000000" w:fill="auto"/>
            <w:noWrap/>
            <w:vAlign w:val="bottom"/>
            <w:hideMark/>
          </w:tcPr>
          <w:p w:rsidR="00564A01" w:rsidRPr="00342AAF" w:rsidRDefault="00564A01" w:rsidP="001E2EF8">
            <w:pPr>
              <w:rPr>
                <w:b/>
                <w:bCs/>
                <w:color w:val="000000"/>
                <w:lang w:val="es-GT" w:eastAsia="es-GT"/>
              </w:rPr>
            </w:pPr>
            <w:r w:rsidRPr="00342AAF">
              <w:rPr>
                <w:b/>
                <w:bCs/>
                <w:color w:val="000000"/>
                <w:lang w:val="es-GT" w:eastAsia="es-GT"/>
              </w:rPr>
              <w:t>Producto Mundial</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b/>
                <w:bCs/>
                <w:color w:val="000000"/>
              </w:rPr>
            </w:pPr>
            <w:r>
              <w:rPr>
                <w:b/>
                <w:bCs/>
                <w:color w:val="000000"/>
              </w:rPr>
              <w:t>3.8</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b/>
                <w:bCs/>
                <w:color w:val="000000"/>
              </w:rPr>
            </w:pPr>
            <w:r>
              <w:rPr>
                <w:b/>
                <w:bCs/>
                <w:color w:val="000000"/>
              </w:rPr>
              <w:t>3.7</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b/>
                <w:bCs/>
                <w:color w:val="000000"/>
              </w:rPr>
            </w:pPr>
            <w:r>
              <w:rPr>
                <w:b/>
                <w:bCs/>
                <w:color w:val="000000"/>
              </w:rPr>
              <w:t>3.5</w:t>
            </w:r>
          </w:p>
        </w:tc>
        <w:tc>
          <w:tcPr>
            <w:tcW w:w="751" w:type="dxa"/>
            <w:tcBorders>
              <w:top w:val="nil"/>
              <w:left w:val="nil"/>
              <w:bottom w:val="nil"/>
              <w:right w:val="nil"/>
            </w:tcBorders>
            <w:shd w:val="clear" w:color="000000" w:fill="auto"/>
            <w:noWrap/>
            <w:vAlign w:val="bottom"/>
            <w:hideMark/>
          </w:tcPr>
          <w:p w:rsidR="00564A01" w:rsidRPr="00CC7E0D" w:rsidRDefault="00564A01" w:rsidP="001E2EF8">
            <w:pPr>
              <w:jc w:val="right"/>
              <w:rPr>
                <w:b/>
                <w:color w:val="000000"/>
              </w:rPr>
            </w:pPr>
            <w:r w:rsidRPr="00CC7E0D">
              <w:rPr>
                <w:b/>
                <w:color w:val="000000"/>
              </w:rPr>
              <w:t>3.6</w:t>
            </w:r>
          </w:p>
        </w:tc>
      </w:tr>
      <w:tr w:rsidR="00564A01" w:rsidRPr="00342AAF" w:rsidTr="001E2EF8">
        <w:trPr>
          <w:trHeight w:val="286"/>
        </w:trPr>
        <w:tc>
          <w:tcPr>
            <w:tcW w:w="5951" w:type="dxa"/>
            <w:tcBorders>
              <w:top w:val="nil"/>
              <w:left w:val="nil"/>
              <w:bottom w:val="nil"/>
              <w:right w:val="nil"/>
            </w:tcBorders>
            <w:shd w:val="clear" w:color="000000" w:fill="auto"/>
            <w:noWrap/>
            <w:vAlign w:val="bottom"/>
            <w:hideMark/>
          </w:tcPr>
          <w:p w:rsidR="00564A01" w:rsidRPr="00342AAF" w:rsidRDefault="00564A01" w:rsidP="001E2EF8">
            <w:pPr>
              <w:rPr>
                <w:b/>
                <w:bCs/>
                <w:color w:val="000000"/>
                <w:lang w:val="es-GT" w:eastAsia="es-GT"/>
              </w:rPr>
            </w:pPr>
            <w:r w:rsidRPr="00342AAF">
              <w:rPr>
                <w:b/>
                <w:bCs/>
                <w:color w:val="000000"/>
                <w:lang w:val="es-GT" w:eastAsia="es-GT"/>
              </w:rPr>
              <w:t>Economías Avanzadas</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b/>
                <w:bCs/>
                <w:color w:val="000000"/>
              </w:rPr>
            </w:pPr>
            <w:r>
              <w:rPr>
                <w:b/>
                <w:bCs/>
                <w:color w:val="000000"/>
              </w:rPr>
              <w:t>2.4</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b/>
                <w:bCs/>
                <w:color w:val="000000"/>
              </w:rPr>
            </w:pPr>
            <w:r>
              <w:rPr>
                <w:b/>
                <w:bCs/>
                <w:color w:val="000000"/>
              </w:rPr>
              <w:t>2.3</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b/>
                <w:bCs/>
                <w:color w:val="000000"/>
              </w:rPr>
            </w:pPr>
            <w:r>
              <w:rPr>
                <w:b/>
                <w:bCs/>
                <w:color w:val="000000"/>
              </w:rPr>
              <w:t>2.0</w:t>
            </w:r>
          </w:p>
        </w:tc>
        <w:tc>
          <w:tcPr>
            <w:tcW w:w="751" w:type="dxa"/>
            <w:tcBorders>
              <w:top w:val="nil"/>
              <w:left w:val="nil"/>
              <w:bottom w:val="nil"/>
              <w:right w:val="nil"/>
            </w:tcBorders>
            <w:shd w:val="clear" w:color="000000" w:fill="auto"/>
            <w:noWrap/>
            <w:vAlign w:val="bottom"/>
            <w:hideMark/>
          </w:tcPr>
          <w:p w:rsidR="00564A01" w:rsidRPr="00CC7E0D" w:rsidRDefault="00564A01" w:rsidP="001E2EF8">
            <w:pPr>
              <w:jc w:val="right"/>
              <w:rPr>
                <w:b/>
                <w:color w:val="000000"/>
              </w:rPr>
            </w:pPr>
            <w:r w:rsidRPr="00CC7E0D">
              <w:rPr>
                <w:b/>
                <w:color w:val="000000"/>
              </w:rPr>
              <w:t>1.7</w:t>
            </w:r>
          </w:p>
        </w:tc>
      </w:tr>
      <w:tr w:rsidR="00564A01" w:rsidRPr="00342AAF" w:rsidTr="001E2EF8">
        <w:trPr>
          <w:trHeight w:val="286"/>
        </w:trPr>
        <w:tc>
          <w:tcPr>
            <w:tcW w:w="5951" w:type="dxa"/>
            <w:tcBorders>
              <w:top w:val="nil"/>
              <w:left w:val="nil"/>
              <w:bottom w:val="nil"/>
              <w:right w:val="nil"/>
            </w:tcBorders>
            <w:shd w:val="clear" w:color="000000" w:fill="auto"/>
            <w:noWrap/>
            <w:vAlign w:val="bottom"/>
            <w:hideMark/>
          </w:tcPr>
          <w:p w:rsidR="00564A01" w:rsidRPr="00C844A8" w:rsidRDefault="00564A01" w:rsidP="001E2EF8">
            <w:pPr>
              <w:ind w:firstLineChars="100" w:firstLine="221"/>
              <w:rPr>
                <w:b/>
                <w:color w:val="000000"/>
                <w:sz w:val="22"/>
                <w:szCs w:val="22"/>
                <w:lang w:val="es-GT" w:eastAsia="es-GT"/>
              </w:rPr>
            </w:pPr>
            <w:r w:rsidRPr="00C844A8">
              <w:rPr>
                <w:b/>
                <w:color w:val="000000"/>
                <w:sz w:val="22"/>
                <w:szCs w:val="22"/>
                <w:lang w:val="es-GT" w:eastAsia="es-GT"/>
              </w:rPr>
              <w:t>Estados Unidos</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2.2</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2.9</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2.5</w:t>
            </w:r>
          </w:p>
        </w:tc>
        <w:tc>
          <w:tcPr>
            <w:tcW w:w="751" w:type="dxa"/>
            <w:tcBorders>
              <w:top w:val="nil"/>
              <w:left w:val="nil"/>
              <w:bottom w:val="nil"/>
              <w:right w:val="nil"/>
            </w:tcBorders>
            <w:shd w:val="clear" w:color="000000" w:fill="auto"/>
            <w:noWrap/>
            <w:vAlign w:val="bottom"/>
            <w:hideMark/>
          </w:tcPr>
          <w:p w:rsidR="00564A01" w:rsidRDefault="00564A01" w:rsidP="001E2EF8">
            <w:pPr>
              <w:jc w:val="right"/>
              <w:rPr>
                <w:color w:val="000000"/>
              </w:rPr>
            </w:pPr>
            <w:r>
              <w:rPr>
                <w:color w:val="000000"/>
              </w:rPr>
              <w:t>1.8</w:t>
            </w:r>
          </w:p>
        </w:tc>
      </w:tr>
      <w:tr w:rsidR="00564A01" w:rsidRPr="00342AAF" w:rsidTr="001E2EF8">
        <w:trPr>
          <w:trHeight w:val="286"/>
        </w:trPr>
        <w:tc>
          <w:tcPr>
            <w:tcW w:w="5951" w:type="dxa"/>
            <w:tcBorders>
              <w:top w:val="nil"/>
              <w:left w:val="nil"/>
              <w:bottom w:val="nil"/>
              <w:right w:val="nil"/>
            </w:tcBorders>
            <w:shd w:val="clear" w:color="000000" w:fill="auto"/>
            <w:noWrap/>
            <w:vAlign w:val="bottom"/>
            <w:hideMark/>
          </w:tcPr>
          <w:p w:rsidR="00564A01" w:rsidRPr="00342AAF" w:rsidRDefault="00564A01" w:rsidP="001E2EF8">
            <w:pPr>
              <w:ind w:firstLineChars="100" w:firstLine="221"/>
              <w:rPr>
                <w:b/>
                <w:color w:val="000000"/>
                <w:sz w:val="22"/>
                <w:szCs w:val="22"/>
                <w:lang w:val="es-GT" w:eastAsia="es-GT"/>
              </w:rPr>
            </w:pPr>
            <w:r w:rsidRPr="00342AAF">
              <w:rPr>
                <w:b/>
                <w:color w:val="000000"/>
                <w:sz w:val="22"/>
                <w:szCs w:val="22"/>
                <w:lang w:val="es-GT" w:eastAsia="es-GT"/>
              </w:rPr>
              <w:t>Zona del Euro</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2.4</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1.8</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1.6</w:t>
            </w:r>
          </w:p>
        </w:tc>
        <w:tc>
          <w:tcPr>
            <w:tcW w:w="751" w:type="dxa"/>
            <w:tcBorders>
              <w:top w:val="nil"/>
              <w:left w:val="nil"/>
              <w:bottom w:val="nil"/>
              <w:right w:val="nil"/>
            </w:tcBorders>
            <w:shd w:val="clear" w:color="000000" w:fill="auto"/>
            <w:noWrap/>
            <w:vAlign w:val="bottom"/>
            <w:hideMark/>
          </w:tcPr>
          <w:p w:rsidR="00564A01" w:rsidRDefault="00564A01" w:rsidP="001E2EF8">
            <w:pPr>
              <w:jc w:val="right"/>
              <w:rPr>
                <w:color w:val="000000"/>
              </w:rPr>
            </w:pPr>
            <w:r>
              <w:rPr>
                <w:color w:val="000000"/>
              </w:rPr>
              <w:t>1.7</w:t>
            </w:r>
          </w:p>
        </w:tc>
      </w:tr>
      <w:tr w:rsidR="00564A01" w:rsidRPr="00342AAF" w:rsidTr="001E2EF8">
        <w:trPr>
          <w:trHeight w:val="286"/>
        </w:trPr>
        <w:tc>
          <w:tcPr>
            <w:tcW w:w="5951" w:type="dxa"/>
            <w:tcBorders>
              <w:top w:val="nil"/>
              <w:left w:val="nil"/>
              <w:bottom w:val="nil"/>
              <w:right w:val="nil"/>
            </w:tcBorders>
            <w:shd w:val="clear" w:color="000000" w:fill="auto"/>
            <w:noWrap/>
            <w:vAlign w:val="bottom"/>
            <w:hideMark/>
          </w:tcPr>
          <w:p w:rsidR="00564A01" w:rsidRPr="00342AAF" w:rsidRDefault="00564A01" w:rsidP="001E2EF8">
            <w:pPr>
              <w:ind w:firstLineChars="200" w:firstLine="440"/>
              <w:rPr>
                <w:color w:val="000000"/>
                <w:sz w:val="22"/>
                <w:szCs w:val="22"/>
                <w:lang w:val="es-GT" w:eastAsia="es-GT"/>
              </w:rPr>
            </w:pPr>
            <w:r w:rsidRPr="00342AAF">
              <w:rPr>
                <w:color w:val="000000"/>
                <w:sz w:val="22"/>
                <w:szCs w:val="22"/>
                <w:lang w:val="es-GT" w:eastAsia="es-GT"/>
              </w:rPr>
              <w:t>Alemania</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2.5</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1.5</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1.3</w:t>
            </w:r>
          </w:p>
        </w:tc>
        <w:tc>
          <w:tcPr>
            <w:tcW w:w="751" w:type="dxa"/>
            <w:tcBorders>
              <w:top w:val="nil"/>
              <w:left w:val="nil"/>
              <w:bottom w:val="nil"/>
              <w:right w:val="nil"/>
            </w:tcBorders>
            <w:shd w:val="clear" w:color="000000" w:fill="auto"/>
            <w:noWrap/>
            <w:vAlign w:val="bottom"/>
            <w:hideMark/>
          </w:tcPr>
          <w:p w:rsidR="00564A01" w:rsidRDefault="00564A01" w:rsidP="001E2EF8">
            <w:pPr>
              <w:jc w:val="right"/>
              <w:rPr>
                <w:color w:val="000000"/>
              </w:rPr>
            </w:pPr>
            <w:r>
              <w:rPr>
                <w:color w:val="000000"/>
              </w:rPr>
              <w:t>1.6</w:t>
            </w:r>
          </w:p>
        </w:tc>
      </w:tr>
      <w:tr w:rsidR="00564A01" w:rsidRPr="00342AAF" w:rsidTr="001E2EF8">
        <w:trPr>
          <w:trHeight w:val="286"/>
        </w:trPr>
        <w:tc>
          <w:tcPr>
            <w:tcW w:w="5951" w:type="dxa"/>
            <w:tcBorders>
              <w:top w:val="nil"/>
              <w:left w:val="nil"/>
              <w:bottom w:val="nil"/>
              <w:right w:val="nil"/>
            </w:tcBorders>
            <w:shd w:val="clear" w:color="000000" w:fill="auto"/>
            <w:noWrap/>
            <w:vAlign w:val="bottom"/>
            <w:hideMark/>
          </w:tcPr>
          <w:p w:rsidR="00564A01" w:rsidRPr="00342AAF" w:rsidRDefault="00564A01" w:rsidP="001E2EF8">
            <w:pPr>
              <w:ind w:firstLineChars="200" w:firstLine="440"/>
              <w:rPr>
                <w:color w:val="000000"/>
                <w:sz w:val="22"/>
                <w:szCs w:val="22"/>
                <w:lang w:val="es-GT" w:eastAsia="es-GT"/>
              </w:rPr>
            </w:pPr>
            <w:r w:rsidRPr="00342AAF">
              <w:rPr>
                <w:color w:val="000000"/>
                <w:sz w:val="22"/>
                <w:szCs w:val="22"/>
                <w:lang w:val="es-GT" w:eastAsia="es-GT"/>
              </w:rPr>
              <w:t>Francia</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2.3</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1.5</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1.5</w:t>
            </w:r>
          </w:p>
        </w:tc>
        <w:tc>
          <w:tcPr>
            <w:tcW w:w="751" w:type="dxa"/>
            <w:tcBorders>
              <w:top w:val="nil"/>
              <w:left w:val="nil"/>
              <w:bottom w:val="nil"/>
              <w:right w:val="nil"/>
            </w:tcBorders>
            <w:shd w:val="clear" w:color="000000" w:fill="auto"/>
            <w:noWrap/>
            <w:vAlign w:val="bottom"/>
            <w:hideMark/>
          </w:tcPr>
          <w:p w:rsidR="00564A01" w:rsidRDefault="00564A01" w:rsidP="001E2EF8">
            <w:pPr>
              <w:jc w:val="right"/>
              <w:rPr>
                <w:color w:val="000000"/>
              </w:rPr>
            </w:pPr>
            <w:r>
              <w:rPr>
                <w:color w:val="000000"/>
              </w:rPr>
              <w:t>1.6</w:t>
            </w:r>
          </w:p>
        </w:tc>
      </w:tr>
      <w:tr w:rsidR="00564A01" w:rsidRPr="00342AAF" w:rsidTr="001E2EF8">
        <w:trPr>
          <w:trHeight w:val="286"/>
        </w:trPr>
        <w:tc>
          <w:tcPr>
            <w:tcW w:w="5951" w:type="dxa"/>
            <w:tcBorders>
              <w:top w:val="nil"/>
              <w:left w:val="nil"/>
              <w:bottom w:val="nil"/>
              <w:right w:val="nil"/>
            </w:tcBorders>
            <w:shd w:val="clear" w:color="000000" w:fill="auto"/>
            <w:noWrap/>
            <w:vAlign w:val="bottom"/>
            <w:hideMark/>
          </w:tcPr>
          <w:p w:rsidR="00564A01" w:rsidRPr="00342AAF" w:rsidRDefault="00564A01" w:rsidP="001E2EF8">
            <w:pPr>
              <w:ind w:firstLineChars="200" w:firstLine="440"/>
              <w:rPr>
                <w:color w:val="000000"/>
                <w:sz w:val="22"/>
                <w:szCs w:val="22"/>
                <w:lang w:val="es-GT" w:eastAsia="es-GT"/>
              </w:rPr>
            </w:pPr>
            <w:r w:rsidRPr="00342AAF">
              <w:rPr>
                <w:color w:val="000000"/>
                <w:sz w:val="22"/>
                <w:szCs w:val="22"/>
                <w:lang w:val="es-GT" w:eastAsia="es-GT"/>
              </w:rPr>
              <w:t xml:space="preserve">Italia </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1.6</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1.0</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0.6</w:t>
            </w:r>
          </w:p>
        </w:tc>
        <w:tc>
          <w:tcPr>
            <w:tcW w:w="751" w:type="dxa"/>
            <w:tcBorders>
              <w:top w:val="nil"/>
              <w:left w:val="nil"/>
              <w:bottom w:val="nil"/>
              <w:right w:val="nil"/>
            </w:tcBorders>
            <w:shd w:val="clear" w:color="000000" w:fill="auto"/>
            <w:noWrap/>
            <w:vAlign w:val="bottom"/>
            <w:hideMark/>
          </w:tcPr>
          <w:p w:rsidR="00564A01" w:rsidRDefault="00564A01" w:rsidP="001E2EF8">
            <w:pPr>
              <w:jc w:val="right"/>
              <w:rPr>
                <w:color w:val="000000"/>
              </w:rPr>
            </w:pPr>
            <w:r>
              <w:rPr>
                <w:color w:val="000000"/>
              </w:rPr>
              <w:t>0.9</w:t>
            </w:r>
          </w:p>
        </w:tc>
      </w:tr>
      <w:tr w:rsidR="00564A01" w:rsidRPr="00342AAF" w:rsidTr="001E2EF8">
        <w:trPr>
          <w:trHeight w:val="286"/>
        </w:trPr>
        <w:tc>
          <w:tcPr>
            <w:tcW w:w="5951" w:type="dxa"/>
            <w:tcBorders>
              <w:top w:val="nil"/>
              <w:left w:val="nil"/>
              <w:bottom w:val="nil"/>
              <w:right w:val="nil"/>
            </w:tcBorders>
            <w:shd w:val="clear" w:color="000000" w:fill="auto"/>
            <w:noWrap/>
            <w:vAlign w:val="bottom"/>
            <w:hideMark/>
          </w:tcPr>
          <w:p w:rsidR="00564A01" w:rsidRPr="00342AAF" w:rsidRDefault="00564A01" w:rsidP="001E2EF8">
            <w:pPr>
              <w:ind w:firstLineChars="200" w:firstLine="440"/>
              <w:rPr>
                <w:color w:val="000000"/>
                <w:sz w:val="22"/>
                <w:szCs w:val="22"/>
                <w:lang w:val="es-GT" w:eastAsia="es-GT"/>
              </w:rPr>
            </w:pPr>
            <w:r w:rsidRPr="00342AAF">
              <w:rPr>
                <w:color w:val="000000"/>
                <w:sz w:val="22"/>
                <w:szCs w:val="22"/>
                <w:lang w:val="es-GT" w:eastAsia="es-GT"/>
              </w:rPr>
              <w:t>España</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3.0</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2.5</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2.2</w:t>
            </w:r>
          </w:p>
        </w:tc>
        <w:tc>
          <w:tcPr>
            <w:tcW w:w="751" w:type="dxa"/>
            <w:tcBorders>
              <w:top w:val="nil"/>
              <w:left w:val="nil"/>
              <w:bottom w:val="nil"/>
              <w:right w:val="nil"/>
            </w:tcBorders>
            <w:shd w:val="clear" w:color="000000" w:fill="auto"/>
            <w:noWrap/>
            <w:vAlign w:val="bottom"/>
            <w:hideMark/>
          </w:tcPr>
          <w:p w:rsidR="00564A01" w:rsidRDefault="00564A01" w:rsidP="001E2EF8">
            <w:pPr>
              <w:jc w:val="right"/>
              <w:rPr>
                <w:color w:val="000000"/>
              </w:rPr>
            </w:pPr>
            <w:r>
              <w:rPr>
                <w:color w:val="000000"/>
              </w:rPr>
              <w:t>1.9</w:t>
            </w:r>
          </w:p>
        </w:tc>
      </w:tr>
      <w:tr w:rsidR="00564A01" w:rsidRPr="00342AAF" w:rsidTr="001E2EF8">
        <w:trPr>
          <w:trHeight w:val="286"/>
        </w:trPr>
        <w:tc>
          <w:tcPr>
            <w:tcW w:w="5951" w:type="dxa"/>
            <w:tcBorders>
              <w:top w:val="nil"/>
              <w:left w:val="nil"/>
              <w:bottom w:val="nil"/>
              <w:right w:val="nil"/>
            </w:tcBorders>
            <w:shd w:val="clear" w:color="000000" w:fill="auto"/>
            <w:noWrap/>
            <w:vAlign w:val="bottom"/>
            <w:hideMark/>
          </w:tcPr>
          <w:p w:rsidR="00564A01" w:rsidRPr="00342AAF" w:rsidRDefault="00564A01" w:rsidP="001E2EF8">
            <w:pPr>
              <w:ind w:firstLineChars="200" w:firstLine="440"/>
              <w:rPr>
                <w:color w:val="000000"/>
                <w:sz w:val="22"/>
                <w:szCs w:val="22"/>
                <w:lang w:val="es-GT" w:eastAsia="es-GT"/>
              </w:rPr>
            </w:pPr>
            <w:r w:rsidRPr="00342AAF">
              <w:rPr>
                <w:color w:val="000000"/>
                <w:sz w:val="22"/>
                <w:szCs w:val="22"/>
                <w:lang w:val="es-GT" w:eastAsia="es-GT"/>
              </w:rPr>
              <w:t>Japón</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1.9</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0.9</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1.1</w:t>
            </w:r>
          </w:p>
        </w:tc>
        <w:tc>
          <w:tcPr>
            <w:tcW w:w="751" w:type="dxa"/>
            <w:tcBorders>
              <w:top w:val="nil"/>
              <w:left w:val="nil"/>
              <w:bottom w:val="nil"/>
              <w:right w:val="nil"/>
            </w:tcBorders>
            <w:shd w:val="clear" w:color="000000" w:fill="auto"/>
            <w:noWrap/>
            <w:vAlign w:val="bottom"/>
            <w:hideMark/>
          </w:tcPr>
          <w:p w:rsidR="00564A01" w:rsidRDefault="00564A01" w:rsidP="001E2EF8">
            <w:pPr>
              <w:jc w:val="right"/>
              <w:rPr>
                <w:color w:val="000000"/>
              </w:rPr>
            </w:pPr>
            <w:r>
              <w:rPr>
                <w:color w:val="000000"/>
              </w:rPr>
              <w:t>0.5</w:t>
            </w:r>
          </w:p>
        </w:tc>
      </w:tr>
      <w:tr w:rsidR="00564A01" w:rsidRPr="00342AAF" w:rsidTr="001E2EF8">
        <w:trPr>
          <w:trHeight w:val="286"/>
        </w:trPr>
        <w:tc>
          <w:tcPr>
            <w:tcW w:w="5951" w:type="dxa"/>
            <w:tcBorders>
              <w:top w:val="nil"/>
              <w:left w:val="nil"/>
              <w:bottom w:val="nil"/>
              <w:right w:val="nil"/>
            </w:tcBorders>
            <w:shd w:val="clear" w:color="000000" w:fill="auto"/>
            <w:noWrap/>
            <w:vAlign w:val="bottom"/>
            <w:hideMark/>
          </w:tcPr>
          <w:p w:rsidR="00564A01" w:rsidRPr="00342AAF" w:rsidRDefault="00564A01" w:rsidP="001E2EF8">
            <w:pPr>
              <w:rPr>
                <w:color w:val="000000"/>
                <w:lang w:val="es-GT" w:eastAsia="es-GT"/>
              </w:rPr>
            </w:pP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rPr>
            </w:pPr>
          </w:p>
        </w:tc>
        <w:tc>
          <w:tcPr>
            <w:tcW w:w="751" w:type="dxa"/>
            <w:tcBorders>
              <w:top w:val="nil"/>
              <w:left w:val="nil"/>
              <w:bottom w:val="nil"/>
              <w:right w:val="nil"/>
            </w:tcBorders>
            <w:shd w:val="clear" w:color="000000" w:fill="FFFFFF"/>
            <w:noWrap/>
            <w:vAlign w:val="bottom"/>
            <w:hideMark/>
          </w:tcPr>
          <w:p w:rsidR="00564A01" w:rsidRDefault="00564A01" w:rsidP="001E2EF8">
            <w:pPr>
              <w:jc w:val="center"/>
              <w:rPr>
                <w:color w:val="000000"/>
              </w:rPr>
            </w:pPr>
            <w:r>
              <w:rPr>
                <w:color w:val="000000"/>
              </w:rPr>
              <w:t> </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rPr>
            </w:pPr>
            <w:r>
              <w:rPr>
                <w:color w:val="000000"/>
              </w:rPr>
              <w:t> </w:t>
            </w:r>
          </w:p>
        </w:tc>
        <w:tc>
          <w:tcPr>
            <w:tcW w:w="751" w:type="dxa"/>
            <w:tcBorders>
              <w:top w:val="nil"/>
              <w:left w:val="nil"/>
              <w:bottom w:val="nil"/>
              <w:right w:val="nil"/>
            </w:tcBorders>
            <w:shd w:val="clear" w:color="000000" w:fill="FFFFFF"/>
            <w:noWrap/>
            <w:vAlign w:val="bottom"/>
            <w:hideMark/>
          </w:tcPr>
          <w:p w:rsidR="00564A01" w:rsidRDefault="00564A01" w:rsidP="001E2EF8">
            <w:pPr>
              <w:rPr>
                <w:color w:val="000000"/>
              </w:rPr>
            </w:pPr>
          </w:p>
        </w:tc>
      </w:tr>
      <w:tr w:rsidR="00564A01" w:rsidRPr="00342AAF" w:rsidTr="001E2EF8">
        <w:trPr>
          <w:trHeight w:val="286"/>
        </w:trPr>
        <w:tc>
          <w:tcPr>
            <w:tcW w:w="5951" w:type="dxa"/>
            <w:tcBorders>
              <w:top w:val="nil"/>
              <w:left w:val="nil"/>
              <w:bottom w:val="nil"/>
              <w:right w:val="nil"/>
            </w:tcBorders>
            <w:shd w:val="clear" w:color="000000" w:fill="auto"/>
            <w:noWrap/>
            <w:vAlign w:val="bottom"/>
            <w:hideMark/>
          </w:tcPr>
          <w:p w:rsidR="00564A01" w:rsidRPr="00342AAF" w:rsidRDefault="00564A01" w:rsidP="001E2EF8">
            <w:pPr>
              <w:rPr>
                <w:b/>
                <w:bCs/>
                <w:color w:val="000000"/>
                <w:lang w:val="es-GT" w:eastAsia="es-GT"/>
              </w:rPr>
            </w:pPr>
            <w:r w:rsidRPr="00342AAF">
              <w:rPr>
                <w:b/>
                <w:bCs/>
                <w:color w:val="000000"/>
                <w:lang w:val="es-GT" w:eastAsia="es-GT"/>
              </w:rPr>
              <w:t>Economías Emergentes y en Desarrollo</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b/>
                <w:bCs/>
                <w:color w:val="000000"/>
              </w:rPr>
            </w:pPr>
            <w:r>
              <w:rPr>
                <w:b/>
                <w:bCs/>
                <w:color w:val="000000"/>
              </w:rPr>
              <w:t>4.7</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b/>
                <w:bCs/>
                <w:color w:val="000000"/>
              </w:rPr>
            </w:pPr>
            <w:r>
              <w:rPr>
                <w:b/>
                <w:bCs/>
                <w:color w:val="000000"/>
              </w:rPr>
              <w:t>4.6</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b/>
                <w:bCs/>
                <w:color w:val="000000"/>
              </w:rPr>
            </w:pPr>
            <w:r>
              <w:rPr>
                <w:b/>
                <w:bCs/>
                <w:color w:val="000000"/>
              </w:rPr>
              <w:t>4.5</w:t>
            </w:r>
          </w:p>
        </w:tc>
        <w:tc>
          <w:tcPr>
            <w:tcW w:w="751" w:type="dxa"/>
            <w:tcBorders>
              <w:top w:val="nil"/>
              <w:left w:val="nil"/>
              <w:bottom w:val="nil"/>
              <w:right w:val="nil"/>
            </w:tcBorders>
            <w:shd w:val="clear" w:color="000000" w:fill="auto"/>
            <w:noWrap/>
            <w:vAlign w:val="bottom"/>
            <w:hideMark/>
          </w:tcPr>
          <w:p w:rsidR="00564A01" w:rsidRPr="00CC7E0D" w:rsidRDefault="00564A01" w:rsidP="001E2EF8">
            <w:pPr>
              <w:jc w:val="right"/>
              <w:rPr>
                <w:b/>
                <w:color w:val="000000"/>
              </w:rPr>
            </w:pPr>
            <w:r w:rsidRPr="00CC7E0D">
              <w:rPr>
                <w:b/>
                <w:color w:val="000000"/>
              </w:rPr>
              <w:t>4.9</w:t>
            </w:r>
          </w:p>
        </w:tc>
      </w:tr>
      <w:tr w:rsidR="00564A01" w:rsidRPr="00342AAF" w:rsidTr="001E2EF8">
        <w:trPr>
          <w:trHeight w:val="286"/>
        </w:trPr>
        <w:tc>
          <w:tcPr>
            <w:tcW w:w="5951" w:type="dxa"/>
            <w:tcBorders>
              <w:top w:val="nil"/>
              <w:left w:val="nil"/>
              <w:bottom w:val="nil"/>
              <w:right w:val="nil"/>
            </w:tcBorders>
            <w:shd w:val="clear" w:color="000000" w:fill="auto"/>
            <w:noWrap/>
            <w:vAlign w:val="bottom"/>
            <w:hideMark/>
          </w:tcPr>
          <w:p w:rsidR="00564A01" w:rsidRPr="00342AAF" w:rsidRDefault="00564A01" w:rsidP="001E2EF8">
            <w:pPr>
              <w:rPr>
                <w:b/>
                <w:bCs/>
                <w:color w:val="000000"/>
                <w:lang w:val="es-GT" w:eastAsia="es-GT"/>
              </w:rPr>
            </w:pPr>
            <w:r>
              <w:rPr>
                <w:b/>
                <w:bCs/>
                <w:color w:val="000000"/>
                <w:lang w:val="es-GT" w:eastAsia="es-GT"/>
              </w:rPr>
              <w:t xml:space="preserve">   </w:t>
            </w:r>
            <w:r w:rsidRPr="00342AAF">
              <w:rPr>
                <w:b/>
                <w:bCs/>
                <w:color w:val="000000"/>
                <w:lang w:val="es-GT" w:eastAsia="es-GT"/>
              </w:rPr>
              <w:t>Asia</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b/>
                <w:bCs/>
                <w:color w:val="000000"/>
              </w:rPr>
            </w:pPr>
            <w:r>
              <w:rPr>
                <w:b/>
                <w:bCs/>
                <w:color w:val="000000"/>
              </w:rPr>
              <w:t>6.5</w:t>
            </w:r>
          </w:p>
        </w:tc>
        <w:tc>
          <w:tcPr>
            <w:tcW w:w="751" w:type="dxa"/>
            <w:tcBorders>
              <w:top w:val="nil"/>
              <w:left w:val="nil"/>
              <w:bottom w:val="nil"/>
              <w:right w:val="nil"/>
            </w:tcBorders>
            <w:shd w:val="clear" w:color="000000" w:fill="FFFFFF"/>
            <w:noWrap/>
            <w:vAlign w:val="bottom"/>
            <w:hideMark/>
          </w:tcPr>
          <w:p w:rsidR="00564A01" w:rsidRDefault="00564A01" w:rsidP="001E2EF8">
            <w:pPr>
              <w:jc w:val="center"/>
              <w:rPr>
                <w:b/>
                <w:bCs/>
                <w:color w:val="000000"/>
              </w:rPr>
            </w:pPr>
            <w:r>
              <w:rPr>
                <w:b/>
                <w:bCs/>
                <w:color w:val="000000"/>
              </w:rPr>
              <w:t>6.5</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b/>
                <w:bCs/>
                <w:color w:val="000000"/>
              </w:rPr>
            </w:pPr>
            <w:r>
              <w:rPr>
                <w:b/>
                <w:bCs/>
                <w:color w:val="000000"/>
              </w:rPr>
              <w:t>6.3</w:t>
            </w:r>
          </w:p>
        </w:tc>
        <w:tc>
          <w:tcPr>
            <w:tcW w:w="751" w:type="dxa"/>
            <w:tcBorders>
              <w:top w:val="nil"/>
              <w:left w:val="nil"/>
              <w:bottom w:val="nil"/>
              <w:right w:val="nil"/>
            </w:tcBorders>
            <w:shd w:val="clear" w:color="000000" w:fill="FFFFFF"/>
            <w:noWrap/>
            <w:vAlign w:val="bottom"/>
            <w:hideMark/>
          </w:tcPr>
          <w:p w:rsidR="00564A01" w:rsidRPr="00CC7E0D" w:rsidRDefault="00564A01" w:rsidP="001E2EF8">
            <w:pPr>
              <w:jc w:val="right"/>
              <w:rPr>
                <w:b/>
                <w:color w:val="000000"/>
              </w:rPr>
            </w:pPr>
            <w:r w:rsidRPr="00CC7E0D">
              <w:rPr>
                <w:b/>
                <w:color w:val="000000"/>
              </w:rPr>
              <w:t>6.4</w:t>
            </w:r>
          </w:p>
        </w:tc>
      </w:tr>
      <w:tr w:rsidR="00564A01" w:rsidRPr="00342AAF" w:rsidTr="001E2EF8">
        <w:trPr>
          <w:trHeight w:val="286"/>
        </w:trPr>
        <w:tc>
          <w:tcPr>
            <w:tcW w:w="5951" w:type="dxa"/>
            <w:tcBorders>
              <w:top w:val="nil"/>
              <w:left w:val="nil"/>
              <w:bottom w:val="nil"/>
              <w:right w:val="nil"/>
            </w:tcBorders>
            <w:shd w:val="clear" w:color="000000" w:fill="auto"/>
            <w:noWrap/>
            <w:vAlign w:val="bottom"/>
            <w:hideMark/>
          </w:tcPr>
          <w:p w:rsidR="00564A01" w:rsidRPr="00342AAF" w:rsidRDefault="00564A01" w:rsidP="001E2EF8">
            <w:pPr>
              <w:ind w:firstLineChars="200" w:firstLine="440"/>
              <w:rPr>
                <w:color w:val="000000"/>
                <w:sz w:val="22"/>
                <w:szCs w:val="22"/>
                <w:lang w:val="es-GT" w:eastAsia="es-GT"/>
              </w:rPr>
            </w:pPr>
            <w:r w:rsidRPr="00342AAF">
              <w:rPr>
                <w:color w:val="000000"/>
                <w:sz w:val="22"/>
                <w:szCs w:val="22"/>
                <w:lang w:val="es-GT" w:eastAsia="es-GT"/>
              </w:rPr>
              <w:t>China</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6.9</w:t>
            </w:r>
          </w:p>
        </w:tc>
        <w:tc>
          <w:tcPr>
            <w:tcW w:w="751" w:type="dxa"/>
            <w:tcBorders>
              <w:top w:val="nil"/>
              <w:left w:val="nil"/>
              <w:bottom w:val="nil"/>
              <w:right w:val="nil"/>
            </w:tcBorders>
            <w:shd w:val="clear" w:color="000000" w:fill="FFFFFF"/>
            <w:noWrap/>
            <w:vAlign w:val="bottom"/>
            <w:hideMark/>
          </w:tcPr>
          <w:p w:rsidR="00564A01" w:rsidRDefault="00564A01" w:rsidP="001E2EF8">
            <w:pPr>
              <w:jc w:val="center"/>
              <w:rPr>
                <w:color w:val="000000"/>
                <w:sz w:val="22"/>
                <w:szCs w:val="22"/>
              </w:rPr>
            </w:pPr>
            <w:r>
              <w:rPr>
                <w:color w:val="000000"/>
                <w:sz w:val="22"/>
                <w:szCs w:val="22"/>
              </w:rPr>
              <w:t>6.6</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6.2</w:t>
            </w:r>
          </w:p>
        </w:tc>
        <w:tc>
          <w:tcPr>
            <w:tcW w:w="751" w:type="dxa"/>
            <w:tcBorders>
              <w:top w:val="nil"/>
              <w:left w:val="nil"/>
              <w:bottom w:val="nil"/>
              <w:right w:val="nil"/>
            </w:tcBorders>
            <w:shd w:val="clear" w:color="000000" w:fill="FFFFFF"/>
            <w:noWrap/>
            <w:vAlign w:val="bottom"/>
            <w:hideMark/>
          </w:tcPr>
          <w:p w:rsidR="00564A01" w:rsidRDefault="00564A01" w:rsidP="001E2EF8">
            <w:pPr>
              <w:jc w:val="right"/>
              <w:rPr>
                <w:color w:val="000000"/>
              </w:rPr>
            </w:pPr>
            <w:r>
              <w:rPr>
                <w:color w:val="000000"/>
              </w:rPr>
              <w:t>6.2</w:t>
            </w:r>
          </w:p>
        </w:tc>
      </w:tr>
      <w:tr w:rsidR="00564A01" w:rsidRPr="00342AAF" w:rsidTr="001E2EF8">
        <w:trPr>
          <w:trHeight w:val="286"/>
        </w:trPr>
        <w:tc>
          <w:tcPr>
            <w:tcW w:w="5951" w:type="dxa"/>
            <w:tcBorders>
              <w:top w:val="nil"/>
              <w:left w:val="nil"/>
              <w:bottom w:val="nil"/>
              <w:right w:val="nil"/>
            </w:tcBorders>
            <w:shd w:val="clear" w:color="000000" w:fill="auto"/>
            <w:noWrap/>
            <w:vAlign w:val="bottom"/>
            <w:hideMark/>
          </w:tcPr>
          <w:p w:rsidR="00564A01" w:rsidRPr="00342AAF" w:rsidRDefault="00564A01" w:rsidP="001E2EF8">
            <w:pPr>
              <w:ind w:firstLineChars="200" w:firstLine="440"/>
              <w:rPr>
                <w:color w:val="000000"/>
                <w:sz w:val="22"/>
                <w:szCs w:val="22"/>
                <w:lang w:val="es-GT" w:eastAsia="es-GT"/>
              </w:rPr>
            </w:pPr>
            <w:r w:rsidRPr="00342AAF">
              <w:rPr>
                <w:color w:val="000000"/>
                <w:sz w:val="22"/>
                <w:szCs w:val="22"/>
                <w:lang w:val="es-GT" w:eastAsia="es-GT"/>
              </w:rPr>
              <w:t xml:space="preserve">India </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6.7</w:t>
            </w:r>
          </w:p>
        </w:tc>
        <w:tc>
          <w:tcPr>
            <w:tcW w:w="751" w:type="dxa"/>
            <w:tcBorders>
              <w:top w:val="nil"/>
              <w:left w:val="nil"/>
              <w:bottom w:val="nil"/>
              <w:right w:val="nil"/>
            </w:tcBorders>
            <w:shd w:val="clear" w:color="000000" w:fill="FFFFFF"/>
            <w:noWrap/>
            <w:vAlign w:val="bottom"/>
            <w:hideMark/>
          </w:tcPr>
          <w:p w:rsidR="00564A01" w:rsidRDefault="00564A01" w:rsidP="001E2EF8">
            <w:pPr>
              <w:jc w:val="center"/>
              <w:rPr>
                <w:color w:val="000000"/>
                <w:sz w:val="22"/>
                <w:szCs w:val="22"/>
              </w:rPr>
            </w:pPr>
            <w:r>
              <w:rPr>
                <w:color w:val="000000"/>
                <w:sz w:val="22"/>
                <w:szCs w:val="22"/>
              </w:rPr>
              <w:t>7.3</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7.5</w:t>
            </w:r>
          </w:p>
        </w:tc>
        <w:tc>
          <w:tcPr>
            <w:tcW w:w="751" w:type="dxa"/>
            <w:tcBorders>
              <w:top w:val="nil"/>
              <w:left w:val="nil"/>
              <w:bottom w:val="nil"/>
              <w:right w:val="nil"/>
            </w:tcBorders>
            <w:shd w:val="clear" w:color="000000" w:fill="FFFFFF"/>
            <w:noWrap/>
            <w:vAlign w:val="bottom"/>
            <w:hideMark/>
          </w:tcPr>
          <w:p w:rsidR="00564A01" w:rsidRDefault="00564A01" w:rsidP="001E2EF8">
            <w:pPr>
              <w:jc w:val="right"/>
              <w:rPr>
                <w:color w:val="000000"/>
              </w:rPr>
            </w:pPr>
            <w:r>
              <w:rPr>
                <w:color w:val="000000"/>
              </w:rPr>
              <w:t>7.7</w:t>
            </w:r>
          </w:p>
        </w:tc>
      </w:tr>
      <w:tr w:rsidR="00564A01" w:rsidRPr="00342AAF" w:rsidTr="001E2EF8">
        <w:trPr>
          <w:trHeight w:val="286"/>
        </w:trPr>
        <w:tc>
          <w:tcPr>
            <w:tcW w:w="5951" w:type="dxa"/>
            <w:tcBorders>
              <w:top w:val="nil"/>
              <w:left w:val="nil"/>
              <w:bottom w:val="nil"/>
              <w:right w:val="nil"/>
            </w:tcBorders>
            <w:shd w:val="clear" w:color="000000" w:fill="auto"/>
            <w:noWrap/>
            <w:vAlign w:val="bottom"/>
            <w:hideMark/>
          </w:tcPr>
          <w:p w:rsidR="00564A01" w:rsidRPr="00342AAF" w:rsidRDefault="00564A01" w:rsidP="001E2EF8">
            <w:pPr>
              <w:rPr>
                <w:color w:val="000000"/>
                <w:lang w:val="es-GT" w:eastAsia="es-GT"/>
              </w:rPr>
            </w:pP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rPr>
            </w:pPr>
          </w:p>
        </w:tc>
        <w:tc>
          <w:tcPr>
            <w:tcW w:w="751" w:type="dxa"/>
            <w:tcBorders>
              <w:top w:val="nil"/>
              <w:left w:val="nil"/>
              <w:bottom w:val="nil"/>
              <w:right w:val="nil"/>
            </w:tcBorders>
            <w:shd w:val="clear" w:color="000000" w:fill="FFFFFF"/>
            <w:noWrap/>
            <w:vAlign w:val="bottom"/>
            <w:hideMark/>
          </w:tcPr>
          <w:p w:rsidR="00564A01" w:rsidRDefault="00564A01" w:rsidP="001E2EF8">
            <w:pPr>
              <w:jc w:val="center"/>
              <w:rPr>
                <w:color w:val="000000"/>
              </w:rPr>
            </w:pPr>
            <w:r>
              <w:rPr>
                <w:color w:val="000000"/>
              </w:rPr>
              <w:t> </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rPr>
            </w:pPr>
            <w:r>
              <w:rPr>
                <w:color w:val="000000"/>
              </w:rPr>
              <w:t> </w:t>
            </w:r>
          </w:p>
        </w:tc>
        <w:tc>
          <w:tcPr>
            <w:tcW w:w="751" w:type="dxa"/>
            <w:tcBorders>
              <w:top w:val="nil"/>
              <w:left w:val="nil"/>
              <w:bottom w:val="nil"/>
              <w:right w:val="nil"/>
            </w:tcBorders>
            <w:shd w:val="clear" w:color="000000" w:fill="FFFFFF"/>
            <w:noWrap/>
            <w:vAlign w:val="bottom"/>
            <w:hideMark/>
          </w:tcPr>
          <w:p w:rsidR="00564A01" w:rsidRDefault="00564A01" w:rsidP="001E2EF8">
            <w:pPr>
              <w:rPr>
                <w:color w:val="000000"/>
              </w:rPr>
            </w:pPr>
          </w:p>
        </w:tc>
      </w:tr>
      <w:tr w:rsidR="00564A01" w:rsidRPr="00CC7E0D" w:rsidTr="001E2EF8">
        <w:trPr>
          <w:trHeight w:val="286"/>
        </w:trPr>
        <w:tc>
          <w:tcPr>
            <w:tcW w:w="5951" w:type="dxa"/>
            <w:tcBorders>
              <w:top w:val="nil"/>
              <w:left w:val="nil"/>
              <w:bottom w:val="nil"/>
              <w:right w:val="nil"/>
            </w:tcBorders>
            <w:shd w:val="clear" w:color="000000" w:fill="auto"/>
            <w:noWrap/>
            <w:vAlign w:val="bottom"/>
            <w:hideMark/>
          </w:tcPr>
          <w:p w:rsidR="00564A01" w:rsidRPr="00342AAF" w:rsidRDefault="00564A01" w:rsidP="001E2EF8">
            <w:pPr>
              <w:rPr>
                <w:b/>
                <w:bCs/>
                <w:color w:val="000000"/>
                <w:lang w:val="es-GT" w:eastAsia="es-GT"/>
              </w:rPr>
            </w:pPr>
            <w:r>
              <w:rPr>
                <w:b/>
                <w:bCs/>
                <w:color w:val="000000"/>
                <w:lang w:val="es-GT" w:eastAsia="es-GT"/>
              </w:rPr>
              <w:t xml:space="preserve">   </w:t>
            </w:r>
            <w:r w:rsidRPr="00342AAF">
              <w:rPr>
                <w:b/>
                <w:bCs/>
                <w:color w:val="000000"/>
                <w:lang w:val="es-GT" w:eastAsia="es-GT"/>
              </w:rPr>
              <w:t>América Latina y el Caribe</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b/>
                <w:bCs/>
                <w:color w:val="000000"/>
              </w:rPr>
            </w:pPr>
            <w:r>
              <w:rPr>
                <w:b/>
                <w:bCs/>
                <w:color w:val="000000"/>
              </w:rPr>
              <w:t>1.3</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b/>
                <w:bCs/>
                <w:color w:val="000000"/>
              </w:rPr>
            </w:pPr>
            <w:r>
              <w:rPr>
                <w:b/>
                <w:bCs/>
                <w:color w:val="000000"/>
              </w:rPr>
              <w:t>1.1</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b/>
                <w:bCs/>
                <w:color w:val="000000"/>
              </w:rPr>
            </w:pPr>
            <w:r>
              <w:rPr>
                <w:b/>
                <w:bCs/>
                <w:color w:val="000000"/>
              </w:rPr>
              <w:t>2.0</w:t>
            </w:r>
          </w:p>
        </w:tc>
        <w:tc>
          <w:tcPr>
            <w:tcW w:w="751" w:type="dxa"/>
            <w:tcBorders>
              <w:top w:val="nil"/>
              <w:left w:val="nil"/>
              <w:bottom w:val="nil"/>
              <w:right w:val="nil"/>
            </w:tcBorders>
            <w:shd w:val="clear" w:color="000000" w:fill="auto"/>
            <w:noWrap/>
            <w:vAlign w:val="bottom"/>
            <w:hideMark/>
          </w:tcPr>
          <w:p w:rsidR="00564A01" w:rsidRPr="00CC7E0D" w:rsidRDefault="00564A01" w:rsidP="001E2EF8">
            <w:pPr>
              <w:jc w:val="right"/>
              <w:rPr>
                <w:b/>
                <w:color w:val="000000"/>
              </w:rPr>
            </w:pPr>
            <w:r w:rsidRPr="00CC7E0D">
              <w:rPr>
                <w:b/>
                <w:color w:val="000000"/>
              </w:rPr>
              <w:t>2.5</w:t>
            </w:r>
          </w:p>
        </w:tc>
      </w:tr>
      <w:tr w:rsidR="00564A01" w:rsidRPr="00342AAF" w:rsidTr="001E2EF8">
        <w:trPr>
          <w:trHeight w:val="286"/>
        </w:trPr>
        <w:tc>
          <w:tcPr>
            <w:tcW w:w="5951" w:type="dxa"/>
            <w:tcBorders>
              <w:top w:val="nil"/>
              <w:left w:val="nil"/>
              <w:bottom w:val="nil"/>
              <w:right w:val="nil"/>
            </w:tcBorders>
            <w:shd w:val="clear" w:color="000000" w:fill="auto"/>
            <w:noWrap/>
            <w:vAlign w:val="bottom"/>
            <w:hideMark/>
          </w:tcPr>
          <w:p w:rsidR="00564A01" w:rsidRPr="00342AAF" w:rsidRDefault="00564A01" w:rsidP="001E2EF8">
            <w:pPr>
              <w:ind w:firstLineChars="200" w:firstLine="440"/>
              <w:rPr>
                <w:color w:val="000000"/>
                <w:sz w:val="22"/>
                <w:szCs w:val="22"/>
                <w:lang w:val="es-GT" w:eastAsia="es-GT"/>
              </w:rPr>
            </w:pPr>
            <w:r w:rsidRPr="00342AAF">
              <w:rPr>
                <w:color w:val="000000"/>
                <w:sz w:val="22"/>
                <w:szCs w:val="22"/>
                <w:lang w:val="es-GT" w:eastAsia="es-GT"/>
              </w:rPr>
              <w:t>Brasil</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1.1</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1.3</w:t>
            </w:r>
          </w:p>
        </w:tc>
        <w:tc>
          <w:tcPr>
            <w:tcW w:w="751" w:type="dxa"/>
            <w:tcBorders>
              <w:top w:val="nil"/>
              <w:left w:val="nil"/>
              <w:bottom w:val="nil"/>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2.5</w:t>
            </w:r>
          </w:p>
        </w:tc>
        <w:tc>
          <w:tcPr>
            <w:tcW w:w="751" w:type="dxa"/>
            <w:tcBorders>
              <w:top w:val="nil"/>
              <w:left w:val="nil"/>
              <w:bottom w:val="nil"/>
              <w:right w:val="nil"/>
            </w:tcBorders>
            <w:shd w:val="clear" w:color="000000" w:fill="auto"/>
            <w:noWrap/>
            <w:vAlign w:val="bottom"/>
            <w:hideMark/>
          </w:tcPr>
          <w:p w:rsidR="00564A01" w:rsidRDefault="00564A01" w:rsidP="001E2EF8">
            <w:pPr>
              <w:jc w:val="right"/>
              <w:rPr>
                <w:color w:val="000000"/>
              </w:rPr>
            </w:pPr>
            <w:r>
              <w:rPr>
                <w:color w:val="000000"/>
              </w:rPr>
              <w:t>2.2</w:t>
            </w:r>
          </w:p>
        </w:tc>
      </w:tr>
      <w:tr w:rsidR="00564A01" w:rsidRPr="00342AAF" w:rsidTr="001E2EF8">
        <w:trPr>
          <w:trHeight w:val="286"/>
        </w:trPr>
        <w:tc>
          <w:tcPr>
            <w:tcW w:w="5951" w:type="dxa"/>
            <w:tcBorders>
              <w:top w:val="nil"/>
              <w:left w:val="nil"/>
              <w:bottom w:val="single" w:sz="12" w:space="0" w:color="auto"/>
              <w:right w:val="nil"/>
            </w:tcBorders>
            <w:shd w:val="clear" w:color="000000" w:fill="auto"/>
            <w:noWrap/>
            <w:vAlign w:val="bottom"/>
            <w:hideMark/>
          </w:tcPr>
          <w:p w:rsidR="00564A01" w:rsidRPr="00342AAF" w:rsidRDefault="00564A01" w:rsidP="001E2EF8">
            <w:pPr>
              <w:ind w:firstLineChars="200" w:firstLine="440"/>
              <w:rPr>
                <w:color w:val="000000"/>
                <w:sz w:val="22"/>
                <w:szCs w:val="22"/>
                <w:lang w:val="es-GT" w:eastAsia="es-GT"/>
              </w:rPr>
            </w:pPr>
            <w:r w:rsidRPr="00342AAF">
              <w:rPr>
                <w:color w:val="000000"/>
                <w:sz w:val="22"/>
                <w:szCs w:val="22"/>
                <w:lang w:val="es-GT" w:eastAsia="es-GT"/>
              </w:rPr>
              <w:t>México</w:t>
            </w:r>
          </w:p>
        </w:tc>
        <w:tc>
          <w:tcPr>
            <w:tcW w:w="751" w:type="dxa"/>
            <w:tcBorders>
              <w:top w:val="nil"/>
              <w:left w:val="nil"/>
              <w:bottom w:val="single" w:sz="12" w:space="0" w:color="auto"/>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2.1</w:t>
            </w:r>
          </w:p>
        </w:tc>
        <w:tc>
          <w:tcPr>
            <w:tcW w:w="751" w:type="dxa"/>
            <w:tcBorders>
              <w:top w:val="nil"/>
              <w:left w:val="nil"/>
              <w:bottom w:val="single" w:sz="12" w:space="0" w:color="auto"/>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2.1</w:t>
            </w:r>
          </w:p>
        </w:tc>
        <w:tc>
          <w:tcPr>
            <w:tcW w:w="751" w:type="dxa"/>
            <w:tcBorders>
              <w:top w:val="nil"/>
              <w:left w:val="nil"/>
              <w:bottom w:val="single" w:sz="12" w:space="0" w:color="auto"/>
              <w:right w:val="nil"/>
            </w:tcBorders>
            <w:shd w:val="clear" w:color="000000" w:fill="auto"/>
            <w:noWrap/>
            <w:vAlign w:val="bottom"/>
            <w:hideMark/>
          </w:tcPr>
          <w:p w:rsidR="00564A01" w:rsidRDefault="00564A01" w:rsidP="001E2EF8">
            <w:pPr>
              <w:jc w:val="center"/>
              <w:rPr>
                <w:color w:val="000000"/>
                <w:sz w:val="22"/>
                <w:szCs w:val="22"/>
              </w:rPr>
            </w:pPr>
            <w:r>
              <w:rPr>
                <w:color w:val="000000"/>
                <w:sz w:val="22"/>
                <w:szCs w:val="22"/>
              </w:rPr>
              <w:t>2.1</w:t>
            </w:r>
          </w:p>
        </w:tc>
        <w:tc>
          <w:tcPr>
            <w:tcW w:w="751" w:type="dxa"/>
            <w:tcBorders>
              <w:top w:val="nil"/>
              <w:left w:val="nil"/>
              <w:bottom w:val="single" w:sz="12" w:space="0" w:color="auto"/>
              <w:right w:val="nil"/>
            </w:tcBorders>
            <w:shd w:val="clear" w:color="000000" w:fill="auto"/>
            <w:noWrap/>
            <w:vAlign w:val="bottom"/>
            <w:hideMark/>
          </w:tcPr>
          <w:p w:rsidR="00564A01" w:rsidRDefault="00564A01" w:rsidP="001E2EF8">
            <w:pPr>
              <w:jc w:val="right"/>
              <w:rPr>
                <w:color w:val="000000"/>
              </w:rPr>
            </w:pPr>
            <w:r>
              <w:rPr>
                <w:color w:val="000000"/>
              </w:rPr>
              <w:t>2.2</w:t>
            </w:r>
          </w:p>
        </w:tc>
      </w:tr>
      <w:tr w:rsidR="00564A01" w:rsidRPr="00CC7E0D" w:rsidTr="001E2EF8">
        <w:trPr>
          <w:trHeight w:val="383"/>
        </w:trPr>
        <w:tc>
          <w:tcPr>
            <w:tcW w:w="8955" w:type="dxa"/>
            <w:gridSpan w:val="5"/>
            <w:tcBorders>
              <w:top w:val="nil"/>
              <w:left w:val="nil"/>
              <w:bottom w:val="nil"/>
              <w:right w:val="nil"/>
            </w:tcBorders>
            <w:shd w:val="clear" w:color="000000" w:fill="auto"/>
            <w:vAlign w:val="bottom"/>
            <w:hideMark/>
          </w:tcPr>
          <w:p w:rsidR="00564A01" w:rsidRPr="00CC7E0D" w:rsidRDefault="00564A01" w:rsidP="001E2EF8">
            <w:pPr>
              <w:rPr>
                <w:bCs/>
                <w:color w:val="000000"/>
                <w:sz w:val="18"/>
                <w:szCs w:val="20"/>
                <w:lang w:val="es-GT" w:eastAsia="es-GT"/>
              </w:rPr>
            </w:pPr>
            <w:r w:rsidRPr="00CC7E0D">
              <w:rPr>
                <w:bCs/>
                <w:color w:val="000000"/>
                <w:sz w:val="18"/>
                <w:szCs w:val="20"/>
                <w:lang w:val="es-GT" w:eastAsia="es-GT"/>
              </w:rPr>
              <w:t>Fuente: Fondo Monetario Internacional FMI "Actualización del informe WEO,   Enero de 2019".</w:t>
            </w:r>
          </w:p>
        </w:tc>
      </w:tr>
    </w:tbl>
    <w:p w:rsidR="00564A01" w:rsidRPr="0082029F" w:rsidRDefault="00564A01" w:rsidP="00564A01">
      <w:pPr>
        <w:pStyle w:val="Default"/>
        <w:jc w:val="both"/>
        <w:rPr>
          <w:rFonts w:ascii="Times New Roman" w:hAnsi="Times New Roman" w:cs="Times New Roman"/>
          <w:color w:val="auto"/>
          <w:lang w:val="es-GT"/>
        </w:rPr>
      </w:pPr>
    </w:p>
    <w:p w:rsidR="00564A01" w:rsidRPr="003745E2" w:rsidRDefault="00564A01" w:rsidP="00564A01">
      <w:pPr>
        <w:autoSpaceDE w:val="0"/>
        <w:autoSpaceDN w:val="0"/>
        <w:adjustRightInd w:val="0"/>
        <w:jc w:val="both"/>
      </w:pPr>
      <w:r>
        <w:t>En la Zona del Euro, l</w:t>
      </w:r>
      <w:r w:rsidRPr="003745E2">
        <w:t xml:space="preserve">a revisión a la baja refleja las consecuencias de </w:t>
      </w:r>
      <w:r>
        <w:t xml:space="preserve">un crecimiento menor </w:t>
      </w:r>
      <w:r w:rsidRPr="003745E2">
        <w:t xml:space="preserve">en el segundo semestre de 2018 </w:t>
      </w:r>
      <w:r>
        <w:t>(</w:t>
      </w:r>
      <w:r w:rsidRPr="003745E2">
        <w:t>como por ejemplo</w:t>
      </w:r>
      <w:r w:rsidR="00CC7E0D">
        <w:t>,</w:t>
      </w:r>
      <w:r w:rsidRPr="003745E2">
        <w:t xml:space="preserve"> en Alemania tras la adopción de nuevas normas sobre emisiones para vehículos de combustión, y en Italia, donde las preocupaciones en torno a los riesgos soberanos y financieros han constituido un lastre para la demanda interna</w:t>
      </w:r>
      <w:r>
        <w:t>)</w:t>
      </w:r>
      <w:r w:rsidRPr="003745E2">
        <w:t>, pero también obedece a un debilitamiento de la actitud de los mercados financieros y a una contracción en Turquía que ahora se proyecta que será más profunda de lo previsto.</w:t>
      </w:r>
    </w:p>
    <w:p w:rsidR="00564A01" w:rsidRDefault="00564A01" w:rsidP="00564A01">
      <w:pPr>
        <w:autoSpaceDE w:val="0"/>
        <w:autoSpaceDN w:val="0"/>
        <w:adjustRightInd w:val="0"/>
        <w:jc w:val="both"/>
      </w:pPr>
    </w:p>
    <w:p w:rsidR="00564A01" w:rsidRDefault="00564A01" w:rsidP="00564A01">
      <w:pPr>
        <w:autoSpaceDE w:val="0"/>
        <w:autoSpaceDN w:val="0"/>
        <w:adjustRightInd w:val="0"/>
        <w:jc w:val="both"/>
      </w:pPr>
    </w:p>
    <w:p w:rsidR="00564A01" w:rsidRDefault="00564A01" w:rsidP="00564A01">
      <w:pPr>
        <w:pStyle w:val="Default"/>
        <w:jc w:val="both"/>
        <w:rPr>
          <w:rFonts w:ascii="Times New Roman" w:hAnsi="Times New Roman" w:cs="Times New Roman"/>
          <w:color w:val="auto"/>
        </w:rPr>
      </w:pPr>
      <w:r w:rsidRPr="001E302E">
        <w:rPr>
          <w:rFonts w:ascii="Times New Roman" w:hAnsi="Times New Roman" w:cs="Times New Roman"/>
          <w:color w:val="auto"/>
        </w:rPr>
        <w:t xml:space="preserve">Las condiciones financieras en los mercados emergentes se han tornado moderadamente más restrictivas </w:t>
      </w:r>
      <w:r>
        <w:rPr>
          <w:rFonts w:ascii="Times New Roman" w:hAnsi="Times New Roman" w:cs="Times New Roman"/>
          <w:color w:val="auto"/>
        </w:rPr>
        <w:t xml:space="preserve">a partir de octubre </w:t>
      </w:r>
      <w:r w:rsidR="009F2E26">
        <w:rPr>
          <w:rFonts w:ascii="Times New Roman" w:hAnsi="Times New Roman" w:cs="Times New Roman"/>
          <w:color w:val="auto"/>
        </w:rPr>
        <w:t xml:space="preserve">de </w:t>
      </w:r>
      <w:r>
        <w:rPr>
          <w:rFonts w:ascii="Times New Roman" w:hAnsi="Times New Roman" w:cs="Times New Roman"/>
          <w:color w:val="auto"/>
        </w:rPr>
        <w:t>2018</w:t>
      </w:r>
      <w:r w:rsidRPr="001E302E">
        <w:rPr>
          <w:rFonts w:ascii="Times New Roman" w:hAnsi="Times New Roman" w:cs="Times New Roman"/>
          <w:color w:val="auto"/>
        </w:rPr>
        <w:t xml:space="preserve">, con notables diferencias en función de factores específicos de cada país. Los índices de acciones de mercados emergentes han registrado ventas masivas durante este período, en un contexto de crecientes tensiones comerciales y mayor aversión al riesgo. Las preocupaciones por los efectos inflacionarios de aumentos anteriores del precio del petróleo y, en algunos casos, el cierre de las brechas del producto o el efecto de traspaso de la depreciación de la moneda, han llevado a los bancos centrales de </w:t>
      </w:r>
      <w:r>
        <w:rPr>
          <w:rFonts w:ascii="Times New Roman" w:hAnsi="Times New Roman" w:cs="Times New Roman"/>
          <w:color w:val="auto"/>
        </w:rPr>
        <w:t>algunas</w:t>
      </w:r>
      <w:r w:rsidRPr="001E302E">
        <w:rPr>
          <w:rFonts w:ascii="Times New Roman" w:hAnsi="Times New Roman" w:cs="Times New Roman"/>
          <w:color w:val="auto"/>
        </w:rPr>
        <w:t xml:space="preserve"> economías de mercados emergentes (Chile, Filipinas, Indonesia, México, Rusia, Sudáfrica, Tailandia</w:t>
      </w:r>
      <w:r w:rsidR="009F2E26">
        <w:rPr>
          <w:rFonts w:ascii="Times New Roman" w:hAnsi="Times New Roman" w:cs="Times New Roman"/>
          <w:color w:val="auto"/>
        </w:rPr>
        <w:t>, entre otros</w:t>
      </w:r>
      <w:r w:rsidRPr="001E302E">
        <w:rPr>
          <w:rFonts w:ascii="Times New Roman" w:hAnsi="Times New Roman" w:cs="Times New Roman"/>
          <w:color w:val="auto"/>
        </w:rPr>
        <w:t>)</w:t>
      </w:r>
      <w:r w:rsidR="009F2E26">
        <w:rPr>
          <w:rFonts w:ascii="Times New Roman" w:hAnsi="Times New Roman" w:cs="Times New Roman"/>
          <w:color w:val="auto"/>
        </w:rPr>
        <w:t>,</w:t>
      </w:r>
      <w:r w:rsidRPr="001E302E">
        <w:rPr>
          <w:rFonts w:ascii="Times New Roman" w:hAnsi="Times New Roman" w:cs="Times New Roman"/>
          <w:color w:val="auto"/>
        </w:rPr>
        <w:t xml:space="preserve"> a elevar las tasas de interés de política monetaria desde octubre</w:t>
      </w:r>
      <w:r w:rsidR="009F2E26">
        <w:rPr>
          <w:rFonts w:ascii="Times New Roman" w:hAnsi="Times New Roman" w:cs="Times New Roman"/>
          <w:color w:val="auto"/>
        </w:rPr>
        <w:t xml:space="preserve"> de 2018</w:t>
      </w:r>
      <w:r w:rsidRPr="001E302E">
        <w:rPr>
          <w:rFonts w:ascii="Times New Roman" w:hAnsi="Times New Roman" w:cs="Times New Roman"/>
          <w:color w:val="auto"/>
        </w:rPr>
        <w:t xml:space="preserve">. En cambio, los bancos centrales de China e India mantuvieron las tasas en compás de espera y tomaron medidas para aliviar las condiciones de financiamiento interno (redujeron el encaje legal de los bancos y proporcionaron liquidez a empresas financieras no bancarias, respectivamente). </w:t>
      </w:r>
    </w:p>
    <w:p w:rsidR="00564A01" w:rsidRDefault="00564A01" w:rsidP="00564A01">
      <w:pPr>
        <w:pStyle w:val="Default"/>
        <w:jc w:val="both"/>
        <w:rPr>
          <w:rFonts w:ascii="Times New Roman" w:hAnsi="Times New Roman" w:cs="Times New Roman"/>
          <w:color w:val="auto"/>
        </w:rPr>
      </w:pPr>
    </w:p>
    <w:p w:rsidR="00564A01" w:rsidRDefault="00564A01" w:rsidP="00564A01">
      <w:pPr>
        <w:pStyle w:val="Default"/>
        <w:jc w:val="both"/>
        <w:rPr>
          <w:rFonts w:ascii="Times New Roman" w:hAnsi="Times New Roman" w:cs="Times New Roman"/>
          <w:color w:val="auto"/>
        </w:rPr>
      </w:pPr>
      <w:r w:rsidRPr="001E302E">
        <w:rPr>
          <w:rFonts w:ascii="Times New Roman" w:hAnsi="Times New Roman" w:cs="Times New Roman"/>
          <w:color w:val="auto"/>
        </w:rPr>
        <w:t>Concretamente, se proyecta que el crecimiento en las economías avanzadas se desacelere de una tasa estimada de 2</w:t>
      </w:r>
      <w:r>
        <w:rPr>
          <w:rFonts w:ascii="Times New Roman" w:hAnsi="Times New Roman" w:cs="Times New Roman"/>
          <w:color w:val="auto"/>
        </w:rPr>
        <w:t>.</w:t>
      </w:r>
      <w:r w:rsidRPr="001E302E">
        <w:rPr>
          <w:rFonts w:ascii="Times New Roman" w:hAnsi="Times New Roman" w:cs="Times New Roman"/>
          <w:color w:val="auto"/>
        </w:rPr>
        <w:t>3% en 2018 a 2</w:t>
      </w:r>
      <w:r>
        <w:rPr>
          <w:rFonts w:ascii="Times New Roman" w:hAnsi="Times New Roman" w:cs="Times New Roman"/>
          <w:color w:val="auto"/>
        </w:rPr>
        <w:t>.</w:t>
      </w:r>
      <w:r w:rsidRPr="001E302E">
        <w:rPr>
          <w:rFonts w:ascii="Times New Roman" w:hAnsi="Times New Roman" w:cs="Times New Roman"/>
          <w:color w:val="auto"/>
        </w:rPr>
        <w:t>0% en 2019 y 1</w:t>
      </w:r>
      <w:r>
        <w:rPr>
          <w:rFonts w:ascii="Times New Roman" w:hAnsi="Times New Roman" w:cs="Times New Roman"/>
          <w:color w:val="auto"/>
        </w:rPr>
        <w:t>.7% en 2020</w:t>
      </w:r>
      <w:r w:rsidRPr="001E302E">
        <w:rPr>
          <w:rFonts w:ascii="Times New Roman" w:hAnsi="Times New Roman" w:cs="Times New Roman"/>
          <w:color w:val="auto"/>
        </w:rPr>
        <w:t xml:space="preserve">, debido principalmente a revisiones a la baja en la </w:t>
      </w:r>
      <w:r w:rsidR="009F2E26">
        <w:rPr>
          <w:rFonts w:ascii="Times New Roman" w:hAnsi="Times New Roman" w:cs="Times New Roman"/>
          <w:color w:val="auto"/>
        </w:rPr>
        <w:t>Z</w:t>
      </w:r>
      <w:r w:rsidRPr="001E302E">
        <w:rPr>
          <w:rFonts w:ascii="Times New Roman" w:hAnsi="Times New Roman" w:cs="Times New Roman"/>
          <w:color w:val="auto"/>
        </w:rPr>
        <w:t xml:space="preserve">ona del </w:t>
      </w:r>
      <w:r w:rsidR="009F2E26">
        <w:rPr>
          <w:rFonts w:ascii="Times New Roman" w:hAnsi="Times New Roman" w:cs="Times New Roman"/>
          <w:color w:val="auto"/>
        </w:rPr>
        <w:t>E</w:t>
      </w:r>
      <w:r w:rsidRPr="001E302E">
        <w:rPr>
          <w:rFonts w:ascii="Times New Roman" w:hAnsi="Times New Roman" w:cs="Times New Roman"/>
          <w:color w:val="auto"/>
        </w:rPr>
        <w:t>uro. En el caso de China, el pronóstico incorpora aranceles que van de 5</w:t>
      </w:r>
      <w:r w:rsidR="009F2E26">
        <w:rPr>
          <w:rFonts w:ascii="Times New Roman" w:hAnsi="Times New Roman" w:cs="Times New Roman"/>
          <w:color w:val="auto"/>
        </w:rPr>
        <w:t>.0</w:t>
      </w:r>
      <w:r w:rsidRPr="001E302E">
        <w:rPr>
          <w:rFonts w:ascii="Times New Roman" w:hAnsi="Times New Roman" w:cs="Times New Roman"/>
          <w:color w:val="auto"/>
        </w:rPr>
        <w:t>% a 10</w:t>
      </w:r>
      <w:r w:rsidR="009F2E26">
        <w:rPr>
          <w:rFonts w:ascii="Times New Roman" w:hAnsi="Times New Roman" w:cs="Times New Roman"/>
          <w:color w:val="auto"/>
        </w:rPr>
        <w:t>.0</w:t>
      </w:r>
      <w:r w:rsidRPr="001E302E">
        <w:rPr>
          <w:rFonts w:ascii="Times New Roman" w:hAnsi="Times New Roman" w:cs="Times New Roman"/>
          <w:color w:val="auto"/>
        </w:rPr>
        <w:t>% sobre un monto equivalente a US</w:t>
      </w:r>
      <w:r w:rsidR="009F2E26">
        <w:rPr>
          <w:rFonts w:ascii="Times New Roman" w:hAnsi="Times New Roman" w:cs="Times New Roman"/>
          <w:color w:val="auto"/>
        </w:rPr>
        <w:t>$</w:t>
      </w:r>
      <w:r w:rsidRPr="001E302E">
        <w:rPr>
          <w:rFonts w:ascii="Times New Roman" w:hAnsi="Times New Roman" w:cs="Times New Roman"/>
          <w:color w:val="auto"/>
        </w:rPr>
        <w:t xml:space="preserve"> 60</w:t>
      </w:r>
      <w:r w:rsidR="009F2E26">
        <w:rPr>
          <w:rFonts w:ascii="Times New Roman" w:hAnsi="Times New Roman" w:cs="Times New Roman"/>
          <w:color w:val="auto"/>
        </w:rPr>
        <w:t>,</w:t>
      </w:r>
      <w:r w:rsidRPr="001E302E">
        <w:rPr>
          <w:rFonts w:ascii="Times New Roman" w:hAnsi="Times New Roman" w:cs="Times New Roman"/>
          <w:color w:val="auto"/>
        </w:rPr>
        <w:t>000 millones en importaciones procedentes de Estados Unidos</w:t>
      </w:r>
      <w:r>
        <w:rPr>
          <w:rFonts w:ascii="Times New Roman" w:hAnsi="Times New Roman" w:cs="Times New Roman"/>
          <w:color w:val="auto"/>
        </w:rPr>
        <w:t xml:space="preserve">. </w:t>
      </w:r>
      <w:r w:rsidRPr="001E302E">
        <w:rPr>
          <w:rFonts w:ascii="Times New Roman" w:hAnsi="Times New Roman" w:cs="Times New Roman"/>
          <w:color w:val="auto"/>
        </w:rPr>
        <w:t>Se proyecta que los precios promedio del petróleo se sitúen apenas por debajo de US</w:t>
      </w:r>
      <w:r w:rsidR="009F2E26">
        <w:rPr>
          <w:rFonts w:ascii="Times New Roman" w:hAnsi="Times New Roman" w:cs="Times New Roman"/>
          <w:color w:val="auto"/>
        </w:rPr>
        <w:t>$</w:t>
      </w:r>
      <w:r w:rsidRPr="001E302E">
        <w:rPr>
          <w:rFonts w:ascii="Times New Roman" w:hAnsi="Times New Roman" w:cs="Times New Roman"/>
          <w:color w:val="auto"/>
        </w:rPr>
        <w:t xml:space="preserve"> 60 el barril en 2019 y 2020. Se prevé que los precios de los metales disminuyan un 7</w:t>
      </w:r>
      <w:r w:rsidR="009F2E26">
        <w:rPr>
          <w:rFonts w:ascii="Times New Roman" w:hAnsi="Times New Roman" w:cs="Times New Roman"/>
          <w:color w:val="auto"/>
        </w:rPr>
        <w:t>.</w:t>
      </w:r>
      <w:r w:rsidRPr="001E302E">
        <w:rPr>
          <w:rFonts w:ascii="Times New Roman" w:hAnsi="Times New Roman" w:cs="Times New Roman"/>
          <w:color w:val="auto"/>
        </w:rPr>
        <w:t>4% en términos interanuales en 2019 (una reducción más profunda que la prevista en el último informe WEO), y que se mantengan sin mayores cambios en 2020. Los pronósticos de precios de la mayoría de las principales materias primas agrícolas han sido revisados levemente a la baja.</w:t>
      </w:r>
    </w:p>
    <w:p w:rsidR="00564A01" w:rsidRDefault="00564A01" w:rsidP="00564A01">
      <w:pPr>
        <w:pStyle w:val="Default"/>
        <w:jc w:val="both"/>
        <w:rPr>
          <w:rFonts w:ascii="Times New Roman" w:hAnsi="Times New Roman" w:cs="Times New Roman"/>
          <w:color w:val="auto"/>
        </w:rPr>
      </w:pPr>
    </w:p>
    <w:p w:rsidR="00564A01" w:rsidRDefault="00564A01" w:rsidP="00564A01">
      <w:pPr>
        <w:pStyle w:val="Default"/>
        <w:jc w:val="both"/>
        <w:rPr>
          <w:rFonts w:ascii="Times New Roman" w:hAnsi="Times New Roman" w:cs="Times New Roman"/>
          <w:color w:val="auto"/>
        </w:rPr>
      </w:pPr>
    </w:p>
    <w:p w:rsidR="00564A01" w:rsidRPr="00124AD6" w:rsidRDefault="00564A01" w:rsidP="00564A01">
      <w:pPr>
        <w:pStyle w:val="Ttulo1"/>
        <w:rPr>
          <w:lang w:val="es-MX"/>
        </w:rPr>
      </w:pPr>
      <w:bookmarkStart w:id="5" w:name="_Toc4742459"/>
      <w:bookmarkStart w:id="6" w:name="_Toc4775332"/>
      <w:r w:rsidRPr="00124AD6">
        <w:rPr>
          <w:lang w:val="es-MX"/>
        </w:rPr>
        <w:t>Perspectivas Económicas</w:t>
      </w:r>
      <w:bookmarkEnd w:id="5"/>
      <w:bookmarkEnd w:id="6"/>
    </w:p>
    <w:p w:rsidR="00564A01" w:rsidRPr="00124AD6" w:rsidRDefault="00564A01" w:rsidP="00564A01">
      <w:pPr>
        <w:rPr>
          <w:lang w:val="es-MX"/>
        </w:rPr>
      </w:pPr>
    </w:p>
    <w:p w:rsidR="00564A01" w:rsidRDefault="00564A01" w:rsidP="00564A01">
      <w:pPr>
        <w:pStyle w:val="Default"/>
        <w:jc w:val="both"/>
        <w:rPr>
          <w:rFonts w:ascii="Times New Roman" w:hAnsi="Times New Roman" w:cs="Times New Roman"/>
          <w:color w:val="auto"/>
        </w:rPr>
      </w:pPr>
      <w:r w:rsidRPr="00806042">
        <w:rPr>
          <w:rFonts w:ascii="Times New Roman" w:hAnsi="Times New Roman" w:cs="Times New Roman"/>
          <w:color w:val="auto"/>
        </w:rPr>
        <w:t>Para las economías de mercados emergentes y en desarrollo se prevé que el crecimiento disminuya levemente a 4</w:t>
      </w:r>
      <w:r>
        <w:rPr>
          <w:rFonts w:ascii="Times New Roman" w:hAnsi="Times New Roman" w:cs="Times New Roman"/>
          <w:color w:val="auto"/>
        </w:rPr>
        <w:t>.</w:t>
      </w:r>
      <w:r w:rsidRPr="00806042">
        <w:rPr>
          <w:rFonts w:ascii="Times New Roman" w:hAnsi="Times New Roman" w:cs="Times New Roman"/>
          <w:color w:val="auto"/>
        </w:rPr>
        <w:t>5% en 2019 (de 4</w:t>
      </w:r>
      <w:r>
        <w:rPr>
          <w:rFonts w:ascii="Times New Roman" w:hAnsi="Times New Roman" w:cs="Times New Roman"/>
          <w:color w:val="auto"/>
        </w:rPr>
        <w:t>.</w:t>
      </w:r>
      <w:r w:rsidRPr="00806042">
        <w:rPr>
          <w:rFonts w:ascii="Times New Roman" w:hAnsi="Times New Roman" w:cs="Times New Roman"/>
          <w:color w:val="auto"/>
        </w:rPr>
        <w:t>6% en 2018), y posteriormente mejore a 4</w:t>
      </w:r>
      <w:r>
        <w:rPr>
          <w:rFonts w:ascii="Times New Roman" w:hAnsi="Times New Roman" w:cs="Times New Roman"/>
          <w:color w:val="auto"/>
        </w:rPr>
        <w:t>.</w:t>
      </w:r>
      <w:r w:rsidRPr="00806042">
        <w:rPr>
          <w:rFonts w:ascii="Times New Roman" w:hAnsi="Times New Roman" w:cs="Times New Roman"/>
          <w:color w:val="auto"/>
        </w:rPr>
        <w:t>9% en 2020. La proyección para 2019 es 0</w:t>
      </w:r>
      <w:r>
        <w:rPr>
          <w:rFonts w:ascii="Times New Roman" w:hAnsi="Times New Roman" w:cs="Times New Roman"/>
          <w:color w:val="auto"/>
        </w:rPr>
        <w:t>.</w:t>
      </w:r>
      <w:r w:rsidRPr="00806042">
        <w:rPr>
          <w:rFonts w:ascii="Times New Roman" w:hAnsi="Times New Roman" w:cs="Times New Roman"/>
          <w:color w:val="auto"/>
        </w:rPr>
        <w:t>2</w:t>
      </w:r>
      <w:r w:rsidR="00647E09">
        <w:rPr>
          <w:rFonts w:ascii="Times New Roman" w:hAnsi="Times New Roman" w:cs="Times New Roman"/>
          <w:color w:val="auto"/>
        </w:rPr>
        <w:t>%</w:t>
      </w:r>
      <w:r w:rsidRPr="00806042">
        <w:rPr>
          <w:rFonts w:ascii="Times New Roman" w:hAnsi="Times New Roman" w:cs="Times New Roman"/>
          <w:color w:val="auto"/>
        </w:rPr>
        <w:t xml:space="preserve"> menor que la del </w:t>
      </w:r>
      <w:r w:rsidR="00647E09">
        <w:rPr>
          <w:rFonts w:ascii="Times New Roman" w:hAnsi="Times New Roman" w:cs="Times New Roman"/>
          <w:color w:val="auto"/>
        </w:rPr>
        <w:t>informe WEO de octubre de 2018.</w:t>
      </w:r>
    </w:p>
    <w:p w:rsidR="00564A01" w:rsidRPr="00806042" w:rsidRDefault="00564A01" w:rsidP="00564A01">
      <w:pPr>
        <w:pStyle w:val="Default"/>
        <w:rPr>
          <w:rFonts w:ascii="Times New Roman" w:hAnsi="Times New Roman" w:cs="Times New Roman"/>
          <w:color w:val="auto"/>
        </w:rPr>
      </w:pPr>
    </w:p>
    <w:p w:rsidR="00564A01" w:rsidRPr="00806042" w:rsidRDefault="00564A01" w:rsidP="00564A01">
      <w:pPr>
        <w:pStyle w:val="Default"/>
        <w:spacing w:after="210"/>
        <w:jc w:val="both"/>
        <w:rPr>
          <w:rFonts w:ascii="Times New Roman" w:hAnsi="Times New Roman" w:cs="Times New Roman"/>
          <w:color w:val="auto"/>
        </w:rPr>
      </w:pPr>
      <w:r w:rsidRPr="00806042">
        <w:rPr>
          <w:rFonts w:ascii="Times New Roman" w:hAnsi="Times New Roman" w:cs="Times New Roman"/>
          <w:color w:val="auto"/>
        </w:rPr>
        <w:t xml:space="preserve">El crecimiento en las economías emergentes y en desarrollo de Asia </w:t>
      </w:r>
      <w:r>
        <w:rPr>
          <w:rFonts w:ascii="Times New Roman" w:hAnsi="Times New Roman" w:cs="Times New Roman"/>
          <w:color w:val="auto"/>
        </w:rPr>
        <w:t xml:space="preserve">se estima </w:t>
      </w:r>
      <w:r w:rsidRPr="00806042">
        <w:rPr>
          <w:rFonts w:ascii="Times New Roman" w:hAnsi="Times New Roman" w:cs="Times New Roman"/>
          <w:color w:val="auto"/>
        </w:rPr>
        <w:t>descenderá de 6</w:t>
      </w:r>
      <w:r>
        <w:rPr>
          <w:rFonts w:ascii="Times New Roman" w:hAnsi="Times New Roman" w:cs="Times New Roman"/>
          <w:color w:val="auto"/>
        </w:rPr>
        <w:t>.</w:t>
      </w:r>
      <w:r w:rsidRPr="00806042">
        <w:rPr>
          <w:rFonts w:ascii="Times New Roman" w:hAnsi="Times New Roman" w:cs="Times New Roman"/>
          <w:color w:val="auto"/>
        </w:rPr>
        <w:t>5% en 2018 a 6</w:t>
      </w:r>
      <w:r>
        <w:rPr>
          <w:rFonts w:ascii="Times New Roman" w:hAnsi="Times New Roman" w:cs="Times New Roman"/>
          <w:color w:val="auto"/>
        </w:rPr>
        <w:t>.</w:t>
      </w:r>
      <w:r w:rsidRPr="00806042">
        <w:rPr>
          <w:rFonts w:ascii="Times New Roman" w:hAnsi="Times New Roman" w:cs="Times New Roman"/>
          <w:color w:val="auto"/>
        </w:rPr>
        <w:t>3% en 2019 y 6</w:t>
      </w:r>
      <w:r>
        <w:rPr>
          <w:rFonts w:ascii="Times New Roman" w:hAnsi="Times New Roman" w:cs="Times New Roman"/>
          <w:color w:val="auto"/>
        </w:rPr>
        <w:t>.</w:t>
      </w:r>
      <w:r w:rsidRPr="00806042">
        <w:rPr>
          <w:rFonts w:ascii="Times New Roman" w:hAnsi="Times New Roman" w:cs="Times New Roman"/>
          <w:color w:val="auto"/>
        </w:rPr>
        <w:t xml:space="preserve">4% en 2020. A pesar del estímulo fiscal que neutraliza en parte el impacto de la subida de los aranceles de Estados Unidos, la economía de China se desacelerará debido a la influencia combinada del necesario endurecimiento de las regulaciones financieras y las tensiones comerciales con Estados Unidos. </w:t>
      </w:r>
      <w:r>
        <w:rPr>
          <w:rFonts w:ascii="Times New Roman" w:hAnsi="Times New Roman" w:cs="Times New Roman"/>
          <w:color w:val="auto"/>
        </w:rPr>
        <w:t>Para l</w:t>
      </w:r>
      <w:r w:rsidRPr="00806042">
        <w:rPr>
          <w:rFonts w:ascii="Times New Roman" w:hAnsi="Times New Roman" w:cs="Times New Roman"/>
          <w:color w:val="auto"/>
        </w:rPr>
        <w:t xml:space="preserve">a economía de India </w:t>
      </w:r>
      <w:r>
        <w:rPr>
          <w:rFonts w:ascii="Times New Roman" w:hAnsi="Times New Roman" w:cs="Times New Roman"/>
          <w:color w:val="auto"/>
        </w:rPr>
        <w:t>se pronostica</w:t>
      </w:r>
      <w:r w:rsidRPr="00806042">
        <w:rPr>
          <w:rFonts w:ascii="Times New Roman" w:hAnsi="Times New Roman" w:cs="Times New Roman"/>
          <w:color w:val="auto"/>
        </w:rPr>
        <w:t xml:space="preserve"> un repunte en 2019, gracias a los precios más bajos del petróleo y a un ritmo de endurecimiento monetario más lento de lo previsto, al haber cedid</w:t>
      </w:r>
      <w:r w:rsidR="00647E09">
        <w:rPr>
          <w:rFonts w:ascii="Times New Roman" w:hAnsi="Times New Roman" w:cs="Times New Roman"/>
          <w:color w:val="auto"/>
        </w:rPr>
        <w:t>o las presiones inflacionarias.</w:t>
      </w:r>
    </w:p>
    <w:p w:rsidR="00564A01" w:rsidRPr="00806042" w:rsidRDefault="00564A01" w:rsidP="00564A01">
      <w:pPr>
        <w:pStyle w:val="Default"/>
        <w:jc w:val="both"/>
        <w:rPr>
          <w:rFonts w:ascii="Times New Roman" w:hAnsi="Times New Roman" w:cs="Times New Roman"/>
          <w:color w:val="auto"/>
        </w:rPr>
      </w:pPr>
      <w:r>
        <w:rPr>
          <w:rFonts w:ascii="Times New Roman" w:hAnsi="Times New Roman" w:cs="Times New Roman"/>
          <w:color w:val="auto"/>
        </w:rPr>
        <w:t>E</w:t>
      </w:r>
      <w:r w:rsidRPr="00806042">
        <w:rPr>
          <w:rFonts w:ascii="Times New Roman" w:hAnsi="Times New Roman" w:cs="Times New Roman"/>
          <w:color w:val="auto"/>
        </w:rPr>
        <w:t xml:space="preserve">l crecimiento en las economías emergentes y en desarrollo de Europa en 2019 se </w:t>
      </w:r>
      <w:r w:rsidR="00647E09">
        <w:rPr>
          <w:rFonts w:ascii="Times New Roman" w:hAnsi="Times New Roman" w:cs="Times New Roman"/>
          <w:color w:val="auto"/>
        </w:rPr>
        <w:t xml:space="preserve">estima se </w:t>
      </w:r>
      <w:r w:rsidRPr="00806042">
        <w:rPr>
          <w:rFonts w:ascii="Times New Roman" w:hAnsi="Times New Roman" w:cs="Times New Roman"/>
          <w:color w:val="auto"/>
        </w:rPr>
        <w:t>debilite más de lo que se había previsto, a 0</w:t>
      </w:r>
      <w:r>
        <w:rPr>
          <w:rFonts w:ascii="Times New Roman" w:hAnsi="Times New Roman" w:cs="Times New Roman"/>
          <w:color w:val="auto"/>
        </w:rPr>
        <w:t>.</w:t>
      </w:r>
      <w:r w:rsidRPr="00806042">
        <w:rPr>
          <w:rFonts w:ascii="Times New Roman" w:hAnsi="Times New Roman" w:cs="Times New Roman"/>
          <w:color w:val="auto"/>
        </w:rPr>
        <w:t>7% (de 3</w:t>
      </w:r>
      <w:r>
        <w:rPr>
          <w:rFonts w:ascii="Times New Roman" w:hAnsi="Times New Roman" w:cs="Times New Roman"/>
          <w:color w:val="auto"/>
        </w:rPr>
        <w:t>.</w:t>
      </w:r>
      <w:r w:rsidRPr="00806042">
        <w:rPr>
          <w:rFonts w:ascii="Times New Roman" w:hAnsi="Times New Roman" w:cs="Times New Roman"/>
          <w:color w:val="auto"/>
        </w:rPr>
        <w:t xml:space="preserve">8% en 2018) pese a un crecimiento en </w:t>
      </w:r>
      <w:r w:rsidRPr="00806042">
        <w:rPr>
          <w:rFonts w:ascii="Times New Roman" w:hAnsi="Times New Roman" w:cs="Times New Roman"/>
          <w:color w:val="auto"/>
        </w:rPr>
        <w:lastRenderedPageBreak/>
        <w:t>general dinámico en Europa central y oriental, para luego recuperarse a 2</w:t>
      </w:r>
      <w:r>
        <w:rPr>
          <w:rFonts w:ascii="Times New Roman" w:hAnsi="Times New Roman" w:cs="Times New Roman"/>
          <w:color w:val="auto"/>
        </w:rPr>
        <w:t>.</w:t>
      </w:r>
      <w:r w:rsidRPr="00806042">
        <w:rPr>
          <w:rFonts w:ascii="Times New Roman" w:hAnsi="Times New Roman" w:cs="Times New Roman"/>
          <w:color w:val="auto"/>
        </w:rPr>
        <w:t>4% en 2020. Las revisiones (1</w:t>
      </w:r>
      <w:r>
        <w:rPr>
          <w:rFonts w:ascii="Times New Roman" w:hAnsi="Times New Roman" w:cs="Times New Roman"/>
          <w:color w:val="auto"/>
        </w:rPr>
        <w:t>.</w:t>
      </w:r>
      <w:r w:rsidRPr="00806042">
        <w:rPr>
          <w:rFonts w:ascii="Times New Roman" w:hAnsi="Times New Roman" w:cs="Times New Roman"/>
          <w:color w:val="auto"/>
        </w:rPr>
        <w:t>3</w:t>
      </w:r>
      <w:r w:rsidR="00647E09">
        <w:rPr>
          <w:rFonts w:ascii="Times New Roman" w:hAnsi="Times New Roman" w:cs="Times New Roman"/>
          <w:color w:val="auto"/>
        </w:rPr>
        <w:t>%</w:t>
      </w:r>
      <w:r w:rsidRPr="00806042">
        <w:rPr>
          <w:rFonts w:ascii="Times New Roman" w:hAnsi="Times New Roman" w:cs="Times New Roman"/>
          <w:color w:val="auto"/>
        </w:rPr>
        <w:t xml:space="preserve"> en 2019 </w:t>
      </w:r>
      <w:r w:rsidR="00647E09">
        <w:rPr>
          <w:rFonts w:ascii="Times New Roman" w:hAnsi="Times New Roman" w:cs="Times New Roman"/>
          <w:color w:val="auto"/>
        </w:rPr>
        <w:t xml:space="preserve"> </w:t>
      </w:r>
      <w:r w:rsidRPr="00806042">
        <w:rPr>
          <w:rFonts w:ascii="Times New Roman" w:hAnsi="Times New Roman" w:cs="Times New Roman"/>
          <w:color w:val="auto"/>
        </w:rPr>
        <w:t>y</w:t>
      </w:r>
      <w:r w:rsidR="00647E09">
        <w:rPr>
          <w:rFonts w:ascii="Times New Roman" w:hAnsi="Times New Roman" w:cs="Times New Roman"/>
          <w:color w:val="auto"/>
        </w:rPr>
        <w:t xml:space="preserve"> </w:t>
      </w:r>
      <w:r w:rsidRPr="00806042">
        <w:rPr>
          <w:rFonts w:ascii="Times New Roman" w:hAnsi="Times New Roman" w:cs="Times New Roman"/>
          <w:color w:val="auto"/>
        </w:rPr>
        <w:t xml:space="preserve"> 0</w:t>
      </w:r>
      <w:r>
        <w:rPr>
          <w:rFonts w:ascii="Times New Roman" w:hAnsi="Times New Roman" w:cs="Times New Roman"/>
          <w:color w:val="auto"/>
        </w:rPr>
        <w:t>.</w:t>
      </w:r>
      <w:r w:rsidRPr="00806042">
        <w:rPr>
          <w:rFonts w:ascii="Times New Roman" w:hAnsi="Times New Roman" w:cs="Times New Roman"/>
          <w:color w:val="auto"/>
        </w:rPr>
        <w:t>4</w:t>
      </w:r>
      <w:r w:rsidR="00647E09">
        <w:rPr>
          <w:rFonts w:ascii="Times New Roman" w:hAnsi="Times New Roman" w:cs="Times New Roman"/>
          <w:color w:val="auto"/>
        </w:rPr>
        <w:t>%</w:t>
      </w:r>
      <w:r w:rsidRPr="00806042">
        <w:rPr>
          <w:rFonts w:ascii="Times New Roman" w:hAnsi="Times New Roman" w:cs="Times New Roman"/>
          <w:color w:val="auto"/>
        </w:rPr>
        <w:t xml:space="preserve"> en 2020) obedecen a </w:t>
      </w:r>
      <w:r>
        <w:rPr>
          <w:rFonts w:ascii="Times New Roman" w:hAnsi="Times New Roman" w:cs="Times New Roman"/>
          <w:color w:val="auto"/>
        </w:rPr>
        <w:t>la</w:t>
      </w:r>
      <w:r w:rsidRPr="00806042">
        <w:rPr>
          <w:rFonts w:ascii="Times New Roman" w:hAnsi="Times New Roman" w:cs="Times New Roman"/>
          <w:color w:val="auto"/>
        </w:rPr>
        <w:t xml:space="preserve"> contracción proyectada para 2019 y una recuperación más lenta en 2020 en Turquía, en medio de un endurecimiento de las políticas y un ajuste ante las condiciones de financiam</w:t>
      </w:r>
      <w:r w:rsidR="00647E09">
        <w:rPr>
          <w:rFonts w:ascii="Times New Roman" w:hAnsi="Times New Roman" w:cs="Times New Roman"/>
          <w:color w:val="auto"/>
        </w:rPr>
        <w:t>iento externo más restrictivas.</w:t>
      </w:r>
    </w:p>
    <w:p w:rsidR="00564A01" w:rsidRPr="00806042" w:rsidRDefault="00564A01" w:rsidP="00564A01">
      <w:pPr>
        <w:pStyle w:val="Default"/>
        <w:rPr>
          <w:rFonts w:ascii="Times New Roman" w:hAnsi="Times New Roman" w:cs="Times New Roman"/>
          <w:color w:val="auto"/>
        </w:rPr>
      </w:pPr>
    </w:p>
    <w:p w:rsidR="00564A01" w:rsidRPr="00806042" w:rsidRDefault="00564A01" w:rsidP="00564A01">
      <w:pPr>
        <w:pStyle w:val="Default"/>
        <w:jc w:val="both"/>
        <w:rPr>
          <w:rFonts w:ascii="Times New Roman" w:hAnsi="Times New Roman" w:cs="Times New Roman"/>
          <w:color w:val="auto"/>
        </w:rPr>
      </w:pPr>
      <w:r>
        <w:rPr>
          <w:rFonts w:ascii="Times New Roman" w:hAnsi="Times New Roman" w:cs="Times New Roman"/>
          <w:color w:val="auto"/>
        </w:rPr>
        <w:t>Para</w:t>
      </w:r>
      <w:r w:rsidRPr="00806042">
        <w:rPr>
          <w:rFonts w:ascii="Times New Roman" w:hAnsi="Times New Roman" w:cs="Times New Roman"/>
          <w:color w:val="auto"/>
        </w:rPr>
        <w:t xml:space="preserve"> América Latina se proyecta que el crecimiento repunte en los próximos dos años, de 1</w:t>
      </w:r>
      <w:r>
        <w:rPr>
          <w:rFonts w:ascii="Times New Roman" w:hAnsi="Times New Roman" w:cs="Times New Roman"/>
          <w:color w:val="auto"/>
        </w:rPr>
        <w:t>.</w:t>
      </w:r>
      <w:r w:rsidRPr="00806042">
        <w:rPr>
          <w:rFonts w:ascii="Times New Roman" w:hAnsi="Times New Roman" w:cs="Times New Roman"/>
          <w:color w:val="auto"/>
        </w:rPr>
        <w:t>1% en 2018 a 2</w:t>
      </w:r>
      <w:r>
        <w:rPr>
          <w:rFonts w:ascii="Times New Roman" w:hAnsi="Times New Roman" w:cs="Times New Roman"/>
          <w:color w:val="auto"/>
        </w:rPr>
        <w:t>.</w:t>
      </w:r>
      <w:r w:rsidRPr="00806042">
        <w:rPr>
          <w:rFonts w:ascii="Times New Roman" w:hAnsi="Times New Roman" w:cs="Times New Roman"/>
          <w:color w:val="auto"/>
        </w:rPr>
        <w:t>0% en 2019 y 2</w:t>
      </w:r>
      <w:r>
        <w:rPr>
          <w:rFonts w:ascii="Times New Roman" w:hAnsi="Times New Roman" w:cs="Times New Roman"/>
          <w:color w:val="auto"/>
        </w:rPr>
        <w:t>.</w:t>
      </w:r>
      <w:r w:rsidRPr="00806042">
        <w:rPr>
          <w:rFonts w:ascii="Times New Roman" w:hAnsi="Times New Roman" w:cs="Times New Roman"/>
          <w:color w:val="auto"/>
        </w:rPr>
        <w:t>5% en 2020 (en ambos años, 0</w:t>
      </w:r>
      <w:r>
        <w:rPr>
          <w:rFonts w:ascii="Times New Roman" w:hAnsi="Times New Roman" w:cs="Times New Roman"/>
          <w:color w:val="auto"/>
        </w:rPr>
        <w:t>.</w:t>
      </w:r>
      <w:r w:rsidRPr="00806042">
        <w:rPr>
          <w:rFonts w:ascii="Times New Roman" w:hAnsi="Times New Roman" w:cs="Times New Roman"/>
          <w:color w:val="auto"/>
        </w:rPr>
        <w:t>2</w:t>
      </w:r>
      <w:r w:rsidR="00647E09">
        <w:rPr>
          <w:rFonts w:ascii="Times New Roman" w:hAnsi="Times New Roman" w:cs="Times New Roman"/>
          <w:color w:val="auto"/>
        </w:rPr>
        <w:t>%</w:t>
      </w:r>
      <w:r w:rsidRPr="00806042">
        <w:rPr>
          <w:rFonts w:ascii="Times New Roman" w:hAnsi="Times New Roman" w:cs="Times New Roman"/>
          <w:color w:val="auto"/>
        </w:rPr>
        <w:t xml:space="preserve"> menos de lo previsto). Las revisiones se deben a perspectivas de menor crecimiento en México en 2019</w:t>
      </w:r>
      <w:r w:rsidR="00647E09">
        <w:rPr>
          <w:rFonts w:ascii="Times New Roman" w:hAnsi="Times New Roman" w:cs="Times New Roman"/>
          <w:color w:val="auto"/>
        </w:rPr>
        <w:t>-2020</w:t>
      </w:r>
      <w:r w:rsidRPr="00806042">
        <w:rPr>
          <w:rFonts w:ascii="Times New Roman" w:hAnsi="Times New Roman" w:cs="Times New Roman"/>
          <w:color w:val="auto"/>
        </w:rPr>
        <w:t xml:space="preserve">, por una disminución de la inversión privada, y una contracción aún más severa de lo previsto </w:t>
      </w:r>
      <w:r>
        <w:rPr>
          <w:rFonts w:ascii="Times New Roman" w:hAnsi="Times New Roman" w:cs="Times New Roman"/>
          <w:color w:val="auto"/>
        </w:rPr>
        <w:t>para</w:t>
      </w:r>
      <w:r w:rsidRPr="00806042">
        <w:rPr>
          <w:rFonts w:ascii="Times New Roman" w:hAnsi="Times New Roman" w:cs="Times New Roman"/>
          <w:color w:val="auto"/>
        </w:rPr>
        <w:t xml:space="preserve"> Venezuela. Los recortes se ven solo parcialmente neutralizados por una revisión al alza del pronóstico de 2019 para Brasil, donde se espera que continúe la recuperación gradual tras la recesión de 2015</w:t>
      </w:r>
      <w:r w:rsidR="00647E09">
        <w:rPr>
          <w:rFonts w:ascii="Times New Roman" w:hAnsi="Times New Roman" w:cs="Times New Roman"/>
          <w:color w:val="auto"/>
        </w:rPr>
        <w:t>-</w:t>
      </w:r>
      <w:r>
        <w:rPr>
          <w:rFonts w:ascii="Times New Roman" w:hAnsi="Times New Roman" w:cs="Times New Roman"/>
          <w:color w:val="auto"/>
        </w:rPr>
        <w:t>2016</w:t>
      </w:r>
      <w:r w:rsidRPr="00806042">
        <w:rPr>
          <w:rFonts w:ascii="Times New Roman" w:hAnsi="Times New Roman" w:cs="Times New Roman"/>
          <w:color w:val="auto"/>
        </w:rPr>
        <w:t>. La economía de Argentina se contraerá en 2019 a medida que las políticas más restrictivas con las que se busca reducir los desequilibrios frenen la demanda interna, previéndose un retorno al crecimiento en 2020.  (Banco Mundial, Perspectivas Económicas Mundiales 2019, disponible en http://www.bancomundial.org/es/publication/global-economic-prospects).</w:t>
      </w:r>
    </w:p>
    <w:p w:rsidR="00564A01" w:rsidRDefault="00564A01" w:rsidP="00564A01">
      <w:pPr>
        <w:autoSpaceDE w:val="0"/>
        <w:autoSpaceDN w:val="0"/>
        <w:adjustRightInd w:val="0"/>
        <w:jc w:val="both"/>
      </w:pPr>
    </w:p>
    <w:p w:rsidR="00564A01" w:rsidRDefault="00564A01" w:rsidP="00564A01">
      <w:pPr>
        <w:jc w:val="both"/>
      </w:pPr>
      <w:r w:rsidRPr="003D36CA">
        <w:t xml:space="preserve">Los riesgos para las perspectivas </w:t>
      </w:r>
      <w:r>
        <w:t>señaladas</w:t>
      </w:r>
      <w:r w:rsidRPr="003D36CA">
        <w:t xml:space="preserve"> tienen su origen en los resultados de las negociaciones comerciales y el rumbo que tomen las condiciones financieras en los próximos meses. Si los países resuelven sus diferencias sin levantar más barreras comerciales distorsionantes</w:t>
      </w:r>
      <w:r>
        <w:t xml:space="preserve"> (</w:t>
      </w:r>
      <w:r w:rsidRPr="003D36CA">
        <w:t>el anuncio del 1 de diciembre por parte de Estados Unidos y China de una “tregua” de 90 días para la subida de los aranceles, y la reducción anunciada de los aranceles aplicados por China a las importaciones de vehículos de Estados Unidos son medidas que contribuyen a disminuir las fri</w:t>
      </w:r>
      <w:r>
        <w:t>cciones comerciales);</w:t>
      </w:r>
      <w:r w:rsidRPr="003D36CA">
        <w:t xml:space="preserve"> y si la actitud del mercado se recupera, una mayor confianza y condiciones financieras más favorables podrían reforzarse mutuamente y elevar el crecimiento por encima del pronóstico de base. No obstante, el comercio, la inversión y el producto a escala mundial siguen estando amenazados por la incertidumbre de las políticas y otras tensiones comerciales actuales. </w:t>
      </w:r>
      <w:r>
        <w:t>(Banco Mundial, ídem)</w:t>
      </w:r>
      <w:r w:rsidR="00647E09">
        <w:t>.</w:t>
      </w:r>
    </w:p>
    <w:p w:rsidR="00564A01" w:rsidRPr="003D36CA" w:rsidRDefault="00564A01" w:rsidP="00564A01">
      <w:pPr>
        <w:autoSpaceDE w:val="0"/>
        <w:autoSpaceDN w:val="0"/>
        <w:adjustRightInd w:val="0"/>
        <w:jc w:val="both"/>
      </w:pPr>
    </w:p>
    <w:p w:rsidR="00564A01" w:rsidRDefault="00564A01" w:rsidP="00564A01">
      <w:pPr>
        <w:jc w:val="both"/>
      </w:pPr>
    </w:p>
    <w:p w:rsidR="00564A01" w:rsidRDefault="00564A01" w:rsidP="00564A01"/>
    <w:p w:rsidR="00564A01" w:rsidRDefault="00564A01" w:rsidP="00564A01">
      <w:r>
        <w:br w:type="page"/>
      </w:r>
    </w:p>
    <w:p w:rsidR="00564A01" w:rsidRDefault="00564A01" w:rsidP="00564A01"/>
    <w:p w:rsidR="00564A01" w:rsidRPr="00124AD6" w:rsidRDefault="00564A01" w:rsidP="00564A01">
      <w:pPr>
        <w:pStyle w:val="Ttulo1"/>
        <w:rPr>
          <w:lang w:val="es-MX"/>
        </w:rPr>
      </w:pPr>
      <w:bookmarkStart w:id="7" w:name="_Toc4742460"/>
      <w:bookmarkStart w:id="8" w:name="_Toc4775333"/>
      <w:r w:rsidRPr="00124AD6">
        <w:rPr>
          <w:lang w:val="es-MX"/>
        </w:rPr>
        <w:t>Entorno Macroeconómico Nacional</w:t>
      </w:r>
      <w:bookmarkEnd w:id="7"/>
      <w:bookmarkEnd w:id="8"/>
    </w:p>
    <w:p w:rsidR="00564A01" w:rsidRPr="00124AD6" w:rsidRDefault="00564A01" w:rsidP="00564A01">
      <w:pPr>
        <w:rPr>
          <w:lang w:val="es-MX"/>
        </w:rPr>
      </w:pPr>
    </w:p>
    <w:p w:rsidR="00564A01" w:rsidRDefault="00564A01" w:rsidP="00564A01">
      <w:pPr>
        <w:jc w:val="both"/>
        <w:rPr>
          <w:lang w:val="es-MX"/>
        </w:rPr>
      </w:pPr>
      <w:r w:rsidRPr="00124AD6">
        <w:rPr>
          <w:lang w:val="es-MX"/>
        </w:rPr>
        <w:t xml:space="preserve">La actividad económica </w:t>
      </w:r>
      <w:r>
        <w:rPr>
          <w:lang w:val="es-MX"/>
        </w:rPr>
        <w:t xml:space="preserve">medida en función del Producto Interno Bruto </w:t>
      </w:r>
      <w:r w:rsidRPr="00124AD6">
        <w:rPr>
          <w:lang w:val="es-MX"/>
        </w:rPr>
        <w:t xml:space="preserve">en términos reales mostró para </w:t>
      </w:r>
      <w:r>
        <w:rPr>
          <w:lang w:val="es-MX"/>
        </w:rPr>
        <w:t xml:space="preserve">el </w:t>
      </w:r>
      <w:r w:rsidRPr="00124AD6">
        <w:rPr>
          <w:lang w:val="es-MX"/>
        </w:rPr>
        <w:t>201</w:t>
      </w:r>
      <w:r>
        <w:rPr>
          <w:lang w:val="es-MX"/>
        </w:rPr>
        <w:t>8</w:t>
      </w:r>
      <w:r w:rsidRPr="00124AD6">
        <w:rPr>
          <w:lang w:val="es-MX"/>
        </w:rPr>
        <w:t xml:space="preserve"> un crecimiento de </w:t>
      </w:r>
      <w:r>
        <w:rPr>
          <w:lang w:val="es-MX"/>
        </w:rPr>
        <w:t>3.0%</w:t>
      </w:r>
      <w:r w:rsidRPr="00124AD6">
        <w:rPr>
          <w:lang w:val="es-MX"/>
        </w:rPr>
        <w:t xml:space="preserve"> </w:t>
      </w:r>
      <w:r>
        <w:rPr>
          <w:lang w:val="es-MX"/>
        </w:rPr>
        <w:t>superior</w:t>
      </w:r>
      <w:r w:rsidRPr="00124AD6">
        <w:rPr>
          <w:lang w:val="es-MX"/>
        </w:rPr>
        <w:t xml:space="preserve"> en </w:t>
      </w:r>
      <w:r>
        <w:rPr>
          <w:lang w:val="es-MX"/>
        </w:rPr>
        <w:t>0.2%</w:t>
      </w:r>
      <w:r w:rsidRPr="00124AD6">
        <w:rPr>
          <w:lang w:val="es-MX"/>
        </w:rPr>
        <w:t xml:space="preserve"> al registrado en 201</w:t>
      </w:r>
      <w:r>
        <w:rPr>
          <w:lang w:val="es-MX"/>
        </w:rPr>
        <w:t>7 y dentro del rango establecido en las proyecciones de crecimiento</w:t>
      </w:r>
      <w:r w:rsidRPr="00124AD6">
        <w:rPr>
          <w:lang w:val="es-MX"/>
        </w:rPr>
        <w:t xml:space="preserve">.  </w:t>
      </w:r>
      <w:r w:rsidRPr="008203ED">
        <w:rPr>
          <w:lang w:val="es-MX"/>
        </w:rPr>
        <w:t xml:space="preserve">De acuerdo </w:t>
      </w:r>
      <w:r>
        <w:rPr>
          <w:lang w:val="es-MX"/>
        </w:rPr>
        <w:t xml:space="preserve">con </w:t>
      </w:r>
      <w:r w:rsidRPr="008203ED">
        <w:rPr>
          <w:lang w:val="es-MX"/>
        </w:rPr>
        <w:t xml:space="preserve">el Banco de Guatemala, </w:t>
      </w:r>
      <w:r>
        <w:rPr>
          <w:lang w:val="es-MX"/>
        </w:rPr>
        <w:t>dicho</w:t>
      </w:r>
      <w:r w:rsidRPr="008203ED">
        <w:rPr>
          <w:lang w:val="es-MX"/>
        </w:rPr>
        <w:t xml:space="preserve"> crecimiento se explica principalmente por </w:t>
      </w:r>
      <w:r w:rsidRPr="002C2BA1">
        <w:rPr>
          <w:lang w:val="es-MX"/>
        </w:rPr>
        <w:t xml:space="preserve">el aumento de la demanda interna, especialmente del consumo privado; en tanto que, por el lado de la oferta, refleja la evolución positiva </w:t>
      </w:r>
      <w:r>
        <w:rPr>
          <w:lang w:val="es-MX"/>
        </w:rPr>
        <w:t xml:space="preserve">de </w:t>
      </w:r>
      <w:r w:rsidRPr="002C2BA1">
        <w:rPr>
          <w:lang w:val="es-MX"/>
        </w:rPr>
        <w:t>las actividades económicas</w:t>
      </w:r>
      <w:r>
        <w:rPr>
          <w:lang w:val="es-MX"/>
        </w:rPr>
        <w:t xml:space="preserve"> consideradas </w:t>
      </w:r>
      <w:r w:rsidRPr="002C2BA1">
        <w:rPr>
          <w:lang w:val="es-MX"/>
        </w:rPr>
        <w:t>(excepto explotación de minas y canteras</w:t>
      </w:r>
      <w:r>
        <w:rPr>
          <w:lang w:val="es-MX"/>
        </w:rPr>
        <w:t xml:space="preserve"> que mostró un decrecimiento</w:t>
      </w:r>
      <w:r w:rsidRPr="002C2BA1">
        <w:rPr>
          <w:lang w:val="es-MX"/>
        </w:rPr>
        <w:t>).</w:t>
      </w:r>
    </w:p>
    <w:p w:rsidR="00564A01" w:rsidRPr="008203ED" w:rsidRDefault="00564A01" w:rsidP="00564A01">
      <w:pPr>
        <w:jc w:val="both"/>
        <w:rPr>
          <w:lang w:val="es-MX"/>
        </w:rPr>
      </w:pPr>
      <w:r w:rsidRPr="008203ED">
        <w:rPr>
          <w:lang w:val="es-MX"/>
        </w:rPr>
        <w:t xml:space="preserve"> </w:t>
      </w:r>
    </w:p>
    <w:p w:rsidR="00564A01" w:rsidRDefault="00564A01" w:rsidP="00564A01">
      <w:pPr>
        <w:jc w:val="both"/>
        <w:rPr>
          <w:lang w:val="es-MX"/>
        </w:rPr>
      </w:pPr>
      <w:r w:rsidRPr="00B533AF">
        <w:rPr>
          <w:lang w:val="es-MX"/>
        </w:rPr>
        <w:t>De acuerdo a las proyecciones</w:t>
      </w:r>
      <w:r>
        <w:rPr>
          <w:lang w:val="es-MX"/>
        </w:rPr>
        <w:t>,</w:t>
      </w:r>
      <w:r w:rsidRPr="00B533AF">
        <w:rPr>
          <w:lang w:val="es-MX"/>
        </w:rPr>
        <w:t xml:space="preserve"> se espera para 201</w:t>
      </w:r>
      <w:r>
        <w:rPr>
          <w:lang w:val="es-MX"/>
        </w:rPr>
        <w:t xml:space="preserve">9 un </w:t>
      </w:r>
      <w:r w:rsidRPr="00B533AF">
        <w:rPr>
          <w:lang w:val="es-MX"/>
        </w:rPr>
        <w:t xml:space="preserve"> crecimiento de la economía en un rango de entre 3.0</w:t>
      </w:r>
      <w:r>
        <w:rPr>
          <w:lang w:val="es-MX"/>
        </w:rPr>
        <w:t xml:space="preserve">% </w:t>
      </w:r>
      <w:r w:rsidRPr="00B533AF">
        <w:rPr>
          <w:lang w:val="es-MX"/>
        </w:rPr>
        <w:t xml:space="preserve">  y  3.8</w:t>
      </w:r>
      <w:r>
        <w:rPr>
          <w:lang w:val="es-MX"/>
        </w:rPr>
        <w:t>%;  por lo que para efectos de este informe, la proyección media se establece en 3.4%</w:t>
      </w:r>
      <w:r w:rsidR="00647E09">
        <w:rPr>
          <w:lang w:val="es-MX"/>
        </w:rPr>
        <w:t>;</w:t>
      </w:r>
      <w:r w:rsidRPr="00B533AF">
        <w:rPr>
          <w:lang w:val="es-MX"/>
        </w:rPr>
        <w:t xml:space="preserve"> esto se basa en la estimación que las actividades económicas registrarán crecimientos positivos superiores a los del año previo (Banco de Guatemala, </w:t>
      </w:r>
      <w:r>
        <w:rPr>
          <w:lang w:val="es-MX"/>
        </w:rPr>
        <w:t xml:space="preserve">enero </w:t>
      </w:r>
      <w:r w:rsidRPr="00B533AF">
        <w:rPr>
          <w:lang w:val="es-MX"/>
        </w:rPr>
        <w:t xml:space="preserve">2018 </w:t>
      </w:r>
      <w:r>
        <w:rPr>
          <w:lang w:val="es-MX"/>
        </w:rPr>
        <w:t>“D</w:t>
      </w:r>
      <w:r w:rsidRPr="00B533AF">
        <w:rPr>
          <w:lang w:val="es-MX"/>
        </w:rPr>
        <w:t xml:space="preserve">esempeño </w:t>
      </w:r>
      <w:r w:rsidR="00647E09">
        <w:rPr>
          <w:lang w:val="es-MX"/>
        </w:rPr>
        <w:t>M</w:t>
      </w:r>
      <w:r w:rsidRPr="00B533AF">
        <w:rPr>
          <w:lang w:val="es-MX"/>
        </w:rPr>
        <w:t>acroeconómico 201</w:t>
      </w:r>
      <w:r>
        <w:rPr>
          <w:lang w:val="es-MX"/>
        </w:rPr>
        <w:t>8</w:t>
      </w:r>
      <w:r w:rsidR="00647E09">
        <w:rPr>
          <w:lang w:val="es-MX"/>
        </w:rPr>
        <w:t>;</w:t>
      </w:r>
      <w:r w:rsidRPr="00B533AF">
        <w:rPr>
          <w:lang w:val="es-MX"/>
        </w:rPr>
        <w:t xml:space="preserve"> </w:t>
      </w:r>
      <w:r w:rsidR="00647E09">
        <w:rPr>
          <w:lang w:val="es-MX"/>
        </w:rPr>
        <w:t>P</w:t>
      </w:r>
      <w:r w:rsidRPr="00B533AF">
        <w:rPr>
          <w:lang w:val="es-MX"/>
        </w:rPr>
        <w:t>erspectivas 201</w:t>
      </w:r>
      <w:r>
        <w:rPr>
          <w:lang w:val="es-MX"/>
        </w:rPr>
        <w:t>9”)</w:t>
      </w:r>
      <w:r w:rsidRPr="00B533AF">
        <w:rPr>
          <w:lang w:val="es-MX"/>
        </w:rPr>
        <w:t>.</w:t>
      </w:r>
    </w:p>
    <w:p w:rsidR="00564A01" w:rsidRPr="00B533AF" w:rsidRDefault="00564A01" w:rsidP="00564A01">
      <w:pPr>
        <w:jc w:val="both"/>
        <w:rPr>
          <w:lang w:val="es-MX"/>
        </w:rPr>
      </w:pPr>
    </w:p>
    <w:p w:rsidR="00564A01" w:rsidRPr="00124AD6" w:rsidRDefault="00564A01" w:rsidP="00564A01">
      <w:pPr>
        <w:jc w:val="center"/>
        <w:rPr>
          <w:b/>
        </w:rPr>
      </w:pPr>
      <w:r w:rsidRPr="00124AD6">
        <w:rPr>
          <w:b/>
        </w:rPr>
        <w:t>Gráfica 1</w:t>
      </w:r>
    </w:p>
    <w:p w:rsidR="00564A01" w:rsidRPr="00124AD6" w:rsidRDefault="00564A01" w:rsidP="00564A01">
      <w:pPr>
        <w:jc w:val="center"/>
        <w:rPr>
          <w:b/>
        </w:rPr>
      </w:pPr>
      <w:r w:rsidRPr="00124AD6">
        <w:rPr>
          <w:b/>
        </w:rPr>
        <w:t>Guatemala: Producto Interno Bruto</w:t>
      </w:r>
      <w:r>
        <w:rPr>
          <w:b/>
        </w:rPr>
        <w:t xml:space="preserve"> e</w:t>
      </w:r>
      <w:r w:rsidRPr="00124AD6">
        <w:rPr>
          <w:b/>
        </w:rPr>
        <w:t xml:space="preserve">n </w:t>
      </w:r>
      <w:r w:rsidR="00647E09">
        <w:rPr>
          <w:b/>
        </w:rPr>
        <w:t>T</w:t>
      </w:r>
      <w:r w:rsidRPr="00124AD6">
        <w:rPr>
          <w:b/>
        </w:rPr>
        <w:t xml:space="preserve">érminos </w:t>
      </w:r>
      <w:r w:rsidR="00647E09">
        <w:rPr>
          <w:b/>
        </w:rPr>
        <w:t>R</w:t>
      </w:r>
      <w:r w:rsidRPr="00124AD6">
        <w:rPr>
          <w:b/>
        </w:rPr>
        <w:t>eales</w:t>
      </w:r>
    </w:p>
    <w:p w:rsidR="00564A01" w:rsidRPr="00124AD6" w:rsidRDefault="00564A01" w:rsidP="00564A01">
      <w:pPr>
        <w:jc w:val="center"/>
        <w:rPr>
          <w:b/>
        </w:rPr>
      </w:pPr>
      <w:r w:rsidRPr="00124AD6">
        <w:rPr>
          <w:b/>
        </w:rPr>
        <w:t xml:space="preserve">(Tasas de </w:t>
      </w:r>
      <w:r w:rsidR="00647E09">
        <w:rPr>
          <w:b/>
        </w:rPr>
        <w:t>V</w:t>
      </w:r>
      <w:r w:rsidRPr="00124AD6">
        <w:rPr>
          <w:b/>
        </w:rPr>
        <w:t xml:space="preserve">ariación </w:t>
      </w:r>
      <w:r w:rsidR="00647E09">
        <w:rPr>
          <w:b/>
        </w:rPr>
        <w:t>I</w:t>
      </w:r>
      <w:r w:rsidRPr="00124AD6">
        <w:rPr>
          <w:b/>
        </w:rPr>
        <w:t>nteranual 200</w:t>
      </w:r>
      <w:r>
        <w:rPr>
          <w:b/>
        </w:rPr>
        <w:t xml:space="preserve">8 </w:t>
      </w:r>
      <w:r w:rsidRPr="00124AD6">
        <w:rPr>
          <w:b/>
        </w:rPr>
        <w:t>- 20</w:t>
      </w:r>
      <w:r>
        <w:rPr>
          <w:b/>
        </w:rPr>
        <w:t>19</w:t>
      </w:r>
      <w:r w:rsidRPr="00124AD6">
        <w:rPr>
          <w:b/>
        </w:rPr>
        <w:t>)</w:t>
      </w:r>
    </w:p>
    <w:p w:rsidR="00564A01" w:rsidRDefault="00564A01" w:rsidP="00564A01">
      <w:pPr>
        <w:rPr>
          <w:noProof/>
          <w:lang w:val="es-GT" w:eastAsia="es-GT"/>
        </w:rPr>
      </w:pPr>
      <w:r>
        <w:rPr>
          <w:noProof/>
          <w:lang w:val="es-GT" w:eastAsia="es-GT"/>
        </w:rPr>
        <w:drawing>
          <wp:inline distT="0" distB="0" distL="0" distR="0" wp14:anchorId="3B1FD7BD" wp14:editId="4FA44FE4">
            <wp:extent cx="5612130" cy="3516630"/>
            <wp:effectExtent l="0" t="0" r="7620" b="762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4A01" w:rsidRPr="00B533AF" w:rsidRDefault="00564A01" w:rsidP="00564A01">
      <w:pPr>
        <w:rPr>
          <w:lang w:val="es-MX"/>
        </w:rPr>
      </w:pPr>
    </w:p>
    <w:p w:rsidR="00564A01" w:rsidRDefault="00564A01" w:rsidP="00564A01">
      <w:pPr>
        <w:jc w:val="both"/>
      </w:pPr>
      <w:r>
        <w:t xml:space="preserve">El Índice de Confianza de la Actividad Económica, </w:t>
      </w:r>
      <w:r w:rsidRPr="00124AD6">
        <w:t xml:space="preserve">refleja la percepción </w:t>
      </w:r>
      <w:r>
        <w:t xml:space="preserve">que </w:t>
      </w:r>
      <w:r w:rsidRPr="00124AD6">
        <w:t xml:space="preserve">sobre la situación económica actual </w:t>
      </w:r>
      <w:r>
        <w:t>y el ambiente para los negocios, tiene el panel de analistas económicos entrevistados para su realización.</w:t>
      </w:r>
    </w:p>
    <w:p w:rsidR="00564A01" w:rsidRDefault="00564A01" w:rsidP="00564A01">
      <w:pPr>
        <w:jc w:val="both"/>
      </w:pPr>
    </w:p>
    <w:p w:rsidR="00564A01" w:rsidRDefault="00564A01" w:rsidP="00564A01">
      <w:pPr>
        <w:jc w:val="both"/>
      </w:pPr>
      <w:r>
        <w:lastRenderedPageBreak/>
        <w:t xml:space="preserve">En enero de 2018, el nivel del Índice de Confianza de la Actividad Económica se situó en 39.85 puntos, superior en 19.5% con respecto al registrado en diciembre de 2017 (33.3 puntos) y menor en 31.3% respecto </w:t>
      </w:r>
      <w:r w:rsidR="00E04CFB">
        <w:t>de</w:t>
      </w:r>
      <w:r>
        <w:t>l registrado en enero de 2017 (58.0 puntos).</w:t>
      </w:r>
    </w:p>
    <w:p w:rsidR="00564A01" w:rsidRDefault="00564A01" w:rsidP="00564A01">
      <w:pPr>
        <w:jc w:val="both"/>
      </w:pPr>
    </w:p>
    <w:p w:rsidR="00564A01" w:rsidRDefault="00564A01" w:rsidP="00564A01">
      <w:pPr>
        <w:jc w:val="both"/>
      </w:pPr>
      <w:r>
        <w:t>Es</w:t>
      </w:r>
      <w:r w:rsidRPr="00124AD6">
        <w:t xml:space="preserve"> importante indicar que </w:t>
      </w:r>
      <w:r>
        <w:t>e</w:t>
      </w:r>
      <w:r w:rsidR="00E04CFB">
        <w:t>ste</w:t>
      </w:r>
      <w:r>
        <w:t xml:space="preserve"> índice </w:t>
      </w:r>
      <w:r w:rsidRPr="00124AD6">
        <w:t xml:space="preserve">se </w:t>
      </w:r>
      <w:r>
        <w:t>basa en perspectivas, las que son influenciadas por los temas de coyuntura que de acuerdo al panel</w:t>
      </w:r>
      <w:r w:rsidR="00E04CFB">
        <w:t xml:space="preserve"> mencionado</w:t>
      </w:r>
      <w:r>
        <w:t>, afect</w:t>
      </w:r>
      <w:r w:rsidR="00E04CFB">
        <w:t>a</w:t>
      </w:r>
      <w:r>
        <w:t xml:space="preserve">n el clima general de negocios; de esta forma si el índice se </w:t>
      </w:r>
      <w:r w:rsidRPr="00124AD6">
        <w:t>posiciona por encima de 50 puntos</w:t>
      </w:r>
      <w:r>
        <w:t xml:space="preserve"> se espera un dinamismo en el ritmo de la actividad económica para los próximos seis meses</w:t>
      </w:r>
      <w:r w:rsidR="00E04CFB">
        <w:t>;</w:t>
      </w:r>
      <w:r>
        <w:t xml:space="preserve"> por el contrario, con una posición menor lo que se visualiza es una contracción. </w:t>
      </w:r>
      <w:r w:rsidR="00E04CFB">
        <w:t>Con</w:t>
      </w:r>
      <w:r>
        <w:t xml:space="preserve"> base </w:t>
      </w:r>
      <w:r w:rsidR="00E04CFB">
        <w:t>en</w:t>
      </w:r>
      <w:r>
        <w:t xml:space="preserve"> lo anterior se considera que el comportamiento del índice durante el segundo semestre </w:t>
      </w:r>
      <w:r w:rsidR="00E04CFB">
        <w:t xml:space="preserve">de </w:t>
      </w:r>
      <w:r>
        <w:t>2018 estuvo influenciado nuevamente por la coyuntura política que el país experimentó.</w:t>
      </w:r>
    </w:p>
    <w:p w:rsidR="00564A01" w:rsidRPr="00124AD6" w:rsidRDefault="00564A01" w:rsidP="00564A01">
      <w:pPr>
        <w:jc w:val="both"/>
      </w:pPr>
    </w:p>
    <w:p w:rsidR="00564A01" w:rsidRDefault="00564A01" w:rsidP="00564A01">
      <w:pPr>
        <w:jc w:val="center"/>
        <w:rPr>
          <w:b/>
        </w:rPr>
      </w:pPr>
    </w:p>
    <w:p w:rsidR="00564A01" w:rsidRPr="00124AD6" w:rsidRDefault="00564A01" w:rsidP="00564A01">
      <w:pPr>
        <w:jc w:val="center"/>
        <w:rPr>
          <w:b/>
        </w:rPr>
      </w:pPr>
      <w:r w:rsidRPr="00124AD6">
        <w:rPr>
          <w:b/>
        </w:rPr>
        <w:t>Gráfica 2</w:t>
      </w:r>
    </w:p>
    <w:p w:rsidR="00564A01" w:rsidRPr="00124AD6" w:rsidRDefault="00564A01" w:rsidP="00564A01">
      <w:pPr>
        <w:autoSpaceDE w:val="0"/>
        <w:autoSpaceDN w:val="0"/>
        <w:adjustRightInd w:val="0"/>
        <w:jc w:val="center"/>
        <w:rPr>
          <w:rFonts w:eastAsia="Calibri"/>
          <w:color w:val="000000"/>
          <w:lang w:val="es-GT" w:eastAsia="es-GT"/>
        </w:rPr>
      </w:pPr>
      <w:r w:rsidRPr="00124AD6">
        <w:rPr>
          <w:rFonts w:eastAsia="Calibri"/>
          <w:b/>
          <w:bCs/>
          <w:color w:val="000000"/>
          <w:lang w:val="es-GT" w:eastAsia="es-GT"/>
        </w:rPr>
        <w:t>Índice de Confianza de la Actividad Económica</w:t>
      </w:r>
    </w:p>
    <w:p w:rsidR="00564A01" w:rsidRPr="00124AD6" w:rsidRDefault="00564A01" w:rsidP="00564A01">
      <w:pPr>
        <w:jc w:val="center"/>
        <w:rPr>
          <w:rFonts w:eastAsia="Calibri"/>
          <w:b/>
          <w:bCs/>
          <w:color w:val="000000"/>
          <w:lang w:val="es-GT" w:eastAsia="es-GT"/>
        </w:rPr>
      </w:pPr>
      <w:r w:rsidRPr="00124AD6">
        <w:rPr>
          <w:rFonts w:eastAsia="Calibri"/>
          <w:b/>
          <w:bCs/>
          <w:color w:val="000000"/>
          <w:lang w:val="es-GT" w:eastAsia="es-GT"/>
        </w:rPr>
        <w:t>Enero 201</w:t>
      </w:r>
      <w:r>
        <w:rPr>
          <w:rFonts w:eastAsia="Calibri"/>
          <w:b/>
          <w:bCs/>
          <w:color w:val="000000"/>
          <w:lang w:val="es-GT" w:eastAsia="es-GT"/>
        </w:rPr>
        <w:t>6</w:t>
      </w:r>
      <w:r w:rsidRPr="00124AD6">
        <w:rPr>
          <w:rFonts w:eastAsia="Calibri"/>
          <w:b/>
          <w:bCs/>
          <w:color w:val="000000"/>
          <w:lang w:val="es-GT" w:eastAsia="es-GT"/>
        </w:rPr>
        <w:t xml:space="preserve"> </w:t>
      </w:r>
      <w:r>
        <w:rPr>
          <w:rFonts w:eastAsia="Calibri"/>
          <w:b/>
          <w:bCs/>
          <w:color w:val="000000"/>
          <w:lang w:val="es-GT" w:eastAsia="es-GT"/>
        </w:rPr>
        <w:t>-</w:t>
      </w:r>
      <w:r w:rsidRPr="00124AD6">
        <w:rPr>
          <w:rFonts w:eastAsia="Calibri"/>
          <w:b/>
          <w:bCs/>
          <w:color w:val="000000"/>
          <w:lang w:val="es-GT" w:eastAsia="es-GT"/>
        </w:rPr>
        <w:t xml:space="preserve"> Diciembre 201</w:t>
      </w:r>
      <w:r>
        <w:rPr>
          <w:rFonts w:eastAsia="Calibri"/>
          <w:b/>
          <w:bCs/>
          <w:color w:val="000000"/>
          <w:lang w:val="es-GT" w:eastAsia="es-GT"/>
        </w:rPr>
        <w:t>8</w:t>
      </w:r>
    </w:p>
    <w:p w:rsidR="00564A01" w:rsidRPr="00124AD6" w:rsidRDefault="00564A01" w:rsidP="00564A01">
      <w:pPr>
        <w:jc w:val="center"/>
        <w:rPr>
          <w:lang w:val="es-MX"/>
        </w:rPr>
      </w:pPr>
      <w:r w:rsidRPr="00124AD6">
        <w:rPr>
          <w:rFonts w:eastAsia="Calibri"/>
          <w:b/>
          <w:bCs/>
          <w:color w:val="000000"/>
          <w:lang w:val="es-GT" w:eastAsia="es-GT"/>
        </w:rPr>
        <w:t>Puntos</w:t>
      </w:r>
    </w:p>
    <w:p w:rsidR="00564A01" w:rsidRPr="00124AD6" w:rsidRDefault="00564A01" w:rsidP="00564A01">
      <w:pPr>
        <w:jc w:val="both"/>
        <w:rPr>
          <w:lang w:val="es-MX"/>
        </w:rPr>
      </w:pPr>
      <w:r>
        <w:rPr>
          <w:noProof/>
          <w:lang w:val="es-GT" w:eastAsia="es-GT"/>
        </w:rPr>
        <w:drawing>
          <wp:inline distT="0" distB="0" distL="0" distR="0" wp14:anchorId="6D99BCAF" wp14:editId="3DE88421">
            <wp:extent cx="5612130" cy="2872740"/>
            <wp:effectExtent l="0" t="0" r="7620" b="381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4A01" w:rsidRDefault="00564A01" w:rsidP="00564A01">
      <w:pPr>
        <w:jc w:val="both"/>
        <w:rPr>
          <w:sz w:val="16"/>
          <w:lang w:val="es-MX"/>
        </w:rPr>
      </w:pPr>
    </w:p>
    <w:p w:rsidR="00564A01" w:rsidRPr="00442774" w:rsidRDefault="00564A01" w:rsidP="00564A01">
      <w:pPr>
        <w:jc w:val="both"/>
        <w:rPr>
          <w:sz w:val="16"/>
          <w:lang w:val="es-MX"/>
        </w:rPr>
      </w:pPr>
      <w:r w:rsidRPr="00442774">
        <w:rPr>
          <w:sz w:val="16"/>
          <w:lang w:val="es-MX"/>
        </w:rPr>
        <w:t>Fuente: Banco de Guatemala</w:t>
      </w:r>
      <w:r>
        <w:rPr>
          <w:sz w:val="16"/>
          <w:lang w:val="es-MX"/>
        </w:rPr>
        <w:t>.</w:t>
      </w:r>
    </w:p>
    <w:p w:rsidR="00564A01" w:rsidRPr="00124AD6" w:rsidRDefault="00564A01" w:rsidP="00564A01">
      <w:pPr>
        <w:jc w:val="both"/>
        <w:rPr>
          <w:lang w:val="es-MX"/>
        </w:rPr>
      </w:pPr>
    </w:p>
    <w:p w:rsidR="00564A01" w:rsidRPr="008578BF" w:rsidRDefault="00564A01" w:rsidP="00564A01">
      <w:pPr>
        <w:jc w:val="both"/>
      </w:pPr>
      <w:r>
        <w:t xml:space="preserve">De acuerdo con el Banco de Guatemala, </w:t>
      </w:r>
      <w:r w:rsidR="00E04CFB">
        <w:t>A</w:t>
      </w:r>
      <w:r w:rsidRPr="009D0467">
        <w:t xml:space="preserve"> noviembre de 2018, el ritmo inflacionario se situó en </w:t>
      </w:r>
      <w:r>
        <w:t>2.3</w:t>
      </w:r>
      <w:r w:rsidRPr="009D0467">
        <w:t>%, valor que se encuentra de</w:t>
      </w:r>
      <w:r>
        <w:t>bajo</w:t>
      </w:r>
      <w:r w:rsidRPr="009D0467">
        <w:t xml:space="preserve"> de la meta de inflación establecida por la Junta Monetaria (4.0 +/- 1 punto porcentual). Entre enero y julio de</w:t>
      </w:r>
      <w:r w:rsidR="00E04CFB">
        <w:t xml:space="preserve"> ese</w:t>
      </w:r>
      <w:r w:rsidRPr="009D0467">
        <w:t xml:space="preserve"> año, la evolución de precios mostró la reversión de los choques de oferta que incrementaron los precios de la división de alimentos y bebidas no alcohólicas el año anterior, induciendo una reducción notable de la variación interanual de dicha división; en tanto que en agosto y septiembre</w:t>
      </w:r>
      <w:r w:rsidR="00E04CFB">
        <w:t>,</w:t>
      </w:r>
      <w:r w:rsidRPr="009D0467">
        <w:t xml:space="preserve"> dicha división de gasto volvió a mostrar un crecimiento importante, resultado del alza en los precios medios de varios gastos básicos, particularmente, el maíz blanco, los productos de tortillería y algunas hortalizas y frutas; no obstante, a partir de octubre, pero con mayor </w:t>
      </w:r>
      <w:r w:rsidRPr="009D0467">
        <w:lastRenderedPageBreak/>
        <w:t>intensidad en noviembre, se revirtieron los aumentos en los precios medios del maíz blanco y de algunas hortalizas (especialmente la cebolla, el güisquil y el culantro). Por su parte, la división de transporte había mostrado una tendencia al alza hasta octubre, debido al incremento en el precio medio de las gasolinas y del diésel, resultado del aumento observado en el precio internacional del petróleo; sin embargo, la expectativa de una sobreoferta de petróleo a nivel mundial, por los altos niveles de producción que están registrando países como los Estados Unidos de América y Arabia Saudita, en combinación con una perspectiva de moderación en la demanda mundial de crudo, provocó una significativa caída en el precio internacional del petróleo que se trasladó a los precios internos de los combustibles, lo que provocó una marcada moderación en la tasa de crecimiento de esta división de transporte en noviembre.</w:t>
      </w:r>
      <w:r>
        <w:t xml:space="preserve"> (Banco de Guatemala, </w:t>
      </w:r>
      <w:r w:rsidRPr="009D0467">
        <w:t xml:space="preserve"> </w:t>
      </w:r>
      <w:r>
        <w:t>E</w:t>
      </w:r>
      <w:r w:rsidRPr="009D0467">
        <w:t xml:space="preserve">valuación de la </w:t>
      </w:r>
      <w:r w:rsidR="00E04CFB">
        <w:t>P</w:t>
      </w:r>
      <w:r w:rsidRPr="009D0467">
        <w:t xml:space="preserve">olítica </w:t>
      </w:r>
      <w:r w:rsidR="00E04CFB">
        <w:t>M</w:t>
      </w:r>
      <w:r w:rsidRPr="009D0467">
        <w:t xml:space="preserve">onetaria, </w:t>
      </w:r>
      <w:r w:rsidR="00E04CFB">
        <w:t>C</w:t>
      </w:r>
      <w:r w:rsidRPr="009D0467">
        <w:t xml:space="preserve">ambiaria y </w:t>
      </w:r>
      <w:r w:rsidR="00E04CFB">
        <w:t>C</w:t>
      </w:r>
      <w:r w:rsidRPr="009D0467">
        <w:t xml:space="preserve">rediticia, a noviembre de 2018, </w:t>
      </w:r>
      <w:r>
        <w:t>y</w:t>
      </w:r>
      <w:r w:rsidRPr="009D0467">
        <w:t xml:space="preserve"> </w:t>
      </w:r>
      <w:r w:rsidR="00E04CFB">
        <w:t>P</w:t>
      </w:r>
      <w:r w:rsidRPr="009D0467">
        <w:t xml:space="preserve">erspectivas </w:t>
      </w:r>
      <w:r w:rsidR="00E04CFB">
        <w:t>E</w:t>
      </w:r>
      <w:r w:rsidRPr="009D0467">
        <w:t>conómicas para 2019</w:t>
      </w:r>
      <w:r>
        <w:t xml:space="preserve">, Base de datos </w:t>
      </w:r>
      <w:r w:rsidR="00E04CFB">
        <w:t xml:space="preserve">del </w:t>
      </w:r>
      <w:r>
        <w:t>ritmo inflacionario total 2018).</w:t>
      </w:r>
    </w:p>
    <w:p w:rsidR="00564A01" w:rsidRDefault="00564A01" w:rsidP="00564A01">
      <w:pPr>
        <w:jc w:val="center"/>
        <w:rPr>
          <w:b/>
        </w:rPr>
      </w:pPr>
    </w:p>
    <w:p w:rsidR="00E04CFB" w:rsidRDefault="00E04CFB" w:rsidP="00564A01">
      <w:pPr>
        <w:jc w:val="center"/>
        <w:rPr>
          <w:b/>
        </w:rPr>
      </w:pPr>
    </w:p>
    <w:p w:rsidR="00564A01" w:rsidRPr="00124AD6" w:rsidRDefault="00564A01" w:rsidP="00564A01">
      <w:pPr>
        <w:jc w:val="center"/>
        <w:rPr>
          <w:b/>
        </w:rPr>
      </w:pPr>
      <w:r w:rsidRPr="00124AD6">
        <w:rPr>
          <w:b/>
        </w:rPr>
        <w:t xml:space="preserve">Gráfica </w:t>
      </w:r>
      <w:r>
        <w:rPr>
          <w:b/>
        </w:rPr>
        <w:t>3</w:t>
      </w:r>
    </w:p>
    <w:p w:rsidR="00564A01" w:rsidRDefault="00564A01" w:rsidP="00564A01">
      <w:pPr>
        <w:jc w:val="center"/>
        <w:rPr>
          <w:b/>
        </w:rPr>
      </w:pPr>
      <w:r w:rsidRPr="00124AD6">
        <w:rPr>
          <w:b/>
        </w:rPr>
        <w:t>Guatemala: Ritmo Inflacionario</w:t>
      </w:r>
      <w:r>
        <w:rPr>
          <w:b/>
        </w:rPr>
        <w:t xml:space="preserve"> Total y Subyacente</w:t>
      </w:r>
    </w:p>
    <w:p w:rsidR="00564A01" w:rsidRDefault="00564A01" w:rsidP="00564A01">
      <w:pPr>
        <w:jc w:val="center"/>
        <w:rPr>
          <w:b/>
        </w:rPr>
      </w:pPr>
      <w:r>
        <w:rPr>
          <w:b/>
        </w:rPr>
        <w:t>Período 2012-201</w:t>
      </w:r>
      <w:r w:rsidR="00E04CFB">
        <w:rPr>
          <w:b/>
        </w:rPr>
        <w:t>8</w:t>
      </w:r>
    </w:p>
    <w:p w:rsidR="00564A01" w:rsidRDefault="00564A01" w:rsidP="00564A01">
      <w:pPr>
        <w:jc w:val="center"/>
        <w:rPr>
          <w:b/>
        </w:rPr>
      </w:pPr>
      <w:r>
        <w:rPr>
          <w:noProof/>
          <w:lang w:val="es-GT" w:eastAsia="es-GT"/>
        </w:rPr>
        <w:drawing>
          <wp:inline distT="0" distB="0" distL="0" distR="0" wp14:anchorId="1C21B7E3" wp14:editId="54984765">
            <wp:extent cx="5610758" cy="3591763"/>
            <wp:effectExtent l="0" t="0" r="9525" b="2794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4A01" w:rsidRDefault="00564A01" w:rsidP="00564A01">
      <w:pPr>
        <w:rPr>
          <w:sz w:val="16"/>
          <w:lang w:val="es-MX"/>
        </w:rPr>
      </w:pPr>
    </w:p>
    <w:p w:rsidR="00564A01" w:rsidRDefault="00564A01" w:rsidP="00564A01">
      <w:pPr>
        <w:rPr>
          <w:sz w:val="16"/>
          <w:lang w:val="es-MX"/>
        </w:rPr>
      </w:pPr>
      <w:r w:rsidRPr="00442774">
        <w:rPr>
          <w:sz w:val="16"/>
          <w:lang w:val="es-MX"/>
        </w:rPr>
        <w:t>Fuente: Banco de Guatemala</w:t>
      </w:r>
      <w:r>
        <w:rPr>
          <w:sz w:val="16"/>
          <w:lang w:val="es-MX"/>
        </w:rPr>
        <w:t>.</w:t>
      </w:r>
    </w:p>
    <w:p w:rsidR="00564A01" w:rsidRPr="00442774" w:rsidRDefault="00564A01" w:rsidP="00564A01">
      <w:pPr>
        <w:rPr>
          <w:sz w:val="16"/>
          <w:lang w:val="es-MX"/>
        </w:rPr>
      </w:pPr>
      <w:r w:rsidRPr="009822AF">
        <w:rPr>
          <w:sz w:val="16"/>
          <w:lang w:val="es-MX"/>
        </w:rPr>
        <w:t xml:space="preserve">Base de datos </w:t>
      </w:r>
      <w:r>
        <w:rPr>
          <w:sz w:val="16"/>
          <w:lang w:val="es-MX"/>
        </w:rPr>
        <w:t xml:space="preserve">inflación subyacente y </w:t>
      </w:r>
      <w:r w:rsidRPr="009822AF">
        <w:rPr>
          <w:sz w:val="16"/>
          <w:lang w:val="es-MX"/>
        </w:rPr>
        <w:t>ritmo inflacionario total 2018</w:t>
      </w:r>
      <w:r>
        <w:rPr>
          <w:sz w:val="16"/>
          <w:lang w:val="es-MX"/>
        </w:rPr>
        <w:t>.</w:t>
      </w:r>
    </w:p>
    <w:p w:rsidR="00564A01" w:rsidRDefault="00564A01" w:rsidP="00564A01">
      <w:pPr>
        <w:jc w:val="both"/>
      </w:pPr>
    </w:p>
    <w:p w:rsidR="00564A01" w:rsidRDefault="00564A01" w:rsidP="00564A01">
      <w:pPr>
        <w:rPr>
          <w:lang w:val="es-MX"/>
        </w:rPr>
      </w:pPr>
      <w:r>
        <w:rPr>
          <w:lang w:val="es-MX"/>
        </w:rPr>
        <w:br w:type="page"/>
      </w:r>
    </w:p>
    <w:p w:rsidR="00564A01" w:rsidRDefault="00564A01" w:rsidP="00564A01">
      <w:pPr>
        <w:jc w:val="both"/>
        <w:rPr>
          <w:lang w:val="es-MX"/>
        </w:rPr>
      </w:pPr>
      <w:r w:rsidRPr="00124AD6">
        <w:rPr>
          <w:lang w:val="es-MX"/>
        </w:rPr>
        <w:lastRenderedPageBreak/>
        <w:t>En forma preliminar</w:t>
      </w:r>
      <w:r>
        <w:rPr>
          <w:lang w:val="es-MX"/>
        </w:rPr>
        <w:t>,</w:t>
      </w:r>
      <w:r w:rsidRPr="00124AD6">
        <w:rPr>
          <w:lang w:val="es-MX"/>
        </w:rPr>
        <w:t xml:space="preserve"> el Banco de Guatemala inform</w:t>
      </w:r>
      <w:r>
        <w:rPr>
          <w:lang w:val="es-MX"/>
        </w:rPr>
        <w:t>ó</w:t>
      </w:r>
      <w:r w:rsidRPr="00124AD6">
        <w:rPr>
          <w:lang w:val="es-MX"/>
        </w:rPr>
        <w:t xml:space="preserve"> que el monto total de las exportaciones del comercio general, fue de US$</w:t>
      </w:r>
      <w:r w:rsidRPr="004F5108">
        <w:rPr>
          <w:lang w:val="es-MX"/>
        </w:rPr>
        <w:t>10</w:t>
      </w:r>
      <w:r>
        <w:rPr>
          <w:lang w:val="es-MX"/>
        </w:rPr>
        <w:t>,</w:t>
      </w:r>
      <w:r w:rsidRPr="004F5108">
        <w:rPr>
          <w:lang w:val="es-MX"/>
        </w:rPr>
        <w:t>9</w:t>
      </w:r>
      <w:r>
        <w:rPr>
          <w:lang w:val="es-MX"/>
        </w:rPr>
        <w:t>90.2</w:t>
      </w:r>
      <w:r w:rsidR="00657A0C">
        <w:rPr>
          <w:lang w:val="es-MX"/>
        </w:rPr>
        <w:t xml:space="preserve"> </w:t>
      </w:r>
      <w:r w:rsidRPr="00124AD6">
        <w:rPr>
          <w:lang w:val="es-MX"/>
        </w:rPr>
        <w:t xml:space="preserve">millones, </w:t>
      </w:r>
      <w:r>
        <w:rPr>
          <w:lang w:val="es-MX"/>
        </w:rPr>
        <w:t>superior</w:t>
      </w:r>
      <w:r w:rsidRPr="00124AD6">
        <w:rPr>
          <w:lang w:val="es-MX"/>
        </w:rPr>
        <w:t xml:space="preserve"> en US$</w:t>
      </w:r>
      <w:r>
        <w:rPr>
          <w:lang w:val="es-MX"/>
        </w:rPr>
        <w:t>7.8</w:t>
      </w:r>
      <w:r w:rsidRPr="00124AD6">
        <w:rPr>
          <w:lang w:val="es-MX"/>
        </w:rPr>
        <w:t xml:space="preserve"> millones </w:t>
      </w:r>
      <w:r>
        <w:rPr>
          <w:lang w:val="es-MX"/>
        </w:rPr>
        <w:t>(0.1%</w:t>
      </w:r>
      <w:r w:rsidRPr="00124AD6">
        <w:rPr>
          <w:lang w:val="es-MX"/>
        </w:rPr>
        <w:t>) al registrado el año anterior</w:t>
      </w:r>
      <w:r>
        <w:rPr>
          <w:lang w:val="es-MX"/>
        </w:rPr>
        <w:t xml:space="preserve"> (</w:t>
      </w:r>
      <w:r w:rsidRPr="00124AD6">
        <w:rPr>
          <w:lang w:val="es-MX"/>
        </w:rPr>
        <w:t>US$</w:t>
      </w:r>
      <w:r w:rsidRPr="004F5108">
        <w:rPr>
          <w:lang w:val="es-MX"/>
        </w:rPr>
        <w:t>10</w:t>
      </w:r>
      <w:r>
        <w:rPr>
          <w:lang w:val="es-MX"/>
        </w:rPr>
        <w:t>,</w:t>
      </w:r>
      <w:r w:rsidRPr="004F5108">
        <w:rPr>
          <w:lang w:val="es-MX"/>
        </w:rPr>
        <w:t>982.</w:t>
      </w:r>
      <w:r>
        <w:rPr>
          <w:lang w:val="es-MX"/>
        </w:rPr>
        <w:t>4</w:t>
      </w:r>
      <w:r w:rsidR="00657A0C">
        <w:rPr>
          <w:lang w:val="es-MX"/>
        </w:rPr>
        <w:t xml:space="preserve"> </w:t>
      </w:r>
      <w:r w:rsidRPr="00124AD6">
        <w:rPr>
          <w:lang w:val="es-MX"/>
        </w:rPr>
        <w:t>millones</w:t>
      </w:r>
      <w:r>
        <w:rPr>
          <w:lang w:val="es-MX"/>
        </w:rPr>
        <w:t>)</w:t>
      </w:r>
      <w:r w:rsidRPr="00124AD6">
        <w:rPr>
          <w:lang w:val="es-MX"/>
        </w:rPr>
        <w:t xml:space="preserve">. </w:t>
      </w:r>
      <w:r>
        <w:rPr>
          <w:lang w:val="es-MX"/>
        </w:rPr>
        <w:t>E</w:t>
      </w:r>
      <w:r w:rsidRPr="004F5108">
        <w:rPr>
          <w:lang w:val="es-MX"/>
        </w:rPr>
        <w:t xml:space="preserve">l aumento del valor FOB de las exportaciones, </w:t>
      </w:r>
      <w:r>
        <w:rPr>
          <w:lang w:val="es-MX"/>
        </w:rPr>
        <w:t xml:space="preserve">fue posible por el aumento </w:t>
      </w:r>
      <w:r w:rsidRPr="00AB53C1">
        <w:rPr>
          <w:lang w:val="es-MX"/>
        </w:rPr>
        <w:t>en las exportaciones de artículos de vestuario; hierro y acero; cardamomo; legumbres y hortalizas; y fru</w:t>
      </w:r>
      <w:r>
        <w:rPr>
          <w:lang w:val="es-MX"/>
        </w:rPr>
        <w:t xml:space="preserve">tas frescas, secas o congeladas, dado que </w:t>
      </w:r>
      <w:r w:rsidRPr="00AB53C1">
        <w:rPr>
          <w:lang w:val="es-MX"/>
        </w:rPr>
        <w:t>los rubros de azúcar; café y caucho natural</w:t>
      </w:r>
      <w:r>
        <w:rPr>
          <w:lang w:val="es-MX"/>
        </w:rPr>
        <w:t xml:space="preserve"> </w:t>
      </w:r>
      <w:r w:rsidRPr="00AB53C1">
        <w:rPr>
          <w:lang w:val="es-MX"/>
        </w:rPr>
        <w:t>(hule)</w:t>
      </w:r>
      <w:r>
        <w:rPr>
          <w:lang w:val="es-MX"/>
        </w:rPr>
        <w:t xml:space="preserve">, </w:t>
      </w:r>
      <w:r w:rsidRPr="00AB53C1">
        <w:rPr>
          <w:lang w:val="es-MX"/>
        </w:rPr>
        <w:t xml:space="preserve"> plomo; piedras y me</w:t>
      </w:r>
      <w:r>
        <w:rPr>
          <w:lang w:val="es-MX"/>
        </w:rPr>
        <w:t>tales preciosos y semipreciosos, especialmente estos últimos, se vieron afectad</w:t>
      </w:r>
      <w:r w:rsidR="00657A0C">
        <w:rPr>
          <w:lang w:val="es-MX"/>
        </w:rPr>
        <w:t>o</w:t>
      </w:r>
      <w:r>
        <w:rPr>
          <w:lang w:val="es-MX"/>
        </w:rPr>
        <w:t xml:space="preserve">s por </w:t>
      </w:r>
      <w:r w:rsidRPr="00AB53C1">
        <w:rPr>
          <w:lang w:val="es-MX"/>
        </w:rPr>
        <w:t xml:space="preserve">ventas al exterior de plomo </w:t>
      </w:r>
      <w:r>
        <w:rPr>
          <w:lang w:val="es-MX"/>
        </w:rPr>
        <w:t xml:space="preserve">que al mes de noviembre de 2018 </w:t>
      </w:r>
      <w:r w:rsidRPr="00AB53C1">
        <w:rPr>
          <w:lang w:val="es-MX"/>
        </w:rPr>
        <w:t>registra</w:t>
      </w:r>
      <w:r>
        <w:rPr>
          <w:lang w:val="es-MX"/>
        </w:rPr>
        <w:t>ba</w:t>
      </w:r>
      <w:r w:rsidRPr="00AB53C1">
        <w:rPr>
          <w:lang w:val="es-MX"/>
        </w:rPr>
        <w:t>n una caída de US$148.2 millones (97.1%), y las de piedras y metales preciosos y semipreciosos de US$84.6 millones (89.7%); las cuales se explican por la suspensión de operaciones de la Minera San Rafael (desde mediados</w:t>
      </w:r>
      <w:r>
        <w:rPr>
          <w:lang w:val="es-MX"/>
        </w:rPr>
        <w:t xml:space="preserve"> </w:t>
      </w:r>
      <w:r w:rsidRPr="00AB53C1">
        <w:rPr>
          <w:lang w:val="es-MX"/>
        </w:rPr>
        <w:t xml:space="preserve">de 2017) y del cierre </w:t>
      </w:r>
      <w:r>
        <w:rPr>
          <w:lang w:val="es-MX"/>
        </w:rPr>
        <w:t xml:space="preserve">técnico </w:t>
      </w:r>
      <w:r w:rsidRPr="00AB53C1">
        <w:rPr>
          <w:lang w:val="es-MX"/>
        </w:rPr>
        <w:t>de operaciones de la empresa Montana Exploradora</w:t>
      </w:r>
      <w:r>
        <w:rPr>
          <w:lang w:val="es-MX"/>
        </w:rPr>
        <w:t>, subsidiaria de Gold Corp. (Banco de Guatemala, Ibid).</w:t>
      </w:r>
    </w:p>
    <w:p w:rsidR="00564A01" w:rsidRDefault="00564A01" w:rsidP="00564A01">
      <w:pPr>
        <w:jc w:val="both"/>
        <w:rPr>
          <w:lang w:val="es-MX"/>
        </w:rPr>
      </w:pPr>
    </w:p>
    <w:p w:rsidR="00564A01" w:rsidRDefault="00564A01" w:rsidP="00564A01">
      <w:pPr>
        <w:jc w:val="both"/>
        <w:rPr>
          <w:lang w:val="es-MX"/>
        </w:rPr>
      </w:pPr>
      <w:r w:rsidRPr="00E12DAF">
        <w:rPr>
          <w:lang w:val="es-MX"/>
        </w:rPr>
        <w:t>La disminución en el valor de las exportaciones de café de US$62.8 millones (8.8%), se asocia a la caída en el precio medio (10.2%), al pasar de US$168.44 a US$151.33 por quintal entre octubre de 2017 y octubre del presente año</w:t>
      </w:r>
      <w:r w:rsidR="00657A0C">
        <w:rPr>
          <w:lang w:val="es-MX"/>
        </w:rPr>
        <w:t>. D</w:t>
      </w:r>
      <w:r w:rsidRPr="00E12DAF">
        <w:rPr>
          <w:lang w:val="es-MX"/>
        </w:rPr>
        <w:t xml:space="preserve">icha caída fue compensada, parcialmente, por un incremento en el volumen (1.5%). De acuerdo con Bloomberg, la disminución en el precio internacional del café se explica, principalmente, por el incremento en la producción tanto en Brasil como en Vietnam debido a condiciones climáticas favorables. En los últimos años, el volumen exportado del grano se ha venido recuperando, luego del impacto de la plaga de roya que afectó las plantaciones nacionales entre 2012 </w:t>
      </w:r>
      <w:r w:rsidR="00657A0C">
        <w:rPr>
          <w:lang w:val="es-MX"/>
        </w:rPr>
        <w:t xml:space="preserve"> </w:t>
      </w:r>
      <w:r w:rsidRPr="00E12DAF">
        <w:rPr>
          <w:lang w:val="es-MX"/>
        </w:rPr>
        <w:t>y</w:t>
      </w:r>
      <w:r w:rsidR="00657A0C">
        <w:rPr>
          <w:lang w:val="es-MX"/>
        </w:rPr>
        <w:t xml:space="preserve"> </w:t>
      </w:r>
      <w:r w:rsidRPr="00E12DAF">
        <w:rPr>
          <w:lang w:val="es-MX"/>
        </w:rPr>
        <w:t xml:space="preserve"> 2013.</w:t>
      </w:r>
    </w:p>
    <w:p w:rsidR="00564A01" w:rsidRPr="00E12DAF" w:rsidRDefault="00564A01" w:rsidP="00564A01">
      <w:pPr>
        <w:jc w:val="both"/>
        <w:rPr>
          <w:lang w:val="es-MX"/>
        </w:rPr>
      </w:pPr>
    </w:p>
    <w:p w:rsidR="00564A01" w:rsidRDefault="00564A01" w:rsidP="00564A01">
      <w:pPr>
        <w:jc w:val="both"/>
        <w:rPr>
          <w:lang w:val="es-MX"/>
        </w:rPr>
      </w:pPr>
      <w:r w:rsidRPr="00E12DAF">
        <w:rPr>
          <w:lang w:val="es-MX"/>
        </w:rPr>
        <w:t xml:space="preserve">Las exportaciones de caucho natural (hule) registraron una disminución de US$24.4 millones (16.4%), debido a la reducción en el precio medio (18.6%); el cual fue compensado, parcialmente, por un aumento en el volumen exportado (2.7%). El comportamiento a la baja en el precio internacional se asocia, principalmente, a la disminución en la demanda por parte de la República Popular </w:t>
      </w:r>
      <w:r w:rsidR="00422CBB">
        <w:rPr>
          <w:lang w:val="es-MX"/>
        </w:rPr>
        <w:t xml:space="preserve">de </w:t>
      </w:r>
      <w:r w:rsidRPr="00E12DAF">
        <w:rPr>
          <w:lang w:val="es-MX"/>
        </w:rPr>
        <w:t>China, principal consumidor a nivel mundial, de conformidad con información del Banco Mundial.</w:t>
      </w:r>
      <w:r>
        <w:rPr>
          <w:lang w:val="es-MX"/>
        </w:rPr>
        <w:t xml:space="preserve"> (Banco de Guatemala, Ibídem).</w:t>
      </w:r>
    </w:p>
    <w:p w:rsidR="00564A01" w:rsidRDefault="00564A01" w:rsidP="00564A01">
      <w:pPr>
        <w:jc w:val="both"/>
        <w:rPr>
          <w:lang w:val="es-MX"/>
        </w:rPr>
      </w:pPr>
    </w:p>
    <w:p w:rsidR="00564A01" w:rsidRDefault="00564A01" w:rsidP="00564A01">
      <w:pPr>
        <w:jc w:val="both"/>
        <w:rPr>
          <w:lang w:val="es-MX"/>
        </w:rPr>
      </w:pPr>
    </w:p>
    <w:p w:rsidR="00564A01" w:rsidRDefault="00564A01" w:rsidP="00564A01">
      <w:pPr>
        <w:pStyle w:val="Default"/>
        <w:jc w:val="both"/>
        <w:rPr>
          <w:rFonts w:ascii="Times New Roman" w:hAnsi="Times New Roman" w:cs="Times New Roman"/>
          <w:color w:val="auto"/>
          <w:lang w:val="es-MX"/>
        </w:rPr>
      </w:pPr>
      <w:r w:rsidRPr="00B14287">
        <w:rPr>
          <w:rFonts w:ascii="Times New Roman" w:hAnsi="Times New Roman" w:cs="Times New Roman"/>
          <w:color w:val="auto"/>
          <w:lang w:val="es-MX"/>
        </w:rPr>
        <w:t>Las importaciones se situaron en US$19,734</w:t>
      </w:r>
      <w:r w:rsidR="00BE7FB0">
        <w:rPr>
          <w:rFonts w:ascii="Times New Roman" w:hAnsi="Times New Roman" w:cs="Times New Roman"/>
          <w:color w:val="auto"/>
          <w:lang w:val="es-MX"/>
        </w:rPr>
        <w:t>.0</w:t>
      </w:r>
      <w:r w:rsidRPr="00B14287">
        <w:rPr>
          <w:rFonts w:ascii="Times New Roman" w:hAnsi="Times New Roman" w:cs="Times New Roman"/>
          <w:color w:val="auto"/>
          <w:lang w:val="es-MX"/>
        </w:rPr>
        <w:t xml:space="preserve"> millones, superior en US$1,343.8 millones (7.3%) a las registradas en 2017 (US$18,390.2 millones). Este aumento estuvo determinado</w:t>
      </w:r>
      <w:r>
        <w:rPr>
          <w:rFonts w:ascii="Times New Roman" w:hAnsi="Times New Roman" w:cs="Times New Roman"/>
          <w:color w:val="auto"/>
          <w:lang w:val="es-MX"/>
        </w:rPr>
        <w:t xml:space="preserve"> a noviembre de 2018</w:t>
      </w:r>
      <w:r w:rsidRPr="00B14287">
        <w:rPr>
          <w:rFonts w:ascii="Times New Roman" w:hAnsi="Times New Roman" w:cs="Times New Roman"/>
          <w:color w:val="auto"/>
          <w:lang w:val="es-MX"/>
        </w:rPr>
        <w:t>, por el incremento del precio medio de importación (3.6%) y del volumen (5.1%). El alza que se observó en el precio medio de los combustibles y lubricantes fue contrarrestada, parcialmente, por la disminución que registró el precio medio de las importaciones de bienes de capital; mientras que el aumento en el volumen importado, se explica, fundamentalmente, por el incremento en la mayoría de bienes importados. El comportamiento descrito influyó en que el valor de las importaciones aumentara en los rubros de combustibles y lubricantes (24.4%), de materias primas y productos intermedios (10.8%), de materiales de construcción (10.5%) y de bienes de consumo (4.6%).</w:t>
      </w:r>
    </w:p>
    <w:p w:rsidR="00564A01" w:rsidRDefault="00564A01" w:rsidP="00564A01">
      <w:pPr>
        <w:pStyle w:val="Default"/>
        <w:jc w:val="both"/>
        <w:rPr>
          <w:rFonts w:ascii="Times New Roman" w:hAnsi="Times New Roman" w:cs="Times New Roman"/>
          <w:color w:val="auto"/>
          <w:lang w:val="es-MX"/>
        </w:rPr>
      </w:pPr>
    </w:p>
    <w:p w:rsidR="00564A01" w:rsidRPr="00B14287" w:rsidRDefault="00564A01" w:rsidP="00564A01">
      <w:pPr>
        <w:pStyle w:val="Default"/>
        <w:jc w:val="both"/>
        <w:rPr>
          <w:rFonts w:ascii="Times New Roman" w:hAnsi="Times New Roman" w:cs="Times New Roman"/>
          <w:color w:val="auto"/>
          <w:lang w:val="es-MX"/>
        </w:rPr>
      </w:pPr>
    </w:p>
    <w:p w:rsidR="00564A01" w:rsidRDefault="00564A01" w:rsidP="00564A01">
      <w:pPr>
        <w:jc w:val="both"/>
        <w:rPr>
          <w:lang w:val="es-MX"/>
        </w:rPr>
      </w:pPr>
      <w:r w:rsidRPr="00B14287">
        <w:rPr>
          <w:lang w:val="es-MX"/>
        </w:rPr>
        <w:lastRenderedPageBreak/>
        <w:t>El aumento del precio internacional del crudo desde finales de 2016 ha provocado, al igual que lo observado en 2017, que el ahorro en la factura petrolera (rubro de combustibles y lubricantes) que se acumuló entre 2015 y 2016, tienda a reducirse (desahorro de US$503.5 millones en 2017). A octubre de 2018, la factura petrolera registró un aumento de US$549.2 millones respecto del mismo per</w:t>
      </w:r>
      <w:r w:rsidR="008A4C4C">
        <w:rPr>
          <w:lang w:val="es-MX"/>
        </w:rPr>
        <w:t>í</w:t>
      </w:r>
      <w:r w:rsidRPr="00B14287">
        <w:rPr>
          <w:lang w:val="es-MX"/>
        </w:rPr>
        <w:t>odo del año anterior, lo cual refleja la disolución gradual del ahorro obtenido en dicha factura en años previos.</w:t>
      </w:r>
      <w:r>
        <w:rPr>
          <w:lang w:val="es-MX"/>
        </w:rPr>
        <w:t xml:space="preserve"> (Banco de Guatemala, óp. cit.).</w:t>
      </w:r>
    </w:p>
    <w:p w:rsidR="00564A01" w:rsidRPr="00124AD6" w:rsidRDefault="00564A01" w:rsidP="00564A01">
      <w:pPr>
        <w:jc w:val="both"/>
        <w:rPr>
          <w:lang w:val="es-MX"/>
        </w:rPr>
      </w:pPr>
    </w:p>
    <w:p w:rsidR="00564A01" w:rsidRPr="00124AD6" w:rsidRDefault="00564A01" w:rsidP="00564A01">
      <w:pPr>
        <w:jc w:val="both"/>
        <w:rPr>
          <w:lang w:val="es-MX"/>
        </w:rPr>
      </w:pPr>
      <w:r w:rsidRPr="00124AD6">
        <w:rPr>
          <w:lang w:val="es-MX"/>
        </w:rPr>
        <w:t xml:space="preserve">Por su parte, las remesas familiares registraron un crecimiento de </w:t>
      </w:r>
      <w:r>
        <w:rPr>
          <w:lang w:val="es-MX"/>
        </w:rPr>
        <w:t>$1,095.6 millones (13.4%)</w:t>
      </w:r>
      <w:r w:rsidRPr="00124AD6">
        <w:rPr>
          <w:lang w:val="es-MX"/>
        </w:rPr>
        <w:t>, con relación a 201</w:t>
      </w:r>
      <w:r>
        <w:rPr>
          <w:lang w:val="es-MX"/>
        </w:rPr>
        <w:t>7</w:t>
      </w:r>
      <w:r w:rsidRPr="00124AD6">
        <w:rPr>
          <w:lang w:val="es-MX"/>
        </w:rPr>
        <w:t xml:space="preserve"> </w:t>
      </w:r>
      <w:r w:rsidRPr="00BE3F06">
        <w:rPr>
          <w:lang w:val="es-MX"/>
        </w:rPr>
        <w:t xml:space="preserve">Dicho resultado sigue explicándose, principalmente, por la reducción del nivel de desempleo hispano </w:t>
      </w:r>
      <w:r>
        <w:rPr>
          <w:lang w:val="es-MX"/>
        </w:rPr>
        <w:t xml:space="preserve">y </w:t>
      </w:r>
      <w:r w:rsidRPr="00BE3F06">
        <w:rPr>
          <w:lang w:val="es-MX"/>
        </w:rPr>
        <w:t xml:space="preserve">el incremento del número de guatemaltecos que residen </w:t>
      </w:r>
      <w:r>
        <w:rPr>
          <w:lang w:val="es-MX"/>
        </w:rPr>
        <w:t>los Estados Unidos de Norteamérica.</w:t>
      </w:r>
    </w:p>
    <w:p w:rsidR="00564A01" w:rsidRPr="00124AD6" w:rsidRDefault="00564A01" w:rsidP="00564A01">
      <w:pPr>
        <w:jc w:val="both"/>
        <w:rPr>
          <w:lang w:val="es-MX"/>
        </w:rPr>
      </w:pPr>
    </w:p>
    <w:p w:rsidR="00564A01" w:rsidRPr="00124AD6" w:rsidRDefault="00564A01" w:rsidP="00564A01">
      <w:pPr>
        <w:jc w:val="center"/>
        <w:rPr>
          <w:b/>
        </w:rPr>
      </w:pPr>
      <w:r w:rsidRPr="00124AD6">
        <w:rPr>
          <w:b/>
        </w:rPr>
        <w:t xml:space="preserve">Gráfica </w:t>
      </w:r>
      <w:r>
        <w:rPr>
          <w:b/>
        </w:rPr>
        <w:t>4</w:t>
      </w:r>
    </w:p>
    <w:p w:rsidR="00564A01" w:rsidRDefault="00564A01" w:rsidP="00564A01">
      <w:pPr>
        <w:jc w:val="center"/>
        <w:rPr>
          <w:b/>
        </w:rPr>
      </w:pPr>
      <w:r w:rsidRPr="00124AD6">
        <w:rPr>
          <w:b/>
        </w:rPr>
        <w:t>Guatemala: Remesas Familiares</w:t>
      </w:r>
    </w:p>
    <w:p w:rsidR="00564A01" w:rsidRPr="00124AD6" w:rsidRDefault="00564A01" w:rsidP="00564A01">
      <w:pPr>
        <w:jc w:val="center"/>
        <w:rPr>
          <w:b/>
        </w:rPr>
      </w:pPr>
      <w:r>
        <w:rPr>
          <w:b/>
        </w:rPr>
        <w:t>En Millones de US Dólares</w:t>
      </w:r>
    </w:p>
    <w:p w:rsidR="00564A01" w:rsidRDefault="00564A01" w:rsidP="00564A01">
      <w:pPr>
        <w:jc w:val="center"/>
        <w:rPr>
          <w:b/>
        </w:rPr>
      </w:pPr>
      <w:r w:rsidRPr="00124AD6">
        <w:rPr>
          <w:b/>
        </w:rPr>
        <w:t xml:space="preserve">(Acumulado </w:t>
      </w:r>
      <w:r w:rsidR="00AF0377">
        <w:rPr>
          <w:b/>
        </w:rPr>
        <w:t>A</w:t>
      </w:r>
      <w:r w:rsidRPr="00124AD6">
        <w:rPr>
          <w:b/>
        </w:rPr>
        <w:t>nual 2010 - 201</w:t>
      </w:r>
      <w:r>
        <w:rPr>
          <w:b/>
        </w:rPr>
        <w:t>8</w:t>
      </w:r>
      <w:r w:rsidRPr="00124AD6">
        <w:rPr>
          <w:b/>
        </w:rPr>
        <w:t>)</w:t>
      </w:r>
    </w:p>
    <w:p w:rsidR="00564A01" w:rsidRDefault="00564A01" w:rsidP="00564A01">
      <w:pPr>
        <w:jc w:val="center"/>
        <w:rPr>
          <w:b/>
        </w:rPr>
      </w:pPr>
      <w:r>
        <w:rPr>
          <w:noProof/>
          <w:lang w:val="es-GT" w:eastAsia="es-GT"/>
        </w:rPr>
        <w:drawing>
          <wp:inline distT="0" distB="0" distL="0" distR="0" wp14:anchorId="70F7D5EA" wp14:editId="6ED6653F">
            <wp:extent cx="5612130" cy="3496945"/>
            <wp:effectExtent l="0" t="0" r="7620" b="825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4A01" w:rsidRPr="00442774" w:rsidRDefault="00564A01" w:rsidP="00564A01">
      <w:pPr>
        <w:jc w:val="both"/>
        <w:rPr>
          <w:noProof/>
          <w:sz w:val="16"/>
        </w:rPr>
      </w:pPr>
      <w:r>
        <w:rPr>
          <w:noProof/>
          <w:sz w:val="16"/>
        </w:rPr>
        <w:t xml:space="preserve"> </w:t>
      </w:r>
      <w:r w:rsidRPr="00442774">
        <w:rPr>
          <w:noProof/>
          <w:sz w:val="16"/>
        </w:rPr>
        <w:t>Fuente: Banco de Guatemala</w:t>
      </w:r>
      <w:r>
        <w:rPr>
          <w:noProof/>
          <w:sz w:val="16"/>
        </w:rPr>
        <w:t>.</w:t>
      </w:r>
    </w:p>
    <w:p w:rsidR="00564A01" w:rsidRPr="00124AD6" w:rsidRDefault="00564A01" w:rsidP="00564A01">
      <w:pPr>
        <w:jc w:val="both"/>
        <w:rPr>
          <w:lang w:val="es-MX"/>
        </w:rPr>
      </w:pPr>
    </w:p>
    <w:p w:rsidR="00564A01" w:rsidRDefault="00564A01" w:rsidP="00564A01">
      <w:pPr>
        <w:jc w:val="both"/>
        <w:rPr>
          <w:lang w:val="es-MX"/>
        </w:rPr>
      </w:pPr>
      <w:r>
        <w:rPr>
          <w:lang w:val="es-MX"/>
        </w:rPr>
        <w:t xml:space="preserve">Las </w:t>
      </w:r>
      <w:r w:rsidRPr="00124AD6">
        <w:rPr>
          <w:lang w:val="es-MX"/>
        </w:rPr>
        <w:t>Reservas Monetarias Internacionales</w:t>
      </w:r>
      <w:r>
        <w:rPr>
          <w:lang w:val="es-MX"/>
        </w:rPr>
        <w:t xml:space="preserve"> </w:t>
      </w:r>
      <w:r w:rsidRPr="00124AD6">
        <w:rPr>
          <w:lang w:val="es-MX"/>
        </w:rPr>
        <w:t>Netas</w:t>
      </w:r>
      <w:r>
        <w:rPr>
          <w:lang w:val="es-MX"/>
        </w:rPr>
        <w:t xml:space="preserve"> RIN, </w:t>
      </w:r>
      <w:r w:rsidRPr="00124AD6">
        <w:rPr>
          <w:lang w:val="es-MX"/>
        </w:rPr>
        <w:t xml:space="preserve">continuaron reflejando </w:t>
      </w:r>
      <w:r>
        <w:rPr>
          <w:lang w:val="es-MX"/>
        </w:rPr>
        <w:t>l</w:t>
      </w:r>
      <w:r w:rsidRPr="00124AD6">
        <w:rPr>
          <w:lang w:val="es-MX"/>
        </w:rPr>
        <w:t xml:space="preserve">a sólida posición externa del país.  </w:t>
      </w:r>
      <w:r>
        <w:rPr>
          <w:lang w:val="es-MX"/>
        </w:rPr>
        <w:t xml:space="preserve">Al 31 de diciembre de 2018 </w:t>
      </w:r>
      <w:r w:rsidRPr="00124AD6">
        <w:rPr>
          <w:lang w:val="es-MX"/>
        </w:rPr>
        <w:t>se situ</w:t>
      </w:r>
      <w:r>
        <w:rPr>
          <w:lang w:val="es-MX"/>
        </w:rPr>
        <w:t>aron</w:t>
      </w:r>
      <w:r w:rsidRPr="00124AD6">
        <w:rPr>
          <w:lang w:val="es-MX"/>
        </w:rPr>
        <w:t xml:space="preserve"> en US$</w:t>
      </w:r>
      <w:r>
        <w:rPr>
          <w:lang w:val="es-MX"/>
        </w:rPr>
        <w:t>12,755.6</w:t>
      </w:r>
      <w:r w:rsidRPr="00124AD6">
        <w:rPr>
          <w:lang w:val="es-MX"/>
        </w:rPr>
        <w:t xml:space="preserve"> millones, </w:t>
      </w:r>
      <w:r>
        <w:rPr>
          <w:lang w:val="es-MX"/>
        </w:rPr>
        <w:t xml:space="preserve">monto superior en </w:t>
      </w:r>
      <w:r w:rsidRPr="00124AD6">
        <w:rPr>
          <w:lang w:val="es-MX"/>
        </w:rPr>
        <w:t>US$</w:t>
      </w:r>
      <w:r>
        <w:rPr>
          <w:lang w:val="es-MX"/>
        </w:rPr>
        <w:t xml:space="preserve">986.1 millones </w:t>
      </w:r>
      <w:r w:rsidRPr="00124AD6">
        <w:rPr>
          <w:lang w:val="es-MX"/>
        </w:rPr>
        <w:t xml:space="preserve">equivalente a </w:t>
      </w:r>
      <w:r>
        <w:rPr>
          <w:lang w:val="es-MX"/>
        </w:rPr>
        <w:t>8.4%</w:t>
      </w:r>
      <w:r w:rsidRPr="00124AD6">
        <w:rPr>
          <w:lang w:val="es-MX"/>
        </w:rPr>
        <w:t xml:space="preserve"> de incremento respecto </w:t>
      </w:r>
      <w:r w:rsidR="00AF0377">
        <w:rPr>
          <w:lang w:val="es-MX"/>
        </w:rPr>
        <w:t>de</w:t>
      </w:r>
      <w:r w:rsidRPr="00124AD6">
        <w:rPr>
          <w:lang w:val="es-MX"/>
        </w:rPr>
        <w:t xml:space="preserve"> 201</w:t>
      </w:r>
      <w:r>
        <w:rPr>
          <w:lang w:val="es-MX"/>
        </w:rPr>
        <w:t>7</w:t>
      </w:r>
      <w:r w:rsidRPr="00124AD6">
        <w:rPr>
          <w:lang w:val="es-MX"/>
        </w:rPr>
        <w:t xml:space="preserve">.  </w:t>
      </w:r>
      <w:r>
        <w:rPr>
          <w:lang w:val="es-MX"/>
        </w:rPr>
        <w:t xml:space="preserve">Lo anterior es </w:t>
      </w:r>
      <w:r w:rsidRPr="00B52C97">
        <w:rPr>
          <w:lang w:val="es-MX"/>
        </w:rPr>
        <w:t>resultado, principalmente, de las compras efectuadas mediante el mecanismo de acumulación de reservas monetarias internacionales previsto en la política cambiaria vigente (US$455.9 millones</w:t>
      </w:r>
      <w:r>
        <w:rPr>
          <w:lang w:val="es-MX"/>
        </w:rPr>
        <w:t xml:space="preserve"> a noviembre </w:t>
      </w:r>
      <w:r w:rsidR="00AF0377">
        <w:rPr>
          <w:lang w:val="es-MX"/>
        </w:rPr>
        <w:t xml:space="preserve">de </w:t>
      </w:r>
      <w:r>
        <w:rPr>
          <w:lang w:val="es-MX"/>
        </w:rPr>
        <w:t>2018</w:t>
      </w:r>
      <w:r w:rsidRPr="00B52C97">
        <w:rPr>
          <w:lang w:val="es-MX"/>
        </w:rPr>
        <w:t xml:space="preserve">) y por las compras netas por </w:t>
      </w:r>
      <w:r w:rsidRPr="00B52C97">
        <w:rPr>
          <w:lang w:val="es-MX"/>
        </w:rPr>
        <w:lastRenderedPageBreak/>
        <w:t>activación de la regla cambiaria (US$725.5 millones</w:t>
      </w:r>
      <w:r>
        <w:rPr>
          <w:lang w:val="es-MX"/>
        </w:rPr>
        <w:t xml:space="preserve"> a noviembre </w:t>
      </w:r>
      <w:r w:rsidR="00AF0377">
        <w:rPr>
          <w:lang w:val="es-MX"/>
        </w:rPr>
        <w:t xml:space="preserve">de </w:t>
      </w:r>
      <w:r>
        <w:rPr>
          <w:lang w:val="es-MX"/>
        </w:rPr>
        <w:t>2018)</w:t>
      </w:r>
      <w:r w:rsidRPr="00B52C97">
        <w:rPr>
          <w:lang w:val="es-MX"/>
        </w:rPr>
        <w:t>, lo cual fue contrarrestado, parcialmente, por los pagos netos por deuda externa del sector público y por la amortización neta de los depósitos a plazo en dólares de los Estados Unidos de América emitidos por el Banco de Guatemala. El referido nivel de RIN equivale a</w:t>
      </w:r>
      <w:r>
        <w:rPr>
          <w:lang w:val="es-MX"/>
        </w:rPr>
        <w:t>proximadamente a</w:t>
      </w:r>
      <w:r w:rsidRPr="00B52C97">
        <w:rPr>
          <w:lang w:val="es-MX"/>
        </w:rPr>
        <w:t xml:space="preserve"> </w:t>
      </w:r>
      <w:r>
        <w:rPr>
          <w:lang w:val="es-MX"/>
        </w:rPr>
        <w:t>8</w:t>
      </w:r>
      <w:r w:rsidRPr="00B52C97">
        <w:rPr>
          <w:lang w:val="es-MX"/>
        </w:rPr>
        <w:t xml:space="preserve"> meses de importación de bienes, lo que refleja la sólida posición externa del país.</w:t>
      </w:r>
    </w:p>
    <w:p w:rsidR="00564A01" w:rsidRDefault="00564A01" w:rsidP="00564A01">
      <w:pPr>
        <w:jc w:val="both"/>
        <w:rPr>
          <w:lang w:val="es-MX"/>
        </w:rPr>
      </w:pPr>
    </w:p>
    <w:p w:rsidR="00564A01" w:rsidRPr="008A6ABA" w:rsidRDefault="00564A01" w:rsidP="00564A01">
      <w:pPr>
        <w:jc w:val="both"/>
        <w:rPr>
          <w:lang w:val="es-MX"/>
        </w:rPr>
      </w:pPr>
    </w:p>
    <w:p w:rsidR="00564A01" w:rsidRPr="00124AD6" w:rsidRDefault="00564A01" w:rsidP="00564A01">
      <w:pPr>
        <w:jc w:val="center"/>
        <w:rPr>
          <w:b/>
          <w:lang w:val="es-MX"/>
        </w:rPr>
      </w:pPr>
      <w:r w:rsidRPr="00124AD6">
        <w:rPr>
          <w:b/>
          <w:lang w:val="es-MX"/>
        </w:rPr>
        <w:t xml:space="preserve">Gráfica </w:t>
      </w:r>
      <w:r>
        <w:rPr>
          <w:b/>
          <w:lang w:val="es-MX"/>
        </w:rPr>
        <w:t>5</w:t>
      </w:r>
    </w:p>
    <w:p w:rsidR="00564A01" w:rsidRPr="00124AD6" w:rsidRDefault="00564A01" w:rsidP="00564A01">
      <w:pPr>
        <w:jc w:val="center"/>
        <w:rPr>
          <w:b/>
          <w:lang w:val="es-MX"/>
        </w:rPr>
      </w:pPr>
      <w:r w:rsidRPr="00124AD6">
        <w:rPr>
          <w:b/>
          <w:lang w:val="es-MX"/>
        </w:rPr>
        <w:t>Reservas Monetarias Internacionales 2010-201</w:t>
      </w:r>
      <w:r>
        <w:rPr>
          <w:b/>
          <w:lang w:val="es-MX"/>
        </w:rPr>
        <w:t>8</w:t>
      </w:r>
    </w:p>
    <w:p w:rsidR="00564A01" w:rsidRDefault="00564A01" w:rsidP="00564A01">
      <w:pPr>
        <w:jc w:val="center"/>
        <w:rPr>
          <w:noProof/>
          <w:lang w:val="es-GT" w:eastAsia="es-GT"/>
        </w:rPr>
      </w:pPr>
      <w:r w:rsidRPr="00124AD6">
        <w:rPr>
          <w:b/>
          <w:lang w:val="es-MX"/>
        </w:rPr>
        <w:t>(En Millones de US Dólares)</w:t>
      </w:r>
    </w:p>
    <w:p w:rsidR="00564A01" w:rsidRDefault="00564A01" w:rsidP="00564A01">
      <w:pPr>
        <w:jc w:val="center"/>
        <w:rPr>
          <w:noProof/>
          <w:lang w:val="es-GT" w:eastAsia="es-GT"/>
        </w:rPr>
      </w:pPr>
    </w:p>
    <w:p w:rsidR="00564A01" w:rsidRDefault="00564A01" w:rsidP="00564A01">
      <w:pPr>
        <w:jc w:val="center"/>
        <w:rPr>
          <w:b/>
          <w:lang w:val="es-MX"/>
        </w:rPr>
      </w:pPr>
      <w:r>
        <w:rPr>
          <w:noProof/>
          <w:lang w:val="es-GT" w:eastAsia="es-GT"/>
        </w:rPr>
        <w:drawing>
          <wp:inline distT="0" distB="0" distL="0" distR="0" wp14:anchorId="31F709AA" wp14:editId="6D3A8843">
            <wp:extent cx="5612130" cy="3978910"/>
            <wp:effectExtent l="0" t="0" r="7620" b="254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4A01" w:rsidRPr="00124AD6" w:rsidRDefault="00564A01" w:rsidP="00564A01">
      <w:pPr>
        <w:jc w:val="center"/>
        <w:rPr>
          <w:b/>
          <w:lang w:val="es-MX"/>
        </w:rPr>
      </w:pPr>
    </w:p>
    <w:p w:rsidR="00564A01" w:rsidRPr="00124AD6" w:rsidRDefault="00564A01" w:rsidP="00564A01">
      <w:pPr>
        <w:rPr>
          <w:lang w:val="es-MX"/>
        </w:rPr>
      </w:pPr>
      <w:r w:rsidRPr="00442774">
        <w:rPr>
          <w:sz w:val="16"/>
          <w:lang w:val="es-MX"/>
        </w:rPr>
        <w:t>Fuente: Banco de Guatemala</w:t>
      </w:r>
      <w:r>
        <w:rPr>
          <w:sz w:val="16"/>
          <w:lang w:val="es-MX"/>
        </w:rPr>
        <w:t>.</w:t>
      </w:r>
    </w:p>
    <w:p w:rsidR="00564A01" w:rsidRDefault="00564A01" w:rsidP="00564A01">
      <w:pPr>
        <w:rPr>
          <w:lang w:val="es-MX"/>
        </w:rPr>
      </w:pPr>
      <w:r>
        <w:rPr>
          <w:lang w:val="es-MX"/>
        </w:rPr>
        <w:br w:type="page"/>
      </w:r>
    </w:p>
    <w:p w:rsidR="00564A01" w:rsidRPr="00124AD6" w:rsidRDefault="00564A01" w:rsidP="00564A01">
      <w:pPr>
        <w:pStyle w:val="Ttulo2"/>
        <w:numPr>
          <w:ilvl w:val="0"/>
          <w:numId w:val="7"/>
        </w:numPr>
        <w:spacing w:line="276" w:lineRule="auto"/>
        <w:ind w:left="0" w:firstLine="0"/>
        <w:rPr>
          <w:rFonts w:ascii="Times New Roman" w:hAnsi="Times New Roman"/>
          <w:color w:val="auto"/>
          <w:sz w:val="24"/>
          <w:szCs w:val="24"/>
          <w:shd w:val="clear" w:color="auto" w:fill="FFFFFF"/>
        </w:rPr>
      </w:pPr>
      <w:bookmarkStart w:id="9" w:name="_Toc4742461"/>
      <w:bookmarkStart w:id="10" w:name="_Toc4775334"/>
      <w:r w:rsidRPr="00124AD6">
        <w:rPr>
          <w:rFonts w:ascii="Times New Roman" w:hAnsi="Times New Roman"/>
          <w:color w:val="auto"/>
          <w:sz w:val="24"/>
          <w:szCs w:val="24"/>
          <w:shd w:val="clear" w:color="auto" w:fill="FFFFFF"/>
        </w:rPr>
        <w:lastRenderedPageBreak/>
        <w:t xml:space="preserve">Decisiones de </w:t>
      </w:r>
      <w:r w:rsidR="00AF0377">
        <w:rPr>
          <w:rFonts w:ascii="Times New Roman" w:hAnsi="Times New Roman"/>
          <w:color w:val="auto"/>
          <w:sz w:val="24"/>
          <w:szCs w:val="24"/>
          <w:shd w:val="clear" w:color="auto" w:fill="FFFFFF"/>
        </w:rPr>
        <w:t>P</w:t>
      </w:r>
      <w:r w:rsidRPr="00124AD6">
        <w:rPr>
          <w:rFonts w:ascii="Times New Roman" w:hAnsi="Times New Roman"/>
          <w:color w:val="auto"/>
          <w:sz w:val="24"/>
          <w:szCs w:val="24"/>
          <w:shd w:val="clear" w:color="auto" w:fill="FFFFFF"/>
        </w:rPr>
        <w:t xml:space="preserve">olítica </w:t>
      </w:r>
      <w:r w:rsidR="00AF0377">
        <w:rPr>
          <w:rFonts w:ascii="Times New Roman" w:hAnsi="Times New Roman"/>
          <w:color w:val="auto"/>
          <w:sz w:val="24"/>
          <w:szCs w:val="24"/>
          <w:shd w:val="clear" w:color="auto" w:fill="FFFFFF"/>
        </w:rPr>
        <w:t>M</w:t>
      </w:r>
      <w:r w:rsidRPr="00124AD6">
        <w:rPr>
          <w:rFonts w:ascii="Times New Roman" w:hAnsi="Times New Roman"/>
          <w:color w:val="auto"/>
          <w:sz w:val="24"/>
          <w:szCs w:val="24"/>
          <w:shd w:val="clear" w:color="auto" w:fill="FFFFFF"/>
        </w:rPr>
        <w:t>onetaria</w:t>
      </w:r>
      <w:bookmarkEnd w:id="9"/>
      <w:bookmarkEnd w:id="10"/>
    </w:p>
    <w:p w:rsidR="00564A01" w:rsidRPr="00AA5C01" w:rsidRDefault="00564A01" w:rsidP="00564A01">
      <w:pPr>
        <w:jc w:val="both"/>
        <w:rPr>
          <w:sz w:val="14"/>
          <w:lang w:val="es-MX"/>
        </w:rPr>
      </w:pPr>
    </w:p>
    <w:p w:rsidR="00564A01" w:rsidRDefault="00564A01" w:rsidP="00564A01">
      <w:pPr>
        <w:jc w:val="both"/>
        <w:rPr>
          <w:lang w:val="es-MX"/>
        </w:rPr>
      </w:pPr>
      <w:r w:rsidRPr="00124AD6">
        <w:rPr>
          <w:lang w:val="es-MX"/>
        </w:rPr>
        <w:t>La Junta Monetaria</w:t>
      </w:r>
      <w:r>
        <w:rPr>
          <w:lang w:val="es-MX"/>
        </w:rPr>
        <w:t xml:space="preserve"> </w:t>
      </w:r>
      <w:r w:rsidR="00AF0377">
        <w:rPr>
          <w:lang w:val="es-MX"/>
        </w:rPr>
        <w:t>(</w:t>
      </w:r>
      <w:r>
        <w:rPr>
          <w:lang w:val="es-MX"/>
        </w:rPr>
        <w:t>JM</w:t>
      </w:r>
      <w:r w:rsidR="00AF0377">
        <w:rPr>
          <w:lang w:val="es-MX"/>
        </w:rPr>
        <w:t>)</w:t>
      </w:r>
      <w:r w:rsidRPr="00124AD6">
        <w:rPr>
          <w:lang w:val="es-MX"/>
        </w:rPr>
        <w:t xml:space="preserve"> realizó diversas reuniones durante 201</w:t>
      </w:r>
      <w:r>
        <w:rPr>
          <w:lang w:val="es-MX"/>
        </w:rPr>
        <w:t>8</w:t>
      </w:r>
      <w:r w:rsidRPr="00124AD6">
        <w:rPr>
          <w:lang w:val="es-MX"/>
        </w:rPr>
        <w:t xml:space="preserve"> para decidir sobre el nivel de la tasa de interés líder de política monetaria. </w:t>
      </w:r>
      <w:r>
        <w:rPr>
          <w:lang w:val="es-MX"/>
        </w:rPr>
        <w:t xml:space="preserve">De acuerdo con el Banco de Guatemala, hasta diciembre </w:t>
      </w:r>
      <w:r w:rsidR="00AF0377">
        <w:rPr>
          <w:lang w:val="es-MX"/>
        </w:rPr>
        <w:t>de 2018</w:t>
      </w:r>
      <w:r>
        <w:rPr>
          <w:lang w:val="es-MX"/>
        </w:rPr>
        <w:t>la misma se mantuvo en 2.75</w:t>
      </w:r>
      <w:r w:rsidR="006C09E7">
        <w:rPr>
          <w:lang w:val="es-MX"/>
        </w:rPr>
        <w:t>.</w:t>
      </w:r>
      <w:r>
        <w:rPr>
          <w:lang w:val="es-MX"/>
        </w:rPr>
        <w:t xml:space="preserve"> </w:t>
      </w:r>
      <w:r w:rsidRPr="000E2CB3">
        <w:rPr>
          <w:lang w:val="es-MX"/>
        </w:rPr>
        <w:t>Para es</w:t>
      </w:r>
      <w:r w:rsidR="006C09E7">
        <w:rPr>
          <w:lang w:val="es-MX"/>
        </w:rPr>
        <w:t>t</w:t>
      </w:r>
      <w:r w:rsidRPr="000E2CB3">
        <w:rPr>
          <w:lang w:val="es-MX"/>
        </w:rPr>
        <w:t>a decisión tom</w:t>
      </w:r>
      <w:r>
        <w:rPr>
          <w:lang w:val="es-MX"/>
        </w:rPr>
        <w:t>ó</w:t>
      </w:r>
      <w:r w:rsidRPr="000E2CB3">
        <w:rPr>
          <w:lang w:val="es-MX"/>
        </w:rPr>
        <w:t xml:space="preserve"> como base el análisis integral de la coyuntura tanto externa como interna. En el ámbito externo, entre otros aspectos, consideró las proyecciones de crecimiento económico a nivel mundial, tanto para </w:t>
      </w:r>
      <w:r>
        <w:rPr>
          <w:lang w:val="es-MX"/>
        </w:rPr>
        <w:t>2018</w:t>
      </w:r>
      <w:r w:rsidRPr="000E2CB3">
        <w:rPr>
          <w:lang w:val="es-MX"/>
        </w:rPr>
        <w:t xml:space="preserve"> como para </w:t>
      </w:r>
      <w:r>
        <w:rPr>
          <w:lang w:val="es-MX"/>
        </w:rPr>
        <w:t>2019</w:t>
      </w:r>
      <w:r w:rsidRPr="000E2CB3">
        <w:rPr>
          <w:lang w:val="es-MX"/>
        </w:rPr>
        <w:t xml:space="preserve">, </w:t>
      </w:r>
      <w:r>
        <w:rPr>
          <w:lang w:val="es-MX"/>
        </w:rPr>
        <w:t xml:space="preserve">las cuales </w:t>
      </w:r>
      <w:r w:rsidRPr="000E2CB3">
        <w:rPr>
          <w:lang w:val="es-MX"/>
        </w:rPr>
        <w:t>siguen previendo un desempeño favorable, aun</w:t>
      </w:r>
      <w:r>
        <w:rPr>
          <w:lang w:val="es-MX"/>
        </w:rPr>
        <w:t xml:space="preserve"> cuando </w:t>
      </w:r>
      <w:r w:rsidRPr="000E2CB3">
        <w:rPr>
          <w:lang w:val="es-MX"/>
        </w:rPr>
        <w:t xml:space="preserve">la incertidumbre y los riesgos a la baja se han acrecentado. Asimismo, tomó en cuenta el precio internacional del petróleo </w:t>
      </w:r>
      <w:r>
        <w:rPr>
          <w:lang w:val="es-MX"/>
        </w:rPr>
        <w:t>con tendencia</w:t>
      </w:r>
      <w:r w:rsidRPr="000E2CB3">
        <w:rPr>
          <w:lang w:val="es-MX"/>
        </w:rPr>
        <w:t xml:space="preserve"> a reducirse, </w:t>
      </w:r>
      <w:r>
        <w:rPr>
          <w:lang w:val="es-MX"/>
        </w:rPr>
        <w:t xml:space="preserve">aunque </w:t>
      </w:r>
      <w:r w:rsidRPr="000E2CB3">
        <w:rPr>
          <w:lang w:val="es-MX"/>
        </w:rPr>
        <w:t xml:space="preserve">las proyecciones anticipan precios medios superiores a los registrados en 2017, tanto para este año como para el próximo. En el ámbito interno, manifestó que varios indicadores de corto plazo de la actividad económica (el Índice Mensual de la Actividad Económica, las importaciones y las remesas familiares, entre otros), son consistentes con el crecimiento económico anual previsto para </w:t>
      </w:r>
      <w:r>
        <w:rPr>
          <w:lang w:val="es-MX"/>
        </w:rPr>
        <w:t xml:space="preserve">2018 </w:t>
      </w:r>
      <w:r w:rsidRPr="000E2CB3">
        <w:rPr>
          <w:lang w:val="es-MX"/>
        </w:rPr>
        <w:t xml:space="preserve">(entre 2.8% </w:t>
      </w:r>
      <w:r w:rsidR="006C09E7">
        <w:rPr>
          <w:lang w:val="es-MX"/>
        </w:rPr>
        <w:t xml:space="preserve"> </w:t>
      </w:r>
      <w:r w:rsidRPr="000E2CB3">
        <w:rPr>
          <w:lang w:val="es-MX"/>
        </w:rPr>
        <w:t xml:space="preserve">y </w:t>
      </w:r>
      <w:r w:rsidR="006C09E7">
        <w:rPr>
          <w:lang w:val="es-MX"/>
        </w:rPr>
        <w:t xml:space="preserve"> </w:t>
      </w:r>
      <w:r w:rsidRPr="000E2CB3">
        <w:rPr>
          <w:lang w:val="es-MX"/>
        </w:rPr>
        <w:t>3.2%).</w:t>
      </w:r>
    </w:p>
    <w:p w:rsidR="00564A01" w:rsidRPr="000E2CB3" w:rsidRDefault="00564A01" w:rsidP="00564A01">
      <w:pPr>
        <w:jc w:val="both"/>
        <w:rPr>
          <w:lang w:val="es-MX"/>
        </w:rPr>
      </w:pPr>
    </w:p>
    <w:p w:rsidR="00564A01" w:rsidRPr="00124AD6" w:rsidRDefault="00564A01" w:rsidP="00564A01">
      <w:pPr>
        <w:jc w:val="center"/>
        <w:rPr>
          <w:b/>
          <w:lang w:val="es-MX"/>
        </w:rPr>
      </w:pPr>
      <w:r w:rsidRPr="00124AD6">
        <w:rPr>
          <w:b/>
          <w:lang w:val="es-MX"/>
        </w:rPr>
        <w:t xml:space="preserve">Gráfica </w:t>
      </w:r>
      <w:r>
        <w:rPr>
          <w:b/>
          <w:lang w:val="es-MX"/>
        </w:rPr>
        <w:t>6</w:t>
      </w:r>
    </w:p>
    <w:p w:rsidR="00564A01" w:rsidRPr="00124AD6" w:rsidRDefault="00564A01" w:rsidP="00564A01">
      <w:pPr>
        <w:jc w:val="center"/>
        <w:rPr>
          <w:b/>
          <w:lang w:val="es-MX"/>
        </w:rPr>
      </w:pPr>
      <w:r w:rsidRPr="00124AD6">
        <w:rPr>
          <w:b/>
          <w:lang w:val="es-MX"/>
        </w:rPr>
        <w:t>Tasa Líder</w:t>
      </w:r>
      <w:r>
        <w:rPr>
          <w:b/>
          <w:lang w:val="es-MX"/>
        </w:rPr>
        <w:t xml:space="preserve"> </w:t>
      </w:r>
      <w:r w:rsidRPr="00124AD6">
        <w:rPr>
          <w:b/>
          <w:lang w:val="es-MX"/>
        </w:rPr>
        <w:t xml:space="preserve">de </w:t>
      </w:r>
      <w:r>
        <w:rPr>
          <w:b/>
          <w:lang w:val="es-MX"/>
        </w:rPr>
        <w:t xml:space="preserve">la </w:t>
      </w:r>
      <w:r w:rsidRPr="00124AD6">
        <w:rPr>
          <w:b/>
          <w:lang w:val="es-MX"/>
        </w:rPr>
        <w:t>Política Monetaria</w:t>
      </w:r>
    </w:p>
    <w:p w:rsidR="00564A01" w:rsidRPr="00124AD6" w:rsidRDefault="00564A01" w:rsidP="00564A01">
      <w:pPr>
        <w:jc w:val="center"/>
        <w:rPr>
          <w:b/>
          <w:lang w:val="es-MX"/>
        </w:rPr>
      </w:pPr>
      <w:r w:rsidRPr="00124AD6">
        <w:rPr>
          <w:b/>
          <w:lang w:val="es-MX"/>
        </w:rPr>
        <w:t>(Período enero 2010 - diciembre 201</w:t>
      </w:r>
      <w:r>
        <w:rPr>
          <w:b/>
          <w:lang w:val="es-MX"/>
        </w:rPr>
        <w:t>8</w:t>
      </w:r>
      <w:r w:rsidRPr="00124AD6">
        <w:rPr>
          <w:b/>
          <w:lang w:val="es-MX"/>
        </w:rPr>
        <w:t>)</w:t>
      </w:r>
    </w:p>
    <w:p w:rsidR="00564A01" w:rsidRPr="00124AD6" w:rsidRDefault="00564A01" w:rsidP="00564A01">
      <w:pPr>
        <w:jc w:val="both"/>
        <w:rPr>
          <w:lang w:val="es-MX"/>
        </w:rPr>
      </w:pPr>
      <w:r>
        <w:rPr>
          <w:noProof/>
          <w:lang w:val="es-GT" w:eastAsia="es-GT"/>
        </w:rPr>
        <w:drawing>
          <wp:inline distT="0" distB="0" distL="0" distR="0" wp14:anchorId="798A5372" wp14:editId="4AB025D6">
            <wp:extent cx="5612130" cy="2706370"/>
            <wp:effectExtent l="0" t="0" r="762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4A01" w:rsidRPr="00442774" w:rsidRDefault="00564A01" w:rsidP="00564A01">
      <w:pPr>
        <w:rPr>
          <w:sz w:val="16"/>
          <w:lang w:val="es-MX"/>
        </w:rPr>
      </w:pPr>
      <w:r w:rsidRPr="00442774">
        <w:rPr>
          <w:sz w:val="16"/>
          <w:lang w:val="es-MX"/>
        </w:rPr>
        <w:t>Fuente: Banco de Guatemala</w:t>
      </w:r>
      <w:r>
        <w:rPr>
          <w:sz w:val="16"/>
          <w:lang w:val="es-MX"/>
        </w:rPr>
        <w:t>.</w:t>
      </w:r>
    </w:p>
    <w:p w:rsidR="00564A01" w:rsidRPr="00FF52E3" w:rsidRDefault="00564A01" w:rsidP="00564A01">
      <w:pPr>
        <w:jc w:val="both"/>
        <w:rPr>
          <w:sz w:val="18"/>
          <w:lang w:val="es-MX"/>
        </w:rPr>
      </w:pPr>
    </w:p>
    <w:p w:rsidR="00564A01" w:rsidRDefault="00564A01" w:rsidP="00564A01">
      <w:pPr>
        <w:jc w:val="both"/>
        <w:rPr>
          <w:lang w:val="es-MX"/>
        </w:rPr>
      </w:pPr>
    </w:p>
    <w:p w:rsidR="00564A01" w:rsidRDefault="00564A01" w:rsidP="00564A01">
      <w:pPr>
        <w:jc w:val="both"/>
      </w:pPr>
      <w:r>
        <w:t>De acuerdo con el Banco de Guatemala, e</w:t>
      </w:r>
      <w:r w:rsidRPr="004F37CB">
        <w:t xml:space="preserve">l tipo de cambio nominal promedio del quetzal frente al dólar, registró a </w:t>
      </w:r>
      <w:r>
        <w:t>diciembre</w:t>
      </w:r>
      <w:r w:rsidRPr="004F37CB">
        <w:t xml:space="preserve"> de 201</w:t>
      </w:r>
      <w:r>
        <w:t>8</w:t>
      </w:r>
      <w:r w:rsidRPr="004F37CB">
        <w:t xml:space="preserve"> </w:t>
      </w:r>
      <w:r w:rsidRPr="00340E15">
        <w:t xml:space="preserve">un comportamiento acorde con el cambio de los fundamentos que lo mantuvo apreciado entre el tercer trimestre de 2014 y la segunda quincena de agosto de 2017; </w:t>
      </w:r>
      <w:r>
        <w:t xml:space="preserve">relacionado con el </w:t>
      </w:r>
      <w:r w:rsidRPr="00340E15">
        <w:t xml:space="preserve">flujo de remesas familiares </w:t>
      </w:r>
      <w:r>
        <w:t xml:space="preserve">y </w:t>
      </w:r>
      <w:r w:rsidRPr="00340E15">
        <w:t xml:space="preserve">el ritmo de crecimiento del valor de las importaciones, a lo que se adicionó una reducción en </w:t>
      </w:r>
      <w:r>
        <w:t xml:space="preserve">el crecimiento </w:t>
      </w:r>
      <w:r w:rsidRPr="00340E15">
        <w:t xml:space="preserve">de las exportaciones, </w:t>
      </w:r>
      <w:r>
        <w:t>lo que</w:t>
      </w:r>
      <w:r w:rsidRPr="00340E15">
        <w:t xml:space="preserve"> ha contribuido a que el tipo de cambio muestre una tendencia a la depreciación</w:t>
      </w:r>
      <w:r>
        <w:t xml:space="preserve"> en aproximadamente 5.0%.</w:t>
      </w:r>
    </w:p>
    <w:p w:rsidR="00564A01" w:rsidRDefault="00564A01" w:rsidP="00564A01">
      <w:pPr>
        <w:jc w:val="both"/>
      </w:pPr>
    </w:p>
    <w:p w:rsidR="00564A01" w:rsidRDefault="00564A01" w:rsidP="00564A01">
      <w:pPr>
        <w:jc w:val="center"/>
        <w:rPr>
          <w:b/>
          <w:lang w:val="es-MX"/>
        </w:rPr>
      </w:pPr>
    </w:p>
    <w:p w:rsidR="00564A01" w:rsidRPr="00124AD6" w:rsidRDefault="00564A01" w:rsidP="00564A01">
      <w:pPr>
        <w:jc w:val="center"/>
        <w:rPr>
          <w:b/>
          <w:lang w:val="es-MX"/>
        </w:rPr>
      </w:pPr>
      <w:r w:rsidRPr="00124AD6">
        <w:rPr>
          <w:b/>
          <w:lang w:val="es-MX"/>
        </w:rPr>
        <w:t xml:space="preserve">Gráfica </w:t>
      </w:r>
      <w:r>
        <w:rPr>
          <w:b/>
          <w:lang w:val="es-MX"/>
        </w:rPr>
        <w:t>7</w:t>
      </w:r>
    </w:p>
    <w:p w:rsidR="00564A01" w:rsidRPr="00124AD6" w:rsidRDefault="00564A01" w:rsidP="00564A01">
      <w:pPr>
        <w:jc w:val="center"/>
        <w:rPr>
          <w:b/>
          <w:lang w:val="es-MX"/>
        </w:rPr>
      </w:pPr>
      <w:r w:rsidRPr="00124AD6">
        <w:rPr>
          <w:b/>
          <w:lang w:val="es-MX"/>
        </w:rPr>
        <w:t>Tipo de Cambio</w:t>
      </w:r>
    </w:p>
    <w:p w:rsidR="00564A01" w:rsidRDefault="00564A01" w:rsidP="00564A01">
      <w:pPr>
        <w:jc w:val="center"/>
        <w:rPr>
          <w:b/>
          <w:lang w:val="es-MX"/>
        </w:rPr>
      </w:pPr>
      <w:r w:rsidRPr="00124AD6">
        <w:rPr>
          <w:b/>
          <w:lang w:val="es-MX"/>
        </w:rPr>
        <w:t>(Quetzales por US</w:t>
      </w:r>
      <w:r>
        <w:rPr>
          <w:b/>
          <w:lang w:val="es-MX"/>
        </w:rPr>
        <w:t>$1</w:t>
      </w:r>
      <w:r w:rsidRPr="00124AD6">
        <w:rPr>
          <w:b/>
          <w:lang w:val="es-MX"/>
        </w:rPr>
        <w:t>)</w:t>
      </w:r>
    </w:p>
    <w:p w:rsidR="00564A01" w:rsidRDefault="00564A01" w:rsidP="00564A01">
      <w:pPr>
        <w:jc w:val="center"/>
        <w:rPr>
          <w:b/>
          <w:lang w:val="es-MX"/>
        </w:rPr>
      </w:pPr>
      <w:r>
        <w:rPr>
          <w:noProof/>
          <w:lang w:val="es-GT" w:eastAsia="es-GT"/>
        </w:rPr>
        <w:drawing>
          <wp:inline distT="0" distB="0" distL="0" distR="0" wp14:anchorId="62A87275" wp14:editId="733BEC09">
            <wp:extent cx="5926347" cy="3122762"/>
            <wp:effectExtent l="0" t="0" r="0" b="1905"/>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4A01" w:rsidRDefault="00564A01" w:rsidP="00564A01">
      <w:pPr>
        <w:jc w:val="center"/>
        <w:rPr>
          <w:b/>
          <w:lang w:val="es-MX"/>
        </w:rPr>
      </w:pPr>
    </w:p>
    <w:p w:rsidR="00564A01" w:rsidRDefault="00564A01" w:rsidP="00564A01">
      <w:pPr>
        <w:rPr>
          <w:sz w:val="16"/>
          <w:lang w:val="es-MX"/>
        </w:rPr>
      </w:pPr>
      <w:r w:rsidRPr="00442774">
        <w:rPr>
          <w:sz w:val="16"/>
          <w:lang w:val="es-MX"/>
        </w:rPr>
        <w:t>Fuente: Banco de Guatemala</w:t>
      </w:r>
      <w:r>
        <w:rPr>
          <w:sz w:val="16"/>
          <w:lang w:val="es-MX"/>
        </w:rPr>
        <w:t>.</w:t>
      </w:r>
    </w:p>
    <w:p w:rsidR="00564A01" w:rsidRDefault="00564A01" w:rsidP="00564A01">
      <w:pPr>
        <w:rPr>
          <w:sz w:val="16"/>
          <w:lang w:val="es-MX"/>
        </w:rPr>
      </w:pPr>
    </w:p>
    <w:p w:rsidR="00564A01" w:rsidRPr="00340E15" w:rsidRDefault="00564A01" w:rsidP="00564A01">
      <w:pPr>
        <w:jc w:val="both"/>
      </w:pPr>
      <w:r>
        <w:t>A</w:t>
      </w:r>
      <w:r w:rsidRPr="00340E15">
        <w:t xml:space="preserve">l 30 de noviembre de 2018, el Banco de Guatemala había comprado US$1,171.5 millones mediante la regla de participación (US$2,485.1 millones en 2017) y US$455.9 millones mediante el mecanismo de acumulación de reservas monetarias internacionales; en tanto que, a esa misma fecha, había efectuado ventas por US$446.0 millones mediante la regla de participación (el mayor monto en los últimos años), las cuales se efectuaron principalmente entre mayo y noviembre, cuando se empezó a registrar, </w:t>
      </w:r>
      <w:r>
        <w:t>l</w:t>
      </w:r>
      <w:r w:rsidRPr="00340E15">
        <w:t>a depreciación mayor del tipo de cambio nominal y</w:t>
      </w:r>
      <w:r>
        <w:t xml:space="preserve"> consecuentemente la</w:t>
      </w:r>
      <w:r w:rsidRPr="00340E15">
        <w:t xml:space="preserve"> mayor volatilidad en el mercado</w:t>
      </w:r>
      <w:r>
        <w:t>.</w:t>
      </w:r>
    </w:p>
    <w:p w:rsidR="00564A01" w:rsidRPr="00340E15" w:rsidRDefault="00564A01" w:rsidP="00564A01">
      <w:pPr>
        <w:jc w:val="both"/>
      </w:pPr>
    </w:p>
    <w:p w:rsidR="00564A01" w:rsidRDefault="00564A01" w:rsidP="00564A01">
      <w:r>
        <w:br w:type="page"/>
      </w:r>
    </w:p>
    <w:p w:rsidR="00564A01" w:rsidRPr="00401118" w:rsidRDefault="00564A01" w:rsidP="00564A01">
      <w:pPr>
        <w:pStyle w:val="Ttulo1"/>
        <w:rPr>
          <w:lang w:val="es-MX"/>
        </w:rPr>
      </w:pPr>
      <w:bookmarkStart w:id="11" w:name="_Toc4742462"/>
      <w:bookmarkStart w:id="12" w:name="_Toc4775335"/>
      <w:r w:rsidRPr="00401118">
        <w:rPr>
          <w:lang w:val="es-MX"/>
        </w:rPr>
        <w:lastRenderedPageBreak/>
        <w:t>Política Fiscal en Guatemala</w:t>
      </w:r>
      <w:bookmarkEnd w:id="11"/>
      <w:bookmarkEnd w:id="12"/>
    </w:p>
    <w:p w:rsidR="00564A01" w:rsidRPr="00124AD6" w:rsidRDefault="00564A01" w:rsidP="00564A01">
      <w:pPr>
        <w:jc w:val="both"/>
      </w:pPr>
    </w:p>
    <w:p w:rsidR="00564A01" w:rsidRDefault="00564A01" w:rsidP="00564A01">
      <w:pPr>
        <w:jc w:val="both"/>
      </w:pPr>
      <w:r>
        <w:t>La política fiscal se constituye en el mecanismo mediante el cual se debe impulsar la actividad económica y la estabilidad macroeconómica y social del país, ya que genera el espacio de recaudación tributaria necesario para hacer frente a las necesidades sociales que inciden en la pobreza y la desigualdad. El  Ministerio de Finanzas Públicas en concordancia con el compromiso de mantener la estabilidad económica a través de una política fiscal responsable y sostenible, ha definido una ruta para la recuperación y transformación de las finanzas públicas del Estado de Guatemala, la cual tiene como finalidad fortalecer la funcionalidad del Estado y generar la confianza ciudadana respecto al uso de los recursos públicos (MINFIN. 2018. “Memoria de Labores 2017”).</w:t>
      </w:r>
    </w:p>
    <w:p w:rsidR="00564A01" w:rsidRDefault="00564A01" w:rsidP="00564A01">
      <w:pPr>
        <w:jc w:val="both"/>
      </w:pPr>
    </w:p>
    <w:p w:rsidR="00564A01" w:rsidRDefault="00564A01" w:rsidP="00564A01">
      <w:pPr>
        <w:autoSpaceDE w:val="0"/>
        <w:autoSpaceDN w:val="0"/>
        <w:adjustRightInd w:val="0"/>
        <w:jc w:val="both"/>
      </w:pPr>
      <w:r>
        <w:t>Con relación al Ejercicio Fiscal 2018, este tuvo como característica particular,  no contar con un presupuesto propio, ya que el proyecto de presupuesto presentado, no fue aprobado por el Congreso de la República.  Por lo que tal como lo establece la Constitución Política de la República de Guatemala, si el Congreso de la República no aprueba el presupuesto a más tardar 30 días antes de entrar en vigencia, comienza</w:t>
      </w:r>
      <w:r w:rsidRPr="00A126F4">
        <w:t xml:space="preserve"> </w:t>
      </w:r>
      <w:r>
        <w:t xml:space="preserve">a regir </w:t>
      </w:r>
      <w:r w:rsidR="00033469">
        <w:t xml:space="preserve">de nuevo </w:t>
      </w:r>
      <w:r>
        <w:t>el p</w:t>
      </w:r>
      <w:r w:rsidRPr="00A126F4">
        <w:t xml:space="preserve">resupuesto </w:t>
      </w:r>
      <w:r>
        <w:t xml:space="preserve">en vigencia del año anterior; en este caso, el Presupuesto </w:t>
      </w:r>
      <w:r w:rsidRPr="00A126F4">
        <w:t>General de Ingresos y Egresos del Estado</w:t>
      </w:r>
      <w:r>
        <w:t xml:space="preserve"> para </w:t>
      </w:r>
      <w:r w:rsidRPr="00A126F4">
        <w:t>el Ejercicio Fiscal 2017.</w:t>
      </w:r>
    </w:p>
    <w:p w:rsidR="00564A01" w:rsidRDefault="00564A01" w:rsidP="00564A01">
      <w:pPr>
        <w:autoSpaceDE w:val="0"/>
        <w:autoSpaceDN w:val="0"/>
        <w:adjustRightInd w:val="0"/>
        <w:jc w:val="both"/>
      </w:pPr>
    </w:p>
    <w:p w:rsidR="00564A01" w:rsidRDefault="00564A01" w:rsidP="00564A01">
      <w:pPr>
        <w:autoSpaceDE w:val="0"/>
        <w:autoSpaceDN w:val="0"/>
        <w:adjustRightInd w:val="0"/>
        <w:jc w:val="both"/>
      </w:pPr>
      <w:r>
        <w:t>En este contexto, hay que tener presente que el escenario macroeconómico que se utilizó de base para la formulación del presupuesto anual 2018, es diferente al escenario que se encuentra de base en el presupuesto vigente, ya que sigue considerando el escenario utilizado para el Presupuesto del Ejercicio Fiscal 2017 y, por lo tanto, no es posible realizar una comparación con el comportamiento actual de las varia</w:t>
      </w:r>
      <w:r w:rsidR="00033469">
        <w:t>bles macroeconómicas.</w:t>
      </w:r>
    </w:p>
    <w:p w:rsidR="00564A01" w:rsidRDefault="00564A01" w:rsidP="00564A01">
      <w:pPr>
        <w:autoSpaceDE w:val="0"/>
        <w:autoSpaceDN w:val="0"/>
        <w:adjustRightInd w:val="0"/>
        <w:jc w:val="both"/>
      </w:pPr>
    </w:p>
    <w:p w:rsidR="00564A01" w:rsidRDefault="00564A01" w:rsidP="00564A01">
      <w:pPr>
        <w:autoSpaceDE w:val="0"/>
        <w:autoSpaceDN w:val="0"/>
        <w:adjustRightInd w:val="0"/>
        <w:jc w:val="both"/>
      </w:pPr>
      <w:r>
        <w:t>No obstante, se presentan los principales resultados obtenidos en la ejecución presupuestaria durante el Ejercicio Fiscal 2018.</w:t>
      </w:r>
    </w:p>
    <w:p w:rsidR="00564A01" w:rsidRDefault="00564A01" w:rsidP="00564A01">
      <w:pPr>
        <w:jc w:val="both"/>
      </w:pPr>
    </w:p>
    <w:p w:rsidR="00564A01" w:rsidRDefault="00564A01" w:rsidP="00564A01">
      <w:pPr>
        <w:jc w:val="both"/>
      </w:pPr>
      <w:r>
        <w:t>El monto inicial del presupuesto 2018 fue de Q</w:t>
      </w:r>
      <w:r w:rsidR="009158B3">
        <w:t>.</w:t>
      </w:r>
      <w:r>
        <w:t xml:space="preserve">76,989.5 millones lo que condujo a organizar y realizar una serie de acciones tendentes a reorientar un presupuesto que no era funcional para los objetivos que se habían planteado, debido a que la programación no estaba acorde con las necesidades institucionales y con el financiamiento necesario para su ejecución. En enero de 2018 se realizaron las acciones necesarias para readecuar el presupuesto a las nuevas necesidades, se </w:t>
      </w:r>
      <w:r w:rsidR="009158B3">
        <w:t>autorizaron</w:t>
      </w:r>
      <w:r>
        <w:t xml:space="preserve"> modificaciones presupuestarias, como lo establece la Ley Orgánica del Presupuesto, para viabilizar la ejecución conforme lo establecido en los planes operativos y de acuerdo a la d</w:t>
      </w:r>
      <w:r w:rsidR="009158B3">
        <w:t>isponibilidad real de recursos.</w:t>
      </w:r>
    </w:p>
    <w:p w:rsidR="00564A01" w:rsidRDefault="00564A01" w:rsidP="00564A01">
      <w:pPr>
        <w:jc w:val="both"/>
      </w:pPr>
    </w:p>
    <w:p w:rsidR="00564A01" w:rsidRDefault="00564A01" w:rsidP="00564A01">
      <w:pPr>
        <w:jc w:val="both"/>
      </w:pPr>
      <w:r>
        <w:t xml:space="preserve">Una de las principales dificultades que conllevó el hecho de que el presupuesto de 2018 no se aprobara, fue el desfinanciamiento de algunos rubros de gasto, debido a que las necesidades financieras eran diferentes y algunos recursos contemplados en el presupuesto como es el caso de los préstamos externos se recibieron en 2017. Esta situación implicó para el gobierno una modificación en la estrategia y gestión de la caja para el financiamiento oportuno del gasto. En ese sentido, desde inicios de 2018, la autoridad fiscal realizó las gestiones necesarias para obtener recursos mediante préstamos de apoyo </w:t>
      </w:r>
      <w:r>
        <w:lastRenderedPageBreak/>
        <w:t>presupuestario con el Banco Mundial para ap</w:t>
      </w:r>
      <w:r w:rsidR="009158B3">
        <w:t>alancar</w:t>
      </w:r>
      <w:r>
        <w:t xml:space="preserve"> el financiamiento del presupuesto y propiciar una sustitución de fuente</w:t>
      </w:r>
      <w:r w:rsidR="009158B3">
        <w:t>s</w:t>
      </w:r>
      <w:r>
        <w:t xml:space="preserve"> de financiamiento para reducir la presión en la colocación de Bonos de</w:t>
      </w:r>
      <w:r w:rsidR="009158B3">
        <w:t>l</w:t>
      </w:r>
      <w:r>
        <w:t xml:space="preserve"> Tesoro. (MINFIN, 2019. </w:t>
      </w:r>
      <w:r w:rsidRPr="00793351">
        <w:t xml:space="preserve">Informe de </w:t>
      </w:r>
      <w:r w:rsidR="009158B3">
        <w:t>D</w:t>
      </w:r>
      <w:r w:rsidRPr="00793351">
        <w:t>esempeño de la Política Fiscal 2018</w:t>
      </w:r>
      <w:r>
        <w:t>).</w:t>
      </w:r>
    </w:p>
    <w:p w:rsidR="00564A01" w:rsidRDefault="00564A01" w:rsidP="00564A01">
      <w:pPr>
        <w:jc w:val="both"/>
      </w:pPr>
    </w:p>
    <w:p w:rsidR="00564A01" w:rsidRDefault="00564A01" w:rsidP="00564A01">
      <w:pPr>
        <w:jc w:val="both"/>
      </w:pPr>
      <w:r>
        <w:t xml:space="preserve">El manejo macrofiscal responsable </w:t>
      </w:r>
      <w:r w:rsidRPr="00124AD6">
        <w:t>permit</w:t>
      </w:r>
      <w:r>
        <w:t>ió</w:t>
      </w:r>
      <w:r w:rsidRPr="00124AD6">
        <w:t xml:space="preserve"> seguir en una senda de consolidación fiscal y preservar la estabilidad macroeconómica y la sostenibili</w:t>
      </w:r>
      <w:r>
        <w:t xml:space="preserve">dad fiscal en el mediano plazo. </w:t>
      </w:r>
      <w:r>
        <w:rPr>
          <w:lang w:val="es-MX"/>
        </w:rPr>
        <w:t xml:space="preserve">Derivado de lo anterior, </w:t>
      </w:r>
      <w:r w:rsidRPr="00124AD6">
        <w:rPr>
          <w:lang w:val="es-MX"/>
        </w:rPr>
        <w:t>e</w:t>
      </w:r>
      <w:r w:rsidRPr="00124AD6">
        <w:t xml:space="preserve">l resultado presupuestario </w:t>
      </w:r>
      <w:r>
        <w:t xml:space="preserve">al 31 de diciembre de 2018, mostró un déficit fiscal de </w:t>
      </w:r>
      <w:r w:rsidRPr="00124AD6">
        <w:t>Q.</w:t>
      </w:r>
      <w:r w:rsidRPr="00401118">
        <w:t>10</w:t>
      </w:r>
      <w:r>
        <w:t>,375.9</w:t>
      </w:r>
      <w:r w:rsidRPr="00401118">
        <w:t xml:space="preserve"> </w:t>
      </w:r>
      <w:r w:rsidRPr="00124AD6">
        <w:t>millones, equivalentes al 1.</w:t>
      </w:r>
      <w:r>
        <w:t>8</w:t>
      </w:r>
      <w:r w:rsidRPr="00124AD6">
        <w:t>% del PIB</w:t>
      </w:r>
      <w:r>
        <w:t xml:space="preserve">, </w:t>
      </w:r>
      <w:r w:rsidRPr="00793351">
        <w:t xml:space="preserve">por </w:t>
      </w:r>
      <w:r>
        <w:t>encima de lo observado en 2017</w:t>
      </w:r>
      <w:r w:rsidR="009158B3">
        <w:t xml:space="preserve"> </w:t>
      </w:r>
      <w:r>
        <w:t>(</w:t>
      </w:r>
      <w:r w:rsidRPr="00793351">
        <w:t>1.3% del PIB), el nivel más alto desde 201</w:t>
      </w:r>
      <w:r>
        <w:t>4</w:t>
      </w:r>
      <w:r w:rsidRPr="00793351">
        <w:t xml:space="preserve"> en</w:t>
      </w:r>
      <w:r>
        <w:t xml:space="preserve"> </w:t>
      </w:r>
      <w:r w:rsidRPr="00793351">
        <w:t xml:space="preserve">donde se obtuvo un déficit de </w:t>
      </w:r>
      <w:r>
        <w:t>1.9</w:t>
      </w:r>
      <w:r w:rsidR="009158B3">
        <w:t>%</w:t>
      </w:r>
      <w:r w:rsidRPr="00793351">
        <w:t xml:space="preserve"> del PIB, </w:t>
      </w:r>
      <w:r w:rsidR="009158B3">
        <w:t>que</w:t>
      </w:r>
      <w:r w:rsidRPr="00793351">
        <w:t xml:space="preserve"> coincide </w:t>
      </w:r>
      <w:r>
        <w:t xml:space="preserve">con </w:t>
      </w:r>
      <w:r w:rsidRPr="00793351">
        <w:t>2018, en que es el</w:t>
      </w:r>
      <w:r>
        <w:t xml:space="preserve"> </w:t>
      </w:r>
      <w:r w:rsidRPr="00793351">
        <w:t>tercer año de la administración. No obstante, e</w:t>
      </w:r>
      <w:r>
        <w:t>l</w:t>
      </w:r>
      <w:r w:rsidRPr="00793351">
        <w:t xml:space="preserve"> resultado </w:t>
      </w:r>
      <w:r>
        <w:t xml:space="preserve">presupuestario </w:t>
      </w:r>
      <w:r w:rsidRPr="00793351">
        <w:t xml:space="preserve">estuvo por debajo de la proyección prevista </w:t>
      </w:r>
      <w:r>
        <w:t>de</w:t>
      </w:r>
      <w:r w:rsidRPr="00793351">
        <w:t xml:space="preserve"> 2.3% del PIB.</w:t>
      </w:r>
      <w:r>
        <w:t xml:space="preserve"> (MINFIN, 2018. Ibíd.)</w:t>
      </w:r>
    </w:p>
    <w:p w:rsidR="00564A01" w:rsidRDefault="00564A01" w:rsidP="00564A01">
      <w:pPr>
        <w:jc w:val="both"/>
      </w:pPr>
    </w:p>
    <w:p w:rsidR="00564A01" w:rsidRPr="00124AD6" w:rsidRDefault="00564A01" w:rsidP="00564A01">
      <w:pPr>
        <w:jc w:val="center"/>
        <w:rPr>
          <w:b/>
        </w:rPr>
      </w:pPr>
      <w:r w:rsidRPr="00124AD6">
        <w:rPr>
          <w:b/>
        </w:rPr>
        <w:t xml:space="preserve">Gráfica </w:t>
      </w:r>
      <w:r>
        <w:rPr>
          <w:b/>
        </w:rPr>
        <w:t>8</w:t>
      </w:r>
    </w:p>
    <w:tbl>
      <w:tblPr>
        <w:tblW w:w="8969" w:type="dxa"/>
        <w:jc w:val="center"/>
        <w:tblCellMar>
          <w:left w:w="70" w:type="dxa"/>
          <w:right w:w="70" w:type="dxa"/>
        </w:tblCellMar>
        <w:tblLook w:val="04A0" w:firstRow="1" w:lastRow="0" w:firstColumn="1" w:lastColumn="0" w:noHBand="0" w:noVBand="1"/>
      </w:tblPr>
      <w:tblGrid>
        <w:gridCol w:w="8969"/>
      </w:tblGrid>
      <w:tr w:rsidR="00564A01" w:rsidRPr="00124AD6" w:rsidTr="001E2EF8">
        <w:trPr>
          <w:trHeight w:val="285"/>
          <w:jc w:val="center"/>
        </w:trPr>
        <w:tc>
          <w:tcPr>
            <w:tcW w:w="8969" w:type="dxa"/>
            <w:tcBorders>
              <w:top w:val="nil"/>
              <w:left w:val="nil"/>
              <w:bottom w:val="nil"/>
              <w:right w:val="nil"/>
            </w:tcBorders>
            <w:shd w:val="clear" w:color="auto" w:fill="auto"/>
            <w:noWrap/>
            <w:hideMark/>
          </w:tcPr>
          <w:p w:rsidR="00564A01" w:rsidRPr="00124AD6" w:rsidRDefault="00564A01" w:rsidP="001E2EF8">
            <w:pPr>
              <w:jc w:val="center"/>
              <w:rPr>
                <w:b/>
              </w:rPr>
            </w:pPr>
            <w:r w:rsidRPr="00124AD6">
              <w:rPr>
                <w:b/>
              </w:rPr>
              <w:t>Resultado Presupuestario</w:t>
            </w:r>
          </w:p>
        </w:tc>
      </w:tr>
      <w:tr w:rsidR="00564A01" w:rsidRPr="00124AD6" w:rsidTr="001E2EF8">
        <w:trPr>
          <w:trHeight w:val="285"/>
          <w:jc w:val="center"/>
        </w:trPr>
        <w:tc>
          <w:tcPr>
            <w:tcW w:w="8969" w:type="dxa"/>
            <w:tcBorders>
              <w:top w:val="nil"/>
              <w:left w:val="nil"/>
              <w:bottom w:val="nil"/>
              <w:right w:val="nil"/>
            </w:tcBorders>
            <w:shd w:val="clear" w:color="auto" w:fill="auto"/>
            <w:noWrap/>
            <w:hideMark/>
          </w:tcPr>
          <w:p w:rsidR="00564A01" w:rsidRPr="00124AD6" w:rsidRDefault="00564A01" w:rsidP="001E2EF8">
            <w:pPr>
              <w:jc w:val="center"/>
              <w:rPr>
                <w:b/>
              </w:rPr>
            </w:pPr>
            <w:r w:rsidRPr="00124AD6">
              <w:rPr>
                <w:b/>
              </w:rPr>
              <w:t>al 31 de diciembre de cada año</w:t>
            </w:r>
          </w:p>
        </w:tc>
      </w:tr>
      <w:tr w:rsidR="00564A01" w:rsidRPr="00124AD6" w:rsidTr="001E2EF8">
        <w:trPr>
          <w:trHeight w:val="330"/>
          <w:jc w:val="center"/>
        </w:trPr>
        <w:tc>
          <w:tcPr>
            <w:tcW w:w="8969" w:type="dxa"/>
            <w:tcBorders>
              <w:top w:val="nil"/>
              <w:left w:val="nil"/>
              <w:bottom w:val="nil"/>
              <w:right w:val="nil"/>
            </w:tcBorders>
            <w:shd w:val="clear" w:color="auto" w:fill="auto"/>
            <w:noWrap/>
            <w:hideMark/>
          </w:tcPr>
          <w:p w:rsidR="00564A01" w:rsidRPr="00124AD6" w:rsidRDefault="00564A01" w:rsidP="00BC624B">
            <w:pPr>
              <w:jc w:val="center"/>
              <w:rPr>
                <w:b/>
              </w:rPr>
            </w:pPr>
            <w:r w:rsidRPr="00124AD6">
              <w:rPr>
                <w:b/>
              </w:rPr>
              <w:t>(Cifras en</w:t>
            </w:r>
            <w:r w:rsidR="00BC624B">
              <w:rPr>
                <w:b/>
              </w:rPr>
              <w:t xml:space="preserve"> Millones de Quetzales y como P</w:t>
            </w:r>
            <w:r w:rsidRPr="00124AD6">
              <w:rPr>
                <w:b/>
              </w:rPr>
              <w:t>orcentaje</w:t>
            </w:r>
            <w:r>
              <w:rPr>
                <w:b/>
              </w:rPr>
              <w:t xml:space="preserve"> del PIB</w:t>
            </w:r>
            <w:r w:rsidRPr="00124AD6">
              <w:rPr>
                <w:b/>
              </w:rPr>
              <w:t>)</w:t>
            </w:r>
          </w:p>
        </w:tc>
      </w:tr>
    </w:tbl>
    <w:p w:rsidR="00564A01" w:rsidRDefault="00564A01" w:rsidP="00564A01">
      <w:pPr>
        <w:jc w:val="center"/>
        <w:rPr>
          <w:noProof/>
          <w:lang w:val="es-GT" w:eastAsia="es-GT"/>
        </w:rPr>
      </w:pPr>
      <w:r>
        <w:rPr>
          <w:noProof/>
          <w:lang w:val="es-GT" w:eastAsia="es-GT"/>
        </w:rPr>
        <w:drawing>
          <wp:inline distT="0" distB="0" distL="0" distR="0" wp14:anchorId="5CDB06EF" wp14:editId="59A5EDCB">
            <wp:extent cx="5310554" cy="3508130"/>
            <wp:effectExtent l="0" t="0" r="4445"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64A01" w:rsidRDefault="00564A01" w:rsidP="00564A01">
      <w:pPr>
        <w:jc w:val="both"/>
        <w:rPr>
          <w:sz w:val="16"/>
        </w:rPr>
      </w:pPr>
      <w:r w:rsidRPr="00442774">
        <w:rPr>
          <w:sz w:val="16"/>
        </w:rPr>
        <w:t xml:space="preserve">* </w:t>
      </w:r>
      <w:r>
        <w:rPr>
          <w:sz w:val="16"/>
        </w:rPr>
        <w:t xml:space="preserve">  Cifras preliminares</w:t>
      </w:r>
    </w:p>
    <w:p w:rsidR="00564A01" w:rsidRPr="00442774" w:rsidRDefault="00564A01" w:rsidP="00564A01">
      <w:pPr>
        <w:jc w:val="both"/>
        <w:rPr>
          <w:sz w:val="16"/>
        </w:rPr>
      </w:pPr>
      <w:r w:rsidRPr="00442774">
        <w:rPr>
          <w:sz w:val="16"/>
        </w:rPr>
        <w:t>Fuente: Ministerio de Finanzas Públicas</w:t>
      </w:r>
      <w:r>
        <w:rPr>
          <w:sz w:val="16"/>
        </w:rPr>
        <w:t>.</w:t>
      </w:r>
    </w:p>
    <w:p w:rsidR="00564A01" w:rsidRDefault="00564A01" w:rsidP="00564A01">
      <w:pPr>
        <w:jc w:val="both"/>
      </w:pPr>
    </w:p>
    <w:p w:rsidR="00564A01" w:rsidRDefault="00564A01" w:rsidP="00564A01">
      <w:pPr>
        <w:jc w:val="both"/>
      </w:pPr>
      <w:r w:rsidRPr="00793351">
        <w:t>El déficit fiscal resultante se financió principalmente con la emisión de Bonos del Tesoro con la</w:t>
      </w:r>
      <w:r>
        <w:t xml:space="preserve"> </w:t>
      </w:r>
      <w:r w:rsidRPr="00793351">
        <w:t>colocación en el mercado doméstico (Q</w:t>
      </w:r>
      <w:r w:rsidR="00BC624B">
        <w:t>.</w:t>
      </w:r>
      <w:r w:rsidRPr="00793351">
        <w:t>9,710.0 millones</w:t>
      </w:r>
      <w:r>
        <w:t xml:space="preserve"> a</w:t>
      </w:r>
      <w:r w:rsidRPr="00793351">
        <w:t xml:space="preserve"> una tasa de interés promedio de 6.5%, plazo promedio de 12 años</w:t>
      </w:r>
      <w:r>
        <w:t xml:space="preserve">), </w:t>
      </w:r>
      <w:r w:rsidRPr="00793351">
        <w:t xml:space="preserve">también se </w:t>
      </w:r>
      <w:r>
        <w:t xml:space="preserve">obtuvo </w:t>
      </w:r>
      <w:r w:rsidRPr="00793351">
        <w:t>financi</w:t>
      </w:r>
      <w:r>
        <w:t>amiento</w:t>
      </w:r>
      <w:r w:rsidRPr="00793351">
        <w:t xml:space="preserve"> con préstamos externos</w:t>
      </w:r>
      <w:r>
        <w:t xml:space="preserve"> (MINFIN, 2018. Ibídem.).</w:t>
      </w:r>
    </w:p>
    <w:p w:rsidR="00564A01" w:rsidRDefault="00564A01" w:rsidP="00564A01">
      <w:pPr>
        <w:pStyle w:val="Ttulo2"/>
        <w:numPr>
          <w:ilvl w:val="0"/>
          <w:numId w:val="6"/>
        </w:numPr>
        <w:spacing w:line="276" w:lineRule="auto"/>
        <w:ind w:left="567" w:hanging="567"/>
        <w:rPr>
          <w:rFonts w:ascii="Times New Roman" w:hAnsi="Times New Roman"/>
          <w:color w:val="auto"/>
          <w:sz w:val="24"/>
          <w:szCs w:val="24"/>
        </w:rPr>
      </w:pPr>
      <w:bookmarkStart w:id="13" w:name="_Toc4742463"/>
      <w:bookmarkStart w:id="14" w:name="_Toc4775336"/>
      <w:r>
        <w:rPr>
          <w:rFonts w:ascii="Times New Roman" w:hAnsi="Times New Roman"/>
          <w:color w:val="auto"/>
          <w:sz w:val="24"/>
          <w:szCs w:val="24"/>
        </w:rPr>
        <w:lastRenderedPageBreak/>
        <w:t>Ingresos Fiscales</w:t>
      </w:r>
      <w:bookmarkEnd w:id="13"/>
      <w:bookmarkEnd w:id="14"/>
    </w:p>
    <w:p w:rsidR="00564A01" w:rsidRDefault="00564A01" w:rsidP="00564A01"/>
    <w:p w:rsidR="00564A01" w:rsidRDefault="00564A01" w:rsidP="00564A01">
      <w:pPr>
        <w:jc w:val="both"/>
      </w:pPr>
      <w:r>
        <w:t>Durante el ejercicio fiscal 2018, los ingresos totales del Gobierno Central alcanzaron un monto de Q</w:t>
      </w:r>
      <w:r w:rsidR="00A75EAF">
        <w:t>.</w:t>
      </w:r>
      <w:r>
        <w:t>75,633.6 millones; destaca la participación  de los ingresos tributarios que representaron el 77.8% de los ingresos percibidos.</w:t>
      </w:r>
    </w:p>
    <w:p w:rsidR="00564A01" w:rsidRDefault="00564A01" w:rsidP="00564A01">
      <w:pPr>
        <w:jc w:val="both"/>
      </w:pPr>
    </w:p>
    <w:p w:rsidR="00564A01" w:rsidRDefault="00564A01" w:rsidP="00564A01">
      <w:pPr>
        <w:jc w:val="both"/>
      </w:pPr>
      <w:r>
        <w:t>Los Ingresos No Tributarios se estiman en Q</w:t>
      </w:r>
      <w:r w:rsidR="00A75EAF">
        <w:t>.</w:t>
      </w:r>
      <w:r>
        <w:t>718.3 millones, destacan adicionalmente, los  ingresos por endeudamiento público mediante la colocación neta de Bonos del Tesoro Q</w:t>
      </w:r>
      <w:r w:rsidR="00A75EAF">
        <w:t>.</w:t>
      </w:r>
      <w:r>
        <w:t>10,543.5 millones;  por contribuciones a la seguridad y previsión social Q</w:t>
      </w:r>
      <w:r w:rsidR="00A75EAF">
        <w:t>.</w:t>
      </w:r>
      <w:r>
        <w:t>1,960.3 millones, de</w:t>
      </w:r>
      <w:r w:rsidR="00A75EAF">
        <w:t xml:space="preserve"> </w:t>
      </w:r>
      <w:r>
        <w:t>Q</w:t>
      </w:r>
      <w:r w:rsidR="00A75EAF">
        <w:t>.</w:t>
      </w:r>
      <w:r>
        <w:t xml:space="preserve">2,580.7 millones </w:t>
      </w:r>
      <w:r w:rsidR="00A75EAF">
        <w:t>por</w:t>
      </w:r>
      <w:r>
        <w:t xml:space="preserve"> endeudamiento público mediante préstamos externos y Q</w:t>
      </w:r>
      <w:r w:rsidR="00A75EAF">
        <w:t>.</w:t>
      </w:r>
      <w:r>
        <w:t xml:space="preserve">1,485.0 millones de la disminución de otros activos financieros. </w:t>
      </w:r>
    </w:p>
    <w:p w:rsidR="00564A01" w:rsidRDefault="00564A01" w:rsidP="00564A01">
      <w:pPr>
        <w:jc w:val="both"/>
      </w:pPr>
    </w:p>
    <w:p w:rsidR="00564A01" w:rsidRPr="00F66D5A" w:rsidRDefault="00564A01" w:rsidP="00564A01">
      <w:pPr>
        <w:tabs>
          <w:tab w:val="left" w:pos="426"/>
        </w:tabs>
        <w:jc w:val="center"/>
        <w:rPr>
          <w:b/>
        </w:rPr>
      </w:pPr>
      <w:r w:rsidRPr="00F66D5A">
        <w:rPr>
          <w:b/>
        </w:rPr>
        <w:t>Cuadro 2</w:t>
      </w:r>
    </w:p>
    <w:p w:rsidR="00564A01" w:rsidRDefault="00564A01" w:rsidP="00564A01">
      <w:pPr>
        <w:tabs>
          <w:tab w:val="left" w:pos="426"/>
        </w:tabs>
        <w:jc w:val="center"/>
        <w:rPr>
          <w:b/>
        </w:rPr>
      </w:pPr>
      <w:r w:rsidRPr="00F66D5A">
        <w:rPr>
          <w:b/>
        </w:rPr>
        <w:t>Ingresos Fiscales</w:t>
      </w:r>
    </w:p>
    <w:p w:rsidR="00564A01" w:rsidRPr="00F66D5A" w:rsidRDefault="00564A01" w:rsidP="00564A01">
      <w:pPr>
        <w:tabs>
          <w:tab w:val="left" w:pos="426"/>
        </w:tabs>
        <w:jc w:val="center"/>
        <w:rPr>
          <w:b/>
        </w:rPr>
      </w:pPr>
      <w:r>
        <w:rPr>
          <w:b/>
        </w:rPr>
        <w:t>Ejercicio Fiscal 2018*</w:t>
      </w:r>
    </w:p>
    <w:p w:rsidR="00564A01" w:rsidRDefault="00A75EAF" w:rsidP="00564A01">
      <w:pPr>
        <w:tabs>
          <w:tab w:val="left" w:pos="426"/>
        </w:tabs>
        <w:jc w:val="center"/>
        <w:rPr>
          <w:b/>
        </w:rPr>
      </w:pPr>
      <w:r>
        <w:rPr>
          <w:b/>
        </w:rPr>
        <w:t>(</w:t>
      </w:r>
      <w:r w:rsidR="00564A01" w:rsidRPr="00F66D5A">
        <w:rPr>
          <w:b/>
        </w:rPr>
        <w:t>Cifras en Millones de Quetzales</w:t>
      </w:r>
      <w:r>
        <w:rPr>
          <w:b/>
        </w:rPr>
        <w:t>)</w:t>
      </w:r>
    </w:p>
    <w:p w:rsidR="00564A01" w:rsidRDefault="00564A01" w:rsidP="00564A01">
      <w:pPr>
        <w:tabs>
          <w:tab w:val="left" w:pos="426"/>
        </w:tabs>
        <w:jc w:val="center"/>
        <w:rPr>
          <w:b/>
        </w:rPr>
      </w:pPr>
    </w:p>
    <w:tbl>
      <w:tblPr>
        <w:tblW w:w="9239" w:type="dxa"/>
        <w:tblInd w:w="55" w:type="dxa"/>
        <w:tblCellMar>
          <w:left w:w="70" w:type="dxa"/>
          <w:right w:w="70" w:type="dxa"/>
        </w:tblCellMar>
        <w:tblLook w:val="04A0" w:firstRow="1" w:lastRow="0" w:firstColumn="1" w:lastColumn="0" w:noHBand="0" w:noVBand="1"/>
      </w:tblPr>
      <w:tblGrid>
        <w:gridCol w:w="4781"/>
        <w:gridCol w:w="1142"/>
        <w:gridCol w:w="1089"/>
        <w:gridCol w:w="1257"/>
        <w:gridCol w:w="970"/>
      </w:tblGrid>
      <w:tr w:rsidR="00564A01" w:rsidRPr="00B24E43" w:rsidTr="001E2EF8">
        <w:trPr>
          <w:trHeight w:val="279"/>
        </w:trPr>
        <w:tc>
          <w:tcPr>
            <w:tcW w:w="4781"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564A01" w:rsidRPr="00080C7D" w:rsidRDefault="00564A01" w:rsidP="001E2EF8">
            <w:pPr>
              <w:jc w:val="center"/>
              <w:rPr>
                <w:b/>
                <w:bCs/>
                <w:color w:val="FFFFFF"/>
                <w:sz w:val="22"/>
                <w:szCs w:val="22"/>
                <w:lang w:val="es-GT" w:eastAsia="es-GT"/>
              </w:rPr>
            </w:pPr>
            <w:r w:rsidRPr="00080C7D">
              <w:rPr>
                <w:b/>
                <w:bCs/>
                <w:color w:val="FFFFFF"/>
                <w:sz w:val="22"/>
                <w:szCs w:val="22"/>
                <w:lang w:val="es-GT" w:eastAsia="es-GT"/>
              </w:rPr>
              <w:t>Clase de Ingresos</w:t>
            </w:r>
          </w:p>
        </w:tc>
        <w:tc>
          <w:tcPr>
            <w:tcW w:w="1142" w:type="dxa"/>
            <w:tcBorders>
              <w:top w:val="single" w:sz="4" w:space="0" w:color="auto"/>
              <w:left w:val="nil"/>
              <w:bottom w:val="single" w:sz="4" w:space="0" w:color="auto"/>
              <w:right w:val="single" w:sz="4" w:space="0" w:color="auto"/>
            </w:tcBorders>
            <w:shd w:val="clear" w:color="000000" w:fill="1F497D"/>
            <w:noWrap/>
            <w:vAlign w:val="bottom"/>
            <w:hideMark/>
          </w:tcPr>
          <w:p w:rsidR="00564A01" w:rsidRPr="00080C7D" w:rsidRDefault="00564A01" w:rsidP="001E2EF8">
            <w:pPr>
              <w:jc w:val="center"/>
              <w:rPr>
                <w:b/>
                <w:bCs/>
                <w:color w:val="FFFFFF"/>
                <w:sz w:val="22"/>
                <w:szCs w:val="22"/>
                <w:lang w:val="es-GT" w:eastAsia="es-GT"/>
              </w:rPr>
            </w:pPr>
            <w:r w:rsidRPr="00080C7D">
              <w:rPr>
                <w:b/>
                <w:bCs/>
                <w:color w:val="FFFFFF"/>
                <w:sz w:val="22"/>
                <w:szCs w:val="22"/>
                <w:lang w:val="es-GT" w:eastAsia="es-GT"/>
              </w:rPr>
              <w:t>Aprobado</w:t>
            </w:r>
          </w:p>
        </w:tc>
        <w:tc>
          <w:tcPr>
            <w:tcW w:w="1089" w:type="dxa"/>
            <w:tcBorders>
              <w:top w:val="single" w:sz="4" w:space="0" w:color="auto"/>
              <w:left w:val="nil"/>
              <w:bottom w:val="single" w:sz="4" w:space="0" w:color="auto"/>
              <w:right w:val="single" w:sz="4" w:space="0" w:color="auto"/>
            </w:tcBorders>
            <w:shd w:val="clear" w:color="000000" w:fill="1F497D"/>
            <w:noWrap/>
            <w:vAlign w:val="bottom"/>
            <w:hideMark/>
          </w:tcPr>
          <w:p w:rsidR="00564A01" w:rsidRPr="00080C7D" w:rsidRDefault="00564A01" w:rsidP="001E2EF8">
            <w:pPr>
              <w:jc w:val="center"/>
              <w:rPr>
                <w:b/>
                <w:bCs/>
                <w:color w:val="FFFFFF"/>
                <w:sz w:val="22"/>
                <w:szCs w:val="22"/>
                <w:lang w:val="es-GT" w:eastAsia="es-GT"/>
              </w:rPr>
            </w:pPr>
            <w:r w:rsidRPr="00080C7D">
              <w:rPr>
                <w:b/>
                <w:bCs/>
                <w:color w:val="FFFFFF"/>
                <w:sz w:val="22"/>
                <w:szCs w:val="22"/>
                <w:lang w:val="es-GT" w:eastAsia="es-GT"/>
              </w:rPr>
              <w:t>Percibido</w:t>
            </w:r>
          </w:p>
        </w:tc>
        <w:tc>
          <w:tcPr>
            <w:tcW w:w="1257" w:type="dxa"/>
            <w:tcBorders>
              <w:top w:val="single" w:sz="4" w:space="0" w:color="auto"/>
              <w:left w:val="nil"/>
              <w:bottom w:val="single" w:sz="4" w:space="0" w:color="auto"/>
              <w:right w:val="single" w:sz="4" w:space="0" w:color="auto"/>
            </w:tcBorders>
            <w:shd w:val="clear" w:color="000000" w:fill="1F497D"/>
            <w:noWrap/>
            <w:vAlign w:val="bottom"/>
            <w:hideMark/>
          </w:tcPr>
          <w:p w:rsidR="00564A01" w:rsidRPr="00080C7D" w:rsidRDefault="00564A01" w:rsidP="001E2EF8">
            <w:pPr>
              <w:jc w:val="center"/>
              <w:rPr>
                <w:b/>
                <w:bCs/>
                <w:color w:val="FFFFFF"/>
                <w:sz w:val="22"/>
                <w:szCs w:val="22"/>
                <w:lang w:val="es-GT" w:eastAsia="es-GT"/>
              </w:rPr>
            </w:pPr>
            <w:r w:rsidRPr="00080C7D">
              <w:rPr>
                <w:b/>
                <w:bCs/>
                <w:color w:val="FFFFFF"/>
                <w:sz w:val="22"/>
                <w:szCs w:val="22"/>
                <w:lang w:val="es-GT" w:eastAsia="es-GT"/>
              </w:rPr>
              <w:t>Diferencias</w:t>
            </w:r>
          </w:p>
        </w:tc>
        <w:tc>
          <w:tcPr>
            <w:tcW w:w="970" w:type="dxa"/>
            <w:tcBorders>
              <w:top w:val="single" w:sz="4" w:space="0" w:color="auto"/>
              <w:left w:val="nil"/>
              <w:bottom w:val="single" w:sz="4" w:space="0" w:color="auto"/>
              <w:right w:val="single" w:sz="4" w:space="0" w:color="auto"/>
            </w:tcBorders>
            <w:shd w:val="clear" w:color="000000" w:fill="1F497D"/>
            <w:noWrap/>
            <w:vAlign w:val="bottom"/>
            <w:hideMark/>
          </w:tcPr>
          <w:p w:rsidR="00564A01" w:rsidRPr="00080C7D" w:rsidRDefault="00564A01" w:rsidP="001E2EF8">
            <w:pPr>
              <w:jc w:val="center"/>
              <w:rPr>
                <w:b/>
                <w:bCs/>
                <w:color w:val="FFFFFF"/>
                <w:sz w:val="22"/>
                <w:szCs w:val="22"/>
                <w:lang w:val="es-GT" w:eastAsia="es-GT"/>
              </w:rPr>
            </w:pPr>
            <w:r w:rsidRPr="00080C7D">
              <w:rPr>
                <w:b/>
                <w:bCs/>
                <w:color w:val="FFFFFF"/>
                <w:sz w:val="22"/>
                <w:szCs w:val="22"/>
                <w:lang w:val="es-GT" w:eastAsia="es-GT"/>
              </w:rPr>
              <w:t>%</w:t>
            </w:r>
          </w:p>
        </w:tc>
      </w:tr>
      <w:tr w:rsidR="00564A01" w:rsidRPr="00B24E43" w:rsidTr="001E2EF8">
        <w:trPr>
          <w:trHeight w:val="279"/>
        </w:trPr>
        <w:tc>
          <w:tcPr>
            <w:tcW w:w="4781" w:type="dxa"/>
            <w:tcBorders>
              <w:top w:val="nil"/>
              <w:left w:val="single" w:sz="4" w:space="0" w:color="auto"/>
              <w:bottom w:val="single" w:sz="4" w:space="0" w:color="auto"/>
              <w:right w:val="single" w:sz="4" w:space="0" w:color="auto"/>
            </w:tcBorders>
            <w:shd w:val="clear" w:color="auto" w:fill="auto"/>
            <w:noWrap/>
            <w:vAlign w:val="bottom"/>
            <w:hideMark/>
          </w:tcPr>
          <w:p w:rsidR="00564A01" w:rsidRPr="00080C7D" w:rsidRDefault="00564A01" w:rsidP="001E2EF8">
            <w:pPr>
              <w:rPr>
                <w:color w:val="000000"/>
                <w:sz w:val="22"/>
                <w:szCs w:val="22"/>
                <w:lang w:val="es-GT" w:eastAsia="es-GT"/>
              </w:rPr>
            </w:pPr>
            <w:r w:rsidRPr="00080C7D">
              <w:rPr>
                <w:color w:val="000000"/>
                <w:sz w:val="22"/>
                <w:szCs w:val="22"/>
                <w:lang w:val="es-GT" w:eastAsia="es-GT"/>
              </w:rPr>
              <w:t>Ingresos Tributarios</w:t>
            </w:r>
          </w:p>
        </w:tc>
        <w:tc>
          <w:tcPr>
            <w:tcW w:w="1142"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57,994.8</w:t>
            </w:r>
          </w:p>
        </w:tc>
        <w:tc>
          <w:tcPr>
            <w:tcW w:w="1089"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58,835.6</w:t>
            </w:r>
          </w:p>
        </w:tc>
        <w:tc>
          <w:tcPr>
            <w:tcW w:w="1257"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840.8</w:t>
            </w:r>
          </w:p>
        </w:tc>
        <w:tc>
          <w:tcPr>
            <w:tcW w:w="970"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77.8%</w:t>
            </w:r>
          </w:p>
        </w:tc>
      </w:tr>
      <w:tr w:rsidR="00564A01" w:rsidRPr="00B24E43" w:rsidTr="001E2EF8">
        <w:trPr>
          <w:trHeight w:val="279"/>
        </w:trPr>
        <w:tc>
          <w:tcPr>
            <w:tcW w:w="4781" w:type="dxa"/>
            <w:tcBorders>
              <w:top w:val="nil"/>
              <w:left w:val="single" w:sz="4" w:space="0" w:color="auto"/>
              <w:bottom w:val="single" w:sz="4" w:space="0" w:color="auto"/>
              <w:right w:val="single" w:sz="4" w:space="0" w:color="auto"/>
            </w:tcBorders>
            <w:shd w:val="clear" w:color="auto" w:fill="auto"/>
            <w:noWrap/>
            <w:vAlign w:val="bottom"/>
            <w:hideMark/>
          </w:tcPr>
          <w:p w:rsidR="00564A01" w:rsidRPr="00080C7D" w:rsidRDefault="00564A01" w:rsidP="001E2EF8">
            <w:pPr>
              <w:rPr>
                <w:color w:val="000000"/>
                <w:sz w:val="22"/>
                <w:szCs w:val="22"/>
                <w:lang w:val="es-GT" w:eastAsia="es-GT"/>
              </w:rPr>
            </w:pPr>
            <w:r w:rsidRPr="00080C7D">
              <w:rPr>
                <w:color w:val="000000"/>
                <w:sz w:val="22"/>
                <w:szCs w:val="22"/>
                <w:lang w:val="es-GT" w:eastAsia="es-GT"/>
              </w:rPr>
              <w:t>Ingresos No Tributarios</w:t>
            </w:r>
          </w:p>
        </w:tc>
        <w:tc>
          <w:tcPr>
            <w:tcW w:w="1142"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603.1</w:t>
            </w:r>
          </w:p>
        </w:tc>
        <w:tc>
          <w:tcPr>
            <w:tcW w:w="1089"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718.3</w:t>
            </w:r>
          </w:p>
        </w:tc>
        <w:tc>
          <w:tcPr>
            <w:tcW w:w="1257"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115.2</w:t>
            </w:r>
          </w:p>
        </w:tc>
        <w:tc>
          <w:tcPr>
            <w:tcW w:w="970"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0.9%</w:t>
            </w:r>
          </w:p>
        </w:tc>
      </w:tr>
      <w:tr w:rsidR="00564A01" w:rsidRPr="00B24E43" w:rsidTr="001E2EF8">
        <w:trPr>
          <w:trHeight w:val="279"/>
        </w:trPr>
        <w:tc>
          <w:tcPr>
            <w:tcW w:w="4781" w:type="dxa"/>
            <w:tcBorders>
              <w:top w:val="nil"/>
              <w:left w:val="single" w:sz="4" w:space="0" w:color="auto"/>
              <w:bottom w:val="single" w:sz="4" w:space="0" w:color="auto"/>
              <w:right w:val="single" w:sz="4" w:space="0" w:color="auto"/>
            </w:tcBorders>
            <w:shd w:val="clear" w:color="auto" w:fill="auto"/>
            <w:noWrap/>
            <w:vAlign w:val="bottom"/>
            <w:hideMark/>
          </w:tcPr>
          <w:p w:rsidR="00564A01" w:rsidRPr="00080C7D" w:rsidRDefault="00564A01" w:rsidP="001E2EF8">
            <w:pPr>
              <w:jc w:val="both"/>
              <w:rPr>
                <w:color w:val="000000"/>
                <w:sz w:val="22"/>
                <w:szCs w:val="22"/>
                <w:lang w:val="es-GT" w:eastAsia="es-GT"/>
              </w:rPr>
            </w:pPr>
            <w:r w:rsidRPr="00080C7D">
              <w:rPr>
                <w:color w:val="000000"/>
                <w:sz w:val="22"/>
                <w:szCs w:val="22"/>
                <w:lang w:val="es-GT" w:eastAsia="es-GT"/>
              </w:rPr>
              <w:t>Contribuciones a la Seguridad y Previsión Social</w:t>
            </w:r>
          </w:p>
        </w:tc>
        <w:tc>
          <w:tcPr>
            <w:tcW w:w="1142"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2,490.6</w:t>
            </w:r>
          </w:p>
        </w:tc>
        <w:tc>
          <w:tcPr>
            <w:tcW w:w="1089"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1,960.3</w:t>
            </w:r>
          </w:p>
        </w:tc>
        <w:tc>
          <w:tcPr>
            <w:tcW w:w="1257"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-530.2</w:t>
            </w:r>
          </w:p>
        </w:tc>
        <w:tc>
          <w:tcPr>
            <w:tcW w:w="970"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2.6%</w:t>
            </w:r>
          </w:p>
        </w:tc>
      </w:tr>
      <w:tr w:rsidR="00564A01" w:rsidRPr="00B24E43" w:rsidTr="001E2EF8">
        <w:trPr>
          <w:trHeight w:val="279"/>
        </w:trPr>
        <w:tc>
          <w:tcPr>
            <w:tcW w:w="4781" w:type="dxa"/>
            <w:tcBorders>
              <w:top w:val="nil"/>
              <w:left w:val="single" w:sz="4" w:space="0" w:color="auto"/>
              <w:bottom w:val="single" w:sz="4" w:space="0" w:color="auto"/>
              <w:right w:val="single" w:sz="4" w:space="0" w:color="auto"/>
            </w:tcBorders>
            <w:shd w:val="clear" w:color="auto" w:fill="auto"/>
            <w:noWrap/>
            <w:vAlign w:val="bottom"/>
            <w:hideMark/>
          </w:tcPr>
          <w:p w:rsidR="00564A01" w:rsidRPr="00080C7D" w:rsidRDefault="00564A01" w:rsidP="001E2EF8">
            <w:pPr>
              <w:jc w:val="both"/>
              <w:rPr>
                <w:color w:val="000000"/>
                <w:sz w:val="22"/>
                <w:szCs w:val="22"/>
                <w:lang w:val="es-GT" w:eastAsia="es-GT"/>
              </w:rPr>
            </w:pPr>
            <w:r w:rsidRPr="00080C7D">
              <w:rPr>
                <w:color w:val="000000"/>
                <w:sz w:val="22"/>
                <w:szCs w:val="22"/>
                <w:lang w:val="es-GT" w:eastAsia="es-GT"/>
              </w:rPr>
              <w:t>Venta de Bienes y Servicios de la Administración Pública</w:t>
            </w:r>
          </w:p>
        </w:tc>
        <w:tc>
          <w:tcPr>
            <w:tcW w:w="1142"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443.3</w:t>
            </w:r>
          </w:p>
        </w:tc>
        <w:tc>
          <w:tcPr>
            <w:tcW w:w="1089"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400.6</w:t>
            </w:r>
          </w:p>
        </w:tc>
        <w:tc>
          <w:tcPr>
            <w:tcW w:w="1257"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-42.7</w:t>
            </w:r>
          </w:p>
        </w:tc>
        <w:tc>
          <w:tcPr>
            <w:tcW w:w="970"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0.5%</w:t>
            </w:r>
          </w:p>
        </w:tc>
      </w:tr>
      <w:tr w:rsidR="00564A01" w:rsidRPr="00B24E43" w:rsidTr="001E2EF8">
        <w:trPr>
          <w:trHeight w:val="279"/>
        </w:trPr>
        <w:tc>
          <w:tcPr>
            <w:tcW w:w="4781" w:type="dxa"/>
            <w:tcBorders>
              <w:top w:val="nil"/>
              <w:left w:val="single" w:sz="4" w:space="0" w:color="auto"/>
              <w:bottom w:val="single" w:sz="4" w:space="0" w:color="auto"/>
              <w:right w:val="single" w:sz="4" w:space="0" w:color="auto"/>
            </w:tcBorders>
            <w:shd w:val="clear" w:color="auto" w:fill="auto"/>
            <w:noWrap/>
            <w:vAlign w:val="bottom"/>
            <w:hideMark/>
          </w:tcPr>
          <w:p w:rsidR="00564A01" w:rsidRPr="00080C7D" w:rsidRDefault="00564A01" w:rsidP="001E2EF8">
            <w:pPr>
              <w:jc w:val="both"/>
              <w:rPr>
                <w:color w:val="000000"/>
                <w:sz w:val="22"/>
                <w:szCs w:val="22"/>
                <w:lang w:val="es-GT" w:eastAsia="es-GT"/>
              </w:rPr>
            </w:pPr>
            <w:r w:rsidRPr="00080C7D">
              <w:rPr>
                <w:color w:val="000000"/>
                <w:sz w:val="22"/>
                <w:szCs w:val="22"/>
                <w:lang w:val="es-GT" w:eastAsia="es-GT"/>
              </w:rPr>
              <w:t>Rentas de la Propiedad</w:t>
            </w:r>
          </w:p>
        </w:tc>
        <w:tc>
          <w:tcPr>
            <w:tcW w:w="1142"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251.8</w:t>
            </w:r>
          </w:p>
        </w:tc>
        <w:tc>
          <w:tcPr>
            <w:tcW w:w="1089"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208.8</w:t>
            </w:r>
          </w:p>
        </w:tc>
        <w:tc>
          <w:tcPr>
            <w:tcW w:w="1257"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-42.9</w:t>
            </w:r>
          </w:p>
        </w:tc>
        <w:tc>
          <w:tcPr>
            <w:tcW w:w="970"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0.3%</w:t>
            </w:r>
          </w:p>
        </w:tc>
      </w:tr>
      <w:tr w:rsidR="00564A01" w:rsidRPr="00B24E43" w:rsidTr="001E2EF8">
        <w:trPr>
          <w:trHeight w:val="279"/>
        </w:trPr>
        <w:tc>
          <w:tcPr>
            <w:tcW w:w="4781" w:type="dxa"/>
            <w:tcBorders>
              <w:top w:val="nil"/>
              <w:left w:val="single" w:sz="4" w:space="0" w:color="auto"/>
              <w:bottom w:val="single" w:sz="4" w:space="0" w:color="auto"/>
              <w:right w:val="single" w:sz="4" w:space="0" w:color="auto"/>
            </w:tcBorders>
            <w:shd w:val="clear" w:color="auto" w:fill="auto"/>
            <w:noWrap/>
            <w:vAlign w:val="bottom"/>
            <w:hideMark/>
          </w:tcPr>
          <w:p w:rsidR="00564A01" w:rsidRPr="00080C7D" w:rsidRDefault="00564A01" w:rsidP="001E2EF8">
            <w:pPr>
              <w:jc w:val="both"/>
              <w:rPr>
                <w:color w:val="000000"/>
                <w:sz w:val="22"/>
                <w:szCs w:val="22"/>
                <w:lang w:val="es-GT" w:eastAsia="es-GT"/>
              </w:rPr>
            </w:pPr>
            <w:r w:rsidRPr="00080C7D">
              <w:rPr>
                <w:color w:val="000000"/>
                <w:sz w:val="22"/>
                <w:szCs w:val="22"/>
                <w:lang w:val="es-GT" w:eastAsia="es-GT"/>
              </w:rPr>
              <w:t>Transferencias Corrientes</w:t>
            </w:r>
          </w:p>
        </w:tc>
        <w:tc>
          <w:tcPr>
            <w:tcW w:w="1142"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591.8</w:t>
            </w:r>
          </w:p>
        </w:tc>
        <w:tc>
          <w:tcPr>
            <w:tcW w:w="1089"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215.5</w:t>
            </w:r>
          </w:p>
        </w:tc>
        <w:tc>
          <w:tcPr>
            <w:tcW w:w="1257"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-376.3</w:t>
            </w:r>
          </w:p>
        </w:tc>
        <w:tc>
          <w:tcPr>
            <w:tcW w:w="970"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0.3%</w:t>
            </w:r>
          </w:p>
        </w:tc>
      </w:tr>
      <w:tr w:rsidR="00564A01" w:rsidRPr="00B24E43" w:rsidTr="001E2EF8">
        <w:trPr>
          <w:trHeight w:val="279"/>
        </w:trPr>
        <w:tc>
          <w:tcPr>
            <w:tcW w:w="4781" w:type="dxa"/>
            <w:tcBorders>
              <w:top w:val="nil"/>
              <w:left w:val="single" w:sz="4" w:space="0" w:color="auto"/>
              <w:bottom w:val="single" w:sz="4" w:space="0" w:color="auto"/>
              <w:right w:val="single" w:sz="4" w:space="0" w:color="auto"/>
            </w:tcBorders>
            <w:shd w:val="clear" w:color="auto" w:fill="auto"/>
            <w:noWrap/>
            <w:vAlign w:val="bottom"/>
            <w:hideMark/>
          </w:tcPr>
          <w:p w:rsidR="00564A01" w:rsidRPr="00080C7D" w:rsidRDefault="00564A01" w:rsidP="001E2EF8">
            <w:pPr>
              <w:jc w:val="both"/>
              <w:rPr>
                <w:color w:val="000000"/>
                <w:sz w:val="22"/>
                <w:szCs w:val="22"/>
                <w:lang w:val="es-GT" w:eastAsia="es-GT"/>
              </w:rPr>
            </w:pPr>
            <w:r w:rsidRPr="00080C7D">
              <w:rPr>
                <w:color w:val="000000"/>
                <w:sz w:val="22"/>
                <w:szCs w:val="22"/>
                <w:lang w:val="es-GT" w:eastAsia="es-GT"/>
              </w:rPr>
              <w:t>Recuperación de Préstamos de Largo Plazo</w:t>
            </w:r>
          </w:p>
        </w:tc>
        <w:tc>
          <w:tcPr>
            <w:tcW w:w="1142"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4.9</w:t>
            </w:r>
          </w:p>
        </w:tc>
        <w:tc>
          <w:tcPr>
            <w:tcW w:w="1089"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2.8</w:t>
            </w:r>
          </w:p>
        </w:tc>
        <w:tc>
          <w:tcPr>
            <w:tcW w:w="1257"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-2.1</w:t>
            </w:r>
          </w:p>
        </w:tc>
        <w:tc>
          <w:tcPr>
            <w:tcW w:w="970"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0.0%</w:t>
            </w:r>
          </w:p>
        </w:tc>
      </w:tr>
      <w:tr w:rsidR="00564A01" w:rsidRPr="00B24E43" w:rsidTr="001E2EF8">
        <w:trPr>
          <w:trHeight w:val="279"/>
        </w:trPr>
        <w:tc>
          <w:tcPr>
            <w:tcW w:w="4781" w:type="dxa"/>
            <w:tcBorders>
              <w:top w:val="nil"/>
              <w:left w:val="single" w:sz="4" w:space="0" w:color="auto"/>
              <w:bottom w:val="single" w:sz="4" w:space="0" w:color="auto"/>
              <w:right w:val="single" w:sz="4" w:space="0" w:color="auto"/>
            </w:tcBorders>
            <w:shd w:val="clear" w:color="auto" w:fill="auto"/>
            <w:noWrap/>
            <w:vAlign w:val="bottom"/>
            <w:hideMark/>
          </w:tcPr>
          <w:p w:rsidR="00564A01" w:rsidRPr="00080C7D" w:rsidRDefault="00564A01" w:rsidP="001E2EF8">
            <w:pPr>
              <w:jc w:val="both"/>
              <w:rPr>
                <w:color w:val="000000"/>
                <w:sz w:val="22"/>
                <w:szCs w:val="22"/>
                <w:lang w:val="es-GT" w:eastAsia="es-GT"/>
              </w:rPr>
            </w:pPr>
            <w:r w:rsidRPr="00080C7D">
              <w:rPr>
                <w:color w:val="000000"/>
                <w:sz w:val="22"/>
                <w:szCs w:val="22"/>
                <w:lang w:val="es-GT" w:eastAsia="es-GT"/>
              </w:rPr>
              <w:t>Disminución de Otros Activos Financieros</w:t>
            </w:r>
          </w:p>
        </w:tc>
        <w:tc>
          <w:tcPr>
            <w:tcW w:w="1142"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1,485.0</w:t>
            </w:r>
          </w:p>
        </w:tc>
        <w:tc>
          <w:tcPr>
            <w:tcW w:w="1089"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0.0</w:t>
            </w:r>
          </w:p>
        </w:tc>
        <w:tc>
          <w:tcPr>
            <w:tcW w:w="1257"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-1,485.0</w:t>
            </w:r>
          </w:p>
        </w:tc>
        <w:tc>
          <w:tcPr>
            <w:tcW w:w="970"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0.0%</w:t>
            </w:r>
          </w:p>
        </w:tc>
      </w:tr>
      <w:tr w:rsidR="00564A01" w:rsidRPr="00B24E43" w:rsidTr="001E2EF8">
        <w:trPr>
          <w:trHeight w:val="279"/>
        </w:trPr>
        <w:tc>
          <w:tcPr>
            <w:tcW w:w="4781" w:type="dxa"/>
            <w:tcBorders>
              <w:top w:val="nil"/>
              <w:left w:val="single" w:sz="4" w:space="0" w:color="auto"/>
              <w:bottom w:val="single" w:sz="4" w:space="0" w:color="auto"/>
              <w:right w:val="single" w:sz="4" w:space="0" w:color="auto"/>
            </w:tcBorders>
            <w:shd w:val="clear" w:color="auto" w:fill="auto"/>
            <w:noWrap/>
            <w:vAlign w:val="bottom"/>
            <w:hideMark/>
          </w:tcPr>
          <w:p w:rsidR="00564A01" w:rsidRPr="00080C7D" w:rsidRDefault="00564A01" w:rsidP="001E2EF8">
            <w:pPr>
              <w:jc w:val="both"/>
              <w:rPr>
                <w:color w:val="000000"/>
                <w:sz w:val="22"/>
                <w:szCs w:val="22"/>
                <w:lang w:val="es-GT" w:eastAsia="es-GT"/>
              </w:rPr>
            </w:pPr>
            <w:r w:rsidRPr="00080C7D">
              <w:rPr>
                <w:color w:val="000000"/>
                <w:sz w:val="22"/>
                <w:szCs w:val="22"/>
                <w:lang w:val="es-GT" w:eastAsia="es-GT"/>
              </w:rPr>
              <w:t>Endeudamiento Público Interno</w:t>
            </w:r>
          </w:p>
        </w:tc>
        <w:tc>
          <w:tcPr>
            <w:tcW w:w="1142"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10,543.5</w:t>
            </w:r>
          </w:p>
        </w:tc>
        <w:tc>
          <w:tcPr>
            <w:tcW w:w="1089"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10,321.8</w:t>
            </w:r>
          </w:p>
        </w:tc>
        <w:tc>
          <w:tcPr>
            <w:tcW w:w="1257"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-221.7</w:t>
            </w:r>
          </w:p>
        </w:tc>
        <w:tc>
          <w:tcPr>
            <w:tcW w:w="970"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13.6%</w:t>
            </w:r>
          </w:p>
        </w:tc>
      </w:tr>
      <w:tr w:rsidR="00564A01" w:rsidRPr="00B24E43" w:rsidTr="001E2EF8">
        <w:trPr>
          <w:trHeight w:val="279"/>
        </w:trPr>
        <w:tc>
          <w:tcPr>
            <w:tcW w:w="4781" w:type="dxa"/>
            <w:tcBorders>
              <w:top w:val="nil"/>
              <w:left w:val="single" w:sz="4" w:space="0" w:color="auto"/>
              <w:bottom w:val="single" w:sz="4" w:space="0" w:color="auto"/>
              <w:right w:val="single" w:sz="4" w:space="0" w:color="auto"/>
            </w:tcBorders>
            <w:shd w:val="clear" w:color="auto" w:fill="auto"/>
            <w:noWrap/>
            <w:vAlign w:val="bottom"/>
            <w:hideMark/>
          </w:tcPr>
          <w:p w:rsidR="00564A01" w:rsidRPr="00080C7D" w:rsidRDefault="00564A01" w:rsidP="001E2EF8">
            <w:pPr>
              <w:jc w:val="both"/>
              <w:rPr>
                <w:color w:val="000000"/>
                <w:sz w:val="22"/>
                <w:szCs w:val="22"/>
                <w:lang w:val="es-GT" w:eastAsia="es-GT"/>
              </w:rPr>
            </w:pPr>
            <w:r w:rsidRPr="00080C7D">
              <w:rPr>
                <w:color w:val="000000"/>
                <w:sz w:val="22"/>
                <w:szCs w:val="22"/>
                <w:lang w:val="es-GT" w:eastAsia="es-GT"/>
              </w:rPr>
              <w:t>Endeudamiento Público Externo</w:t>
            </w:r>
          </w:p>
        </w:tc>
        <w:tc>
          <w:tcPr>
            <w:tcW w:w="1142"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2,580.7</w:t>
            </w:r>
          </w:p>
        </w:tc>
        <w:tc>
          <w:tcPr>
            <w:tcW w:w="1089"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2,969.9</w:t>
            </w:r>
          </w:p>
        </w:tc>
        <w:tc>
          <w:tcPr>
            <w:tcW w:w="1257"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389.1</w:t>
            </w:r>
          </w:p>
        </w:tc>
        <w:tc>
          <w:tcPr>
            <w:tcW w:w="970"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color w:val="000000"/>
                <w:sz w:val="22"/>
                <w:szCs w:val="22"/>
                <w:lang w:val="es-GT" w:eastAsia="es-GT"/>
              </w:rPr>
            </w:pPr>
            <w:r w:rsidRPr="00080C7D">
              <w:rPr>
                <w:color w:val="000000"/>
                <w:sz w:val="22"/>
                <w:szCs w:val="22"/>
                <w:lang w:val="es-GT" w:eastAsia="es-GT"/>
              </w:rPr>
              <w:t>3.9%</w:t>
            </w:r>
          </w:p>
        </w:tc>
      </w:tr>
      <w:tr w:rsidR="00564A01" w:rsidRPr="00A75EAF" w:rsidTr="001E2EF8">
        <w:trPr>
          <w:trHeight w:val="279"/>
        </w:trPr>
        <w:tc>
          <w:tcPr>
            <w:tcW w:w="4781" w:type="dxa"/>
            <w:tcBorders>
              <w:top w:val="nil"/>
              <w:left w:val="single" w:sz="4" w:space="0" w:color="auto"/>
              <w:bottom w:val="single" w:sz="4" w:space="0" w:color="auto"/>
              <w:right w:val="single" w:sz="4" w:space="0" w:color="auto"/>
            </w:tcBorders>
            <w:shd w:val="clear" w:color="auto" w:fill="auto"/>
            <w:noWrap/>
            <w:vAlign w:val="bottom"/>
            <w:hideMark/>
          </w:tcPr>
          <w:p w:rsidR="00564A01" w:rsidRPr="00080C7D" w:rsidRDefault="00564A01" w:rsidP="001E2EF8">
            <w:pPr>
              <w:jc w:val="center"/>
              <w:rPr>
                <w:b/>
                <w:color w:val="000000"/>
                <w:sz w:val="22"/>
                <w:szCs w:val="22"/>
                <w:lang w:val="es-GT" w:eastAsia="es-GT"/>
              </w:rPr>
            </w:pPr>
            <w:r w:rsidRPr="00080C7D">
              <w:rPr>
                <w:b/>
                <w:color w:val="000000"/>
                <w:sz w:val="22"/>
                <w:szCs w:val="22"/>
                <w:lang w:val="es-GT" w:eastAsia="es-GT"/>
              </w:rPr>
              <w:t>Total</w:t>
            </w:r>
          </w:p>
        </w:tc>
        <w:tc>
          <w:tcPr>
            <w:tcW w:w="1142"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b/>
                <w:color w:val="000000"/>
                <w:sz w:val="22"/>
                <w:szCs w:val="22"/>
                <w:lang w:val="es-GT" w:eastAsia="es-GT"/>
              </w:rPr>
            </w:pPr>
            <w:r w:rsidRPr="00080C7D">
              <w:rPr>
                <w:b/>
                <w:color w:val="000000"/>
                <w:sz w:val="22"/>
                <w:szCs w:val="22"/>
                <w:lang w:val="es-GT" w:eastAsia="es-GT"/>
              </w:rPr>
              <w:t>76,989.5</w:t>
            </w:r>
          </w:p>
        </w:tc>
        <w:tc>
          <w:tcPr>
            <w:tcW w:w="1089"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b/>
                <w:color w:val="000000"/>
                <w:sz w:val="22"/>
                <w:szCs w:val="22"/>
                <w:lang w:val="es-GT" w:eastAsia="es-GT"/>
              </w:rPr>
            </w:pPr>
            <w:r w:rsidRPr="00080C7D">
              <w:rPr>
                <w:b/>
                <w:color w:val="000000"/>
                <w:sz w:val="22"/>
                <w:szCs w:val="22"/>
                <w:lang w:val="es-GT" w:eastAsia="es-GT"/>
              </w:rPr>
              <w:t>75,633.6</w:t>
            </w:r>
          </w:p>
        </w:tc>
        <w:tc>
          <w:tcPr>
            <w:tcW w:w="1257"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1E2EF8">
            <w:pPr>
              <w:jc w:val="right"/>
              <w:rPr>
                <w:b/>
                <w:color w:val="000000"/>
                <w:sz w:val="22"/>
                <w:szCs w:val="22"/>
                <w:lang w:val="es-GT" w:eastAsia="es-GT"/>
              </w:rPr>
            </w:pPr>
            <w:r w:rsidRPr="00080C7D">
              <w:rPr>
                <w:b/>
                <w:color w:val="000000"/>
                <w:sz w:val="22"/>
                <w:szCs w:val="22"/>
                <w:lang w:val="es-GT" w:eastAsia="es-GT"/>
              </w:rPr>
              <w:t>-1,355.8</w:t>
            </w:r>
          </w:p>
        </w:tc>
        <w:tc>
          <w:tcPr>
            <w:tcW w:w="970" w:type="dxa"/>
            <w:tcBorders>
              <w:top w:val="nil"/>
              <w:left w:val="nil"/>
              <w:bottom w:val="single" w:sz="4" w:space="0" w:color="auto"/>
              <w:right w:val="single" w:sz="4" w:space="0" w:color="auto"/>
            </w:tcBorders>
            <w:shd w:val="clear" w:color="auto" w:fill="auto"/>
            <w:noWrap/>
            <w:vAlign w:val="bottom"/>
            <w:hideMark/>
          </w:tcPr>
          <w:p w:rsidR="00564A01" w:rsidRPr="00080C7D" w:rsidRDefault="00564A01" w:rsidP="00080C7D">
            <w:pPr>
              <w:jc w:val="right"/>
              <w:rPr>
                <w:b/>
                <w:color w:val="000000"/>
                <w:sz w:val="22"/>
                <w:szCs w:val="22"/>
                <w:lang w:val="es-GT" w:eastAsia="es-GT"/>
              </w:rPr>
            </w:pPr>
            <w:r w:rsidRPr="00080C7D">
              <w:rPr>
                <w:b/>
                <w:color w:val="000000"/>
                <w:sz w:val="22"/>
                <w:szCs w:val="22"/>
                <w:lang w:val="es-GT" w:eastAsia="es-GT"/>
              </w:rPr>
              <w:t>100.0%</w:t>
            </w:r>
          </w:p>
        </w:tc>
      </w:tr>
    </w:tbl>
    <w:p w:rsidR="00564A01" w:rsidRPr="00A75EAF" w:rsidRDefault="00564A01" w:rsidP="00564A01">
      <w:pPr>
        <w:tabs>
          <w:tab w:val="left" w:pos="426"/>
        </w:tabs>
        <w:rPr>
          <w:b/>
          <w:sz w:val="16"/>
        </w:rPr>
      </w:pPr>
      <w:r w:rsidRPr="00A75EAF">
        <w:rPr>
          <w:b/>
          <w:sz w:val="16"/>
        </w:rPr>
        <w:t>* Cifras preliminares</w:t>
      </w:r>
    </w:p>
    <w:p w:rsidR="00564A01" w:rsidRPr="005A17B0" w:rsidRDefault="00564A01" w:rsidP="00564A01">
      <w:pPr>
        <w:rPr>
          <w:sz w:val="16"/>
          <w:lang w:val="es-GT"/>
        </w:rPr>
      </w:pPr>
      <w:r w:rsidRPr="005A17B0">
        <w:rPr>
          <w:sz w:val="16"/>
        </w:rPr>
        <w:t>Fuente: Ministerio de Finanzas Públicas</w:t>
      </w:r>
      <w:r>
        <w:rPr>
          <w:sz w:val="16"/>
        </w:rPr>
        <w:t>.</w:t>
      </w:r>
    </w:p>
    <w:p w:rsidR="00564A01" w:rsidRDefault="00564A01" w:rsidP="00564A01">
      <w:pPr>
        <w:jc w:val="both"/>
        <w:rPr>
          <w:rFonts w:eastAsia="Calibri"/>
          <w:lang w:val="es-GT" w:eastAsia="es-GT"/>
        </w:rPr>
      </w:pPr>
    </w:p>
    <w:p w:rsidR="00564A01" w:rsidRDefault="00564A01" w:rsidP="00564A01">
      <w:pPr>
        <w:jc w:val="both"/>
        <w:rPr>
          <w:rFonts w:eastAsia="Calibri"/>
          <w:lang w:val="es-GT" w:eastAsia="es-GT"/>
        </w:rPr>
      </w:pPr>
    </w:p>
    <w:p w:rsidR="00564A01" w:rsidRDefault="00564A01" w:rsidP="00564A01">
      <w:pPr>
        <w:jc w:val="both"/>
        <w:rPr>
          <w:rFonts w:eastAsia="Calibri"/>
          <w:lang w:val="es-GT" w:eastAsia="es-GT"/>
        </w:rPr>
      </w:pPr>
    </w:p>
    <w:p w:rsidR="00564A01" w:rsidRDefault="00564A01" w:rsidP="00564A01">
      <w:pPr>
        <w:jc w:val="both"/>
        <w:rPr>
          <w:rFonts w:eastAsia="Calibri"/>
          <w:lang w:val="es-GT" w:eastAsia="es-GT"/>
        </w:rPr>
      </w:pPr>
    </w:p>
    <w:p w:rsidR="00564A01" w:rsidRDefault="00564A01" w:rsidP="00564A01">
      <w:pPr>
        <w:jc w:val="both"/>
        <w:rPr>
          <w:rFonts w:eastAsia="Calibri"/>
          <w:lang w:val="es-GT" w:eastAsia="es-GT"/>
        </w:rPr>
      </w:pPr>
    </w:p>
    <w:p w:rsidR="00564A01" w:rsidRDefault="00564A01" w:rsidP="00564A01">
      <w:pPr>
        <w:jc w:val="both"/>
        <w:rPr>
          <w:rFonts w:eastAsia="Calibri"/>
          <w:lang w:val="es-GT" w:eastAsia="es-GT"/>
        </w:rPr>
      </w:pPr>
    </w:p>
    <w:p w:rsidR="00564A01" w:rsidRDefault="00564A01" w:rsidP="00564A01">
      <w:pPr>
        <w:jc w:val="both"/>
        <w:rPr>
          <w:rFonts w:eastAsia="Calibri"/>
          <w:lang w:val="es-GT" w:eastAsia="es-GT"/>
        </w:rPr>
      </w:pPr>
    </w:p>
    <w:p w:rsidR="00564A01" w:rsidRDefault="00564A01" w:rsidP="00564A01">
      <w:pPr>
        <w:jc w:val="both"/>
        <w:rPr>
          <w:rFonts w:eastAsia="Calibri"/>
          <w:lang w:val="es-GT" w:eastAsia="es-GT"/>
        </w:rPr>
      </w:pPr>
    </w:p>
    <w:p w:rsidR="00564A01" w:rsidRDefault="00564A01" w:rsidP="00564A01">
      <w:pPr>
        <w:jc w:val="both"/>
        <w:rPr>
          <w:rFonts w:eastAsia="Calibri"/>
          <w:lang w:val="es-GT" w:eastAsia="es-GT"/>
        </w:rPr>
      </w:pPr>
    </w:p>
    <w:p w:rsidR="00564A01" w:rsidRDefault="00564A01" w:rsidP="00564A01">
      <w:pPr>
        <w:jc w:val="both"/>
        <w:rPr>
          <w:rFonts w:eastAsia="Calibri"/>
          <w:lang w:val="es-GT" w:eastAsia="es-GT"/>
        </w:rPr>
      </w:pPr>
    </w:p>
    <w:p w:rsidR="00564A01" w:rsidRDefault="00564A01" w:rsidP="00564A01">
      <w:pPr>
        <w:jc w:val="both"/>
        <w:rPr>
          <w:rFonts w:eastAsia="Calibri"/>
          <w:lang w:val="es-GT" w:eastAsia="es-GT"/>
        </w:rPr>
      </w:pPr>
    </w:p>
    <w:p w:rsidR="00564A01" w:rsidRDefault="00564A01" w:rsidP="00564A01">
      <w:pPr>
        <w:jc w:val="both"/>
        <w:rPr>
          <w:rFonts w:eastAsia="Calibri"/>
          <w:lang w:val="es-GT" w:eastAsia="es-GT"/>
        </w:rPr>
      </w:pPr>
    </w:p>
    <w:p w:rsidR="00564A01" w:rsidRDefault="00564A01" w:rsidP="00564A01">
      <w:pPr>
        <w:jc w:val="both"/>
        <w:rPr>
          <w:rFonts w:eastAsia="Calibri"/>
          <w:lang w:val="es-GT" w:eastAsia="es-GT"/>
        </w:rPr>
      </w:pPr>
    </w:p>
    <w:p w:rsidR="00564A01" w:rsidRPr="00485D75" w:rsidRDefault="00564A01" w:rsidP="00564A01">
      <w:pPr>
        <w:jc w:val="both"/>
        <w:rPr>
          <w:b/>
          <w:lang w:val="es-GT"/>
        </w:rPr>
      </w:pPr>
      <w:r>
        <w:rPr>
          <w:rFonts w:eastAsia="Calibri"/>
          <w:lang w:val="es-GT" w:eastAsia="es-GT"/>
        </w:rPr>
        <w:lastRenderedPageBreak/>
        <w:t>Por su parte, los ingresos tributarios se ubicaron en Q</w:t>
      </w:r>
      <w:r w:rsidR="00A75EAF">
        <w:rPr>
          <w:rFonts w:eastAsia="Calibri"/>
          <w:lang w:val="es-GT" w:eastAsia="es-GT"/>
        </w:rPr>
        <w:t>.</w:t>
      </w:r>
      <w:r>
        <w:rPr>
          <w:rFonts w:eastAsia="Calibri"/>
          <w:lang w:val="es-GT" w:eastAsia="es-GT"/>
        </w:rPr>
        <w:t xml:space="preserve">58,835.6 millones, lo que representó  </w:t>
      </w:r>
      <w:r w:rsidRPr="00CB10C4">
        <w:rPr>
          <w:rFonts w:eastAsia="Calibri"/>
          <w:lang w:val="es-GT" w:eastAsia="es-GT"/>
        </w:rPr>
        <w:t xml:space="preserve">un </w:t>
      </w:r>
      <w:r>
        <w:rPr>
          <w:rFonts w:eastAsia="Calibri"/>
          <w:lang w:val="es-GT" w:eastAsia="es-GT"/>
        </w:rPr>
        <w:t xml:space="preserve">incremento en relación </w:t>
      </w:r>
      <w:r w:rsidRPr="00CB10C4">
        <w:rPr>
          <w:rFonts w:eastAsia="Calibri"/>
          <w:lang w:val="es-GT" w:eastAsia="es-GT"/>
        </w:rPr>
        <w:t>al</w:t>
      </w:r>
      <w:r>
        <w:rPr>
          <w:rFonts w:eastAsia="Calibri"/>
          <w:lang w:val="es-GT" w:eastAsia="es-GT"/>
        </w:rPr>
        <w:t xml:space="preserve"> </w:t>
      </w:r>
      <w:r w:rsidRPr="00CB10C4">
        <w:rPr>
          <w:rFonts w:eastAsia="Calibri"/>
          <w:lang w:val="es-GT" w:eastAsia="es-GT"/>
        </w:rPr>
        <w:t>2017</w:t>
      </w:r>
      <w:r>
        <w:rPr>
          <w:rFonts w:eastAsia="Calibri"/>
          <w:lang w:val="es-GT" w:eastAsia="es-GT"/>
        </w:rPr>
        <w:t xml:space="preserve"> </w:t>
      </w:r>
      <w:r w:rsidRPr="00CB10C4">
        <w:rPr>
          <w:rFonts w:eastAsia="Calibri"/>
          <w:lang w:val="es-GT" w:eastAsia="es-GT"/>
        </w:rPr>
        <w:t xml:space="preserve">de </w:t>
      </w:r>
      <w:r>
        <w:rPr>
          <w:rFonts w:eastAsia="Calibri"/>
          <w:lang w:val="es-GT" w:eastAsia="es-GT"/>
        </w:rPr>
        <w:t>Q</w:t>
      </w:r>
      <w:r w:rsidR="00A75EAF">
        <w:rPr>
          <w:rFonts w:eastAsia="Calibri"/>
          <w:lang w:val="es-GT" w:eastAsia="es-GT"/>
        </w:rPr>
        <w:t>.</w:t>
      </w:r>
      <w:r>
        <w:rPr>
          <w:rFonts w:eastAsia="Calibri"/>
          <w:lang w:val="es-GT" w:eastAsia="es-GT"/>
        </w:rPr>
        <w:t>2,151.5</w:t>
      </w:r>
      <w:r w:rsidRPr="00CB10C4">
        <w:rPr>
          <w:rFonts w:eastAsia="Calibri"/>
          <w:lang w:val="es-GT" w:eastAsia="es-GT"/>
        </w:rPr>
        <w:t xml:space="preserve"> millones </w:t>
      </w:r>
      <w:r>
        <w:rPr>
          <w:rFonts w:eastAsia="Calibri"/>
          <w:lang w:val="es-GT" w:eastAsia="es-GT"/>
        </w:rPr>
        <w:t>equivalentes a</w:t>
      </w:r>
      <w:r w:rsidRPr="00CB10C4">
        <w:rPr>
          <w:rFonts w:eastAsia="Calibri"/>
          <w:lang w:val="es-GT" w:eastAsia="es-GT"/>
        </w:rPr>
        <w:t>l 3.8%.</w:t>
      </w:r>
    </w:p>
    <w:p w:rsidR="00564A01" w:rsidRDefault="00564A01" w:rsidP="00564A01">
      <w:pPr>
        <w:jc w:val="center"/>
        <w:rPr>
          <w:b/>
        </w:rPr>
      </w:pPr>
    </w:p>
    <w:p w:rsidR="00564A01" w:rsidRPr="00124AD6" w:rsidRDefault="00564A01" w:rsidP="00564A01">
      <w:pPr>
        <w:jc w:val="center"/>
        <w:rPr>
          <w:b/>
        </w:rPr>
      </w:pPr>
      <w:r w:rsidRPr="00124AD6">
        <w:rPr>
          <w:b/>
        </w:rPr>
        <w:t xml:space="preserve">Gráfica </w:t>
      </w:r>
      <w:r>
        <w:rPr>
          <w:b/>
        </w:rPr>
        <w:t>9</w:t>
      </w:r>
    </w:p>
    <w:p w:rsidR="00564A01" w:rsidRPr="00124AD6" w:rsidRDefault="00564A01" w:rsidP="00564A01">
      <w:pPr>
        <w:jc w:val="center"/>
        <w:rPr>
          <w:b/>
        </w:rPr>
      </w:pPr>
      <w:r w:rsidRPr="00124AD6">
        <w:rPr>
          <w:b/>
        </w:rPr>
        <w:t>Recaudación Tributaria 20</w:t>
      </w:r>
      <w:r>
        <w:rPr>
          <w:b/>
        </w:rPr>
        <w:t>09</w:t>
      </w:r>
      <w:r w:rsidRPr="00124AD6">
        <w:rPr>
          <w:b/>
        </w:rPr>
        <w:t>-201</w:t>
      </w:r>
      <w:r>
        <w:rPr>
          <w:b/>
        </w:rPr>
        <w:t>8*</w:t>
      </w:r>
    </w:p>
    <w:p w:rsidR="00564A01" w:rsidRDefault="00564A01" w:rsidP="00564A01">
      <w:pPr>
        <w:jc w:val="center"/>
        <w:rPr>
          <w:b/>
        </w:rPr>
      </w:pPr>
      <w:r w:rsidRPr="00124AD6">
        <w:rPr>
          <w:b/>
        </w:rPr>
        <w:t>(Cifras en Millones de Quetzales)</w:t>
      </w:r>
    </w:p>
    <w:p w:rsidR="00564A01" w:rsidRDefault="00564A01" w:rsidP="00564A01">
      <w:pPr>
        <w:jc w:val="center"/>
        <w:rPr>
          <w:b/>
        </w:rPr>
      </w:pPr>
    </w:p>
    <w:p w:rsidR="00564A01" w:rsidRPr="00124AD6" w:rsidRDefault="00564A01" w:rsidP="00564A01">
      <w:pPr>
        <w:jc w:val="center"/>
      </w:pPr>
      <w:r>
        <w:rPr>
          <w:noProof/>
          <w:lang w:val="es-GT" w:eastAsia="es-GT"/>
        </w:rPr>
        <w:drawing>
          <wp:inline distT="0" distB="0" distL="0" distR="0" wp14:anchorId="4DA05EF6" wp14:editId="1C67D185">
            <wp:extent cx="5612130" cy="3185160"/>
            <wp:effectExtent l="0" t="0" r="7620"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4A01" w:rsidRPr="00124AD6" w:rsidRDefault="00564A01" w:rsidP="00564A01">
      <w:pPr>
        <w:rPr>
          <w:noProof/>
          <w:lang w:eastAsia="es-GT"/>
        </w:rPr>
      </w:pPr>
    </w:p>
    <w:p w:rsidR="00564A01" w:rsidRPr="00442774" w:rsidRDefault="00564A01" w:rsidP="00564A01">
      <w:pPr>
        <w:jc w:val="both"/>
        <w:rPr>
          <w:sz w:val="16"/>
        </w:rPr>
      </w:pPr>
      <w:r w:rsidRPr="00442774">
        <w:rPr>
          <w:sz w:val="16"/>
        </w:rPr>
        <w:t>* Cifras preliminares</w:t>
      </w:r>
    </w:p>
    <w:p w:rsidR="00564A01" w:rsidRPr="00442774" w:rsidRDefault="00564A01" w:rsidP="00564A01">
      <w:pPr>
        <w:jc w:val="both"/>
        <w:rPr>
          <w:sz w:val="16"/>
        </w:rPr>
      </w:pPr>
      <w:r w:rsidRPr="00442774">
        <w:rPr>
          <w:sz w:val="16"/>
        </w:rPr>
        <w:t>Fuente: Ministerio de Finanzas Públicas</w:t>
      </w:r>
      <w:r>
        <w:rPr>
          <w:sz w:val="16"/>
        </w:rPr>
        <w:t>.</w:t>
      </w:r>
    </w:p>
    <w:p w:rsidR="00564A01" w:rsidRDefault="00564A01" w:rsidP="00564A01">
      <w:pPr>
        <w:autoSpaceDE w:val="0"/>
        <w:autoSpaceDN w:val="0"/>
        <w:adjustRightInd w:val="0"/>
        <w:jc w:val="both"/>
        <w:rPr>
          <w:rFonts w:eastAsia="Calibri"/>
          <w:lang w:val="es-GT" w:eastAsia="es-GT"/>
        </w:rPr>
      </w:pPr>
    </w:p>
    <w:p w:rsidR="00564A01" w:rsidRDefault="00564A01" w:rsidP="00564A01">
      <w:pPr>
        <w:jc w:val="both"/>
        <w:rPr>
          <w:rFonts w:eastAsia="Calibri"/>
          <w:lang w:val="es-GT" w:eastAsia="es-GT"/>
        </w:rPr>
      </w:pPr>
      <w:r w:rsidRPr="00A348F7">
        <w:rPr>
          <w:rFonts w:eastAsia="Calibri"/>
          <w:lang w:val="es-GT" w:eastAsia="es-GT"/>
        </w:rPr>
        <w:t>El crecimiento de los ingresos tributarios en 201</w:t>
      </w:r>
      <w:r>
        <w:rPr>
          <w:rFonts w:eastAsia="Calibri"/>
          <w:lang w:val="es-GT" w:eastAsia="es-GT"/>
        </w:rPr>
        <w:t>8</w:t>
      </w:r>
      <w:r w:rsidRPr="00A348F7">
        <w:rPr>
          <w:rFonts w:eastAsia="Calibri"/>
          <w:lang w:val="es-GT" w:eastAsia="es-GT"/>
        </w:rPr>
        <w:t xml:space="preserve"> estuvo apoyado, principalmente, por la recaudación de los impuestos </w:t>
      </w:r>
      <w:r>
        <w:rPr>
          <w:rFonts w:eastAsia="Calibri"/>
          <w:lang w:val="es-GT" w:eastAsia="es-GT"/>
        </w:rPr>
        <w:t>relacionados con el comercio exterior</w:t>
      </w:r>
      <w:r w:rsidRPr="00A348F7">
        <w:rPr>
          <w:rFonts w:eastAsia="Calibri"/>
          <w:lang w:val="es-GT" w:eastAsia="es-GT"/>
        </w:rPr>
        <w:t xml:space="preserve">, los cuales aumentaron </w:t>
      </w:r>
      <w:r>
        <w:rPr>
          <w:rFonts w:eastAsia="Calibri"/>
          <w:lang w:val="es-GT" w:eastAsia="es-GT"/>
        </w:rPr>
        <w:t>8.8</w:t>
      </w:r>
      <w:r w:rsidRPr="00A348F7">
        <w:rPr>
          <w:rFonts w:eastAsia="Calibri"/>
          <w:lang w:val="es-GT" w:eastAsia="es-GT"/>
        </w:rPr>
        <w:t>% con respecto a 201</w:t>
      </w:r>
      <w:r>
        <w:rPr>
          <w:rFonts w:eastAsia="Calibri"/>
          <w:lang w:val="es-GT" w:eastAsia="es-GT"/>
        </w:rPr>
        <w:t>7</w:t>
      </w:r>
      <w:r w:rsidR="00A75EAF">
        <w:rPr>
          <w:rFonts w:eastAsia="Calibri"/>
          <w:lang w:val="es-GT" w:eastAsia="es-GT"/>
        </w:rPr>
        <w:t>;</w:t>
      </w:r>
      <w:r w:rsidRPr="00A348F7">
        <w:rPr>
          <w:rFonts w:eastAsia="Calibri"/>
          <w:lang w:val="es-GT" w:eastAsia="es-GT"/>
        </w:rPr>
        <w:t xml:space="preserve"> en tanto que los impuestos </w:t>
      </w:r>
      <w:r>
        <w:rPr>
          <w:rFonts w:eastAsia="Calibri"/>
          <w:lang w:val="es-GT" w:eastAsia="es-GT"/>
        </w:rPr>
        <w:t>internos</w:t>
      </w:r>
      <w:r w:rsidRPr="00A348F7">
        <w:rPr>
          <w:rFonts w:eastAsia="Calibri"/>
          <w:lang w:val="es-GT" w:eastAsia="es-GT"/>
        </w:rPr>
        <w:t xml:space="preserve"> aumentaron únicamente </w:t>
      </w:r>
      <w:r>
        <w:rPr>
          <w:rFonts w:eastAsia="Calibri"/>
          <w:lang w:val="es-GT" w:eastAsia="es-GT"/>
        </w:rPr>
        <w:t>1.9</w:t>
      </w:r>
      <w:r w:rsidR="00A75EAF">
        <w:rPr>
          <w:rFonts w:eastAsia="Calibri"/>
          <w:lang w:val="es-GT" w:eastAsia="es-GT"/>
        </w:rPr>
        <w:t>%.</w:t>
      </w:r>
      <w:r>
        <w:rPr>
          <w:rFonts w:eastAsia="Calibri"/>
          <w:lang w:val="es-GT" w:eastAsia="es-GT"/>
        </w:rPr>
        <w:br w:type="page"/>
      </w:r>
    </w:p>
    <w:p w:rsidR="00564A01" w:rsidRDefault="00564A01" w:rsidP="00564A01">
      <w:pPr>
        <w:autoSpaceDE w:val="0"/>
        <w:autoSpaceDN w:val="0"/>
        <w:adjustRightInd w:val="0"/>
        <w:jc w:val="both"/>
        <w:rPr>
          <w:rFonts w:eastAsia="Calibri"/>
          <w:lang w:val="es-GT" w:eastAsia="es-GT"/>
        </w:rPr>
      </w:pPr>
      <w:r>
        <w:rPr>
          <w:rFonts w:eastAsia="Calibri"/>
          <w:lang w:val="es-GT" w:eastAsia="es-GT"/>
        </w:rPr>
        <w:lastRenderedPageBreak/>
        <w:t xml:space="preserve">En la desagregación de los ingresos tributarios, se observa que el incremento es producto del crecimiento del Impuesto al Valor Agregado de las importaciones </w:t>
      </w:r>
      <w:r w:rsidR="00A75EAF">
        <w:rPr>
          <w:rFonts w:eastAsia="Calibri"/>
          <w:lang w:val="es-GT" w:eastAsia="es-GT"/>
        </w:rPr>
        <w:t>(</w:t>
      </w:r>
      <w:r>
        <w:rPr>
          <w:rFonts w:eastAsia="Calibri"/>
          <w:lang w:val="es-GT" w:eastAsia="es-GT"/>
        </w:rPr>
        <w:t>Q</w:t>
      </w:r>
      <w:r w:rsidR="00A75EAF">
        <w:rPr>
          <w:rFonts w:eastAsia="Calibri"/>
          <w:lang w:val="es-GT" w:eastAsia="es-GT"/>
        </w:rPr>
        <w:t>.</w:t>
      </w:r>
      <w:r>
        <w:rPr>
          <w:rFonts w:eastAsia="Calibri"/>
          <w:lang w:val="es-GT" w:eastAsia="es-GT"/>
        </w:rPr>
        <w:t>1,253.1 millones</w:t>
      </w:r>
      <w:r w:rsidR="00A75EAF">
        <w:rPr>
          <w:rFonts w:eastAsia="Calibri"/>
          <w:lang w:val="es-GT" w:eastAsia="es-GT"/>
        </w:rPr>
        <w:t>)</w:t>
      </w:r>
      <w:r>
        <w:rPr>
          <w:rFonts w:eastAsia="Calibri"/>
          <w:lang w:val="es-GT" w:eastAsia="es-GT"/>
        </w:rPr>
        <w:t>, que equivalen a un incremento del 9.5% de la recaudación del 2017</w:t>
      </w:r>
      <w:r w:rsidR="00A75EAF">
        <w:rPr>
          <w:rFonts w:eastAsia="Calibri"/>
          <w:lang w:val="es-GT" w:eastAsia="es-GT"/>
        </w:rPr>
        <w:t>. P</w:t>
      </w:r>
      <w:r>
        <w:rPr>
          <w:rFonts w:eastAsia="Calibri"/>
          <w:lang w:val="es-GT" w:eastAsia="es-GT"/>
        </w:rPr>
        <w:t>or su parte el  IVA doméstico mostró un incremento de Q</w:t>
      </w:r>
      <w:r w:rsidR="00A75EAF">
        <w:rPr>
          <w:rFonts w:eastAsia="Calibri"/>
          <w:lang w:val="es-GT" w:eastAsia="es-GT"/>
        </w:rPr>
        <w:t>.</w:t>
      </w:r>
      <w:r>
        <w:rPr>
          <w:rFonts w:eastAsia="Calibri"/>
          <w:lang w:val="es-GT" w:eastAsia="es-GT"/>
        </w:rPr>
        <w:t xml:space="preserve">292.7 millones que corresponden a un  2.3% </w:t>
      </w:r>
      <w:r w:rsidR="00A75EAF">
        <w:rPr>
          <w:rFonts w:eastAsia="Calibri"/>
          <w:lang w:val="es-GT" w:eastAsia="es-GT"/>
        </w:rPr>
        <w:t xml:space="preserve"> </w:t>
      </w:r>
      <w:r>
        <w:rPr>
          <w:rFonts w:eastAsia="Calibri"/>
          <w:lang w:val="es-GT" w:eastAsia="es-GT"/>
        </w:rPr>
        <w:t>sobre la recaudación observada en 2017. Adicionalmente, el Impuesto de Solidaridad, superó en Q</w:t>
      </w:r>
      <w:r w:rsidR="00A75EAF">
        <w:rPr>
          <w:rFonts w:eastAsia="Calibri"/>
          <w:lang w:val="es-GT" w:eastAsia="es-GT"/>
        </w:rPr>
        <w:t>.</w:t>
      </w:r>
      <w:r>
        <w:rPr>
          <w:rFonts w:eastAsia="Calibri"/>
          <w:lang w:val="es-GT" w:eastAsia="es-GT"/>
        </w:rPr>
        <w:t xml:space="preserve">293.7 millones lo observado en 2017. Otro impuesto con un aporte destacable es el de </w:t>
      </w:r>
      <w:r w:rsidR="00A75EAF">
        <w:rPr>
          <w:rFonts w:eastAsia="Calibri"/>
          <w:lang w:val="es-GT" w:eastAsia="es-GT"/>
        </w:rPr>
        <w:t>R</w:t>
      </w:r>
      <w:r>
        <w:rPr>
          <w:rFonts w:eastAsia="Calibri"/>
          <w:lang w:val="es-GT" w:eastAsia="es-GT"/>
        </w:rPr>
        <w:t xml:space="preserve">egalías e </w:t>
      </w:r>
      <w:r w:rsidR="00A75EAF">
        <w:rPr>
          <w:rFonts w:eastAsia="Calibri"/>
          <w:lang w:val="es-GT" w:eastAsia="es-GT"/>
        </w:rPr>
        <w:t>H</w:t>
      </w:r>
      <w:r>
        <w:rPr>
          <w:rFonts w:eastAsia="Calibri"/>
          <w:lang w:val="es-GT" w:eastAsia="es-GT"/>
        </w:rPr>
        <w:t>idrocarburos compartibles que superó la recaudación de 2017 en 56.1</w:t>
      </w:r>
      <w:r w:rsidR="00A75EAF">
        <w:rPr>
          <w:rFonts w:eastAsia="Calibri"/>
          <w:lang w:val="es-GT" w:eastAsia="es-GT"/>
        </w:rPr>
        <w:t>%</w:t>
      </w:r>
      <w:r>
        <w:rPr>
          <w:rFonts w:eastAsia="Calibri"/>
          <w:lang w:val="es-GT" w:eastAsia="es-GT"/>
        </w:rPr>
        <w:t xml:space="preserve"> ubicándose en Q</w:t>
      </w:r>
      <w:r w:rsidR="00A75EAF">
        <w:rPr>
          <w:rFonts w:eastAsia="Calibri"/>
          <w:lang w:val="es-GT" w:eastAsia="es-GT"/>
        </w:rPr>
        <w:t>.</w:t>
      </w:r>
      <w:r>
        <w:rPr>
          <w:rFonts w:eastAsia="Calibri"/>
          <w:lang w:val="es-GT" w:eastAsia="es-GT"/>
        </w:rPr>
        <w:t xml:space="preserve">116.0 </w:t>
      </w:r>
      <w:r w:rsidRPr="00253E46">
        <w:rPr>
          <w:rFonts w:eastAsia="Calibri"/>
          <w:lang w:val="es-GT" w:eastAsia="es-GT"/>
        </w:rPr>
        <w:t>millones</w:t>
      </w:r>
      <w:r>
        <w:rPr>
          <w:color w:val="000000"/>
          <w:sz w:val="22"/>
          <w:szCs w:val="22"/>
          <w:lang w:val="es-GT" w:eastAsia="es-GT"/>
        </w:rPr>
        <w:t>.</w:t>
      </w:r>
    </w:p>
    <w:p w:rsidR="00564A01" w:rsidRDefault="00564A01" w:rsidP="00564A01">
      <w:pPr>
        <w:rPr>
          <w:b/>
        </w:rPr>
      </w:pPr>
    </w:p>
    <w:p w:rsidR="00564A01" w:rsidRPr="00124AD6" w:rsidRDefault="00564A01" w:rsidP="00564A01">
      <w:pPr>
        <w:jc w:val="center"/>
        <w:rPr>
          <w:b/>
        </w:rPr>
      </w:pPr>
      <w:r w:rsidRPr="00124AD6">
        <w:rPr>
          <w:b/>
        </w:rPr>
        <w:t xml:space="preserve">Cuadro </w:t>
      </w:r>
      <w:r>
        <w:rPr>
          <w:b/>
        </w:rPr>
        <w:t>3</w:t>
      </w:r>
    </w:p>
    <w:p w:rsidR="00564A01" w:rsidRPr="00124AD6" w:rsidRDefault="00564A01" w:rsidP="00564A01">
      <w:pPr>
        <w:tabs>
          <w:tab w:val="left" w:pos="426"/>
        </w:tabs>
        <w:jc w:val="center"/>
        <w:rPr>
          <w:b/>
        </w:rPr>
      </w:pPr>
      <w:r w:rsidRPr="00124AD6">
        <w:rPr>
          <w:b/>
        </w:rPr>
        <w:t>Ingresos Tributarios Netos de la Administración Central</w:t>
      </w:r>
    </w:p>
    <w:p w:rsidR="00564A01" w:rsidRPr="00124AD6" w:rsidRDefault="00564A01" w:rsidP="00564A01">
      <w:pPr>
        <w:tabs>
          <w:tab w:val="left" w:pos="426"/>
        </w:tabs>
        <w:jc w:val="center"/>
        <w:rPr>
          <w:b/>
        </w:rPr>
      </w:pPr>
      <w:r w:rsidRPr="00124AD6">
        <w:rPr>
          <w:b/>
        </w:rPr>
        <w:t>Ejercicios Fiscales 201</w:t>
      </w:r>
      <w:r>
        <w:rPr>
          <w:b/>
        </w:rPr>
        <w:t>7</w:t>
      </w:r>
      <w:r w:rsidRPr="00124AD6">
        <w:rPr>
          <w:b/>
        </w:rPr>
        <w:t xml:space="preserve"> </w:t>
      </w:r>
      <w:r>
        <w:rPr>
          <w:b/>
        </w:rPr>
        <w:t>–</w:t>
      </w:r>
      <w:r w:rsidRPr="00124AD6">
        <w:rPr>
          <w:b/>
        </w:rPr>
        <w:t xml:space="preserve"> 201</w:t>
      </w:r>
      <w:r>
        <w:rPr>
          <w:b/>
        </w:rPr>
        <w:t>8*</w:t>
      </w:r>
    </w:p>
    <w:p w:rsidR="00564A01" w:rsidRPr="00124AD6" w:rsidRDefault="00564A01" w:rsidP="00564A01">
      <w:pPr>
        <w:tabs>
          <w:tab w:val="left" w:pos="426"/>
        </w:tabs>
        <w:jc w:val="center"/>
        <w:rPr>
          <w:b/>
        </w:rPr>
      </w:pPr>
      <w:r w:rsidRPr="00124AD6">
        <w:rPr>
          <w:b/>
        </w:rPr>
        <w:t>(Millones de Quetzales y Porcentajes)</w:t>
      </w:r>
    </w:p>
    <w:p w:rsidR="00564A01" w:rsidRPr="00F377B1" w:rsidRDefault="00564A01" w:rsidP="00564A01">
      <w:pPr>
        <w:tabs>
          <w:tab w:val="left" w:pos="426"/>
        </w:tabs>
        <w:rPr>
          <w:sz w:val="8"/>
        </w:rPr>
      </w:pPr>
    </w:p>
    <w:tbl>
      <w:tblPr>
        <w:tblW w:w="9525" w:type="dxa"/>
        <w:tblInd w:w="55" w:type="dxa"/>
        <w:tblCellMar>
          <w:left w:w="70" w:type="dxa"/>
          <w:right w:w="70" w:type="dxa"/>
        </w:tblCellMar>
        <w:tblLook w:val="04A0" w:firstRow="1" w:lastRow="0" w:firstColumn="1" w:lastColumn="0" w:noHBand="0" w:noVBand="1"/>
      </w:tblPr>
      <w:tblGrid>
        <w:gridCol w:w="5151"/>
        <w:gridCol w:w="1093"/>
        <w:gridCol w:w="1093"/>
        <w:gridCol w:w="1093"/>
        <w:gridCol w:w="1095"/>
      </w:tblGrid>
      <w:tr w:rsidR="00564A01" w:rsidRPr="00A348F7" w:rsidTr="001E2EF8">
        <w:trPr>
          <w:trHeight w:val="331"/>
        </w:trPr>
        <w:tc>
          <w:tcPr>
            <w:tcW w:w="5151" w:type="dxa"/>
            <w:vMerge w:val="restart"/>
            <w:tcBorders>
              <w:top w:val="single" w:sz="8" w:space="0" w:color="auto"/>
              <w:left w:val="nil"/>
              <w:bottom w:val="single" w:sz="8" w:space="0" w:color="000000"/>
              <w:right w:val="single" w:sz="8" w:space="0" w:color="auto"/>
            </w:tcBorders>
            <w:shd w:val="clear" w:color="000000" w:fill="1F497D"/>
            <w:vAlign w:val="center"/>
            <w:hideMark/>
          </w:tcPr>
          <w:p w:rsidR="00564A01" w:rsidRPr="00A348F7" w:rsidRDefault="00564A01" w:rsidP="001E2EF8">
            <w:pPr>
              <w:jc w:val="center"/>
              <w:rPr>
                <w:b/>
                <w:bCs/>
                <w:color w:val="FFFFFF"/>
                <w:sz w:val="22"/>
                <w:szCs w:val="22"/>
                <w:lang w:val="es-GT" w:eastAsia="es-GT"/>
              </w:rPr>
            </w:pPr>
            <w:r w:rsidRPr="00A348F7">
              <w:rPr>
                <w:b/>
                <w:bCs/>
                <w:color w:val="FFFFFF"/>
                <w:sz w:val="22"/>
                <w:szCs w:val="22"/>
                <w:lang w:val="es-GT" w:eastAsia="es-GT"/>
              </w:rPr>
              <w:t>Concepto</w:t>
            </w:r>
          </w:p>
        </w:tc>
        <w:tc>
          <w:tcPr>
            <w:tcW w:w="1093" w:type="dxa"/>
            <w:vMerge w:val="restart"/>
            <w:tcBorders>
              <w:top w:val="single" w:sz="8" w:space="0" w:color="auto"/>
              <w:left w:val="single" w:sz="8" w:space="0" w:color="auto"/>
              <w:bottom w:val="single" w:sz="8" w:space="0" w:color="000000"/>
              <w:right w:val="single" w:sz="8" w:space="0" w:color="auto"/>
            </w:tcBorders>
            <w:shd w:val="clear" w:color="000000" w:fill="1F497D"/>
            <w:vAlign w:val="center"/>
            <w:hideMark/>
          </w:tcPr>
          <w:p w:rsidR="00564A01" w:rsidRPr="00A348F7" w:rsidRDefault="00564A01" w:rsidP="001E2EF8">
            <w:pPr>
              <w:jc w:val="center"/>
              <w:rPr>
                <w:b/>
                <w:bCs/>
                <w:color w:val="FFFFFF"/>
                <w:sz w:val="22"/>
                <w:szCs w:val="22"/>
                <w:lang w:val="es-GT" w:eastAsia="es-GT"/>
              </w:rPr>
            </w:pPr>
            <w:r w:rsidRPr="00A348F7">
              <w:rPr>
                <w:b/>
                <w:bCs/>
                <w:color w:val="FFFFFF"/>
                <w:sz w:val="22"/>
                <w:szCs w:val="22"/>
                <w:lang w:val="es-GT" w:eastAsia="es-GT"/>
              </w:rPr>
              <w:t>2017</w:t>
            </w:r>
          </w:p>
        </w:tc>
        <w:tc>
          <w:tcPr>
            <w:tcW w:w="1093" w:type="dxa"/>
            <w:vMerge w:val="restart"/>
            <w:tcBorders>
              <w:top w:val="single" w:sz="8" w:space="0" w:color="auto"/>
              <w:left w:val="single" w:sz="8" w:space="0" w:color="auto"/>
              <w:bottom w:val="single" w:sz="8" w:space="0" w:color="000000"/>
              <w:right w:val="single" w:sz="8" w:space="0" w:color="auto"/>
            </w:tcBorders>
            <w:shd w:val="clear" w:color="000000" w:fill="1F497D"/>
            <w:vAlign w:val="center"/>
            <w:hideMark/>
          </w:tcPr>
          <w:p w:rsidR="00564A01" w:rsidRPr="00A348F7" w:rsidRDefault="00564A01" w:rsidP="001E2EF8">
            <w:pPr>
              <w:jc w:val="center"/>
              <w:rPr>
                <w:b/>
                <w:bCs/>
                <w:color w:val="FFFFFF"/>
                <w:sz w:val="22"/>
                <w:szCs w:val="22"/>
                <w:lang w:val="es-GT" w:eastAsia="es-GT"/>
              </w:rPr>
            </w:pPr>
            <w:r w:rsidRPr="00A348F7">
              <w:rPr>
                <w:b/>
                <w:bCs/>
                <w:color w:val="FFFFFF"/>
                <w:sz w:val="22"/>
                <w:szCs w:val="22"/>
                <w:lang w:val="es-GT" w:eastAsia="es-GT"/>
              </w:rPr>
              <w:t>2018</w:t>
            </w:r>
          </w:p>
        </w:tc>
        <w:tc>
          <w:tcPr>
            <w:tcW w:w="2188" w:type="dxa"/>
            <w:gridSpan w:val="2"/>
            <w:tcBorders>
              <w:top w:val="single" w:sz="8" w:space="0" w:color="auto"/>
              <w:left w:val="nil"/>
              <w:bottom w:val="single" w:sz="8" w:space="0" w:color="auto"/>
              <w:right w:val="nil"/>
            </w:tcBorders>
            <w:shd w:val="clear" w:color="000000" w:fill="1F497D"/>
            <w:hideMark/>
          </w:tcPr>
          <w:p w:rsidR="00564A01" w:rsidRPr="00A348F7" w:rsidRDefault="00564A01" w:rsidP="001E2EF8">
            <w:pPr>
              <w:jc w:val="center"/>
              <w:rPr>
                <w:b/>
                <w:bCs/>
                <w:color w:val="FFFFFF"/>
                <w:sz w:val="22"/>
                <w:szCs w:val="22"/>
                <w:lang w:val="es-GT" w:eastAsia="es-GT"/>
              </w:rPr>
            </w:pPr>
            <w:r w:rsidRPr="00A348F7">
              <w:rPr>
                <w:b/>
                <w:bCs/>
                <w:color w:val="FFFFFF"/>
                <w:sz w:val="22"/>
                <w:szCs w:val="22"/>
                <w:lang w:val="es-GT" w:eastAsia="es-GT"/>
              </w:rPr>
              <w:t>Diferencia</w:t>
            </w:r>
          </w:p>
        </w:tc>
      </w:tr>
      <w:tr w:rsidR="00564A01" w:rsidRPr="00A348F7" w:rsidTr="001E2EF8">
        <w:trPr>
          <w:trHeight w:val="331"/>
        </w:trPr>
        <w:tc>
          <w:tcPr>
            <w:tcW w:w="5151" w:type="dxa"/>
            <w:vMerge/>
            <w:tcBorders>
              <w:top w:val="single" w:sz="8" w:space="0" w:color="auto"/>
              <w:left w:val="nil"/>
              <w:bottom w:val="single" w:sz="8" w:space="0" w:color="000000"/>
              <w:right w:val="single" w:sz="8" w:space="0" w:color="auto"/>
            </w:tcBorders>
            <w:vAlign w:val="center"/>
            <w:hideMark/>
          </w:tcPr>
          <w:p w:rsidR="00564A01" w:rsidRPr="00A348F7" w:rsidRDefault="00564A01" w:rsidP="001E2EF8">
            <w:pPr>
              <w:rPr>
                <w:b/>
                <w:bCs/>
                <w:color w:val="FFFFFF"/>
                <w:sz w:val="22"/>
                <w:szCs w:val="22"/>
                <w:lang w:val="es-GT" w:eastAsia="es-GT"/>
              </w:rPr>
            </w:pPr>
          </w:p>
        </w:tc>
        <w:tc>
          <w:tcPr>
            <w:tcW w:w="1093" w:type="dxa"/>
            <w:vMerge/>
            <w:tcBorders>
              <w:top w:val="single" w:sz="8" w:space="0" w:color="auto"/>
              <w:left w:val="single" w:sz="8" w:space="0" w:color="auto"/>
              <w:bottom w:val="single" w:sz="8" w:space="0" w:color="000000"/>
              <w:right w:val="single" w:sz="8" w:space="0" w:color="auto"/>
            </w:tcBorders>
            <w:vAlign w:val="center"/>
            <w:hideMark/>
          </w:tcPr>
          <w:p w:rsidR="00564A01" w:rsidRPr="00A348F7" w:rsidRDefault="00564A01" w:rsidP="001E2EF8">
            <w:pPr>
              <w:rPr>
                <w:b/>
                <w:bCs/>
                <w:color w:val="FFFFFF"/>
                <w:sz w:val="22"/>
                <w:szCs w:val="22"/>
                <w:lang w:val="es-GT" w:eastAsia="es-GT"/>
              </w:rPr>
            </w:pPr>
          </w:p>
        </w:tc>
        <w:tc>
          <w:tcPr>
            <w:tcW w:w="1093" w:type="dxa"/>
            <w:vMerge/>
            <w:tcBorders>
              <w:top w:val="single" w:sz="8" w:space="0" w:color="auto"/>
              <w:left w:val="single" w:sz="8" w:space="0" w:color="auto"/>
              <w:bottom w:val="single" w:sz="8" w:space="0" w:color="000000"/>
              <w:right w:val="single" w:sz="8" w:space="0" w:color="auto"/>
            </w:tcBorders>
            <w:vAlign w:val="center"/>
            <w:hideMark/>
          </w:tcPr>
          <w:p w:rsidR="00564A01" w:rsidRPr="00A348F7" w:rsidRDefault="00564A01" w:rsidP="001E2EF8">
            <w:pPr>
              <w:rPr>
                <w:b/>
                <w:bCs/>
                <w:color w:val="FFFFFF"/>
                <w:sz w:val="22"/>
                <w:szCs w:val="22"/>
                <w:lang w:val="es-GT" w:eastAsia="es-GT"/>
              </w:rPr>
            </w:pPr>
          </w:p>
        </w:tc>
        <w:tc>
          <w:tcPr>
            <w:tcW w:w="1093" w:type="dxa"/>
            <w:tcBorders>
              <w:top w:val="nil"/>
              <w:left w:val="nil"/>
              <w:bottom w:val="single" w:sz="8" w:space="0" w:color="auto"/>
              <w:right w:val="single" w:sz="8" w:space="0" w:color="auto"/>
            </w:tcBorders>
            <w:shd w:val="clear" w:color="000000" w:fill="1F497D"/>
            <w:vAlign w:val="center"/>
            <w:hideMark/>
          </w:tcPr>
          <w:p w:rsidR="00564A01" w:rsidRPr="00A348F7" w:rsidRDefault="00564A01" w:rsidP="001E2EF8">
            <w:pPr>
              <w:jc w:val="center"/>
              <w:rPr>
                <w:b/>
                <w:bCs/>
                <w:color w:val="FFFFFF"/>
                <w:sz w:val="22"/>
                <w:szCs w:val="22"/>
                <w:lang w:val="es-GT" w:eastAsia="es-GT"/>
              </w:rPr>
            </w:pPr>
            <w:r w:rsidRPr="00A348F7">
              <w:rPr>
                <w:b/>
                <w:bCs/>
                <w:color w:val="FFFFFF"/>
                <w:sz w:val="22"/>
                <w:szCs w:val="22"/>
                <w:lang w:val="es-GT" w:eastAsia="es-GT"/>
              </w:rPr>
              <w:t>Absoluta</w:t>
            </w:r>
          </w:p>
        </w:tc>
        <w:tc>
          <w:tcPr>
            <w:tcW w:w="1094" w:type="dxa"/>
            <w:tcBorders>
              <w:top w:val="nil"/>
              <w:left w:val="nil"/>
              <w:bottom w:val="single" w:sz="8" w:space="0" w:color="auto"/>
              <w:right w:val="nil"/>
            </w:tcBorders>
            <w:shd w:val="clear" w:color="000000" w:fill="1F497D"/>
            <w:vAlign w:val="center"/>
            <w:hideMark/>
          </w:tcPr>
          <w:p w:rsidR="00564A01" w:rsidRPr="00A348F7" w:rsidRDefault="00564A01" w:rsidP="001E2EF8">
            <w:pPr>
              <w:jc w:val="center"/>
              <w:rPr>
                <w:b/>
                <w:bCs/>
                <w:color w:val="FFFFFF"/>
                <w:sz w:val="22"/>
                <w:szCs w:val="22"/>
                <w:lang w:val="es-GT" w:eastAsia="es-GT"/>
              </w:rPr>
            </w:pPr>
            <w:r w:rsidRPr="00A348F7">
              <w:rPr>
                <w:b/>
                <w:bCs/>
                <w:color w:val="FFFFFF"/>
                <w:sz w:val="22"/>
                <w:szCs w:val="22"/>
                <w:lang w:val="es-GT" w:eastAsia="es-GT"/>
              </w:rPr>
              <w:t>Relativa</w:t>
            </w:r>
          </w:p>
        </w:tc>
      </w:tr>
      <w:tr w:rsidR="00564A01" w:rsidRPr="00A348F7" w:rsidTr="001E2EF8">
        <w:trPr>
          <w:trHeight w:val="677"/>
        </w:trPr>
        <w:tc>
          <w:tcPr>
            <w:tcW w:w="5151" w:type="dxa"/>
            <w:tcBorders>
              <w:top w:val="nil"/>
              <w:left w:val="nil"/>
              <w:bottom w:val="single" w:sz="8" w:space="0" w:color="auto"/>
              <w:right w:val="single" w:sz="8" w:space="0" w:color="auto"/>
            </w:tcBorders>
            <w:shd w:val="clear" w:color="000000" w:fill="1F497D"/>
            <w:vAlign w:val="center"/>
            <w:hideMark/>
          </w:tcPr>
          <w:p w:rsidR="00564A01" w:rsidRPr="00A348F7" w:rsidRDefault="00564A01" w:rsidP="001E2EF8">
            <w:pPr>
              <w:ind w:firstLineChars="100" w:firstLine="221"/>
              <w:rPr>
                <w:b/>
                <w:bCs/>
                <w:color w:val="FFFFFF"/>
                <w:sz w:val="22"/>
                <w:szCs w:val="22"/>
                <w:lang w:val="es-GT" w:eastAsia="es-GT"/>
              </w:rPr>
            </w:pPr>
            <w:r w:rsidRPr="00A348F7">
              <w:rPr>
                <w:b/>
                <w:bCs/>
                <w:color w:val="FFFFFF"/>
                <w:sz w:val="22"/>
                <w:szCs w:val="22"/>
                <w:lang w:val="es-GT" w:eastAsia="es-GT"/>
              </w:rPr>
              <w:t>IMPUESTOS ASOCIADOS AL COMERCIO EXTERIOR</w:t>
            </w:r>
          </w:p>
        </w:tc>
        <w:tc>
          <w:tcPr>
            <w:tcW w:w="1093" w:type="dxa"/>
            <w:tcBorders>
              <w:top w:val="nil"/>
              <w:left w:val="nil"/>
              <w:bottom w:val="single" w:sz="8" w:space="0" w:color="auto"/>
              <w:right w:val="single" w:sz="8" w:space="0" w:color="auto"/>
            </w:tcBorders>
            <w:shd w:val="clear" w:color="000000" w:fill="1F497D"/>
            <w:vAlign w:val="center"/>
            <w:hideMark/>
          </w:tcPr>
          <w:p w:rsidR="00564A01" w:rsidRPr="00A348F7" w:rsidRDefault="00564A01" w:rsidP="001E2EF8">
            <w:pPr>
              <w:jc w:val="right"/>
              <w:rPr>
                <w:b/>
                <w:bCs/>
                <w:color w:val="FFFFFF"/>
                <w:sz w:val="22"/>
                <w:szCs w:val="22"/>
                <w:lang w:val="es-GT" w:eastAsia="es-GT"/>
              </w:rPr>
            </w:pPr>
            <w:r w:rsidRPr="00A348F7">
              <w:rPr>
                <w:b/>
                <w:bCs/>
                <w:color w:val="FFFFFF"/>
                <w:sz w:val="22"/>
                <w:szCs w:val="22"/>
                <w:lang w:val="es-GT" w:eastAsia="es-GT"/>
              </w:rPr>
              <w:t>15,670.8</w:t>
            </w:r>
          </w:p>
        </w:tc>
        <w:tc>
          <w:tcPr>
            <w:tcW w:w="1093" w:type="dxa"/>
            <w:tcBorders>
              <w:top w:val="nil"/>
              <w:left w:val="nil"/>
              <w:bottom w:val="single" w:sz="8" w:space="0" w:color="auto"/>
              <w:right w:val="single" w:sz="8" w:space="0" w:color="auto"/>
            </w:tcBorders>
            <w:shd w:val="clear" w:color="000000" w:fill="1F497D"/>
            <w:vAlign w:val="center"/>
            <w:hideMark/>
          </w:tcPr>
          <w:p w:rsidR="00564A01" w:rsidRPr="00A348F7" w:rsidRDefault="00564A01" w:rsidP="001E2EF8">
            <w:pPr>
              <w:jc w:val="right"/>
              <w:rPr>
                <w:b/>
                <w:bCs/>
                <w:color w:val="FFFFFF"/>
                <w:sz w:val="22"/>
                <w:szCs w:val="22"/>
                <w:lang w:val="es-GT" w:eastAsia="es-GT"/>
              </w:rPr>
            </w:pPr>
            <w:r w:rsidRPr="00A348F7">
              <w:rPr>
                <w:b/>
                <w:bCs/>
                <w:color w:val="FFFFFF"/>
                <w:sz w:val="22"/>
                <w:szCs w:val="22"/>
                <w:lang w:val="es-GT" w:eastAsia="es-GT"/>
              </w:rPr>
              <w:t>17,044.9</w:t>
            </w:r>
          </w:p>
        </w:tc>
        <w:tc>
          <w:tcPr>
            <w:tcW w:w="1093" w:type="dxa"/>
            <w:tcBorders>
              <w:top w:val="nil"/>
              <w:left w:val="nil"/>
              <w:bottom w:val="single" w:sz="8" w:space="0" w:color="auto"/>
              <w:right w:val="single" w:sz="8" w:space="0" w:color="auto"/>
            </w:tcBorders>
            <w:shd w:val="clear" w:color="000000" w:fill="1F497D"/>
            <w:vAlign w:val="center"/>
            <w:hideMark/>
          </w:tcPr>
          <w:p w:rsidR="00564A01" w:rsidRPr="00A348F7" w:rsidRDefault="00564A01" w:rsidP="001E2EF8">
            <w:pPr>
              <w:jc w:val="right"/>
              <w:rPr>
                <w:b/>
                <w:bCs/>
                <w:color w:val="FFFFFF"/>
                <w:sz w:val="22"/>
                <w:szCs w:val="22"/>
                <w:lang w:val="es-GT" w:eastAsia="es-GT"/>
              </w:rPr>
            </w:pPr>
            <w:r w:rsidRPr="00A348F7">
              <w:rPr>
                <w:b/>
                <w:bCs/>
                <w:color w:val="FFFFFF"/>
                <w:sz w:val="22"/>
                <w:szCs w:val="22"/>
                <w:lang w:val="es-GT" w:eastAsia="es-GT"/>
              </w:rPr>
              <w:t>1,374.1</w:t>
            </w:r>
          </w:p>
        </w:tc>
        <w:tc>
          <w:tcPr>
            <w:tcW w:w="1094" w:type="dxa"/>
            <w:tcBorders>
              <w:top w:val="nil"/>
              <w:left w:val="nil"/>
              <w:bottom w:val="single" w:sz="8" w:space="0" w:color="auto"/>
              <w:right w:val="nil"/>
            </w:tcBorders>
            <w:shd w:val="clear" w:color="000000" w:fill="1F497D"/>
            <w:vAlign w:val="center"/>
            <w:hideMark/>
          </w:tcPr>
          <w:p w:rsidR="00564A01" w:rsidRPr="00A348F7" w:rsidRDefault="00564A01" w:rsidP="001E2EF8">
            <w:pPr>
              <w:jc w:val="right"/>
              <w:rPr>
                <w:b/>
                <w:bCs/>
                <w:color w:val="FFFFFF"/>
                <w:sz w:val="22"/>
                <w:szCs w:val="22"/>
                <w:lang w:val="es-GT" w:eastAsia="es-GT"/>
              </w:rPr>
            </w:pPr>
            <w:r w:rsidRPr="00A348F7">
              <w:rPr>
                <w:b/>
                <w:bCs/>
                <w:color w:val="FFFFFF"/>
                <w:sz w:val="22"/>
                <w:szCs w:val="22"/>
                <w:lang w:val="es-GT" w:eastAsia="es-GT"/>
              </w:rPr>
              <w:t>8.8%</w:t>
            </w:r>
          </w:p>
        </w:tc>
      </w:tr>
      <w:tr w:rsidR="00564A01" w:rsidRPr="00A348F7" w:rsidTr="001E2EF8">
        <w:trPr>
          <w:trHeight w:val="331"/>
        </w:trPr>
        <w:tc>
          <w:tcPr>
            <w:tcW w:w="5151" w:type="dxa"/>
            <w:tcBorders>
              <w:top w:val="nil"/>
              <w:left w:val="nil"/>
              <w:bottom w:val="nil"/>
              <w:right w:val="single" w:sz="8" w:space="0" w:color="auto"/>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Impuesto al Valor Agregado de Importaciones</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13,216.0</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14,469.1</w:t>
            </w:r>
          </w:p>
        </w:tc>
        <w:tc>
          <w:tcPr>
            <w:tcW w:w="1093" w:type="dxa"/>
            <w:tcBorders>
              <w:top w:val="single" w:sz="8" w:space="0" w:color="auto"/>
              <w:left w:val="single" w:sz="8" w:space="0" w:color="auto"/>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1,253.1</w:t>
            </w:r>
          </w:p>
        </w:tc>
        <w:tc>
          <w:tcPr>
            <w:tcW w:w="1094" w:type="dxa"/>
            <w:tcBorders>
              <w:top w:val="nil"/>
              <w:left w:val="nil"/>
              <w:bottom w:val="nil"/>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9.5%</w:t>
            </w:r>
          </w:p>
        </w:tc>
      </w:tr>
      <w:tr w:rsidR="00564A01" w:rsidRPr="00A348F7" w:rsidTr="001E2EF8">
        <w:trPr>
          <w:trHeight w:val="331"/>
        </w:trPr>
        <w:tc>
          <w:tcPr>
            <w:tcW w:w="5151" w:type="dxa"/>
            <w:tcBorders>
              <w:top w:val="nil"/>
              <w:left w:val="nil"/>
              <w:bottom w:val="single" w:sz="8" w:space="0" w:color="auto"/>
              <w:right w:val="nil"/>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Derechos Arancelarios a la Importación</w:t>
            </w:r>
          </w:p>
        </w:tc>
        <w:tc>
          <w:tcPr>
            <w:tcW w:w="1093" w:type="dxa"/>
            <w:tcBorders>
              <w:top w:val="nil"/>
              <w:left w:val="single" w:sz="8" w:space="0" w:color="auto"/>
              <w:bottom w:val="single" w:sz="8" w:space="0" w:color="auto"/>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2,454.8</w:t>
            </w:r>
          </w:p>
        </w:tc>
        <w:tc>
          <w:tcPr>
            <w:tcW w:w="1093" w:type="dxa"/>
            <w:tcBorders>
              <w:top w:val="nil"/>
              <w:left w:val="nil"/>
              <w:bottom w:val="single" w:sz="8" w:space="0" w:color="auto"/>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2,575.8</w:t>
            </w:r>
          </w:p>
        </w:tc>
        <w:tc>
          <w:tcPr>
            <w:tcW w:w="1093" w:type="dxa"/>
            <w:tcBorders>
              <w:top w:val="nil"/>
              <w:left w:val="nil"/>
              <w:bottom w:val="single" w:sz="8" w:space="0" w:color="auto"/>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121.0</w:t>
            </w:r>
          </w:p>
        </w:tc>
        <w:tc>
          <w:tcPr>
            <w:tcW w:w="1094" w:type="dxa"/>
            <w:tcBorders>
              <w:top w:val="nil"/>
              <w:left w:val="nil"/>
              <w:bottom w:val="single" w:sz="8" w:space="0" w:color="auto"/>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4.9%</w:t>
            </w:r>
          </w:p>
        </w:tc>
      </w:tr>
      <w:tr w:rsidR="00564A01" w:rsidRPr="00A348F7" w:rsidTr="001E2EF8">
        <w:trPr>
          <w:trHeight w:val="331"/>
        </w:trPr>
        <w:tc>
          <w:tcPr>
            <w:tcW w:w="5151" w:type="dxa"/>
            <w:tcBorders>
              <w:top w:val="nil"/>
              <w:left w:val="nil"/>
              <w:bottom w:val="single" w:sz="8" w:space="0" w:color="auto"/>
              <w:right w:val="single" w:sz="8" w:space="0" w:color="auto"/>
            </w:tcBorders>
            <w:shd w:val="clear" w:color="000000" w:fill="1F497D"/>
            <w:vAlign w:val="center"/>
            <w:hideMark/>
          </w:tcPr>
          <w:p w:rsidR="00564A01" w:rsidRPr="00A348F7" w:rsidRDefault="00564A01" w:rsidP="001E2EF8">
            <w:pPr>
              <w:ind w:firstLineChars="100" w:firstLine="221"/>
              <w:rPr>
                <w:b/>
                <w:bCs/>
                <w:color w:val="FFFFFF"/>
                <w:sz w:val="22"/>
                <w:szCs w:val="22"/>
                <w:lang w:val="es-GT" w:eastAsia="es-GT"/>
              </w:rPr>
            </w:pPr>
            <w:r w:rsidRPr="00A348F7">
              <w:rPr>
                <w:b/>
                <w:bCs/>
                <w:color w:val="FFFFFF"/>
                <w:sz w:val="22"/>
                <w:szCs w:val="22"/>
                <w:lang w:val="es-GT" w:eastAsia="es-GT"/>
              </w:rPr>
              <w:t>IMPUESTOS INTERNOS</w:t>
            </w:r>
          </w:p>
        </w:tc>
        <w:tc>
          <w:tcPr>
            <w:tcW w:w="1093" w:type="dxa"/>
            <w:tcBorders>
              <w:top w:val="single" w:sz="8" w:space="0" w:color="auto"/>
              <w:left w:val="nil"/>
              <w:bottom w:val="single" w:sz="8" w:space="0" w:color="auto"/>
              <w:right w:val="single" w:sz="8" w:space="0" w:color="auto"/>
            </w:tcBorders>
            <w:shd w:val="clear" w:color="000000" w:fill="1F497D"/>
            <w:vAlign w:val="center"/>
            <w:hideMark/>
          </w:tcPr>
          <w:p w:rsidR="00564A01" w:rsidRPr="00A348F7" w:rsidRDefault="00564A01" w:rsidP="001E2EF8">
            <w:pPr>
              <w:jc w:val="right"/>
              <w:rPr>
                <w:b/>
                <w:bCs/>
                <w:color w:val="FFFFFF"/>
                <w:sz w:val="22"/>
                <w:szCs w:val="22"/>
                <w:lang w:val="es-GT" w:eastAsia="es-GT"/>
              </w:rPr>
            </w:pPr>
            <w:r w:rsidRPr="00A348F7">
              <w:rPr>
                <w:b/>
                <w:bCs/>
                <w:color w:val="FFFFFF"/>
                <w:sz w:val="22"/>
                <w:szCs w:val="22"/>
                <w:lang w:val="es-GT" w:eastAsia="es-GT"/>
              </w:rPr>
              <w:t>41,013.2</w:t>
            </w:r>
          </w:p>
        </w:tc>
        <w:tc>
          <w:tcPr>
            <w:tcW w:w="1093" w:type="dxa"/>
            <w:tcBorders>
              <w:top w:val="single" w:sz="8" w:space="0" w:color="auto"/>
              <w:left w:val="nil"/>
              <w:bottom w:val="single" w:sz="8" w:space="0" w:color="auto"/>
              <w:right w:val="single" w:sz="8" w:space="0" w:color="auto"/>
            </w:tcBorders>
            <w:shd w:val="clear" w:color="000000" w:fill="1F497D"/>
            <w:vAlign w:val="center"/>
            <w:hideMark/>
          </w:tcPr>
          <w:p w:rsidR="00564A01" w:rsidRPr="00A348F7" w:rsidRDefault="00564A01" w:rsidP="001E2EF8">
            <w:pPr>
              <w:jc w:val="right"/>
              <w:rPr>
                <w:b/>
                <w:bCs/>
                <w:color w:val="FFFFFF"/>
                <w:sz w:val="22"/>
                <w:szCs w:val="22"/>
                <w:lang w:val="es-GT" w:eastAsia="es-GT"/>
              </w:rPr>
            </w:pPr>
            <w:r w:rsidRPr="00A348F7">
              <w:rPr>
                <w:b/>
                <w:bCs/>
                <w:color w:val="FFFFFF"/>
                <w:sz w:val="22"/>
                <w:szCs w:val="22"/>
                <w:lang w:val="es-GT" w:eastAsia="es-GT"/>
              </w:rPr>
              <w:t>41,790.7</w:t>
            </w:r>
          </w:p>
        </w:tc>
        <w:tc>
          <w:tcPr>
            <w:tcW w:w="1093" w:type="dxa"/>
            <w:tcBorders>
              <w:top w:val="nil"/>
              <w:left w:val="nil"/>
              <w:bottom w:val="single" w:sz="8" w:space="0" w:color="auto"/>
              <w:right w:val="single" w:sz="8" w:space="0" w:color="auto"/>
            </w:tcBorders>
            <w:shd w:val="clear" w:color="000000" w:fill="1F497D"/>
            <w:vAlign w:val="center"/>
            <w:hideMark/>
          </w:tcPr>
          <w:p w:rsidR="00564A01" w:rsidRPr="00A348F7" w:rsidRDefault="00564A01" w:rsidP="001E2EF8">
            <w:pPr>
              <w:jc w:val="right"/>
              <w:rPr>
                <w:b/>
                <w:bCs/>
                <w:color w:val="FFFFFF"/>
                <w:sz w:val="22"/>
                <w:szCs w:val="22"/>
                <w:lang w:val="es-GT" w:eastAsia="es-GT"/>
              </w:rPr>
            </w:pPr>
            <w:r w:rsidRPr="00A348F7">
              <w:rPr>
                <w:b/>
                <w:bCs/>
                <w:color w:val="FFFFFF"/>
                <w:sz w:val="22"/>
                <w:szCs w:val="22"/>
                <w:lang w:val="es-GT" w:eastAsia="es-GT"/>
              </w:rPr>
              <w:t>777.4</w:t>
            </w:r>
          </w:p>
        </w:tc>
        <w:tc>
          <w:tcPr>
            <w:tcW w:w="1094" w:type="dxa"/>
            <w:tcBorders>
              <w:top w:val="nil"/>
              <w:left w:val="nil"/>
              <w:bottom w:val="single" w:sz="8" w:space="0" w:color="auto"/>
              <w:right w:val="nil"/>
            </w:tcBorders>
            <w:shd w:val="clear" w:color="000000" w:fill="1F497D"/>
            <w:vAlign w:val="center"/>
            <w:hideMark/>
          </w:tcPr>
          <w:p w:rsidR="00564A01" w:rsidRPr="00A348F7" w:rsidRDefault="00564A01" w:rsidP="001E2EF8">
            <w:pPr>
              <w:jc w:val="right"/>
              <w:rPr>
                <w:b/>
                <w:bCs/>
                <w:color w:val="FFFFFF"/>
                <w:sz w:val="22"/>
                <w:szCs w:val="22"/>
                <w:lang w:val="es-GT" w:eastAsia="es-GT"/>
              </w:rPr>
            </w:pPr>
            <w:r w:rsidRPr="00A348F7">
              <w:rPr>
                <w:b/>
                <w:bCs/>
                <w:color w:val="FFFFFF"/>
                <w:sz w:val="22"/>
                <w:szCs w:val="22"/>
                <w:lang w:val="es-GT" w:eastAsia="es-GT"/>
              </w:rPr>
              <w:t>1.9%</w:t>
            </w:r>
          </w:p>
        </w:tc>
      </w:tr>
      <w:tr w:rsidR="00564A01" w:rsidRPr="00A348F7" w:rsidTr="001E2EF8">
        <w:trPr>
          <w:trHeight w:val="331"/>
        </w:trPr>
        <w:tc>
          <w:tcPr>
            <w:tcW w:w="5151" w:type="dxa"/>
            <w:tcBorders>
              <w:top w:val="nil"/>
              <w:left w:val="nil"/>
              <w:bottom w:val="nil"/>
              <w:right w:val="single" w:sz="8" w:space="0" w:color="auto"/>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Sobre la Renta</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16,306.9</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16,236.3</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-70.6</w:t>
            </w:r>
          </w:p>
        </w:tc>
        <w:tc>
          <w:tcPr>
            <w:tcW w:w="1094" w:type="dxa"/>
            <w:tcBorders>
              <w:top w:val="nil"/>
              <w:left w:val="nil"/>
              <w:bottom w:val="nil"/>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-0.4%</w:t>
            </w:r>
          </w:p>
        </w:tc>
      </w:tr>
      <w:tr w:rsidR="00564A01" w:rsidRPr="00A348F7" w:rsidTr="001E2EF8">
        <w:trPr>
          <w:trHeight w:val="331"/>
        </w:trPr>
        <w:tc>
          <w:tcPr>
            <w:tcW w:w="5151" w:type="dxa"/>
            <w:tcBorders>
              <w:top w:val="nil"/>
              <w:left w:val="nil"/>
              <w:bottom w:val="nil"/>
              <w:right w:val="single" w:sz="8" w:space="0" w:color="auto"/>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Sobre Inmuebles y Otros sobre el Patrimonio</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30.2</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28.1</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-2.1</w:t>
            </w:r>
          </w:p>
        </w:tc>
        <w:tc>
          <w:tcPr>
            <w:tcW w:w="1094" w:type="dxa"/>
            <w:tcBorders>
              <w:top w:val="nil"/>
              <w:left w:val="nil"/>
              <w:bottom w:val="nil"/>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-6.9%</w:t>
            </w:r>
          </w:p>
        </w:tc>
      </w:tr>
      <w:tr w:rsidR="00564A01" w:rsidRPr="00A348F7" w:rsidTr="001E2EF8">
        <w:trPr>
          <w:trHeight w:val="331"/>
        </w:trPr>
        <w:tc>
          <w:tcPr>
            <w:tcW w:w="5151" w:type="dxa"/>
            <w:tcBorders>
              <w:top w:val="nil"/>
              <w:left w:val="nil"/>
              <w:bottom w:val="nil"/>
              <w:right w:val="single" w:sz="8" w:space="0" w:color="auto"/>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A las Empresas Mercantiles y Agropecuarias</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6.3</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0.2</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-6.2</w:t>
            </w:r>
          </w:p>
        </w:tc>
        <w:tc>
          <w:tcPr>
            <w:tcW w:w="1094" w:type="dxa"/>
            <w:tcBorders>
              <w:top w:val="nil"/>
              <w:left w:val="nil"/>
              <w:bottom w:val="nil"/>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-97.6%</w:t>
            </w:r>
          </w:p>
        </w:tc>
      </w:tr>
      <w:tr w:rsidR="00564A01" w:rsidRPr="00A348F7" w:rsidTr="001E2EF8">
        <w:trPr>
          <w:trHeight w:val="331"/>
        </w:trPr>
        <w:tc>
          <w:tcPr>
            <w:tcW w:w="5151" w:type="dxa"/>
            <w:tcBorders>
              <w:top w:val="nil"/>
              <w:left w:val="nil"/>
              <w:bottom w:val="nil"/>
              <w:right w:val="single" w:sz="8" w:space="0" w:color="auto"/>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Extraordinarios y Temporal de Apoyo a los Acuerdos de Paz</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27.8</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10.3</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-17.6</w:t>
            </w:r>
          </w:p>
        </w:tc>
        <w:tc>
          <w:tcPr>
            <w:tcW w:w="1094" w:type="dxa"/>
            <w:tcBorders>
              <w:top w:val="nil"/>
              <w:left w:val="nil"/>
              <w:bottom w:val="nil"/>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-63.1%</w:t>
            </w:r>
          </w:p>
        </w:tc>
      </w:tr>
      <w:tr w:rsidR="00564A01" w:rsidRPr="00A348F7" w:rsidTr="001E2EF8">
        <w:trPr>
          <w:trHeight w:val="331"/>
        </w:trPr>
        <w:tc>
          <w:tcPr>
            <w:tcW w:w="5151" w:type="dxa"/>
            <w:tcBorders>
              <w:top w:val="nil"/>
              <w:left w:val="nil"/>
              <w:bottom w:val="nil"/>
              <w:right w:val="single" w:sz="8" w:space="0" w:color="auto"/>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 xml:space="preserve">Impuesto de Solidaridad </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4,352.2</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4,645.9</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293.7</w:t>
            </w:r>
          </w:p>
        </w:tc>
        <w:tc>
          <w:tcPr>
            <w:tcW w:w="1094" w:type="dxa"/>
            <w:tcBorders>
              <w:top w:val="nil"/>
              <w:left w:val="nil"/>
              <w:bottom w:val="nil"/>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6.7%</w:t>
            </w:r>
          </w:p>
        </w:tc>
      </w:tr>
      <w:tr w:rsidR="00564A01" w:rsidRPr="00A348F7" w:rsidTr="001E2EF8">
        <w:trPr>
          <w:trHeight w:val="331"/>
        </w:trPr>
        <w:tc>
          <w:tcPr>
            <w:tcW w:w="5151" w:type="dxa"/>
            <w:tcBorders>
              <w:top w:val="nil"/>
              <w:left w:val="nil"/>
              <w:bottom w:val="nil"/>
              <w:right w:val="single" w:sz="8" w:space="0" w:color="auto"/>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Impuesto al Valor Agregado Doméstico</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12,970.7</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13,263.4</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292.7</w:t>
            </w:r>
          </w:p>
        </w:tc>
        <w:tc>
          <w:tcPr>
            <w:tcW w:w="1094" w:type="dxa"/>
            <w:tcBorders>
              <w:top w:val="nil"/>
              <w:left w:val="nil"/>
              <w:bottom w:val="nil"/>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2.3%</w:t>
            </w:r>
          </w:p>
        </w:tc>
      </w:tr>
      <w:tr w:rsidR="00564A01" w:rsidRPr="00A348F7" w:rsidTr="001E2EF8">
        <w:trPr>
          <w:trHeight w:val="331"/>
        </w:trPr>
        <w:tc>
          <w:tcPr>
            <w:tcW w:w="5151" w:type="dxa"/>
            <w:tcBorders>
              <w:top w:val="nil"/>
              <w:left w:val="nil"/>
              <w:bottom w:val="nil"/>
              <w:right w:val="single" w:sz="8" w:space="0" w:color="auto"/>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Distribución de Petróleo y sus Derivados</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3,296.4</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3,417.4</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120.9</w:t>
            </w:r>
          </w:p>
        </w:tc>
        <w:tc>
          <w:tcPr>
            <w:tcW w:w="1094" w:type="dxa"/>
            <w:tcBorders>
              <w:top w:val="nil"/>
              <w:left w:val="nil"/>
              <w:bottom w:val="nil"/>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3.7%</w:t>
            </w:r>
          </w:p>
        </w:tc>
      </w:tr>
      <w:tr w:rsidR="00564A01" w:rsidRPr="00A348F7" w:rsidTr="001E2EF8">
        <w:trPr>
          <w:trHeight w:val="331"/>
        </w:trPr>
        <w:tc>
          <w:tcPr>
            <w:tcW w:w="5151" w:type="dxa"/>
            <w:tcBorders>
              <w:top w:val="nil"/>
              <w:left w:val="nil"/>
              <w:bottom w:val="nil"/>
              <w:right w:val="single" w:sz="8" w:space="0" w:color="auto"/>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Timbres Fiscales</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507.9</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463.0</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-45.0</w:t>
            </w:r>
          </w:p>
        </w:tc>
        <w:tc>
          <w:tcPr>
            <w:tcW w:w="1094" w:type="dxa"/>
            <w:tcBorders>
              <w:top w:val="nil"/>
              <w:left w:val="nil"/>
              <w:bottom w:val="nil"/>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-8.9%</w:t>
            </w:r>
          </w:p>
        </w:tc>
      </w:tr>
      <w:tr w:rsidR="00564A01" w:rsidRPr="00A348F7" w:rsidTr="001E2EF8">
        <w:trPr>
          <w:trHeight w:val="331"/>
        </w:trPr>
        <w:tc>
          <w:tcPr>
            <w:tcW w:w="5151" w:type="dxa"/>
            <w:tcBorders>
              <w:top w:val="nil"/>
              <w:left w:val="nil"/>
              <w:bottom w:val="nil"/>
              <w:right w:val="single" w:sz="8" w:space="0" w:color="auto"/>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Circulación de Vehículos</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826.0</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881.2</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55.2</w:t>
            </w:r>
          </w:p>
        </w:tc>
        <w:tc>
          <w:tcPr>
            <w:tcW w:w="1094" w:type="dxa"/>
            <w:tcBorders>
              <w:top w:val="nil"/>
              <w:left w:val="nil"/>
              <w:bottom w:val="nil"/>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6.7%</w:t>
            </w:r>
          </w:p>
        </w:tc>
      </w:tr>
      <w:tr w:rsidR="00564A01" w:rsidRPr="00A348F7" w:rsidTr="001E2EF8">
        <w:trPr>
          <w:trHeight w:val="331"/>
        </w:trPr>
        <w:tc>
          <w:tcPr>
            <w:tcW w:w="5151" w:type="dxa"/>
            <w:tcBorders>
              <w:top w:val="nil"/>
              <w:left w:val="nil"/>
              <w:bottom w:val="nil"/>
              <w:right w:val="single" w:sz="8" w:space="0" w:color="auto"/>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Impuesto a la Primera Matrícula</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952.9</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952.7</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-0.2</w:t>
            </w:r>
          </w:p>
        </w:tc>
        <w:tc>
          <w:tcPr>
            <w:tcW w:w="1094" w:type="dxa"/>
            <w:tcBorders>
              <w:top w:val="nil"/>
              <w:left w:val="nil"/>
              <w:bottom w:val="nil"/>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0.0%</w:t>
            </w:r>
          </w:p>
        </w:tc>
      </w:tr>
      <w:tr w:rsidR="00564A01" w:rsidRPr="00A348F7" w:rsidTr="001E2EF8">
        <w:trPr>
          <w:trHeight w:val="331"/>
        </w:trPr>
        <w:tc>
          <w:tcPr>
            <w:tcW w:w="5151" w:type="dxa"/>
            <w:tcBorders>
              <w:top w:val="nil"/>
              <w:left w:val="nil"/>
              <w:bottom w:val="nil"/>
              <w:right w:val="single" w:sz="8" w:space="0" w:color="auto"/>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Regalías e Hidrocarburos compartibles</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206.8</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322.8</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116.0</w:t>
            </w:r>
          </w:p>
        </w:tc>
        <w:tc>
          <w:tcPr>
            <w:tcW w:w="1094" w:type="dxa"/>
            <w:tcBorders>
              <w:top w:val="nil"/>
              <w:left w:val="nil"/>
              <w:bottom w:val="nil"/>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56.1%</w:t>
            </w:r>
          </w:p>
        </w:tc>
      </w:tr>
      <w:tr w:rsidR="00564A01" w:rsidRPr="00A348F7" w:rsidTr="001E2EF8">
        <w:trPr>
          <w:trHeight w:val="331"/>
        </w:trPr>
        <w:tc>
          <w:tcPr>
            <w:tcW w:w="5151" w:type="dxa"/>
            <w:tcBorders>
              <w:top w:val="nil"/>
              <w:left w:val="nil"/>
              <w:bottom w:val="nil"/>
              <w:right w:val="single" w:sz="8" w:space="0" w:color="auto"/>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Salidas del País</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300.3</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312.0</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11.7</w:t>
            </w:r>
          </w:p>
        </w:tc>
        <w:tc>
          <w:tcPr>
            <w:tcW w:w="1094" w:type="dxa"/>
            <w:tcBorders>
              <w:top w:val="nil"/>
              <w:left w:val="nil"/>
              <w:bottom w:val="nil"/>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3.9%</w:t>
            </w:r>
          </w:p>
        </w:tc>
      </w:tr>
      <w:tr w:rsidR="00564A01" w:rsidRPr="00A348F7" w:rsidTr="001E2EF8">
        <w:trPr>
          <w:trHeight w:val="331"/>
        </w:trPr>
        <w:tc>
          <w:tcPr>
            <w:tcW w:w="5151" w:type="dxa"/>
            <w:tcBorders>
              <w:top w:val="nil"/>
              <w:left w:val="nil"/>
              <w:bottom w:val="nil"/>
              <w:right w:val="single" w:sz="8" w:space="0" w:color="auto"/>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Distribución de Bebidas</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759.5</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790.3</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30.8</w:t>
            </w:r>
          </w:p>
        </w:tc>
        <w:tc>
          <w:tcPr>
            <w:tcW w:w="1094" w:type="dxa"/>
            <w:tcBorders>
              <w:top w:val="nil"/>
              <w:left w:val="nil"/>
              <w:bottom w:val="nil"/>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4.1%</w:t>
            </w:r>
          </w:p>
        </w:tc>
      </w:tr>
      <w:tr w:rsidR="00564A01" w:rsidRPr="00A348F7" w:rsidTr="001E2EF8">
        <w:trPr>
          <w:trHeight w:val="331"/>
        </w:trPr>
        <w:tc>
          <w:tcPr>
            <w:tcW w:w="5151" w:type="dxa"/>
            <w:tcBorders>
              <w:top w:val="nil"/>
              <w:left w:val="nil"/>
              <w:bottom w:val="nil"/>
              <w:right w:val="single" w:sz="8" w:space="0" w:color="auto"/>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Tabacos</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347.9</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337.1</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-10.8</w:t>
            </w:r>
          </w:p>
        </w:tc>
        <w:tc>
          <w:tcPr>
            <w:tcW w:w="1094" w:type="dxa"/>
            <w:tcBorders>
              <w:top w:val="nil"/>
              <w:left w:val="nil"/>
              <w:bottom w:val="nil"/>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-3.1%</w:t>
            </w:r>
          </w:p>
        </w:tc>
      </w:tr>
      <w:tr w:rsidR="00564A01" w:rsidRPr="00A348F7" w:rsidTr="001E2EF8">
        <w:trPr>
          <w:trHeight w:val="331"/>
        </w:trPr>
        <w:tc>
          <w:tcPr>
            <w:tcW w:w="5151" w:type="dxa"/>
            <w:tcBorders>
              <w:top w:val="nil"/>
              <w:left w:val="nil"/>
              <w:bottom w:val="nil"/>
              <w:right w:val="single" w:sz="8" w:space="0" w:color="auto"/>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Distribución de Cemento</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114.0</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123.3</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9.3</w:t>
            </w:r>
          </w:p>
        </w:tc>
        <w:tc>
          <w:tcPr>
            <w:tcW w:w="1094" w:type="dxa"/>
            <w:tcBorders>
              <w:top w:val="nil"/>
              <w:left w:val="nil"/>
              <w:bottom w:val="nil"/>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8.2%</w:t>
            </w:r>
          </w:p>
        </w:tc>
      </w:tr>
      <w:tr w:rsidR="00564A01" w:rsidRPr="00A348F7" w:rsidTr="001E2EF8">
        <w:trPr>
          <w:trHeight w:val="331"/>
        </w:trPr>
        <w:tc>
          <w:tcPr>
            <w:tcW w:w="5151" w:type="dxa"/>
            <w:tcBorders>
              <w:top w:val="nil"/>
              <w:left w:val="nil"/>
              <w:bottom w:val="nil"/>
              <w:right w:val="single" w:sz="8" w:space="0" w:color="auto"/>
            </w:tcBorders>
            <w:shd w:val="clear" w:color="000000" w:fill="F2F2F2"/>
            <w:vAlign w:val="center"/>
            <w:hideMark/>
          </w:tcPr>
          <w:p w:rsidR="00564A01" w:rsidRPr="00A348F7" w:rsidRDefault="00564A01" w:rsidP="001E2EF8">
            <w:pPr>
              <w:rPr>
                <w:sz w:val="22"/>
                <w:szCs w:val="22"/>
                <w:lang w:val="es-GT" w:eastAsia="es-GT"/>
              </w:rPr>
            </w:pPr>
            <w:r w:rsidRPr="00A348F7">
              <w:rPr>
                <w:sz w:val="22"/>
                <w:szCs w:val="22"/>
                <w:lang w:val="es-GT" w:eastAsia="es-GT"/>
              </w:rPr>
              <w:t>Otros</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7.5</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6.7</w:t>
            </w:r>
          </w:p>
        </w:tc>
        <w:tc>
          <w:tcPr>
            <w:tcW w:w="1093" w:type="dxa"/>
            <w:tcBorders>
              <w:top w:val="nil"/>
              <w:left w:val="nil"/>
              <w:bottom w:val="nil"/>
              <w:right w:val="single" w:sz="8" w:space="0" w:color="auto"/>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-0.7</w:t>
            </w:r>
          </w:p>
        </w:tc>
        <w:tc>
          <w:tcPr>
            <w:tcW w:w="1094" w:type="dxa"/>
            <w:tcBorders>
              <w:top w:val="nil"/>
              <w:left w:val="nil"/>
              <w:bottom w:val="nil"/>
              <w:right w:val="nil"/>
            </w:tcBorders>
            <w:shd w:val="clear" w:color="000000" w:fill="F2F2F2"/>
            <w:vAlign w:val="center"/>
            <w:hideMark/>
          </w:tcPr>
          <w:p w:rsidR="00564A01" w:rsidRPr="00A348F7" w:rsidRDefault="00564A01" w:rsidP="001E2EF8">
            <w:pPr>
              <w:jc w:val="right"/>
              <w:rPr>
                <w:color w:val="000000"/>
                <w:sz w:val="22"/>
                <w:szCs w:val="22"/>
                <w:lang w:val="es-GT" w:eastAsia="es-GT"/>
              </w:rPr>
            </w:pPr>
            <w:r w:rsidRPr="00A348F7">
              <w:rPr>
                <w:color w:val="000000"/>
                <w:sz w:val="22"/>
                <w:szCs w:val="22"/>
                <w:lang w:val="es-GT" w:eastAsia="es-GT"/>
              </w:rPr>
              <w:t>-9.9%</w:t>
            </w:r>
          </w:p>
        </w:tc>
      </w:tr>
      <w:tr w:rsidR="00564A01" w:rsidRPr="00A348F7" w:rsidTr="001E2EF8">
        <w:trPr>
          <w:trHeight w:val="331"/>
        </w:trPr>
        <w:tc>
          <w:tcPr>
            <w:tcW w:w="5151" w:type="dxa"/>
            <w:tcBorders>
              <w:top w:val="single" w:sz="8" w:space="0" w:color="auto"/>
              <w:left w:val="nil"/>
              <w:bottom w:val="single" w:sz="8" w:space="0" w:color="auto"/>
              <w:right w:val="single" w:sz="8" w:space="0" w:color="auto"/>
            </w:tcBorders>
            <w:shd w:val="clear" w:color="000000" w:fill="1F497D"/>
            <w:vAlign w:val="center"/>
            <w:hideMark/>
          </w:tcPr>
          <w:p w:rsidR="00564A01" w:rsidRPr="00A348F7" w:rsidRDefault="00564A01" w:rsidP="001E2EF8">
            <w:pPr>
              <w:ind w:firstLineChars="100" w:firstLine="221"/>
              <w:rPr>
                <w:b/>
                <w:bCs/>
                <w:color w:val="FFFFFF"/>
                <w:sz w:val="22"/>
                <w:szCs w:val="22"/>
                <w:lang w:val="es-GT" w:eastAsia="es-GT"/>
              </w:rPr>
            </w:pPr>
            <w:r w:rsidRPr="00A348F7">
              <w:rPr>
                <w:b/>
                <w:bCs/>
                <w:color w:val="FFFFFF"/>
                <w:sz w:val="22"/>
                <w:szCs w:val="22"/>
                <w:lang w:val="es-GT" w:eastAsia="es-GT"/>
              </w:rPr>
              <w:t>TOTAL DE INGRESOS TRIBUTARIOS</w:t>
            </w:r>
          </w:p>
        </w:tc>
        <w:tc>
          <w:tcPr>
            <w:tcW w:w="1093" w:type="dxa"/>
            <w:tcBorders>
              <w:top w:val="single" w:sz="8" w:space="0" w:color="auto"/>
              <w:left w:val="nil"/>
              <w:bottom w:val="single" w:sz="8" w:space="0" w:color="auto"/>
              <w:right w:val="single" w:sz="8" w:space="0" w:color="auto"/>
            </w:tcBorders>
            <w:shd w:val="clear" w:color="000000" w:fill="1F497D"/>
            <w:vAlign w:val="center"/>
            <w:hideMark/>
          </w:tcPr>
          <w:p w:rsidR="00564A01" w:rsidRPr="00A348F7" w:rsidRDefault="00564A01" w:rsidP="001E2EF8">
            <w:pPr>
              <w:jc w:val="right"/>
              <w:rPr>
                <w:b/>
                <w:bCs/>
                <w:color w:val="FFFFFF"/>
                <w:sz w:val="22"/>
                <w:szCs w:val="22"/>
                <w:lang w:val="es-GT" w:eastAsia="es-GT"/>
              </w:rPr>
            </w:pPr>
            <w:r w:rsidRPr="00A348F7">
              <w:rPr>
                <w:b/>
                <w:bCs/>
                <w:color w:val="FFFFFF"/>
                <w:sz w:val="22"/>
                <w:szCs w:val="22"/>
                <w:lang w:val="es-GT" w:eastAsia="es-GT"/>
              </w:rPr>
              <w:t>56,684.1</w:t>
            </w:r>
          </w:p>
        </w:tc>
        <w:tc>
          <w:tcPr>
            <w:tcW w:w="1093" w:type="dxa"/>
            <w:tcBorders>
              <w:top w:val="single" w:sz="8" w:space="0" w:color="auto"/>
              <w:left w:val="nil"/>
              <w:bottom w:val="single" w:sz="8" w:space="0" w:color="auto"/>
              <w:right w:val="single" w:sz="8" w:space="0" w:color="auto"/>
            </w:tcBorders>
            <w:shd w:val="clear" w:color="000000" w:fill="1F497D"/>
            <w:vAlign w:val="center"/>
            <w:hideMark/>
          </w:tcPr>
          <w:p w:rsidR="00564A01" w:rsidRPr="00A348F7" w:rsidRDefault="00564A01" w:rsidP="001E2EF8">
            <w:pPr>
              <w:jc w:val="right"/>
              <w:rPr>
                <w:b/>
                <w:bCs/>
                <w:color w:val="FFFFFF"/>
                <w:sz w:val="22"/>
                <w:szCs w:val="22"/>
                <w:lang w:val="es-GT" w:eastAsia="es-GT"/>
              </w:rPr>
            </w:pPr>
            <w:r w:rsidRPr="00A348F7">
              <w:rPr>
                <w:b/>
                <w:bCs/>
                <w:color w:val="FFFFFF"/>
                <w:sz w:val="22"/>
                <w:szCs w:val="22"/>
                <w:lang w:val="es-GT" w:eastAsia="es-GT"/>
              </w:rPr>
              <w:t>58,835.6</w:t>
            </w:r>
          </w:p>
        </w:tc>
        <w:tc>
          <w:tcPr>
            <w:tcW w:w="1093" w:type="dxa"/>
            <w:tcBorders>
              <w:top w:val="single" w:sz="8" w:space="0" w:color="auto"/>
              <w:left w:val="nil"/>
              <w:bottom w:val="single" w:sz="8" w:space="0" w:color="auto"/>
              <w:right w:val="single" w:sz="8" w:space="0" w:color="auto"/>
            </w:tcBorders>
            <w:shd w:val="clear" w:color="000000" w:fill="1F497D"/>
            <w:vAlign w:val="center"/>
            <w:hideMark/>
          </w:tcPr>
          <w:p w:rsidR="00564A01" w:rsidRPr="00A348F7" w:rsidRDefault="00564A01" w:rsidP="001E2EF8">
            <w:pPr>
              <w:jc w:val="right"/>
              <w:rPr>
                <w:b/>
                <w:bCs/>
                <w:color w:val="FFFFFF"/>
                <w:sz w:val="22"/>
                <w:szCs w:val="22"/>
                <w:lang w:val="es-GT" w:eastAsia="es-GT"/>
              </w:rPr>
            </w:pPr>
            <w:r w:rsidRPr="00A348F7">
              <w:rPr>
                <w:b/>
                <w:bCs/>
                <w:color w:val="FFFFFF"/>
                <w:sz w:val="22"/>
                <w:szCs w:val="22"/>
                <w:lang w:val="es-GT" w:eastAsia="es-GT"/>
              </w:rPr>
              <w:t>2,151.5</w:t>
            </w:r>
          </w:p>
        </w:tc>
        <w:tc>
          <w:tcPr>
            <w:tcW w:w="1094" w:type="dxa"/>
            <w:tcBorders>
              <w:top w:val="single" w:sz="8" w:space="0" w:color="auto"/>
              <w:left w:val="nil"/>
              <w:bottom w:val="single" w:sz="8" w:space="0" w:color="auto"/>
              <w:right w:val="nil"/>
            </w:tcBorders>
            <w:shd w:val="clear" w:color="000000" w:fill="1F497D"/>
            <w:vAlign w:val="center"/>
            <w:hideMark/>
          </w:tcPr>
          <w:p w:rsidR="00564A01" w:rsidRPr="00A348F7" w:rsidRDefault="00564A01" w:rsidP="001E2EF8">
            <w:pPr>
              <w:jc w:val="right"/>
              <w:rPr>
                <w:b/>
                <w:bCs/>
                <w:color w:val="FFFFFF"/>
                <w:sz w:val="22"/>
                <w:szCs w:val="22"/>
                <w:lang w:val="es-GT" w:eastAsia="es-GT"/>
              </w:rPr>
            </w:pPr>
            <w:r w:rsidRPr="00A348F7">
              <w:rPr>
                <w:b/>
                <w:bCs/>
                <w:color w:val="FFFFFF"/>
                <w:sz w:val="22"/>
                <w:szCs w:val="22"/>
                <w:lang w:val="es-GT" w:eastAsia="es-GT"/>
              </w:rPr>
              <w:t>3.8%</w:t>
            </w:r>
          </w:p>
        </w:tc>
      </w:tr>
    </w:tbl>
    <w:p w:rsidR="00564A01" w:rsidRPr="005A17B0" w:rsidRDefault="00564A01" w:rsidP="00564A01">
      <w:pPr>
        <w:tabs>
          <w:tab w:val="left" w:pos="426"/>
        </w:tabs>
        <w:rPr>
          <w:sz w:val="16"/>
        </w:rPr>
      </w:pPr>
      <w:r w:rsidRPr="005A17B0">
        <w:rPr>
          <w:sz w:val="16"/>
        </w:rPr>
        <w:t>* Cifras preliminares</w:t>
      </w:r>
    </w:p>
    <w:p w:rsidR="00564A01" w:rsidRPr="005A17B0" w:rsidRDefault="00564A01" w:rsidP="00564A01">
      <w:pPr>
        <w:rPr>
          <w:sz w:val="16"/>
          <w:lang w:val="es-GT"/>
        </w:rPr>
      </w:pPr>
      <w:r w:rsidRPr="005A17B0">
        <w:rPr>
          <w:sz w:val="16"/>
        </w:rPr>
        <w:t>Fuente: Ministerio de Finanzas Públicas</w:t>
      </w:r>
      <w:r>
        <w:rPr>
          <w:sz w:val="16"/>
        </w:rPr>
        <w:t>.</w:t>
      </w:r>
    </w:p>
    <w:p w:rsidR="00564A01" w:rsidRDefault="00564A01" w:rsidP="00564A01">
      <w:pPr>
        <w:autoSpaceDE w:val="0"/>
        <w:autoSpaceDN w:val="0"/>
        <w:adjustRightInd w:val="0"/>
        <w:jc w:val="both"/>
      </w:pPr>
    </w:p>
    <w:p w:rsidR="00564A01" w:rsidRPr="00F377B1" w:rsidRDefault="00564A01" w:rsidP="00564A01">
      <w:pPr>
        <w:autoSpaceDE w:val="0"/>
        <w:autoSpaceDN w:val="0"/>
        <w:adjustRightInd w:val="0"/>
        <w:jc w:val="both"/>
      </w:pPr>
      <w:r>
        <w:t>Como resultado  del monto de recaudación</w:t>
      </w:r>
      <w:r w:rsidR="00A75EAF">
        <w:t>,</w:t>
      </w:r>
      <w:r>
        <w:t xml:space="preserve"> la</w:t>
      </w:r>
      <w:r w:rsidRPr="00124AD6">
        <w:t xml:space="preserve"> carga tributaria mostr</w:t>
      </w:r>
      <w:r>
        <w:t>ó</w:t>
      </w:r>
      <w:r w:rsidRPr="00124AD6">
        <w:t xml:space="preserve"> una </w:t>
      </w:r>
      <w:r>
        <w:t>caída de 0.2% respecto de 2017</w:t>
      </w:r>
      <w:r w:rsidR="00A75EAF">
        <w:t>,</w:t>
      </w:r>
      <w:r>
        <w:t xml:space="preserve"> </w:t>
      </w:r>
      <w:r w:rsidRPr="00F377B1">
        <w:t>producto de una serie de  factores que afectaron el nivel de recaudación</w:t>
      </w:r>
      <w:r w:rsidR="00A75EAF">
        <w:t>;</w:t>
      </w:r>
      <w:r w:rsidRPr="00F377B1">
        <w:t xml:space="preserve"> entre estos se destacan: resoluciones de la Corte de Constitucionalidad</w:t>
      </w:r>
      <w:r w:rsidR="00A75EAF">
        <w:t>,</w:t>
      </w:r>
      <w:r>
        <w:t xml:space="preserve"> particularmente en temas mineros</w:t>
      </w:r>
      <w:r w:rsidR="00A75EAF">
        <w:t>;</w:t>
      </w:r>
      <w:r w:rsidRPr="00F377B1">
        <w:t xml:space="preserve"> </w:t>
      </w:r>
      <w:r>
        <w:t xml:space="preserve">la </w:t>
      </w:r>
      <w:r w:rsidRPr="00F377B1">
        <w:t>depreciación de la moneda</w:t>
      </w:r>
      <w:r>
        <w:t xml:space="preserve"> </w:t>
      </w:r>
      <w:r w:rsidRPr="00F377B1">
        <w:t>nacional y aspectos de orden externo como las oscilaciones en el precio internacional del petróleo</w:t>
      </w:r>
      <w:r>
        <w:t xml:space="preserve">, elementos </w:t>
      </w:r>
      <w:r w:rsidRPr="00F377B1">
        <w:t>que vinieron a af</w:t>
      </w:r>
      <w:r>
        <w:t>ectar directamente al indicador</w:t>
      </w:r>
      <w:r w:rsidRPr="00F377B1">
        <w:t>. (MINFIN, 201</w:t>
      </w:r>
      <w:r>
        <w:t>9</w:t>
      </w:r>
      <w:r w:rsidRPr="00F377B1">
        <w:t xml:space="preserve"> “Informe de desempeño de la Política Fiscal 201</w:t>
      </w:r>
      <w:r>
        <w:t>8</w:t>
      </w:r>
      <w:r w:rsidRPr="00F377B1">
        <w:t>”).</w:t>
      </w:r>
    </w:p>
    <w:p w:rsidR="00564A01" w:rsidRDefault="00564A01" w:rsidP="00564A01">
      <w:pPr>
        <w:jc w:val="both"/>
        <w:rPr>
          <w:rFonts w:eastAsia="Calibri"/>
          <w:lang w:val="es-GT" w:eastAsia="es-GT"/>
        </w:rPr>
      </w:pPr>
    </w:p>
    <w:p w:rsidR="00564A01" w:rsidRPr="00124AD6" w:rsidRDefault="00564A01" w:rsidP="00564A01">
      <w:pPr>
        <w:jc w:val="center"/>
        <w:rPr>
          <w:b/>
          <w:lang w:val="es-GT"/>
        </w:rPr>
      </w:pPr>
      <w:r w:rsidRPr="00124AD6">
        <w:rPr>
          <w:b/>
          <w:lang w:val="es-GT"/>
        </w:rPr>
        <w:t xml:space="preserve">Gráfica </w:t>
      </w:r>
      <w:r>
        <w:rPr>
          <w:b/>
          <w:lang w:val="es-GT"/>
        </w:rPr>
        <w:t>10</w:t>
      </w:r>
    </w:p>
    <w:p w:rsidR="00564A01" w:rsidRPr="00124AD6" w:rsidRDefault="00564A01" w:rsidP="00564A01">
      <w:pPr>
        <w:pStyle w:val="NormalWeb"/>
        <w:spacing w:before="0" w:beforeAutospacing="0" w:after="0" w:afterAutospacing="0"/>
        <w:jc w:val="center"/>
        <w:rPr>
          <w:rFonts w:eastAsia="+mn-ea"/>
          <w:b/>
          <w:bCs/>
          <w:color w:val="000000"/>
          <w:kern w:val="24"/>
        </w:rPr>
      </w:pPr>
      <w:r w:rsidRPr="00124AD6">
        <w:rPr>
          <w:rFonts w:eastAsia="+mn-ea"/>
          <w:b/>
          <w:bCs/>
          <w:color w:val="000000"/>
          <w:kern w:val="24"/>
        </w:rPr>
        <w:t>Carga Tributaria 200</w:t>
      </w:r>
      <w:r>
        <w:rPr>
          <w:rFonts w:eastAsia="+mn-ea"/>
          <w:b/>
          <w:bCs/>
          <w:color w:val="000000"/>
          <w:kern w:val="24"/>
        </w:rPr>
        <w:t xml:space="preserve">5 </w:t>
      </w:r>
      <w:r w:rsidRPr="00124AD6">
        <w:rPr>
          <w:rFonts w:eastAsia="+mn-ea"/>
          <w:b/>
          <w:bCs/>
          <w:color w:val="000000"/>
          <w:kern w:val="24"/>
        </w:rPr>
        <w:t>-</w:t>
      </w:r>
      <w:r>
        <w:rPr>
          <w:rFonts w:eastAsia="+mn-ea"/>
          <w:b/>
          <w:bCs/>
          <w:color w:val="000000"/>
          <w:kern w:val="24"/>
        </w:rPr>
        <w:t xml:space="preserve"> </w:t>
      </w:r>
      <w:r w:rsidRPr="00124AD6">
        <w:rPr>
          <w:rFonts w:eastAsia="+mn-ea"/>
          <w:b/>
          <w:bCs/>
          <w:color w:val="000000"/>
          <w:kern w:val="24"/>
        </w:rPr>
        <w:t>201</w:t>
      </w:r>
      <w:r w:rsidR="00A75EAF">
        <w:rPr>
          <w:rFonts w:eastAsia="+mn-ea"/>
          <w:b/>
          <w:bCs/>
          <w:color w:val="000000"/>
          <w:kern w:val="24"/>
        </w:rPr>
        <w:t>8</w:t>
      </w:r>
    </w:p>
    <w:p w:rsidR="00564A01" w:rsidRPr="00124AD6" w:rsidRDefault="00564A01" w:rsidP="00564A01">
      <w:pPr>
        <w:pStyle w:val="NormalWeb"/>
        <w:spacing w:before="0" w:beforeAutospacing="0" w:after="0" w:afterAutospacing="0"/>
        <w:jc w:val="center"/>
      </w:pPr>
      <w:r>
        <w:rPr>
          <w:rFonts w:eastAsia="+mn-ea"/>
          <w:b/>
          <w:bCs/>
          <w:color w:val="000000"/>
          <w:kern w:val="24"/>
        </w:rPr>
        <w:t>Porcentaje del PIB</w:t>
      </w:r>
    </w:p>
    <w:p w:rsidR="00564A01" w:rsidRPr="00124AD6" w:rsidRDefault="00564A01" w:rsidP="00564A01">
      <w:pPr>
        <w:ind w:firstLine="66"/>
      </w:pPr>
      <w:r>
        <w:rPr>
          <w:noProof/>
          <w:lang w:val="es-GT" w:eastAsia="es-GT"/>
        </w:rPr>
        <w:drawing>
          <wp:inline distT="0" distB="0" distL="0" distR="0" wp14:anchorId="55DDA019" wp14:editId="3253D58B">
            <wp:extent cx="5612130" cy="4121785"/>
            <wp:effectExtent l="0" t="0" r="7620" b="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64A01" w:rsidRPr="0046725D" w:rsidRDefault="00564A01" w:rsidP="00564A01">
      <w:pPr>
        <w:ind w:firstLine="66"/>
        <w:rPr>
          <w:sz w:val="16"/>
        </w:rPr>
      </w:pPr>
      <w:r w:rsidRPr="0046725D">
        <w:rPr>
          <w:sz w:val="16"/>
        </w:rPr>
        <w:t xml:space="preserve">*Cifras </w:t>
      </w:r>
      <w:r>
        <w:rPr>
          <w:sz w:val="16"/>
        </w:rPr>
        <w:t>p</w:t>
      </w:r>
      <w:r w:rsidRPr="0046725D">
        <w:rPr>
          <w:sz w:val="16"/>
        </w:rPr>
        <w:t>reliminares</w:t>
      </w:r>
    </w:p>
    <w:p w:rsidR="00564A01" w:rsidRDefault="00564A01" w:rsidP="00564A01">
      <w:pPr>
        <w:ind w:firstLine="66"/>
        <w:rPr>
          <w:sz w:val="16"/>
        </w:rPr>
      </w:pPr>
      <w:r w:rsidRPr="0046725D">
        <w:rPr>
          <w:sz w:val="16"/>
        </w:rPr>
        <w:t>Fuente: Ministerio de Finanzas Públicas</w:t>
      </w:r>
      <w:r>
        <w:rPr>
          <w:sz w:val="16"/>
        </w:rPr>
        <w:t>.</w:t>
      </w:r>
    </w:p>
    <w:p w:rsidR="006A75DE" w:rsidRPr="00256F9C" w:rsidRDefault="006A75DE" w:rsidP="006A75DE">
      <w:pPr>
        <w:pStyle w:val="Ttulo2"/>
        <w:numPr>
          <w:ilvl w:val="0"/>
          <w:numId w:val="6"/>
        </w:numPr>
        <w:spacing w:line="276" w:lineRule="auto"/>
        <w:ind w:left="567" w:hanging="567"/>
        <w:rPr>
          <w:rFonts w:ascii="Times New Roman" w:hAnsi="Times New Roman"/>
          <w:color w:val="000000" w:themeColor="text1"/>
          <w:sz w:val="24"/>
          <w:szCs w:val="24"/>
        </w:rPr>
      </w:pPr>
      <w:bookmarkStart w:id="15" w:name="_Toc514399371"/>
      <w:bookmarkStart w:id="16" w:name="_Toc4775337"/>
      <w:bookmarkStart w:id="17" w:name="_Toc441675753"/>
      <w:bookmarkStart w:id="18" w:name="_Toc482339305"/>
      <w:bookmarkEnd w:id="1"/>
      <w:bookmarkEnd w:id="4"/>
      <w:r w:rsidRPr="00256F9C">
        <w:rPr>
          <w:rFonts w:ascii="Times New Roman" w:hAnsi="Times New Roman"/>
          <w:color w:val="000000" w:themeColor="text1"/>
          <w:sz w:val="24"/>
          <w:szCs w:val="24"/>
        </w:rPr>
        <w:t>Deuda Pública</w:t>
      </w:r>
      <w:bookmarkEnd w:id="15"/>
      <w:bookmarkEnd w:id="16"/>
    </w:p>
    <w:p w:rsidR="006A75DE" w:rsidRPr="00763F29" w:rsidRDefault="006A75DE" w:rsidP="006A75DE">
      <w:pPr>
        <w:rPr>
          <w:sz w:val="14"/>
        </w:rPr>
      </w:pPr>
    </w:p>
    <w:p w:rsidR="006A75DE" w:rsidRDefault="006A75DE" w:rsidP="006A75DE">
      <w:pPr>
        <w:jc w:val="both"/>
      </w:pPr>
      <w:r w:rsidRPr="00763F29">
        <w:t xml:space="preserve">La política fiscal sigue </w:t>
      </w:r>
      <w:r>
        <w:t>l</w:t>
      </w:r>
      <w:r w:rsidRPr="00763F29">
        <w:t xml:space="preserve">a tendencia hacia una mejor focalización de los recursos en un marco de transparencia y de calidad del gasto, preservando la sostenibilidad fiscal, en los principales indicadores de solvencia de la deuda pública, lo cual se evidencia en la relación Deuda/PIB, </w:t>
      </w:r>
      <w:r>
        <w:t>que en promedio se mantiene en 23.9%</w:t>
      </w:r>
      <w:r w:rsidRPr="00763F29">
        <w:t xml:space="preserve">. </w:t>
      </w:r>
      <w:r>
        <w:t xml:space="preserve"> </w:t>
      </w:r>
      <w:r w:rsidRPr="00763F29">
        <w:t>Por su parte, el indicador que relaciona Deuda/Ingresos Fiscales se situó para 201</w:t>
      </w:r>
      <w:r>
        <w:t>8</w:t>
      </w:r>
      <w:r w:rsidRPr="00763F29">
        <w:t xml:space="preserve"> en 2</w:t>
      </w:r>
      <w:r>
        <w:t>48.2</w:t>
      </w:r>
      <w:r w:rsidRPr="00763F29">
        <w:t xml:space="preserve">%, mientras que el año anterior fue de </w:t>
      </w:r>
      <w:r>
        <w:t>233.7</w:t>
      </w:r>
      <w:r w:rsidRPr="00763F29">
        <w:t xml:space="preserve">%, el aumento se debió al mayor crecimiento </w:t>
      </w:r>
      <w:r>
        <w:t xml:space="preserve">de la deuda </w:t>
      </w:r>
      <w:r w:rsidRPr="00763F29">
        <w:t xml:space="preserve">respecto </w:t>
      </w:r>
      <w:r w:rsidR="00B7715E">
        <w:t>de</w:t>
      </w:r>
      <w:r>
        <w:t xml:space="preserve"> </w:t>
      </w:r>
      <w:r>
        <w:lastRenderedPageBreak/>
        <w:t xml:space="preserve">los ingresos tributarios; el </w:t>
      </w:r>
      <w:r w:rsidRPr="00763F29">
        <w:t>cual pasó de Q</w:t>
      </w:r>
      <w:r w:rsidR="00B7715E">
        <w:t>.</w:t>
      </w:r>
      <w:r w:rsidRPr="00763F29">
        <w:t>1</w:t>
      </w:r>
      <w:r>
        <w:t>32</w:t>
      </w:r>
      <w:r w:rsidRPr="00763F29">
        <w:t>,</w:t>
      </w:r>
      <w:r>
        <w:t>449.6</w:t>
      </w:r>
      <w:r w:rsidRPr="00763F29">
        <w:t xml:space="preserve"> millones en 201</w:t>
      </w:r>
      <w:r>
        <w:t>7</w:t>
      </w:r>
      <w:r w:rsidRPr="00763F29">
        <w:t xml:space="preserve"> a Q</w:t>
      </w:r>
      <w:r w:rsidR="00B7715E">
        <w:t>.</w:t>
      </w:r>
      <w:r w:rsidRPr="00763F29">
        <w:t>1</w:t>
      </w:r>
      <w:r>
        <w:t>46,020.6</w:t>
      </w:r>
      <w:r w:rsidRPr="00763F29">
        <w:t xml:space="preserve"> millones en 201</w:t>
      </w:r>
      <w:r>
        <w:t>8</w:t>
      </w:r>
      <w:r w:rsidRPr="00763F29">
        <w:t>.</w:t>
      </w:r>
    </w:p>
    <w:p w:rsidR="006A75DE" w:rsidRPr="00124AD6" w:rsidRDefault="006A75DE" w:rsidP="006A75DE">
      <w:pPr>
        <w:jc w:val="both"/>
      </w:pPr>
      <w:r w:rsidRPr="00124AD6">
        <w:t xml:space="preserve"> </w:t>
      </w:r>
    </w:p>
    <w:p w:rsidR="006A75DE" w:rsidRPr="00253E46" w:rsidRDefault="006A75DE" w:rsidP="006A75DE">
      <w:pPr>
        <w:jc w:val="center"/>
        <w:rPr>
          <w:b/>
          <w:lang w:val="es-MX"/>
        </w:rPr>
      </w:pPr>
      <w:r w:rsidRPr="00253E46">
        <w:rPr>
          <w:b/>
          <w:lang w:val="es-MX"/>
        </w:rPr>
        <w:t>Gráfica 11</w:t>
      </w:r>
    </w:p>
    <w:p w:rsidR="006A75DE" w:rsidRPr="00253E46" w:rsidRDefault="006A75DE" w:rsidP="006A75DE">
      <w:pPr>
        <w:jc w:val="center"/>
        <w:rPr>
          <w:b/>
          <w:lang w:val="es-MX"/>
        </w:rPr>
      </w:pPr>
      <w:r w:rsidRPr="00253E46">
        <w:rPr>
          <w:b/>
          <w:lang w:val="es-MX"/>
        </w:rPr>
        <w:t xml:space="preserve">Situación de la Deuda Pública; </w:t>
      </w:r>
      <w:r w:rsidR="00B7715E">
        <w:rPr>
          <w:b/>
          <w:lang w:val="es-MX"/>
        </w:rPr>
        <w:t>(P</w:t>
      </w:r>
      <w:r w:rsidRPr="00253E46">
        <w:rPr>
          <w:b/>
          <w:lang w:val="es-MX"/>
        </w:rPr>
        <w:t xml:space="preserve">orcentaje respecto </w:t>
      </w:r>
      <w:r w:rsidR="00B7715E">
        <w:rPr>
          <w:b/>
          <w:lang w:val="es-MX"/>
        </w:rPr>
        <w:t>del</w:t>
      </w:r>
      <w:r w:rsidRPr="00253E46">
        <w:rPr>
          <w:b/>
          <w:lang w:val="es-MX"/>
        </w:rPr>
        <w:t xml:space="preserve"> PIB</w:t>
      </w:r>
      <w:r w:rsidR="00B7715E">
        <w:rPr>
          <w:b/>
          <w:lang w:val="es-MX"/>
        </w:rPr>
        <w:t>)</w:t>
      </w:r>
    </w:p>
    <w:p w:rsidR="006A75DE" w:rsidRDefault="006A75DE" w:rsidP="006A75DE">
      <w:pPr>
        <w:jc w:val="center"/>
        <w:rPr>
          <w:b/>
          <w:sz w:val="22"/>
          <w:lang w:val="es-MX"/>
        </w:rPr>
      </w:pPr>
      <w:r w:rsidRPr="00253E46">
        <w:rPr>
          <w:b/>
          <w:lang w:val="es-MX"/>
        </w:rPr>
        <w:t>2008 – 201</w:t>
      </w:r>
      <w:r w:rsidR="00B7715E">
        <w:rPr>
          <w:b/>
          <w:lang w:val="es-MX"/>
        </w:rPr>
        <w:t>8</w:t>
      </w:r>
    </w:p>
    <w:p w:rsidR="006A75DE" w:rsidRPr="00124AD6" w:rsidRDefault="006A75DE" w:rsidP="006A75DE">
      <w:pPr>
        <w:jc w:val="center"/>
        <w:rPr>
          <w:b/>
          <w:lang w:val="es-MX"/>
        </w:rPr>
      </w:pPr>
      <w:r>
        <w:rPr>
          <w:noProof/>
          <w:lang w:val="es-GT" w:eastAsia="es-GT"/>
        </w:rPr>
        <w:drawing>
          <wp:inline distT="0" distB="0" distL="0" distR="0" wp14:anchorId="55341601" wp14:editId="4A3CFC67">
            <wp:extent cx="4572000" cy="2433638"/>
            <wp:effectExtent l="0" t="0" r="0" b="508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75DE" w:rsidRPr="0046725D" w:rsidRDefault="006A75DE" w:rsidP="006A75DE">
      <w:pPr>
        <w:ind w:firstLine="567"/>
        <w:rPr>
          <w:sz w:val="16"/>
          <w:lang w:val="es-MX"/>
        </w:rPr>
      </w:pPr>
      <w:r w:rsidRPr="0046725D">
        <w:rPr>
          <w:sz w:val="16"/>
          <w:lang w:val="es-MX"/>
        </w:rPr>
        <w:t xml:space="preserve">* Cifras </w:t>
      </w:r>
      <w:r>
        <w:rPr>
          <w:sz w:val="16"/>
          <w:lang w:val="es-MX"/>
        </w:rPr>
        <w:t>preliminares</w:t>
      </w:r>
    </w:p>
    <w:p w:rsidR="006A75DE" w:rsidRDefault="006A75DE" w:rsidP="006A75DE">
      <w:pPr>
        <w:ind w:firstLine="567"/>
        <w:rPr>
          <w:sz w:val="16"/>
          <w:lang w:val="es-MX"/>
        </w:rPr>
      </w:pPr>
      <w:r w:rsidRPr="0046725D">
        <w:rPr>
          <w:sz w:val="16"/>
          <w:lang w:val="es-MX"/>
        </w:rPr>
        <w:t>Fuente: Ministerio de Finanzas Públicas</w:t>
      </w:r>
      <w:r>
        <w:rPr>
          <w:sz w:val="16"/>
          <w:lang w:val="es-MX"/>
        </w:rPr>
        <w:t>.</w:t>
      </w:r>
    </w:p>
    <w:p w:rsidR="006A75DE" w:rsidRDefault="006A75DE" w:rsidP="006A75DE">
      <w:pPr>
        <w:ind w:firstLine="567"/>
        <w:rPr>
          <w:sz w:val="16"/>
          <w:lang w:val="es-MX"/>
        </w:rPr>
      </w:pPr>
    </w:p>
    <w:p w:rsidR="006A75DE" w:rsidRPr="0046725D" w:rsidRDefault="006A75DE" w:rsidP="006A75DE">
      <w:pPr>
        <w:ind w:firstLine="567"/>
        <w:rPr>
          <w:sz w:val="16"/>
          <w:lang w:val="es-MX"/>
        </w:rPr>
      </w:pPr>
    </w:p>
    <w:p w:rsidR="006A75DE" w:rsidRDefault="006A75DE" w:rsidP="00FA6B0D">
      <w:pPr>
        <w:pStyle w:val="Ttulo3"/>
        <w:numPr>
          <w:ilvl w:val="0"/>
          <w:numId w:val="42"/>
        </w:numPr>
        <w:spacing w:before="0"/>
        <w:rPr>
          <w:rFonts w:ascii="Times New Roman" w:hAnsi="Times New Roman"/>
          <w:color w:val="000000" w:themeColor="text1"/>
        </w:rPr>
      </w:pPr>
      <w:bookmarkStart w:id="19" w:name="_Toc514399372"/>
      <w:bookmarkStart w:id="20" w:name="_Toc4775338"/>
      <w:r w:rsidRPr="00256F9C">
        <w:rPr>
          <w:rFonts w:ascii="Times New Roman" w:hAnsi="Times New Roman"/>
          <w:color w:val="000000" w:themeColor="text1"/>
        </w:rPr>
        <w:t>Indicadores de la Deuda Pública</w:t>
      </w:r>
      <w:bookmarkEnd w:id="19"/>
      <w:bookmarkEnd w:id="20"/>
      <w:r w:rsidRPr="00256F9C">
        <w:rPr>
          <w:rFonts w:ascii="Times New Roman" w:hAnsi="Times New Roman"/>
          <w:color w:val="000000" w:themeColor="text1"/>
        </w:rPr>
        <w:t xml:space="preserve"> </w:t>
      </w:r>
    </w:p>
    <w:p w:rsidR="00FA6B0D" w:rsidRDefault="00FA6B0D" w:rsidP="00FA6B0D"/>
    <w:p w:rsidR="006A75DE" w:rsidRPr="00FA6B0D" w:rsidRDefault="006A75DE" w:rsidP="00FA6B0D">
      <w:pPr>
        <w:pStyle w:val="Sinespaciado"/>
        <w:jc w:val="both"/>
        <w:rPr>
          <w:rFonts w:ascii="Times New Roman" w:hAnsi="Times New Roman" w:cs="Times New Roman"/>
        </w:rPr>
      </w:pPr>
      <w:r w:rsidRPr="00FA6B0D">
        <w:rPr>
          <w:rFonts w:ascii="Times New Roman" w:hAnsi="Times New Roman" w:cs="Times New Roman"/>
        </w:rPr>
        <w:t>Guatemala se mantiene en niveles aceptables de endeudamiento, dado que no se han sobrepasado los estándares internacionalmente aceptados, tanto en la proporción de los ingresos fiscales como en lo que respecta al porcentaje del PIB.</w:t>
      </w:r>
    </w:p>
    <w:p w:rsidR="006A75DE" w:rsidRPr="00124AD6" w:rsidRDefault="006A75DE" w:rsidP="006A75DE">
      <w:pPr>
        <w:autoSpaceDE w:val="0"/>
        <w:autoSpaceDN w:val="0"/>
        <w:adjustRightInd w:val="0"/>
        <w:jc w:val="both"/>
      </w:pPr>
    </w:p>
    <w:p w:rsidR="006A75DE" w:rsidRDefault="006A75DE" w:rsidP="006A75DE">
      <w:pPr>
        <w:jc w:val="both"/>
        <w:rPr>
          <w:lang w:val="es-MX"/>
        </w:rPr>
      </w:pPr>
      <w:r w:rsidRPr="00124AD6">
        <w:rPr>
          <w:lang w:val="es-MX"/>
        </w:rPr>
        <w:t xml:space="preserve">La distribución porcentual de la deuda </w:t>
      </w:r>
      <w:r>
        <w:rPr>
          <w:lang w:val="es-MX"/>
        </w:rPr>
        <w:t xml:space="preserve">interna y </w:t>
      </w:r>
      <w:r w:rsidRPr="00124AD6">
        <w:rPr>
          <w:lang w:val="es-MX"/>
        </w:rPr>
        <w:t>externa</w:t>
      </w:r>
      <w:r>
        <w:rPr>
          <w:lang w:val="es-MX"/>
        </w:rPr>
        <w:t xml:space="preserve"> </w:t>
      </w:r>
      <w:r w:rsidRPr="00124AD6">
        <w:rPr>
          <w:lang w:val="es-MX"/>
        </w:rPr>
        <w:t xml:space="preserve">se </w:t>
      </w:r>
      <w:r>
        <w:rPr>
          <w:lang w:val="es-MX"/>
        </w:rPr>
        <w:t xml:space="preserve">ubicó </w:t>
      </w:r>
      <w:r w:rsidRPr="00124AD6">
        <w:rPr>
          <w:lang w:val="es-MX"/>
        </w:rPr>
        <w:t>en 5</w:t>
      </w:r>
      <w:r>
        <w:rPr>
          <w:lang w:val="es-MX"/>
        </w:rPr>
        <w:t>4.6</w:t>
      </w:r>
      <w:r w:rsidRPr="00124AD6">
        <w:rPr>
          <w:lang w:val="es-MX"/>
        </w:rPr>
        <w:t>% y 4</w:t>
      </w:r>
      <w:r>
        <w:rPr>
          <w:lang w:val="es-MX"/>
        </w:rPr>
        <w:t>5.4</w:t>
      </w:r>
      <w:r w:rsidRPr="00124AD6">
        <w:rPr>
          <w:lang w:val="es-MX"/>
        </w:rPr>
        <w:t>%</w:t>
      </w:r>
      <w:r>
        <w:rPr>
          <w:lang w:val="es-MX"/>
        </w:rPr>
        <w:t xml:space="preserve"> para 2017,</w:t>
      </w:r>
      <w:r w:rsidRPr="00124AD6">
        <w:rPr>
          <w:lang w:val="es-MX"/>
        </w:rPr>
        <w:t xml:space="preserve"> </w:t>
      </w:r>
      <w:r>
        <w:rPr>
          <w:lang w:val="es-MX"/>
        </w:rPr>
        <w:t>en tanto que para 2018 fue de 56.4% y 43.6%</w:t>
      </w:r>
      <w:r w:rsidR="00B7715E">
        <w:rPr>
          <w:lang w:val="es-MX"/>
        </w:rPr>
        <w:t>,</w:t>
      </w:r>
      <w:r>
        <w:rPr>
          <w:lang w:val="es-MX"/>
        </w:rPr>
        <w:t xml:space="preserve"> </w:t>
      </w:r>
      <w:r w:rsidRPr="00124AD6">
        <w:rPr>
          <w:lang w:val="es-MX"/>
        </w:rPr>
        <w:t>respectivamente</w:t>
      </w:r>
      <w:r w:rsidR="00B7715E">
        <w:rPr>
          <w:lang w:val="es-MX"/>
        </w:rPr>
        <w:t>;</w:t>
      </w:r>
      <w:r>
        <w:rPr>
          <w:lang w:val="es-MX"/>
        </w:rPr>
        <w:t xml:space="preserve"> evidencia</w:t>
      </w:r>
      <w:r w:rsidR="00B7715E">
        <w:rPr>
          <w:lang w:val="es-MX"/>
        </w:rPr>
        <w:t>ndo</w:t>
      </w:r>
      <w:r>
        <w:rPr>
          <w:lang w:val="es-MX"/>
        </w:rPr>
        <w:t xml:space="preserve"> un pequeño aumento en la deuda interna</w:t>
      </w:r>
      <w:r w:rsidRPr="00124AD6">
        <w:rPr>
          <w:lang w:val="es-MX"/>
        </w:rPr>
        <w:t xml:space="preserve">. </w:t>
      </w:r>
      <w:r>
        <w:rPr>
          <w:lang w:val="es-MX"/>
        </w:rPr>
        <w:t xml:space="preserve"> Con base a la información publicada en el Reporte de Operaciones de Crédito Público, la composición de la  deuda pública por tasa de interés al cierre de 2018 es de</w:t>
      </w:r>
      <w:r w:rsidRPr="00124AD6">
        <w:rPr>
          <w:lang w:val="es-MX"/>
        </w:rPr>
        <w:t xml:space="preserve"> 7</w:t>
      </w:r>
      <w:r>
        <w:rPr>
          <w:lang w:val="es-MX"/>
        </w:rPr>
        <w:t>5.6</w:t>
      </w:r>
      <w:r w:rsidRPr="00124AD6">
        <w:rPr>
          <w:lang w:val="es-MX"/>
        </w:rPr>
        <w:t xml:space="preserve">% con tasa de interés fija </w:t>
      </w:r>
      <w:r>
        <w:rPr>
          <w:lang w:val="es-MX"/>
        </w:rPr>
        <w:t xml:space="preserve">y un </w:t>
      </w:r>
      <w:r w:rsidRPr="00124AD6">
        <w:rPr>
          <w:lang w:val="es-MX"/>
        </w:rPr>
        <w:t>2</w:t>
      </w:r>
      <w:r>
        <w:rPr>
          <w:lang w:val="es-MX"/>
        </w:rPr>
        <w:t>4.4</w:t>
      </w:r>
      <w:r w:rsidRPr="00124AD6">
        <w:rPr>
          <w:lang w:val="es-MX"/>
        </w:rPr>
        <w:t xml:space="preserve">% </w:t>
      </w:r>
      <w:r>
        <w:rPr>
          <w:lang w:val="es-MX"/>
        </w:rPr>
        <w:t>con tasa de interés variable</w:t>
      </w:r>
      <w:r w:rsidRPr="00124AD6">
        <w:rPr>
          <w:lang w:val="es-MX"/>
        </w:rPr>
        <w:t>.</w:t>
      </w:r>
      <w:r>
        <w:rPr>
          <w:lang w:val="es-MX"/>
        </w:rPr>
        <w:t xml:space="preserve">  Asimismo, por tipo de moneda se tiene la siguiente composición: moneda nacional 52.1%  y</w:t>
      </w:r>
      <w:r w:rsidR="00B7715E">
        <w:rPr>
          <w:lang w:val="es-MX"/>
        </w:rPr>
        <w:t xml:space="preserve"> </w:t>
      </w:r>
      <w:r>
        <w:rPr>
          <w:lang w:val="es-MX"/>
        </w:rPr>
        <w:t xml:space="preserve"> 47.9% en moneda extranjera.</w:t>
      </w:r>
    </w:p>
    <w:p w:rsidR="006A75DE" w:rsidRDefault="006A75DE" w:rsidP="006A75DE">
      <w:pPr>
        <w:jc w:val="both"/>
        <w:rPr>
          <w:lang w:val="es-MX"/>
        </w:rPr>
      </w:pPr>
    </w:p>
    <w:p w:rsidR="006A75DE" w:rsidRDefault="006A75DE" w:rsidP="006A75DE">
      <w:pPr>
        <w:jc w:val="center"/>
        <w:rPr>
          <w:b/>
          <w:lang w:val="es-MX"/>
        </w:rPr>
      </w:pPr>
    </w:p>
    <w:p w:rsidR="006A75DE" w:rsidRDefault="006A75DE" w:rsidP="006A75DE">
      <w:pPr>
        <w:jc w:val="center"/>
        <w:rPr>
          <w:b/>
          <w:lang w:val="es-MX"/>
        </w:rPr>
      </w:pPr>
    </w:p>
    <w:p w:rsidR="006A75DE" w:rsidRDefault="006A75DE" w:rsidP="006A75DE">
      <w:pPr>
        <w:jc w:val="center"/>
        <w:rPr>
          <w:b/>
          <w:lang w:val="es-MX"/>
        </w:rPr>
      </w:pPr>
    </w:p>
    <w:p w:rsidR="006A75DE" w:rsidRDefault="006A75DE" w:rsidP="006A75DE">
      <w:pPr>
        <w:jc w:val="center"/>
        <w:rPr>
          <w:b/>
          <w:lang w:val="es-MX"/>
        </w:rPr>
      </w:pPr>
    </w:p>
    <w:p w:rsidR="006A75DE" w:rsidRDefault="006A75DE" w:rsidP="006A75DE">
      <w:pPr>
        <w:jc w:val="center"/>
        <w:rPr>
          <w:b/>
          <w:lang w:val="es-MX"/>
        </w:rPr>
      </w:pPr>
    </w:p>
    <w:p w:rsidR="006A75DE" w:rsidRDefault="006A75DE" w:rsidP="006A75DE">
      <w:pPr>
        <w:jc w:val="center"/>
        <w:rPr>
          <w:b/>
          <w:lang w:val="es-MX"/>
        </w:rPr>
      </w:pPr>
    </w:p>
    <w:p w:rsidR="006A75DE" w:rsidRDefault="006A75DE" w:rsidP="006A75DE">
      <w:pPr>
        <w:jc w:val="center"/>
        <w:rPr>
          <w:b/>
          <w:lang w:val="es-MX"/>
        </w:rPr>
      </w:pPr>
    </w:p>
    <w:p w:rsidR="006A75DE" w:rsidRDefault="006A75DE" w:rsidP="006A75DE">
      <w:pPr>
        <w:jc w:val="center"/>
        <w:rPr>
          <w:b/>
          <w:lang w:val="es-MX"/>
        </w:rPr>
      </w:pPr>
    </w:p>
    <w:p w:rsidR="006A75DE" w:rsidRPr="00253E46" w:rsidRDefault="006A75DE" w:rsidP="006A75DE">
      <w:pPr>
        <w:jc w:val="center"/>
        <w:rPr>
          <w:b/>
          <w:lang w:val="es-MX"/>
        </w:rPr>
      </w:pPr>
      <w:r w:rsidRPr="00253E46">
        <w:rPr>
          <w:b/>
          <w:lang w:val="es-MX"/>
        </w:rPr>
        <w:lastRenderedPageBreak/>
        <w:t>Gráfica 12</w:t>
      </w:r>
    </w:p>
    <w:p w:rsidR="006A75DE" w:rsidRPr="00253E46" w:rsidRDefault="006A75DE" w:rsidP="006A75DE">
      <w:pPr>
        <w:jc w:val="center"/>
        <w:rPr>
          <w:b/>
          <w:lang w:val="es-MX"/>
        </w:rPr>
      </w:pPr>
      <w:r w:rsidRPr="00253E46">
        <w:rPr>
          <w:b/>
          <w:lang w:val="es-MX"/>
        </w:rPr>
        <w:t>Composición de la Deuda Pública en Interna y Externa</w:t>
      </w:r>
    </w:p>
    <w:p w:rsidR="006A75DE" w:rsidRPr="00124AD6" w:rsidRDefault="006A75DE" w:rsidP="006A75DE">
      <w:pPr>
        <w:jc w:val="center"/>
        <w:rPr>
          <w:lang w:val="es-MX"/>
        </w:rPr>
      </w:pPr>
      <w:r>
        <w:rPr>
          <w:noProof/>
          <w:lang w:val="es-GT" w:eastAsia="es-GT"/>
        </w:rPr>
        <w:drawing>
          <wp:inline distT="0" distB="0" distL="0" distR="0" wp14:anchorId="20ABE5AB" wp14:editId="7D969A53">
            <wp:extent cx="3357563" cy="1628775"/>
            <wp:effectExtent l="0" t="0" r="14605" b="9525"/>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75DE" w:rsidRPr="0046725D" w:rsidRDefault="006A75DE" w:rsidP="006A75DE">
      <w:pPr>
        <w:ind w:firstLine="567"/>
        <w:rPr>
          <w:sz w:val="16"/>
          <w:lang w:val="es-MX"/>
        </w:rPr>
      </w:pPr>
      <w:r>
        <w:rPr>
          <w:sz w:val="16"/>
          <w:lang w:val="es-MX"/>
        </w:rPr>
        <w:t xml:space="preserve">                           </w:t>
      </w:r>
      <w:r w:rsidRPr="0046725D">
        <w:rPr>
          <w:sz w:val="16"/>
          <w:lang w:val="es-MX"/>
        </w:rPr>
        <w:t>Fuente: Ministerio de Finanzas Públicas</w:t>
      </w:r>
      <w:r>
        <w:rPr>
          <w:sz w:val="16"/>
          <w:lang w:val="es-MX"/>
        </w:rPr>
        <w:t>.</w:t>
      </w:r>
    </w:p>
    <w:p w:rsidR="006A75DE" w:rsidRDefault="006A75DE" w:rsidP="006A75DE">
      <w:pPr>
        <w:jc w:val="both"/>
        <w:rPr>
          <w:lang w:val="es-MX"/>
        </w:rPr>
      </w:pPr>
    </w:p>
    <w:p w:rsidR="006A75DE" w:rsidRDefault="006A75DE" w:rsidP="006A75DE">
      <w:pPr>
        <w:jc w:val="both"/>
        <w:rPr>
          <w:lang w:val="es-MX"/>
        </w:rPr>
      </w:pPr>
    </w:p>
    <w:p w:rsidR="006A75DE" w:rsidRDefault="006A75DE" w:rsidP="006A75DE">
      <w:pPr>
        <w:jc w:val="both"/>
        <w:rPr>
          <w:lang w:val="es-MX"/>
        </w:rPr>
      </w:pPr>
    </w:p>
    <w:p w:rsidR="006A75DE" w:rsidRDefault="006A75DE" w:rsidP="006A75DE">
      <w:pPr>
        <w:jc w:val="center"/>
        <w:rPr>
          <w:b/>
          <w:sz w:val="22"/>
          <w:lang w:val="es-MX"/>
        </w:rPr>
      </w:pPr>
      <w:r w:rsidRPr="0046725D">
        <w:rPr>
          <w:b/>
          <w:sz w:val="22"/>
          <w:lang w:val="es-MX"/>
        </w:rPr>
        <w:t>Gráfica 1</w:t>
      </w:r>
      <w:r>
        <w:rPr>
          <w:b/>
          <w:sz w:val="22"/>
          <w:lang w:val="es-MX"/>
        </w:rPr>
        <w:t>3</w:t>
      </w:r>
    </w:p>
    <w:p w:rsidR="006A75DE" w:rsidRPr="0046725D" w:rsidRDefault="006A75DE" w:rsidP="006A75DE">
      <w:pPr>
        <w:jc w:val="center"/>
        <w:rPr>
          <w:b/>
          <w:sz w:val="22"/>
          <w:lang w:val="es-MX"/>
        </w:rPr>
      </w:pPr>
      <w:r>
        <w:rPr>
          <w:b/>
          <w:sz w:val="22"/>
          <w:lang w:val="es-MX"/>
        </w:rPr>
        <w:t xml:space="preserve">Composición </w:t>
      </w:r>
      <w:r w:rsidRPr="0046725D">
        <w:rPr>
          <w:b/>
          <w:sz w:val="22"/>
          <w:lang w:val="es-MX"/>
        </w:rPr>
        <w:t>de la Deuda Pública</w:t>
      </w:r>
      <w:r>
        <w:rPr>
          <w:b/>
          <w:sz w:val="22"/>
          <w:lang w:val="es-MX"/>
        </w:rPr>
        <w:t xml:space="preserve"> por Tasa de Interés</w:t>
      </w:r>
    </w:p>
    <w:p w:rsidR="006A75DE" w:rsidRDefault="006A75DE" w:rsidP="006A75DE">
      <w:pPr>
        <w:jc w:val="center"/>
        <w:rPr>
          <w:lang w:val="es-MX"/>
        </w:rPr>
      </w:pPr>
      <w:r>
        <w:rPr>
          <w:noProof/>
          <w:lang w:val="es-GT" w:eastAsia="es-GT"/>
        </w:rPr>
        <w:drawing>
          <wp:inline distT="0" distB="0" distL="0" distR="0" wp14:anchorId="15AB4DC1" wp14:editId="67D2924B">
            <wp:extent cx="3124199" cy="1585912"/>
            <wp:effectExtent l="0" t="0" r="19685" b="14605"/>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A75DE" w:rsidRPr="0046725D" w:rsidRDefault="006A75DE" w:rsidP="006A75DE">
      <w:pPr>
        <w:ind w:firstLine="567"/>
        <w:rPr>
          <w:sz w:val="16"/>
          <w:lang w:val="es-MX"/>
        </w:rPr>
      </w:pPr>
      <w:r>
        <w:rPr>
          <w:sz w:val="16"/>
          <w:lang w:val="es-MX"/>
        </w:rPr>
        <w:t xml:space="preserve">                              </w:t>
      </w:r>
      <w:r w:rsidRPr="0046725D">
        <w:rPr>
          <w:sz w:val="16"/>
          <w:lang w:val="es-MX"/>
        </w:rPr>
        <w:t>Fuente: Ministerio de Finanzas Públicas</w:t>
      </w:r>
      <w:r>
        <w:rPr>
          <w:sz w:val="16"/>
          <w:lang w:val="es-MX"/>
        </w:rPr>
        <w:t>.</w:t>
      </w:r>
    </w:p>
    <w:p w:rsidR="006A75DE" w:rsidRDefault="006A75DE" w:rsidP="006A75DE">
      <w:pPr>
        <w:jc w:val="both"/>
        <w:rPr>
          <w:lang w:val="es-MX"/>
        </w:rPr>
      </w:pPr>
    </w:p>
    <w:p w:rsidR="006A75DE" w:rsidRPr="00124AD6" w:rsidRDefault="006A75DE" w:rsidP="006A75DE">
      <w:pPr>
        <w:jc w:val="both"/>
        <w:rPr>
          <w:lang w:val="es-MX"/>
        </w:rPr>
      </w:pPr>
    </w:p>
    <w:p w:rsidR="006A75DE" w:rsidRPr="00253E46" w:rsidRDefault="006A75DE" w:rsidP="006A75DE">
      <w:pPr>
        <w:jc w:val="center"/>
        <w:rPr>
          <w:b/>
          <w:lang w:val="es-MX"/>
        </w:rPr>
      </w:pPr>
      <w:r w:rsidRPr="00253E46">
        <w:rPr>
          <w:b/>
          <w:lang w:val="es-MX"/>
        </w:rPr>
        <w:t>Gráfica 14</w:t>
      </w:r>
    </w:p>
    <w:p w:rsidR="006A75DE" w:rsidRPr="00253E46" w:rsidRDefault="006A75DE" w:rsidP="006A75DE">
      <w:pPr>
        <w:jc w:val="center"/>
        <w:rPr>
          <w:b/>
          <w:lang w:val="es-MX"/>
        </w:rPr>
      </w:pPr>
      <w:r w:rsidRPr="00253E46">
        <w:rPr>
          <w:b/>
          <w:lang w:val="es-MX"/>
        </w:rPr>
        <w:t>Composición de la Deuda Pública en Quetzales y Moneda Extranjera</w:t>
      </w:r>
    </w:p>
    <w:p w:rsidR="006A75DE" w:rsidRPr="00124AD6" w:rsidRDefault="006A75DE" w:rsidP="006A75DE">
      <w:pPr>
        <w:jc w:val="center"/>
        <w:rPr>
          <w:lang w:val="es-MX"/>
        </w:rPr>
      </w:pPr>
      <w:r>
        <w:rPr>
          <w:noProof/>
          <w:lang w:val="es-GT" w:eastAsia="es-GT"/>
        </w:rPr>
        <w:drawing>
          <wp:inline distT="0" distB="0" distL="0" distR="0" wp14:anchorId="14433565" wp14:editId="7164179D">
            <wp:extent cx="3238500" cy="1871662"/>
            <wp:effectExtent l="0" t="0" r="19050" b="14605"/>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A75DE" w:rsidRPr="0046725D" w:rsidRDefault="006A75DE" w:rsidP="006A75DE">
      <w:pPr>
        <w:ind w:firstLine="567"/>
        <w:rPr>
          <w:sz w:val="16"/>
          <w:lang w:val="es-MX"/>
        </w:rPr>
      </w:pPr>
      <w:r>
        <w:rPr>
          <w:sz w:val="16"/>
          <w:lang w:val="es-MX"/>
        </w:rPr>
        <w:t xml:space="preserve">                                </w:t>
      </w:r>
      <w:r w:rsidRPr="0046725D">
        <w:rPr>
          <w:sz w:val="16"/>
          <w:lang w:val="es-MX"/>
        </w:rPr>
        <w:t>Fuente: Ministerio de Finanzas Públicas</w:t>
      </w:r>
      <w:r>
        <w:rPr>
          <w:sz w:val="16"/>
          <w:lang w:val="es-MX"/>
        </w:rPr>
        <w:t>.</w:t>
      </w:r>
    </w:p>
    <w:p w:rsidR="006A75DE" w:rsidRDefault="006A75DE" w:rsidP="006A75DE">
      <w:pPr>
        <w:rPr>
          <w:b/>
          <w:bCs/>
        </w:rPr>
      </w:pPr>
    </w:p>
    <w:p w:rsidR="006A75DE" w:rsidRDefault="006A75DE" w:rsidP="006A75DE">
      <w:pPr>
        <w:jc w:val="both"/>
        <w:rPr>
          <w:bCs/>
        </w:rPr>
      </w:pPr>
      <w:r>
        <w:rPr>
          <w:bCs/>
        </w:rPr>
        <w:t xml:space="preserve">El presupuesto del ejercicio fiscal 2018 fue financiado con recursos provenientes de fuentes externas (préstamos) y fuentes internas (bonos). Según el Decreto </w:t>
      </w:r>
      <w:r w:rsidR="00B7715E">
        <w:rPr>
          <w:bCs/>
        </w:rPr>
        <w:t xml:space="preserve">No. </w:t>
      </w:r>
      <w:r>
        <w:rPr>
          <w:bCs/>
        </w:rPr>
        <w:t xml:space="preserve">50-2016 </w:t>
      </w:r>
      <w:r w:rsidR="00B7715E">
        <w:rPr>
          <w:bCs/>
        </w:rPr>
        <w:t xml:space="preserve">que siguió </w:t>
      </w:r>
      <w:r w:rsidR="00B7715E">
        <w:rPr>
          <w:bCs/>
        </w:rPr>
        <w:lastRenderedPageBreak/>
        <w:t xml:space="preserve">vigente en 2018, </w:t>
      </w:r>
      <w:r>
        <w:rPr>
          <w:bCs/>
        </w:rPr>
        <w:t>el presupuesto de deuda aprobado fue de Q.13,124.3 millones, integrados de la siguiente manera: a) recursos de préstamo</w:t>
      </w:r>
      <w:r w:rsidR="00B7715E">
        <w:rPr>
          <w:bCs/>
        </w:rPr>
        <w:t>s</w:t>
      </w:r>
      <w:r>
        <w:rPr>
          <w:bCs/>
        </w:rPr>
        <w:t xml:space="preserve"> Q.2,580.8 millones y b) recursos a través de bonos públicos Q.10,543.5 millones; de los cuales se ejecutaron Q.2,292.2 millones</w:t>
      </w:r>
      <w:r w:rsidR="00B7715E">
        <w:rPr>
          <w:bCs/>
        </w:rPr>
        <w:t xml:space="preserve"> </w:t>
      </w:r>
      <w:r>
        <w:rPr>
          <w:bCs/>
        </w:rPr>
        <w:t xml:space="preserve"> y Q. 8,317.1 millones</w:t>
      </w:r>
      <w:r w:rsidR="00B7715E">
        <w:rPr>
          <w:bCs/>
        </w:rPr>
        <w:t>,</w:t>
      </w:r>
      <w:r>
        <w:rPr>
          <w:bCs/>
        </w:rPr>
        <w:t xml:space="preserve"> respectivamente. </w:t>
      </w:r>
    </w:p>
    <w:p w:rsidR="004F1887" w:rsidRDefault="004F1887" w:rsidP="004F1887">
      <w:pPr>
        <w:jc w:val="center"/>
        <w:rPr>
          <w:b/>
        </w:rPr>
      </w:pPr>
    </w:p>
    <w:p w:rsidR="004F1887" w:rsidRPr="00124AD6" w:rsidRDefault="004F1887" w:rsidP="004F1887">
      <w:pPr>
        <w:jc w:val="center"/>
        <w:rPr>
          <w:b/>
        </w:rPr>
      </w:pPr>
      <w:r w:rsidRPr="00124AD6">
        <w:rPr>
          <w:b/>
        </w:rPr>
        <w:t xml:space="preserve">Cuadro </w:t>
      </w:r>
      <w:r w:rsidR="00875325">
        <w:rPr>
          <w:b/>
        </w:rPr>
        <w:t>4</w:t>
      </w:r>
    </w:p>
    <w:tbl>
      <w:tblPr>
        <w:tblW w:w="7229" w:type="dxa"/>
        <w:tblInd w:w="921" w:type="dxa"/>
        <w:tblCellMar>
          <w:left w:w="70" w:type="dxa"/>
          <w:right w:w="70" w:type="dxa"/>
        </w:tblCellMar>
        <w:tblLook w:val="04A0" w:firstRow="1" w:lastRow="0" w:firstColumn="1" w:lastColumn="0" w:noHBand="0" w:noVBand="1"/>
      </w:tblPr>
      <w:tblGrid>
        <w:gridCol w:w="1730"/>
        <w:gridCol w:w="1388"/>
        <w:gridCol w:w="1418"/>
        <w:gridCol w:w="1276"/>
        <w:gridCol w:w="1417"/>
      </w:tblGrid>
      <w:tr w:rsidR="006A75DE" w:rsidRPr="00BB6F45" w:rsidTr="00875325">
        <w:trPr>
          <w:trHeight w:val="315"/>
        </w:trPr>
        <w:tc>
          <w:tcPr>
            <w:tcW w:w="7229" w:type="dxa"/>
            <w:gridSpan w:val="5"/>
            <w:tcBorders>
              <w:top w:val="nil"/>
              <w:left w:val="nil"/>
              <w:bottom w:val="nil"/>
              <w:right w:val="nil"/>
            </w:tcBorders>
            <w:shd w:val="clear" w:color="auto" w:fill="auto"/>
            <w:noWrap/>
            <w:vAlign w:val="bottom"/>
            <w:hideMark/>
          </w:tcPr>
          <w:p w:rsidR="006A75DE" w:rsidRPr="00BB6F45" w:rsidRDefault="006A75DE" w:rsidP="001E2EF8">
            <w:pPr>
              <w:jc w:val="center"/>
              <w:rPr>
                <w:b/>
                <w:bCs/>
                <w:color w:val="000000"/>
                <w:lang w:val="es-GT" w:eastAsia="es-GT"/>
              </w:rPr>
            </w:pPr>
            <w:r w:rsidRPr="00BB6F45">
              <w:rPr>
                <w:b/>
                <w:bCs/>
                <w:color w:val="000000"/>
                <w:lang w:val="es-GT" w:eastAsia="es-GT"/>
              </w:rPr>
              <w:t xml:space="preserve">Financiamiento </w:t>
            </w:r>
            <w:r w:rsidR="00875325">
              <w:rPr>
                <w:b/>
                <w:bCs/>
                <w:color w:val="000000"/>
                <w:lang w:val="es-GT" w:eastAsia="es-GT"/>
              </w:rPr>
              <w:t xml:space="preserve">del </w:t>
            </w:r>
            <w:r w:rsidRPr="00BB6F45">
              <w:rPr>
                <w:b/>
                <w:bCs/>
                <w:color w:val="000000"/>
                <w:lang w:val="es-GT" w:eastAsia="es-GT"/>
              </w:rPr>
              <w:t>Presupuesto 2018</w:t>
            </w:r>
          </w:p>
        </w:tc>
      </w:tr>
      <w:tr w:rsidR="006A75DE" w:rsidRPr="00BB6F45" w:rsidTr="00875325">
        <w:trPr>
          <w:trHeight w:val="330"/>
        </w:trPr>
        <w:tc>
          <w:tcPr>
            <w:tcW w:w="7229" w:type="dxa"/>
            <w:gridSpan w:val="5"/>
            <w:tcBorders>
              <w:top w:val="nil"/>
              <w:left w:val="nil"/>
              <w:bottom w:val="nil"/>
              <w:right w:val="nil"/>
            </w:tcBorders>
            <w:shd w:val="clear" w:color="auto" w:fill="auto"/>
            <w:noWrap/>
            <w:vAlign w:val="bottom"/>
            <w:hideMark/>
          </w:tcPr>
          <w:p w:rsidR="006A75DE" w:rsidRPr="00BB6F45" w:rsidRDefault="00875325" w:rsidP="001E2EF8">
            <w:pPr>
              <w:jc w:val="center"/>
              <w:rPr>
                <w:b/>
                <w:bCs/>
                <w:color w:val="000000"/>
                <w:lang w:val="es-GT" w:eastAsia="es-GT"/>
              </w:rPr>
            </w:pPr>
            <w:r>
              <w:rPr>
                <w:b/>
                <w:bCs/>
                <w:color w:val="000000"/>
                <w:lang w:val="es-GT" w:eastAsia="es-GT"/>
              </w:rPr>
              <w:t>(</w:t>
            </w:r>
            <w:r w:rsidR="006A75DE" w:rsidRPr="00BB6F45">
              <w:rPr>
                <w:b/>
                <w:bCs/>
                <w:color w:val="000000"/>
                <w:lang w:val="es-GT" w:eastAsia="es-GT"/>
              </w:rPr>
              <w:t>Millones de Quetzales</w:t>
            </w:r>
            <w:r>
              <w:rPr>
                <w:b/>
                <w:bCs/>
                <w:color w:val="000000"/>
                <w:lang w:val="es-GT" w:eastAsia="es-GT"/>
              </w:rPr>
              <w:t>)</w:t>
            </w:r>
          </w:p>
        </w:tc>
      </w:tr>
      <w:tr w:rsidR="00875325" w:rsidRPr="00BB6F45" w:rsidTr="009E562A">
        <w:trPr>
          <w:trHeight w:val="450"/>
        </w:trPr>
        <w:tc>
          <w:tcPr>
            <w:tcW w:w="1730" w:type="dxa"/>
            <w:vMerge w:val="restart"/>
            <w:tcBorders>
              <w:top w:val="single" w:sz="8" w:space="0" w:color="auto"/>
              <w:left w:val="single" w:sz="8" w:space="0" w:color="auto"/>
              <w:right w:val="single" w:sz="4" w:space="0" w:color="auto"/>
            </w:tcBorders>
            <w:shd w:val="clear" w:color="auto" w:fill="99CCFF"/>
            <w:noWrap/>
            <w:vAlign w:val="bottom"/>
            <w:hideMark/>
          </w:tcPr>
          <w:p w:rsidR="00875325" w:rsidRPr="00875325" w:rsidRDefault="00875325" w:rsidP="00875325">
            <w:pPr>
              <w:jc w:val="center"/>
              <w:rPr>
                <w:b/>
                <w:color w:val="000000"/>
                <w:sz w:val="22"/>
                <w:szCs w:val="22"/>
                <w:lang w:val="es-GT" w:eastAsia="es-GT"/>
              </w:rPr>
            </w:pPr>
            <w:r w:rsidRPr="00875325">
              <w:rPr>
                <w:b/>
                <w:color w:val="000000"/>
                <w:sz w:val="22"/>
                <w:szCs w:val="22"/>
                <w:lang w:val="es-GT" w:eastAsia="es-GT"/>
              </w:rPr>
              <w:t>Concepto</w:t>
            </w:r>
          </w:p>
          <w:p w:rsidR="00875325" w:rsidRPr="00BB6F45" w:rsidRDefault="00875325" w:rsidP="00875325">
            <w:pPr>
              <w:jc w:val="center"/>
              <w:rPr>
                <w:rFonts w:ascii="Calibri" w:hAnsi="Calibri" w:cs="Calibri"/>
                <w:color w:val="000000"/>
                <w:sz w:val="22"/>
                <w:szCs w:val="22"/>
                <w:lang w:val="es-GT" w:eastAsia="es-GT"/>
              </w:rPr>
            </w:pPr>
          </w:p>
        </w:tc>
        <w:tc>
          <w:tcPr>
            <w:tcW w:w="2806" w:type="dxa"/>
            <w:gridSpan w:val="2"/>
            <w:tcBorders>
              <w:top w:val="single" w:sz="8" w:space="0" w:color="auto"/>
              <w:left w:val="single" w:sz="4" w:space="0" w:color="auto"/>
              <w:bottom w:val="single" w:sz="8" w:space="0" w:color="auto"/>
              <w:right w:val="single" w:sz="4" w:space="0" w:color="000000"/>
            </w:tcBorders>
            <w:shd w:val="clear" w:color="auto" w:fill="99CCFF"/>
            <w:noWrap/>
            <w:vAlign w:val="center"/>
            <w:hideMark/>
          </w:tcPr>
          <w:p w:rsidR="00875325" w:rsidRPr="00BB6F45" w:rsidRDefault="00875325" w:rsidP="009E562A">
            <w:pPr>
              <w:jc w:val="center"/>
              <w:rPr>
                <w:b/>
                <w:bCs/>
                <w:color w:val="000000"/>
                <w:lang w:val="es-GT" w:eastAsia="es-GT"/>
              </w:rPr>
            </w:pPr>
            <w:r w:rsidRPr="00BB6F45">
              <w:rPr>
                <w:b/>
                <w:bCs/>
                <w:color w:val="000000"/>
                <w:lang w:val="es-GT" w:eastAsia="es-GT"/>
              </w:rPr>
              <w:t>Presupuesto</w:t>
            </w:r>
          </w:p>
        </w:tc>
        <w:tc>
          <w:tcPr>
            <w:tcW w:w="2693" w:type="dxa"/>
            <w:gridSpan w:val="2"/>
            <w:tcBorders>
              <w:top w:val="single" w:sz="8" w:space="0" w:color="auto"/>
              <w:left w:val="nil"/>
              <w:bottom w:val="single" w:sz="8" w:space="0" w:color="auto"/>
              <w:right w:val="single" w:sz="8" w:space="0" w:color="000000"/>
            </w:tcBorders>
            <w:shd w:val="clear" w:color="auto" w:fill="99CCFF"/>
            <w:noWrap/>
            <w:vAlign w:val="center"/>
            <w:hideMark/>
          </w:tcPr>
          <w:p w:rsidR="00875325" w:rsidRPr="00BB6F45" w:rsidRDefault="00875325" w:rsidP="009E562A">
            <w:pPr>
              <w:jc w:val="center"/>
              <w:rPr>
                <w:b/>
                <w:bCs/>
                <w:color w:val="000000"/>
                <w:lang w:val="es-GT" w:eastAsia="es-GT"/>
              </w:rPr>
            </w:pPr>
            <w:r w:rsidRPr="00A13B8A">
              <w:rPr>
                <w:b/>
                <w:bCs/>
                <w:color w:val="000000"/>
                <w:sz w:val="28"/>
                <w:lang w:val="es-GT" w:eastAsia="es-GT"/>
              </w:rPr>
              <w:t>Variación</w:t>
            </w:r>
          </w:p>
        </w:tc>
      </w:tr>
      <w:tr w:rsidR="00875325" w:rsidRPr="00BB6F45" w:rsidTr="009E562A">
        <w:trPr>
          <w:trHeight w:val="480"/>
        </w:trPr>
        <w:tc>
          <w:tcPr>
            <w:tcW w:w="1730" w:type="dxa"/>
            <w:vMerge/>
            <w:tcBorders>
              <w:left w:val="single" w:sz="8" w:space="0" w:color="auto"/>
              <w:bottom w:val="single" w:sz="4" w:space="0" w:color="auto"/>
              <w:right w:val="single" w:sz="4" w:space="0" w:color="auto"/>
            </w:tcBorders>
            <w:shd w:val="clear" w:color="auto" w:fill="99CCFF"/>
            <w:noWrap/>
            <w:vAlign w:val="bottom"/>
            <w:hideMark/>
          </w:tcPr>
          <w:p w:rsidR="00875325" w:rsidRPr="00BB6F45" w:rsidRDefault="00875325" w:rsidP="00875325">
            <w:pPr>
              <w:jc w:val="center"/>
              <w:rPr>
                <w:rFonts w:ascii="Calibri" w:hAnsi="Calibri" w:cs="Calibri"/>
                <w:color w:val="000000"/>
                <w:sz w:val="22"/>
                <w:szCs w:val="22"/>
                <w:lang w:val="es-GT" w:eastAsia="es-GT"/>
              </w:rPr>
            </w:pPr>
          </w:p>
        </w:tc>
        <w:tc>
          <w:tcPr>
            <w:tcW w:w="1388" w:type="dxa"/>
            <w:tcBorders>
              <w:top w:val="nil"/>
              <w:left w:val="nil"/>
              <w:bottom w:val="single" w:sz="4" w:space="0" w:color="auto"/>
              <w:right w:val="single" w:sz="4" w:space="0" w:color="auto"/>
            </w:tcBorders>
            <w:shd w:val="clear" w:color="auto" w:fill="99CCFF"/>
            <w:noWrap/>
            <w:vAlign w:val="center"/>
            <w:hideMark/>
          </w:tcPr>
          <w:p w:rsidR="00875325" w:rsidRPr="00BB6F45" w:rsidRDefault="00875325" w:rsidP="009E562A">
            <w:pPr>
              <w:jc w:val="center"/>
              <w:rPr>
                <w:b/>
                <w:bCs/>
                <w:color w:val="000000"/>
                <w:lang w:val="es-GT" w:eastAsia="es-GT"/>
              </w:rPr>
            </w:pPr>
            <w:r w:rsidRPr="00BB6F45">
              <w:rPr>
                <w:b/>
                <w:bCs/>
                <w:color w:val="000000"/>
                <w:lang w:val="es-GT" w:eastAsia="es-GT"/>
              </w:rPr>
              <w:t>Aprobado</w:t>
            </w:r>
          </w:p>
        </w:tc>
        <w:tc>
          <w:tcPr>
            <w:tcW w:w="1418" w:type="dxa"/>
            <w:tcBorders>
              <w:top w:val="nil"/>
              <w:left w:val="single" w:sz="4" w:space="0" w:color="auto"/>
              <w:bottom w:val="single" w:sz="4" w:space="0" w:color="auto"/>
              <w:right w:val="single" w:sz="4" w:space="0" w:color="auto"/>
            </w:tcBorders>
            <w:shd w:val="clear" w:color="auto" w:fill="99CCFF"/>
            <w:noWrap/>
            <w:vAlign w:val="center"/>
            <w:hideMark/>
          </w:tcPr>
          <w:p w:rsidR="00875325" w:rsidRPr="00BB6F45" w:rsidRDefault="00875325" w:rsidP="009E562A">
            <w:pPr>
              <w:jc w:val="center"/>
              <w:rPr>
                <w:b/>
                <w:bCs/>
                <w:color w:val="000000"/>
                <w:lang w:val="es-GT" w:eastAsia="es-GT"/>
              </w:rPr>
            </w:pPr>
            <w:r w:rsidRPr="00BB6F45">
              <w:rPr>
                <w:b/>
                <w:bCs/>
                <w:color w:val="000000"/>
                <w:lang w:val="es-GT" w:eastAsia="es-GT"/>
              </w:rPr>
              <w:t>Ejecutado</w:t>
            </w:r>
          </w:p>
        </w:tc>
        <w:tc>
          <w:tcPr>
            <w:tcW w:w="1276" w:type="dxa"/>
            <w:tcBorders>
              <w:top w:val="nil"/>
              <w:left w:val="nil"/>
              <w:bottom w:val="single" w:sz="4" w:space="0" w:color="auto"/>
              <w:right w:val="single" w:sz="4" w:space="0" w:color="auto"/>
            </w:tcBorders>
            <w:shd w:val="clear" w:color="auto" w:fill="99CCFF"/>
            <w:noWrap/>
            <w:vAlign w:val="center"/>
            <w:hideMark/>
          </w:tcPr>
          <w:p w:rsidR="00875325" w:rsidRPr="00BB6F45" w:rsidRDefault="00875325" w:rsidP="009E562A">
            <w:pPr>
              <w:jc w:val="center"/>
              <w:rPr>
                <w:b/>
                <w:bCs/>
                <w:color w:val="000000"/>
                <w:lang w:val="es-GT" w:eastAsia="es-GT"/>
              </w:rPr>
            </w:pPr>
            <w:r w:rsidRPr="00BB6F45">
              <w:rPr>
                <w:b/>
                <w:bCs/>
                <w:color w:val="000000"/>
                <w:lang w:val="es-GT" w:eastAsia="es-GT"/>
              </w:rPr>
              <w:t>Absoluta</w:t>
            </w:r>
          </w:p>
        </w:tc>
        <w:tc>
          <w:tcPr>
            <w:tcW w:w="1417" w:type="dxa"/>
            <w:tcBorders>
              <w:top w:val="nil"/>
              <w:left w:val="nil"/>
              <w:bottom w:val="single" w:sz="4" w:space="0" w:color="auto"/>
              <w:right w:val="single" w:sz="8" w:space="0" w:color="auto"/>
            </w:tcBorders>
            <w:shd w:val="clear" w:color="auto" w:fill="99CCFF"/>
            <w:noWrap/>
            <w:vAlign w:val="center"/>
            <w:hideMark/>
          </w:tcPr>
          <w:p w:rsidR="00875325" w:rsidRPr="00BB6F45" w:rsidRDefault="00875325" w:rsidP="009E562A">
            <w:pPr>
              <w:jc w:val="center"/>
              <w:rPr>
                <w:b/>
                <w:bCs/>
                <w:color w:val="000000"/>
                <w:lang w:val="es-GT" w:eastAsia="es-GT"/>
              </w:rPr>
            </w:pPr>
            <w:r w:rsidRPr="00BB6F45">
              <w:rPr>
                <w:b/>
                <w:bCs/>
                <w:color w:val="000000"/>
                <w:lang w:val="es-GT" w:eastAsia="es-GT"/>
              </w:rPr>
              <w:t>Relativa</w:t>
            </w:r>
          </w:p>
        </w:tc>
      </w:tr>
      <w:tr w:rsidR="006A75DE" w:rsidRPr="00BB6F45" w:rsidTr="00875325">
        <w:trPr>
          <w:trHeight w:val="405"/>
        </w:trPr>
        <w:tc>
          <w:tcPr>
            <w:tcW w:w="1730" w:type="dxa"/>
            <w:tcBorders>
              <w:top w:val="nil"/>
              <w:left w:val="single" w:sz="8" w:space="0" w:color="auto"/>
              <w:bottom w:val="nil"/>
              <w:right w:val="single" w:sz="4" w:space="0" w:color="auto"/>
            </w:tcBorders>
            <w:shd w:val="clear" w:color="auto" w:fill="auto"/>
            <w:noWrap/>
            <w:vAlign w:val="center"/>
            <w:hideMark/>
          </w:tcPr>
          <w:p w:rsidR="006A75DE" w:rsidRPr="00BB6F45" w:rsidRDefault="006A75DE" w:rsidP="003A1DD3">
            <w:pPr>
              <w:jc w:val="center"/>
              <w:rPr>
                <w:b/>
                <w:bCs/>
                <w:color w:val="000000"/>
                <w:lang w:val="es-GT" w:eastAsia="es-GT"/>
              </w:rPr>
            </w:pPr>
            <w:r w:rsidRPr="00BB6F45">
              <w:rPr>
                <w:b/>
                <w:bCs/>
                <w:color w:val="000000"/>
                <w:lang w:val="es-GT" w:eastAsia="es-GT"/>
              </w:rPr>
              <w:t>Total</w:t>
            </w:r>
          </w:p>
        </w:tc>
        <w:tc>
          <w:tcPr>
            <w:tcW w:w="1388" w:type="dxa"/>
            <w:tcBorders>
              <w:top w:val="nil"/>
              <w:left w:val="single" w:sz="4" w:space="0" w:color="auto"/>
              <w:bottom w:val="nil"/>
              <w:right w:val="single" w:sz="4" w:space="0" w:color="auto"/>
            </w:tcBorders>
            <w:shd w:val="clear" w:color="auto" w:fill="auto"/>
            <w:noWrap/>
            <w:vAlign w:val="bottom"/>
            <w:hideMark/>
          </w:tcPr>
          <w:p w:rsidR="006A75DE" w:rsidRPr="00BB6F45" w:rsidRDefault="006A75DE" w:rsidP="001E2EF8">
            <w:pPr>
              <w:jc w:val="right"/>
              <w:rPr>
                <w:b/>
                <w:bCs/>
                <w:color w:val="000000"/>
                <w:lang w:val="es-GT" w:eastAsia="es-GT"/>
              </w:rPr>
            </w:pPr>
            <w:r w:rsidRPr="00BB6F45">
              <w:rPr>
                <w:b/>
                <w:bCs/>
                <w:color w:val="000000"/>
                <w:lang w:val="es-GT" w:eastAsia="es-GT"/>
              </w:rPr>
              <w:t>13,124.3</w:t>
            </w:r>
          </w:p>
        </w:tc>
        <w:tc>
          <w:tcPr>
            <w:tcW w:w="1418" w:type="dxa"/>
            <w:tcBorders>
              <w:top w:val="nil"/>
              <w:left w:val="nil"/>
              <w:bottom w:val="nil"/>
              <w:right w:val="single" w:sz="4" w:space="0" w:color="auto"/>
            </w:tcBorders>
            <w:shd w:val="clear" w:color="auto" w:fill="auto"/>
            <w:noWrap/>
            <w:vAlign w:val="bottom"/>
            <w:hideMark/>
          </w:tcPr>
          <w:p w:rsidR="006A75DE" w:rsidRPr="00BB6F45" w:rsidRDefault="006A75DE" w:rsidP="001E2EF8">
            <w:pPr>
              <w:jc w:val="right"/>
              <w:rPr>
                <w:b/>
                <w:bCs/>
                <w:color w:val="000000"/>
                <w:lang w:val="es-GT" w:eastAsia="es-GT"/>
              </w:rPr>
            </w:pPr>
            <w:r w:rsidRPr="00BB6F45">
              <w:rPr>
                <w:b/>
                <w:bCs/>
                <w:color w:val="000000"/>
                <w:lang w:val="es-GT" w:eastAsia="es-GT"/>
              </w:rPr>
              <w:t>10,609.4</w:t>
            </w:r>
          </w:p>
        </w:tc>
        <w:tc>
          <w:tcPr>
            <w:tcW w:w="1276" w:type="dxa"/>
            <w:tcBorders>
              <w:top w:val="nil"/>
              <w:left w:val="nil"/>
              <w:bottom w:val="nil"/>
              <w:right w:val="single" w:sz="4" w:space="0" w:color="auto"/>
            </w:tcBorders>
            <w:shd w:val="clear" w:color="auto" w:fill="auto"/>
            <w:noWrap/>
            <w:vAlign w:val="bottom"/>
            <w:hideMark/>
          </w:tcPr>
          <w:p w:rsidR="006A75DE" w:rsidRPr="00BB6F45" w:rsidRDefault="006A75DE" w:rsidP="001E2EF8">
            <w:pPr>
              <w:jc w:val="right"/>
              <w:rPr>
                <w:b/>
                <w:bCs/>
                <w:color w:val="000000"/>
                <w:lang w:val="es-GT" w:eastAsia="es-GT"/>
              </w:rPr>
            </w:pPr>
            <w:r w:rsidRPr="00BB6F45">
              <w:rPr>
                <w:b/>
                <w:bCs/>
                <w:color w:val="000000"/>
                <w:lang w:val="es-GT" w:eastAsia="es-GT"/>
              </w:rPr>
              <w:t>-2,514.9</w:t>
            </w:r>
          </w:p>
        </w:tc>
        <w:tc>
          <w:tcPr>
            <w:tcW w:w="1417" w:type="dxa"/>
            <w:tcBorders>
              <w:top w:val="nil"/>
              <w:left w:val="nil"/>
              <w:bottom w:val="nil"/>
              <w:right w:val="single" w:sz="8" w:space="0" w:color="auto"/>
            </w:tcBorders>
            <w:shd w:val="clear" w:color="auto" w:fill="auto"/>
            <w:noWrap/>
            <w:vAlign w:val="bottom"/>
            <w:hideMark/>
          </w:tcPr>
          <w:p w:rsidR="006A75DE" w:rsidRPr="00BB6F45" w:rsidRDefault="006A75DE" w:rsidP="001E2EF8">
            <w:pPr>
              <w:jc w:val="right"/>
              <w:rPr>
                <w:b/>
                <w:bCs/>
                <w:color w:val="000000"/>
                <w:lang w:val="es-GT" w:eastAsia="es-GT"/>
              </w:rPr>
            </w:pPr>
            <w:r w:rsidRPr="00BB6F45">
              <w:rPr>
                <w:b/>
                <w:bCs/>
                <w:color w:val="000000"/>
                <w:lang w:val="es-GT" w:eastAsia="es-GT"/>
              </w:rPr>
              <w:t>-19.2%</w:t>
            </w:r>
          </w:p>
        </w:tc>
      </w:tr>
      <w:tr w:rsidR="006A75DE" w:rsidRPr="00BB6F45" w:rsidTr="00875325">
        <w:trPr>
          <w:trHeight w:val="375"/>
        </w:trPr>
        <w:tc>
          <w:tcPr>
            <w:tcW w:w="1730" w:type="dxa"/>
            <w:tcBorders>
              <w:top w:val="nil"/>
              <w:left w:val="single" w:sz="8" w:space="0" w:color="auto"/>
              <w:bottom w:val="nil"/>
              <w:right w:val="single" w:sz="4" w:space="0" w:color="auto"/>
            </w:tcBorders>
            <w:shd w:val="clear" w:color="auto" w:fill="auto"/>
            <w:noWrap/>
            <w:vAlign w:val="center"/>
            <w:hideMark/>
          </w:tcPr>
          <w:p w:rsidR="006A75DE" w:rsidRPr="00BB6F45" w:rsidRDefault="006A75DE" w:rsidP="009E562A">
            <w:pPr>
              <w:rPr>
                <w:color w:val="000000"/>
                <w:lang w:val="es-GT" w:eastAsia="es-GT"/>
              </w:rPr>
            </w:pPr>
            <w:r w:rsidRPr="00BB6F45">
              <w:rPr>
                <w:color w:val="000000"/>
                <w:lang w:val="es-GT" w:eastAsia="es-GT"/>
              </w:rPr>
              <w:t>Pr</w:t>
            </w:r>
            <w:r w:rsidR="009E562A">
              <w:rPr>
                <w:color w:val="000000"/>
                <w:lang w:val="es-GT" w:eastAsia="es-GT"/>
              </w:rPr>
              <w:t>é</w:t>
            </w:r>
            <w:r w:rsidRPr="00BB6F45">
              <w:rPr>
                <w:color w:val="000000"/>
                <w:lang w:val="es-GT" w:eastAsia="es-GT"/>
              </w:rPr>
              <w:t>stamos</w:t>
            </w:r>
          </w:p>
        </w:tc>
        <w:tc>
          <w:tcPr>
            <w:tcW w:w="1388" w:type="dxa"/>
            <w:tcBorders>
              <w:top w:val="nil"/>
              <w:left w:val="single" w:sz="4" w:space="0" w:color="auto"/>
              <w:bottom w:val="nil"/>
              <w:right w:val="single" w:sz="4" w:space="0" w:color="auto"/>
            </w:tcBorders>
            <w:shd w:val="clear" w:color="auto" w:fill="auto"/>
            <w:noWrap/>
            <w:vAlign w:val="bottom"/>
            <w:hideMark/>
          </w:tcPr>
          <w:p w:rsidR="006A75DE" w:rsidRPr="00BB6F45" w:rsidRDefault="006A75DE" w:rsidP="001E2EF8">
            <w:pPr>
              <w:jc w:val="right"/>
              <w:rPr>
                <w:color w:val="000000"/>
                <w:lang w:val="es-GT" w:eastAsia="es-GT"/>
              </w:rPr>
            </w:pPr>
            <w:r w:rsidRPr="00BB6F45">
              <w:rPr>
                <w:color w:val="000000"/>
                <w:lang w:val="es-GT" w:eastAsia="es-GT"/>
              </w:rPr>
              <w:t>2,580.8</w:t>
            </w:r>
          </w:p>
        </w:tc>
        <w:tc>
          <w:tcPr>
            <w:tcW w:w="1418" w:type="dxa"/>
            <w:tcBorders>
              <w:top w:val="nil"/>
              <w:left w:val="nil"/>
              <w:bottom w:val="nil"/>
              <w:right w:val="single" w:sz="4" w:space="0" w:color="auto"/>
            </w:tcBorders>
            <w:shd w:val="clear" w:color="auto" w:fill="auto"/>
            <w:noWrap/>
            <w:vAlign w:val="bottom"/>
            <w:hideMark/>
          </w:tcPr>
          <w:p w:rsidR="006A75DE" w:rsidRPr="00BB6F45" w:rsidRDefault="006A75DE" w:rsidP="001E2EF8">
            <w:pPr>
              <w:jc w:val="right"/>
              <w:rPr>
                <w:color w:val="000000"/>
                <w:lang w:val="es-GT" w:eastAsia="es-GT"/>
              </w:rPr>
            </w:pPr>
            <w:r w:rsidRPr="00BB6F45">
              <w:rPr>
                <w:color w:val="000000"/>
                <w:lang w:val="es-GT" w:eastAsia="es-GT"/>
              </w:rPr>
              <w:t>2,292.2</w:t>
            </w:r>
          </w:p>
        </w:tc>
        <w:tc>
          <w:tcPr>
            <w:tcW w:w="1276" w:type="dxa"/>
            <w:tcBorders>
              <w:top w:val="nil"/>
              <w:left w:val="nil"/>
              <w:bottom w:val="nil"/>
              <w:right w:val="single" w:sz="4" w:space="0" w:color="auto"/>
            </w:tcBorders>
            <w:shd w:val="clear" w:color="auto" w:fill="auto"/>
            <w:noWrap/>
            <w:vAlign w:val="bottom"/>
            <w:hideMark/>
          </w:tcPr>
          <w:p w:rsidR="006A75DE" w:rsidRPr="00BB6F45" w:rsidRDefault="006A75DE" w:rsidP="001E2EF8">
            <w:pPr>
              <w:jc w:val="right"/>
              <w:rPr>
                <w:color w:val="000000"/>
                <w:lang w:val="es-GT" w:eastAsia="es-GT"/>
              </w:rPr>
            </w:pPr>
            <w:r w:rsidRPr="00BB6F45">
              <w:rPr>
                <w:color w:val="000000"/>
                <w:lang w:val="es-GT" w:eastAsia="es-GT"/>
              </w:rPr>
              <w:t>-288.5</w:t>
            </w:r>
          </w:p>
        </w:tc>
        <w:tc>
          <w:tcPr>
            <w:tcW w:w="1417" w:type="dxa"/>
            <w:tcBorders>
              <w:top w:val="nil"/>
              <w:left w:val="nil"/>
              <w:bottom w:val="nil"/>
              <w:right w:val="single" w:sz="8" w:space="0" w:color="auto"/>
            </w:tcBorders>
            <w:shd w:val="clear" w:color="auto" w:fill="auto"/>
            <w:noWrap/>
            <w:vAlign w:val="bottom"/>
            <w:hideMark/>
          </w:tcPr>
          <w:p w:rsidR="006A75DE" w:rsidRPr="00BB6F45" w:rsidRDefault="006A75DE" w:rsidP="001E2EF8">
            <w:pPr>
              <w:jc w:val="right"/>
              <w:rPr>
                <w:color w:val="000000"/>
                <w:lang w:val="es-GT" w:eastAsia="es-GT"/>
              </w:rPr>
            </w:pPr>
            <w:r w:rsidRPr="00BB6F45">
              <w:rPr>
                <w:color w:val="000000"/>
                <w:lang w:val="es-GT" w:eastAsia="es-GT"/>
              </w:rPr>
              <w:t>-11.2%</w:t>
            </w:r>
          </w:p>
        </w:tc>
      </w:tr>
      <w:tr w:rsidR="006A75DE" w:rsidRPr="00BB6F45" w:rsidTr="00875325">
        <w:trPr>
          <w:trHeight w:val="405"/>
        </w:trPr>
        <w:tc>
          <w:tcPr>
            <w:tcW w:w="1730" w:type="dxa"/>
            <w:tcBorders>
              <w:top w:val="nil"/>
              <w:left w:val="single" w:sz="8" w:space="0" w:color="auto"/>
              <w:bottom w:val="single" w:sz="8" w:space="0" w:color="auto"/>
              <w:right w:val="single" w:sz="4" w:space="0" w:color="auto"/>
            </w:tcBorders>
            <w:shd w:val="clear" w:color="auto" w:fill="auto"/>
            <w:noWrap/>
            <w:vAlign w:val="center"/>
            <w:hideMark/>
          </w:tcPr>
          <w:p w:rsidR="006A75DE" w:rsidRPr="00BB6F45" w:rsidRDefault="006A75DE" w:rsidP="001E2EF8">
            <w:pPr>
              <w:rPr>
                <w:color w:val="000000"/>
                <w:lang w:val="es-GT" w:eastAsia="es-GT"/>
              </w:rPr>
            </w:pPr>
            <w:r w:rsidRPr="00BB6F45">
              <w:rPr>
                <w:color w:val="000000"/>
                <w:lang w:val="es-GT" w:eastAsia="es-GT"/>
              </w:rPr>
              <w:t>Bonos</w:t>
            </w:r>
          </w:p>
        </w:tc>
        <w:tc>
          <w:tcPr>
            <w:tcW w:w="1388" w:type="dxa"/>
            <w:tcBorders>
              <w:top w:val="nil"/>
              <w:left w:val="nil"/>
              <w:bottom w:val="single" w:sz="8" w:space="0" w:color="auto"/>
              <w:right w:val="single" w:sz="4" w:space="0" w:color="auto"/>
            </w:tcBorders>
            <w:shd w:val="clear" w:color="auto" w:fill="auto"/>
            <w:noWrap/>
            <w:vAlign w:val="bottom"/>
            <w:hideMark/>
          </w:tcPr>
          <w:p w:rsidR="006A75DE" w:rsidRPr="00BB6F45" w:rsidRDefault="006A75DE" w:rsidP="001E2EF8">
            <w:pPr>
              <w:jc w:val="right"/>
              <w:rPr>
                <w:color w:val="000000"/>
                <w:lang w:val="es-GT" w:eastAsia="es-GT"/>
              </w:rPr>
            </w:pPr>
            <w:r w:rsidRPr="00BB6F45">
              <w:rPr>
                <w:color w:val="000000"/>
                <w:lang w:val="es-GT" w:eastAsia="es-GT"/>
              </w:rPr>
              <w:t>10,543.5</w:t>
            </w:r>
          </w:p>
        </w:tc>
        <w:tc>
          <w:tcPr>
            <w:tcW w:w="1418" w:type="dxa"/>
            <w:tcBorders>
              <w:top w:val="nil"/>
              <w:left w:val="nil"/>
              <w:bottom w:val="single" w:sz="8" w:space="0" w:color="auto"/>
              <w:right w:val="single" w:sz="4" w:space="0" w:color="auto"/>
            </w:tcBorders>
            <w:shd w:val="clear" w:color="auto" w:fill="auto"/>
            <w:noWrap/>
            <w:vAlign w:val="bottom"/>
            <w:hideMark/>
          </w:tcPr>
          <w:p w:rsidR="006A75DE" w:rsidRPr="00BB6F45" w:rsidRDefault="006A75DE" w:rsidP="001E2EF8">
            <w:pPr>
              <w:jc w:val="right"/>
              <w:rPr>
                <w:color w:val="000000"/>
                <w:lang w:val="es-GT" w:eastAsia="es-GT"/>
              </w:rPr>
            </w:pPr>
            <w:r w:rsidRPr="00BB6F45">
              <w:rPr>
                <w:color w:val="000000"/>
                <w:lang w:val="es-GT" w:eastAsia="es-GT"/>
              </w:rPr>
              <w:t>8,317.1</w:t>
            </w:r>
          </w:p>
        </w:tc>
        <w:tc>
          <w:tcPr>
            <w:tcW w:w="1276" w:type="dxa"/>
            <w:tcBorders>
              <w:top w:val="nil"/>
              <w:left w:val="nil"/>
              <w:bottom w:val="single" w:sz="8" w:space="0" w:color="auto"/>
              <w:right w:val="single" w:sz="4" w:space="0" w:color="auto"/>
            </w:tcBorders>
            <w:shd w:val="clear" w:color="auto" w:fill="auto"/>
            <w:noWrap/>
            <w:vAlign w:val="bottom"/>
            <w:hideMark/>
          </w:tcPr>
          <w:p w:rsidR="006A75DE" w:rsidRPr="00BB6F45" w:rsidRDefault="006A75DE" w:rsidP="001E2EF8">
            <w:pPr>
              <w:jc w:val="right"/>
              <w:rPr>
                <w:color w:val="000000"/>
                <w:lang w:val="es-GT" w:eastAsia="es-GT"/>
              </w:rPr>
            </w:pPr>
            <w:r w:rsidRPr="00BB6F45">
              <w:rPr>
                <w:color w:val="000000"/>
                <w:lang w:val="es-GT" w:eastAsia="es-GT"/>
              </w:rPr>
              <w:t>-2,226.4</w:t>
            </w:r>
          </w:p>
        </w:tc>
        <w:tc>
          <w:tcPr>
            <w:tcW w:w="1417" w:type="dxa"/>
            <w:tcBorders>
              <w:top w:val="nil"/>
              <w:left w:val="nil"/>
              <w:bottom w:val="single" w:sz="8" w:space="0" w:color="auto"/>
              <w:right w:val="single" w:sz="8" w:space="0" w:color="auto"/>
            </w:tcBorders>
            <w:shd w:val="clear" w:color="auto" w:fill="auto"/>
            <w:noWrap/>
            <w:vAlign w:val="bottom"/>
            <w:hideMark/>
          </w:tcPr>
          <w:p w:rsidR="006A75DE" w:rsidRPr="00BB6F45" w:rsidRDefault="006A75DE" w:rsidP="001E2EF8">
            <w:pPr>
              <w:jc w:val="right"/>
              <w:rPr>
                <w:color w:val="000000"/>
                <w:lang w:val="es-GT" w:eastAsia="es-GT"/>
              </w:rPr>
            </w:pPr>
            <w:r w:rsidRPr="00BB6F45">
              <w:rPr>
                <w:color w:val="000000"/>
                <w:lang w:val="es-GT" w:eastAsia="es-GT"/>
              </w:rPr>
              <w:t>-21.1%</w:t>
            </w:r>
          </w:p>
        </w:tc>
      </w:tr>
    </w:tbl>
    <w:p w:rsidR="003A1DD3" w:rsidRPr="0046725D" w:rsidRDefault="003A1DD3" w:rsidP="003A1DD3">
      <w:pPr>
        <w:ind w:firstLine="567"/>
        <w:rPr>
          <w:sz w:val="16"/>
          <w:lang w:val="es-MX"/>
        </w:rPr>
      </w:pPr>
      <w:r>
        <w:rPr>
          <w:sz w:val="16"/>
          <w:lang w:val="es-MX"/>
        </w:rPr>
        <w:t xml:space="preserve">       </w:t>
      </w:r>
      <w:r w:rsidRPr="0046725D">
        <w:rPr>
          <w:sz w:val="16"/>
          <w:lang w:val="es-MX"/>
        </w:rPr>
        <w:t>Fuente: Ministerio de Finanzas Públicas</w:t>
      </w:r>
      <w:r>
        <w:rPr>
          <w:sz w:val="16"/>
          <w:lang w:val="es-MX"/>
        </w:rPr>
        <w:t>.</w:t>
      </w:r>
    </w:p>
    <w:p w:rsidR="006A75DE" w:rsidRPr="003A1DD3" w:rsidRDefault="006A75DE" w:rsidP="006A75DE">
      <w:pPr>
        <w:jc w:val="both"/>
        <w:rPr>
          <w:bCs/>
          <w:lang w:val="es-MX"/>
        </w:rPr>
      </w:pPr>
    </w:p>
    <w:p w:rsidR="00037093" w:rsidRDefault="00037093" w:rsidP="006A75DE">
      <w:pPr>
        <w:jc w:val="both"/>
        <w:rPr>
          <w:bCs/>
        </w:rPr>
      </w:pPr>
    </w:p>
    <w:p w:rsidR="00037093" w:rsidRPr="00DD5A28" w:rsidRDefault="00037093" w:rsidP="00037093">
      <w:pPr>
        <w:pStyle w:val="Ttulo2"/>
        <w:numPr>
          <w:ilvl w:val="0"/>
          <w:numId w:val="6"/>
        </w:numPr>
        <w:spacing w:line="276" w:lineRule="auto"/>
        <w:ind w:left="567" w:hanging="567"/>
        <w:rPr>
          <w:rFonts w:ascii="Times New Roman" w:hAnsi="Times New Roman"/>
          <w:color w:val="auto"/>
          <w:sz w:val="24"/>
          <w:szCs w:val="24"/>
        </w:rPr>
      </w:pPr>
      <w:bookmarkStart w:id="21" w:name="_Toc514399373"/>
      <w:bookmarkStart w:id="22" w:name="_Toc4775339"/>
      <w:r w:rsidRPr="00DD5A28">
        <w:rPr>
          <w:rFonts w:ascii="Times New Roman" w:hAnsi="Times New Roman"/>
          <w:color w:val="auto"/>
          <w:sz w:val="24"/>
          <w:szCs w:val="24"/>
        </w:rPr>
        <w:t xml:space="preserve">Ejecución del </w:t>
      </w:r>
      <w:r w:rsidR="009E562A">
        <w:rPr>
          <w:rFonts w:ascii="Times New Roman" w:hAnsi="Times New Roman"/>
          <w:color w:val="auto"/>
          <w:sz w:val="24"/>
          <w:szCs w:val="24"/>
        </w:rPr>
        <w:t>G</w:t>
      </w:r>
      <w:r w:rsidRPr="00DD5A28">
        <w:rPr>
          <w:rFonts w:ascii="Times New Roman" w:hAnsi="Times New Roman"/>
          <w:color w:val="auto"/>
          <w:sz w:val="24"/>
          <w:szCs w:val="24"/>
        </w:rPr>
        <w:t xml:space="preserve">asto </w:t>
      </w:r>
      <w:r w:rsidR="009E562A">
        <w:rPr>
          <w:rFonts w:ascii="Times New Roman" w:hAnsi="Times New Roman"/>
          <w:color w:val="auto"/>
          <w:sz w:val="24"/>
          <w:szCs w:val="24"/>
        </w:rPr>
        <w:t>P</w:t>
      </w:r>
      <w:r w:rsidRPr="00DD5A28">
        <w:rPr>
          <w:rFonts w:ascii="Times New Roman" w:hAnsi="Times New Roman"/>
          <w:color w:val="auto"/>
          <w:sz w:val="24"/>
          <w:szCs w:val="24"/>
        </w:rPr>
        <w:t>úblico</w:t>
      </w:r>
      <w:bookmarkEnd w:id="21"/>
      <w:bookmarkEnd w:id="22"/>
    </w:p>
    <w:p w:rsidR="00037093" w:rsidRPr="005678DE" w:rsidRDefault="00037093" w:rsidP="00037093">
      <w:pPr>
        <w:rPr>
          <w:sz w:val="16"/>
        </w:rPr>
      </w:pPr>
    </w:p>
    <w:p w:rsidR="00037093" w:rsidRDefault="00037093" w:rsidP="00037093">
      <w:pPr>
        <w:jc w:val="both"/>
      </w:pPr>
      <w:r>
        <w:t>El presupuesto vigente contemplaba un gasto total sin incluir amortizaciones de Q</w:t>
      </w:r>
      <w:r w:rsidR="009E562A">
        <w:t>.</w:t>
      </w:r>
      <w:r>
        <w:t>75,821.0 millones, pero según las cifras observadas, la ejecución presupuestaria fue de Q</w:t>
      </w:r>
      <w:r w:rsidR="009E562A">
        <w:t>.</w:t>
      </w:r>
      <w:r>
        <w:t>72,710.5 millones, es decir, que la ejecución fue del 95.9% de lo estimado.  La incidencia en la disminución se dio en los gastos corrientes, que solo alcanzaron una ejecución del 96.8%, en tanto que los gasto de capital llegaron al 92.3%, de lo esperado según el presupuesto vigente, tal como se observa en el cuadro de</w:t>
      </w:r>
      <w:r w:rsidR="009E562A">
        <w:t xml:space="preserve"> la</w:t>
      </w:r>
      <w:r>
        <w:t xml:space="preserve"> Situación Financiera.</w:t>
      </w:r>
    </w:p>
    <w:p w:rsidR="00037093" w:rsidRDefault="00037093" w:rsidP="00037093">
      <w:pPr>
        <w:jc w:val="both"/>
      </w:pPr>
    </w:p>
    <w:p w:rsidR="00037093" w:rsidRPr="00253E46" w:rsidRDefault="00037093" w:rsidP="00037093">
      <w:pPr>
        <w:jc w:val="both"/>
      </w:pPr>
      <w:r>
        <w:t xml:space="preserve">El presupuesto aprobado incluyó una serie de rigideces que afectaron sensiblemente la ejecución de algunos </w:t>
      </w:r>
      <w:r w:rsidR="009E562A">
        <w:t>M</w:t>
      </w:r>
      <w:r>
        <w:t xml:space="preserve">inisterios, incidiendo negativamente en su desempeño, así como, </w:t>
      </w:r>
      <w:r w:rsidRPr="00253E46">
        <w:t>dificultades en la licitación y adjudicación de contratos de bienes y servicios y de obras públicas.</w:t>
      </w:r>
    </w:p>
    <w:p w:rsidR="00037093" w:rsidRDefault="00037093" w:rsidP="00037093">
      <w:pPr>
        <w:jc w:val="both"/>
        <w:rPr>
          <w:sz w:val="23"/>
          <w:szCs w:val="23"/>
        </w:rPr>
      </w:pPr>
    </w:p>
    <w:p w:rsidR="00037093" w:rsidRPr="00253E46" w:rsidRDefault="00037093" w:rsidP="00037093">
      <w:pPr>
        <w:jc w:val="both"/>
      </w:pPr>
      <w:r w:rsidRPr="00253E46">
        <w:t xml:space="preserve">Por otro lado, </w:t>
      </w:r>
      <w:r>
        <w:t xml:space="preserve">la recaudación de los </w:t>
      </w:r>
      <w:r w:rsidR="009E562A">
        <w:t>i</w:t>
      </w:r>
      <w:r>
        <w:t xml:space="preserve">ngresos </w:t>
      </w:r>
      <w:r w:rsidR="009E562A">
        <w:t>n</w:t>
      </w:r>
      <w:r>
        <w:t xml:space="preserve">o </w:t>
      </w:r>
      <w:r w:rsidR="009E562A">
        <w:t>t</w:t>
      </w:r>
      <w:r>
        <w:t>ributarios no alcanzó el monto esperado según el presupuesto, quedando por debajo en Q</w:t>
      </w:r>
      <w:r w:rsidR="009E562A">
        <w:t>.</w:t>
      </w:r>
      <w:r>
        <w:t xml:space="preserve">1,766.1 millones, lo </w:t>
      </w:r>
      <w:r w:rsidRPr="00253E46">
        <w:t>que afectó la disponibilidad de recursos para atender necesidades de gasto público.</w:t>
      </w:r>
    </w:p>
    <w:p w:rsidR="00037093" w:rsidRDefault="00037093" w:rsidP="00037093">
      <w:pPr>
        <w:jc w:val="both"/>
        <w:rPr>
          <w:sz w:val="23"/>
          <w:szCs w:val="23"/>
        </w:rPr>
      </w:pPr>
    </w:p>
    <w:p w:rsidR="00037093" w:rsidRPr="00253E46" w:rsidRDefault="00037093" w:rsidP="00037093">
      <w:pPr>
        <w:jc w:val="both"/>
      </w:pPr>
      <w:r w:rsidRPr="00253E46">
        <w:t>Al respecto</w:t>
      </w:r>
      <w:r w:rsidR="00FF17EF">
        <w:t>,</w:t>
      </w:r>
      <w:r w:rsidRPr="00253E46">
        <w:t xml:space="preserve"> vale hacer mención que el gasto público tuvo un comportamiento bastante moderado de enero a noviembre y en diciembre mostró un repunte asociado a compromisos que tuvieron que atenderse y a la regularización de anticipos en proyectos de inversión</w:t>
      </w:r>
      <w:r w:rsidR="00FF17EF">
        <w:t>;</w:t>
      </w:r>
      <w:r w:rsidRPr="00253E46">
        <w:t xml:space="preserve"> por lo que, la ejecución de gasto público </w:t>
      </w:r>
      <w:r>
        <w:t xml:space="preserve">en el último mes tuvo una tasa de crecimiento del 43.2% respecto </w:t>
      </w:r>
      <w:r w:rsidR="00FF17EF">
        <w:t>de</w:t>
      </w:r>
      <w:r>
        <w:t xml:space="preserve"> la tasa de crecimiento del gasto en noviembre que fue del 10.5%</w:t>
      </w:r>
      <w:r w:rsidRPr="00253E46">
        <w:t>. Asimismo, la ejecución</w:t>
      </w:r>
      <w:r>
        <w:t xml:space="preserve"> presupuestaria del gasto</w:t>
      </w:r>
      <w:r w:rsidRPr="00253E46">
        <w:t xml:space="preserve"> de 201</w:t>
      </w:r>
      <w:r>
        <w:t>8</w:t>
      </w:r>
      <w:r w:rsidRPr="00253E46">
        <w:t xml:space="preserve"> </w:t>
      </w:r>
      <w:r>
        <w:t>representó e</w:t>
      </w:r>
      <w:r w:rsidRPr="00253E46">
        <w:t>l 12.</w:t>
      </w:r>
      <w:r>
        <w:t>3</w:t>
      </w:r>
      <w:r w:rsidRPr="00253E46">
        <w:t xml:space="preserve">% del PIB, </w:t>
      </w:r>
      <w:r>
        <w:t>en tanto que en 2017 fue de 12.1%</w:t>
      </w:r>
      <w:r w:rsidRPr="00253E46">
        <w:t>.</w:t>
      </w:r>
    </w:p>
    <w:p w:rsidR="00037093" w:rsidRDefault="00037093" w:rsidP="00037093">
      <w:pPr>
        <w:jc w:val="both"/>
        <w:rPr>
          <w:sz w:val="23"/>
          <w:szCs w:val="23"/>
        </w:rPr>
      </w:pPr>
    </w:p>
    <w:p w:rsidR="00037093" w:rsidRDefault="00037093" w:rsidP="00037093">
      <w:pPr>
        <w:jc w:val="both"/>
        <w:rPr>
          <w:sz w:val="23"/>
          <w:szCs w:val="23"/>
        </w:rPr>
      </w:pPr>
    </w:p>
    <w:p w:rsidR="00037093" w:rsidRPr="00124AD6" w:rsidRDefault="00037093" w:rsidP="00037093">
      <w:pPr>
        <w:pStyle w:val="NormalWeb"/>
        <w:spacing w:before="0" w:beforeAutospacing="0" w:after="0" w:afterAutospacing="0"/>
        <w:jc w:val="center"/>
        <w:rPr>
          <w:rFonts w:eastAsia="+mn-ea"/>
          <w:b/>
          <w:bCs/>
          <w:color w:val="000000"/>
          <w:kern w:val="24"/>
        </w:rPr>
      </w:pPr>
      <w:r w:rsidRPr="00124AD6">
        <w:rPr>
          <w:rFonts w:eastAsia="+mn-ea"/>
          <w:b/>
          <w:bCs/>
          <w:color w:val="000000"/>
          <w:kern w:val="24"/>
        </w:rPr>
        <w:t>Gráfica 1</w:t>
      </w:r>
      <w:r>
        <w:rPr>
          <w:rFonts w:eastAsia="+mn-ea"/>
          <w:b/>
          <w:bCs/>
          <w:color w:val="000000"/>
          <w:kern w:val="24"/>
        </w:rPr>
        <w:t>5</w:t>
      </w:r>
      <w:r w:rsidRPr="00124AD6">
        <w:rPr>
          <w:rFonts w:eastAsia="+mn-ea"/>
          <w:b/>
          <w:bCs/>
          <w:color w:val="000000"/>
          <w:kern w:val="24"/>
        </w:rPr>
        <w:t xml:space="preserve"> </w:t>
      </w:r>
    </w:p>
    <w:p w:rsidR="00037093" w:rsidRPr="00124AD6" w:rsidRDefault="00037093" w:rsidP="00037093">
      <w:pPr>
        <w:pStyle w:val="NormalWeb"/>
        <w:spacing w:before="0" w:beforeAutospacing="0" w:after="0" w:afterAutospacing="0"/>
        <w:jc w:val="center"/>
      </w:pPr>
      <w:r w:rsidRPr="00124AD6">
        <w:rPr>
          <w:rFonts w:eastAsia="+mn-ea"/>
          <w:b/>
          <w:bCs/>
          <w:color w:val="000000"/>
          <w:kern w:val="24"/>
        </w:rPr>
        <w:t>Comportamiento del Gasto Público*  2008</w:t>
      </w:r>
      <w:r>
        <w:rPr>
          <w:rFonts w:eastAsia="+mn-ea"/>
          <w:b/>
          <w:bCs/>
          <w:color w:val="000000"/>
          <w:kern w:val="24"/>
        </w:rPr>
        <w:t xml:space="preserve"> </w:t>
      </w:r>
      <w:r w:rsidRPr="00124AD6">
        <w:rPr>
          <w:rFonts w:eastAsia="+mn-ea"/>
          <w:b/>
          <w:bCs/>
          <w:color w:val="000000"/>
          <w:kern w:val="24"/>
        </w:rPr>
        <w:t>-</w:t>
      </w:r>
      <w:r>
        <w:rPr>
          <w:rFonts w:eastAsia="+mn-ea"/>
          <w:b/>
          <w:bCs/>
          <w:color w:val="000000"/>
          <w:kern w:val="24"/>
        </w:rPr>
        <w:t xml:space="preserve"> </w:t>
      </w:r>
      <w:r w:rsidRPr="00124AD6">
        <w:rPr>
          <w:rFonts w:eastAsia="+mn-ea"/>
          <w:b/>
          <w:bCs/>
          <w:color w:val="000000"/>
          <w:kern w:val="24"/>
        </w:rPr>
        <w:t>201</w:t>
      </w:r>
      <w:r>
        <w:rPr>
          <w:rFonts w:eastAsia="+mn-ea"/>
          <w:b/>
          <w:bCs/>
          <w:color w:val="000000"/>
          <w:kern w:val="24"/>
        </w:rPr>
        <w:t>8</w:t>
      </w:r>
    </w:p>
    <w:p w:rsidR="00037093" w:rsidRPr="00124AD6" w:rsidRDefault="00FF17EF" w:rsidP="00037093">
      <w:pPr>
        <w:contextualSpacing/>
        <w:jc w:val="center"/>
        <w:rPr>
          <w:rFonts w:eastAsia="+mn-ea"/>
          <w:b/>
          <w:bCs/>
          <w:color w:val="000000"/>
          <w:kern w:val="24"/>
          <w:lang w:val="es-GT" w:eastAsia="es-GT"/>
        </w:rPr>
      </w:pPr>
      <w:r>
        <w:rPr>
          <w:rFonts w:eastAsia="+mn-ea"/>
          <w:b/>
          <w:bCs/>
          <w:color w:val="000000"/>
          <w:kern w:val="24"/>
          <w:lang w:val="es-GT" w:eastAsia="es-GT"/>
        </w:rPr>
        <w:t>(</w:t>
      </w:r>
      <w:r w:rsidR="00037093">
        <w:rPr>
          <w:rFonts w:eastAsia="+mn-ea"/>
          <w:b/>
          <w:bCs/>
          <w:color w:val="000000"/>
          <w:kern w:val="24"/>
          <w:lang w:val="es-GT" w:eastAsia="es-GT"/>
        </w:rPr>
        <w:t>Porcentajes del PIB</w:t>
      </w:r>
      <w:r>
        <w:rPr>
          <w:rFonts w:eastAsia="+mn-ea"/>
          <w:b/>
          <w:bCs/>
          <w:color w:val="000000"/>
          <w:kern w:val="24"/>
          <w:lang w:val="es-GT" w:eastAsia="es-GT"/>
        </w:rPr>
        <w:t>)</w:t>
      </w:r>
    </w:p>
    <w:p w:rsidR="00037093" w:rsidRDefault="00037093" w:rsidP="00037093">
      <w:pPr>
        <w:jc w:val="center"/>
        <w:rPr>
          <w:sz w:val="23"/>
          <w:szCs w:val="23"/>
        </w:rPr>
      </w:pPr>
      <w:r>
        <w:rPr>
          <w:noProof/>
          <w:lang w:val="es-GT" w:eastAsia="es-GT"/>
        </w:rPr>
        <w:drawing>
          <wp:inline distT="0" distB="0" distL="0" distR="0" wp14:anchorId="27EADD85" wp14:editId="7840F7FA">
            <wp:extent cx="4572000" cy="2743200"/>
            <wp:effectExtent l="0" t="0" r="0" b="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37093" w:rsidRPr="000B60D0" w:rsidRDefault="00037093" w:rsidP="00037093">
      <w:pPr>
        <w:jc w:val="both"/>
        <w:rPr>
          <w:sz w:val="23"/>
          <w:szCs w:val="23"/>
        </w:rPr>
      </w:pPr>
      <w:r w:rsidRPr="007774ED">
        <w:rPr>
          <w:sz w:val="18"/>
        </w:rPr>
        <w:t xml:space="preserve">* No incluye amortizaciones de </w:t>
      </w:r>
      <w:r w:rsidR="00FF17EF">
        <w:rPr>
          <w:sz w:val="18"/>
        </w:rPr>
        <w:t>D</w:t>
      </w:r>
      <w:r w:rsidRPr="007774ED">
        <w:rPr>
          <w:sz w:val="18"/>
        </w:rPr>
        <w:t xml:space="preserve">euda </w:t>
      </w:r>
      <w:r w:rsidR="00FF17EF">
        <w:rPr>
          <w:sz w:val="18"/>
        </w:rPr>
        <w:t>P</w:t>
      </w:r>
      <w:r w:rsidRPr="007774ED">
        <w:rPr>
          <w:sz w:val="18"/>
        </w:rPr>
        <w:t>ública</w:t>
      </w:r>
    </w:p>
    <w:p w:rsidR="00037093" w:rsidRPr="007774ED" w:rsidRDefault="00037093" w:rsidP="00037093">
      <w:pPr>
        <w:ind w:left="142"/>
        <w:contextualSpacing/>
        <w:jc w:val="both"/>
        <w:rPr>
          <w:sz w:val="18"/>
        </w:rPr>
      </w:pPr>
      <w:r w:rsidRPr="007774ED">
        <w:rPr>
          <w:sz w:val="18"/>
        </w:rPr>
        <w:t>Fuente: Ministerio de Finanzas Públicas</w:t>
      </w:r>
      <w:r>
        <w:rPr>
          <w:sz w:val="18"/>
        </w:rPr>
        <w:t>.</w:t>
      </w:r>
    </w:p>
    <w:p w:rsidR="00037093" w:rsidRPr="00124AD6" w:rsidRDefault="00037093" w:rsidP="00037093">
      <w:pPr>
        <w:jc w:val="both"/>
      </w:pPr>
    </w:p>
    <w:p w:rsidR="00037093" w:rsidRPr="00124AD6" w:rsidRDefault="00037093" w:rsidP="00037093">
      <w:pPr>
        <w:pStyle w:val="NormalWeb"/>
        <w:spacing w:before="0" w:beforeAutospacing="0" w:after="0" w:afterAutospacing="0"/>
        <w:jc w:val="center"/>
        <w:rPr>
          <w:rFonts w:eastAsia="+mn-ea"/>
          <w:b/>
          <w:bCs/>
          <w:color w:val="000000"/>
          <w:kern w:val="24"/>
        </w:rPr>
      </w:pPr>
      <w:r w:rsidRPr="00124AD6">
        <w:rPr>
          <w:rFonts w:eastAsia="+mn-ea"/>
          <w:b/>
          <w:bCs/>
          <w:color w:val="000000"/>
          <w:kern w:val="24"/>
        </w:rPr>
        <w:t>Gráfica 1</w:t>
      </w:r>
      <w:r>
        <w:rPr>
          <w:rFonts w:eastAsia="+mn-ea"/>
          <w:b/>
          <w:bCs/>
          <w:color w:val="000000"/>
          <w:kern w:val="24"/>
        </w:rPr>
        <w:t>6</w:t>
      </w:r>
      <w:r w:rsidRPr="00124AD6">
        <w:rPr>
          <w:rFonts w:eastAsia="+mn-ea"/>
          <w:b/>
          <w:bCs/>
          <w:color w:val="000000"/>
          <w:kern w:val="24"/>
        </w:rPr>
        <w:t xml:space="preserve"> </w:t>
      </w:r>
    </w:p>
    <w:p w:rsidR="00037093" w:rsidRDefault="00037093" w:rsidP="00037093">
      <w:pPr>
        <w:pStyle w:val="NormalWeb"/>
        <w:spacing w:before="0" w:beforeAutospacing="0" w:after="0" w:afterAutospacing="0"/>
        <w:jc w:val="center"/>
        <w:rPr>
          <w:rFonts w:eastAsia="+mn-ea"/>
          <w:b/>
          <w:bCs/>
          <w:color w:val="000000"/>
          <w:kern w:val="24"/>
        </w:rPr>
      </w:pPr>
      <w:r w:rsidRPr="00124AD6">
        <w:rPr>
          <w:rFonts w:eastAsia="+mn-ea"/>
          <w:b/>
          <w:bCs/>
          <w:color w:val="000000"/>
          <w:kern w:val="24"/>
        </w:rPr>
        <w:t xml:space="preserve">Ejecución </w:t>
      </w:r>
      <w:r>
        <w:rPr>
          <w:rFonts w:eastAsia="+mn-ea"/>
          <w:b/>
          <w:bCs/>
          <w:color w:val="000000"/>
          <w:kern w:val="24"/>
        </w:rPr>
        <w:t xml:space="preserve">Presupuestaria </w:t>
      </w:r>
      <w:r w:rsidRPr="00124AD6">
        <w:rPr>
          <w:rFonts w:eastAsia="+mn-ea"/>
          <w:b/>
          <w:bCs/>
          <w:color w:val="000000"/>
          <w:kern w:val="24"/>
        </w:rPr>
        <w:t>del Gasto Público 2008</w:t>
      </w:r>
      <w:r>
        <w:rPr>
          <w:rFonts w:eastAsia="+mn-ea"/>
          <w:b/>
          <w:bCs/>
          <w:color w:val="000000"/>
          <w:kern w:val="24"/>
        </w:rPr>
        <w:t xml:space="preserve"> – </w:t>
      </w:r>
      <w:r w:rsidRPr="00124AD6">
        <w:rPr>
          <w:rFonts w:eastAsia="+mn-ea"/>
          <w:b/>
          <w:bCs/>
          <w:color w:val="000000"/>
          <w:kern w:val="24"/>
        </w:rPr>
        <w:t>201</w:t>
      </w:r>
      <w:r>
        <w:rPr>
          <w:rFonts w:eastAsia="+mn-ea"/>
          <w:b/>
          <w:bCs/>
          <w:color w:val="000000"/>
          <w:kern w:val="24"/>
        </w:rPr>
        <w:t>8*</w:t>
      </w:r>
    </w:p>
    <w:p w:rsidR="00037093" w:rsidRDefault="00FF17EF" w:rsidP="00037093">
      <w:pPr>
        <w:pStyle w:val="NormalWeb"/>
        <w:spacing w:before="0" w:beforeAutospacing="0" w:after="0" w:afterAutospacing="0"/>
        <w:jc w:val="center"/>
        <w:rPr>
          <w:rFonts w:eastAsia="+mn-ea"/>
          <w:b/>
          <w:bCs/>
          <w:color w:val="000000"/>
          <w:kern w:val="24"/>
        </w:rPr>
      </w:pPr>
      <w:r>
        <w:rPr>
          <w:rFonts w:eastAsia="+mn-ea"/>
          <w:b/>
          <w:bCs/>
          <w:color w:val="000000"/>
          <w:kern w:val="24"/>
        </w:rPr>
        <w:t xml:space="preserve">(Cifras en </w:t>
      </w:r>
      <w:r w:rsidR="00037093">
        <w:rPr>
          <w:rFonts w:eastAsia="+mn-ea"/>
          <w:b/>
          <w:bCs/>
          <w:color w:val="000000"/>
          <w:kern w:val="24"/>
        </w:rPr>
        <w:t>Porcentajes</w:t>
      </w:r>
      <w:r>
        <w:rPr>
          <w:rFonts w:eastAsia="+mn-ea"/>
          <w:b/>
          <w:bCs/>
          <w:color w:val="000000"/>
          <w:kern w:val="24"/>
        </w:rPr>
        <w:t>)</w:t>
      </w:r>
    </w:p>
    <w:p w:rsidR="00037093" w:rsidRPr="00124AD6" w:rsidRDefault="00037093" w:rsidP="00037093">
      <w:pPr>
        <w:ind w:left="426"/>
        <w:jc w:val="both"/>
      </w:pPr>
      <w:r>
        <w:rPr>
          <w:noProof/>
          <w:lang w:val="es-GT" w:eastAsia="es-GT"/>
        </w:rPr>
        <w:drawing>
          <wp:inline distT="0" distB="0" distL="0" distR="0" wp14:anchorId="6F7628A7" wp14:editId="23029205">
            <wp:extent cx="5148263" cy="2924175"/>
            <wp:effectExtent l="0" t="0" r="0" b="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7093" w:rsidRPr="00A22A6F" w:rsidRDefault="00037093" w:rsidP="00037093">
      <w:pPr>
        <w:pStyle w:val="Prrafodelista"/>
        <w:ind w:left="502"/>
        <w:contextualSpacing/>
        <w:jc w:val="both"/>
        <w:rPr>
          <w:sz w:val="18"/>
        </w:rPr>
      </w:pPr>
      <w:r>
        <w:rPr>
          <w:sz w:val="18"/>
        </w:rPr>
        <w:t>* Cifras preliminares, incluyendo las amortizaciones de préstamos</w:t>
      </w:r>
    </w:p>
    <w:p w:rsidR="00037093" w:rsidRPr="007774ED" w:rsidRDefault="00037093" w:rsidP="00037093">
      <w:pPr>
        <w:ind w:left="142"/>
        <w:contextualSpacing/>
        <w:jc w:val="both"/>
        <w:rPr>
          <w:sz w:val="18"/>
        </w:rPr>
      </w:pPr>
      <w:r>
        <w:rPr>
          <w:sz w:val="18"/>
        </w:rPr>
        <w:t xml:space="preserve">           </w:t>
      </w:r>
      <w:r w:rsidRPr="007774ED">
        <w:rPr>
          <w:sz w:val="18"/>
        </w:rPr>
        <w:t>Fuente: Ministerio de Finanzas Públicas</w:t>
      </w:r>
      <w:r>
        <w:rPr>
          <w:sz w:val="18"/>
        </w:rPr>
        <w:t>.</w:t>
      </w:r>
    </w:p>
    <w:p w:rsidR="00037093" w:rsidRPr="00124AD6" w:rsidRDefault="00037093" w:rsidP="00037093">
      <w:pPr>
        <w:jc w:val="both"/>
      </w:pPr>
    </w:p>
    <w:p w:rsidR="00037093" w:rsidRPr="00124AD6" w:rsidRDefault="00037093" w:rsidP="00037093">
      <w:pPr>
        <w:jc w:val="both"/>
      </w:pPr>
      <w:r>
        <w:lastRenderedPageBreak/>
        <w:t>La ejecución presupuestaria total del gasto incluyendo las amortizaciones fue del 96.0% en 2018, en tanto que la del 2017 fue del 91.7%, en tanto que el promedio durante el período de 2008 a 2018 fue de 92.9%, quedando 2018 por arriba de este promedio en alrededor de 4.3 puntos porcentuales.  Vale indicar que el presupuesto de 2018 aument</w:t>
      </w:r>
      <w:r w:rsidR="002B0831">
        <w:t>ó</w:t>
      </w:r>
      <w:r>
        <w:t xml:space="preserve"> en Q</w:t>
      </w:r>
      <w:r w:rsidR="002B0831">
        <w:t>.</w:t>
      </w:r>
      <w:r>
        <w:t xml:space="preserve">768.9 millones respecto </w:t>
      </w:r>
      <w:r w:rsidR="002B0831">
        <w:t>de</w:t>
      </w:r>
      <w:r>
        <w:t xml:space="preserve"> 2017, ubicándose en Q</w:t>
      </w:r>
      <w:r w:rsidR="002B0831">
        <w:t>.</w:t>
      </w:r>
      <w:r>
        <w:t>78,391.5 millones</w:t>
      </w:r>
      <w:r w:rsidRPr="00124AD6">
        <w:t>.</w:t>
      </w:r>
    </w:p>
    <w:p w:rsidR="00037093" w:rsidRPr="00BB6F45" w:rsidRDefault="00037093" w:rsidP="006A75DE">
      <w:pPr>
        <w:jc w:val="both"/>
        <w:rPr>
          <w:bCs/>
        </w:rPr>
      </w:pPr>
    </w:p>
    <w:p w:rsidR="006A75DE" w:rsidRDefault="006A75DE" w:rsidP="006A75DE">
      <w:pPr>
        <w:pStyle w:val="Ttulo3"/>
        <w:numPr>
          <w:ilvl w:val="0"/>
          <w:numId w:val="2"/>
        </w:numPr>
        <w:spacing w:line="276" w:lineRule="auto"/>
        <w:ind w:left="426"/>
        <w:jc w:val="both"/>
        <w:rPr>
          <w:rFonts w:ascii="Times New Roman" w:hAnsi="Times New Roman"/>
          <w:color w:val="000000" w:themeColor="text1"/>
        </w:rPr>
      </w:pPr>
      <w:bookmarkStart w:id="23" w:name="_Toc514399374"/>
      <w:bookmarkStart w:id="24" w:name="_Toc4775340"/>
      <w:bookmarkStart w:id="25" w:name="_Toc364869044"/>
      <w:bookmarkEnd w:id="17"/>
      <w:bookmarkEnd w:id="18"/>
      <w:r w:rsidRPr="006A75DE">
        <w:rPr>
          <w:rFonts w:ascii="Times New Roman" w:hAnsi="Times New Roman"/>
          <w:color w:val="000000" w:themeColor="text1"/>
        </w:rPr>
        <w:t>Gasto Social y Acuerdos de Paz</w:t>
      </w:r>
      <w:bookmarkEnd w:id="23"/>
      <w:bookmarkEnd w:id="24"/>
      <w:r w:rsidRPr="006A75DE">
        <w:rPr>
          <w:rFonts w:ascii="Times New Roman" w:hAnsi="Times New Roman"/>
          <w:color w:val="000000" w:themeColor="text1"/>
        </w:rPr>
        <w:t xml:space="preserve"> </w:t>
      </w:r>
    </w:p>
    <w:p w:rsidR="006A75DE" w:rsidRPr="006A75DE" w:rsidRDefault="006A75DE" w:rsidP="006A75DE">
      <w:pPr>
        <w:rPr>
          <w:lang w:val="es-GT"/>
        </w:rPr>
      </w:pPr>
    </w:p>
    <w:p w:rsidR="006A75DE" w:rsidRPr="00124AD6" w:rsidRDefault="006A75DE" w:rsidP="006A75DE">
      <w:pPr>
        <w:jc w:val="both"/>
      </w:pPr>
      <w:r w:rsidRPr="00124AD6">
        <w:t>Dentro de la priorización del gasto público es importante señalar que el gasto orientado a los sectores sociales de los Acuerdos de Paz como salud, educación, seguridad ciudadana y los aportes al Ministerio Público y el Organismo Judicial, mostraron mayor dinamismo.</w:t>
      </w:r>
    </w:p>
    <w:p w:rsidR="006A75DE" w:rsidRPr="00124AD6" w:rsidRDefault="006A75DE" w:rsidP="006A75DE">
      <w:pPr>
        <w:jc w:val="both"/>
        <w:rPr>
          <w:lang w:val="es-GT"/>
        </w:rPr>
      </w:pPr>
    </w:p>
    <w:p w:rsidR="006A75DE" w:rsidRPr="00124AD6" w:rsidRDefault="006A75DE" w:rsidP="006A75DE">
      <w:pPr>
        <w:jc w:val="both"/>
      </w:pPr>
      <w:r>
        <w:t xml:space="preserve">Para el ejercicio fiscal 2018, el monto aprobado para los </w:t>
      </w:r>
      <w:r w:rsidR="00E6217B">
        <w:t>c</w:t>
      </w:r>
      <w:r>
        <w:t>ompromisos de los Acuerdos de Paz fue de Q.44,578.6 millones</w:t>
      </w:r>
      <w:r w:rsidR="00E6217B">
        <w:t>,</w:t>
      </w:r>
      <w:r>
        <w:t xml:space="preserve"> de los cuales se ejecutaron Q.43,371.7 millones, que representa</w:t>
      </w:r>
      <w:r w:rsidR="00E6217B">
        <w:t>n</w:t>
      </w:r>
      <w:r>
        <w:t xml:space="preserve"> el 97.3%.  Los sectores del gasto social presentaron un comportamiento dinámico como se muestra a continuación: el sector Salud y Asistencia Social ejecutó el 96.2% del presupuesto aprobado; el sector Educación, Ciencia y Cultura ejecutó el 100.8% y el sector Vivienda ejecutó 112.2%.  Asimismo, la ejecución de los demás sectores fue considerable: el sector de Seguridad Interna ejecutó el 88.1% y el Organismo Judicial y Corte de Constitucionalidad y Ministerio Público ejecutaron el 98.4%.</w:t>
      </w:r>
    </w:p>
    <w:p w:rsidR="006A75DE" w:rsidRDefault="006A75DE" w:rsidP="006A75DE">
      <w:pPr>
        <w:jc w:val="center"/>
        <w:rPr>
          <w:b/>
        </w:rPr>
      </w:pPr>
    </w:p>
    <w:p w:rsidR="006A75DE" w:rsidRPr="00124AD6" w:rsidRDefault="006A75DE" w:rsidP="006A75DE">
      <w:pPr>
        <w:jc w:val="center"/>
        <w:rPr>
          <w:b/>
        </w:rPr>
      </w:pPr>
      <w:r w:rsidRPr="00124AD6">
        <w:rPr>
          <w:b/>
        </w:rPr>
        <w:t xml:space="preserve">Cuadro </w:t>
      </w:r>
      <w:r w:rsidR="009C7CB4">
        <w:rPr>
          <w:b/>
        </w:rPr>
        <w:t>5</w:t>
      </w:r>
    </w:p>
    <w:p w:rsidR="006A75DE" w:rsidRPr="00124AD6" w:rsidRDefault="006A75DE" w:rsidP="006A75DE">
      <w:pPr>
        <w:jc w:val="center"/>
        <w:rPr>
          <w:b/>
        </w:rPr>
      </w:pPr>
      <w:r w:rsidRPr="00124AD6">
        <w:rPr>
          <w:b/>
        </w:rPr>
        <w:t>Ejecución del Gasto Social</w:t>
      </w:r>
    </w:p>
    <w:p w:rsidR="006A75DE" w:rsidRPr="00124AD6" w:rsidRDefault="006A75DE" w:rsidP="006A75DE">
      <w:pPr>
        <w:jc w:val="center"/>
        <w:rPr>
          <w:b/>
        </w:rPr>
      </w:pPr>
      <w:r w:rsidRPr="00124AD6">
        <w:rPr>
          <w:b/>
        </w:rPr>
        <w:t>Al 31 de diciembre 201</w:t>
      </w:r>
      <w:r>
        <w:rPr>
          <w:b/>
        </w:rPr>
        <w:t>8*</w:t>
      </w:r>
    </w:p>
    <w:p w:rsidR="006A75DE" w:rsidRDefault="00E6217B" w:rsidP="006A75DE">
      <w:pPr>
        <w:jc w:val="center"/>
        <w:rPr>
          <w:b/>
        </w:rPr>
      </w:pPr>
      <w:r>
        <w:rPr>
          <w:b/>
        </w:rPr>
        <w:t>(</w:t>
      </w:r>
      <w:r w:rsidR="006A75DE" w:rsidRPr="00124AD6">
        <w:rPr>
          <w:b/>
        </w:rPr>
        <w:t>Mill</w:t>
      </w:r>
      <w:r w:rsidR="006A75DE">
        <w:rPr>
          <w:b/>
        </w:rPr>
        <w:t>ones de Quetzales y Porcentajes</w:t>
      </w:r>
      <w:r>
        <w:rPr>
          <w:b/>
        </w:rPr>
        <w:t>)</w:t>
      </w:r>
    </w:p>
    <w:tbl>
      <w:tblPr>
        <w:tblW w:w="8946" w:type="dxa"/>
        <w:tblInd w:w="55" w:type="dxa"/>
        <w:tblCellMar>
          <w:left w:w="70" w:type="dxa"/>
          <w:right w:w="70" w:type="dxa"/>
        </w:tblCellMar>
        <w:tblLook w:val="04A0" w:firstRow="1" w:lastRow="0" w:firstColumn="1" w:lastColumn="0" w:noHBand="0" w:noVBand="1"/>
      </w:tblPr>
      <w:tblGrid>
        <w:gridCol w:w="2925"/>
        <w:gridCol w:w="1361"/>
        <w:gridCol w:w="1701"/>
        <w:gridCol w:w="1531"/>
        <w:gridCol w:w="1428"/>
      </w:tblGrid>
      <w:tr w:rsidR="006A75DE" w:rsidRPr="00DA49E5" w:rsidTr="00E6217B">
        <w:trPr>
          <w:trHeight w:val="284"/>
        </w:trPr>
        <w:tc>
          <w:tcPr>
            <w:tcW w:w="2925" w:type="dxa"/>
            <w:vMerge w:val="restart"/>
            <w:tcBorders>
              <w:top w:val="single" w:sz="12" w:space="0" w:color="auto"/>
              <w:left w:val="single" w:sz="12" w:space="0" w:color="auto"/>
              <w:bottom w:val="single" w:sz="8" w:space="0" w:color="000000"/>
              <w:right w:val="nil"/>
            </w:tcBorders>
            <w:shd w:val="clear" w:color="auto" w:fill="99CCFF"/>
            <w:vAlign w:val="center"/>
            <w:hideMark/>
          </w:tcPr>
          <w:p w:rsidR="006A75DE" w:rsidRPr="00E6217B" w:rsidRDefault="006A75DE" w:rsidP="001E2EF8">
            <w:pPr>
              <w:jc w:val="center"/>
              <w:rPr>
                <w:b/>
                <w:bCs/>
                <w:lang w:val="es-GT" w:eastAsia="es-GT"/>
              </w:rPr>
            </w:pPr>
            <w:r w:rsidRPr="00E6217B">
              <w:rPr>
                <w:b/>
                <w:bCs/>
                <w:lang w:val="es-GT" w:eastAsia="es-GT"/>
              </w:rPr>
              <w:t>Sector</w:t>
            </w:r>
          </w:p>
        </w:tc>
        <w:tc>
          <w:tcPr>
            <w:tcW w:w="3062" w:type="dxa"/>
            <w:gridSpan w:val="2"/>
            <w:tcBorders>
              <w:top w:val="single" w:sz="12" w:space="0" w:color="auto"/>
              <w:left w:val="single" w:sz="8" w:space="0" w:color="auto"/>
              <w:bottom w:val="single" w:sz="4" w:space="0" w:color="auto"/>
              <w:right w:val="single" w:sz="4" w:space="0" w:color="000000"/>
            </w:tcBorders>
            <w:shd w:val="clear" w:color="auto" w:fill="99CCFF"/>
            <w:noWrap/>
            <w:vAlign w:val="center"/>
            <w:hideMark/>
          </w:tcPr>
          <w:p w:rsidR="006A75DE" w:rsidRPr="00E6217B" w:rsidRDefault="006A75DE" w:rsidP="001E2EF8">
            <w:pPr>
              <w:jc w:val="center"/>
              <w:rPr>
                <w:b/>
                <w:bCs/>
                <w:lang w:val="es-GT" w:eastAsia="es-GT"/>
              </w:rPr>
            </w:pPr>
            <w:r w:rsidRPr="00E6217B">
              <w:rPr>
                <w:b/>
                <w:bCs/>
                <w:lang w:val="es-GT" w:eastAsia="es-GT"/>
              </w:rPr>
              <w:t>Presupuesto</w:t>
            </w:r>
          </w:p>
        </w:tc>
        <w:tc>
          <w:tcPr>
            <w:tcW w:w="1531" w:type="dxa"/>
            <w:vMerge w:val="restart"/>
            <w:tcBorders>
              <w:top w:val="single" w:sz="12" w:space="0" w:color="auto"/>
              <w:left w:val="single" w:sz="4" w:space="0" w:color="auto"/>
              <w:bottom w:val="single" w:sz="8" w:space="0" w:color="000000"/>
              <w:right w:val="nil"/>
            </w:tcBorders>
            <w:shd w:val="clear" w:color="auto" w:fill="99CCFF"/>
            <w:vAlign w:val="center"/>
            <w:hideMark/>
          </w:tcPr>
          <w:p w:rsidR="006A75DE" w:rsidRPr="00E6217B" w:rsidRDefault="006A75DE" w:rsidP="001E2EF8">
            <w:pPr>
              <w:jc w:val="center"/>
              <w:rPr>
                <w:b/>
                <w:bCs/>
                <w:lang w:val="es-GT" w:eastAsia="es-GT"/>
              </w:rPr>
            </w:pPr>
          </w:p>
          <w:p w:rsidR="006A75DE" w:rsidRPr="00E6217B" w:rsidRDefault="006A75DE" w:rsidP="001E2EF8">
            <w:pPr>
              <w:jc w:val="center"/>
              <w:rPr>
                <w:b/>
                <w:bCs/>
                <w:lang w:val="es-GT" w:eastAsia="es-GT"/>
              </w:rPr>
            </w:pPr>
            <w:r w:rsidRPr="00E6217B">
              <w:rPr>
                <w:b/>
                <w:bCs/>
                <w:lang w:val="es-GT" w:eastAsia="es-GT"/>
              </w:rPr>
              <w:t>Variación Absoluta</w:t>
            </w:r>
          </w:p>
        </w:tc>
        <w:tc>
          <w:tcPr>
            <w:tcW w:w="1428" w:type="dxa"/>
            <w:vMerge w:val="restart"/>
            <w:tcBorders>
              <w:top w:val="single" w:sz="12" w:space="0" w:color="auto"/>
              <w:left w:val="single" w:sz="4" w:space="0" w:color="auto"/>
              <w:bottom w:val="single" w:sz="8" w:space="0" w:color="000000"/>
              <w:right w:val="single" w:sz="12" w:space="0" w:color="auto"/>
            </w:tcBorders>
            <w:shd w:val="clear" w:color="auto" w:fill="99CCFF"/>
            <w:vAlign w:val="center"/>
            <w:hideMark/>
          </w:tcPr>
          <w:p w:rsidR="006A75DE" w:rsidRPr="00E6217B" w:rsidRDefault="006A75DE" w:rsidP="001E2EF8">
            <w:pPr>
              <w:jc w:val="center"/>
              <w:rPr>
                <w:b/>
                <w:bCs/>
                <w:lang w:val="es-GT" w:eastAsia="es-GT"/>
              </w:rPr>
            </w:pPr>
            <w:r w:rsidRPr="00E6217B">
              <w:rPr>
                <w:b/>
                <w:bCs/>
                <w:lang w:val="es-GT" w:eastAsia="es-GT"/>
              </w:rPr>
              <w:t>Porcentaje de Ejecución</w:t>
            </w:r>
          </w:p>
        </w:tc>
      </w:tr>
      <w:tr w:rsidR="006A75DE" w:rsidRPr="00DA49E5" w:rsidTr="00E6217B">
        <w:trPr>
          <w:trHeight w:val="284"/>
        </w:trPr>
        <w:tc>
          <w:tcPr>
            <w:tcW w:w="2925" w:type="dxa"/>
            <w:vMerge/>
            <w:tcBorders>
              <w:top w:val="single" w:sz="12" w:space="0" w:color="auto"/>
              <w:left w:val="single" w:sz="12" w:space="0" w:color="auto"/>
              <w:bottom w:val="single" w:sz="8" w:space="0" w:color="000000"/>
              <w:right w:val="nil"/>
            </w:tcBorders>
            <w:vAlign w:val="center"/>
            <w:hideMark/>
          </w:tcPr>
          <w:p w:rsidR="006A75DE" w:rsidRPr="00DA49E5" w:rsidRDefault="006A75DE" w:rsidP="001E2EF8">
            <w:pPr>
              <w:rPr>
                <w:b/>
                <w:bCs/>
                <w:lang w:val="es-GT" w:eastAsia="es-GT"/>
              </w:rPr>
            </w:pPr>
          </w:p>
        </w:tc>
        <w:tc>
          <w:tcPr>
            <w:tcW w:w="1361" w:type="dxa"/>
            <w:tcBorders>
              <w:top w:val="nil"/>
              <w:left w:val="single" w:sz="8" w:space="0" w:color="auto"/>
              <w:bottom w:val="single" w:sz="4" w:space="0" w:color="auto"/>
              <w:right w:val="single" w:sz="4" w:space="0" w:color="auto"/>
            </w:tcBorders>
            <w:shd w:val="clear" w:color="auto" w:fill="99CCFF"/>
            <w:noWrap/>
            <w:vAlign w:val="center"/>
            <w:hideMark/>
          </w:tcPr>
          <w:p w:rsidR="006A75DE" w:rsidRPr="00E6217B" w:rsidRDefault="006A75DE" w:rsidP="001E2EF8">
            <w:pPr>
              <w:jc w:val="center"/>
              <w:rPr>
                <w:b/>
                <w:bCs/>
                <w:lang w:val="es-GT" w:eastAsia="es-GT"/>
              </w:rPr>
            </w:pPr>
            <w:r w:rsidRPr="00E6217B">
              <w:rPr>
                <w:b/>
                <w:bCs/>
                <w:lang w:val="es-GT" w:eastAsia="es-GT"/>
              </w:rPr>
              <w:t>Aprobado</w:t>
            </w:r>
          </w:p>
        </w:tc>
        <w:tc>
          <w:tcPr>
            <w:tcW w:w="1701" w:type="dxa"/>
            <w:tcBorders>
              <w:top w:val="nil"/>
              <w:left w:val="nil"/>
              <w:bottom w:val="single" w:sz="4" w:space="0" w:color="auto"/>
              <w:right w:val="single" w:sz="4" w:space="0" w:color="auto"/>
            </w:tcBorders>
            <w:shd w:val="clear" w:color="auto" w:fill="99CCFF"/>
            <w:vAlign w:val="center"/>
            <w:hideMark/>
          </w:tcPr>
          <w:p w:rsidR="006A75DE" w:rsidRPr="00E6217B" w:rsidRDefault="006A75DE" w:rsidP="001E2EF8">
            <w:pPr>
              <w:jc w:val="center"/>
              <w:rPr>
                <w:b/>
                <w:bCs/>
                <w:lang w:val="es-GT" w:eastAsia="es-GT"/>
              </w:rPr>
            </w:pPr>
            <w:r w:rsidRPr="00E6217B">
              <w:rPr>
                <w:b/>
                <w:bCs/>
                <w:lang w:val="es-GT" w:eastAsia="es-GT"/>
              </w:rPr>
              <w:t>Ejecutado</w:t>
            </w:r>
          </w:p>
        </w:tc>
        <w:tc>
          <w:tcPr>
            <w:tcW w:w="1531" w:type="dxa"/>
            <w:vMerge/>
            <w:tcBorders>
              <w:top w:val="single" w:sz="12" w:space="0" w:color="auto"/>
              <w:left w:val="single" w:sz="4" w:space="0" w:color="auto"/>
              <w:bottom w:val="single" w:sz="4" w:space="0" w:color="auto"/>
              <w:right w:val="nil"/>
            </w:tcBorders>
            <w:vAlign w:val="center"/>
            <w:hideMark/>
          </w:tcPr>
          <w:p w:rsidR="006A75DE" w:rsidRPr="00DA49E5" w:rsidRDefault="006A75DE" w:rsidP="001E2EF8">
            <w:pPr>
              <w:rPr>
                <w:b/>
                <w:bCs/>
                <w:lang w:val="es-GT" w:eastAsia="es-GT"/>
              </w:rPr>
            </w:pPr>
          </w:p>
        </w:tc>
        <w:tc>
          <w:tcPr>
            <w:tcW w:w="1428" w:type="dxa"/>
            <w:vMerge/>
            <w:tcBorders>
              <w:top w:val="single" w:sz="12" w:space="0" w:color="auto"/>
              <w:left w:val="single" w:sz="4" w:space="0" w:color="auto"/>
              <w:bottom w:val="single" w:sz="4" w:space="0" w:color="auto"/>
              <w:right w:val="single" w:sz="12" w:space="0" w:color="auto"/>
            </w:tcBorders>
            <w:vAlign w:val="center"/>
            <w:hideMark/>
          </w:tcPr>
          <w:p w:rsidR="006A75DE" w:rsidRPr="00DA49E5" w:rsidRDefault="006A75DE" w:rsidP="001E2EF8">
            <w:pPr>
              <w:rPr>
                <w:b/>
                <w:bCs/>
                <w:lang w:val="es-GT" w:eastAsia="es-GT"/>
              </w:rPr>
            </w:pPr>
          </w:p>
        </w:tc>
      </w:tr>
      <w:tr w:rsidR="006A75DE" w:rsidRPr="00DA49E5" w:rsidTr="001E2EF8">
        <w:trPr>
          <w:trHeight w:val="374"/>
        </w:trPr>
        <w:tc>
          <w:tcPr>
            <w:tcW w:w="2925" w:type="dxa"/>
            <w:tcBorders>
              <w:top w:val="nil"/>
              <w:left w:val="single" w:sz="12" w:space="0" w:color="auto"/>
              <w:bottom w:val="nil"/>
              <w:right w:val="nil"/>
            </w:tcBorders>
            <w:shd w:val="clear" w:color="auto" w:fill="auto"/>
            <w:noWrap/>
            <w:vAlign w:val="bottom"/>
            <w:hideMark/>
          </w:tcPr>
          <w:p w:rsidR="006A75DE" w:rsidRPr="00DA49E5" w:rsidRDefault="006A75DE" w:rsidP="001E2EF8">
            <w:pPr>
              <w:rPr>
                <w:lang w:val="es-GT" w:eastAsia="es-GT"/>
              </w:rPr>
            </w:pPr>
            <w:r w:rsidRPr="00DA49E5">
              <w:rPr>
                <w:lang w:val="es-GT" w:eastAsia="es-GT"/>
              </w:rPr>
              <w:t xml:space="preserve">Salud y Asistencia Social </w:t>
            </w:r>
            <w:r w:rsidRPr="00DA49E5">
              <w:rPr>
                <w:vertAlign w:val="superscript"/>
                <w:lang w:val="es-GT" w:eastAsia="es-GT"/>
              </w:rPr>
              <w:t>1</w:t>
            </w:r>
            <w:r w:rsidRPr="00DA49E5">
              <w:rPr>
                <w:b/>
                <w:bCs/>
                <w:vertAlign w:val="superscript"/>
                <w:lang w:val="es-GT" w:eastAsia="es-GT"/>
              </w:rPr>
              <w:t>/</w:t>
            </w:r>
          </w:p>
        </w:tc>
        <w:tc>
          <w:tcPr>
            <w:tcW w:w="1361" w:type="dxa"/>
            <w:tcBorders>
              <w:top w:val="single" w:sz="4" w:space="0" w:color="auto"/>
              <w:left w:val="single" w:sz="8" w:space="0" w:color="auto"/>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16,156.4</w:t>
            </w:r>
          </w:p>
        </w:tc>
        <w:tc>
          <w:tcPr>
            <w:tcW w:w="1701" w:type="dxa"/>
            <w:tcBorders>
              <w:top w:val="single" w:sz="4" w:space="0" w:color="auto"/>
              <w:left w:val="nil"/>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15,539.5</w:t>
            </w:r>
          </w:p>
        </w:tc>
        <w:tc>
          <w:tcPr>
            <w:tcW w:w="1531" w:type="dxa"/>
            <w:tcBorders>
              <w:top w:val="single" w:sz="4" w:space="0" w:color="auto"/>
              <w:left w:val="nil"/>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-616.9</w:t>
            </w:r>
          </w:p>
        </w:tc>
        <w:tc>
          <w:tcPr>
            <w:tcW w:w="1428" w:type="dxa"/>
            <w:tcBorders>
              <w:top w:val="single" w:sz="4" w:space="0" w:color="auto"/>
              <w:left w:val="nil"/>
              <w:bottom w:val="nil"/>
              <w:right w:val="single" w:sz="12"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96.2%</w:t>
            </w:r>
          </w:p>
        </w:tc>
      </w:tr>
      <w:tr w:rsidR="006A75DE" w:rsidRPr="00DA49E5" w:rsidTr="001E2EF8">
        <w:trPr>
          <w:trHeight w:val="374"/>
        </w:trPr>
        <w:tc>
          <w:tcPr>
            <w:tcW w:w="2925" w:type="dxa"/>
            <w:tcBorders>
              <w:top w:val="nil"/>
              <w:left w:val="single" w:sz="12" w:space="0" w:color="auto"/>
              <w:bottom w:val="nil"/>
              <w:right w:val="nil"/>
            </w:tcBorders>
            <w:shd w:val="clear" w:color="auto" w:fill="auto"/>
            <w:noWrap/>
            <w:vAlign w:val="bottom"/>
            <w:hideMark/>
          </w:tcPr>
          <w:p w:rsidR="006A75DE" w:rsidRPr="00DA49E5" w:rsidRDefault="006A75DE" w:rsidP="001E2EF8">
            <w:pPr>
              <w:rPr>
                <w:lang w:val="es-GT" w:eastAsia="es-GT"/>
              </w:rPr>
            </w:pPr>
            <w:r w:rsidRPr="00DA49E5">
              <w:rPr>
                <w:lang w:val="es-GT" w:eastAsia="es-GT"/>
              </w:rPr>
              <w:t>Educación, Ciencia y Cultura</w:t>
            </w:r>
          </w:p>
        </w:tc>
        <w:tc>
          <w:tcPr>
            <w:tcW w:w="1361" w:type="dxa"/>
            <w:tcBorders>
              <w:top w:val="nil"/>
              <w:left w:val="single" w:sz="8" w:space="0" w:color="auto"/>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18,414.0</w:t>
            </w:r>
          </w:p>
        </w:tc>
        <w:tc>
          <w:tcPr>
            <w:tcW w:w="1701" w:type="dxa"/>
            <w:tcBorders>
              <w:top w:val="nil"/>
              <w:left w:val="nil"/>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18,553.5</w:t>
            </w:r>
          </w:p>
        </w:tc>
        <w:tc>
          <w:tcPr>
            <w:tcW w:w="1531" w:type="dxa"/>
            <w:tcBorders>
              <w:top w:val="nil"/>
              <w:left w:val="nil"/>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139.5</w:t>
            </w:r>
          </w:p>
        </w:tc>
        <w:tc>
          <w:tcPr>
            <w:tcW w:w="1428" w:type="dxa"/>
            <w:tcBorders>
              <w:top w:val="nil"/>
              <w:left w:val="nil"/>
              <w:bottom w:val="nil"/>
              <w:right w:val="single" w:sz="12"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100.8%</w:t>
            </w:r>
          </w:p>
        </w:tc>
      </w:tr>
      <w:tr w:rsidR="006A75DE" w:rsidRPr="00DA49E5" w:rsidTr="001E2EF8">
        <w:trPr>
          <w:trHeight w:val="374"/>
        </w:trPr>
        <w:tc>
          <w:tcPr>
            <w:tcW w:w="2925" w:type="dxa"/>
            <w:tcBorders>
              <w:top w:val="nil"/>
              <w:left w:val="single" w:sz="12" w:space="0" w:color="auto"/>
              <w:bottom w:val="nil"/>
              <w:right w:val="nil"/>
            </w:tcBorders>
            <w:shd w:val="clear" w:color="auto" w:fill="auto"/>
            <w:noWrap/>
            <w:vAlign w:val="bottom"/>
            <w:hideMark/>
          </w:tcPr>
          <w:p w:rsidR="006A75DE" w:rsidRPr="00DA49E5" w:rsidRDefault="006A75DE" w:rsidP="001E2EF8">
            <w:pPr>
              <w:rPr>
                <w:lang w:val="es-GT" w:eastAsia="es-GT"/>
              </w:rPr>
            </w:pPr>
            <w:r w:rsidRPr="00DA49E5">
              <w:rPr>
                <w:lang w:val="es-GT" w:eastAsia="es-GT"/>
              </w:rPr>
              <w:t>Vivienda</w:t>
            </w:r>
          </w:p>
        </w:tc>
        <w:tc>
          <w:tcPr>
            <w:tcW w:w="1361" w:type="dxa"/>
            <w:tcBorders>
              <w:top w:val="nil"/>
              <w:left w:val="single" w:sz="8" w:space="0" w:color="auto"/>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160.6</w:t>
            </w:r>
          </w:p>
        </w:tc>
        <w:tc>
          <w:tcPr>
            <w:tcW w:w="1701" w:type="dxa"/>
            <w:tcBorders>
              <w:top w:val="nil"/>
              <w:left w:val="nil"/>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180.1</w:t>
            </w:r>
          </w:p>
        </w:tc>
        <w:tc>
          <w:tcPr>
            <w:tcW w:w="1531" w:type="dxa"/>
            <w:tcBorders>
              <w:top w:val="nil"/>
              <w:left w:val="nil"/>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19.6</w:t>
            </w:r>
          </w:p>
        </w:tc>
        <w:tc>
          <w:tcPr>
            <w:tcW w:w="1428" w:type="dxa"/>
            <w:tcBorders>
              <w:top w:val="nil"/>
              <w:left w:val="nil"/>
              <w:bottom w:val="nil"/>
              <w:right w:val="single" w:sz="12"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112.2%</w:t>
            </w:r>
          </w:p>
        </w:tc>
      </w:tr>
      <w:tr w:rsidR="006A75DE" w:rsidRPr="00DA49E5" w:rsidTr="001E2EF8">
        <w:trPr>
          <w:trHeight w:val="374"/>
        </w:trPr>
        <w:tc>
          <w:tcPr>
            <w:tcW w:w="2925" w:type="dxa"/>
            <w:tcBorders>
              <w:top w:val="nil"/>
              <w:left w:val="single" w:sz="12" w:space="0" w:color="auto"/>
              <w:bottom w:val="nil"/>
              <w:right w:val="nil"/>
            </w:tcBorders>
            <w:shd w:val="clear" w:color="auto" w:fill="auto"/>
            <w:noWrap/>
            <w:vAlign w:val="bottom"/>
            <w:hideMark/>
          </w:tcPr>
          <w:p w:rsidR="006A75DE" w:rsidRPr="00DA49E5" w:rsidRDefault="006A75DE" w:rsidP="001E2EF8">
            <w:pPr>
              <w:jc w:val="center"/>
              <w:rPr>
                <w:b/>
                <w:bCs/>
                <w:lang w:val="es-GT" w:eastAsia="es-GT"/>
              </w:rPr>
            </w:pPr>
            <w:r w:rsidRPr="00DA49E5">
              <w:rPr>
                <w:b/>
                <w:bCs/>
                <w:lang w:val="es-GT" w:eastAsia="es-GT"/>
              </w:rPr>
              <w:t>Sub Total</w:t>
            </w:r>
          </w:p>
        </w:tc>
        <w:tc>
          <w:tcPr>
            <w:tcW w:w="1361" w:type="dxa"/>
            <w:tcBorders>
              <w:top w:val="nil"/>
              <w:left w:val="single" w:sz="8" w:space="0" w:color="auto"/>
              <w:bottom w:val="nil"/>
              <w:right w:val="single" w:sz="4" w:space="0" w:color="auto"/>
            </w:tcBorders>
            <w:shd w:val="clear" w:color="auto" w:fill="auto"/>
            <w:noWrap/>
            <w:vAlign w:val="bottom"/>
            <w:hideMark/>
          </w:tcPr>
          <w:p w:rsidR="006A75DE" w:rsidRPr="00DA49E5" w:rsidRDefault="006A75DE" w:rsidP="001E2EF8">
            <w:pPr>
              <w:jc w:val="center"/>
              <w:rPr>
                <w:b/>
                <w:bCs/>
                <w:lang w:val="es-GT" w:eastAsia="es-GT"/>
              </w:rPr>
            </w:pPr>
            <w:r w:rsidRPr="00DA49E5">
              <w:rPr>
                <w:b/>
                <w:bCs/>
                <w:lang w:val="es-GT" w:eastAsia="es-GT"/>
              </w:rPr>
              <w:t>34,731.0</w:t>
            </w:r>
          </w:p>
        </w:tc>
        <w:tc>
          <w:tcPr>
            <w:tcW w:w="1701" w:type="dxa"/>
            <w:tcBorders>
              <w:top w:val="nil"/>
              <w:left w:val="nil"/>
              <w:bottom w:val="nil"/>
              <w:right w:val="single" w:sz="4" w:space="0" w:color="auto"/>
            </w:tcBorders>
            <w:shd w:val="clear" w:color="auto" w:fill="auto"/>
            <w:noWrap/>
            <w:vAlign w:val="bottom"/>
            <w:hideMark/>
          </w:tcPr>
          <w:p w:rsidR="006A75DE" w:rsidRPr="00DA49E5" w:rsidRDefault="006A75DE" w:rsidP="001E2EF8">
            <w:pPr>
              <w:jc w:val="center"/>
              <w:rPr>
                <w:b/>
                <w:bCs/>
                <w:lang w:val="es-GT" w:eastAsia="es-GT"/>
              </w:rPr>
            </w:pPr>
            <w:r w:rsidRPr="00DA49E5">
              <w:rPr>
                <w:b/>
                <w:bCs/>
                <w:lang w:val="es-GT" w:eastAsia="es-GT"/>
              </w:rPr>
              <w:t>34,273.2</w:t>
            </w:r>
          </w:p>
        </w:tc>
        <w:tc>
          <w:tcPr>
            <w:tcW w:w="1531" w:type="dxa"/>
            <w:tcBorders>
              <w:top w:val="nil"/>
              <w:left w:val="nil"/>
              <w:bottom w:val="nil"/>
              <w:right w:val="single" w:sz="4" w:space="0" w:color="auto"/>
            </w:tcBorders>
            <w:shd w:val="clear" w:color="auto" w:fill="auto"/>
            <w:noWrap/>
            <w:vAlign w:val="bottom"/>
            <w:hideMark/>
          </w:tcPr>
          <w:p w:rsidR="006A75DE" w:rsidRPr="00DA49E5" w:rsidRDefault="006A75DE" w:rsidP="001E2EF8">
            <w:pPr>
              <w:jc w:val="center"/>
              <w:rPr>
                <w:b/>
                <w:bCs/>
                <w:lang w:val="es-GT" w:eastAsia="es-GT"/>
              </w:rPr>
            </w:pPr>
            <w:r w:rsidRPr="00DA49E5">
              <w:rPr>
                <w:b/>
                <w:bCs/>
                <w:lang w:val="es-GT" w:eastAsia="es-GT"/>
              </w:rPr>
              <w:t>-457.8</w:t>
            </w:r>
          </w:p>
        </w:tc>
        <w:tc>
          <w:tcPr>
            <w:tcW w:w="1428" w:type="dxa"/>
            <w:tcBorders>
              <w:top w:val="nil"/>
              <w:left w:val="nil"/>
              <w:bottom w:val="nil"/>
              <w:right w:val="single" w:sz="12" w:space="0" w:color="auto"/>
            </w:tcBorders>
            <w:shd w:val="clear" w:color="auto" w:fill="auto"/>
            <w:noWrap/>
            <w:vAlign w:val="bottom"/>
            <w:hideMark/>
          </w:tcPr>
          <w:p w:rsidR="006A75DE" w:rsidRPr="00DA49E5" w:rsidRDefault="006A75DE" w:rsidP="001E2EF8">
            <w:pPr>
              <w:jc w:val="center"/>
              <w:rPr>
                <w:b/>
                <w:bCs/>
                <w:lang w:val="es-GT" w:eastAsia="es-GT"/>
              </w:rPr>
            </w:pPr>
            <w:r w:rsidRPr="00DA49E5">
              <w:rPr>
                <w:b/>
                <w:bCs/>
                <w:lang w:val="es-GT" w:eastAsia="es-GT"/>
              </w:rPr>
              <w:t>98.7%</w:t>
            </w:r>
          </w:p>
        </w:tc>
      </w:tr>
      <w:tr w:rsidR="006A75DE" w:rsidRPr="00DA49E5" w:rsidTr="001E2EF8">
        <w:trPr>
          <w:trHeight w:val="374"/>
        </w:trPr>
        <w:tc>
          <w:tcPr>
            <w:tcW w:w="2925" w:type="dxa"/>
            <w:tcBorders>
              <w:top w:val="nil"/>
              <w:left w:val="single" w:sz="12" w:space="0" w:color="auto"/>
              <w:bottom w:val="nil"/>
              <w:right w:val="nil"/>
            </w:tcBorders>
            <w:shd w:val="clear" w:color="auto" w:fill="auto"/>
            <w:noWrap/>
            <w:vAlign w:val="bottom"/>
            <w:hideMark/>
          </w:tcPr>
          <w:p w:rsidR="006A75DE" w:rsidRPr="00DA49E5" w:rsidRDefault="006A75DE" w:rsidP="001E2EF8">
            <w:pPr>
              <w:rPr>
                <w:lang w:val="es-GT" w:eastAsia="es-GT"/>
              </w:rPr>
            </w:pPr>
            <w:r w:rsidRPr="00DA49E5">
              <w:rPr>
                <w:lang w:val="es-GT" w:eastAsia="es-GT"/>
              </w:rPr>
              <w:t>Seguridad Interna</w:t>
            </w:r>
          </w:p>
        </w:tc>
        <w:tc>
          <w:tcPr>
            <w:tcW w:w="1361" w:type="dxa"/>
            <w:tcBorders>
              <w:top w:val="nil"/>
              <w:left w:val="single" w:sz="8" w:space="0" w:color="auto"/>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5,716.7</w:t>
            </w:r>
          </w:p>
        </w:tc>
        <w:tc>
          <w:tcPr>
            <w:tcW w:w="1701" w:type="dxa"/>
            <w:tcBorders>
              <w:top w:val="nil"/>
              <w:left w:val="nil"/>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5,033.9</w:t>
            </w:r>
          </w:p>
        </w:tc>
        <w:tc>
          <w:tcPr>
            <w:tcW w:w="1531" w:type="dxa"/>
            <w:tcBorders>
              <w:top w:val="nil"/>
              <w:left w:val="nil"/>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-682.8</w:t>
            </w:r>
          </w:p>
        </w:tc>
        <w:tc>
          <w:tcPr>
            <w:tcW w:w="1428" w:type="dxa"/>
            <w:tcBorders>
              <w:top w:val="nil"/>
              <w:left w:val="nil"/>
              <w:bottom w:val="nil"/>
              <w:right w:val="single" w:sz="12"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88.1%</w:t>
            </w:r>
          </w:p>
        </w:tc>
      </w:tr>
      <w:tr w:rsidR="006A75DE" w:rsidRPr="00DA49E5" w:rsidTr="001E2EF8">
        <w:trPr>
          <w:trHeight w:val="374"/>
        </w:trPr>
        <w:tc>
          <w:tcPr>
            <w:tcW w:w="2925" w:type="dxa"/>
            <w:tcBorders>
              <w:top w:val="nil"/>
              <w:left w:val="single" w:sz="12" w:space="0" w:color="auto"/>
              <w:bottom w:val="nil"/>
              <w:right w:val="nil"/>
            </w:tcBorders>
            <w:shd w:val="clear" w:color="auto" w:fill="auto"/>
            <w:noWrap/>
            <w:vAlign w:val="bottom"/>
            <w:hideMark/>
          </w:tcPr>
          <w:p w:rsidR="006A75DE" w:rsidRPr="00DA49E5" w:rsidRDefault="006A75DE" w:rsidP="001E2EF8">
            <w:pPr>
              <w:rPr>
                <w:lang w:val="es-GT" w:eastAsia="es-GT"/>
              </w:rPr>
            </w:pPr>
            <w:r w:rsidRPr="00DA49E5">
              <w:rPr>
                <w:lang w:val="es-GT" w:eastAsia="es-GT"/>
              </w:rPr>
              <w:t>Organismo Judicial y C.C</w:t>
            </w:r>
          </w:p>
        </w:tc>
        <w:tc>
          <w:tcPr>
            <w:tcW w:w="1361" w:type="dxa"/>
            <w:tcBorders>
              <w:top w:val="nil"/>
              <w:left w:val="single" w:sz="8" w:space="0" w:color="auto"/>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2,288.9</w:t>
            </w:r>
          </w:p>
        </w:tc>
        <w:tc>
          <w:tcPr>
            <w:tcW w:w="1701" w:type="dxa"/>
            <w:tcBorders>
              <w:top w:val="nil"/>
              <w:left w:val="nil"/>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2,252.9</w:t>
            </w:r>
          </w:p>
        </w:tc>
        <w:tc>
          <w:tcPr>
            <w:tcW w:w="1531" w:type="dxa"/>
            <w:tcBorders>
              <w:top w:val="nil"/>
              <w:left w:val="nil"/>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-36.0</w:t>
            </w:r>
          </w:p>
        </w:tc>
        <w:tc>
          <w:tcPr>
            <w:tcW w:w="1428" w:type="dxa"/>
            <w:tcBorders>
              <w:top w:val="nil"/>
              <w:left w:val="nil"/>
              <w:bottom w:val="nil"/>
              <w:right w:val="single" w:sz="12"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98.4%</w:t>
            </w:r>
          </w:p>
        </w:tc>
      </w:tr>
      <w:tr w:rsidR="006A75DE" w:rsidRPr="00DA49E5" w:rsidTr="001E2EF8">
        <w:trPr>
          <w:trHeight w:val="374"/>
        </w:trPr>
        <w:tc>
          <w:tcPr>
            <w:tcW w:w="2925" w:type="dxa"/>
            <w:tcBorders>
              <w:top w:val="nil"/>
              <w:left w:val="single" w:sz="12" w:space="0" w:color="auto"/>
              <w:bottom w:val="nil"/>
              <w:right w:val="nil"/>
            </w:tcBorders>
            <w:shd w:val="clear" w:color="auto" w:fill="auto"/>
            <w:noWrap/>
            <w:vAlign w:val="bottom"/>
            <w:hideMark/>
          </w:tcPr>
          <w:p w:rsidR="006A75DE" w:rsidRPr="00DA49E5" w:rsidRDefault="006A75DE" w:rsidP="001E2EF8">
            <w:pPr>
              <w:rPr>
                <w:lang w:val="es-GT" w:eastAsia="es-GT"/>
              </w:rPr>
            </w:pPr>
            <w:r w:rsidRPr="00DA49E5">
              <w:rPr>
                <w:lang w:val="es-GT" w:eastAsia="es-GT"/>
              </w:rPr>
              <w:t>Ministerio Público</w:t>
            </w:r>
          </w:p>
        </w:tc>
        <w:tc>
          <w:tcPr>
            <w:tcW w:w="1361" w:type="dxa"/>
            <w:tcBorders>
              <w:top w:val="nil"/>
              <w:left w:val="single" w:sz="8" w:space="0" w:color="auto"/>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1,842.0</w:t>
            </w:r>
          </w:p>
        </w:tc>
        <w:tc>
          <w:tcPr>
            <w:tcW w:w="1701" w:type="dxa"/>
            <w:tcBorders>
              <w:top w:val="nil"/>
              <w:left w:val="nil"/>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1,811.7</w:t>
            </w:r>
          </w:p>
        </w:tc>
        <w:tc>
          <w:tcPr>
            <w:tcW w:w="1531" w:type="dxa"/>
            <w:tcBorders>
              <w:top w:val="nil"/>
              <w:left w:val="nil"/>
              <w:bottom w:val="nil"/>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-30.3</w:t>
            </w:r>
          </w:p>
        </w:tc>
        <w:tc>
          <w:tcPr>
            <w:tcW w:w="1428" w:type="dxa"/>
            <w:tcBorders>
              <w:top w:val="nil"/>
              <w:left w:val="nil"/>
              <w:bottom w:val="nil"/>
              <w:right w:val="single" w:sz="12"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98.4%</w:t>
            </w:r>
          </w:p>
        </w:tc>
      </w:tr>
      <w:tr w:rsidR="006A75DE" w:rsidRPr="00DA49E5" w:rsidTr="001E2EF8">
        <w:trPr>
          <w:trHeight w:val="374"/>
        </w:trPr>
        <w:tc>
          <w:tcPr>
            <w:tcW w:w="2925" w:type="dxa"/>
            <w:tcBorders>
              <w:top w:val="nil"/>
              <w:left w:val="single" w:sz="12" w:space="0" w:color="auto"/>
              <w:bottom w:val="single" w:sz="8" w:space="0" w:color="auto"/>
              <w:right w:val="nil"/>
            </w:tcBorders>
            <w:shd w:val="clear" w:color="auto" w:fill="auto"/>
            <w:noWrap/>
            <w:vAlign w:val="bottom"/>
            <w:hideMark/>
          </w:tcPr>
          <w:p w:rsidR="006A75DE" w:rsidRPr="00DA49E5" w:rsidRDefault="006A75DE" w:rsidP="001E2EF8">
            <w:pPr>
              <w:jc w:val="center"/>
              <w:rPr>
                <w:b/>
                <w:bCs/>
                <w:lang w:val="es-GT" w:eastAsia="es-GT"/>
              </w:rPr>
            </w:pPr>
            <w:r w:rsidRPr="00DA49E5">
              <w:rPr>
                <w:b/>
                <w:bCs/>
                <w:lang w:val="es-GT" w:eastAsia="es-GT"/>
              </w:rPr>
              <w:t>Total</w:t>
            </w:r>
          </w:p>
        </w:tc>
        <w:tc>
          <w:tcPr>
            <w:tcW w:w="1361" w:type="dxa"/>
            <w:tcBorders>
              <w:top w:val="nil"/>
              <w:left w:val="single" w:sz="8" w:space="0" w:color="auto"/>
              <w:bottom w:val="single" w:sz="8" w:space="0" w:color="auto"/>
              <w:right w:val="single" w:sz="4" w:space="0" w:color="auto"/>
            </w:tcBorders>
            <w:shd w:val="clear" w:color="auto" w:fill="auto"/>
            <w:noWrap/>
            <w:vAlign w:val="bottom"/>
            <w:hideMark/>
          </w:tcPr>
          <w:p w:rsidR="006A75DE" w:rsidRPr="00DA49E5" w:rsidRDefault="006A75DE" w:rsidP="001E2EF8">
            <w:pPr>
              <w:jc w:val="center"/>
              <w:rPr>
                <w:b/>
                <w:bCs/>
                <w:lang w:val="es-GT" w:eastAsia="es-GT"/>
              </w:rPr>
            </w:pPr>
            <w:r w:rsidRPr="00DA49E5">
              <w:rPr>
                <w:b/>
                <w:bCs/>
                <w:lang w:val="es-GT" w:eastAsia="es-GT"/>
              </w:rPr>
              <w:t>44,578.6</w:t>
            </w:r>
          </w:p>
        </w:tc>
        <w:tc>
          <w:tcPr>
            <w:tcW w:w="1701" w:type="dxa"/>
            <w:tcBorders>
              <w:top w:val="nil"/>
              <w:left w:val="nil"/>
              <w:bottom w:val="single" w:sz="8" w:space="0" w:color="auto"/>
              <w:right w:val="single" w:sz="4" w:space="0" w:color="auto"/>
            </w:tcBorders>
            <w:shd w:val="clear" w:color="auto" w:fill="auto"/>
            <w:noWrap/>
            <w:vAlign w:val="bottom"/>
            <w:hideMark/>
          </w:tcPr>
          <w:p w:rsidR="006A75DE" w:rsidRPr="00DA49E5" w:rsidRDefault="006A75DE" w:rsidP="001E2EF8">
            <w:pPr>
              <w:jc w:val="center"/>
              <w:rPr>
                <w:b/>
                <w:bCs/>
                <w:lang w:val="es-GT" w:eastAsia="es-GT"/>
              </w:rPr>
            </w:pPr>
            <w:r w:rsidRPr="00DA49E5">
              <w:rPr>
                <w:b/>
                <w:bCs/>
                <w:lang w:val="es-GT" w:eastAsia="es-GT"/>
              </w:rPr>
              <w:t>43,371.7</w:t>
            </w:r>
          </w:p>
        </w:tc>
        <w:tc>
          <w:tcPr>
            <w:tcW w:w="1531" w:type="dxa"/>
            <w:tcBorders>
              <w:top w:val="nil"/>
              <w:left w:val="nil"/>
              <w:bottom w:val="single" w:sz="8" w:space="0" w:color="auto"/>
              <w:right w:val="single" w:sz="4" w:space="0" w:color="auto"/>
            </w:tcBorders>
            <w:shd w:val="clear" w:color="auto" w:fill="auto"/>
            <w:noWrap/>
            <w:vAlign w:val="bottom"/>
            <w:hideMark/>
          </w:tcPr>
          <w:p w:rsidR="006A75DE" w:rsidRPr="00DA49E5" w:rsidRDefault="006A75DE" w:rsidP="001E2EF8">
            <w:pPr>
              <w:jc w:val="center"/>
              <w:rPr>
                <w:b/>
                <w:bCs/>
                <w:lang w:val="es-GT" w:eastAsia="es-GT"/>
              </w:rPr>
            </w:pPr>
            <w:r w:rsidRPr="00DA49E5">
              <w:rPr>
                <w:b/>
                <w:bCs/>
                <w:lang w:val="es-GT" w:eastAsia="es-GT"/>
              </w:rPr>
              <w:t>-1,206.8</w:t>
            </w:r>
          </w:p>
        </w:tc>
        <w:tc>
          <w:tcPr>
            <w:tcW w:w="1428" w:type="dxa"/>
            <w:tcBorders>
              <w:top w:val="nil"/>
              <w:left w:val="nil"/>
              <w:bottom w:val="single" w:sz="8" w:space="0" w:color="auto"/>
              <w:right w:val="single" w:sz="12" w:space="0" w:color="auto"/>
            </w:tcBorders>
            <w:shd w:val="clear" w:color="auto" w:fill="auto"/>
            <w:noWrap/>
            <w:vAlign w:val="bottom"/>
            <w:hideMark/>
          </w:tcPr>
          <w:p w:rsidR="006A75DE" w:rsidRPr="00DA49E5" w:rsidRDefault="006A75DE" w:rsidP="001E2EF8">
            <w:pPr>
              <w:jc w:val="center"/>
              <w:rPr>
                <w:b/>
                <w:bCs/>
                <w:lang w:val="es-GT" w:eastAsia="es-GT"/>
              </w:rPr>
            </w:pPr>
            <w:r w:rsidRPr="00DA49E5">
              <w:rPr>
                <w:b/>
                <w:bCs/>
                <w:lang w:val="es-GT" w:eastAsia="es-GT"/>
              </w:rPr>
              <w:t>97.3%</w:t>
            </w:r>
          </w:p>
        </w:tc>
      </w:tr>
      <w:tr w:rsidR="006A75DE" w:rsidRPr="00DA49E5" w:rsidTr="001E2EF8">
        <w:trPr>
          <w:trHeight w:val="374"/>
        </w:trPr>
        <w:tc>
          <w:tcPr>
            <w:tcW w:w="2925" w:type="dxa"/>
            <w:tcBorders>
              <w:top w:val="nil"/>
              <w:left w:val="single" w:sz="12" w:space="0" w:color="auto"/>
              <w:bottom w:val="single" w:sz="12" w:space="0" w:color="auto"/>
              <w:right w:val="nil"/>
            </w:tcBorders>
            <w:shd w:val="clear" w:color="auto" w:fill="auto"/>
            <w:noWrap/>
            <w:vAlign w:val="bottom"/>
            <w:hideMark/>
          </w:tcPr>
          <w:p w:rsidR="006A75DE" w:rsidRPr="00DA49E5" w:rsidRDefault="006A75DE" w:rsidP="001E2EF8">
            <w:pPr>
              <w:rPr>
                <w:lang w:val="es-GT" w:eastAsia="es-GT"/>
              </w:rPr>
            </w:pPr>
            <w:r w:rsidRPr="00DA49E5">
              <w:rPr>
                <w:lang w:val="es-GT" w:eastAsia="es-GT"/>
              </w:rPr>
              <w:t>Ejército de Guatemala</w:t>
            </w:r>
          </w:p>
        </w:tc>
        <w:tc>
          <w:tcPr>
            <w:tcW w:w="1361" w:type="dxa"/>
            <w:tcBorders>
              <w:top w:val="nil"/>
              <w:left w:val="single" w:sz="8" w:space="0" w:color="auto"/>
              <w:bottom w:val="single" w:sz="12" w:space="0" w:color="auto"/>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1,908.3</w:t>
            </w:r>
          </w:p>
        </w:tc>
        <w:tc>
          <w:tcPr>
            <w:tcW w:w="1701" w:type="dxa"/>
            <w:tcBorders>
              <w:top w:val="nil"/>
              <w:left w:val="nil"/>
              <w:bottom w:val="single" w:sz="12" w:space="0" w:color="auto"/>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2,053.8</w:t>
            </w:r>
          </w:p>
        </w:tc>
        <w:tc>
          <w:tcPr>
            <w:tcW w:w="1531" w:type="dxa"/>
            <w:tcBorders>
              <w:top w:val="nil"/>
              <w:left w:val="nil"/>
              <w:bottom w:val="single" w:sz="12" w:space="0" w:color="auto"/>
              <w:right w:val="single" w:sz="4"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145.5</w:t>
            </w:r>
          </w:p>
        </w:tc>
        <w:tc>
          <w:tcPr>
            <w:tcW w:w="1428" w:type="dxa"/>
            <w:tcBorders>
              <w:top w:val="nil"/>
              <w:left w:val="nil"/>
              <w:bottom w:val="single" w:sz="12" w:space="0" w:color="auto"/>
              <w:right w:val="single" w:sz="12" w:space="0" w:color="auto"/>
            </w:tcBorders>
            <w:shd w:val="clear" w:color="auto" w:fill="auto"/>
            <w:noWrap/>
            <w:vAlign w:val="bottom"/>
            <w:hideMark/>
          </w:tcPr>
          <w:p w:rsidR="006A75DE" w:rsidRPr="00DA49E5" w:rsidRDefault="006A75DE" w:rsidP="001E2EF8">
            <w:pPr>
              <w:jc w:val="center"/>
              <w:rPr>
                <w:lang w:val="es-GT" w:eastAsia="es-GT"/>
              </w:rPr>
            </w:pPr>
            <w:r w:rsidRPr="00DA49E5">
              <w:rPr>
                <w:lang w:val="es-GT" w:eastAsia="es-GT"/>
              </w:rPr>
              <w:t>107.6%</w:t>
            </w:r>
          </w:p>
        </w:tc>
      </w:tr>
    </w:tbl>
    <w:p w:rsidR="006A75DE" w:rsidRDefault="006A75DE" w:rsidP="006A75DE">
      <w:pPr>
        <w:jc w:val="both"/>
        <w:rPr>
          <w:sz w:val="18"/>
        </w:rPr>
      </w:pPr>
      <w:r>
        <w:rPr>
          <w:sz w:val="18"/>
        </w:rPr>
        <w:t>* Cifras preliminares</w:t>
      </w:r>
    </w:p>
    <w:p w:rsidR="006A75DE" w:rsidRDefault="006A75DE" w:rsidP="006A75DE">
      <w:pPr>
        <w:jc w:val="both"/>
        <w:rPr>
          <w:sz w:val="18"/>
        </w:rPr>
      </w:pPr>
      <w:r>
        <w:rPr>
          <w:sz w:val="18"/>
        </w:rPr>
        <w:t>1/ Incluye la función</w:t>
      </w:r>
      <w:r w:rsidR="00E6217B">
        <w:rPr>
          <w:sz w:val="18"/>
        </w:rPr>
        <w:t xml:space="preserve"> de “E</w:t>
      </w:r>
      <w:r>
        <w:rPr>
          <w:sz w:val="18"/>
        </w:rPr>
        <w:t xml:space="preserve">dad </w:t>
      </w:r>
      <w:r w:rsidR="00E6217B">
        <w:rPr>
          <w:sz w:val="18"/>
        </w:rPr>
        <w:t>A</w:t>
      </w:r>
      <w:r>
        <w:rPr>
          <w:sz w:val="18"/>
        </w:rPr>
        <w:t>vanzada</w:t>
      </w:r>
      <w:r w:rsidR="00E6217B">
        <w:rPr>
          <w:sz w:val="18"/>
        </w:rPr>
        <w:t>”</w:t>
      </w:r>
    </w:p>
    <w:p w:rsidR="006A75DE" w:rsidRPr="00245DF7" w:rsidRDefault="006A75DE" w:rsidP="006A75DE">
      <w:pPr>
        <w:jc w:val="both"/>
        <w:rPr>
          <w:sz w:val="18"/>
        </w:rPr>
      </w:pPr>
      <w:r w:rsidRPr="00245DF7">
        <w:rPr>
          <w:sz w:val="18"/>
        </w:rPr>
        <w:t>Fuente: Ministerio de Finanzas Públicas</w:t>
      </w:r>
      <w:r>
        <w:rPr>
          <w:sz w:val="18"/>
        </w:rPr>
        <w:t>.</w:t>
      </w:r>
    </w:p>
    <w:p w:rsidR="006A75DE" w:rsidRPr="00124AD6" w:rsidRDefault="006A75DE" w:rsidP="006A75DE">
      <w:pPr>
        <w:jc w:val="both"/>
      </w:pPr>
    </w:p>
    <w:p w:rsidR="006A75DE" w:rsidRPr="00256F9C" w:rsidRDefault="006A75DE" w:rsidP="006A75DE">
      <w:pPr>
        <w:pStyle w:val="Ttulo3"/>
        <w:numPr>
          <w:ilvl w:val="0"/>
          <w:numId w:val="2"/>
        </w:numPr>
        <w:spacing w:line="276" w:lineRule="auto"/>
        <w:ind w:left="426"/>
        <w:rPr>
          <w:rFonts w:ascii="Times New Roman" w:hAnsi="Times New Roman"/>
          <w:color w:val="000000" w:themeColor="text1"/>
        </w:rPr>
      </w:pPr>
      <w:bookmarkStart w:id="26" w:name="_Toc514399375"/>
      <w:bookmarkStart w:id="27" w:name="_Toc4775341"/>
      <w:r w:rsidRPr="00256F9C">
        <w:rPr>
          <w:rFonts w:ascii="Times New Roman" w:hAnsi="Times New Roman"/>
          <w:color w:val="000000" w:themeColor="text1"/>
          <w:lang w:val="es-MX"/>
        </w:rPr>
        <w:lastRenderedPageBreak/>
        <w:t>Ejecución</w:t>
      </w:r>
      <w:r w:rsidRPr="00256F9C">
        <w:rPr>
          <w:rFonts w:ascii="Times New Roman" w:hAnsi="Times New Roman"/>
          <w:color w:val="000000" w:themeColor="text1"/>
        </w:rPr>
        <w:t xml:space="preserve"> de los </w:t>
      </w:r>
      <w:r w:rsidR="00AD1ECE">
        <w:rPr>
          <w:rFonts w:ascii="Times New Roman" w:hAnsi="Times New Roman"/>
          <w:color w:val="000000" w:themeColor="text1"/>
        </w:rPr>
        <w:t>F</w:t>
      </w:r>
      <w:r w:rsidRPr="00256F9C">
        <w:rPr>
          <w:rFonts w:ascii="Times New Roman" w:hAnsi="Times New Roman"/>
          <w:color w:val="000000" w:themeColor="text1"/>
        </w:rPr>
        <w:t>ideicomisos p</w:t>
      </w:r>
      <w:r w:rsidRPr="00256F9C">
        <w:rPr>
          <w:rFonts w:ascii="Times New Roman" w:hAnsi="Times New Roman"/>
          <w:color w:val="000000" w:themeColor="text1"/>
          <w:lang w:val="es-MX"/>
        </w:rPr>
        <w:t>ara</w:t>
      </w:r>
      <w:r w:rsidRPr="00256F9C">
        <w:rPr>
          <w:rFonts w:ascii="Times New Roman" w:hAnsi="Times New Roman"/>
          <w:color w:val="000000" w:themeColor="text1"/>
        </w:rPr>
        <w:t xml:space="preserve"> </w:t>
      </w:r>
      <w:r w:rsidR="00AD1ECE">
        <w:rPr>
          <w:rFonts w:ascii="Times New Roman" w:hAnsi="Times New Roman"/>
          <w:color w:val="000000" w:themeColor="text1"/>
        </w:rPr>
        <w:t>P</w:t>
      </w:r>
      <w:r w:rsidRPr="00256F9C">
        <w:rPr>
          <w:rFonts w:ascii="Times New Roman" w:hAnsi="Times New Roman"/>
          <w:color w:val="000000" w:themeColor="text1"/>
        </w:rPr>
        <w:t xml:space="preserve">rogramas de </w:t>
      </w:r>
      <w:r w:rsidR="00AD1ECE">
        <w:rPr>
          <w:rFonts w:ascii="Times New Roman" w:hAnsi="Times New Roman"/>
          <w:color w:val="000000" w:themeColor="text1"/>
        </w:rPr>
        <w:t>P</w:t>
      </w:r>
      <w:r w:rsidRPr="00256F9C">
        <w:rPr>
          <w:rFonts w:ascii="Times New Roman" w:hAnsi="Times New Roman"/>
          <w:color w:val="000000" w:themeColor="text1"/>
        </w:rPr>
        <w:t xml:space="preserve">rotección </w:t>
      </w:r>
      <w:r w:rsidR="00AD1ECE">
        <w:rPr>
          <w:rFonts w:ascii="Times New Roman" w:hAnsi="Times New Roman"/>
          <w:color w:val="000000" w:themeColor="text1"/>
        </w:rPr>
        <w:t>S</w:t>
      </w:r>
      <w:r w:rsidRPr="00256F9C">
        <w:rPr>
          <w:rFonts w:ascii="Times New Roman" w:hAnsi="Times New Roman"/>
          <w:color w:val="000000" w:themeColor="text1"/>
        </w:rPr>
        <w:t>ocial</w:t>
      </w:r>
      <w:bookmarkEnd w:id="26"/>
      <w:bookmarkEnd w:id="27"/>
    </w:p>
    <w:p w:rsidR="006A75DE" w:rsidRPr="00CA6C21" w:rsidRDefault="006A75DE" w:rsidP="006A75DE">
      <w:pPr>
        <w:rPr>
          <w:color w:val="FF0000"/>
        </w:rPr>
      </w:pPr>
    </w:p>
    <w:p w:rsidR="006A75DE" w:rsidRDefault="006A75DE" w:rsidP="006A75DE">
      <w:pPr>
        <w:jc w:val="both"/>
        <w:rPr>
          <w:lang w:val="es-GT" w:eastAsia="es-GT"/>
        </w:rPr>
      </w:pPr>
      <w:r w:rsidRPr="00124AD6">
        <w:t>La ejecución a través de los fideicomisos al 31 de diciembre de 201</w:t>
      </w:r>
      <w:r>
        <w:t>8</w:t>
      </w:r>
      <w:r w:rsidRPr="00124AD6">
        <w:t xml:space="preserve"> fue de Q.</w:t>
      </w:r>
      <w:r>
        <w:t>965.5</w:t>
      </w:r>
      <w:r w:rsidRPr="00124AD6">
        <w:t xml:space="preserve"> millones, </w:t>
      </w:r>
      <w:r>
        <w:t xml:space="preserve">que representa un 91.3% de ejecución respecto al presupuesto aprobado de un monto de Q.1,057.5 millones. El Fondo Social de Solidaridad tiene un peso relativo de 44.9% respecto </w:t>
      </w:r>
      <w:r w:rsidR="002C13CC">
        <w:t>DE</w:t>
      </w:r>
      <w:r>
        <w:t xml:space="preserve"> la ejecución total (Q.433.9 millones); le sigue el Fondo de Protección Social con un peso relativo de 27.1% (Q.261.6 millones); el Fideicomiso Inversión para la Vivienda con un peso relativo de 14.4% (</w:t>
      </w:r>
      <w:r w:rsidR="002C13CC">
        <w:t>q.</w:t>
      </w:r>
      <w:r>
        <w:t xml:space="preserve">138.9 millones); el Fideicomiso del </w:t>
      </w:r>
      <w:r w:rsidRPr="00CA6C21">
        <w:rPr>
          <w:lang w:val="es-GT" w:eastAsia="es-GT"/>
        </w:rPr>
        <w:t>Fondo Nacional para la Reactivación y Modernización de la Actividad Agropecuaria</w:t>
      </w:r>
      <w:r>
        <w:rPr>
          <w:lang w:val="es-GT" w:eastAsia="es-GT"/>
        </w:rPr>
        <w:t xml:space="preserve">  con un peso relativo de 6.2% (Q.59.5 millones) y Otros fideicomisos con un peso relativo de 7.4% (Q.71.6 millones).</w:t>
      </w:r>
    </w:p>
    <w:p w:rsidR="006A75DE" w:rsidRDefault="006A75DE" w:rsidP="006A75DE">
      <w:pPr>
        <w:jc w:val="both"/>
        <w:rPr>
          <w:lang w:val="es-GT" w:eastAsia="es-GT"/>
        </w:rPr>
      </w:pPr>
    </w:p>
    <w:p w:rsidR="006A75DE" w:rsidRDefault="006A75DE" w:rsidP="006A75DE">
      <w:pPr>
        <w:jc w:val="center"/>
        <w:rPr>
          <w:b/>
        </w:rPr>
      </w:pPr>
    </w:p>
    <w:p w:rsidR="006A75DE" w:rsidRPr="00124AD6" w:rsidRDefault="006A75DE" w:rsidP="006A75DE">
      <w:pPr>
        <w:jc w:val="center"/>
        <w:rPr>
          <w:b/>
        </w:rPr>
      </w:pPr>
      <w:r w:rsidRPr="00124AD6">
        <w:rPr>
          <w:b/>
        </w:rPr>
        <w:t xml:space="preserve">Cuadro </w:t>
      </w:r>
      <w:r w:rsidR="0000712C">
        <w:rPr>
          <w:b/>
        </w:rPr>
        <w:t>6</w:t>
      </w:r>
    </w:p>
    <w:p w:rsidR="006A75DE" w:rsidRPr="00124AD6" w:rsidRDefault="006A75DE" w:rsidP="006A75DE">
      <w:pPr>
        <w:jc w:val="center"/>
        <w:rPr>
          <w:b/>
        </w:rPr>
      </w:pPr>
      <w:r w:rsidRPr="00124AD6">
        <w:rPr>
          <w:b/>
        </w:rPr>
        <w:t xml:space="preserve">Ejecución a través de Fideicomisos al 31 de diciembre </w:t>
      </w:r>
      <w:r>
        <w:rPr>
          <w:b/>
        </w:rPr>
        <w:t>2018*</w:t>
      </w:r>
    </w:p>
    <w:p w:rsidR="006A75DE" w:rsidRPr="00AF03ED" w:rsidRDefault="006A75DE" w:rsidP="006A75DE">
      <w:pPr>
        <w:jc w:val="center"/>
        <w:rPr>
          <w:b/>
          <w:bCs/>
          <w:lang w:val="es-GT" w:eastAsia="es-GT"/>
        </w:rPr>
      </w:pPr>
      <w:r w:rsidRPr="00124AD6">
        <w:rPr>
          <w:b/>
          <w:bCs/>
          <w:lang w:val="es-GT" w:eastAsia="es-GT"/>
        </w:rPr>
        <w:t>(Millones de Quetzales y Porcentajes)</w:t>
      </w:r>
    </w:p>
    <w:tbl>
      <w:tblPr>
        <w:tblW w:w="8783" w:type="dxa"/>
        <w:tblInd w:w="55" w:type="dxa"/>
        <w:tblCellMar>
          <w:left w:w="70" w:type="dxa"/>
          <w:right w:w="70" w:type="dxa"/>
        </w:tblCellMar>
        <w:tblLook w:val="04A0" w:firstRow="1" w:lastRow="0" w:firstColumn="1" w:lastColumn="0" w:noHBand="0" w:noVBand="1"/>
      </w:tblPr>
      <w:tblGrid>
        <w:gridCol w:w="4540"/>
        <w:gridCol w:w="1007"/>
        <w:gridCol w:w="1007"/>
        <w:gridCol w:w="1039"/>
        <w:gridCol w:w="1190"/>
      </w:tblGrid>
      <w:tr w:rsidR="006A75DE" w:rsidRPr="00DA49E5" w:rsidTr="001E2EF8">
        <w:trPr>
          <w:trHeight w:val="301"/>
        </w:trPr>
        <w:tc>
          <w:tcPr>
            <w:tcW w:w="4542" w:type="dxa"/>
            <w:vMerge w:val="restart"/>
            <w:tcBorders>
              <w:top w:val="single" w:sz="8" w:space="0" w:color="auto"/>
              <w:left w:val="single" w:sz="8" w:space="0" w:color="auto"/>
              <w:bottom w:val="single" w:sz="4" w:space="0" w:color="000000"/>
              <w:right w:val="single" w:sz="4" w:space="0" w:color="auto"/>
            </w:tcBorders>
            <w:shd w:val="clear" w:color="000000" w:fill="8DB4E2"/>
            <w:vAlign w:val="center"/>
            <w:hideMark/>
          </w:tcPr>
          <w:p w:rsidR="006A75DE" w:rsidRPr="00E52829" w:rsidRDefault="006A75DE" w:rsidP="001E2EF8">
            <w:pPr>
              <w:jc w:val="center"/>
              <w:rPr>
                <w:b/>
                <w:bCs/>
                <w:sz w:val="20"/>
                <w:szCs w:val="22"/>
                <w:lang w:val="es-GT" w:eastAsia="es-GT"/>
              </w:rPr>
            </w:pPr>
            <w:r w:rsidRPr="00E52829">
              <w:rPr>
                <w:b/>
                <w:bCs/>
                <w:sz w:val="20"/>
                <w:szCs w:val="22"/>
                <w:lang w:val="es-GT" w:eastAsia="es-GT"/>
              </w:rPr>
              <w:t>Descripción</w:t>
            </w:r>
          </w:p>
        </w:tc>
        <w:tc>
          <w:tcPr>
            <w:tcW w:w="2011" w:type="dxa"/>
            <w:gridSpan w:val="2"/>
            <w:tcBorders>
              <w:top w:val="single" w:sz="8" w:space="0" w:color="auto"/>
              <w:left w:val="single" w:sz="4" w:space="0" w:color="auto"/>
              <w:bottom w:val="single" w:sz="4" w:space="0" w:color="auto"/>
              <w:right w:val="single" w:sz="4" w:space="0" w:color="000000"/>
            </w:tcBorders>
            <w:shd w:val="clear" w:color="000000" w:fill="8DB4E2"/>
            <w:vAlign w:val="center"/>
            <w:hideMark/>
          </w:tcPr>
          <w:p w:rsidR="006A75DE" w:rsidRPr="00E52829" w:rsidRDefault="006A75DE" w:rsidP="001E2EF8">
            <w:pPr>
              <w:jc w:val="center"/>
              <w:rPr>
                <w:b/>
                <w:bCs/>
                <w:sz w:val="20"/>
                <w:szCs w:val="22"/>
                <w:lang w:val="es-GT" w:eastAsia="es-GT"/>
              </w:rPr>
            </w:pPr>
            <w:r w:rsidRPr="00E52829">
              <w:rPr>
                <w:b/>
                <w:bCs/>
                <w:sz w:val="20"/>
                <w:szCs w:val="22"/>
                <w:lang w:val="es-GT" w:eastAsia="es-GT"/>
              </w:rPr>
              <w:t>Presupuesto</w:t>
            </w:r>
          </w:p>
        </w:tc>
        <w:tc>
          <w:tcPr>
            <w:tcW w:w="1039" w:type="dxa"/>
            <w:vMerge w:val="restart"/>
            <w:tcBorders>
              <w:top w:val="single" w:sz="8" w:space="0" w:color="auto"/>
              <w:left w:val="single" w:sz="4" w:space="0" w:color="auto"/>
              <w:bottom w:val="single" w:sz="4" w:space="0" w:color="000000"/>
              <w:right w:val="single" w:sz="4" w:space="0" w:color="auto"/>
            </w:tcBorders>
            <w:shd w:val="clear" w:color="000000" w:fill="8DB4E2"/>
            <w:hideMark/>
          </w:tcPr>
          <w:p w:rsidR="006A75DE" w:rsidRDefault="006A75DE" w:rsidP="001E2EF8">
            <w:pPr>
              <w:jc w:val="center"/>
              <w:rPr>
                <w:b/>
                <w:bCs/>
                <w:sz w:val="20"/>
                <w:szCs w:val="22"/>
                <w:lang w:val="es-GT" w:eastAsia="es-GT"/>
              </w:rPr>
            </w:pPr>
          </w:p>
          <w:p w:rsidR="006A75DE" w:rsidRPr="00E52829" w:rsidRDefault="006A75DE" w:rsidP="001E2EF8">
            <w:pPr>
              <w:jc w:val="center"/>
              <w:rPr>
                <w:b/>
                <w:bCs/>
                <w:sz w:val="20"/>
                <w:szCs w:val="22"/>
                <w:lang w:val="es-GT" w:eastAsia="es-GT"/>
              </w:rPr>
            </w:pPr>
            <w:r w:rsidRPr="00E52829">
              <w:rPr>
                <w:b/>
                <w:bCs/>
                <w:sz w:val="20"/>
                <w:szCs w:val="22"/>
                <w:lang w:val="es-GT" w:eastAsia="es-GT"/>
              </w:rPr>
              <w:t>Variación Absoluta</w:t>
            </w:r>
          </w:p>
        </w:tc>
        <w:tc>
          <w:tcPr>
            <w:tcW w:w="1190" w:type="dxa"/>
            <w:vMerge w:val="restart"/>
            <w:tcBorders>
              <w:top w:val="single" w:sz="8" w:space="0" w:color="auto"/>
              <w:left w:val="nil"/>
              <w:bottom w:val="single" w:sz="4" w:space="0" w:color="000000"/>
              <w:right w:val="single" w:sz="8" w:space="0" w:color="auto"/>
            </w:tcBorders>
            <w:shd w:val="clear" w:color="000000" w:fill="8DB4E2"/>
            <w:hideMark/>
          </w:tcPr>
          <w:p w:rsidR="006A75DE" w:rsidRPr="00E52829" w:rsidRDefault="006A75DE" w:rsidP="001E2EF8">
            <w:pPr>
              <w:jc w:val="center"/>
              <w:rPr>
                <w:b/>
                <w:bCs/>
                <w:sz w:val="20"/>
                <w:szCs w:val="22"/>
                <w:lang w:val="es-GT" w:eastAsia="es-GT"/>
              </w:rPr>
            </w:pPr>
            <w:r w:rsidRPr="00E52829">
              <w:rPr>
                <w:b/>
                <w:bCs/>
                <w:sz w:val="20"/>
                <w:szCs w:val="22"/>
                <w:lang w:val="es-GT" w:eastAsia="es-GT"/>
              </w:rPr>
              <w:t>Porcentaje de Ejecución</w:t>
            </w:r>
          </w:p>
        </w:tc>
      </w:tr>
      <w:tr w:rsidR="006A75DE" w:rsidRPr="00DA49E5" w:rsidTr="001E2EF8">
        <w:trPr>
          <w:trHeight w:val="301"/>
        </w:trPr>
        <w:tc>
          <w:tcPr>
            <w:tcW w:w="4542" w:type="dxa"/>
            <w:vMerge/>
            <w:tcBorders>
              <w:top w:val="single" w:sz="8" w:space="0" w:color="auto"/>
              <w:left w:val="single" w:sz="8" w:space="0" w:color="auto"/>
              <w:bottom w:val="single" w:sz="4" w:space="0" w:color="000000"/>
              <w:right w:val="single" w:sz="4" w:space="0" w:color="auto"/>
            </w:tcBorders>
            <w:vAlign w:val="center"/>
            <w:hideMark/>
          </w:tcPr>
          <w:p w:rsidR="006A75DE" w:rsidRPr="00E52829" w:rsidRDefault="006A75DE" w:rsidP="001E2EF8">
            <w:pPr>
              <w:rPr>
                <w:b/>
                <w:bCs/>
                <w:sz w:val="20"/>
                <w:szCs w:val="22"/>
                <w:lang w:val="es-GT" w:eastAsia="es-GT"/>
              </w:rPr>
            </w:pPr>
          </w:p>
        </w:tc>
        <w:tc>
          <w:tcPr>
            <w:tcW w:w="1006" w:type="dxa"/>
            <w:tcBorders>
              <w:top w:val="nil"/>
              <w:left w:val="single" w:sz="4" w:space="0" w:color="auto"/>
              <w:bottom w:val="single" w:sz="4" w:space="0" w:color="auto"/>
              <w:right w:val="single" w:sz="4" w:space="0" w:color="auto"/>
            </w:tcBorders>
            <w:shd w:val="clear" w:color="000000" w:fill="8DB4E2"/>
            <w:vAlign w:val="center"/>
            <w:hideMark/>
          </w:tcPr>
          <w:p w:rsidR="006A75DE" w:rsidRPr="00E52829" w:rsidRDefault="006A75DE" w:rsidP="001E2EF8">
            <w:pPr>
              <w:rPr>
                <w:b/>
                <w:bCs/>
                <w:sz w:val="20"/>
                <w:szCs w:val="22"/>
                <w:lang w:val="es-GT" w:eastAsia="es-GT"/>
              </w:rPr>
            </w:pPr>
            <w:r w:rsidRPr="00E52829">
              <w:rPr>
                <w:b/>
                <w:bCs/>
                <w:sz w:val="20"/>
                <w:szCs w:val="22"/>
                <w:lang w:val="es-GT" w:eastAsia="es-GT"/>
              </w:rPr>
              <w:t>Aprobado</w:t>
            </w:r>
          </w:p>
        </w:tc>
        <w:tc>
          <w:tcPr>
            <w:tcW w:w="1006" w:type="dxa"/>
            <w:tcBorders>
              <w:top w:val="nil"/>
              <w:left w:val="nil"/>
              <w:bottom w:val="single" w:sz="4" w:space="0" w:color="auto"/>
              <w:right w:val="single" w:sz="4" w:space="0" w:color="auto"/>
            </w:tcBorders>
            <w:shd w:val="clear" w:color="000000" w:fill="8DB4E2"/>
            <w:vAlign w:val="center"/>
            <w:hideMark/>
          </w:tcPr>
          <w:p w:rsidR="006A75DE" w:rsidRPr="00E52829" w:rsidRDefault="006A75DE" w:rsidP="001E2EF8">
            <w:pPr>
              <w:rPr>
                <w:b/>
                <w:bCs/>
                <w:sz w:val="20"/>
                <w:szCs w:val="22"/>
                <w:lang w:val="es-GT" w:eastAsia="es-GT"/>
              </w:rPr>
            </w:pPr>
            <w:r w:rsidRPr="00E52829">
              <w:rPr>
                <w:b/>
                <w:bCs/>
                <w:sz w:val="20"/>
                <w:szCs w:val="22"/>
                <w:lang w:val="es-GT" w:eastAsia="es-GT"/>
              </w:rPr>
              <w:t>Ejecutado</w:t>
            </w:r>
          </w:p>
        </w:tc>
        <w:tc>
          <w:tcPr>
            <w:tcW w:w="1039" w:type="dxa"/>
            <w:vMerge/>
            <w:tcBorders>
              <w:top w:val="single" w:sz="8" w:space="0" w:color="auto"/>
              <w:left w:val="single" w:sz="4" w:space="0" w:color="auto"/>
              <w:bottom w:val="single" w:sz="4" w:space="0" w:color="000000"/>
              <w:right w:val="single" w:sz="4" w:space="0" w:color="auto"/>
            </w:tcBorders>
            <w:vAlign w:val="center"/>
            <w:hideMark/>
          </w:tcPr>
          <w:p w:rsidR="006A75DE" w:rsidRPr="00E52829" w:rsidRDefault="006A75DE" w:rsidP="001E2EF8">
            <w:pPr>
              <w:rPr>
                <w:b/>
                <w:bCs/>
                <w:sz w:val="20"/>
                <w:szCs w:val="22"/>
                <w:lang w:val="es-GT" w:eastAsia="es-GT"/>
              </w:rPr>
            </w:pPr>
          </w:p>
        </w:tc>
        <w:tc>
          <w:tcPr>
            <w:tcW w:w="1190" w:type="dxa"/>
            <w:vMerge/>
            <w:tcBorders>
              <w:top w:val="single" w:sz="8" w:space="0" w:color="auto"/>
              <w:left w:val="nil"/>
              <w:bottom w:val="single" w:sz="4" w:space="0" w:color="000000"/>
              <w:right w:val="single" w:sz="8" w:space="0" w:color="auto"/>
            </w:tcBorders>
            <w:vAlign w:val="center"/>
            <w:hideMark/>
          </w:tcPr>
          <w:p w:rsidR="006A75DE" w:rsidRPr="00E52829" w:rsidRDefault="006A75DE" w:rsidP="001E2EF8">
            <w:pPr>
              <w:rPr>
                <w:b/>
                <w:bCs/>
                <w:sz w:val="20"/>
                <w:szCs w:val="22"/>
                <w:lang w:val="es-GT" w:eastAsia="es-GT"/>
              </w:rPr>
            </w:pPr>
          </w:p>
        </w:tc>
      </w:tr>
      <w:tr w:rsidR="006A75DE" w:rsidRPr="00DA49E5" w:rsidTr="001E2EF8">
        <w:trPr>
          <w:trHeight w:val="301"/>
        </w:trPr>
        <w:tc>
          <w:tcPr>
            <w:tcW w:w="4542" w:type="dxa"/>
            <w:tcBorders>
              <w:top w:val="nil"/>
              <w:left w:val="single" w:sz="8" w:space="0" w:color="auto"/>
              <w:bottom w:val="nil"/>
              <w:right w:val="single" w:sz="4" w:space="0" w:color="auto"/>
            </w:tcBorders>
            <w:shd w:val="clear" w:color="000000" w:fill="auto"/>
            <w:vAlign w:val="bottom"/>
            <w:hideMark/>
          </w:tcPr>
          <w:p w:rsidR="006A75DE" w:rsidRPr="00E52829" w:rsidRDefault="006A75DE" w:rsidP="001E2EF8">
            <w:pPr>
              <w:jc w:val="center"/>
              <w:rPr>
                <w:b/>
                <w:bCs/>
                <w:sz w:val="20"/>
                <w:szCs w:val="22"/>
                <w:lang w:val="es-GT" w:eastAsia="es-GT"/>
              </w:rPr>
            </w:pPr>
            <w:r w:rsidRPr="00E52829">
              <w:rPr>
                <w:b/>
                <w:bCs/>
                <w:sz w:val="20"/>
                <w:szCs w:val="22"/>
                <w:lang w:val="es-GT" w:eastAsia="es-GT"/>
              </w:rPr>
              <w:t>Total</w:t>
            </w:r>
          </w:p>
        </w:tc>
        <w:tc>
          <w:tcPr>
            <w:tcW w:w="1006" w:type="dxa"/>
            <w:tcBorders>
              <w:top w:val="nil"/>
              <w:left w:val="single" w:sz="4" w:space="0" w:color="auto"/>
              <w:bottom w:val="nil"/>
              <w:right w:val="single" w:sz="4" w:space="0" w:color="auto"/>
            </w:tcBorders>
            <w:shd w:val="clear" w:color="000000" w:fill="auto"/>
            <w:vAlign w:val="bottom"/>
            <w:hideMark/>
          </w:tcPr>
          <w:p w:rsidR="006A75DE" w:rsidRPr="00E52829" w:rsidRDefault="006A75DE" w:rsidP="001E2EF8">
            <w:pPr>
              <w:jc w:val="center"/>
              <w:rPr>
                <w:b/>
                <w:bCs/>
                <w:sz w:val="20"/>
                <w:szCs w:val="22"/>
                <w:lang w:val="es-GT" w:eastAsia="es-GT"/>
              </w:rPr>
            </w:pPr>
            <w:r w:rsidRPr="00E52829">
              <w:rPr>
                <w:b/>
                <w:bCs/>
                <w:sz w:val="20"/>
                <w:szCs w:val="22"/>
                <w:lang w:val="es-GT" w:eastAsia="es-GT"/>
              </w:rPr>
              <w:t>1,057.5</w:t>
            </w:r>
          </w:p>
        </w:tc>
        <w:tc>
          <w:tcPr>
            <w:tcW w:w="1006" w:type="dxa"/>
            <w:tcBorders>
              <w:top w:val="nil"/>
              <w:left w:val="nil"/>
              <w:bottom w:val="nil"/>
              <w:right w:val="single" w:sz="4" w:space="0" w:color="auto"/>
            </w:tcBorders>
            <w:shd w:val="clear" w:color="000000" w:fill="auto"/>
            <w:vAlign w:val="bottom"/>
            <w:hideMark/>
          </w:tcPr>
          <w:p w:rsidR="006A75DE" w:rsidRPr="00E52829" w:rsidRDefault="006A75DE" w:rsidP="001E2EF8">
            <w:pPr>
              <w:jc w:val="center"/>
              <w:rPr>
                <w:b/>
                <w:bCs/>
                <w:sz w:val="20"/>
                <w:szCs w:val="22"/>
                <w:lang w:val="es-GT" w:eastAsia="es-GT"/>
              </w:rPr>
            </w:pPr>
            <w:r w:rsidRPr="00E52829">
              <w:rPr>
                <w:b/>
                <w:bCs/>
                <w:sz w:val="20"/>
                <w:szCs w:val="22"/>
                <w:lang w:val="es-GT" w:eastAsia="es-GT"/>
              </w:rPr>
              <w:t>965.5</w:t>
            </w:r>
          </w:p>
        </w:tc>
        <w:tc>
          <w:tcPr>
            <w:tcW w:w="1039" w:type="dxa"/>
            <w:tcBorders>
              <w:top w:val="nil"/>
              <w:left w:val="nil"/>
              <w:bottom w:val="nil"/>
              <w:right w:val="single" w:sz="4" w:space="0" w:color="auto"/>
            </w:tcBorders>
            <w:shd w:val="clear" w:color="000000" w:fill="auto"/>
            <w:vAlign w:val="bottom"/>
            <w:hideMark/>
          </w:tcPr>
          <w:p w:rsidR="006A75DE" w:rsidRPr="00E52829" w:rsidRDefault="006A75DE" w:rsidP="001E2EF8">
            <w:pPr>
              <w:jc w:val="center"/>
              <w:rPr>
                <w:b/>
                <w:bCs/>
                <w:sz w:val="20"/>
                <w:szCs w:val="22"/>
                <w:lang w:val="es-GT" w:eastAsia="es-GT"/>
              </w:rPr>
            </w:pPr>
            <w:r w:rsidRPr="00E52829">
              <w:rPr>
                <w:b/>
                <w:bCs/>
                <w:sz w:val="20"/>
                <w:szCs w:val="22"/>
                <w:lang w:val="es-GT" w:eastAsia="es-GT"/>
              </w:rPr>
              <w:t>-91.9</w:t>
            </w:r>
          </w:p>
        </w:tc>
        <w:tc>
          <w:tcPr>
            <w:tcW w:w="1190" w:type="dxa"/>
            <w:tcBorders>
              <w:top w:val="nil"/>
              <w:left w:val="nil"/>
              <w:bottom w:val="nil"/>
              <w:right w:val="single" w:sz="8" w:space="0" w:color="auto"/>
            </w:tcBorders>
            <w:shd w:val="clear" w:color="000000" w:fill="FFFFFF"/>
            <w:noWrap/>
            <w:vAlign w:val="bottom"/>
            <w:hideMark/>
          </w:tcPr>
          <w:p w:rsidR="006A75DE" w:rsidRPr="00E52829" w:rsidRDefault="006A75DE" w:rsidP="001E2EF8">
            <w:pPr>
              <w:jc w:val="center"/>
              <w:rPr>
                <w:b/>
                <w:bCs/>
                <w:sz w:val="20"/>
                <w:szCs w:val="22"/>
                <w:lang w:val="es-GT" w:eastAsia="es-GT"/>
              </w:rPr>
            </w:pPr>
            <w:r w:rsidRPr="00E52829">
              <w:rPr>
                <w:b/>
                <w:bCs/>
                <w:sz w:val="20"/>
                <w:szCs w:val="22"/>
                <w:lang w:val="es-GT" w:eastAsia="es-GT"/>
              </w:rPr>
              <w:t>91.3%</w:t>
            </w:r>
          </w:p>
        </w:tc>
      </w:tr>
      <w:tr w:rsidR="006A75DE" w:rsidRPr="00DA49E5" w:rsidTr="001E2EF8">
        <w:trPr>
          <w:trHeight w:val="301"/>
        </w:trPr>
        <w:tc>
          <w:tcPr>
            <w:tcW w:w="4542" w:type="dxa"/>
            <w:tcBorders>
              <w:top w:val="nil"/>
              <w:left w:val="single" w:sz="8" w:space="0" w:color="auto"/>
              <w:bottom w:val="nil"/>
              <w:right w:val="single" w:sz="4" w:space="0" w:color="auto"/>
            </w:tcBorders>
            <w:shd w:val="clear" w:color="000000" w:fill="auto"/>
            <w:hideMark/>
          </w:tcPr>
          <w:p w:rsidR="006A75DE" w:rsidRPr="00E52829" w:rsidRDefault="006A75DE" w:rsidP="001E2EF8">
            <w:pPr>
              <w:rPr>
                <w:sz w:val="20"/>
                <w:lang w:val="es-GT" w:eastAsia="es-GT"/>
              </w:rPr>
            </w:pPr>
            <w:r w:rsidRPr="00E52829">
              <w:rPr>
                <w:sz w:val="20"/>
                <w:lang w:val="es-GT" w:eastAsia="es-GT"/>
              </w:rPr>
              <w:t xml:space="preserve">Fondo Nacional para la Conservación de la Naturaleza </w:t>
            </w:r>
          </w:p>
        </w:tc>
        <w:tc>
          <w:tcPr>
            <w:tcW w:w="1006" w:type="dxa"/>
            <w:tcBorders>
              <w:top w:val="nil"/>
              <w:left w:val="single" w:sz="4" w:space="0" w:color="auto"/>
              <w:bottom w:val="nil"/>
              <w:right w:val="single" w:sz="4" w:space="0" w:color="auto"/>
            </w:tcBorders>
            <w:shd w:val="clear" w:color="000000" w:fill="auto"/>
            <w:vAlign w:val="bottom"/>
            <w:hideMark/>
          </w:tcPr>
          <w:p w:rsidR="006A75DE" w:rsidRPr="00E52829" w:rsidRDefault="006A75DE" w:rsidP="001E2EF8">
            <w:pPr>
              <w:jc w:val="center"/>
              <w:rPr>
                <w:sz w:val="20"/>
                <w:lang w:val="es-GT" w:eastAsia="es-GT"/>
              </w:rPr>
            </w:pPr>
            <w:r w:rsidRPr="00E52829">
              <w:rPr>
                <w:sz w:val="20"/>
                <w:lang w:val="es-GT" w:eastAsia="es-GT"/>
              </w:rPr>
              <w:t>11.8</w:t>
            </w:r>
          </w:p>
        </w:tc>
        <w:tc>
          <w:tcPr>
            <w:tcW w:w="1006" w:type="dxa"/>
            <w:tcBorders>
              <w:top w:val="nil"/>
              <w:left w:val="nil"/>
              <w:bottom w:val="nil"/>
              <w:right w:val="single" w:sz="4" w:space="0" w:color="auto"/>
            </w:tcBorders>
            <w:shd w:val="clear" w:color="000000" w:fill="auto"/>
            <w:vAlign w:val="bottom"/>
            <w:hideMark/>
          </w:tcPr>
          <w:p w:rsidR="006A75DE" w:rsidRPr="00E52829" w:rsidRDefault="006A75DE" w:rsidP="001E2EF8">
            <w:pPr>
              <w:jc w:val="center"/>
              <w:rPr>
                <w:sz w:val="20"/>
                <w:lang w:val="es-GT" w:eastAsia="es-GT"/>
              </w:rPr>
            </w:pPr>
            <w:r w:rsidRPr="00E52829">
              <w:rPr>
                <w:sz w:val="20"/>
                <w:lang w:val="es-GT" w:eastAsia="es-GT"/>
              </w:rPr>
              <w:t>5.0</w:t>
            </w:r>
          </w:p>
        </w:tc>
        <w:tc>
          <w:tcPr>
            <w:tcW w:w="1039" w:type="dxa"/>
            <w:tcBorders>
              <w:top w:val="nil"/>
              <w:left w:val="nil"/>
              <w:bottom w:val="nil"/>
              <w:right w:val="single" w:sz="4"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-6.8</w:t>
            </w:r>
          </w:p>
        </w:tc>
        <w:tc>
          <w:tcPr>
            <w:tcW w:w="1190" w:type="dxa"/>
            <w:tcBorders>
              <w:top w:val="nil"/>
              <w:left w:val="nil"/>
              <w:bottom w:val="nil"/>
              <w:right w:val="single" w:sz="8"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42.5%</w:t>
            </w:r>
          </w:p>
        </w:tc>
      </w:tr>
      <w:tr w:rsidR="006A75DE" w:rsidRPr="00DA49E5" w:rsidTr="002C13CC">
        <w:trPr>
          <w:trHeight w:val="424"/>
        </w:trPr>
        <w:tc>
          <w:tcPr>
            <w:tcW w:w="4542" w:type="dxa"/>
            <w:tcBorders>
              <w:top w:val="nil"/>
              <w:left w:val="single" w:sz="8" w:space="0" w:color="auto"/>
              <w:bottom w:val="nil"/>
              <w:right w:val="single" w:sz="4" w:space="0" w:color="auto"/>
            </w:tcBorders>
            <w:shd w:val="clear" w:color="000000" w:fill="auto"/>
            <w:hideMark/>
          </w:tcPr>
          <w:p w:rsidR="006A75DE" w:rsidRPr="00E52829" w:rsidRDefault="006A75DE" w:rsidP="001E2EF8">
            <w:pPr>
              <w:rPr>
                <w:sz w:val="20"/>
                <w:lang w:val="es-GT" w:eastAsia="es-GT"/>
              </w:rPr>
            </w:pPr>
            <w:r w:rsidRPr="00E52829">
              <w:rPr>
                <w:sz w:val="20"/>
                <w:lang w:val="es-GT" w:eastAsia="es-GT"/>
              </w:rPr>
              <w:t>Fondo Nacional para la Reactivación y Modernización de la Actividad Agropecuaria</w:t>
            </w:r>
          </w:p>
        </w:tc>
        <w:tc>
          <w:tcPr>
            <w:tcW w:w="1006" w:type="dxa"/>
            <w:tcBorders>
              <w:top w:val="nil"/>
              <w:left w:val="single" w:sz="4" w:space="0" w:color="auto"/>
              <w:bottom w:val="nil"/>
              <w:right w:val="single" w:sz="4" w:space="0" w:color="auto"/>
            </w:tcBorders>
            <w:shd w:val="clear" w:color="000000" w:fill="auto"/>
            <w:vAlign w:val="bottom"/>
            <w:hideMark/>
          </w:tcPr>
          <w:p w:rsidR="006A75DE" w:rsidRPr="00E52829" w:rsidRDefault="006A75DE" w:rsidP="001E2EF8">
            <w:pPr>
              <w:jc w:val="center"/>
              <w:rPr>
                <w:sz w:val="20"/>
                <w:lang w:val="es-GT" w:eastAsia="es-GT"/>
              </w:rPr>
            </w:pPr>
            <w:r w:rsidRPr="00E52829">
              <w:rPr>
                <w:sz w:val="20"/>
                <w:lang w:val="es-GT" w:eastAsia="es-GT"/>
              </w:rPr>
              <w:t>57.7</w:t>
            </w:r>
          </w:p>
        </w:tc>
        <w:tc>
          <w:tcPr>
            <w:tcW w:w="1006" w:type="dxa"/>
            <w:tcBorders>
              <w:top w:val="nil"/>
              <w:left w:val="nil"/>
              <w:bottom w:val="nil"/>
              <w:right w:val="nil"/>
            </w:tcBorders>
            <w:shd w:val="clear" w:color="000000" w:fill="auto"/>
            <w:noWrap/>
            <w:vAlign w:val="bottom"/>
            <w:hideMark/>
          </w:tcPr>
          <w:p w:rsidR="006A75DE" w:rsidRPr="00E52829" w:rsidRDefault="006A75DE" w:rsidP="001E2EF8">
            <w:pPr>
              <w:jc w:val="center"/>
              <w:rPr>
                <w:color w:val="000000"/>
                <w:sz w:val="20"/>
                <w:lang w:val="es-GT" w:eastAsia="es-GT"/>
              </w:rPr>
            </w:pPr>
            <w:r w:rsidRPr="00E52829">
              <w:rPr>
                <w:color w:val="000000"/>
                <w:sz w:val="20"/>
                <w:lang w:val="es-GT" w:eastAsia="es-GT"/>
              </w:rPr>
              <w:t>59.5</w:t>
            </w:r>
          </w:p>
        </w:tc>
        <w:tc>
          <w:tcPr>
            <w:tcW w:w="1039" w:type="dxa"/>
            <w:tcBorders>
              <w:top w:val="nil"/>
              <w:left w:val="single" w:sz="4" w:space="0" w:color="auto"/>
              <w:bottom w:val="nil"/>
              <w:right w:val="single" w:sz="4"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1.8</w:t>
            </w:r>
          </w:p>
        </w:tc>
        <w:tc>
          <w:tcPr>
            <w:tcW w:w="1190" w:type="dxa"/>
            <w:tcBorders>
              <w:top w:val="nil"/>
              <w:left w:val="nil"/>
              <w:bottom w:val="nil"/>
              <w:right w:val="single" w:sz="8"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103.1%</w:t>
            </w:r>
          </w:p>
        </w:tc>
      </w:tr>
      <w:tr w:rsidR="006A75DE" w:rsidRPr="00DA49E5" w:rsidTr="001E2EF8">
        <w:trPr>
          <w:trHeight w:val="301"/>
        </w:trPr>
        <w:tc>
          <w:tcPr>
            <w:tcW w:w="4542" w:type="dxa"/>
            <w:tcBorders>
              <w:top w:val="nil"/>
              <w:left w:val="single" w:sz="8" w:space="0" w:color="auto"/>
              <w:bottom w:val="nil"/>
              <w:right w:val="single" w:sz="4" w:space="0" w:color="auto"/>
            </w:tcBorders>
            <w:shd w:val="clear" w:color="000000" w:fill="auto"/>
            <w:hideMark/>
          </w:tcPr>
          <w:p w:rsidR="006A75DE" w:rsidRPr="00E52829" w:rsidRDefault="006A75DE" w:rsidP="001E2EF8">
            <w:pPr>
              <w:rPr>
                <w:sz w:val="20"/>
                <w:lang w:val="es-GT" w:eastAsia="es-GT"/>
              </w:rPr>
            </w:pPr>
            <w:r w:rsidRPr="00E52829">
              <w:rPr>
                <w:sz w:val="20"/>
                <w:lang w:val="es-GT" w:eastAsia="es-GT"/>
              </w:rPr>
              <w:t>Fideicomiso Nacional de Becas y Crédito Educativo</w:t>
            </w:r>
          </w:p>
        </w:tc>
        <w:tc>
          <w:tcPr>
            <w:tcW w:w="1006" w:type="dxa"/>
            <w:tcBorders>
              <w:top w:val="nil"/>
              <w:left w:val="single" w:sz="4" w:space="0" w:color="auto"/>
              <w:bottom w:val="nil"/>
              <w:right w:val="single" w:sz="4" w:space="0" w:color="auto"/>
            </w:tcBorders>
            <w:shd w:val="clear" w:color="000000" w:fill="auto"/>
            <w:vAlign w:val="bottom"/>
            <w:hideMark/>
          </w:tcPr>
          <w:p w:rsidR="006A75DE" w:rsidRPr="00E52829" w:rsidRDefault="006A75DE" w:rsidP="001E2EF8">
            <w:pPr>
              <w:jc w:val="center"/>
              <w:rPr>
                <w:sz w:val="20"/>
                <w:lang w:val="es-GT" w:eastAsia="es-GT"/>
              </w:rPr>
            </w:pPr>
            <w:r w:rsidRPr="00E52829">
              <w:rPr>
                <w:sz w:val="20"/>
                <w:lang w:val="es-GT" w:eastAsia="es-GT"/>
              </w:rPr>
              <w:t>0.2</w:t>
            </w:r>
          </w:p>
        </w:tc>
        <w:tc>
          <w:tcPr>
            <w:tcW w:w="1006" w:type="dxa"/>
            <w:tcBorders>
              <w:top w:val="nil"/>
              <w:left w:val="nil"/>
              <w:bottom w:val="nil"/>
              <w:right w:val="nil"/>
            </w:tcBorders>
            <w:shd w:val="clear" w:color="000000" w:fill="auto"/>
            <w:noWrap/>
            <w:vAlign w:val="bottom"/>
            <w:hideMark/>
          </w:tcPr>
          <w:p w:rsidR="006A75DE" w:rsidRPr="00E52829" w:rsidRDefault="006A75DE" w:rsidP="001E2EF8">
            <w:pPr>
              <w:jc w:val="center"/>
              <w:rPr>
                <w:color w:val="000000"/>
                <w:sz w:val="20"/>
                <w:lang w:val="es-GT" w:eastAsia="es-GT"/>
              </w:rPr>
            </w:pPr>
            <w:r w:rsidRPr="00E52829">
              <w:rPr>
                <w:color w:val="000000"/>
                <w:sz w:val="20"/>
                <w:lang w:val="es-GT" w:eastAsia="es-GT"/>
              </w:rPr>
              <w:t>0.1</w:t>
            </w:r>
          </w:p>
        </w:tc>
        <w:tc>
          <w:tcPr>
            <w:tcW w:w="1039" w:type="dxa"/>
            <w:tcBorders>
              <w:top w:val="nil"/>
              <w:left w:val="single" w:sz="4" w:space="0" w:color="auto"/>
              <w:bottom w:val="nil"/>
              <w:right w:val="single" w:sz="4"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-0.1</w:t>
            </w:r>
          </w:p>
        </w:tc>
        <w:tc>
          <w:tcPr>
            <w:tcW w:w="1190" w:type="dxa"/>
            <w:tcBorders>
              <w:top w:val="nil"/>
              <w:left w:val="nil"/>
              <w:bottom w:val="nil"/>
              <w:right w:val="single" w:sz="8"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66.5%</w:t>
            </w:r>
          </w:p>
        </w:tc>
      </w:tr>
      <w:tr w:rsidR="006A75DE" w:rsidRPr="00DA49E5" w:rsidTr="002C13CC">
        <w:trPr>
          <w:trHeight w:val="424"/>
        </w:trPr>
        <w:tc>
          <w:tcPr>
            <w:tcW w:w="4542" w:type="dxa"/>
            <w:tcBorders>
              <w:top w:val="nil"/>
              <w:left w:val="single" w:sz="8" w:space="0" w:color="auto"/>
              <w:bottom w:val="nil"/>
              <w:right w:val="single" w:sz="4" w:space="0" w:color="auto"/>
            </w:tcBorders>
            <w:shd w:val="clear" w:color="000000" w:fill="auto"/>
            <w:hideMark/>
          </w:tcPr>
          <w:p w:rsidR="006A75DE" w:rsidRPr="00E52829" w:rsidRDefault="006A75DE" w:rsidP="001E2EF8">
            <w:pPr>
              <w:rPr>
                <w:sz w:val="20"/>
                <w:lang w:val="es-GT" w:eastAsia="es-GT"/>
              </w:rPr>
            </w:pPr>
            <w:r w:rsidRPr="00E52829">
              <w:rPr>
                <w:sz w:val="20"/>
                <w:lang w:val="es-GT" w:eastAsia="es-GT"/>
              </w:rPr>
              <w:t>Apoyo Financiero para los Productores del Sector Cafetalero</w:t>
            </w:r>
          </w:p>
        </w:tc>
        <w:tc>
          <w:tcPr>
            <w:tcW w:w="1006" w:type="dxa"/>
            <w:tcBorders>
              <w:top w:val="nil"/>
              <w:left w:val="single" w:sz="4" w:space="0" w:color="auto"/>
              <w:bottom w:val="nil"/>
              <w:right w:val="single" w:sz="4" w:space="0" w:color="auto"/>
            </w:tcBorders>
            <w:shd w:val="clear" w:color="000000" w:fill="auto"/>
            <w:vAlign w:val="bottom"/>
            <w:hideMark/>
          </w:tcPr>
          <w:p w:rsidR="006A75DE" w:rsidRPr="00E52829" w:rsidRDefault="006A75DE" w:rsidP="001E2EF8">
            <w:pPr>
              <w:jc w:val="center"/>
              <w:rPr>
                <w:sz w:val="20"/>
                <w:lang w:val="es-GT" w:eastAsia="es-GT"/>
              </w:rPr>
            </w:pPr>
            <w:r w:rsidRPr="00E52829">
              <w:rPr>
                <w:sz w:val="20"/>
                <w:lang w:val="es-GT" w:eastAsia="es-GT"/>
              </w:rPr>
              <w:t>10.0</w:t>
            </w:r>
          </w:p>
        </w:tc>
        <w:tc>
          <w:tcPr>
            <w:tcW w:w="1006" w:type="dxa"/>
            <w:tcBorders>
              <w:top w:val="nil"/>
              <w:left w:val="nil"/>
              <w:bottom w:val="nil"/>
              <w:right w:val="nil"/>
            </w:tcBorders>
            <w:shd w:val="clear" w:color="000000" w:fill="auto"/>
            <w:noWrap/>
            <w:vAlign w:val="bottom"/>
            <w:hideMark/>
          </w:tcPr>
          <w:p w:rsidR="006A75DE" w:rsidRPr="00E52829" w:rsidRDefault="006A75DE" w:rsidP="001E2EF8">
            <w:pPr>
              <w:jc w:val="center"/>
              <w:rPr>
                <w:color w:val="000000"/>
                <w:sz w:val="20"/>
                <w:lang w:val="es-GT" w:eastAsia="es-GT"/>
              </w:rPr>
            </w:pPr>
            <w:r w:rsidRPr="00E52829">
              <w:rPr>
                <w:color w:val="000000"/>
                <w:sz w:val="20"/>
                <w:lang w:val="es-GT" w:eastAsia="es-GT"/>
              </w:rPr>
              <w:t>34.8</w:t>
            </w:r>
          </w:p>
        </w:tc>
        <w:tc>
          <w:tcPr>
            <w:tcW w:w="1039" w:type="dxa"/>
            <w:tcBorders>
              <w:top w:val="nil"/>
              <w:left w:val="single" w:sz="4" w:space="0" w:color="auto"/>
              <w:bottom w:val="nil"/>
              <w:right w:val="single" w:sz="4"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24.8</w:t>
            </w:r>
          </w:p>
        </w:tc>
        <w:tc>
          <w:tcPr>
            <w:tcW w:w="1190" w:type="dxa"/>
            <w:tcBorders>
              <w:top w:val="nil"/>
              <w:left w:val="nil"/>
              <w:bottom w:val="nil"/>
              <w:right w:val="single" w:sz="8"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347.9%</w:t>
            </w:r>
          </w:p>
        </w:tc>
      </w:tr>
      <w:tr w:rsidR="006A75DE" w:rsidRPr="00DA49E5" w:rsidTr="001E2EF8">
        <w:trPr>
          <w:trHeight w:val="301"/>
        </w:trPr>
        <w:tc>
          <w:tcPr>
            <w:tcW w:w="4542" w:type="dxa"/>
            <w:tcBorders>
              <w:top w:val="nil"/>
              <w:left w:val="single" w:sz="8" w:space="0" w:color="auto"/>
              <w:bottom w:val="nil"/>
              <w:right w:val="single" w:sz="4" w:space="0" w:color="auto"/>
            </w:tcBorders>
            <w:shd w:val="clear" w:color="000000" w:fill="auto"/>
            <w:vAlign w:val="bottom"/>
            <w:hideMark/>
          </w:tcPr>
          <w:p w:rsidR="006A75DE" w:rsidRPr="00E52829" w:rsidRDefault="006A75DE" w:rsidP="001E2EF8">
            <w:pPr>
              <w:rPr>
                <w:sz w:val="20"/>
                <w:lang w:val="es-GT" w:eastAsia="es-GT"/>
              </w:rPr>
            </w:pPr>
            <w:r w:rsidRPr="00E52829">
              <w:rPr>
                <w:sz w:val="20"/>
                <w:lang w:val="es-GT" w:eastAsia="es-GT"/>
              </w:rPr>
              <w:t>Fondo de Protección Social</w:t>
            </w:r>
          </w:p>
        </w:tc>
        <w:tc>
          <w:tcPr>
            <w:tcW w:w="1006" w:type="dxa"/>
            <w:tcBorders>
              <w:top w:val="nil"/>
              <w:left w:val="single" w:sz="4" w:space="0" w:color="auto"/>
              <w:bottom w:val="nil"/>
              <w:right w:val="single" w:sz="4" w:space="0" w:color="auto"/>
            </w:tcBorders>
            <w:shd w:val="clear" w:color="000000" w:fill="auto"/>
            <w:vAlign w:val="bottom"/>
            <w:hideMark/>
          </w:tcPr>
          <w:p w:rsidR="006A75DE" w:rsidRPr="00E52829" w:rsidRDefault="006A75DE" w:rsidP="001E2EF8">
            <w:pPr>
              <w:jc w:val="center"/>
              <w:rPr>
                <w:sz w:val="20"/>
                <w:lang w:val="es-GT" w:eastAsia="es-GT"/>
              </w:rPr>
            </w:pPr>
            <w:r w:rsidRPr="00E52829">
              <w:rPr>
                <w:sz w:val="20"/>
                <w:lang w:val="es-GT" w:eastAsia="es-GT"/>
              </w:rPr>
              <w:t>295.9</w:t>
            </w:r>
          </w:p>
        </w:tc>
        <w:tc>
          <w:tcPr>
            <w:tcW w:w="1006" w:type="dxa"/>
            <w:tcBorders>
              <w:top w:val="nil"/>
              <w:left w:val="nil"/>
              <w:bottom w:val="nil"/>
              <w:right w:val="nil"/>
            </w:tcBorders>
            <w:shd w:val="clear" w:color="000000" w:fill="auto"/>
            <w:noWrap/>
            <w:vAlign w:val="bottom"/>
            <w:hideMark/>
          </w:tcPr>
          <w:p w:rsidR="006A75DE" w:rsidRPr="00E52829" w:rsidRDefault="006A75DE" w:rsidP="001E2EF8">
            <w:pPr>
              <w:jc w:val="center"/>
              <w:rPr>
                <w:color w:val="000000"/>
                <w:sz w:val="20"/>
                <w:lang w:val="es-GT" w:eastAsia="es-GT"/>
              </w:rPr>
            </w:pPr>
            <w:r w:rsidRPr="00E52829">
              <w:rPr>
                <w:color w:val="000000"/>
                <w:sz w:val="20"/>
                <w:lang w:val="es-GT" w:eastAsia="es-GT"/>
              </w:rPr>
              <w:t>261.6</w:t>
            </w:r>
          </w:p>
        </w:tc>
        <w:tc>
          <w:tcPr>
            <w:tcW w:w="1039" w:type="dxa"/>
            <w:tcBorders>
              <w:top w:val="nil"/>
              <w:left w:val="single" w:sz="4" w:space="0" w:color="auto"/>
              <w:bottom w:val="nil"/>
              <w:right w:val="single" w:sz="4"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-34.3</w:t>
            </w:r>
          </w:p>
        </w:tc>
        <w:tc>
          <w:tcPr>
            <w:tcW w:w="1190" w:type="dxa"/>
            <w:tcBorders>
              <w:top w:val="nil"/>
              <w:left w:val="nil"/>
              <w:bottom w:val="nil"/>
              <w:right w:val="single" w:sz="8"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88.4%</w:t>
            </w:r>
          </w:p>
        </w:tc>
      </w:tr>
      <w:tr w:rsidR="006A75DE" w:rsidRPr="00DA49E5" w:rsidTr="001E2EF8">
        <w:trPr>
          <w:trHeight w:val="301"/>
        </w:trPr>
        <w:tc>
          <w:tcPr>
            <w:tcW w:w="4542" w:type="dxa"/>
            <w:tcBorders>
              <w:top w:val="nil"/>
              <w:left w:val="single" w:sz="8" w:space="0" w:color="auto"/>
              <w:bottom w:val="nil"/>
              <w:right w:val="single" w:sz="4" w:space="0" w:color="auto"/>
            </w:tcBorders>
            <w:shd w:val="clear" w:color="000000" w:fill="auto"/>
            <w:vAlign w:val="bottom"/>
            <w:hideMark/>
          </w:tcPr>
          <w:p w:rsidR="006A75DE" w:rsidRPr="00E52829" w:rsidRDefault="006A75DE" w:rsidP="001E2EF8">
            <w:pPr>
              <w:rPr>
                <w:sz w:val="20"/>
                <w:lang w:val="es-GT" w:eastAsia="es-GT"/>
              </w:rPr>
            </w:pPr>
            <w:r w:rsidRPr="00E52829">
              <w:rPr>
                <w:sz w:val="20"/>
                <w:lang w:val="es-GT" w:eastAsia="es-GT"/>
              </w:rPr>
              <w:t>Fondo Social de Solidaridad</w:t>
            </w:r>
          </w:p>
        </w:tc>
        <w:tc>
          <w:tcPr>
            <w:tcW w:w="1006" w:type="dxa"/>
            <w:tcBorders>
              <w:top w:val="nil"/>
              <w:left w:val="single" w:sz="4" w:space="0" w:color="auto"/>
              <w:bottom w:val="nil"/>
              <w:right w:val="single" w:sz="4" w:space="0" w:color="auto"/>
            </w:tcBorders>
            <w:shd w:val="clear" w:color="000000" w:fill="auto"/>
            <w:vAlign w:val="bottom"/>
            <w:hideMark/>
          </w:tcPr>
          <w:p w:rsidR="006A75DE" w:rsidRPr="00E52829" w:rsidRDefault="006A75DE" w:rsidP="001E2EF8">
            <w:pPr>
              <w:jc w:val="center"/>
              <w:rPr>
                <w:sz w:val="20"/>
                <w:lang w:val="es-GT" w:eastAsia="es-GT"/>
              </w:rPr>
            </w:pPr>
            <w:r w:rsidRPr="00E52829">
              <w:rPr>
                <w:sz w:val="20"/>
                <w:lang w:val="es-GT" w:eastAsia="es-GT"/>
              </w:rPr>
              <w:t>403.1</w:t>
            </w:r>
          </w:p>
        </w:tc>
        <w:tc>
          <w:tcPr>
            <w:tcW w:w="1006" w:type="dxa"/>
            <w:tcBorders>
              <w:top w:val="nil"/>
              <w:left w:val="nil"/>
              <w:bottom w:val="nil"/>
              <w:right w:val="nil"/>
            </w:tcBorders>
            <w:shd w:val="clear" w:color="000000" w:fill="auto"/>
            <w:noWrap/>
            <w:vAlign w:val="bottom"/>
            <w:hideMark/>
          </w:tcPr>
          <w:p w:rsidR="006A75DE" w:rsidRPr="00E52829" w:rsidRDefault="006A75DE" w:rsidP="001E2EF8">
            <w:pPr>
              <w:jc w:val="center"/>
              <w:rPr>
                <w:color w:val="000000"/>
                <w:sz w:val="20"/>
                <w:lang w:val="es-GT" w:eastAsia="es-GT"/>
              </w:rPr>
            </w:pPr>
            <w:r w:rsidRPr="00E52829">
              <w:rPr>
                <w:color w:val="000000"/>
                <w:sz w:val="20"/>
                <w:lang w:val="es-GT" w:eastAsia="es-GT"/>
              </w:rPr>
              <w:t>433.9</w:t>
            </w:r>
          </w:p>
        </w:tc>
        <w:tc>
          <w:tcPr>
            <w:tcW w:w="1039" w:type="dxa"/>
            <w:tcBorders>
              <w:top w:val="nil"/>
              <w:left w:val="single" w:sz="4" w:space="0" w:color="auto"/>
              <w:bottom w:val="nil"/>
              <w:right w:val="single" w:sz="4"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30.9</w:t>
            </w:r>
          </w:p>
        </w:tc>
        <w:tc>
          <w:tcPr>
            <w:tcW w:w="1190" w:type="dxa"/>
            <w:tcBorders>
              <w:top w:val="nil"/>
              <w:left w:val="nil"/>
              <w:bottom w:val="nil"/>
              <w:right w:val="single" w:sz="8"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107.7%</w:t>
            </w:r>
          </w:p>
        </w:tc>
      </w:tr>
      <w:tr w:rsidR="006A75DE" w:rsidRPr="00DA49E5" w:rsidTr="001E2EF8">
        <w:trPr>
          <w:trHeight w:val="301"/>
        </w:trPr>
        <w:tc>
          <w:tcPr>
            <w:tcW w:w="4542" w:type="dxa"/>
            <w:tcBorders>
              <w:top w:val="nil"/>
              <w:left w:val="single" w:sz="8" w:space="0" w:color="auto"/>
              <w:bottom w:val="nil"/>
              <w:right w:val="single" w:sz="4" w:space="0" w:color="auto"/>
            </w:tcBorders>
            <w:shd w:val="clear" w:color="000000" w:fill="auto"/>
            <w:vAlign w:val="bottom"/>
            <w:hideMark/>
          </w:tcPr>
          <w:p w:rsidR="006A75DE" w:rsidRPr="00E52829" w:rsidRDefault="006A75DE" w:rsidP="001E2EF8">
            <w:pPr>
              <w:rPr>
                <w:sz w:val="20"/>
                <w:lang w:val="es-GT" w:eastAsia="es-GT"/>
              </w:rPr>
            </w:pPr>
            <w:r w:rsidRPr="00E52829">
              <w:rPr>
                <w:sz w:val="20"/>
                <w:lang w:val="es-GT" w:eastAsia="es-GT"/>
              </w:rPr>
              <w:t>Fondo de Desarrollo Indígena Guatemalteco</w:t>
            </w:r>
          </w:p>
        </w:tc>
        <w:tc>
          <w:tcPr>
            <w:tcW w:w="1006" w:type="dxa"/>
            <w:tcBorders>
              <w:top w:val="nil"/>
              <w:left w:val="single" w:sz="4" w:space="0" w:color="auto"/>
              <w:bottom w:val="nil"/>
              <w:right w:val="single" w:sz="4" w:space="0" w:color="auto"/>
            </w:tcBorders>
            <w:shd w:val="clear" w:color="000000" w:fill="auto"/>
            <w:vAlign w:val="bottom"/>
            <w:hideMark/>
          </w:tcPr>
          <w:p w:rsidR="006A75DE" w:rsidRPr="00E52829" w:rsidRDefault="006A75DE" w:rsidP="001E2EF8">
            <w:pPr>
              <w:jc w:val="center"/>
              <w:rPr>
                <w:sz w:val="20"/>
                <w:lang w:val="es-GT" w:eastAsia="es-GT"/>
              </w:rPr>
            </w:pPr>
            <w:r w:rsidRPr="00E52829">
              <w:rPr>
                <w:sz w:val="20"/>
                <w:lang w:val="es-GT" w:eastAsia="es-GT"/>
              </w:rPr>
              <w:t>32.1</w:t>
            </w:r>
          </w:p>
        </w:tc>
        <w:tc>
          <w:tcPr>
            <w:tcW w:w="1006" w:type="dxa"/>
            <w:tcBorders>
              <w:top w:val="nil"/>
              <w:left w:val="nil"/>
              <w:bottom w:val="nil"/>
              <w:right w:val="nil"/>
            </w:tcBorders>
            <w:shd w:val="clear" w:color="000000" w:fill="auto"/>
            <w:noWrap/>
            <w:vAlign w:val="bottom"/>
            <w:hideMark/>
          </w:tcPr>
          <w:p w:rsidR="006A75DE" w:rsidRPr="00E52829" w:rsidRDefault="006A75DE" w:rsidP="001E2EF8">
            <w:pPr>
              <w:jc w:val="center"/>
              <w:rPr>
                <w:color w:val="000000"/>
                <w:sz w:val="20"/>
                <w:lang w:val="es-GT" w:eastAsia="es-GT"/>
              </w:rPr>
            </w:pPr>
            <w:r w:rsidRPr="00E52829">
              <w:rPr>
                <w:color w:val="000000"/>
                <w:sz w:val="20"/>
                <w:lang w:val="es-GT" w:eastAsia="es-GT"/>
              </w:rPr>
              <w:t>20.7</w:t>
            </w:r>
          </w:p>
        </w:tc>
        <w:tc>
          <w:tcPr>
            <w:tcW w:w="1039" w:type="dxa"/>
            <w:tcBorders>
              <w:top w:val="nil"/>
              <w:left w:val="single" w:sz="4" w:space="0" w:color="auto"/>
              <w:bottom w:val="nil"/>
              <w:right w:val="single" w:sz="4"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-11.4</w:t>
            </w:r>
          </w:p>
        </w:tc>
        <w:tc>
          <w:tcPr>
            <w:tcW w:w="1190" w:type="dxa"/>
            <w:tcBorders>
              <w:top w:val="nil"/>
              <w:left w:val="nil"/>
              <w:bottom w:val="nil"/>
              <w:right w:val="single" w:sz="8"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64.5%</w:t>
            </w:r>
          </w:p>
        </w:tc>
      </w:tr>
      <w:tr w:rsidR="006A75DE" w:rsidRPr="00DA49E5" w:rsidTr="001E2EF8">
        <w:trPr>
          <w:trHeight w:val="301"/>
        </w:trPr>
        <w:tc>
          <w:tcPr>
            <w:tcW w:w="4542" w:type="dxa"/>
            <w:tcBorders>
              <w:top w:val="nil"/>
              <w:left w:val="single" w:sz="8" w:space="0" w:color="auto"/>
              <w:bottom w:val="nil"/>
              <w:right w:val="single" w:sz="4" w:space="0" w:color="auto"/>
            </w:tcBorders>
            <w:shd w:val="clear" w:color="000000" w:fill="auto"/>
            <w:vAlign w:val="bottom"/>
            <w:hideMark/>
          </w:tcPr>
          <w:p w:rsidR="006A75DE" w:rsidRPr="00E52829" w:rsidRDefault="006A75DE" w:rsidP="001E2EF8">
            <w:pPr>
              <w:rPr>
                <w:sz w:val="20"/>
                <w:lang w:val="es-GT" w:eastAsia="es-GT"/>
              </w:rPr>
            </w:pPr>
            <w:r w:rsidRPr="00E52829">
              <w:rPr>
                <w:sz w:val="20"/>
                <w:lang w:val="es-GT" w:eastAsia="es-GT"/>
              </w:rPr>
              <w:t>Inversión para la Vivienda</w:t>
            </w:r>
          </w:p>
        </w:tc>
        <w:tc>
          <w:tcPr>
            <w:tcW w:w="1006" w:type="dxa"/>
            <w:tcBorders>
              <w:top w:val="nil"/>
              <w:left w:val="single" w:sz="4" w:space="0" w:color="auto"/>
              <w:bottom w:val="nil"/>
              <w:right w:val="single" w:sz="4" w:space="0" w:color="auto"/>
            </w:tcBorders>
            <w:shd w:val="clear" w:color="000000" w:fill="auto"/>
            <w:vAlign w:val="bottom"/>
            <w:hideMark/>
          </w:tcPr>
          <w:p w:rsidR="006A75DE" w:rsidRPr="00E52829" w:rsidRDefault="006A75DE" w:rsidP="001E2EF8">
            <w:pPr>
              <w:jc w:val="center"/>
              <w:rPr>
                <w:sz w:val="20"/>
                <w:lang w:val="es-GT" w:eastAsia="es-GT"/>
              </w:rPr>
            </w:pPr>
            <w:r w:rsidRPr="00E52829">
              <w:rPr>
                <w:sz w:val="20"/>
                <w:lang w:val="es-GT" w:eastAsia="es-GT"/>
              </w:rPr>
              <w:t>127.3</w:t>
            </w:r>
          </w:p>
        </w:tc>
        <w:tc>
          <w:tcPr>
            <w:tcW w:w="1006" w:type="dxa"/>
            <w:tcBorders>
              <w:top w:val="nil"/>
              <w:left w:val="nil"/>
              <w:bottom w:val="nil"/>
              <w:right w:val="nil"/>
            </w:tcBorders>
            <w:shd w:val="clear" w:color="000000" w:fill="auto"/>
            <w:noWrap/>
            <w:vAlign w:val="bottom"/>
            <w:hideMark/>
          </w:tcPr>
          <w:p w:rsidR="006A75DE" w:rsidRPr="00E52829" w:rsidRDefault="006A75DE" w:rsidP="001E2EF8">
            <w:pPr>
              <w:jc w:val="center"/>
              <w:rPr>
                <w:color w:val="000000"/>
                <w:sz w:val="20"/>
                <w:lang w:val="es-GT" w:eastAsia="es-GT"/>
              </w:rPr>
            </w:pPr>
            <w:r w:rsidRPr="00E52829">
              <w:rPr>
                <w:color w:val="000000"/>
                <w:sz w:val="20"/>
                <w:lang w:val="es-GT" w:eastAsia="es-GT"/>
              </w:rPr>
              <w:t>138.9</w:t>
            </w:r>
          </w:p>
        </w:tc>
        <w:tc>
          <w:tcPr>
            <w:tcW w:w="1039" w:type="dxa"/>
            <w:tcBorders>
              <w:top w:val="nil"/>
              <w:left w:val="single" w:sz="4" w:space="0" w:color="auto"/>
              <w:bottom w:val="nil"/>
              <w:right w:val="single" w:sz="4"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11.6</w:t>
            </w:r>
          </w:p>
        </w:tc>
        <w:tc>
          <w:tcPr>
            <w:tcW w:w="1190" w:type="dxa"/>
            <w:tcBorders>
              <w:top w:val="nil"/>
              <w:left w:val="nil"/>
              <w:bottom w:val="nil"/>
              <w:right w:val="single" w:sz="8"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109.1%</w:t>
            </w:r>
          </w:p>
        </w:tc>
      </w:tr>
      <w:tr w:rsidR="006A75DE" w:rsidRPr="00DA49E5" w:rsidTr="001E2EF8">
        <w:trPr>
          <w:trHeight w:val="301"/>
        </w:trPr>
        <w:tc>
          <w:tcPr>
            <w:tcW w:w="4542" w:type="dxa"/>
            <w:tcBorders>
              <w:top w:val="nil"/>
              <w:left w:val="single" w:sz="8" w:space="0" w:color="auto"/>
              <w:bottom w:val="nil"/>
              <w:right w:val="single" w:sz="4" w:space="0" w:color="auto"/>
            </w:tcBorders>
            <w:shd w:val="clear" w:color="000000" w:fill="auto"/>
            <w:vAlign w:val="bottom"/>
            <w:hideMark/>
          </w:tcPr>
          <w:p w:rsidR="006A75DE" w:rsidRPr="00E52829" w:rsidRDefault="006A75DE" w:rsidP="001E2EF8">
            <w:pPr>
              <w:rPr>
                <w:sz w:val="20"/>
                <w:lang w:val="es-GT" w:eastAsia="es-GT"/>
              </w:rPr>
            </w:pPr>
            <w:r w:rsidRPr="00E52829">
              <w:rPr>
                <w:sz w:val="20"/>
                <w:lang w:val="es-GT" w:eastAsia="es-GT"/>
              </w:rPr>
              <w:t>Desarrollo Social</w:t>
            </w:r>
          </w:p>
        </w:tc>
        <w:tc>
          <w:tcPr>
            <w:tcW w:w="1006" w:type="dxa"/>
            <w:tcBorders>
              <w:top w:val="nil"/>
              <w:left w:val="single" w:sz="4" w:space="0" w:color="auto"/>
              <w:bottom w:val="nil"/>
              <w:right w:val="single" w:sz="4" w:space="0" w:color="auto"/>
            </w:tcBorders>
            <w:shd w:val="clear" w:color="000000" w:fill="auto"/>
            <w:vAlign w:val="bottom"/>
            <w:hideMark/>
          </w:tcPr>
          <w:p w:rsidR="006A75DE" w:rsidRPr="00E52829" w:rsidRDefault="006A75DE" w:rsidP="001E2EF8">
            <w:pPr>
              <w:jc w:val="center"/>
              <w:rPr>
                <w:sz w:val="20"/>
                <w:lang w:val="es-GT" w:eastAsia="es-GT"/>
              </w:rPr>
            </w:pPr>
            <w:r w:rsidRPr="00E52829">
              <w:rPr>
                <w:sz w:val="20"/>
                <w:lang w:val="es-GT" w:eastAsia="es-GT"/>
              </w:rPr>
              <w:t>101.8</w:t>
            </w:r>
          </w:p>
        </w:tc>
        <w:tc>
          <w:tcPr>
            <w:tcW w:w="1006" w:type="dxa"/>
            <w:tcBorders>
              <w:top w:val="nil"/>
              <w:left w:val="nil"/>
              <w:bottom w:val="nil"/>
              <w:right w:val="nil"/>
            </w:tcBorders>
            <w:shd w:val="clear" w:color="000000" w:fill="auto"/>
            <w:noWrap/>
            <w:vAlign w:val="bottom"/>
            <w:hideMark/>
          </w:tcPr>
          <w:p w:rsidR="006A75DE" w:rsidRPr="00E52829" w:rsidRDefault="006A75DE" w:rsidP="001E2EF8">
            <w:pPr>
              <w:jc w:val="center"/>
              <w:rPr>
                <w:color w:val="000000"/>
                <w:sz w:val="20"/>
                <w:lang w:val="es-GT" w:eastAsia="es-GT"/>
              </w:rPr>
            </w:pPr>
            <w:r w:rsidRPr="00E52829">
              <w:rPr>
                <w:color w:val="000000"/>
                <w:sz w:val="20"/>
                <w:lang w:val="es-GT" w:eastAsia="es-GT"/>
              </w:rPr>
              <w:t>1.1</w:t>
            </w:r>
          </w:p>
        </w:tc>
        <w:tc>
          <w:tcPr>
            <w:tcW w:w="1039" w:type="dxa"/>
            <w:tcBorders>
              <w:top w:val="nil"/>
              <w:left w:val="single" w:sz="4" w:space="0" w:color="auto"/>
              <w:bottom w:val="nil"/>
              <w:right w:val="single" w:sz="4"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-100.7</w:t>
            </w:r>
          </w:p>
        </w:tc>
        <w:tc>
          <w:tcPr>
            <w:tcW w:w="1190" w:type="dxa"/>
            <w:tcBorders>
              <w:top w:val="nil"/>
              <w:left w:val="nil"/>
              <w:bottom w:val="nil"/>
              <w:right w:val="single" w:sz="8"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1.1%</w:t>
            </w:r>
          </w:p>
        </w:tc>
      </w:tr>
      <w:tr w:rsidR="006A75DE" w:rsidRPr="00DA49E5" w:rsidTr="001E2EF8">
        <w:trPr>
          <w:trHeight w:val="315"/>
        </w:trPr>
        <w:tc>
          <w:tcPr>
            <w:tcW w:w="4542" w:type="dxa"/>
            <w:tcBorders>
              <w:top w:val="nil"/>
              <w:left w:val="single" w:sz="8" w:space="0" w:color="auto"/>
              <w:bottom w:val="single" w:sz="8" w:space="0" w:color="auto"/>
              <w:right w:val="single" w:sz="4" w:space="0" w:color="auto"/>
            </w:tcBorders>
            <w:shd w:val="clear" w:color="000000" w:fill="auto"/>
            <w:vAlign w:val="bottom"/>
            <w:hideMark/>
          </w:tcPr>
          <w:p w:rsidR="006A75DE" w:rsidRPr="00E52829" w:rsidRDefault="006A75DE" w:rsidP="001E2EF8">
            <w:pPr>
              <w:rPr>
                <w:sz w:val="20"/>
                <w:lang w:val="es-GT" w:eastAsia="es-GT"/>
              </w:rPr>
            </w:pPr>
            <w:r w:rsidRPr="00E52829">
              <w:rPr>
                <w:sz w:val="20"/>
                <w:lang w:val="es-GT" w:eastAsia="es-GT"/>
              </w:rPr>
              <w:t xml:space="preserve">Fondo Nacional de Ciencia y Tecnología  </w:t>
            </w:r>
          </w:p>
        </w:tc>
        <w:tc>
          <w:tcPr>
            <w:tcW w:w="1006" w:type="dxa"/>
            <w:tcBorders>
              <w:top w:val="nil"/>
              <w:left w:val="single" w:sz="4" w:space="0" w:color="auto"/>
              <w:bottom w:val="single" w:sz="8" w:space="0" w:color="auto"/>
              <w:right w:val="single" w:sz="4" w:space="0" w:color="auto"/>
            </w:tcBorders>
            <w:shd w:val="clear" w:color="000000" w:fill="auto"/>
            <w:vAlign w:val="bottom"/>
            <w:hideMark/>
          </w:tcPr>
          <w:p w:rsidR="006A75DE" w:rsidRPr="00E52829" w:rsidRDefault="006A75DE" w:rsidP="001E2EF8">
            <w:pPr>
              <w:jc w:val="center"/>
              <w:rPr>
                <w:sz w:val="20"/>
                <w:lang w:val="es-GT" w:eastAsia="es-GT"/>
              </w:rPr>
            </w:pPr>
            <w:r w:rsidRPr="00E52829">
              <w:rPr>
                <w:sz w:val="20"/>
                <w:lang w:val="es-GT" w:eastAsia="es-GT"/>
              </w:rPr>
              <w:t>17.5</w:t>
            </w:r>
          </w:p>
        </w:tc>
        <w:tc>
          <w:tcPr>
            <w:tcW w:w="1006" w:type="dxa"/>
            <w:tcBorders>
              <w:top w:val="nil"/>
              <w:left w:val="nil"/>
              <w:bottom w:val="single" w:sz="8" w:space="0" w:color="auto"/>
              <w:right w:val="single" w:sz="4" w:space="0" w:color="auto"/>
            </w:tcBorders>
            <w:shd w:val="clear" w:color="000000" w:fill="auto"/>
            <w:noWrap/>
            <w:vAlign w:val="bottom"/>
            <w:hideMark/>
          </w:tcPr>
          <w:p w:rsidR="006A75DE" w:rsidRPr="00E52829" w:rsidRDefault="006A75DE" w:rsidP="001E2EF8">
            <w:pPr>
              <w:jc w:val="center"/>
              <w:rPr>
                <w:color w:val="000000"/>
                <w:sz w:val="20"/>
                <w:lang w:val="es-GT" w:eastAsia="es-GT"/>
              </w:rPr>
            </w:pPr>
            <w:r w:rsidRPr="00E52829">
              <w:rPr>
                <w:color w:val="000000"/>
                <w:sz w:val="20"/>
                <w:lang w:val="es-GT" w:eastAsia="es-GT"/>
              </w:rPr>
              <w:t>9.9</w:t>
            </w:r>
          </w:p>
        </w:tc>
        <w:tc>
          <w:tcPr>
            <w:tcW w:w="1039" w:type="dxa"/>
            <w:tcBorders>
              <w:top w:val="nil"/>
              <w:left w:val="nil"/>
              <w:bottom w:val="single" w:sz="8" w:space="0" w:color="auto"/>
              <w:right w:val="single" w:sz="4"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-7.6</w:t>
            </w:r>
          </w:p>
        </w:tc>
        <w:tc>
          <w:tcPr>
            <w:tcW w:w="1190" w:type="dxa"/>
            <w:tcBorders>
              <w:top w:val="nil"/>
              <w:left w:val="nil"/>
              <w:bottom w:val="single" w:sz="8" w:space="0" w:color="auto"/>
              <w:right w:val="single" w:sz="8" w:space="0" w:color="auto"/>
            </w:tcBorders>
            <w:shd w:val="clear" w:color="000000" w:fill="FFFFFF"/>
            <w:noWrap/>
            <w:vAlign w:val="bottom"/>
            <w:hideMark/>
          </w:tcPr>
          <w:p w:rsidR="006A75DE" w:rsidRPr="00E52829" w:rsidRDefault="006A75DE" w:rsidP="001E2EF8">
            <w:pPr>
              <w:jc w:val="center"/>
              <w:rPr>
                <w:sz w:val="20"/>
                <w:lang w:val="es-GT" w:eastAsia="es-GT"/>
              </w:rPr>
            </w:pPr>
            <w:r w:rsidRPr="00E52829">
              <w:rPr>
                <w:sz w:val="20"/>
                <w:lang w:val="es-GT" w:eastAsia="es-GT"/>
              </w:rPr>
              <w:t>56.4%</w:t>
            </w:r>
          </w:p>
        </w:tc>
      </w:tr>
    </w:tbl>
    <w:p w:rsidR="006A75DE" w:rsidRDefault="006A75DE" w:rsidP="006A75DE">
      <w:pPr>
        <w:rPr>
          <w:sz w:val="18"/>
        </w:rPr>
      </w:pPr>
      <w:r>
        <w:rPr>
          <w:sz w:val="18"/>
        </w:rPr>
        <w:t xml:space="preserve"> * Cifras preliminares</w:t>
      </w:r>
    </w:p>
    <w:p w:rsidR="006A75DE" w:rsidRPr="00CE76C6" w:rsidRDefault="006A75DE" w:rsidP="006A75DE">
      <w:pPr>
        <w:rPr>
          <w:sz w:val="18"/>
        </w:rPr>
      </w:pPr>
      <w:r w:rsidRPr="00CE76C6">
        <w:rPr>
          <w:sz w:val="18"/>
        </w:rPr>
        <w:t>Fuente: Ministerio de Finanzas Públicas</w:t>
      </w:r>
      <w:r>
        <w:rPr>
          <w:sz w:val="18"/>
        </w:rPr>
        <w:t>.</w:t>
      </w:r>
    </w:p>
    <w:p w:rsidR="006A75DE" w:rsidRDefault="006A75DE" w:rsidP="006A75DE"/>
    <w:p w:rsidR="006A75DE" w:rsidRDefault="006A75DE" w:rsidP="006A75DE"/>
    <w:p w:rsidR="006A75DE" w:rsidRPr="00124AD6" w:rsidRDefault="006A75DE" w:rsidP="006A75DE"/>
    <w:p w:rsidR="006A75DE" w:rsidRPr="00124AD6" w:rsidRDefault="006A75DE" w:rsidP="006A75DE">
      <w:pPr>
        <w:pStyle w:val="Ttulo3"/>
        <w:numPr>
          <w:ilvl w:val="0"/>
          <w:numId w:val="2"/>
        </w:numPr>
        <w:spacing w:before="0"/>
        <w:ind w:left="426"/>
        <w:jc w:val="both"/>
        <w:rPr>
          <w:rFonts w:ascii="Times New Roman" w:hAnsi="Times New Roman"/>
          <w:color w:val="auto"/>
          <w:lang w:val="es-MX"/>
        </w:rPr>
      </w:pPr>
      <w:bookmarkStart w:id="28" w:name="_Toc514399376"/>
      <w:bookmarkStart w:id="29" w:name="_Toc4775342"/>
      <w:r w:rsidRPr="00124AD6">
        <w:rPr>
          <w:rFonts w:ascii="Times New Roman" w:hAnsi="Times New Roman"/>
          <w:color w:val="auto"/>
        </w:rPr>
        <w:t xml:space="preserve">Gasto </w:t>
      </w:r>
      <w:r w:rsidR="000A71A1">
        <w:rPr>
          <w:rFonts w:ascii="Times New Roman" w:hAnsi="Times New Roman"/>
          <w:color w:val="auto"/>
        </w:rPr>
        <w:t>P</w:t>
      </w:r>
      <w:r w:rsidRPr="00124AD6">
        <w:rPr>
          <w:rFonts w:ascii="Times New Roman" w:hAnsi="Times New Roman"/>
          <w:color w:val="auto"/>
        </w:rPr>
        <w:t xml:space="preserve">úblico </w:t>
      </w:r>
      <w:r w:rsidR="00A9614F">
        <w:rPr>
          <w:rFonts w:ascii="Times New Roman" w:hAnsi="Times New Roman"/>
          <w:color w:val="auto"/>
        </w:rPr>
        <w:t>E</w:t>
      </w:r>
      <w:r w:rsidRPr="00124AD6">
        <w:rPr>
          <w:rFonts w:ascii="Times New Roman" w:hAnsi="Times New Roman"/>
          <w:color w:val="auto"/>
        </w:rPr>
        <w:t>jecutado a través de ONG</w:t>
      </w:r>
      <w:bookmarkEnd w:id="28"/>
      <w:bookmarkEnd w:id="29"/>
    </w:p>
    <w:p w:rsidR="006A75DE" w:rsidRPr="00124AD6" w:rsidRDefault="006A75DE" w:rsidP="006A75DE">
      <w:pPr>
        <w:rPr>
          <w:lang w:val="es-MX" w:eastAsia="x-none"/>
        </w:rPr>
      </w:pPr>
    </w:p>
    <w:p w:rsidR="006A75DE" w:rsidRDefault="006A75DE" w:rsidP="006A75DE">
      <w:pPr>
        <w:jc w:val="both"/>
      </w:pPr>
      <w:r w:rsidRPr="00124AD6">
        <w:t>El total de fondos ejecutados por medio de Organizaciones no Gubernamentales al 31 de diciembre de 201</w:t>
      </w:r>
      <w:r>
        <w:t>8</w:t>
      </w:r>
      <w:r w:rsidRPr="00124AD6">
        <w:t xml:space="preserve"> ascendió a Q</w:t>
      </w:r>
      <w:r w:rsidR="000A71A1">
        <w:t>.</w:t>
      </w:r>
      <w:r>
        <w:t>743.8</w:t>
      </w:r>
      <w:r w:rsidRPr="00124AD6">
        <w:t xml:space="preserve"> millones, bajo la modalidad de aportes o transferencias directas. De la ejecución bajo esta modalidad</w:t>
      </w:r>
      <w:r>
        <w:t>,</w:t>
      </w:r>
      <w:r w:rsidRPr="00124AD6">
        <w:t xml:space="preserve"> el </w:t>
      </w:r>
      <w:r>
        <w:t>48.8</w:t>
      </w:r>
      <w:r w:rsidRPr="00124AD6">
        <w:t>% lo realizó el Ministerio de Salud Pública</w:t>
      </w:r>
      <w:r>
        <w:t xml:space="preserve"> y Asistencia Social</w:t>
      </w:r>
      <w:r w:rsidRPr="00124AD6">
        <w:t xml:space="preserve">, </w:t>
      </w:r>
      <w:r>
        <w:t>seguido de las Obligaciones del Estado a cargo del Tesoro con 31.1</w:t>
      </w:r>
      <w:r w:rsidRPr="00124AD6">
        <w:t>%</w:t>
      </w:r>
      <w:r>
        <w:t xml:space="preserve">, el Ministerio de Educación con 12.1%, finalmente el </w:t>
      </w:r>
      <w:r>
        <w:lastRenderedPageBreak/>
        <w:t>Ministerio de Agricultura con 7.6%, en tanto que las restantes entidades tuvieron una ejecución del 0.5%.</w:t>
      </w:r>
    </w:p>
    <w:p w:rsidR="006A75DE" w:rsidRDefault="006A75DE" w:rsidP="006A75DE">
      <w:pPr>
        <w:jc w:val="both"/>
      </w:pPr>
    </w:p>
    <w:p w:rsidR="006A75DE" w:rsidRPr="00124AD6" w:rsidRDefault="006A75DE" w:rsidP="006A75DE">
      <w:pPr>
        <w:jc w:val="center"/>
        <w:rPr>
          <w:b/>
        </w:rPr>
      </w:pPr>
      <w:r w:rsidRPr="00124AD6">
        <w:rPr>
          <w:b/>
        </w:rPr>
        <w:t xml:space="preserve">Cuadro </w:t>
      </w:r>
      <w:r w:rsidR="000A71A1">
        <w:rPr>
          <w:b/>
        </w:rPr>
        <w:t>7</w:t>
      </w:r>
    </w:p>
    <w:p w:rsidR="006A75DE" w:rsidRPr="00124AD6" w:rsidRDefault="006A75DE" w:rsidP="006A75DE">
      <w:pPr>
        <w:jc w:val="center"/>
        <w:rPr>
          <w:b/>
        </w:rPr>
      </w:pPr>
      <w:r w:rsidRPr="00124AD6">
        <w:rPr>
          <w:b/>
        </w:rPr>
        <w:t>Gasto Público Ejecutado a través de Aportes y Convenios</w:t>
      </w:r>
      <w:r w:rsidR="000A71A1">
        <w:rPr>
          <w:b/>
        </w:rPr>
        <w:t xml:space="preserve"> con ONG</w:t>
      </w:r>
    </w:p>
    <w:p w:rsidR="006A75DE" w:rsidRPr="00124AD6" w:rsidRDefault="006A75DE" w:rsidP="006A75DE">
      <w:pPr>
        <w:jc w:val="center"/>
        <w:rPr>
          <w:b/>
        </w:rPr>
      </w:pPr>
      <w:r w:rsidRPr="00124AD6">
        <w:rPr>
          <w:b/>
        </w:rPr>
        <w:t>Al 31 de diciembre de 201</w:t>
      </w:r>
      <w:r>
        <w:rPr>
          <w:b/>
        </w:rPr>
        <w:t>7</w:t>
      </w:r>
      <w:r w:rsidRPr="00124AD6">
        <w:rPr>
          <w:b/>
        </w:rPr>
        <w:t>*</w:t>
      </w:r>
    </w:p>
    <w:p w:rsidR="006A75DE" w:rsidRDefault="000A71A1" w:rsidP="006A75DE">
      <w:pPr>
        <w:jc w:val="center"/>
        <w:rPr>
          <w:b/>
          <w:bCs/>
          <w:lang w:val="es-GT" w:eastAsia="es-GT"/>
        </w:rPr>
      </w:pPr>
      <w:r>
        <w:rPr>
          <w:b/>
          <w:bCs/>
          <w:lang w:val="es-GT" w:eastAsia="es-GT"/>
        </w:rPr>
        <w:t>(</w:t>
      </w:r>
      <w:r w:rsidR="006A75DE">
        <w:rPr>
          <w:b/>
          <w:bCs/>
          <w:lang w:val="es-GT" w:eastAsia="es-GT"/>
        </w:rPr>
        <w:t>Millones de Quetzales</w:t>
      </w:r>
      <w:r>
        <w:rPr>
          <w:b/>
          <w:bCs/>
          <w:lang w:val="es-GT" w:eastAsia="es-GT"/>
        </w:rPr>
        <w:t>)</w:t>
      </w:r>
    </w:p>
    <w:tbl>
      <w:tblPr>
        <w:tblW w:w="8989" w:type="dxa"/>
        <w:tblInd w:w="55" w:type="dxa"/>
        <w:tblCellMar>
          <w:left w:w="70" w:type="dxa"/>
          <w:right w:w="70" w:type="dxa"/>
        </w:tblCellMar>
        <w:tblLook w:val="04A0" w:firstRow="1" w:lastRow="0" w:firstColumn="1" w:lastColumn="0" w:noHBand="0" w:noVBand="1"/>
      </w:tblPr>
      <w:tblGrid>
        <w:gridCol w:w="4524"/>
        <w:gridCol w:w="1099"/>
        <w:gridCol w:w="1099"/>
        <w:gridCol w:w="1118"/>
        <w:gridCol w:w="1154"/>
      </w:tblGrid>
      <w:tr w:rsidR="006A75DE" w:rsidRPr="0069323B" w:rsidTr="001E2EF8">
        <w:trPr>
          <w:trHeight w:val="303"/>
        </w:trPr>
        <w:tc>
          <w:tcPr>
            <w:tcW w:w="4524" w:type="dxa"/>
            <w:vMerge w:val="restart"/>
            <w:tcBorders>
              <w:top w:val="single" w:sz="8" w:space="0" w:color="auto"/>
              <w:left w:val="single" w:sz="8" w:space="0" w:color="auto"/>
              <w:bottom w:val="single" w:sz="4" w:space="0" w:color="000000"/>
              <w:right w:val="nil"/>
            </w:tcBorders>
            <w:shd w:val="clear" w:color="000000" w:fill="8DB4E2"/>
            <w:vAlign w:val="center"/>
            <w:hideMark/>
          </w:tcPr>
          <w:p w:rsidR="006A75DE" w:rsidRPr="0069323B" w:rsidRDefault="006A75DE" w:rsidP="001E2EF8">
            <w:pPr>
              <w:jc w:val="center"/>
              <w:rPr>
                <w:b/>
                <w:bCs/>
                <w:sz w:val="22"/>
                <w:szCs w:val="22"/>
                <w:lang w:val="es-GT" w:eastAsia="es-GT"/>
              </w:rPr>
            </w:pPr>
            <w:r w:rsidRPr="0069323B">
              <w:rPr>
                <w:b/>
                <w:bCs/>
                <w:sz w:val="22"/>
                <w:szCs w:val="22"/>
                <w:lang w:val="es-GT" w:eastAsia="es-GT"/>
              </w:rPr>
              <w:t>Entidad</w:t>
            </w:r>
          </w:p>
        </w:tc>
        <w:tc>
          <w:tcPr>
            <w:tcW w:w="2198" w:type="dxa"/>
            <w:gridSpan w:val="2"/>
            <w:tcBorders>
              <w:top w:val="single" w:sz="8" w:space="0" w:color="auto"/>
              <w:left w:val="single" w:sz="4" w:space="0" w:color="auto"/>
              <w:bottom w:val="single" w:sz="4" w:space="0" w:color="auto"/>
              <w:right w:val="single" w:sz="4" w:space="0" w:color="000000"/>
            </w:tcBorders>
            <w:shd w:val="clear" w:color="000000" w:fill="8DB4E2"/>
            <w:vAlign w:val="center"/>
            <w:hideMark/>
          </w:tcPr>
          <w:p w:rsidR="006A75DE" w:rsidRPr="0069323B" w:rsidRDefault="006A75DE" w:rsidP="001E2EF8">
            <w:pPr>
              <w:jc w:val="center"/>
              <w:rPr>
                <w:b/>
                <w:bCs/>
                <w:sz w:val="22"/>
                <w:szCs w:val="22"/>
                <w:lang w:val="es-GT" w:eastAsia="es-GT"/>
              </w:rPr>
            </w:pPr>
            <w:r w:rsidRPr="0069323B">
              <w:rPr>
                <w:b/>
                <w:bCs/>
                <w:sz w:val="22"/>
                <w:szCs w:val="22"/>
                <w:lang w:val="es-GT" w:eastAsia="es-GT"/>
              </w:rPr>
              <w:t>Presupuesto</w:t>
            </w:r>
          </w:p>
        </w:tc>
        <w:tc>
          <w:tcPr>
            <w:tcW w:w="1115" w:type="dxa"/>
            <w:vMerge w:val="restart"/>
            <w:tcBorders>
              <w:top w:val="single" w:sz="8" w:space="0" w:color="auto"/>
              <w:left w:val="single" w:sz="4" w:space="0" w:color="auto"/>
              <w:bottom w:val="single" w:sz="4" w:space="0" w:color="000000"/>
              <w:right w:val="single" w:sz="4" w:space="0" w:color="auto"/>
            </w:tcBorders>
            <w:shd w:val="clear" w:color="000000" w:fill="8DB4E2"/>
            <w:vAlign w:val="center"/>
            <w:hideMark/>
          </w:tcPr>
          <w:p w:rsidR="006A75DE" w:rsidRPr="0069323B" w:rsidRDefault="006A75DE" w:rsidP="001E2EF8">
            <w:pPr>
              <w:jc w:val="center"/>
              <w:rPr>
                <w:b/>
                <w:bCs/>
                <w:sz w:val="22"/>
                <w:szCs w:val="22"/>
                <w:lang w:val="es-GT" w:eastAsia="es-GT"/>
              </w:rPr>
            </w:pPr>
            <w:r w:rsidRPr="0069323B">
              <w:rPr>
                <w:b/>
                <w:bCs/>
                <w:sz w:val="22"/>
                <w:szCs w:val="22"/>
                <w:lang w:val="es-GT" w:eastAsia="es-GT"/>
              </w:rPr>
              <w:t>Diferencia Absoluta</w:t>
            </w:r>
          </w:p>
        </w:tc>
        <w:tc>
          <w:tcPr>
            <w:tcW w:w="1152" w:type="dxa"/>
            <w:vMerge w:val="restart"/>
            <w:tcBorders>
              <w:top w:val="single" w:sz="8" w:space="0" w:color="auto"/>
              <w:left w:val="single" w:sz="4" w:space="0" w:color="auto"/>
              <w:bottom w:val="single" w:sz="4" w:space="0" w:color="000000"/>
              <w:right w:val="single" w:sz="8" w:space="0" w:color="auto"/>
            </w:tcBorders>
            <w:shd w:val="clear" w:color="000000" w:fill="8DB4E2"/>
            <w:vAlign w:val="center"/>
            <w:hideMark/>
          </w:tcPr>
          <w:p w:rsidR="006A75DE" w:rsidRPr="0069323B" w:rsidRDefault="006A75DE" w:rsidP="001E2EF8">
            <w:pPr>
              <w:jc w:val="center"/>
              <w:rPr>
                <w:b/>
                <w:bCs/>
                <w:sz w:val="22"/>
                <w:szCs w:val="22"/>
                <w:lang w:val="es-GT" w:eastAsia="es-GT"/>
              </w:rPr>
            </w:pPr>
            <w:r w:rsidRPr="0069323B">
              <w:rPr>
                <w:b/>
                <w:bCs/>
                <w:sz w:val="22"/>
                <w:szCs w:val="22"/>
                <w:lang w:val="es-GT" w:eastAsia="es-GT"/>
              </w:rPr>
              <w:t>Porcentaje de Ejecución</w:t>
            </w:r>
          </w:p>
        </w:tc>
      </w:tr>
      <w:tr w:rsidR="006A75DE" w:rsidRPr="0069323B" w:rsidTr="001E2EF8">
        <w:trPr>
          <w:trHeight w:val="361"/>
        </w:trPr>
        <w:tc>
          <w:tcPr>
            <w:tcW w:w="4524" w:type="dxa"/>
            <w:vMerge/>
            <w:tcBorders>
              <w:top w:val="single" w:sz="8" w:space="0" w:color="auto"/>
              <w:left w:val="single" w:sz="8" w:space="0" w:color="auto"/>
              <w:bottom w:val="single" w:sz="4" w:space="0" w:color="000000"/>
              <w:right w:val="nil"/>
            </w:tcBorders>
            <w:vAlign w:val="center"/>
            <w:hideMark/>
          </w:tcPr>
          <w:p w:rsidR="006A75DE" w:rsidRPr="0069323B" w:rsidRDefault="006A75DE" w:rsidP="001E2EF8">
            <w:pPr>
              <w:rPr>
                <w:b/>
                <w:bCs/>
                <w:sz w:val="22"/>
                <w:szCs w:val="22"/>
                <w:lang w:val="es-GT" w:eastAsia="es-GT"/>
              </w:rPr>
            </w:pPr>
          </w:p>
        </w:tc>
        <w:tc>
          <w:tcPr>
            <w:tcW w:w="1099" w:type="dxa"/>
            <w:tcBorders>
              <w:top w:val="nil"/>
              <w:left w:val="single" w:sz="4" w:space="0" w:color="auto"/>
              <w:bottom w:val="single" w:sz="4" w:space="0" w:color="auto"/>
              <w:right w:val="single" w:sz="4" w:space="0" w:color="auto"/>
            </w:tcBorders>
            <w:shd w:val="clear" w:color="000000" w:fill="8DB4E2"/>
            <w:vAlign w:val="center"/>
            <w:hideMark/>
          </w:tcPr>
          <w:p w:rsidR="006A75DE" w:rsidRPr="0069323B" w:rsidRDefault="006A75DE" w:rsidP="001E2EF8">
            <w:pPr>
              <w:rPr>
                <w:b/>
                <w:bCs/>
                <w:sz w:val="22"/>
                <w:szCs w:val="22"/>
                <w:lang w:val="es-GT" w:eastAsia="es-GT"/>
              </w:rPr>
            </w:pPr>
            <w:r w:rsidRPr="0069323B">
              <w:rPr>
                <w:b/>
                <w:bCs/>
                <w:sz w:val="22"/>
                <w:szCs w:val="22"/>
                <w:lang w:val="es-GT" w:eastAsia="es-GT"/>
              </w:rPr>
              <w:t>Vigente</w:t>
            </w:r>
          </w:p>
        </w:tc>
        <w:tc>
          <w:tcPr>
            <w:tcW w:w="1099" w:type="dxa"/>
            <w:tcBorders>
              <w:top w:val="nil"/>
              <w:left w:val="nil"/>
              <w:bottom w:val="single" w:sz="4" w:space="0" w:color="auto"/>
              <w:right w:val="single" w:sz="4" w:space="0" w:color="auto"/>
            </w:tcBorders>
            <w:shd w:val="clear" w:color="000000" w:fill="8DB4E2"/>
            <w:vAlign w:val="center"/>
            <w:hideMark/>
          </w:tcPr>
          <w:p w:rsidR="006A75DE" w:rsidRPr="0069323B" w:rsidRDefault="006A75DE" w:rsidP="001E2EF8">
            <w:pPr>
              <w:rPr>
                <w:b/>
                <w:bCs/>
                <w:sz w:val="22"/>
                <w:szCs w:val="22"/>
                <w:lang w:val="es-GT" w:eastAsia="es-GT"/>
              </w:rPr>
            </w:pPr>
            <w:r w:rsidRPr="0069323B">
              <w:rPr>
                <w:b/>
                <w:bCs/>
                <w:sz w:val="22"/>
                <w:szCs w:val="22"/>
                <w:lang w:val="es-GT" w:eastAsia="es-GT"/>
              </w:rPr>
              <w:t>Ejecutado</w:t>
            </w:r>
          </w:p>
        </w:tc>
        <w:tc>
          <w:tcPr>
            <w:tcW w:w="1115" w:type="dxa"/>
            <w:vMerge/>
            <w:tcBorders>
              <w:top w:val="single" w:sz="8" w:space="0" w:color="auto"/>
              <w:left w:val="single" w:sz="4" w:space="0" w:color="auto"/>
              <w:bottom w:val="single" w:sz="4" w:space="0" w:color="000000"/>
              <w:right w:val="single" w:sz="4" w:space="0" w:color="auto"/>
            </w:tcBorders>
            <w:vAlign w:val="center"/>
            <w:hideMark/>
          </w:tcPr>
          <w:p w:rsidR="006A75DE" w:rsidRPr="0069323B" w:rsidRDefault="006A75DE" w:rsidP="001E2EF8">
            <w:pPr>
              <w:rPr>
                <w:b/>
                <w:bCs/>
                <w:sz w:val="22"/>
                <w:szCs w:val="22"/>
                <w:lang w:val="es-GT" w:eastAsia="es-GT"/>
              </w:rPr>
            </w:pPr>
          </w:p>
        </w:tc>
        <w:tc>
          <w:tcPr>
            <w:tcW w:w="1152" w:type="dxa"/>
            <w:vMerge/>
            <w:tcBorders>
              <w:top w:val="single" w:sz="8" w:space="0" w:color="auto"/>
              <w:left w:val="single" w:sz="4" w:space="0" w:color="auto"/>
              <w:bottom w:val="single" w:sz="4" w:space="0" w:color="000000"/>
              <w:right w:val="single" w:sz="8" w:space="0" w:color="auto"/>
            </w:tcBorders>
            <w:vAlign w:val="center"/>
            <w:hideMark/>
          </w:tcPr>
          <w:p w:rsidR="006A75DE" w:rsidRPr="0069323B" w:rsidRDefault="006A75DE" w:rsidP="001E2EF8">
            <w:pPr>
              <w:rPr>
                <w:b/>
                <w:bCs/>
                <w:sz w:val="22"/>
                <w:szCs w:val="22"/>
                <w:lang w:val="es-GT" w:eastAsia="es-GT"/>
              </w:rPr>
            </w:pPr>
          </w:p>
        </w:tc>
      </w:tr>
      <w:tr w:rsidR="006A75DE" w:rsidRPr="0069323B" w:rsidTr="001E2EF8">
        <w:trPr>
          <w:trHeight w:val="303"/>
        </w:trPr>
        <w:tc>
          <w:tcPr>
            <w:tcW w:w="4524" w:type="dxa"/>
            <w:tcBorders>
              <w:top w:val="nil"/>
              <w:left w:val="single" w:sz="8" w:space="0" w:color="auto"/>
              <w:bottom w:val="nil"/>
              <w:right w:val="nil"/>
            </w:tcBorders>
            <w:shd w:val="clear" w:color="000000" w:fill="FFFFFF"/>
            <w:noWrap/>
            <w:vAlign w:val="bottom"/>
            <w:hideMark/>
          </w:tcPr>
          <w:p w:rsidR="006A75DE" w:rsidRPr="0069323B" w:rsidRDefault="006A75DE" w:rsidP="001E2EF8">
            <w:pPr>
              <w:jc w:val="center"/>
              <w:rPr>
                <w:b/>
                <w:bCs/>
                <w:color w:val="000000"/>
                <w:sz w:val="22"/>
                <w:szCs w:val="22"/>
                <w:lang w:val="es-GT" w:eastAsia="es-GT"/>
              </w:rPr>
            </w:pPr>
            <w:r w:rsidRPr="0069323B">
              <w:rPr>
                <w:b/>
                <w:bCs/>
                <w:color w:val="000000"/>
                <w:sz w:val="22"/>
                <w:szCs w:val="22"/>
                <w:lang w:val="es-GT" w:eastAsia="es-GT"/>
              </w:rPr>
              <w:t>Total</w:t>
            </w:r>
          </w:p>
        </w:tc>
        <w:tc>
          <w:tcPr>
            <w:tcW w:w="1099" w:type="dxa"/>
            <w:tcBorders>
              <w:top w:val="nil"/>
              <w:left w:val="single" w:sz="4" w:space="0" w:color="auto"/>
              <w:bottom w:val="nil"/>
              <w:right w:val="single" w:sz="4" w:space="0" w:color="auto"/>
            </w:tcBorders>
            <w:shd w:val="clear" w:color="000000" w:fill="FFFFFF"/>
            <w:noWrap/>
            <w:vAlign w:val="bottom"/>
            <w:hideMark/>
          </w:tcPr>
          <w:p w:rsidR="006A75DE" w:rsidRPr="0069323B" w:rsidRDefault="006A75DE" w:rsidP="001E2EF8">
            <w:pPr>
              <w:jc w:val="center"/>
              <w:rPr>
                <w:b/>
                <w:bCs/>
                <w:color w:val="000000"/>
                <w:sz w:val="22"/>
                <w:szCs w:val="22"/>
                <w:lang w:val="es-GT" w:eastAsia="es-GT"/>
              </w:rPr>
            </w:pPr>
            <w:r w:rsidRPr="0069323B">
              <w:rPr>
                <w:b/>
                <w:bCs/>
                <w:color w:val="000000"/>
                <w:sz w:val="22"/>
                <w:szCs w:val="22"/>
                <w:lang w:val="es-GT" w:eastAsia="es-GT"/>
              </w:rPr>
              <w:t>855.0</w:t>
            </w:r>
          </w:p>
        </w:tc>
        <w:tc>
          <w:tcPr>
            <w:tcW w:w="1099"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b/>
                <w:bCs/>
                <w:color w:val="000000"/>
                <w:sz w:val="22"/>
                <w:szCs w:val="22"/>
                <w:lang w:val="es-GT" w:eastAsia="es-GT"/>
              </w:rPr>
            </w:pPr>
            <w:r w:rsidRPr="0069323B">
              <w:rPr>
                <w:b/>
                <w:bCs/>
                <w:color w:val="000000"/>
                <w:sz w:val="22"/>
                <w:szCs w:val="22"/>
                <w:lang w:val="es-GT" w:eastAsia="es-GT"/>
              </w:rPr>
              <w:t>743.8</w:t>
            </w:r>
          </w:p>
        </w:tc>
        <w:tc>
          <w:tcPr>
            <w:tcW w:w="1115"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b/>
                <w:bCs/>
                <w:color w:val="000000"/>
                <w:sz w:val="22"/>
                <w:szCs w:val="22"/>
                <w:lang w:val="es-GT" w:eastAsia="es-GT"/>
              </w:rPr>
            </w:pPr>
            <w:r w:rsidRPr="0069323B">
              <w:rPr>
                <w:b/>
                <w:bCs/>
                <w:color w:val="000000"/>
                <w:sz w:val="22"/>
                <w:szCs w:val="22"/>
                <w:lang w:val="es-GT" w:eastAsia="es-GT"/>
              </w:rPr>
              <w:t>(111.2)</w:t>
            </w:r>
          </w:p>
        </w:tc>
        <w:tc>
          <w:tcPr>
            <w:tcW w:w="1152" w:type="dxa"/>
            <w:tcBorders>
              <w:top w:val="nil"/>
              <w:left w:val="nil"/>
              <w:bottom w:val="nil"/>
              <w:right w:val="single" w:sz="8" w:space="0" w:color="auto"/>
            </w:tcBorders>
            <w:shd w:val="clear" w:color="000000" w:fill="FFFFFF"/>
            <w:noWrap/>
            <w:vAlign w:val="bottom"/>
            <w:hideMark/>
          </w:tcPr>
          <w:p w:rsidR="006A75DE" w:rsidRPr="0069323B" w:rsidRDefault="006A75DE" w:rsidP="001E2EF8">
            <w:pPr>
              <w:jc w:val="center"/>
              <w:rPr>
                <w:b/>
                <w:bCs/>
                <w:color w:val="000000"/>
                <w:sz w:val="22"/>
                <w:szCs w:val="22"/>
                <w:lang w:val="es-GT" w:eastAsia="es-GT"/>
              </w:rPr>
            </w:pPr>
            <w:r w:rsidRPr="0069323B">
              <w:rPr>
                <w:b/>
                <w:bCs/>
                <w:color w:val="000000"/>
                <w:sz w:val="22"/>
                <w:szCs w:val="22"/>
                <w:lang w:val="es-GT" w:eastAsia="es-GT"/>
              </w:rPr>
              <w:t>-13.0%</w:t>
            </w:r>
          </w:p>
        </w:tc>
      </w:tr>
      <w:tr w:rsidR="006A75DE" w:rsidRPr="0069323B" w:rsidTr="001E2EF8">
        <w:trPr>
          <w:trHeight w:val="303"/>
        </w:trPr>
        <w:tc>
          <w:tcPr>
            <w:tcW w:w="4524" w:type="dxa"/>
            <w:tcBorders>
              <w:top w:val="nil"/>
              <w:left w:val="single" w:sz="8" w:space="0" w:color="auto"/>
              <w:bottom w:val="nil"/>
              <w:right w:val="nil"/>
            </w:tcBorders>
            <w:shd w:val="clear" w:color="000000" w:fill="FFFFFF"/>
            <w:noWrap/>
            <w:vAlign w:val="bottom"/>
            <w:hideMark/>
          </w:tcPr>
          <w:p w:rsidR="006A75DE" w:rsidRPr="0069323B" w:rsidRDefault="006A75DE" w:rsidP="001E2EF8">
            <w:pPr>
              <w:rPr>
                <w:color w:val="000000"/>
                <w:sz w:val="22"/>
                <w:szCs w:val="22"/>
                <w:lang w:val="es-GT" w:eastAsia="es-GT"/>
              </w:rPr>
            </w:pPr>
            <w:r w:rsidRPr="0069323B">
              <w:rPr>
                <w:color w:val="000000"/>
                <w:sz w:val="22"/>
                <w:szCs w:val="22"/>
                <w:lang w:val="es-GT" w:eastAsia="es-GT"/>
              </w:rPr>
              <w:t>Ministerio de Gobernación</w:t>
            </w:r>
          </w:p>
        </w:tc>
        <w:tc>
          <w:tcPr>
            <w:tcW w:w="1099" w:type="dxa"/>
            <w:tcBorders>
              <w:top w:val="nil"/>
              <w:left w:val="single" w:sz="4" w:space="0" w:color="auto"/>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7.8</w:t>
            </w:r>
          </w:p>
        </w:tc>
        <w:tc>
          <w:tcPr>
            <w:tcW w:w="1099"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w:t>
            </w:r>
          </w:p>
        </w:tc>
        <w:tc>
          <w:tcPr>
            <w:tcW w:w="1115"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-7.8</w:t>
            </w:r>
          </w:p>
        </w:tc>
        <w:tc>
          <w:tcPr>
            <w:tcW w:w="1152" w:type="dxa"/>
            <w:tcBorders>
              <w:top w:val="nil"/>
              <w:left w:val="nil"/>
              <w:bottom w:val="nil"/>
              <w:right w:val="single" w:sz="8"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-100.0%</w:t>
            </w:r>
          </w:p>
        </w:tc>
      </w:tr>
      <w:tr w:rsidR="006A75DE" w:rsidRPr="0069323B" w:rsidTr="001E2EF8">
        <w:trPr>
          <w:trHeight w:val="303"/>
        </w:trPr>
        <w:tc>
          <w:tcPr>
            <w:tcW w:w="4524" w:type="dxa"/>
            <w:tcBorders>
              <w:top w:val="nil"/>
              <w:left w:val="single" w:sz="8" w:space="0" w:color="auto"/>
              <w:bottom w:val="nil"/>
              <w:right w:val="nil"/>
            </w:tcBorders>
            <w:shd w:val="clear" w:color="000000" w:fill="FFFFFF"/>
            <w:noWrap/>
            <w:vAlign w:val="bottom"/>
            <w:hideMark/>
          </w:tcPr>
          <w:p w:rsidR="006A75DE" w:rsidRPr="0069323B" w:rsidRDefault="006A75DE" w:rsidP="001E2EF8">
            <w:pPr>
              <w:rPr>
                <w:color w:val="000000"/>
                <w:sz w:val="22"/>
                <w:szCs w:val="22"/>
                <w:lang w:val="es-GT" w:eastAsia="es-GT"/>
              </w:rPr>
            </w:pPr>
            <w:r w:rsidRPr="0069323B">
              <w:rPr>
                <w:color w:val="000000"/>
                <w:sz w:val="22"/>
                <w:szCs w:val="22"/>
                <w:lang w:val="es-GT" w:eastAsia="es-GT"/>
              </w:rPr>
              <w:t>Ministerio de Finanzas Públicas</w:t>
            </w:r>
          </w:p>
        </w:tc>
        <w:tc>
          <w:tcPr>
            <w:tcW w:w="1099" w:type="dxa"/>
            <w:tcBorders>
              <w:top w:val="nil"/>
              <w:left w:val="single" w:sz="4" w:space="0" w:color="auto"/>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0.0</w:t>
            </w:r>
          </w:p>
        </w:tc>
        <w:tc>
          <w:tcPr>
            <w:tcW w:w="1099"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0.02</w:t>
            </w:r>
          </w:p>
        </w:tc>
        <w:tc>
          <w:tcPr>
            <w:tcW w:w="1115"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0.0</w:t>
            </w:r>
          </w:p>
        </w:tc>
        <w:tc>
          <w:tcPr>
            <w:tcW w:w="1152" w:type="dxa"/>
            <w:tcBorders>
              <w:top w:val="nil"/>
              <w:left w:val="nil"/>
              <w:bottom w:val="nil"/>
              <w:right w:val="single" w:sz="8"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w:t>
            </w:r>
          </w:p>
        </w:tc>
      </w:tr>
      <w:tr w:rsidR="006A75DE" w:rsidRPr="0069323B" w:rsidTr="001E2EF8">
        <w:trPr>
          <w:trHeight w:val="303"/>
        </w:trPr>
        <w:tc>
          <w:tcPr>
            <w:tcW w:w="4524" w:type="dxa"/>
            <w:tcBorders>
              <w:top w:val="nil"/>
              <w:left w:val="single" w:sz="8" w:space="0" w:color="auto"/>
              <w:bottom w:val="nil"/>
              <w:right w:val="nil"/>
            </w:tcBorders>
            <w:shd w:val="clear" w:color="000000" w:fill="FFFFFF"/>
            <w:noWrap/>
            <w:vAlign w:val="bottom"/>
            <w:hideMark/>
          </w:tcPr>
          <w:p w:rsidR="006A75DE" w:rsidRPr="0069323B" w:rsidRDefault="006A75DE" w:rsidP="001E2EF8">
            <w:pPr>
              <w:rPr>
                <w:color w:val="000000"/>
                <w:sz w:val="22"/>
                <w:szCs w:val="22"/>
                <w:lang w:val="es-GT" w:eastAsia="es-GT"/>
              </w:rPr>
            </w:pPr>
            <w:r w:rsidRPr="0069323B">
              <w:rPr>
                <w:color w:val="000000"/>
                <w:sz w:val="22"/>
                <w:szCs w:val="22"/>
                <w:lang w:val="es-GT" w:eastAsia="es-GT"/>
              </w:rPr>
              <w:t>Ministerio de Educación</w:t>
            </w:r>
          </w:p>
        </w:tc>
        <w:tc>
          <w:tcPr>
            <w:tcW w:w="1099" w:type="dxa"/>
            <w:tcBorders>
              <w:top w:val="nil"/>
              <w:left w:val="single" w:sz="4" w:space="0" w:color="auto"/>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88.4</w:t>
            </w:r>
          </w:p>
        </w:tc>
        <w:tc>
          <w:tcPr>
            <w:tcW w:w="1099"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89.9</w:t>
            </w:r>
          </w:p>
        </w:tc>
        <w:tc>
          <w:tcPr>
            <w:tcW w:w="1115"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1.5</w:t>
            </w:r>
          </w:p>
        </w:tc>
        <w:tc>
          <w:tcPr>
            <w:tcW w:w="1152" w:type="dxa"/>
            <w:tcBorders>
              <w:top w:val="nil"/>
              <w:left w:val="nil"/>
              <w:bottom w:val="nil"/>
              <w:right w:val="single" w:sz="8"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1.7%</w:t>
            </w:r>
          </w:p>
        </w:tc>
      </w:tr>
      <w:tr w:rsidR="006A75DE" w:rsidRPr="0069323B" w:rsidTr="001E2EF8">
        <w:trPr>
          <w:trHeight w:val="303"/>
        </w:trPr>
        <w:tc>
          <w:tcPr>
            <w:tcW w:w="4524" w:type="dxa"/>
            <w:tcBorders>
              <w:top w:val="nil"/>
              <w:left w:val="single" w:sz="8" w:space="0" w:color="auto"/>
              <w:bottom w:val="nil"/>
              <w:right w:val="nil"/>
            </w:tcBorders>
            <w:shd w:val="clear" w:color="000000" w:fill="FFFFFF"/>
            <w:noWrap/>
            <w:vAlign w:val="bottom"/>
            <w:hideMark/>
          </w:tcPr>
          <w:p w:rsidR="006A75DE" w:rsidRPr="0069323B" w:rsidRDefault="006A75DE" w:rsidP="001E2EF8">
            <w:pPr>
              <w:rPr>
                <w:color w:val="000000"/>
                <w:sz w:val="22"/>
                <w:szCs w:val="22"/>
                <w:lang w:val="es-GT" w:eastAsia="es-GT"/>
              </w:rPr>
            </w:pPr>
            <w:r w:rsidRPr="0069323B">
              <w:rPr>
                <w:color w:val="000000"/>
                <w:sz w:val="22"/>
                <w:szCs w:val="22"/>
                <w:lang w:val="es-GT" w:eastAsia="es-GT"/>
              </w:rPr>
              <w:t>Ministerio de Salud Pública y Asistencia Social</w:t>
            </w:r>
          </w:p>
        </w:tc>
        <w:tc>
          <w:tcPr>
            <w:tcW w:w="1099" w:type="dxa"/>
            <w:tcBorders>
              <w:top w:val="nil"/>
              <w:left w:val="single" w:sz="4" w:space="0" w:color="auto"/>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436.5</w:t>
            </w:r>
          </w:p>
        </w:tc>
        <w:tc>
          <w:tcPr>
            <w:tcW w:w="1099"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363.0</w:t>
            </w:r>
          </w:p>
        </w:tc>
        <w:tc>
          <w:tcPr>
            <w:tcW w:w="1115"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-73.5</w:t>
            </w:r>
          </w:p>
        </w:tc>
        <w:tc>
          <w:tcPr>
            <w:tcW w:w="1152" w:type="dxa"/>
            <w:tcBorders>
              <w:top w:val="nil"/>
              <w:left w:val="nil"/>
              <w:bottom w:val="nil"/>
              <w:right w:val="single" w:sz="8"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-16.8%</w:t>
            </w:r>
          </w:p>
        </w:tc>
      </w:tr>
      <w:tr w:rsidR="006A75DE" w:rsidRPr="0069323B" w:rsidTr="001E2EF8">
        <w:trPr>
          <w:trHeight w:val="303"/>
        </w:trPr>
        <w:tc>
          <w:tcPr>
            <w:tcW w:w="4524" w:type="dxa"/>
            <w:tcBorders>
              <w:top w:val="nil"/>
              <w:left w:val="single" w:sz="8" w:space="0" w:color="auto"/>
              <w:bottom w:val="nil"/>
              <w:right w:val="nil"/>
            </w:tcBorders>
            <w:shd w:val="clear" w:color="000000" w:fill="FFFFFF"/>
            <w:noWrap/>
            <w:vAlign w:val="bottom"/>
            <w:hideMark/>
          </w:tcPr>
          <w:p w:rsidR="006A75DE" w:rsidRPr="0069323B" w:rsidRDefault="006A75DE" w:rsidP="001E2EF8">
            <w:pPr>
              <w:rPr>
                <w:color w:val="000000"/>
                <w:sz w:val="22"/>
                <w:szCs w:val="22"/>
                <w:lang w:val="es-GT" w:eastAsia="es-GT"/>
              </w:rPr>
            </w:pPr>
            <w:r w:rsidRPr="0069323B">
              <w:rPr>
                <w:color w:val="000000"/>
                <w:sz w:val="22"/>
                <w:szCs w:val="22"/>
                <w:lang w:val="es-GT" w:eastAsia="es-GT"/>
              </w:rPr>
              <w:t>Ministerio de Economía</w:t>
            </w:r>
          </w:p>
        </w:tc>
        <w:tc>
          <w:tcPr>
            <w:tcW w:w="1099" w:type="dxa"/>
            <w:tcBorders>
              <w:top w:val="nil"/>
              <w:left w:val="single" w:sz="4" w:space="0" w:color="auto"/>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5.3</w:t>
            </w:r>
          </w:p>
        </w:tc>
        <w:tc>
          <w:tcPr>
            <w:tcW w:w="1099"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1.4</w:t>
            </w:r>
          </w:p>
        </w:tc>
        <w:tc>
          <w:tcPr>
            <w:tcW w:w="1115"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-4.0</w:t>
            </w:r>
          </w:p>
        </w:tc>
        <w:tc>
          <w:tcPr>
            <w:tcW w:w="1152" w:type="dxa"/>
            <w:tcBorders>
              <w:top w:val="nil"/>
              <w:left w:val="nil"/>
              <w:bottom w:val="nil"/>
              <w:right w:val="single" w:sz="8"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-74.5%</w:t>
            </w:r>
          </w:p>
        </w:tc>
      </w:tr>
      <w:tr w:rsidR="006A75DE" w:rsidRPr="0069323B" w:rsidTr="001E2EF8">
        <w:trPr>
          <w:trHeight w:val="303"/>
        </w:trPr>
        <w:tc>
          <w:tcPr>
            <w:tcW w:w="4524" w:type="dxa"/>
            <w:tcBorders>
              <w:top w:val="nil"/>
              <w:left w:val="single" w:sz="8" w:space="0" w:color="auto"/>
              <w:bottom w:val="nil"/>
              <w:right w:val="nil"/>
            </w:tcBorders>
            <w:shd w:val="clear" w:color="000000" w:fill="FFFFFF"/>
            <w:noWrap/>
            <w:vAlign w:val="bottom"/>
            <w:hideMark/>
          </w:tcPr>
          <w:p w:rsidR="006A75DE" w:rsidRPr="0069323B" w:rsidRDefault="006A75DE" w:rsidP="001E2EF8">
            <w:pPr>
              <w:rPr>
                <w:color w:val="000000"/>
                <w:sz w:val="22"/>
                <w:szCs w:val="22"/>
                <w:lang w:val="es-GT" w:eastAsia="es-GT"/>
              </w:rPr>
            </w:pPr>
            <w:r w:rsidRPr="0069323B">
              <w:rPr>
                <w:color w:val="000000"/>
                <w:sz w:val="22"/>
                <w:szCs w:val="22"/>
                <w:lang w:val="es-GT" w:eastAsia="es-GT"/>
              </w:rPr>
              <w:t>Ministerio de Agricultura</w:t>
            </w:r>
          </w:p>
        </w:tc>
        <w:tc>
          <w:tcPr>
            <w:tcW w:w="1099" w:type="dxa"/>
            <w:tcBorders>
              <w:top w:val="nil"/>
              <w:left w:val="single" w:sz="4" w:space="0" w:color="auto"/>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64.1</w:t>
            </w:r>
          </w:p>
        </w:tc>
        <w:tc>
          <w:tcPr>
            <w:tcW w:w="1099"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56.3</w:t>
            </w:r>
          </w:p>
        </w:tc>
        <w:tc>
          <w:tcPr>
            <w:tcW w:w="1115"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-7.8</w:t>
            </w:r>
          </w:p>
        </w:tc>
        <w:tc>
          <w:tcPr>
            <w:tcW w:w="1152" w:type="dxa"/>
            <w:tcBorders>
              <w:top w:val="nil"/>
              <w:left w:val="nil"/>
              <w:bottom w:val="nil"/>
              <w:right w:val="single" w:sz="8"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-12.2%</w:t>
            </w:r>
          </w:p>
        </w:tc>
      </w:tr>
      <w:tr w:rsidR="006A75DE" w:rsidRPr="0069323B" w:rsidTr="001E2EF8">
        <w:trPr>
          <w:trHeight w:val="303"/>
        </w:trPr>
        <w:tc>
          <w:tcPr>
            <w:tcW w:w="4524" w:type="dxa"/>
            <w:tcBorders>
              <w:top w:val="nil"/>
              <w:left w:val="single" w:sz="8" w:space="0" w:color="auto"/>
              <w:bottom w:val="nil"/>
              <w:right w:val="nil"/>
            </w:tcBorders>
            <w:shd w:val="clear" w:color="000000" w:fill="FFFFFF"/>
            <w:noWrap/>
            <w:vAlign w:val="bottom"/>
            <w:hideMark/>
          </w:tcPr>
          <w:p w:rsidR="006A75DE" w:rsidRPr="0069323B" w:rsidRDefault="006A75DE" w:rsidP="001E2EF8">
            <w:pPr>
              <w:rPr>
                <w:color w:val="000000"/>
                <w:sz w:val="22"/>
                <w:szCs w:val="22"/>
                <w:lang w:val="es-GT" w:eastAsia="es-GT"/>
              </w:rPr>
            </w:pPr>
            <w:r w:rsidRPr="0069323B">
              <w:rPr>
                <w:color w:val="000000"/>
                <w:sz w:val="22"/>
                <w:szCs w:val="22"/>
                <w:lang w:val="es-GT" w:eastAsia="es-GT"/>
              </w:rPr>
              <w:t>Ministerio de Cultura y Deportes</w:t>
            </w:r>
          </w:p>
        </w:tc>
        <w:tc>
          <w:tcPr>
            <w:tcW w:w="1099" w:type="dxa"/>
            <w:tcBorders>
              <w:top w:val="nil"/>
              <w:left w:val="single" w:sz="4" w:space="0" w:color="auto"/>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2.0</w:t>
            </w:r>
          </w:p>
        </w:tc>
        <w:tc>
          <w:tcPr>
            <w:tcW w:w="1099"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2.0</w:t>
            </w:r>
          </w:p>
        </w:tc>
        <w:tc>
          <w:tcPr>
            <w:tcW w:w="1115"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0.0</w:t>
            </w:r>
          </w:p>
        </w:tc>
        <w:tc>
          <w:tcPr>
            <w:tcW w:w="1152" w:type="dxa"/>
            <w:tcBorders>
              <w:top w:val="nil"/>
              <w:left w:val="nil"/>
              <w:bottom w:val="nil"/>
              <w:right w:val="single" w:sz="8"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0.0%</w:t>
            </w:r>
          </w:p>
        </w:tc>
      </w:tr>
      <w:tr w:rsidR="006A75DE" w:rsidRPr="0069323B" w:rsidTr="001E2EF8">
        <w:trPr>
          <w:trHeight w:val="303"/>
        </w:trPr>
        <w:tc>
          <w:tcPr>
            <w:tcW w:w="4524" w:type="dxa"/>
            <w:tcBorders>
              <w:top w:val="nil"/>
              <w:left w:val="single" w:sz="8" w:space="0" w:color="auto"/>
              <w:bottom w:val="nil"/>
              <w:right w:val="nil"/>
            </w:tcBorders>
            <w:shd w:val="clear" w:color="000000" w:fill="FFFFFF"/>
            <w:noWrap/>
            <w:vAlign w:val="bottom"/>
            <w:hideMark/>
          </w:tcPr>
          <w:p w:rsidR="006A75DE" w:rsidRPr="0069323B" w:rsidRDefault="006A75DE" w:rsidP="001E2EF8">
            <w:pPr>
              <w:rPr>
                <w:color w:val="000000"/>
                <w:sz w:val="22"/>
                <w:szCs w:val="22"/>
                <w:lang w:val="es-GT" w:eastAsia="es-GT"/>
              </w:rPr>
            </w:pPr>
            <w:r w:rsidRPr="0069323B">
              <w:rPr>
                <w:color w:val="000000"/>
                <w:sz w:val="22"/>
                <w:szCs w:val="22"/>
                <w:lang w:val="es-GT" w:eastAsia="es-GT"/>
              </w:rPr>
              <w:t>Ministerio de Ambiente y Recursos Naturales</w:t>
            </w:r>
          </w:p>
        </w:tc>
        <w:tc>
          <w:tcPr>
            <w:tcW w:w="1099" w:type="dxa"/>
            <w:tcBorders>
              <w:top w:val="nil"/>
              <w:left w:val="single" w:sz="4" w:space="0" w:color="auto"/>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0.0</w:t>
            </w:r>
          </w:p>
        </w:tc>
        <w:tc>
          <w:tcPr>
            <w:tcW w:w="1099"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0.02</w:t>
            </w:r>
          </w:p>
        </w:tc>
        <w:tc>
          <w:tcPr>
            <w:tcW w:w="1115" w:type="dxa"/>
            <w:tcBorders>
              <w:top w:val="nil"/>
              <w:left w:val="nil"/>
              <w:bottom w:val="nil"/>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0.0</w:t>
            </w:r>
          </w:p>
        </w:tc>
        <w:tc>
          <w:tcPr>
            <w:tcW w:w="1152" w:type="dxa"/>
            <w:tcBorders>
              <w:top w:val="nil"/>
              <w:left w:val="nil"/>
              <w:bottom w:val="nil"/>
              <w:right w:val="single" w:sz="8"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w:t>
            </w:r>
          </w:p>
        </w:tc>
      </w:tr>
      <w:tr w:rsidR="006A75DE" w:rsidRPr="0069323B" w:rsidTr="001E2EF8">
        <w:trPr>
          <w:trHeight w:val="318"/>
        </w:trPr>
        <w:tc>
          <w:tcPr>
            <w:tcW w:w="4524" w:type="dxa"/>
            <w:tcBorders>
              <w:top w:val="nil"/>
              <w:left w:val="single" w:sz="8" w:space="0" w:color="auto"/>
              <w:bottom w:val="single" w:sz="8" w:space="0" w:color="auto"/>
              <w:right w:val="nil"/>
            </w:tcBorders>
            <w:shd w:val="clear" w:color="000000" w:fill="FFFFFF"/>
            <w:noWrap/>
            <w:vAlign w:val="bottom"/>
            <w:hideMark/>
          </w:tcPr>
          <w:p w:rsidR="006A75DE" w:rsidRPr="0069323B" w:rsidRDefault="006A75DE" w:rsidP="001E2EF8">
            <w:pPr>
              <w:rPr>
                <w:color w:val="000000"/>
                <w:sz w:val="22"/>
                <w:szCs w:val="22"/>
                <w:lang w:val="es-GT" w:eastAsia="es-GT"/>
              </w:rPr>
            </w:pPr>
            <w:r w:rsidRPr="0069323B">
              <w:rPr>
                <w:color w:val="000000"/>
                <w:sz w:val="22"/>
                <w:szCs w:val="22"/>
                <w:lang w:val="es-GT" w:eastAsia="es-GT"/>
              </w:rPr>
              <w:t>Obligaciones del Estado a Cargo del Tesoro</w:t>
            </w:r>
          </w:p>
        </w:tc>
        <w:tc>
          <w:tcPr>
            <w:tcW w:w="1099" w:type="dxa"/>
            <w:tcBorders>
              <w:top w:val="nil"/>
              <w:left w:val="single" w:sz="4" w:space="0" w:color="auto"/>
              <w:bottom w:val="single" w:sz="8" w:space="0" w:color="auto"/>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250.9</w:t>
            </w:r>
          </w:p>
        </w:tc>
        <w:tc>
          <w:tcPr>
            <w:tcW w:w="1099" w:type="dxa"/>
            <w:tcBorders>
              <w:top w:val="nil"/>
              <w:left w:val="nil"/>
              <w:bottom w:val="single" w:sz="8" w:space="0" w:color="auto"/>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231.2</w:t>
            </w:r>
          </w:p>
        </w:tc>
        <w:tc>
          <w:tcPr>
            <w:tcW w:w="1115" w:type="dxa"/>
            <w:tcBorders>
              <w:top w:val="nil"/>
              <w:left w:val="nil"/>
              <w:bottom w:val="single" w:sz="8" w:space="0" w:color="auto"/>
              <w:right w:val="single" w:sz="4"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-19.6</w:t>
            </w:r>
          </w:p>
        </w:tc>
        <w:tc>
          <w:tcPr>
            <w:tcW w:w="1152" w:type="dxa"/>
            <w:tcBorders>
              <w:top w:val="nil"/>
              <w:left w:val="nil"/>
              <w:bottom w:val="single" w:sz="8" w:space="0" w:color="auto"/>
              <w:right w:val="single" w:sz="8" w:space="0" w:color="auto"/>
            </w:tcBorders>
            <w:shd w:val="clear" w:color="000000" w:fill="FFFFFF"/>
            <w:noWrap/>
            <w:vAlign w:val="bottom"/>
            <w:hideMark/>
          </w:tcPr>
          <w:p w:rsidR="006A75DE" w:rsidRPr="0069323B" w:rsidRDefault="006A75DE" w:rsidP="001E2EF8">
            <w:pPr>
              <w:jc w:val="center"/>
              <w:rPr>
                <w:color w:val="000000"/>
                <w:sz w:val="22"/>
                <w:szCs w:val="22"/>
                <w:lang w:val="es-GT" w:eastAsia="es-GT"/>
              </w:rPr>
            </w:pPr>
            <w:r w:rsidRPr="0069323B">
              <w:rPr>
                <w:color w:val="000000"/>
                <w:sz w:val="22"/>
                <w:szCs w:val="22"/>
                <w:lang w:val="es-GT" w:eastAsia="es-GT"/>
              </w:rPr>
              <w:t>-7.8%</w:t>
            </w:r>
          </w:p>
        </w:tc>
      </w:tr>
    </w:tbl>
    <w:p w:rsidR="006A75DE" w:rsidRDefault="006A75DE" w:rsidP="006A75DE">
      <w:pPr>
        <w:jc w:val="both"/>
        <w:rPr>
          <w:sz w:val="18"/>
        </w:rPr>
      </w:pPr>
      <w:r>
        <w:rPr>
          <w:sz w:val="18"/>
        </w:rPr>
        <w:t>* Cifras preliminares</w:t>
      </w:r>
    </w:p>
    <w:p w:rsidR="006A75DE" w:rsidRPr="00CE76C6" w:rsidRDefault="006A75DE" w:rsidP="006A75DE">
      <w:pPr>
        <w:jc w:val="both"/>
        <w:rPr>
          <w:sz w:val="18"/>
        </w:rPr>
      </w:pPr>
      <w:r w:rsidRPr="00CE76C6">
        <w:rPr>
          <w:sz w:val="18"/>
        </w:rPr>
        <w:t>Fuente: Ministerio de Finanzas Públicas</w:t>
      </w:r>
      <w:r>
        <w:rPr>
          <w:sz w:val="18"/>
        </w:rPr>
        <w:t>.</w:t>
      </w:r>
    </w:p>
    <w:p w:rsidR="006A75DE" w:rsidRDefault="006A75DE" w:rsidP="006A75DE">
      <w:pPr>
        <w:jc w:val="center"/>
        <w:rPr>
          <w:b/>
        </w:rPr>
      </w:pPr>
    </w:p>
    <w:p w:rsidR="000A71A1" w:rsidRDefault="000A71A1">
      <w:pPr>
        <w:rPr>
          <w:b/>
        </w:rPr>
      </w:pPr>
      <w:r>
        <w:rPr>
          <w:b/>
        </w:rPr>
        <w:br w:type="page"/>
      </w:r>
    </w:p>
    <w:p w:rsidR="006A75DE" w:rsidRPr="000A71A1" w:rsidRDefault="006A75DE" w:rsidP="006A75DE">
      <w:pPr>
        <w:jc w:val="center"/>
        <w:rPr>
          <w:b/>
        </w:rPr>
      </w:pPr>
      <w:r w:rsidRPr="000A71A1">
        <w:rPr>
          <w:b/>
        </w:rPr>
        <w:lastRenderedPageBreak/>
        <w:t xml:space="preserve">Cuadro </w:t>
      </w:r>
      <w:r w:rsidR="000A71A1">
        <w:rPr>
          <w:b/>
        </w:rPr>
        <w:t>8</w:t>
      </w:r>
    </w:p>
    <w:p w:rsidR="006A75DE" w:rsidRPr="000A71A1" w:rsidRDefault="006A75DE" w:rsidP="006A75DE">
      <w:pPr>
        <w:jc w:val="center"/>
        <w:rPr>
          <w:b/>
        </w:rPr>
      </w:pPr>
      <w:r w:rsidRPr="000A71A1">
        <w:rPr>
          <w:b/>
        </w:rPr>
        <w:t xml:space="preserve">Política General de Gobierno, </w:t>
      </w:r>
      <w:r w:rsidR="000A71A1">
        <w:rPr>
          <w:b/>
        </w:rPr>
        <w:t>P</w:t>
      </w:r>
      <w:r w:rsidRPr="000A71A1">
        <w:rPr>
          <w:b/>
        </w:rPr>
        <w:t xml:space="preserve">acto </w:t>
      </w:r>
      <w:r w:rsidR="000A71A1">
        <w:rPr>
          <w:b/>
        </w:rPr>
        <w:t>H</w:t>
      </w:r>
      <w:r w:rsidRPr="000A71A1">
        <w:rPr>
          <w:b/>
        </w:rPr>
        <w:t>ambre Cero</w:t>
      </w:r>
    </w:p>
    <w:p w:rsidR="000A71A1" w:rsidRDefault="006A75DE" w:rsidP="006A75DE">
      <w:pPr>
        <w:jc w:val="center"/>
        <w:rPr>
          <w:b/>
        </w:rPr>
      </w:pPr>
      <w:r w:rsidRPr="000A71A1">
        <w:rPr>
          <w:b/>
        </w:rPr>
        <w:t>Al 31 de diciembre de 2018*</w:t>
      </w:r>
    </w:p>
    <w:p w:rsidR="000A71A1" w:rsidRDefault="000A71A1" w:rsidP="006A75DE">
      <w:pPr>
        <w:jc w:val="center"/>
        <w:rPr>
          <w:b/>
          <w:bCs/>
          <w:sz w:val="28"/>
          <w:lang w:val="es-GT" w:eastAsia="es-GT"/>
        </w:rPr>
      </w:pPr>
      <w:r>
        <w:rPr>
          <w:b/>
          <w:bCs/>
          <w:sz w:val="28"/>
          <w:lang w:val="es-GT" w:eastAsia="es-GT"/>
        </w:rPr>
        <w:t>(</w:t>
      </w:r>
      <w:r w:rsidR="006A75DE" w:rsidRPr="00D829B5">
        <w:rPr>
          <w:b/>
          <w:bCs/>
          <w:sz w:val="28"/>
          <w:lang w:val="es-GT" w:eastAsia="es-GT"/>
        </w:rPr>
        <w:t>Millones de Quetzales</w:t>
      </w:r>
      <w:r>
        <w:rPr>
          <w:b/>
          <w:bCs/>
          <w:sz w:val="28"/>
          <w:lang w:val="es-GT" w:eastAsia="es-GT"/>
        </w:rPr>
        <w:t>)</w:t>
      </w:r>
    </w:p>
    <w:p w:rsidR="006A75DE" w:rsidRPr="00D829B5" w:rsidRDefault="006A75DE" w:rsidP="006A75DE">
      <w:pPr>
        <w:jc w:val="center"/>
        <w:rPr>
          <w:lang w:val="es-GT"/>
        </w:rPr>
      </w:pPr>
      <w:r w:rsidRPr="00D829B5">
        <w:rPr>
          <w:noProof/>
          <w:lang w:val="es-GT" w:eastAsia="es-GT"/>
        </w:rPr>
        <w:drawing>
          <wp:inline distT="0" distB="0" distL="0" distR="0" wp14:anchorId="0B2866AD" wp14:editId="27F7BB37">
            <wp:extent cx="5612130" cy="6996048"/>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6996048"/>
                    </a:xfrm>
                    <a:prstGeom prst="rect">
                      <a:avLst/>
                    </a:prstGeom>
                    <a:noFill/>
                    <a:ln>
                      <a:noFill/>
                    </a:ln>
                  </pic:spPr>
                </pic:pic>
              </a:graphicData>
            </a:graphic>
          </wp:inline>
        </w:drawing>
      </w:r>
    </w:p>
    <w:p w:rsidR="006A75DE" w:rsidRPr="00124AD6" w:rsidRDefault="006A75DE" w:rsidP="006A75DE">
      <w:pPr>
        <w:pStyle w:val="NormalWeb"/>
        <w:spacing w:before="0" w:beforeAutospacing="0" w:after="0" w:afterAutospacing="0"/>
        <w:jc w:val="center"/>
        <w:rPr>
          <w:rFonts w:eastAsia="+mn-ea"/>
          <w:b/>
          <w:bCs/>
          <w:color w:val="000000"/>
          <w:kern w:val="24"/>
        </w:rPr>
      </w:pPr>
      <w:r w:rsidRPr="00D829B5">
        <w:rPr>
          <w:noProof/>
        </w:rPr>
        <w:lastRenderedPageBreak/>
        <w:drawing>
          <wp:inline distT="0" distB="0" distL="0" distR="0" wp14:anchorId="65D5F892" wp14:editId="5CADF48F">
            <wp:extent cx="5612130" cy="6866066"/>
            <wp:effectExtent l="0" t="0" r="762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6866066"/>
                    </a:xfrm>
                    <a:prstGeom prst="rect">
                      <a:avLst/>
                    </a:prstGeom>
                    <a:noFill/>
                    <a:ln>
                      <a:noFill/>
                    </a:ln>
                  </pic:spPr>
                </pic:pic>
              </a:graphicData>
            </a:graphic>
          </wp:inline>
        </w:drawing>
      </w:r>
    </w:p>
    <w:p w:rsidR="006A75DE" w:rsidRDefault="006A75DE" w:rsidP="006A75DE">
      <w:pPr>
        <w:jc w:val="both"/>
        <w:rPr>
          <w:sz w:val="18"/>
          <w:lang w:val="es-GT"/>
        </w:rPr>
      </w:pPr>
      <w:r w:rsidRPr="00EA79A0">
        <w:rPr>
          <w:sz w:val="18"/>
          <w:lang w:val="es-GT"/>
        </w:rPr>
        <w:t xml:space="preserve">* Cifras </w:t>
      </w:r>
      <w:r>
        <w:rPr>
          <w:sz w:val="18"/>
          <w:lang w:val="es-GT"/>
        </w:rPr>
        <w:t>preliminares</w:t>
      </w:r>
    </w:p>
    <w:p w:rsidR="006A75DE" w:rsidRPr="00EA79A0" w:rsidRDefault="006A75DE" w:rsidP="006A75DE">
      <w:pPr>
        <w:jc w:val="both"/>
        <w:rPr>
          <w:sz w:val="18"/>
        </w:rPr>
      </w:pPr>
      <w:r w:rsidRPr="00EA79A0">
        <w:rPr>
          <w:sz w:val="18"/>
        </w:rPr>
        <w:t>Fuente: Ministerio de Finanzas Públicas</w:t>
      </w:r>
      <w:r>
        <w:rPr>
          <w:sz w:val="18"/>
        </w:rPr>
        <w:t>.</w:t>
      </w:r>
    </w:p>
    <w:p w:rsidR="006A75DE" w:rsidRPr="00124AD6" w:rsidRDefault="006A75DE" w:rsidP="006A75DE">
      <w:pPr>
        <w:jc w:val="both"/>
      </w:pPr>
    </w:p>
    <w:p w:rsidR="006A75DE" w:rsidRDefault="006A75DE" w:rsidP="006A75DE">
      <w:pPr>
        <w:jc w:val="both"/>
      </w:pPr>
      <w:r>
        <w:t>Para el ejercicio fiscal 2018, el presupuesto aprobado para el Pacto Hambre Cero fue de Q.3,575.8 millones, con una ejecución de Q.4,230.2 millones, superior en Q.654.4 millones, que representa el 18.3% más de lo aprobado.</w:t>
      </w:r>
    </w:p>
    <w:p w:rsidR="006A75DE" w:rsidRDefault="006A75DE" w:rsidP="006A75DE">
      <w:pPr>
        <w:jc w:val="both"/>
      </w:pPr>
      <w:r>
        <w:lastRenderedPageBreak/>
        <w:t xml:space="preserve">El Programa Hambre Cero cuenta con varias líneas de acción las cuales se citan a continuación: </w:t>
      </w:r>
      <w:r w:rsidRPr="00004CDC">
        <w:t>Provisión de los Servicios Básicos de Salud y Nutrición</w:t>
      </w:r>
      <w:r>
        <w:t xml:space="preserve"> con una ejecución de Q.1,289.3 millones (30.5% de la ejecución total); </w:t>
      </w:r>
      <w:r w:rsidRPr="00004CDC">
        <w:t>Mejoramiento de los Ingresos y la Economía Familiar</w:t>
      </w:r>
      <w:r>
        <w:t xml:space="preserve"> con una ejecución de Q.1,246.7 millones (29.5% de la ejecución total); Escuela Saludable con una ejecución de Q.1,249.6 millones (29.5% de la ejecución total; </w:t>
      </w:r>
      <w:r w:rsidRPr="00004CDC">
        <w:t>Atención a Población Vulnerable a la Inseguridad Alimentaria</w:t>
      </w:r>
      <w:r>
        <w:t xml:space="preserve"> con una ejecución de Q.231.3 millones (5.5% de la ejecución total) y </w:t>
      </w:r>
      <w:r w:rsidRPr="00004CDC">
        <w:t>Promoción de Lactancia Materna y Alimentación Complementaria</w:t>
      </w:r>
      <w:r>
        <w:t xml:space="preserve"> con una ejecución de Q.113.6 millones (2.7% de la ejecución total); y otros rubros que ejecutaron Q.99.7 millones (2.3% de la ejecución total).</w:t>
      </w:r>
    </w:p>
    <w:p w:rsidR="006A75DE" w:rsidRPr="00124AD6" w:rsidRDefault="006A75DE" w:rsidP="006A75DE">
      <w:pPr>
        <w:jc w:val="both"/>
      </w:pPr>
      <w:r>
        <w:t xml:space="preserve"> </w:t>
      </w:r>
    </w:p>
    <w:p w:rsidR="007B53D8" w:rsidRDefault="007B53D8" w:rsidP="007B53D8">
      <w:pPr>
        <w:pStyle w:val="Ttulo2"/>
        <w:numPr>
          <w:ilvl w:val="0"/>
          <w:numId w:val="6"/>
        </w:numPr>
        <w:spacing w:line="276" w:lineRule="auto"/>
        <w:rPr>
          <w:rFonts w:ascii="Times New Roman" w:hAnsi="Times New Roman"/>
          <w:color w:val="000000" w:themeColor="text1"/>
          <w:sz w:val="24"/>
          <w:szCs w:val="24"/>
        </w:rPr>
      </w:pPr>
      <w:bookmarkStart w:id="30" w:name="_Toc514399377"/>
      <w:bookmarkStart w:id="31" w:name="_Toc4775343"/>
      <w:r w:rsidRPr="007B53D8">
        <w:rPr>
          <w:rFonts w:ascii="Times New Roman" w:hAnsi="Times New Roman"/>
          <w:color w:val="000000" w:themeColor="text1"/>
          <w:sz w:val="24"/>
          <w:szCs w:val="24"/>
        </w:rPr>
        <w:t xml:space="preserve">Déficit </w:t>
      </w:r>
      <w:r w:rsidR="000A71A1">
        <w:rPr>
          <w:rFonts w:ascii="Times New Roman" w:hAnsi="Times New Roman"/>
          <w:color w:val="000000" w:themeColor="text1"/>
          <w:sz w:val="24"/>
          <w:szCs w:val="24"/>
        </w:rPr>
        <w:t>F</w:t>
      </w:r>
      <w:r w:rsidRPr="007B53D8">
        <w:rPr>
          <w:rFonts w:ascii="Times New Roman" w:hAnsi="Times New Roman"/>
          <w:color w:val="000000" w:themeColor="text1"/>
          <w:sz w:val="24"/>
          <w:szCs w:val="24"/>
        </w:rPr>
        <w:t xml:space="preserve">iscal </w:t>
      </w:r>
      <w:r w:rsidR="000A71A1">
        <w:rPr>
          <w:rFonts w:ascii="Times New Roman" w:hAnsi="Times New Roman"/>
          <w:color w:val="000000" w:themeColor="text1"/>
          <w:sz w:val="24"/>
          <w:szCs w:val="24"/>
        </w:rPr>
        <w:t>S</w:t>
      </w:r>
      <w:r w:rsidRPr="007B53D8">
        <w:rPr>
          <w:rFonts w:ascii="Times New Roman" w:hAnsi="Times New Roman"/>
          <w:color w:val="000000" w:themeColor="text1"/>
          <w:sz w:val="24"/>
          <w:szCs w:val="24"/>
        </w:rPr>
        <w:t>ostenible</w:t>
      </w:r>
      <w:bookmarkEnd w:id="30"/>
      <w:bookmarkEnd w:id="31"/>
      <w:r w:rsidRPr="007B53D8">
        <w:rPr>
          <w:rFonts w:ascii="Times New Roman" w:hAnsi="Times New Roman"/>
          <w:color w:val="000000" w:themeColor="text1"/>
          <w:sz w:val="24"/>
          <w:szCs w:val="24"/>
        </w:rPr>
        <w:t xml:space="preserve"> </w:t>
      </w:r>
    </w:p>
    <w:p w:rsidR="007B53D8" w:rsidRPr="007B53D8" w:rsidRDefault="007B53D8" w:rsidP="007B53D8"/>
    <w:p w:rsidR="007B53D8" w:rsidRDefault="007B53D8" w:rsidP="007B53D8">
      <w:pPr>
        <w:jc w:val="both"/>
        <w:rPr>
          <w:lang w:val="es-GT"/>
        </w:rPr>
      </w:pPr>
      <w:r>
        <w:rPr>
          <w:lang w:val="es-GT"/>
        </w:rPr>
        <w:t>No obstante la recaudación experimentó un aumento en el orden del 3.9%, los gastos tuvieron un aumento con una proporción mayor, alcanzando un 8.1%</w:t>
      </w:r>
      <w:r w:rsidR="000A71A1">
        <w:rPr>
          <w:lang w:val="es-GT"/>
        </w:rPr>
        <w:t>. P</w:t>
      </w:r>
      <w:r>
        <w:rPr>
          <w:lang w:val="es-GT"/>
        </w:rPr>
        <w:t>ara 2018 el balance presupuestario fue deficitario ubicándose en Q</w:t>
      </w:r>
      <w:r w:rsidR="000A71A1">
        <w:rPr>
          <w:lang w:val="es-GT"/>
        </w:rPr>
        <w:t>.</w:t>
      </w:r>
      <w:r>
        <w:rPr>
          <w:lang w:val="es-GT"/>
        </w:rPr>
        <w:t>10,375.8 millones, mayor al observado en 2017 que fue de Q.7,287.8 millones: El resultado presupuestario para 2018 con relación al PIB fue de 1.8% mayor al observado en 2017 que fue de 1.3% del PIB.</w:t>
      </w:r>
    </w:p>
    <w:p w:rsidR="007B53D8" w:rsidRDefault="007B53D8" w:rsidP="007B53D8">
      <w:pPr>
        <w:jc w:val="both"/>
        <w:rPr>
          <w:lang w:val="es-GT"/>
        </w:rPr>
      </w:pPr>
    </w:p>
    <w:p w:rsidR="007B53D8" w:rsidRPr="00124AD6" w:rsidRDefault="007B53D8" w:rsidP="007B53D8">
      <w:pPr>
        <w:jc w:val="both"/>
      </w:pPr>
      <w:r>
        <w:rPr>
          <w:lang w:val="es-GT"/>
        </w:rPr>
        <w:t xml:space="preserve">Con el resultado presupuestario observado en 2018 el déficit como porcentaje del PIB, se mantiene por debajo del promedio de 1.9% de los últimos 18 años. </w:t>
      </w:r>
      <w:r w:rsidRPr="00124AD6">
        <w:t>Esta situación permite seguir en una senda de consolidación fiscal y propiciar las condiciones para preservar la estabilidad macroeconómica y la sostenibilidad fiscal en el mediano plazo.</w:t>
      </w:r>
    </w:p>
    <w:p w:rsidR="007B53D8" w:rsidRPr="00124AD6" w:rsidRDefault="007B53D8" w:rsidP="007B53D8"/>
    <w:p w:rsidR="007B53D8" w:rsidRDefault="007B53D8" w:rsidP="007B53D8">
      <w:pPr>
        <w:jc w:val="both"/>
      </w:pPr>
      <w:r w:rsidRPr="00124AD6">
        <w:t>Dentro de los objetivos de la política fiscal se incluye elevar la recaudación de ingresos tributarios, combatir la evasión y el contrabando, lograr la sostenibilidad de los niveles de endeudamiento, así como alcanzar la transparencia y calidad del gasto público, enfocados en el logro de los resultados y una mejor asignación de los recursos</w:t>
      </w:r>
      <w:r>
        <w:t>, priorizando el gasto social.</w:t>
      </w:r>
    </w:p>
    <w:p w:rsidR="000A71A1" w:rsidRDefault="000A71A1">
      <w:r>
        <w:br w:type="page"/>
      </w:r>
    </w:p>
    <w:p w:rsidR="007B53D8" w:rsidRDefault="007B53D8" w:rsidP="007B53D8">
      <w:pPr>
        <w:jc w:val="both"/>
      </w:pPr>
    </w:p>
    <w:p w:rsidR="007B53D8" w:rsidRPr="00124AD6" w:rsidRDefault="007B53D8" w:rsidP="007B53D8">
      <w:pPr>
        <w:jc w:val="center"/>
        <w:rPr>
          <w:b/>
        </w:rPr>
      </w:pPr>
      <w:r w:rsidRPr="00124AD6">
        <w:rPr>
          <w:b/>
        </w:rPr>
        <w:t>Gráfica 1</w:t>
      </w:r>
      <w:r>
        <w:rPr>
          <w:b/>
        </w:rPr>
        <w:t>7</w:t>
      </w:r>
    </w:p>
    <w:p w:rsidR="007B53D8" w:rsidRPr="00124AD6" w:rsidRDefault="007B53D8" w:rsidP="007B53D8">
      <w:pPr>
        <w:pStyle w:val="NormalWeb"/>
        <w:spacing w:before="0" w:beforeAutospacing="0" w:after="0" w:afterAutospacing="0"/>
        <w:jc w:val="center"/>
        <w:rPr>
          <w:rFonts w:eastAsia="+mn-ea"/>
          <w:b/>
          <w:bCs/>
          <w:color w:val="000000"/>
          <w:kern w:val="24"/>
        </w:rPr>
      </w:pPr>
      <w:r w:rsidRPr="00124AD6">
        <w:rPr>
          <w:rFonts w:eastAsia="+mn-ea"/>
          <w:b/>
          <w:bCs/>
          <w:color w:val="000000"/>
          <w:kern w:val="24"/>
        </w:rPr>
        <w:t>Déficit de la Administración Central 2000</w:t>
      </w:r>
      <w:r>
        <w:rPr>
          <w:rFonts w:eastAsia="+mn-ea"/>
          <w:b/>
          <w:bCs/>
          <w:color w:val="000000"/>
          <w:kern w:val="24"/>
        </w:rPr>
        <w:t xml:space="preserve"> – </w:t>
      </w:r>
      <w:r w:rsidRPr="00124AD6">
        <w:rPr>
          <w:rFonts w:eastAsia="+mn-ea"/>
          <w:b/>
          <w:bCs/>
          <w:color w:val="000000"/>
          <w:kern w:val="24"/>
        </w:rPr>
        <w:t>201</w:t>
      </w:r>
      <w:r>
        <w:rPr>
          <w:rFonts w:eastAsia="+mn-ea"/>
          <w:b/>
          <w:bCs/>
          <w:color w:val="000000"/>
          <w:kern w:val="24"/>
        </w:rPr>
        <w:t>8*</w:t>
      </w:r>
    </w:p>
    <w:p w:rsidR="007B53D8" w:rsidRPr="00124AD6" w:rsidRDefault="000A71A1" w:rsidP="007B53D8">
      <w:pPr>
        <w:pStyle w:val="NormalWeb"/>
        <w:spacing w:before="0" w:beforeAutospacing="0" w:after="0" w:afterAutospacing="0"/>
        <w:jc w:val="center"/>
        <w:rPr>
          <w:rFonts w:eastAsia="+mn-ea"/>
          <w:b/>
          <w:bCs/>
          <w:color w:val="000000"/>
          <w:kern w:val="24"/>
        </w:rPr>
      </w:pPr>
      <w:r>
        <w:rPr>
          <w:rFonts w:eastAsia="+mn-ea"/>
          <w:b/>
          <w:bCs/>
          <w:color w:val="000000"/>
          <w:kern w:val="24"/>
        </w:rPr>
        <w:t>(</w:t>
      </w:r>
      <w:r w:rsidR="007B53D8">
        <w:rPr>
          <w:rFonts w:eastAsia="+mn-ea"/>
          <w:b/>
          <w:bCs/>
          <w:color w:val="000000"/>
          <w:kern w:val="24"/>
        </w:rPr>
        <w:t>Porcentajes del PIB</w:t>
      </w:r>
      <w:r>
        <w:rPr>
          <w:rFonts w:eastAsia="+mn-ea"/>
          <w:b/>
          <w:bCs/>
          <w:color w:val="000000"/>
          <w:kern w:val="24"/>
        </w:rPr>
        <w:t>)</w:t>
      </w:r>
    </w:p>
    <w:p w:rsidR="007B53D8" w:rsidRPr="00124AD6" w:rsidRDefault="007B53D8" w:rsidP="007B53D8">
      <w:pPr>
        <w:jc w:val="both"/>
      </w:pPr>
      <w:r w:rsidRPr="003B2ABC">
        <w:rPr>
          <w:b/>
          <w:noProof/>
          <w:lang w:val="es-GT" w:eastAsia="es-GT"/>
        </w:rPr>
        <w:drawing>
          <wp:inline distT="0" distB="0" distL="0" distR="0" wp14:anchorId="188BE951" wp14:editId="4A829A52">
            <wp:extent cx="5612130" cy="2634615"/>
            <wp:effectExtent l="0" t="0" r="26670" b="13335"/>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B53D8" w:rsidRDefault="007B53D8" w:rsidP="007B53D8">
      <w:pPr>
        <w:jc w:val="both"/>
        <w:rPr>
          <w:sz w:val="18"/>
          <w:lang w:val="es-GT"/>
        </w:rPr>
      </w:pPr>
      <w:r w:rsidRPr="00EA79A0">
        <w:rPr>
          <w:sz w:val="18"/>
          <w:lang w:val="es-GT"/>
        </w:rPr>
        <w:t xml:space="preserve">* Cifras </w:t>
      </w:r>
      <w:r>
        <w:rPr>
          <w:sz w:val="18"/>
          <w:lang w:val="es-GT"/>
        </w:rPr>
        <w:t>preliminares</w:t>
      </w:r>
    </w:p>
    <w:p w:rsidR="007B53D8" w:rsidRPr="00EA79A0" w:rsidRDefault="007B53D8" w:rsidP="007B53D8">
      <w:pPr>
        <w:jc w:val="both"/>
        <w:rPr>
          <w:sz w:val="18"/>
        </w:rPr>
      </w:pPr>
      <w:r w:rsidRPr="00EA79A0">
        <w:rPr>
          <w:sz w:val="18"/>
        </w:rPr>
        <w:t>Fuente: Ministerio de Finanzas Públicas</w:t>
      </w:r>
      <w:r>
        <w:rPr>
          <w:sz w:val="18"/>
        </w:rPr>
        <w:t>.</w:t>
      </w:r>
    </w:p>
    <w:p w:rsidR="007B53D8" w:rsidRPr="00124AD6" w:rsidRDefault="007B53D8" w:rsidP="007B53D8">
      <w:pPr>
        <w:jc w:val="both"/>
      </w:pPr>
    </w:p>
    <w:p w:rsidR="007B53D8" w:rsidRPr="002F3A71" w:rsidRDefault="007B53D8" w:rsidP="007B53D8">
      <w:pPr>
        <w:jc w:val="both"/>
        <w:rPr>
          <w:lang w:val="es-MX"/>
        </w:rPr>
      </w:pPr>
      <w:r w:rsidRPr="002F3A71">
        <w:rPr>
          <w:lang w:val="es-MX"/>
        </w:rPr>
        <w:t xml:space="preserve">El comportamiento en </w:t>
      </w:r>
      <w:r w:rsidR="000A71A1">
        <w:rPr>
          <w:lang w:val="es-MX"/>
        </w:rPr>
        <w:t>el</w:t>
      </w:r>
      <w:r w:rsidRPr="002F3A71">
        <w:rPr>
          <w:lang w:val="es-MX"/>
        </w:rPr>
        <w:t xml:space="preserve"> resultado financiero para 201</w:t>
      </w:r>
      <w:r>
        <w:rPr>
          <w:lang w:val="es-MX"/>
        </w:rPr>
        <w:t>8</w:t>
      </w:r>
      <w:r w:rsidRPr="002F3A71">
        <w:rPr>
          <w:lang w:val="es-MX"/>
        </w:rPr>
        <w:t xml:space="preserve">, </w:t>
      </w:r>
      <w:r w:rsidRPr="00253E46">
        <w:t>sugiere que la política fiscal fue expansiva considerando que los ingresos mostraron una reducción en términos del PIB con respecto al año anterior; por su parte el gasto público mostró un desempeño más dinámico, ambos factores propiciaron que la actividad económica tuviera una desaceleración menos aguda</w:t>
      </w:r>
      <w:r>
        <w:t>.</w:t>
      </w:r>
      <w:r w:rsidRPr="00253E46">
        <w:t xml:space="preserve"> </w:t>
      </w:r>
      <w:r>
        <w:t xml:space="preserve"> </w:t>
      </w:r>
      <w:r w:rsidRPr="00253E46">
        <w:t xml:space="preserve">A este respecto, es importante indicar el efecto que tuvo al aumento de gasto en los últimos dos meses del año que permitieron que la desaceleración económica que experimentaba la economía fuera </w:t>
      </w:r>
      <w:r>
        <w:t>menos</w:t>
      </w:r>
      <w:r w:rsidRPr="00253E46">
        <w:t xml:space="preserve"> acentuada.</w:t>
      </w:r>
    </w:p>
    <w:p w:rsidR="007B53D8" w:rsidRDefault="007B53D8" w:rsidP="007B53D8">
      <w:pPr>
        <w:jc w:val="both"/>
        <w:rPr>
          <w:lang w:val="es-MX"/>
        </w:rPr>
      </w:pPr>
    </w:p>
    <w:p w:rsidR="007B53D8" w:rsidRDefault="007B53D8" w:rsidP="007B53D8">
      <w:pPr>
        <w:jc w:val="center"/>
        <w:rPr>
          <w:b/>
        </w:rPr>
      </w:pPr>
    </w:p>
    <w:p w:rsidR="007B53D8" w:rsidRDefault="007B53D8" w:rsidP="007B53D8">
      <w:pPr>
        <w:jc w:val="center"/>
        <w:rPr>
          <w:b/>
        </w:rPr>
      </w:pPr>
    </w:p>
    <w:p w:rsidR="007B53D8" w:rsidRDefault="007B53D8" w:rsidP="007B53D8">
      <w:pPr>
        <w:jc w:val="center"/>
        <w:rPr>
          <w:b/>
        </w:rPr>
      </w:pPr>
    </w:p>
    <w:p w:rsidR="007B53D8" w:rsidRDefault="007B53D8" w:rsidP="007B53D8">
      <w:pPr>
        <w:jc w:val="center"/>
        <w:rPr>
          <w:b/>
        </w:rPr>
      </w:pPr>
    </w:p>
    <w:p w:rsidR="00802E7E" w:rsidRPr="00EC58A6" w:rsidRDefault="00802E7E" w:rsidP="00802E7E">
      <w:pPr>
        <w:rPr>
          <w:highlight w:val="yellow"/>
        </w:rPr>
      </w:pPr>
      <w:r w:rsidRPr="00EC58A6">
        <w:rPr>
          <w:highlight w:val="yellow"/>
        </w:rPr>
        <w:br w:type="page"/>
      </w:r>
    </w:p>
    <w:p w:rsidR="00842C99" w:rsidRPr="00124AD6" w:rsidRDefault="00842C99" w:rsidP="00842C99">
      <w:pPr>
        <w:pStyle w:val="NormalWeb"/>
        <w:spacing w:before="0" w:beforeAutospacing="0" w:after="0" w:afterAutospacing="0"/>
        <w:jc w:val="center"/>
        <w:rPr>
          <w:b/>
        </w:rPr>
      </w:pPr>
      <w:r w:rsidRPr="00124AD6">
        <w:rPr>
          <w:b/>
        </w:rPr>
        <w:lastRenderedPageBreak/>
        <w:t xml:space="preserve">Cuadro </w:t>
      </w:r>
      <w:r w:rsidR="00F750A4">
        <w:rPr>
          <w:b/>
        </w:rPr>
        <w:t>9</w:t>
      </w:r>
    </w:p>
    <w:p w:rsidR="00842C99" w:rsidRPr="00124AD6" w:rsidRDefault="00842C99" w:rsidP="00842C99">
      <w:pPr>
        <w:pStyle w:val="NormalWeb"/>
        <w:spacing w:before="0" w:beforeAutospacing="0" w:after="0" w:afterAutospacing="0"/>
        <w:jc w:val="center"/>
        <w:rPr>
          <w:b/>
        </w:rPr>
      </w:pPr>
      <w:r w:rsidRPr="00124AD6">
        <w:rPr>
          <w:b/>
        </w:rPr>
        <w:t>Situación Financiera de la Administración Central</w:t>
      </w:r>
    </w:p>
    <w:p w:rsidR="00842C99" w:rsidRPr="00124AD6" w:rsidRDefault="00842C99" w:rsidP="00842C99">
      <w:pPr>
        <w:pStyle w:val="NormalWeb"/>
        <w:spacing w:before="0" w:beforeAutospacing="0" w:after="0" w:afterAutospacing="0"/>
        <w:jc w:val="center"/>
        <w:rPr>
          <w:b/>
        </w:rPr>
      </w:pPr>
      <w:r w:rsidRPr="00124AD6">
        <w:rPr>
          <w:b/>
        </w:rPr>
        <w:t>Ejecución al 31 de diciembre de 201</w:t>
      </w:r>
      <w:r>
        <w:rPr>
          <w:b/>
        </w:rPr>
        <w:t>8</w:t>
      </w:r>
    </w:p>
    <w:p w:rsidR="00842C99" w:rsidRDefault="00F750A4" w:rsidP="00842C99">
      <w:pPr>
        <w:pStyle w:val="NormalWeb"/>
        <w:spacing w:before="0" w:beforeAutospacing="0" w:after="0" w:afterAutospacing="0"/>
        <w:jc w:val="center"/>
        <w:rPr>
          <w:b/>
        </w:rPr>
      </w:pPr>
      <w:r>
        <w:rPr>
          <w:b/>
        </w:rPr>
        <w:t>(</w:t>
      </w:r>
      <w:r w:rsidR="00842C99" w:rsidRPr="00124AD6">
        <w:rPr>
          <w:b/>
        </w:rPr>
        <w:t>Millones de Quetzales y Porcentaj</w:t>
      </w:r>
      <w:r w:rsidR="00842C99">
        <w:rPr>
          <w:b/>
        </w:rPr>
        <w:t>es</w:t>
      </w:r>
      <w:r>
        <w:rPr>
          <w:b/>
        </w:rPr>
        <w:t>)</w:t>
      </w:r>
    </w:p>
    <w:tbl>
      <w:tblPr>
        <w:tblW w:w="8946" w:type="dxa"/>
        <w:tblInd w:w="55" w:type="dxa"/>
        <w:tblCellMar>
          <w:left w:w="70" w:type="dxa"/>
          <w:right w:w="70" w:type="dxa"/>
        </w:tblCellMar>
        <w:tblLook w:val="04A0" w:firstRow="1" w:lastRow="0" w:firstColumn="1" w:lastColumn="0" w:noHBand="0" w:noVBand="1"/>
      </w:tblPr>
      <w:tblGrid>
        <w:gridCol w:w="4126"/>
        <w:gridCol w:w="1276"/>
        <w:gridCol w:w="1276"/>
        <w:gridCol w:w="1134"/>
        <w:gridCol w:w="1134"/>
      </w:tblGrid>
      <w:tr w:rsidR="00F750A4" w:rsidRPr="002E7D46" w:rsidTr="00F750A4">
        <w:trPr>
          <w:trHeight w:val="678"/>
        </w:trPr>
        <w:tc>
          <w:tcPr>
            <w:tcW w:w="4126" w:type="dxa"/>
            <w:tcBorders>
              <w:top w:val="single" w:sz="8" w:space="0" w:color="auto"/>
              <w:left w:val="single" w:sz="8" w:space="0" w:color="auto"/>
              <w:bottom w:val="single" w:sz="4" w:space="0" w:color="auto"/>
              <w:right w:val="single" w:sz="8" w:space="0" w:color="auto"/>
            </w:tcBorders>
            <w:shd w:val="clear" w:color="000000" w:fill="8DB4E2"/>
            <w:vAlign w:val="center"/>
            <w:hideMark/>
          </w:tcPr>
          <w:p w:rsidR="00842C99" w:rsidRPr="002E7D46" w:rsidRDefault="00842C99" w:rsidP="00E04CFB">
            <w:pPr>
              <w:jc w:val="center"/>
              <w:rPr>
                <w:rFonts w:ascii="CG Times" w:hAnsi="CG Times" w:cs="Arial"/>
                <w:b/>
                <w:bCs/>
                <w:sz w:val="20"/>
                <w:szCs w:val="20"/>
                <w:lang w:val="es-GT" w:eastAsia="es-GT"/>
              </w:rPr>
            </w:pPr>
            <w:r w:rsidRPr="002E7D46">
              <w:rPr>
                <w:rFonts w:ascii="CG Times" w:hAnsi="CG Times" w:cs="Arial"/>
                <w:b/>
                <w:bCs/>
                <w:sz w:val="20"/>
                <w:szCs w:val="20"/>
                <w:lang w:val="es-GT" w:eastAsia="es-GT"/>
              </w:rPr>
              <w:t>Concepto</w:t>
            </w:r>
          </w:p>
        </w:tc>
        <w:tc>
          <w:tcPr>
            <w:tcW w:w="1276" w:type="dxa"/>
            <w:tcBorders>
              <w:top w:val="single" w:sz="8" w:space="0" w:color="auto"/>
              <w:left w:val="nil"/>
              <w:bottom w:val="single" w:sz="4" w:space="0" w:color="auto"/>
              <w:right w:val="single" w:sz="4" w:space="0" w:color="auto"/>
            </w:tcBorders>
            <w:shd w:val="clear" w:color="000000" w:fill="8DB4E2"/>
            <w:noWrap/>
            <w:vAlign w:val="center"/>
            <w:hideMark/>
          </w:tcPr>
          <w:p w:rsidR="00842C99" w:rsidRPr="002E7D46" w:rsidRDefault="00842C99" w:rsidP="00F750A4">
            <w:pPr>
              <w:jc w:val="center"/>
              <w:rPr>
                <w:rFonts w:ascii="CG Times" w:hAnsi="CG Times" w:cs="Arial"/>
                <w:b/>
                <w:bCs/>
                <w:sz w:val="20"/>
                <w:szCs w:val="20"/>
                <w:lang w:val="es-GT" w:eastAsia="es-GT"/>
              </w:rPr>
            </w:pPr>
            <w:r w:rsidRPr="002E7D46">
              <w:rPr>
                <w:rFonts w:ascii="CG Times" w:hAnsi="CG Times" w:cs="Arial"/>
                <w:b/>
                <w:bCs/>
                <w:sz w:val="20"/>
                <w:szCs w:val="20"/>
                <w:lang w:val="es-GT" w:eastAsia="es-GT"/>
              </w:rPr>
              <w:t>A</w:t>
            </w:r>
            <w:r w:rsidR="00F750A4">
              <w:rPr>
                <w:rFonts w:ascii="CG Times" w:hAnsi="CG Times" w:cs="Arial"/>
                <w:b/>
                <w:bCs/>
                <w:sz w:val="20"/>
                <w:szCs w:val="20"/>
                <w:lang w:val="es-GT" w:eastAsia="es-GT"/>
              </w:rPr>
              <w:t>probado</w:t>
            </w:r>
          </w:p>
        </w:tc>
        <w:tc>
          <w:tcPr>
            <w:tcW w:w="1276" w:type="dxa"/>
            <w:tcBorders>
              <w:top w:val="single" w:sz="8" w:space="0" w:color="auto"/>
              <w:left w:val="nil"/>
              <w:bottom w:val="single" w:sz="4" w:space="0" w:color="auto"/>
              <w:right w:val="nil"/>
            </w:tcBorders>
            <w:shd w:val="clear" w:color="000000" w:fill="8DB4E2"/>
            <w:noWrap/>
            <w:vAlign w:val="center"/>
            <w:hideMark/>
          </w:tcPr>
          <w:p w:rsidR="00842C99" w:rsidRPr="002E7D46" w:rsidRDefault="00842C99" w:rsidP="00E04CFB">
            <w:pPr>
              <w:jc w:val="center"/>
              <w:rPr>
                <w:rFonts w:ascii="CG Times" w:hAnsi="CG Times" w:cs="Arial"/>
                <w:b/>
                <w:bCs/>
                <w:sz w:val="20"/>
                <w:szCs w:val="20"/>
                <w:lang w:val="es-GT" w:eastAsia="es-GT"/>
              </w:rPr>
            </w:pPr>
            <w:r w:rsidRPr="002E7D46">
              <w:rPr>
                <w:rFonts w:ascii="CG Times" w:hAnsi="CG Times" w:cs="Arial"/>
                <w:b/>
                <w:bCs/>
                <w:sz w:val="20"/>
                <w:szCs w:val="20"/>
                <w:lang w:val="es-GT" w:eastAsia="es-GT"/>
              </w:rPr>
              <w:t xml:space="preserve">Vigente </w:t>
            </w:r>
          </w:p>
        </w:tc>
        <w:tc>
          <w:tcPr>
            <w:tcW w:w="1134" w:type="dxa"/>
            <w:tcBorders>
              <w:top w:val="single" w:sz="8" w:space="0" w:color="auto"/>
              <w:left w:val="single" w:sz="4" w:space="0" w:color="auto"/>
              <w:bottom w:val="single" w:sz="4" w:space="0" w:color="auto"/>
              <w:right w:val="single" w:sz="4" w:space="0" w:color="auto"/>
            </w:tcBorders>
            <w:shd w:val="clear" w:color="000000" w:fill="8DB4E2"/>
            <w:vAlign w:val="center"/>
            <w:hideMark/>
          </w:tcPr>
          <w:p w:rsidR="00842C99" w:rsidRPr="002E7D46" w:rsidRDefault="00842C99" w:rsidP="00E04CFB">
            <w:pPr>
              <w:jc w:val="center"/>
              <w:rPr>
                <w:rFonts w:ascii="CG Times" w:hAnsi="CG Times" w:cs="Arial"/>
                <w:b/>
                <w:bCs/>
                <w:sz w:val="20"/>
                <w:szCs w:val="20"/>
                <w:lang w:val="es-GT" w:eastAsia="es-GT"/>
              </w:rPr>
            </w:pPr>
            <w:r w:rsidRPr="002E7D46">
              <w:rPr>
                <w:rFonts w:ascii="CG Times" w:hAnsi="CG Times" w:cs="Arial"/>
                <w:b/>
                <w:bCs/>
                <w:sz w:val="20"/>
                <w:szCs w:val="20"/>
                <w:lang w:val="es-GT" w:eastAsia="es-GT"/>
              </w:rPr>
              <w:t>Ejecutado</w:t>
            </w:r>
          </w:p>
        </w:tc>
        <w:tc>
          <w:tcPr>
            <w:tcW w:w="1134" w:type="dxa"/>
            <w:tcBorders>
              <w:top w:val="single" w:sz="8" w:space="0" w:color="auto"/>
              <w:left w:val="nil"/>
              <w:bottom w:val="single" w:sz="4" w:space="0" w:color="auto"/>
              <w:right w:val="single" w:sz="8" w:space="0" w:color="auto"/>
            </w:tcBorders>
            <w:shd w:val="clear" w:color="000000" w:fill="8DB4E2"/>
            <w:vAlign w:val="center"/>
            <w:hideMark/>
          </w:tcPr>
          <w:p w:rsidR="00842C99" w:rsidRPr="002E7D46" w:rsidRDefault="00842C99" w:rsidP="00F750A4">
            <w:pPr>
              <w:jc w:val="center"/>
              <w:rPr>
                <w:rFonts w:ascii="CG Times" w:hAnsi="CG Times" w:cs="Arial"/>
                <w:b/>
                <w:bCs/>
                <w:sz w:val="20"/>
                <w:szCs w:val="20"/>
                <w:lang w:val="es-GT" w:eastAsia="es-GT"/>
              </w:rPr>
            </w:pPr>
            <w:r w:rsidRPr="002E7D46">
              <w:rPr>
                <w:rFonts w:ascii="CG Times" w:hAnsi="CG Times" w:cs="Arial"/>
                <w:b/>
                <w:bCs/>
                <w:sz w:val="20"/>
                <w:szCs w:val="20"/>
                <w:lang w:val="es-GT" w:eastAsia="es-GT"/>
              </w:rPr>
              <w:t>%</w:t>
            </w:r>
            <w:r w:rsidR="00F750A4">
              <w:rPr>
                <w:rFonts w:ascii="CG Times" w:hAnsi="CG Times" w:cs="Arial"/>
                <w:b/>
                <w:bCs/>
                <w:sz w:val="20"/>
                <w:szCs w:val="20"/>
                <w:lang w:val="es-GT" w:eastAsia="es-GT"/>
              </w:rPr>
              <w:t xml:space="preserve"> de </w:t>
            </w:r>
            <w:r w:rsidRPr="002E7D46">
              <w:rPr>
                <w:rFonts w:ascii="CG Times" w:hAnsi="CG Times" w:cs="Arial"/>
                <w:b/>
                <w:bCs/>
                <w:sz w:val="20"/>
                <w:szCs w:val="20"/>
                <w:lang w:val="es-GT" w:eastAsia="es-GT"/>
              </w:rPr>
              <w:t>Ejec</w:t>
            </w:r>
            <w:r w:rsidR="00F750A4">
              <w:rPr>
                <w:rFonts w:ascii="CG Times" w:hAnsi="CG Times" w:cs="Arial"/>
                <w:b/>
                <w:bCs/>
                <w:sz w:val="20"/>
                <w:szCs w:val="20"/>
                <w:lang w:val="es-GT" w:eastAsia="es-GT"/>
              </w:rPr>
              <w:t>ución</w:t>
            </w:r>
          </w:p>
        </w:tc>
      </w:tr>
      <w:tr w:rsidR="00F750A4" w:rsidRPr="002E7D46" w:rsidTr="00F750A4">
        <w:trPr>
          <w:trHeight w:val="330"/>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rPr>
                <w:rFonts w:ascii="CG Times" w:hAnsi="CG Times" w:cs="Arial"/>
                <w:b/>
                <w:bCs/>
                <w:sz w:val="20"/>
                <w:szCs w:val="20"/>
                <w:lang w:val="es-GT" w:eastAsia="es-GT"/>
              </w:rPr>
            </w:pPr>
            <w:r w:rsidRPr="002E7D46">
              <w:rPr>
                <w:rFonts w:ascii="CG Times" w:hAnsi="CG Times" w:cs="Arial"/>
                <w:b/>
                <w:bCs/>
                <w:sz w:val="20"/>
                <w:szCs w:val="20"/>
                <w:lang w:val="es-GT" w:eastAsia="es-GT"/>
              </w:rPr>
              <w:t xml:space="preserve">Ingresos Totales </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b/>
                <w:bCs/>
                <w:sz w:val="20"/>
                <w:szCs w:val="20"/>
                <w:lang w:val="es-GT" w:eastAsia="es-GT"/>
              </w:rPr>
            </w:pPr>
            <w:r w:rsidRPr="002E7D46">
              <w:rPr>
                <w:rFonts w:ascii="CG Times" w:hAnsi="CG Times" w:cs="Arial"/>
                <w:b/>
                <w:bCs/>
                <w:sz w:val="20"/>
                <w:szCs w:val="20"/>
                <w:lang w:val="es-GT" w:eastAsia="es-GT"/>
              </w:rPr>
              <w:t>63,262.1</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b/>
                <w:bCs/>
                <w:sz w:val="20"/>
                <w:szCs w:val="20"/>
                <w:lang w:val="es-GT" w:eastAsia="es-GT"/>
              </w:rPr>
            </w:pPr>
            <w:r w:rsidRPr="002E7D46">
              <w:rPr>
                <w:rFonts w:ascii="CG Times" w:hAnsi="CG Times" w:cs="Arial"/>
                <w:b/>
                <w:bCs/>
                <w:sz w:val="20"/>
                <w:szCs w:val="20"/>
                <w:lang w:val="es-GT" w:eastAsia="es-GT"/>
              </w:rPr>
              <w:t>63,262.1</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b/>
                <w:bCs/>
                <w:sz w:val="20"/>
                <w:szCs w:val="20"/>
                <w:lang w:val="es-GT" w:eastAsia="es-GT"/>
              </w:rPr>
            </w:pPr>
            <w:r w:rsidRPr="002E7D46">
              <w:rPr>
                <w:rFonts w:ascii="CG Times" w:hAnsi="CG Times" w:cs="Arial"/>
                <w:b/>
                <w:bCs/>
                <w:sz w:val="20"/>
                <w:szCs w:val="20"/>
                <w:lang w:val="es-GT" w:eastAsia="es-GT"/>
              </w:rPr>
              <w:t>62,334.7</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b/>
                <w:bCs/>
                <w:sz w:val="20"/>
                <w:szCs w:val="20"/>
                <w:lang w:val="es-GT" w:eastAsia="es-GT"/>
              </w:rPr>
            </w:pPr>
            <w:r w:rsidRPr="002E7D46">
              <w:rPr>
                <w:rFonts w:ascii="CG Times" w:hAnsi="CG Times" w:cs="Arial"/>
                <w:b/>
                <w:bCs/>
                <w:sz w:val="20"/>
                <w:szCs w:val="20"/>
                <w:lang w:val="es-GT" w:eastAsia="es-GT"/>
              </w:rPr>
              <w:t>98.5</w:t>
            </w:r>
          </w:p>
        </w:tc>
      </w:tr>
      <w:tr w:rsidR="00F750A4" w:rsidRPr="002E7D46" w:rsidTr="00F750A4">
        <w:trPr>
          <w:trHeight w:val="285"/>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100" w:firstLine="200"/>
              <w:rPr>
                <w:rFonts w:ascii="CG Times" w:hAnsi="CG Times" w:cs="Arial"/>
                <w:sz w:val="20"/>
                <w:szCs w:val="20"/>
                <w:lang w:val="es-GT" w:eastAsia="es-GT"/>
              </w:rPr>
            </w:pPr>
            <w:r w:rsidRPr="002E7D46">
              <w:rPr>
                <w:rFonts w:ascii="CG Times" w:hAnsi="CG Times" w:cs="Arial"/>
                <w:sz w:val="20"/>
                <w:szCs w:val="20"/>
                <w:lang w:val="es-GT" w:eastAsia="es-GT"/>
              </w:rPr>
              <w:t>Ingresos Corrientes</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63,257.2</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63,257.2</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62,331.9</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98.5</w:t>
            </w:r>
          </w:p>
        </w:tc>
      </w:tr>
      <w:tr w:rsidR="00F750A4" w:rsidRPr="002E7D46" w:rsidTr="00F750A4">
        <w:trPr>
          <w:trHeight w:val="330"/>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200" w:firstLine="400"/>
              <w:rPr>
                <w:rFonts w:ascii="CG Times" w:hAnsi="CG Times" w:cs="Arial"/>
                <w:sz w:val="20"/>
                <w:szCs w:val="20"/>
                <w:lang w:val="es-GT" w:eastAsia="es-GT"/>
              </w:rPr>
            </w:pPr>
            <w:r w:rsidRPr="002E7D46">
              <w:rPr>
                <w:rFonts w:ascii="CG Times" w:hAnsi="CG Times" w:cs="Arial"/>
                <w:sz w:val="20"/>
                <w:szCs w:val="20"/>
                <w:lang w:val="es-GT" w:eastAsia="es-GT"/>
              </w:rPr>
              <w:t>Ingresos Tributarios</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57,994.8</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57,994.8</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58,835.6</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101.4</w:t>
            </w:r>
          </w:p>
        </w:tc>
      </w:tr>
      <w:tr w:rsidR="00F750A4" w:rsidRPr="002E7D46" w:rsidTr="00F750A4">
        <w:trPr>
          <w:trHeight w:val="360"/>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300" w:firstLine="600"/>
              <w:rPr>
                <w:rFonts w:ascii="CG Times" w:hAnsi="CG Times" w:cs="Arial"/>
                <w:sz w:val="20"/>
                <w:szCs w:val="20"/>
                <w:lang w:val="es-GT" w:eastAsia="es-GT"/>
              </w:rPr>
            </w:pPr>
            <w:r w:rsidRPr="002E7D46">
              <w:rPr>
                <w:rFonts w:ascii="CG Times" w:hAnsi="CG Times" w:cs="Arial"/>
                <w:sz w:val="20"/>
                <w:szCs w:val="20"/>
                <w:lang w:val="es-GT" w:eastAsia="es-GT"/>
              </w:rPr>
              <w:t>Impuestos Directos</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color w:val="000000"/>
                <w:sz w:val="20"/>
                <w:szCs w:val="20"/>
                <w:lang w:val="es-GT" w:eastAsia="es-GT"/>
              </w:rPr>
            </w:pPr>
            <w:r w:rsidRPr="002E7D46">
              <w:rPr>
                <w:rFonts w:ascii="CG Times" w:hAnsi="CG Times" w:cs="Arial"/>
                <w:color w:val="000000"/>
                <w:sz w:val="20"/>
                <w:szCs w:val="20"/>
                <w:lang w:val="es-GT" w:eastAsia="es-GT"/>
              </w:rPr>
              <w:t>21,004.3</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color w:val="000000"/>
                <w:sz w:val="20"/>
                <w:szCs w:val="20"/>
                <w:lang w:val="es-GT" w:eastAsia="es-GT"/>
              </w:rPr>
            </w:pPr>
            <w:r w:rsidRPr="002E7D46">
              <w:rPr>
                <w:rFonts w:ascii="CG Times" w:hAnsi="CG Times" w:cs="Arial"/>
                <w:color w:val="000000"/>
                <w:sz w:val="20"/>
                <w:szCs w:val="20"/>
                <w:lang w:val="es-GT" w:eastAsia="es-GT"/>
              </w:rPr>
              <w:t>21,004.3</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20,920.7</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99.6</w:t>
            </w:r>
          </w:p>
        </w:tc>
      </w:tr>
      <w:tr w:rsidR="00F750A4" w:rsidRPr="002E7D46" w:rsidTr="00F750A4">
        <w:trPr>
          <w:trHeight w:val="270"/>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300" w:firstLine="600"/>
              <w:rPr>
                <w:rFonts w:ascii="CG Times" w:hAnsi="CG Times" w:cs="Arial"/>
                <w:sz w:val="20"/>
                <w:szCs w:val="20"/>
                <w:lang w:val="es-GT" w:eastAsia="es-GT"/>
              </w:rPr>
            </w:pPr>
            <w:r w:rsidRPr="002E7D46">
              <w:rPr>
                <w:rFonts w:ascii="CG Times" w:hAnsi="CG Times" w:cs="Arial"/>
                <w:sz w:val="20"/>
                <w:szCs w:val="20"/>
                <w:lang w:val="es-GT" w:eastAsia="es-GT"/>
              </w:rPr>
              <w:t>Impuestos Indirectos</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36,990.5</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36,990.5</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37,914.9</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102.5</w:t>
            </w:r>
          </w:p>
        </w:tc>
      </w:tr>
      <w:tr w:rsidR="00F750A4" w:rsidRPr="002E7D46" w:rsidTr="00F750A4">
        <w:trPr>
          <w:trHeight w:val="255"/>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400" w:firstLine="800"/>
              <w:rPr>
                <w:rFonts w:ascii="CG Times" w:hAnsi="CG Times" w:cs="Arial"/>
                <w:sz w:val="20"/>
                <w:szCs w:val="20"/>
                <w:lang w:val="es-GT" w:eastAsia="es-GT"/>
              </w:rPr>
            </w:pPr>
            <w:r w:rsidRPr="002E7D46">
              <w:rPr>
                <w:rFonts w:ascii="CG Times" w:hAnsi="CG Times" w:cs="Arial"/>
                <w:sz w:val="20"/>
                <w:szCs w:val="20"/>
                <w:lang w:val="es-GT" w:eastAsia="es-GT"/>
              </w:rPr>
              <w:t>Impuesto al Valor Agregado</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25,353.2</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25,353.2</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27,732.5</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109.4</w:t>
            </w:r>
          </w:p>
        </w:tc>
      </w:tr>
      <w:tr w:rsidR="00F750A4" w:rsidRPr="002E7D46" w:rsidTr="00F750A4">
        <w:trPr>
          <w:trHeight w:val="405"/>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200" w:firstLine="400"/>
              <w:rPr>
                <w:rFonts w:ascii="CG Times" w:hAnsi="CG Times" w:cs="Arial"/>
                <w:sz w:val="20"/>
                <w:szCs w:val="20"/>
                <w:lang w:val="es-GT" w:eastAsia="es-GT"/>
              </w:rPr>
            </w:pPr>
            <w:r w:rsidRPr="002E7D46">
              <w:rPr>
                <w:rFonts w:ascii="CG Times" w:hAnsi="CG Times" w:cs="Arial"/>
                <w:sz w:val="20"/>
                <w:szCs w:val="20"/>
                <w:lang w:val="es-GT" w:eastAsia="es-GT"/>
              </w:rPr>
              <w:t xml:space="preserve">No Tributarios y Transferencias </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color w:val="000000"/>
                <w:sz w:val="20"/>
                <w:szCs w:val="20"/>
                <w:lang w:val="es-GT" w:eastAsia="es-GT"/>
              </w:rPr>
            </w:pPr>
            <w:r w:rsidRPr="002E7D46">
              <w:rPr>
                <w:rFonts w:ascii="CG Times" w:hAnsi="CG Times" w:cs="Arial"/>
                <w:color w:val="000000"/>
                <w:sz w:val="20"/>
                <w:szCs w:val="20"/>
                <w:lang w:val="es-GT" w:eastAsia="es-GT"/>
              </w:rPr>
              <w:t>5,262.4</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color w:val="000000"/>
                <w:sz w:val="20"/>
                <w:szCs w:val="20"/>
                <w:lang w:val="es-GT" w:eastAsia="es-GT"/>
              </w:rPr>
            </w:pPr>
            <w:r w:rsidRPr="002E7D46">
              <w:rPr>
                <w:rFonts w:ascii="CG Times" w:hAnsi="CG Times" w:cs="Arial"/>
                <w:color w:val="000000"/>
                <w:sz w:val="20"/>
                <w:szCs w:val="20"/>
                <w:lang w:val="es-GT" w:eastAsia="es-GT"/>
              </w:rPr>
              <w:t>5,262.4</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3,496.3</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66.4</w:t>
            </w:r>
          </w:p>
        </w:tc>
      </w:tr>
      <w:tr w:rsidR="00F750A4" w:rsidRPr="002E7D46" w:rsidTr="00F750A4">
        <w:trPr>
          <w:trHeight w:val="330"/>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100" w:firstLine="200"/>
              <w:rPr>
                <w:rFonts w:ascii="CG Times" w:hAnsi="CG Times" w:cs="Arial"/>
                <w:sz w:val="20"/>
                <w:szCs w:val="20"/>
                <w:lang w:val="es-GT" w:eastAsia="es-GT"/>
              </w:rPr>
            </w:pPr>
            <w:r w:rsidRPr="002E7D46">
              <w:rPr>
                <w:rFonts w:ascii="CG Times" w:hAnsi="CG Times" w:cs="Arial"/>
                <w:sz w:val="20"/>
                <w:szCs w:val="20"/>
                <w:lang w:val="es-GT" w:eastAsia="es-GT"/>
              </w:rPr>
              <w:t>Ingresos de Capital</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4.9</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4.9</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2.8</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57.4</w:t>
            </w:r>
          </w:p>
        </w:tc>
      </w:tr>
      <w:tr w:rsidR="00F750A4" w:rsidRPr="002E7D46" w:rsidTr="00F750A4">
        <w:trPr>
          <w:trHeight w:val="420"/>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rPr>
                <w:rFonts w:ascii="CG Times" w:hAnsi="CG Times" w:cs="Arial"/>
                <w:b/>
                <w:bCs/>
                <w:sz w:val="20"/>
                <w:szCs w:val="20"/>
                <w:lang w:val="es-GT" w:eastAsia="es-GT"/>
              </w:rPr>
            </w:pPr>
            <w:r w:rsidRPr="002E7D46">
              <w:rPr>
                <w:rFonts w:ascii="CG Times" w:hAnsi="CG Times" w:cs="Arial"/>
                <w:b/>
                <w:bCs/>
                <w:sz w:val="20"/>
                <w:szCs w:val="20"/>
                <w:lang w:val="es-GT" w:eastAsia="es-GT"/>
              </w:rPr>
              <w:t>Gastos Totales</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b/>
                <w:bCs/>
                <w:sz w:val="20"/>
                <w:szCs w:val="20"/>
                <w:lang w:val="es-GT" w:eastAsia="es-GT"/>
              </w:rPr>
            </w:pPr>
            <w:r w:rsidRPr="002E7D46">
              <w:rPr>
                <w:rFonts w:ascii="CG Times" w:hAnsi="CG Times" w:cs="Arial"/>
                <w:b/>
                <w:bCs/>
                <w:sz w:val="20"/>
                <w:szCs w:val="20"/>
                <w:lang w:val="es-GT" w:eastAsia="es-GT"/>
              </w:rPr>
              <w:t>72,433.7</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b/>
                <w:bCs/>
                <w:sz w:val="20"/>
                <w:szCs w:val="20"/>
                <w:lang w:val="es-GT" w:eastAsia="es-GT"/>
              </w:rPr>
            </w:pPr>
            <w:r w:rsidRPr="002E7D46">
              <w:rPr>
                <w:rFonts w:ascii="CG Times" w:hAnsi="CG Times" w:cs="Arial"/>
                <w:b/>
                <w:bCs/>
                <w:sz w:val="20"/>
                <w:szCs w:val="20"/>
                <w:lang w:val="es-GT" w:eastAsia="es-GT"/>
              </w:rPr>
              <w:t>75,821.0</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b/>
                <w:bCs/>
                <w:sz w:val="20"/>
                <w:szCs w:val="20"/>
                <w:lang w:val="es-GT" w:eastAsia="es-GT"/>
              </w:rPr>
            </w:pPr>
            <w:r w:rsidRPr="002E7D46">
              <w:rPr>
                <w:rFonts w:ascii="CG Times" w:hAnsi="CG Times" w:cs="Arial"/>
                <w:b/>
                <w:bCs/>
                <w:sz w:val="20"/>
                <w:szCs w:val="20"/>
                <w:lang w:val="es-GT" w:eastAsia="es-GT"/>
              </w:rPr>
              <w:t>72,710.5</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b/>
                <w:bCs/>
                <w:sz w:val="20"/>
                <w:szCs w:val="20"/>
                <w:lang w:val="es-GT" w:eastAsia="es-GT"/>
              </w:rPr>
            </w:pPr>
            <w:r w:rsidRPr="002E7D46">
              <w:rPr>
                <w:rFonts w:ascii="CG Times" w:hAnsi="CG Times" w:cs="Arial"/>
                <w:b/>
                <w:bCs/>
                <w:sz w:val="20"/>
                <w:szCs w:val="20"/>
                <w:lang w:val="es-GT" w:eastAsia="es-GT"/>
              </w:rPr>
              <w:t>95.9</w:t>
            </w:r>
          </w:p>
        </w:tc>
      </w:tr>
      <w:tr w:rsidR="00F750A4" w:rsidRPr="002E7D46" w:rsidTr="00F750A4">
        <w:trPr>
          <w:trHeight w:val="390"/>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100" w:firstLine="200"/>
              <w:rPr>
                <w:rFonts w:ascii="CG Times" w:hAnsi="CG Times" w:cs="Arial"/>
                <w:sz w:val="20"/>
                <w:szCs w:val="20"/>
                <w:lang w:val="es-GT" w:eastAsia="es-GT"/>
              </w:rPr>
            </w:pPr>
            <w:r w:rsidRPr="002E7D46">
              <w:rPr>
                <w:rFonts w:ascii="CG Times" w:hAnsi="CG Times" w:cs="Arial"/>
                <w:sz w:val="20"/>
                <w:szCs w:val="20"/>
                <w:lang w:val="es-GT" w:eastAsia="es-GT"/>
              </w:rPr>
              <w:t>Gastos Corrientes</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58,777.0</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60,269.8</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58,355.5</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96.8</w:t>
            </w:r>
          </w:p>
        </w:tc>
      </w:tr>
      <w:tr w:rsidR="00F750A4" w:rsidRPr="002E7D46" w:rsidTr="00F750A4">
        <w:trPr>
          <w:trHeight w:val="255"/>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200" w:firstLine="400"/>
              <w:rPr>
                <w:rFonts w:ascii="CG Times" w:hAnsi="CG Times" w:cs="Arial"/>
                <w:sz w:val="20"/>
                <w:szCs w:val="20"/>
                <w:lang w:val="es-GT" w:eastAsia="es-GT"/>
              </w:rPr>
            </w:pPr>
            <w:r w:rsidRPr="002E7D46">
              <w:rPr>
                <w:rFonts w:ascii="CG Times" w:hAnsi="CG Times" w:cs="Arial"/>
                <w:sz w:val="20"/>
                <w:szCs w:val="20"/>
                <w:lang w:val="es-GT" w:eastAsia="es-GT"/>
              </w:rPr>
              <w:t>Intereses</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color w:val="000000"/>
                <w:sz w:val="20"/>
                <w:szCs w:val="20"/>
                <w:lang w:val="es-GT" w:eastAsia="es-GT"/>
              </w:rPr>
            </w:pPr>
            <w:r w:rsidRPr="002E7D46">
              <w:rPr>
                <w:rFonts w:ascii="CG Times" w:hAnsi="CG Times" w:cs="Arial"/>
                <w:color w:val="000000"/>
                <w:sz w:val="20"/>
                <w:szCs w:val="20"/>
                <w:lang w:val="es-GT" w:eastAsia="es-GT"/>
              </w:rPr>
              <w:t>7,540.3</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color w:val="000000"/>
                <w:sz w:val="20"/>
                <w:szCs w:val="20"/>
                <w:lang w:val="es-GT" w:eastAsia="es-GT"/>
              </w:rPr>
            </w:pPr>
            <w:r w:rsidRPr="002E7D46">
              <w:rPr>
                <w:rFonts w:ascii="CG Times" w:hAnsi="CG Times" w:cs="Arial"/>
                <w:color w:val="000000"/>
                <w:sz w:val="20"/>
                <w:szCs w:val="20"/>
                <w:lang w:val="es-GT" w:eastAsia="es-GT"/>
              </w:rPr>
              <w:t>8,499.0</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8,483.6</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99.8</w:t>
            </w:r>
          </w:p>
        </w:tc>
      </w:tr>
      <w:tr w:rsidR="00F750A4" w:rsidRPr="002E7D46" w:rsidTr="00F750A4">
        <w:trPr>
          <w:trHeight w:val="255"/>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300" w:firstLine="600"/>
              <w:rPr>
                <w:rFonts w:ascii="CG Times" w:hAnsi="CG Times" w:cs="Arial"/>
                <w:sz w:val="20"/>
                <w:szCs w:val="20"/>
                <w:lang w:val="es-GT" w:eastAsia="es-GT"/>
              </w:rPr>
            </w:pPr>
            <w:r w:rsidRPr="002E7D46">
              <w:rPr>
                <w:rFonts w:ascii="CG Times" w:hAnsi="CG Times" w:cs="Arial"/>
                <w:sz w:val="20"/>
                <w:szCs w:val="20"/>
                <w:lang w:val="es-GT" w:eastAsia="es-GT"/>
              </w:rPr>
              <w:t>Deuda  interna</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color w:val="000000"/>
                <w:sz w:val="20"/>
                <w:szCs w:val="20"/>
                <w:lang w:val="es-GT" w:eastAsia="es-GT"/>
              </w:rPr>
            </w:pPr>
            <w:r w:rsidRPr="002E7D46">
              <w:rPr>
                <w:rFonts w:ascii="CG Times" w:hAnsi="CG Times" w:cs="Arial"/>
                <w:color w:val="000000"/>
                <w:sz w:val="20"/>
                <w:szCs w:val="20"/>
                <w:lang w:val="es-GT" w:eastAsia="es-GT"/>
              </w:rPr>
              <w:t>4,663.7</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color w:val="000000"/>
                <w:sz w:val="20"/>
                <w:szCs w:val="20"/>
                <w:lang w:val="es-GT" w:eastAsia="es-GT"/>
              </w:rPr>
            </w:pPr>
            <w:r w:rsidRPr="002E7D46">
              <w:rPr>
                <w:rFonts w:ascii="CG Times" w:hAnsi="CG Times" w:cs="Arial"/>
                <w:color w:val="000000"/>
                <w:sz w:val="20"/>
                <w:szCs w:val="20"/>
                <w:lang w:val="es-GT" w:eastAsia="es-GT"/>
              </w:rPr>
              <w:t>5,747.9</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5,744.8</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99.9</w:t>
            </w:r>
          </w:p>
        </w:tc>
      </w:tr>
      <w:tr w:rsidR="00F750A4" w:rsidRPr="002E7D46" w:rsidTr="00F750A4">
        <w:trPr>
          <w:trHeight w:val="255"/>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300" w:firstLine="600"/>
              <w:rPr>
                <w:rFonts w:ascii="CG Times" w:hAnsi="CG Times" w:cs="Arial"/>
                <w:sz w:val="20"/>
                <w:szCs w:val="20"/>
                <w:lang w:val="es-GT" w:eastAsia="es-GT"/>
              </w:rPr>
            </w:pPr>
            <w:r w:rsidRPr="002E7D46">
              <w:rPr>
                <w:rFonts w:ascii="CG Times" w:hAnsi="CG Times" w:cs="Arial"/>
                <w:sz w:val="20"/>
                <w:szCs w:val="20"/>
                <w:lang w:val="es-GT" w:eastAsia="es-GT"/>
              </w:rPr>
              <w:t>Deuda externa</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color w:val="000000"/>
                <w:sz w:val="20"/>
                <w:szCs w:val="20"/>
                <w:lang w:val="es-GT" w:eastAsia="es-GT"/>
              </w:rPr>
            </w:pPr>
            <w:r w:rsidRPr="002E7D46">
              <w:rPr>
                <w:rFonts w:ascii="CG Times" w:hAnsi="CG Times" w:cs="Arial"/>
                <w:color w:val="000000"/>
                <w:sz w:val="20"/>
                <w:szCs w:val="20"/>
                <w:lang w:val="es-GT" w:eastAsia="es-GT"/>
              </w:rPr>
              <w:t>2,876.5</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color w:val="000000"/>
                <w:sz w:val="20"/>
                <w:szCs w:val="20"/>
                <w:lang w:val="es-GT" w:eastAsia="es-GT"/>
              </w:rPr>
            </w:pPr>
            <w:r w:rsidRPr="002E7D46">
              <w:rPr>
                <w:rFonts w:ascii="CG Times" w:hAnsi="CG Times" w:cs="Arial"/>
                <w:color w:val="000000"/>
                <w:sz w:val="20"/>
                <w:szCs w:val="20"/>
                <w:lang w:val="es-GT" w:eastAsia="es-GT"/>
              </w:rPr>
              <w:t>2,751.1</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2,738.7</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99.6</w:t>
            </w:r>
          </w:p>
        </w:tc>
      </w:tr>
      <w:tr w:rsidR="00F750A4" w:rsidRPr="002E7D46" w:rsidTr="00F750A4">
        <w:trPr>
          <w:trHeight w:val="255"/>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400" w:firstLine="800"/>
              <w:rPr>
                <w:rFonts w:ascii="CG Times" w:hAnsi="CG Times" w:cs="Arial"/>
                <w:sz w:val="20"/>
                <w:szCs w:val="20"/>
                <w:lang w:val="es-GT" w:eastAsia="es-GT"/>
              </w:rPr>
            </w:pPr>
            <w:r w:rsidRPr="002E7D46">
              <w:rPr>
                <w:rFonts w:ascii="CG Times" w:hAnsi="CG Times" w:cs="Arial"/>
                <w:sz w:val="20"/>
                <w:szCs w:val="20"/>
                <w:lang w:val="es-GT" w:eastAsia="es-GT"/>
              </w:rPr>
              <w:t>Préstamos</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color w:val="000000"/>
                <w:sz w:val="20"/>
                <w:szCs w:val="20"/>
                <w:lang w:val="es-GT" w:eastAsia="es-GT"/>
              </w:rPr>
            </w:pPr>
            <w:r w:rsidRPr="002E7D46">
              <w:rPr>
                <w:rFonts w:ascii="CG Times" w:hAnsi="CG Times" w:cs="Arial"/>
                <w:color w:val="000000"/>
                <w:sz w:val="20"/>
                <w:szCs w:val="20"/>
                <w:lang w:val="es-GT" w:eastAsia="es-GT"/>
              </w:rPr>
              <w:t>1,815.0</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color w:val="000000"/>
                <w:sz w:val="20"/>
                <w:szCs w:val="20"/>
                <w:lang w:val="es-GT" w:eastAsia="es-GT"/>
              </w:rPr>
            </w:pPr>
            <w:r w:rsidRPr="002E7D46">
              <w:rPr>
                <w:rFonts w:ascii="CG Times" w:hAnsi="CG Times" w:cs="Arial"/>
                <w:color w:val="000000"/>
                <w:sz w:val="20"/>
                <w:szCs w:val="20"/>
                <w:lang w:val="es-GT" w:eastAsia="es-GT"/>
              </w:rPr>
              <w:t>1,580.6</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1,554.7</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98.4</w:t>
            </w:r>
          </w:p>
        </w:tc>
      </w:tr>
      <w:tr w:rsidR="00F750A4" w:rsidRPr="002E7D46" w:rsidTr="00F750A4">
        <w:trPr>
          <w:trHeight w:val="255"/>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400" w:firstLine="800"/>
              <w:rPr>
                <w:rFonts w:ascii="CG Times" w:hAnsi="CG Times" w:cs="Arial"/>
                <w:sz w:val="20"/>
                <w:szCs w:val="20"/>
                <w:lang w:val="es-GT" w:eastAsia="es-GT"/>
              </w:rPr>
            </w:pPr>
            <w:r w:rsidRPr="002E7D46">
              <w:rPr>
                <w:rFonts w:ascii="CG Times" w:hAnsi="CG Times" w:cs="Arial"/>
                <w:sz w:val="20"/>
                <w:szCs w:val="20"/>
                <w:lang w:val="es-GT" w:eastAsia="es-GT"/>
              </w:rPr>
              <w:t>Bonos</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color w:val="000000"/>
                <w:sz w:val="20"/>
                <w:szCs w:val="20"/>
                <w:lang w:val="es-GT" w:eastAsia="es-GT"/>
              </w:rPr>
            </w:pPr>
            <w:r w:rsidRPr="002E7D46">
              <w:rPr>
                <w:rFonts w:ascii="CG Times" w:hAnsi="CG Times" w:cs="Arial"/>
                <w:color w:val="000000"/>
                <w:sz w:val="20"/>
                <w:szCs w:val="20"/>
                <w:lang w:val="es-GT" w:eastAsia="es-GT"/>
              </w:rPr>
              <w:t>1,061.5</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color w:val="000000"/>
                <w:sz w:val="20"/>
                <w:szCs w:val="20"/>
                <w:lang w:val="es-GT" w:eastAsia="es-GT"/>
              </w:rPr>
            </w:pPr>
            <w:r w:rsidRPr="002E7D46">
              <w:rPr>
                <w:rFonts w:ascii="CG Times" w:hAnsi="CG Times" w:cs="Arial"/>
                <w:color w:val="000000"/>
                <w:sz w:val="20"/>
                <w:szCs w:val="20"/>
                <w:lang w:val="es-GT" w:eastAsia="es-GT"/>
              </w:rPr>
              <w:t>1,170.5</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1,184.0</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101.2</w:t>
            </w:r>
          </w:p>
        </w:tc>
      </w:tr>
      <w:tr w:rsidR="00F750A4" w:rsidRPr="002E7D46" w:rsidTr="00F750A4">
        <w:trPr>
          <w:trHeight w:val="360"/>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100" w:firstLine="200"/>
              <w:rPr>
                <w:rFonts w:ascii="CG Times" w:hAnsi="CG Times" w:cs="Arial"/>
                <w:sz w:val="20"/>
                <w:szCs w:val="20"/>
                <w:lang w:val="es-GT" w:eastAsia="es-GT"/>
              </w:rPr>
            </w:pPr>
            <w:r w:rsidRPr="002E7D46">
              <w:rPr>
                <w:rFonts w:ascii="CG Times" w:hAnsi="CG Times" w:cs="Arial"/>
                <w:sz w:val="20"/>
                <w:szCs w:val="20"/>
                <w:lang w:val="es-GT" w:eastAsia="es-GT"/>
              </w:rPr>
              <w:t>Gastos de Capital</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13,656.7</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15,551.2</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14,355.0</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92.3</w:t>
            </w:r>
          </w:p>
        </w:tc>
      </w:tr>
      <w:tr w:rsidR="00F750A4" w:rsidRPr="002E7D46" w:rsidTr="00F750A4">
        <w:trPr>
          <w:trHeight w:val="360"/>
        </w:trPr>
        <w:tc>
          <w:tcPr>
            <w:tcW w:w="4126" w:type="dxa"/>
            <w:tcBorders>
              <w:top w:val="nil"/>
              <w:left w:val="single" w:sz="8" w:space="0" w:color="auto"/>
              <w:bottom w:val="nil"/>
              <w:right w:val="single" w:sz="8" w:space="0" w:color="auto"/>
            </w:tcBorders>
            <w:shd w:val="clear" w:color="000000" w:fill="8DB4E2"/>
            <w:noWrap/>
            <w:vAlign w:val="bottom"/>
            <w:hideMark/>
          </w:tcPr>
          <w:p w:rsidR="00842C99" w:rsidRPr="002E7D46" w:rsidRDefault="00842C99" w:rsidP="00E04CFB">
            <w:pPr>
              <w:rPr>
                <w:rFonts w:ascii="CG Times" w:hAnsi="CG Times" w:cs="Arial"/>
                <w:b/>
                <w:sz w:val="20"/>
                <w:szCs w:val="20"/>
                <w:lang w:val="es-GT" w:eastAsia="es-GT"/>
              </w:rPr>
            </w:pPr>
            <w:r w:rsidRPr="002E7D46">
              <w:rPr>
                <w:rFonts w:ascii="CG Times" w:hAnsi="CG Times" w:cs="Arial"/>
                <w:b/>
                <w:sz w:val="20"/>
                <w:szCs w:val="20"/>
                <w:lang w:val="es-GT" w:eastAsia="es-GT"/>
              </w:rPr>
              <w:t>Resultado en Cuenta Corriente</w:t>
            </w:r>
          </w:p>
        </w:tc>
        <w:tc>
          <w:tcPr>
            <w:tcW w:w="1276" w:type="dxa"/>
            <w:tcBorders>
              <w:top w:val="nil"/>
              <w:left w:val="nil"/>
              <w:bottom w:val="nil"/>
              <w:right w:val="single" w:sz="4" w:space="0" w:color="auto"/>
            </w:tcBorders>
            <w:shd w:val="clear" w:color="000000" w:fill="8DB4E2"/>
            <w:noWrap/>
            <w:vAlign w:val="bottom"/>
            <w:hideMark/>
          </w:tcPr>
          <w:p w:rsidR="00842C99" w:rsidRPr="002E7D46" w:rsidRDefault="00842C99" w:rsidP="00E04CFB">
            <w:pPr>
              <w:jc w:val="right"/>
              <w:rPr>
                <w:rFonts w:ascii="CG Times" w:hAnsi="CG Times" w:cs="Arial"/>
                <w:b/>
                <w:color w:val="000000"/>
                <w:sz w:val="20"/>
                <w:szCs w:val="20"/>
                <w:lang w:val="es-GT" w:eastAsia="es-GT"/>
              </w:rPr>
            </w:pPr>
            <w:r w:rsidRPr="002E7D46">
              <w:rPr>
                <w:rFonts w:ascii="CG Times" w:hAnsi="CG Times" w:cs="Arial"/>
                <w:b/>
                <w:color w:val="000000"/>
                <w:sz w:val="20"/>
                <w:szCs w:val="20"/>
                <w:lang w:val="es-GT" w:eastAsia="es-GT"/>
              </w:rPr>
              <w:t>4,480.2</w:t>
            </w:r>
          </w:p>
        </w:tc>
        <w:tc>
          <w:tcPr>
            <w:tcW w:w="1276" w:type="dxa"/>
            <w:tcBorders>
              <w:top w:val="nil"/>
              <w:left w:val="nil"/>
              <w:bottom w:val="nil"/>
              <w:right w:val="nil"/>
            </w:tcBorders>
            <w:shd w:val="clear" w:color="000000" w:fill="8DB4E2"/>
            <w:noWrap/>
            <w:vAlign w:val="bottom"/>
            <w:hideMark/>
          </w:tcPr>
          <w:p w:rsidR="00842C99" w:rsidRPr="002E7D46" w:rsidRDefault="00842C99" w:rsidP="00E04CFB">
            <w:pPr>
              <w:jc w:val="right"/>
              <w:rPr>
                <w:rFonts w:ascii="CG Times" w:hAnsi="CG Times" w:cs="Arial"/>
                <w:b/>
                <w:color w:val="000000"/>
                <w:sz w:val="20"/>
                <w:szCs w:val="20"/>
                <w:lang w:val="es-GT" w:eastAsia="es-GT"/>
              </w:rPr>
            </w:pPr>
            <w:r w:rsidRPr="002E7D46">
              <w:rPr>
                <w:rFonts w:ascii="CG Times" w:hAnsi="CG Times" w:cs="Arial"/>
                <w:b/>
                <w:color w:val="000000"/>
                <w:sz w:val="20"/>
                <w:szCs w:val="20"/>
                <w:lang w:val="es-GT" w:eastAsia="es-GT"/>
              </w:rPr>
              <w:t>2,987.4</w:t>
            </w:r>
          </w:p>
        </w:tc>
        <w:tc>
          <w:tcPr>
            <w:tcW w:w="1134" w:type="dxa"/>
            <w:tcBorders>
              <w:top w:val="nil"/>
              <w:left w:val="single" w:sz="4" w:space="0" w:color="auto"/>
              <w:bottom w:val="nil"/>
              <w:right w:val="single" w:sz="4" w:space="0" w:color="auto"/>
            </w:tcBorders>
            <w:shd w:val="clear" w:color="000000" w:fill="8DB4E2"/>
            <w:noWrap/>
            <w:vAlign w:val="bottom"/>
            <w:hideMark/>
          </w:tcPr>
          <w:p w:rsidR="00842C99" w:rsidRPr="002E7D46" w:rsidRDefault="00842C99" w:rsidP="00E04CFB">
            <w:pPr>
              <w:jc w:val="right"/>
              <w:rPr>
                <w:rFonts w:ascii="CG Times" w:hAnsi="CG Times" w:cs="Arial"/>
                <w:b/>
                <w:sz w:val="20"/>
                <w:szCs w:val="20"/>
                <w:lang w:val="es-GT" w:eastAsia="es-GT"/>
              </w:rPr>
            </w:pPr>
            <w:r w:rsidRPr="002E7D46">
              <w:rPr>
                <w:rFonts w:ascii="CG Times" w:hAnsi="CG Times" w:cs="Arial"/>
                <w:b/>
                <w:sz w:val="20"/>
                <w:szCs w:val="20"/>
                <w:lang w:val="es-GT" w:eastAsia="es-GT"/>
              </w:rPr>
              <w:t>3,976.4</w:t>
            </w:r>
          </w:p>
        </w:tc>
        <w:tc>
          <w:tcPr>
            <w:tcW w:w="1134" w:type="dxa"/>
            <w:tcBorders>
              <w:top w:val="nil"/>
              <w:left w:val="nil"/>
              <w:bottom w:val="nil"/>
              <w:right w:val="single" w:sz="8" w:space="0" w:color="auto"/>
            </w:tcBorders>
            <w:shd w:val="clear" w:color="000000" w:fill="8DB4E2"/>
            <w:noWrap/>
            <w:vAlign w:val="bottom"/>
            <w:hideMark/>
          </w:tcPr>
          <w:p w:rsidR="00842C99" w:rsidRPr="002E7D46" w:rsidRDefault="00842C99" w:rsidP="00E04CFB">
            <w:pPr>
              <w:jc w:val="right"/>
              <w:rPr>
                <w:rFonts w:ascii="CG Times" w:hAnsi="CG Times" w:cs="Arial"/>
                <w:b/>
                <w:sz w:val="20"/>
                <w:szCs w:val="20"/>
                <w:lang w:val="es-GT" w:eastAsia="es-GT"/>
              </w:rPr>
            </w:pPr>
            <w:r w:rsidRPr="002E7D46">
              <w:rPr>
                <w:rFonts w:ascii="CG Times" w:hAnsi="CG Times" w:cs="Arial"/>
                <w:b/>
                <w:sz w:val="20"/>
                <w:szCs w:val="20"/>
                <w:lang w:val="es-GT" w:eastAsia="es-GT"/>
              </w:rPr>
              <w:t>133.1</w:t>
            </w:r>
          </w:p>
        </w:tc>
      </w:tr>
      <w:tr w:rsidR="00F750A4" w:rsidRPr="002E7D46" w:rsidTr="00F750A4">
        <w:trPr>
          <w:trHeight w:val="360"/>
        </w:trPr>
        <w:tc>
          <w:tcPr>
            <w:tcW w:w="4126" w:type="dxa"/>
            <w:tcBorders>
              <w:top w:val="nil"/>
              <w:left w:val="single" w:sz="8" w:space="0" w:color="auto"/>
              <w:bottom w:val="nil"/>
              <w:right w:val="single" w:sz="8" w:space="0" w:color="auto"/>
            </w:tcBorders>
            <w:shd w:val="clear" w:color="000000" w:fill="8DB4E2"/>
            <w:noWrap/>
            <w:vAlign w:val="bottom"/>
            <w:hideMark/>
          </w:tcPr>
          <w:p w:rsidR="00842C99" w:rsidRPr="002E7D46" w:rsidRDefault="00842C99" w:rsidP="00E04CFB">
            <w:pPr>
              <w:rPr>
                <w:rFonts w:ascii="CG Times" w:hAnsi="CG Times" w:cs="Arial"/>
                <w:b/>
                <w:sz w:val="20"/>
                <w:szCs w:val="20"/>
                <w:lang w:val="es-GT" w:eastAsia="es-GT"/>
              </w:rPr>
            </w:pPr>
            <w:r w:rsidRPr="002E7D46">
              <w:rPr>
                <w:rFonts w:ascii="CG Times" w:hAnsi="CG Times" w:cs="Arial"/>
                <w:b/>
                <w:sz w:val="20"/>
                <w:szCs w:val="20"/>
                <w:lang w:val="es-GT" w:eastAsia="es-GT"/>
              </w:rPr>
              <w:t>Resultado Primario</w:t>
            </w:r>
          </w:p>
        </w:tc>
        <w:tc>
          <w:tcPr>
            <w:tcW w:w="1276" w:type="dxa"/>
            <w:tcBorders>
              <w:top w:val="nil"/>
              <w:left w:val="nil"/>
              <w:bottom w:val="nil"/>
              <w:right w:val="single" w:sz="4" w:space="0" w:color="auto"/>
            </w:tcBorders>
            <w:shd w:val="clear" w:color="000000" w:fill="8DB4E2"/>
            <w:noWrap/>
            <w:vAlign w:val="bottom"/>
            <w:hideMark/>
          </w:tcPr>
          <w:p w:rsidR="00842C99" w:rsidRPr="002E7D46" w:rsidRDefault="00842C99" w:rsidP="00E04CFB">
            <w:pPr>
              <w:jc w:val="right"/>
              <w:rPr>
                <w:rFonts w:ascii="CG Times" w:hAnsi="CG Times" w:cs="Arial"/>
                <w:b/>
                <w:color w:val="000000"/>
                <w:sz w:val="20"/>
                <w:szCs w:val="20"/>
                <w:lang w:val="es-GT" w:eastAsia="es-GT"/>
              </w:rPr>
            </w:pPr>
            <w:r w:rsidRPr="002E7D46">
              <w:rPr>
                <w:rFonts w:ascii="CG Times" w:hAnsi="CG Times" w:cs="Arial"/>
                <w:b/>
                <w:color w:val="000000"/>
                <w:sz w:val="20"/>
                <w:szCs w:val="20"/>
                <w:lang w:val="es-GT" w:eastAsia="es-GT"/>
              </w:rPr>
              <w:t>-1,631.3</w:t>
            </w:r>
          </w:p>
        </w:tc>
        <w:tc>
          <w:tcPr>
            <w:tcW w:w="1276" w:type="dxa"/>
            <w:tcBorders>
              <w:top w:val="nil"/>
              <w:left w:val="nil"/>
              <w:bottom w:val="nil"/>
              <w:right w:val="nil"/>
            </w:tcBorders>
            <w:shd w:val="clear" w:color="000000" w:fill="8DB4E2"/>
            <w:noWrap/>
            <w:vAlign w:val="bottom"/>
            <w:hideMark/>
          </w:tcPr>
          <w:p w:rsidR="00842C99" w:rsidRPr="002E7D46" w:rsidRDefault="00842C99" w:rsidP="00E04CFB">
            <w:pPr>
              <w:jc w:val="right"/>
              <w:rPr>
                <w:rFonts w:ascii="CG Times" w:hAnsi="CG Times" w:cs="Arial"/>
                <w:b/>
                <w:color w:val="000000"/>
                <w:sz w:val="20"/>
                <w:szCs w:val="20"/>
                <w:lang w:val="es-GT" w:eastAsia="es-GT"/>
              </w:rPr>
            </w:pPr>
            <w:r w:rsidRPr="002E7D46">
              <w:rPr>
                <w:rFonts w:ascii="CG Times" w:hAnsi="CG Times" w:cs="Arial"/>
                <w:b/>
                <w:color w:val="000000"/>
                <w:sz w:val="20"/>
                <w:szCs w:val="20"/>
                <w:lang w:val="es-GT" w:eastAsia="es-GT"/>
              </w:rPr>
              <w:t>-4,059.9</w:t>
            </w:r>
          </w:p>
        </w:tc>
        <w:tc>
          <w:tcPr>
            <w:tcW w:w="1134" w:type="dxa"/>
            <w:tcBorders>
              <w:top w:val="nil"/>
              <w:left w:val="single" w:sz="4" w:space="0" w:color="auto"/>
              <w:bottom w:val="nil"/>
              <w:right w:val="single" w:sz="4" w:space="0" w:color="auto"/>
            </w:tcBorders>
            <w:shd w:val="clear" w:color="000000" w:fill="8DB4E2"/>
            <w:noWrap/>
            <w:vAlign w:val="bottom"/>
            <w:hideMark/>
          </w:tcPr>
          <w:p w:rsidR="00842C99" w:rsidRPr="002E7D46" w:rsidRDefault="00842C99" w:rsidP="00E04CFB">
            <w:pPr>
              <w:jc w:val="right"/>
              <w:rPr>
                <w:rFonts w:ascii="CG Times" w:hAnsi="CG Times" w:cs="Arial"/>
                <w:b/>
                <w:sz w:val="20"/>
                <w:szCs w:val="20"/>
                <w:lang w:val="es-GT" w:eastAsia="es-GT"/>
              </w:rPr>
            </w:pPr>
            <w:r w:rsidRPr="002E7D46">
              <w:rPr>
                <w:rFonts w:ascii="CG Times" w:hAnsi="CG Times" w:cs="Arial"/>
                <w:b/>
                <w:sz w:val="20"/>
                <w:szCs w:val="20"/>
                <w:lang w:val="es-GT" w:eastAsia="es-GT"/>
              </w:rPr>
              <w:t>-1,892.2</w:t>
            </w:r>
          </w:p>
        </w:tc>
        <w:tc>
          <w:tcPr>
            <w:tcW w:w="1134" w:type="dxa"/>
            <w:tcBorders>
              <w:top w:val="nil"/>
              <w:left w:val="nil"/>
              <w:bottom w:val="nil"/>
              <w:right w:val="single" w:sz="8" w:space="0" w:color="auto"/>
            </w:tcBorders>
            <w:shd w:val="clear" w:color="000000" w:fill="8DB4E2"/>
            <w:noWrap/>
            <w:vAlign w:val="bottom"/>
            <w:hideMark/>
          </w:tcPr>
          <w:p w:rsidR="00842C99" w:rsidRPr="002E7D46" w:rsidRDefault="00842C99" w:rsidP="00E04CFB">
            <w:pPr>
              <w:jc w:val="right"/>
              <w:rPr>
                <w:rFonts w:ascii="CG Times" w:hAnsi="CG Times" w:cs="Arial"/>
                <w:b/>
                <w:sz w:val="20"/>
                <w:szCs w:val="20"/>
                <w:lang w:val="es-GT" w:eastAsia="es-GT"/>
              </w:rPr>
            </w:pPr>
            <w:r w:rsidRPr="002E7D46">
              <w:rPr>
                <w:rFonts w:ascii="CG Times" w:hAnsi="CG Times" w:cs="Arial"/>
                <w:b/>
                <w:sz w:val="20"/>
                <w:szCs w:val="20"/>
                <w:lang w:val="es-GT" w:eastAsia="es-GT"/>
              </w:rPr>
              <w:t>46.6</w:t>
            </w:r>
          </w:p>
        </w:tc>
      </w:tr>
      <w:tr w:rsidR="00F750A4" w:rsidRPr="002E7D46" w:rsidTr="00F750A4">
        <w:trPr>
          <w:trHeight w:val="420"/>
        </w:trPr>
        <w:tc>
          <w:tcPr>
            <w:tcW w:w="4126" w:type="dxa"/>
            <w:tcBorders>
              <w:top w:val="nil"/>
              <w:left w:val="single" w:sz="8" w:space="0" w:color="auto"/>
              <w:bottom w:val="single" w:sz="8" w:space="0" w:color="auto"/>
              <w:right w:val="single" w:sz="8" w:space="0" w:color="auto"/>
            </w:tcBorders>
            <w:shd w:val="clear" w:color="000000" w:fill="8DB4E2"/>
            <w:noWrap/>
            <w:vAlign w:val="bottom"/>
            <w:hideMark/>
          </w:tcPr>
          <w:p w:rsidR="00842C99" w:rsidRPr="002E7D46" w:rsidRDefault="00842C99" w:rsidP="00E04CFB">
            <w:pPr>
              <w:rPr>
                <w:rFonts w:ascii="CG Times" w:hAnsi="CG Times" w:cs="Arial"/>
                <w:b/>
                <w:sz w:val="20"/>
                <w:szCs w:val="20"/>
                <w:lang w:val="es-GT" w:eastAsia="es-GT"/>
              </w:rPr>
            </w:pPr>
            <w:r w:rsidRPr="002E7D46">
              <w:rPr>
                <w:rFonts w:ascii="CG Times" w:hAnsi="CG Times" w:cs="Arial"/>
                <w:b/>
                <w:sz w:val="20"/>
                <w:szCs w:val="20"/>
                <w:lang w:val="es-GT" w:eastAsia="es-GT"/>
              </w:rPr>
              <w:t>Resultado Presupuestal</w:t>
            </w:r>
          </w:p>
        </w:tc>
        <w:tc>
          <w:tcPr>
            <w:tcW w:w="1276" w:type="dxa"/>
            <w:tcBorders>
              <w:top w:val="nil"/>
              <w:left w:val="nil"/>
              <w:bottom w:val="single" w:sz="8" w:space="0" w:color="auto"/>
              <w:right w:val="single" w:sz="4" w:space="0" w:color="auto"/>
            </w:tcBorders>
            <w:shd w:val="clear" w:color="000000" w:fill="8DB4E2"/>
            <w:noWrap/>
            <w:vAlign w:val="bottom"/>
            <w:hideMark/>
          </w:tcPr>
          <w:p w:rsidR="00842C99" w:rsidRPr="002E7D46" w:rsidRDefault="00842C99" w:rsidP="00E04CFB">
            <w:pPr>
              <w:jc w:val="right"/>
              <w:rPr>
                <w:rFonts w:ascii="CG Times" w:hAnsi="CG Times" w:cs="Arial"/>
                <w:b/>
                <w:sz w:val="20"/>
                <w:szCs w:val="20"/>
                <w:lang w:val="es-GT" w:eastAsia="es-GT"/>
              </w:rPr>
            </w:pPr>
            <w:r w:rsidRPr="002E7D46">
              <w:rPr>
                <w:rFonts w:ascii="CG Times" w:hAnsi="CG Times" w:cs="Arial"/>
                <w:b/>
                <w:sz w:val="20"/>
                <w:szCs w:val="20"/>
                <w:lang w:val="es-GT" w:eastAsia="es-GT"/>
              </w:rPr>
              <w:t>-9,171.6</w:t>
            </w:r>
          </w:p>
        </w:tc>
        <w:tc>
          <w:tcPr>
            <w:tcW w:w="1276" w:type="dxa"/>
            <w:tcBorders>
              <w:top w:val="nil"/>
              <w:left w:val="nil"/>
              <w:bottom w:val="single" w:sz="8" w:space="0" w:color="auto"/>
              <w:right w:val="nil"/>
            </w:tcBorders>
            <w:shd w:val="clear" w:color="000000" w:fill="8DB4E2"/>
            <w:noWrap/>
            <w:vAlign w:val="bottom"/>
            <w:hideMark/>
          </w:tcPr>
          <w:p w:rsidR="00842C99" w:rsidRPr="002E7D46" w:rsidRDefault="00842C99" w:rsidP="00E04CFB">
            <w:pPr>
              <w:jc w:val="right"/>
              <w:rPr>
                <w:rFonts w:ascii="CG Times" w:hAnsi="CG Times" w:cs="Arial"/>
                <w:b/>
                <w:sz w:val="20"/>
                <w:szCs w:val="20"/>
                <w:lang w:val="es-GT" w:eastAsia="es-GT"/>
              </w:rPr>
            </w:pPr>
            <w:r w:rsidRPr="002E7D46">
              <w:rPr>
                <w:rFonts w:ascii="CG Times" w:hAnsi="CG Times" w:cs="Arial"/>
                <w:b/>
                <w:sz w:val="20"/>
                <w:szCs w:val="20"/>
                <w:lang w:val="es-GT" w:eastAsia="es-GT"/>
              </w:rPr>
              <w:t>-12,558.9</w:t>
            </w:r>
          </w:p>
        </w:tc>
        <w:tc>
          <w:tcPr>
            <w:tcW w:w="1134" w:type="dxa"/>
            <w:tcBorders>
              <w:top w:val="nil"/>
              <w:left w:val="single" w:sz="4" w:space="0" w:color="auto"/>
              <w:bottom w:val="single" w:sz="8" w:space="0" w:color="auto"/>
              <w:right w:val="single" w:sz="4" w:space="0" w:color="auto"/>
            </w:tcBorders>
            <w:shd w:val="clear" w:color="000000" w:fill="8DB4E2"/>
            <w:noWrap/>
            <w:vAlign w:val="bottom"/>
            <w:hideMark/>
          </w:tcPr>
          <w:p w:rsidR="00842C99" w:rsidRPr="002E7D46" w:rsidRDefault="00842C99" w:rsidP="00E04CFB">
            <w:pPr>
              <w:jc w:val="right"/>
              <w:rPr>
                <w:rFonts w:ascii="CG Times" w:hAnsi="CG Times" w:cs="Arial"/>
                <w:b/>
                <w:sz w:val="20"/>
                <w:szCs w:val="20"/>
                <w:lang w:val="es-GT" w:eastAsia="es-GT"/>
              </w:rPr>
            </w:pPr>
            <w:r w:rsidRPr="002E7D46">
              <w:rPr>
                <w:rFonts w:ascii="CG Times" w:hAnsi="CG Times" w:cs="Arial"/>
                <w:b/>
                <w:sz w:val="20"/>
                <w:szCs w:val="20"/>
                <w:lang w:val="es-GT" w:eastAsia="es-GT"/>
              </w:rPr>
              <w:t>-10,375.8</w:t>
            </w:r>
          </w:p>
        </w:tc>
        <w:tc>
          <w:tcPr>
            <w:tcW w:w="1134" w:type="dxa"/>
            <w:tcBorders>
              <w:top w:val="nil"/>
              <w:left w:val="nil"/>
              <w:bottom w:val="single" w:sz="8" w:space="0" w:color="auto"/>
              <w:right w:val="single" w:sz="8" w:space="0" w:color="auto"/>
            </w:tcBorders>
            <w:shd w:val="clear" w:color="000000" w:fill="8DB4E2"/>
            <w:noWrap/>
            <w:vAlign w:val="bottom"/>
            <w:hideMark/>
          </w:tcPr>
          <w:p w:rsidR="00842C99" w:rsidRPr="002E7D46" w:rsidRDefault="00842C99" w:rsidP="00E04CFB">
            <w:pPr>
              <w:jc w:val="right"/>
              <w:rPr>
                <w:rFonts w:ascii="CG Times" w:hAnsi="CG Times" w:cs="Arial"/>
                <w:b/>
                <w:sz w:val="20"/>
                <w:szCs w:val="20"/>
                <w:lang w:val="es-GT" w:eastAsia="es-GT"/>
              </w:rPr>
            </w:pPr>
            <w:r w:rsidRPr="002E7D46">
              <w:rPr>
                <w:rFonts w:ascii="CG Times" w:hAnsi="CG Times" w:cs="Arial"/>
                <w:b/>
                <w:sz w:val="20"/>
                <w:szCs w:val="20"/>
                <w:lang w:val="es-GT" w:eastAsia="es-GT"/>
              </w:rPr>
              <w:t>82.6</w:t>
            </w:r>
          </w:p>
        </w:tc>
      </w:tr>
      <w:tr w:rsidR="00F750A4" w:rsidRPr="002E7D46" w:rsidTr="00F750A4">
        <w:trPr>
          <w:trHeight w:val="390"/>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rPr>
                <w:rFonts w:ascii="CG Times" w:hAnsi="CG Times" w:cs="Arial"/>
                <w:sz w:val="20"/>
                <w:szCs w:val="20"/>
                <w:lang w:val="es-GT" w:eastAsia="es-GT"/>
              </w:rPr>
            </w:pPr>
            <w:r w:rsidRPr="002E7D46">
              <w:rPr>
                <w:rFonts w:ascii="CG Times" w:hAnsi="CG Times" w:cs="Arial"/>
                <w:sz w:val="20"/>
                <w:szCs w:val="20"/>
                <w:lang w:val="es-GT" w:eastAsia="es-GT"/>
              </w:rPr>
              <w:t>Financiamiento Total</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9,171.6</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12,558.9</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10,375.8</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82.6</w:t>
            </w:r>
          </w:p>
        </w:tc>
      </w:tr>
      <w:tr w:rsidR="00F750A4" w:rsidRPr="002E7D46" w:rsidTr="00F750A4">
        <w:trPr>
          <w:trHeight w:val="375"/>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100" w:firstLine="200"/>
              <w:rPr>
                <w:rFonts w:ascii="CG Times" w:hAnsi="CG Times" w:cs="Arial"/>
                <w:sz w:val="20"/>
                <w:szCs w:val="20"/>
                <w:lang w:val="es-GT" w:eastAsia="es-GT"/>
              </w:rPr>
            </w:pPr>
            <w:r w:rsidRPr="002E7D46">
              <w:rPr>
                <w:rFonts w:ascii="CG Times" w:hAnsi="CG Times" w:cs="Arial"/>
                <w:sz w:val="20"/>
                <w:szCs w:val="20"/>
                <w:lang w:val="es-GT" w:eastAsia="es-GT"/>
              </w:rPr>
              <w:t>Financiamiento Externo Neto</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-1,316.6</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61.8</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453.8</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734.7</w:t>
            </w:r>
          </w:p>
        </w:tc>
      </w:tr>
      <w:tr w:rsidR="00F750A4" w:rsidRPr="002E7D46" w:rsidTr="00F750A4">
        <w:trPr>
          <w:trHeight w:val="300"/>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200" w:firstLine="400"/>
              <w:rPr>
                <w:rFonts w:ascii="CG Times" w:hAnsi="CG Times" w:cs="Arial"/>
                <w:sz w:val="20"/>
                <w:szCs w:val="20"/>
                <w:lang w:val="es-GT" w:eastAsia="es-GT"/>
              </w:rPr>
            </w:pPr>
            <w:r w:rsidRPr="002E7D46">
              <w:rPr>
                <w:rFonts w:ascii="CG Times" w:hAnsi="CG Times" w:cs="Arial"/>
                <w:sz w:val="20"/>
                <w:szCs w:val="20"/>
                <w:lang w:val="es-GT" w:eastAsia="es-GT"/>
              </w:rPr>
              <w:t>Préstamos</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-1,316.6</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61.8</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453.8</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734.7</w:t>
            </w:r>
          </w:p>
        </w:tc>
      </w:tr>
      <w:tr w:rsidR="00F750A4" w:rsidRPr="002E7D46" w:rsidTr="00F750A4">
        <w:trPr>
          <w:trHeight w:val="255"/>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300" w:firstLine="600"/>
              <w:rPr>
                <w:rFonts w:ascii="CG Times" w:hAnsi="CG Times" w:cs="Arial"/>
                <w:sz w:val="20"/>
                <w:szCs w:val="20"/>
                <w:lang w:val="es-GT" w:eastAsia="es-GT"/>
              </w:rPr>
            </w:pPr>
            <w:r w:rsidRPr="002E7D46">
              <w:rPr>
                <w:rFonts w:ascii="CG Times" w:hAnsi="CG Times" w:cs="Arial"/>
                <w:sz w:val="20"/>
                <w:szCs w:val="20"/>
                <w:lang w:val="es-GT" w:eastAsia="es-GT"/>
              </w:rPr>
              <w:t xml:space="preserve">Desembolsos </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2,580.7</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2,580.7</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2,969.4</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115.1</w:t>
            </w:r>
          </w:p>
        </w:tc>
      </w:tr>
      <w:tr w:rsidR="00F750A4" w:rsidRPr="002E7D46" w:rsidTr="00F750A4">
        <w:trPr>
          <w:trHeight w:val="255"/>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300" w:firstLine="600"/>
              <w:rPr>
                <w:rFonts w:ascii="CG Times" w:hAnsi="CG Times" w:cs="Arial"/>
                <w:sz w:val="20"/>
                <w:szCs w:val="20"/>
                <w:lang w:val="es-GT" w:eastAsia="es-GT"/>
              </w:rPr>
            </w:pPr>
            <w:r w:rsidRPr="002E7D46">
              <w:rPr>
                <w:rFonts w:ascii="CG Times" w:hAnsi="CG Times" w:cs="Arial"/>
                <w:sz w:val="20"/>
                <w:szCs w:val="20"/>
                <w:lang w:val="es-GT" w:eastAsia="es-GT"/>
              </w:rPr>
              <w:t>Amortizaciones</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3,897.3</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2,519.0</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2,515.6</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99.9</w:t>
            </w:r>
          </w:p>
        </w:tc>
      </w:tr>
      <w:tr w:rsidR="00F750A4" w:rsidRPr="002E7D46" w:rsidTr="00F750A4">
        <w:trPr>
          <w:trHeight w:val="345"/>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100" w:firstLine="200"/>
              <w:rPr>
                <w:rFonts w:ascii="CG Times" w:hAnsi="CG Times" w:cs="Arial"/>
                <w:sz w:val="20"/>
                <w:szCs w:val="20"/>
                <w:lang w:val="es-GT" w:eastAsia="es-GT"/>
              </w:rPr>
            </w:pPr>
            <w:r w:rsidRPr="002E7D46">
              <w:rPr>
                <w:rFonts w:ascii="CG Times" w:hAnsi="CG Times" w:cs="Arial"/>
                <w:sz w:val="20"/>
                <w:szCs w:val="20"/>
                <w:lang w:val="es-GT" w:eastAsia="es-GT"/>
              </w:rPr>
              <w:t>Financiamiento Interno Neto</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10,488.2</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12,497.2</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9,922.0</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79.4</w:t>
            </w:r>
          </w:p>
        </w:tc>
      </w:tr>
      <w:tr w:rsidR="00F750A4" w:rsidRPr="002E7D46" w:rsidTr="00F750A4">
        <w:trPr>
          <w:trHeight w:val="300"/>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200" w:firstLine="400"/>
              <w:rPr>
                <w:rFonts w:ascii="CG Times" w:hAnsi="CG Times" w:cs="Arial"/>
                <w:sz w:val="20"/>
                <w:szCs w:val="20"/>
                <w:lang w:val="es-GT" w:eastAsia="es-GT"/>
              </w:rPr>
            </w:pPr>
            <w:r w:rsidRPr="002E7D46">
              <w:rPr>
                <w:rFonts w:ascii="CG Times" w:hAnsi="CG Times" w:cs="Arial"/>
                <w:sz w:val="20"/>
                <w:szCs w:val="20"/>
                <w:lang w:val="es-GT" w:eastAsia="es-GT"/>
              </w:rPr>
              <w:t xml:space="preserve">Negociación Neta  </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10,543.5</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10,543.5</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9,710.0</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92.2</w:t>
            </w:r>
          </w:p>
        </w:tc>
      </w:tr>
      <w:tr w:rsidR="00F750A4" w:rsidRPr="002E7D46" w:rsidTr="00F750A4">
        <w:trPr>
          <w:trHeight w:val="255"/>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300" w:firstLine="600"/>
              <w:rPr>
                <w:rFonts w:ascii="CG Times" w:hAnsi="CG Times" w:cs="Arial"/>
                <w:sz w:val="20"/>
                <w:szCs w:val="20"/>
                <w:lang w:val="es-GT" w:eastAsia="es-GT"/>
              </w:rPr>
            </w:pPr>
            <w:r w:rsidRPr="002E7D46">
              <w:rPr>
                <w:rFonts w:ascii="CG Times" w:hAnsi="CG Times" w:cs="Arial"/>
                <w:sz w:val="20"/>
                <w:szCs w:val="20"/>
                <w:lang w:val="es-GT" w:eastAsia="es-GT"/>
              </w:rPr>
              <w:t>Primas por colocación interna de bonos</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0.0</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0.0</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611.7</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rPr>
                <w:rFonts w:ascii="CG Times" w:hAnsi="CG Times" w:cs="Arial"/>
                <w:sz w:val="20"/>
                <w:szCs w:val="20"/>
                <w:lang w:val="es-GT" w:eastAsia="es-GT"/>
              </w:rPr>
            </w:pPr>
            <w:r w:rsidRPr="002E7D46">
              <w:rPr>
                <w:rFonts w:ascii="CG Times" w:hAnsi="CG Times" w:cs="Arial"/>
                <w:sz w:val="20"/>
                <w:szCs w:val="20"/>
                <w:lang w:val="es-GT" w:eastAsia="es-GT"/>
              </w:rPr>
              <w:t> </w:t>
            </w:r>
          </w:p>
        </w:tc>
      </w:tr>
      <w:tr w:rsidR="00F750A4" w:rsidRPr="002E7D46" w:rsidTr="00F750A4">
        <w:trPr>
          <w:trHeight w:val="255"/>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200" w:firstLine="400"/>
              <w:rPr>
                <w:rFonts w:ascii="CG Times" w:hAnsi="CG Times" w:cs="Arial"/>
                <w:sz w:val="20"/>
                <w:szCs w:val="20"/>
                <w:lang w:val="es-GT" w:eastAsia="es-GT"/>
              </w:rPr>
            </w:pPr>
            <w:r w:rsidRPr="002E7D46">
              <w:rPr>
                <w:rFonts w:ascii="CG Times" w:hAnsi="CG Times" w:cs="Arial"/>
                <w:sz w:val="20"/>
                <w:szCs w:val="20"/>
                <w:lang w:val="es-GT" w:eastAsia="es-GT"/>
              </w:rPr>
              <w:t>Amortización de Primas de Deuda Interna</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12.4</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51.5</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50.9</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98.9</w:t>
            </w:r>
          </w:p>
        </w:tc>
      </w:tr>
      <w:tr w:rsidR="00F750A4" w:rsidRPr="002E7D46" w:rsidTr="00F750A4">
        <w:trPr>
          <w:trHeight w:val="330"/>
        </w:trPr>
        <w:tc>
          <w:tcPr>
            <w:tcW w:w="4126" w:type="dxa"/>
            <w:tcBorders>
              <w:top w:val="nil"/>
              <w:left w:val="single" w:sz="8" w:space="0" w:color="auto"/>
              <w:bottom w:val="nil"/>
              <w:right w:val="single" w:sz="8" w:space="0" w:color="auto"/>
            </w:tcBorders>
            <w:shd w:val="clear" w:color="000000" w:fill="FFFFFF"/>
            <w:noWrap/>
            <w:vAlign w:val="bottom"/>
            <w:hideMark/>
          </w:tcPr>
          <w:p w:rsidR="00842C99" w:rsidRPr="002E7D46" w:rsidRDefault="00842C99" w:rsidP="00E04CFB">
            <w:pPr>
              <w:ind w:firstLineChars="200" w:firstLine="400"/>
              <w:rPr>
                <w:rFonts w:ascii="CG Times" w:hAnsi="CG Times" w:cs="Arial"/>
                <w:sz w:val="20"/>
                <w:szCs w:val="20"/>
                <w:lang w:val="es-GT" w:eastAsia="es-GT"/>
              </w:rPr>
            </w:pPr>
            <w:r w:rsidRPr="002E7D46">
              <w:rPr>
                <w:rFonts w:ascii="CG Times" w:hAnsi="CG Times" w:cs="Arial"/>
                <w:sz w:val="20"/>
                <w:szCs w:val="20"/>
                <w:lang w:val="es-GT" w:eastAsia="es-GT"/>
              </w:rPr>
              <w:t xml:space="preserve">Amortización por el Costo de la Política Monetaria </w:t>
            </w:r>
          </w:p>
        </w:tc>
        <w:tc>
          <w:tcPr>
            <w:tcW w:w="1276" w:type="dxa"/>
            <w:tcBorders>
              <w:top w:val="nil"/>
              <w:left w:val="nil"/>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646.0</w:t>
            </w:r>
          </w:p>
        </w:tc>
        <w:tc>
          <w:tcPr>
            <w:tcW w:w="1276" w:type="dxa"/>
            <w:tcBorders>
              <w:top w:val="nil"/>
              <w:left w:val="nil"/>
              <w:bottom w:val="nil"/>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0.0</w:t>
            </w:r>
          </w:p>
        </w:tc>
        <w:tc>
          <w:tcPr>
            <w:tcW w:w="1134" w:type="dxa"/>
            <w:tcBorders>
              <w:top w:val="nil"/>
              <w:left w:val="single" w:sz="4" w:space="0" w:color="auto"/>
              <w:bottom w:val="nil"/>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0.0</w:t>
            </w:r>
          </w:p>
        </w:tc>
        <w:tc>
          <w:tcPr>
            <w:tcW w:w="1134" w:type="dxa"/>
            <w:tcBorders>
              <w:top w:val="nil"/>
              <w:left w:val="nil"/>
              <w:bottom w:val="nil"/>
              <w:right w:val="single" w:sz="8" w:space="0" w:color="auto"/>
            </w:tcBorders>
            <w:shd w:val="clear" w:color="000000" w:fill="FFFFFF"/>
            <w:noWrap/>
            <w:vAlign w:val="bottom"/>
            <w:hideMark/>
          </w:tcPr>
          <w:p w:rsidR="00842C99" w:rsidRPr="002E7D46" w:rsidRDefault="00842C99" w:rsidP="00E04CFB">
            <w:pPr>
              <w:rPr>
                <w:rFonts w:ascii="CG Times" w:hAnsi="CG Times" w:cs="Arial"/>
                <w:sz w:val="20"/>
                <w:szCs w:val="20"/>
                <w:lang w:val="es-GT" w:eastAsia="es-GT"/>
              </w:rPr>
            </w:pPr>
            <w:r w:rsidRPr="002E7D46">
              <w:rPr>
                <w:rFonts w:ascii="CG Times" w:hAnsi="CG Times" w:cs="Arial"/>
                <w:sz w:val="20"/>
                <w:szCs w:val="20"/>
                <w:lang w:val="es-GT" w:eastAsia="es-GT"/>
              </w:rPr>
              <w:t> </w:t>
            </w:r>
          </w:p>
        </w:tc>
      </w:tr>
      <w:tr w:rsidR="00F750A4" w:rsidRPr="002E7D46" w:rsidTr="00F750A4">
        <w:trPr>
          <w:trHeight w:val="345"/>
        </w:trPr>
        <w:tc>
          <w:tcPr>
            <w:tcW w:w="4126" w:type="dxa"/>
            <w:tcBorders>
              <w:top w:val="nil"/>
              <w:left w:val="single" w:sz="8" w:space="0" w:color="auto"/>
              <w:bottom w:val="single" w:sz="8" w:space="0" w:color="auto"/>
              <w:right w:val="single" w:sz="8" w:space="0" w:color="auto"/>
            </w:tcBorders>
            <w:shd w:val="clear" w:color="000000" w:fill="FFFFFF"/>
            <w:noWrap/>
            <w:vAlign w:val="bottom"/>
            <w:hideMark/>
          </w:tcPr>
          <w:p w:rsidR="00842C99" w:rsidRPr="002E7D46" w:rsidRDefault="00842C99" w:rsidP="00E04CFB">
            <w:pPr>
              <w:ind w:firstLineChars="200" w:firstLine="360"/>
              <w:rPr>
                <w:rFonts w:ascii="CG Times" w:hAnsi="CG Times" w:cs="Arial"/>
                <w:sz w:val="18"/>
                <w:szCs w:val="18"/>
                <w:lang w:val="es-GT" w:eastAsia="es-GT"/>
              </w:rPr>
            </w:pPr>
            <w:r w:rsidRPr="002E7D46">
              <w:rPr>
                <w:rFonts w:ascii="CG Times" w:hAnsi="CG Times" w:cs="Arial"/>
                <w:sz w:val="18"/>
                <w:szCs w:val="18"/>
                <w:lang w:val="es-GT" w:eastAsia="es-GT"/>
              </w:rPr>
              <w:t>Variación de Caja (+) disminución (-) aumento</w:t>
            </w:r>
          </w:p>
        </w:tc>
        <w:tc>
          <w:tcPr>
            <w:tcW w:w="1276" w:type="dxa"/>
            <w:tcBorders>
              <w:top w:val="nil"/>
              <w:left w:val="nil"/>
              <w:bottom w:val="single" w:sz="8" w:space="0" w:color="auto"/>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603.1</w:t>
            </w:r>
          </w:p>
        </w:tc>
        <w:tc>
          <w:tcPr>
            <w:tcW w:w="1276" w:type="dxa"/>
            <w:tcBorders>
              <w:top w:val="nil"/>
              <w:left w:val="nil"/>
              <w:bottom w:val="single" w:sz="8" w:space="0" w:color="auto"/>
              <w:right w:val="nil"/>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2,005.1</w:t>
            </w:r>
          </w:p>
        </w:tc>
        <w:tc>
          <w:tcPr>
            <w:tcW w:w="1134" w:type="dxa"/>
            <w:tcBorders>
              <w:top w:val="nil"/>
              <w:left w:val="single" w:sz="4" w:space="0" w:color="auto"/>
              <w:bottom w:val="single" w:sz="8" w:space="0" w:color="auto"/>
              <w:right w:val="single" w:sz="4"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-348.8</w:t>
            </w:r>
          </w:p>
        </w:tc>
        <w:tc>
          <w:tcPr>
            <w:tcW w:w="1134" w:type="dxa"/>
            <w:tcBorders>
              <w:top w:val="nil"/>
              <w:left w:val="nil"/>
              <w:bottom w:val="single" w:sz="8" w:space="0" w:color="auto"/>
              <w:right w:val="single" w:sz="8" w:space="0" w:color="auto"/>
            </w:tcBorders>
            <w:shd w:val="clear" w:color="000000" w:fill="FFFFFF"/>
            <w:noWrap/>
            <w:vAlign w:val="bottom"/>
            <w:hideMark/>
          </w:tcPr>
          <w:p w:rsidR="00842C99" w:rsidRPr="002E7D46" w:rsidRDefault="00842C99" w:rsidP="00E04CFB">
            <w:pPr>
              <w:jc w:val="right"/>
              <w:rPr>
                <w:rFonts w:ascii="CG Times" w:hAnsi="CG Times" w:cs="Arial"/>
                <w:sz w:val="20"/>
                <w:szCs w:val="20"/>
                <w:lang w:val="es-GT" w:eastAsia="es-GT"/>
              </w:rPr>
            </w:pPr>
            <w:r w:rsidRPr="002E7D46">
              <w:rPr>
                <w:rFonts w:ascii="CG Times" w:hAnsi="CG Times" w:cs="Arial"/>
                <w:sz w:val="20"/>
                <w:szCs w:val="20"/>
                <w:lang w:val="es-GT" w:eastAsia="es-GT"/>
              </w:rPr>
              <w:t>38.1</w:t>
            </w:r>
          </w:p>
        </w:tc>
      </w:tr>
    </w:tbl>
    <w:p w:rsidR="00842C99" w:rsidRPr="004E678D" w:rsidRDefault="00842C99" w:rsidP="00842C99">
      <w:pPr>
        <w:jc w:val="both"/>
        <w:rPr>
          <w:sz w:val="18"/>
        </w:rPr>
      </w:pPr>
      <w:r w:rsidRPr="004E678D">
        <w:rPr>
          <w:sz w:val="18"/>
          <w:lang w:val="es-GT"/>
        </w:rPr>
        <w:t>* Cifras preliminares</w:t>
      </w:r>
    </w:p>
    <w:p w:rsidR="00842C99" w:rsidRPr="004E678D" w:rsidRDefault="00842C99" w:rsidP="00842C99">
      <w:pPr>
        <w:jc w:val="both"/>
        <w:rPr>
          <w:sz w:val="18"/>
        </w:rPr>
      </w:pPr>
      <w:r w:rsidRPr="004E678D">
        <w:rPr>
          <w:sz w:val="18"/>
        </w:rPr>
        <w:t>Fuente: Ministerio de Finanzas Públicas</w:t>
      </w:r>
      <w:r>
        <w:rPr>
          <w:sz w:val="18"/>
        </w:rPr>
        <w:t>.</w:t>
      </w:r>
    </w:p>
    <w:p w:rsidR="00842C99" w:rsidRPr="00124AD6" w:rsidRDefault="00842C99" w:rsidP="00842C99">
      <w:pPr>
        <w:jc w:val="both"/>
      </w:pPr>
    </w:p>
    <w:p w:rsidR="00842C99" w:rsidRDefault="00842C99" w:rsidP="00842C99">
      <w:pPr>
        <w:jc w:val="both"/>
        <w:rPr>
          <w:lang w:val="es-GT"/>
        </w:rPr>
      </w:pPr>
      <w:r w:rsidRPr="00124AD6">
        <w:rPr>
          <w:lang w:val="es-GT"/>
        </w:rPr>
        <w:lastRenderedPageBreak/>
        <w:t>De conformidad con la situación financiera al 31 de diciembre de 201</w:t>
      </w:r>
      <w:r>
        <w:rPr>
          <w:lang w:val="es-GT"/>
        </w:rPr>
        <w:t>8</w:t>
      </w:r>
      <w:r w:rsidRPr="00124AD6">
        <w:rPr>
          <w:lang w:val="es-GT"/>
        </w:rPr>
        <w:t>, los ingresos totales se situaron en Q</w:t>
      </w:r>
      <w:r w:rsidR="007C7E46">
        <w:rPr>
          <w:lang w:val="es-GT"/>
        </w:rPr>
        <w:t>.</w:t>
      </w:r>
      <w:r>
        <w:rPr>
          <w:lang w:val="es-GT"/>
        </w:rPr>
        <w:t>62,334.7</w:t>
      </w:r>
      <w:r w:rsidRPr="00124AD6">
        <w:rPr>
          <w:lang w:val="es-GT"/>
        </w:rPr>
        <w:t xml:space="preserve"> millones, </w:t>
      </w:r>
      <w:r>
        <w:rPr>
          <w:lang w:val="es-GT"/>
        </w:rPr>
        <w:t>equivalentes al 98.5% de lo planteado en el presupuesto que fue de Q</w:t>
      </w:r>
      <w:r w:rsidR="007C7E46">
        <w:rPr>
          <w:lang w:val="es-GT"/>
        </w:rPr>
        <w:t>.</w:t>
      </w:r>
      <w:r>
        <w:rPr>
          <w:lang w:val="es-GT"/>
        </w:rPr>
        <w:t>63,262.1</w:t>
      </w:r>
      <w:r w:rsidR="007C7E46">
        <w:rPr>
          <w:lang w:val="es-GT"/>
        </w:rPr>
        <w:t>; e</w:t>
      </w:r>
      <w:r>
        <w:rPr>
          <w:lang w:val="es-GT"/>
        </w:rPr>
        <w:t>sta disminución se debe a la baja recaudación de los I</w:t>
      </w:r>
      <w:r w:rsidR="007C7E46">
        <w:rPr>
          <w:lang w:val="es-GT"/>
        </w:rPr>
        <w:t>ngresos</w:t>
      </w:r>
      <w:r>
        <w:rPr>
          <w:lang w:val="es-GT"/>
        </w:rPr>
        <w:t xml:space="preserve"> No Tributarios, los cuales, según el presupuesto debieron ser Q</w:t>
      </w:r>
      <w:r w:rsidR="007C7E46">
        <w:rPr>
          <w:lang w:val="es-GT"/>
        </w:rPr>
        <w:t>.</w:t>
      </w:r>
      <w:r>
        <w:rPr>
          <w:lang w:val="es-GT"/>
        </w:rPr>
        <w:t>5,262.4 millones y lo recaudado llegó a Q</w:t>
      </w:r>
      <w:r w:rsidR="007C7E46">
        <w:rPr>
          <w:lang w:val="es-GT"/>
        </w:rPr>
        <w:t>.</w:t>
      </w:r>
      <w:r>
        <w:rPr>
          <w:lang w:val="es-GT"/>
        </w:rPr>
        <w:t>3,496.3 millones equivalentes al 66.4% de</w:t>
      </w:r>
      <w:r w:rsidR="007C7E46">
        <w:rPr>
          <w:lang w:val="es-GT"/>
        </w:rPr>
        <w:t xml:space="preserve"> lo plasmado en el presupuesto.</w:t>
      </w:r>
    </w:p>
    <w:p w:rsidR="00842C99" w:rsidRDefault="00842C99" w:rsidP="00842C99">
      <w:pPr>
        <w:jc w:val="both"/>
        <w:rPr>
          <w:lang w:val="es-GT"/>
        </w:rPr>
      </w:pPr>
    </w:p>
    <w:p w:rsidR="00842C99" w:rsidRDefault="00842C99" w:rsidP="00842C99">
      <w:pPr>
        <w:jc w:val="both"/>
        <w:rPr>
          <w:lang w:val="es-GT"/>
        </w:rPr>
      </w:pPr>
      <w:r>
        <w:rPr>
          <w:lang w:val="es-GT"/>
        </w:rPr>
        <w:t xml:space="preserve">Por su parte el gasto </w:t>
      </w:r>
      <w:r w:rsidR="007C7E46">
        <w:rPr>
          <w:lang w:val="es-GT"/>
        </w:rPr>
        <w:t>“</w:t>
      </w:r>
      <w:r>
        <w:rPr>
          <w:lang w:val="es-GT"/>
        </w:rPr>
        <w:t>arriba de la línea</w:t>
      </w:r>
      <w:r w:rsidR="007C7E46">
        <w:rPr>
          <w:lang w:val="es-GT"/>
        </w:rPr>
        <w:t>”</w:t>
      </w:r>
      <w:r>
        <w:rPr>
          <w:lang w:val="es-GT"/>
        </w:rPr>
        <w:t xml:space="preserve"> tuvo una ejecución presupuestaria de Q</w:t>
      </w:r>
      <w:r w:rsidR="007C7E46">
        <w:rPr>
          <w:lang w:val="es-GT"/>
        </w:rPr>
        <w:t>.</w:t>
      </w:r>
      <w:r>
        <w:rPr>
          <w:lang w:val="es-GT"/>
        </w:rPr>
        <w:t>72,710.5 millones, equivalentes al 95.9% del presupuesto vigente, el cual, según registros del SICOIN fue de Q</w:t>
      </w:r>
      <w:r w:rsidR="007C7E46">
        <w:rPr>
          <w:lang w:val="es-GT"/>
        </w:rPr>
        <w:t>.</w:t>
      </w:r>
      <w:r>
        <w:rPr>
          <w:lang w:val="es-GT"/>
        </w:rPr>
        <w:t>75,821.0 millones, en virtud del aumento presupuestario de Q</w:t>
      </w:r>
      <w:r w:rsidR="007C7E46">
        <w:rPr>
          <w:lang w:val="es-GT"/>
        </w:rPr>
        <w:t>.</w:t>
      </w:r>
      <w:r>
        <w:rPr>
          <w:lang w:val="es-GT"/>
        </w:rPr>
        <w:t>3,387.3 millones, distribuidos en los gastos corrientes con Q</w:t>
      </w:r>
      <w:r w:rsidR="007C7E46">
        <w:rPr>
          <w:lang w:val="es-GT"/>
        </w:rPr>
        <w:t>.</w:t>
      </w:r>
      <w:r>
        <w:rPr>
          <w:lang w:val="es-GT"/>
        </w:rPr>
        <w:t>1,492.8 millones y Q</w:t>
      </w:r>
      <w:r w:rsidR="007C7E46">
        <w:rPr>
          <w:lang w:val="es-GT"/>
        </w:rPr>
        <w:t>.</w:t>
      </w:r>
      <w:r>
        <w:rPr>
          <w:lang w:val="es-GT"/>
        </w:rPr>
        <w:t>1,894.5 millones en los gastos de capital.</w:t>
      </w:r>
    </w:p>
    <w:p w:rsidR="00842C99" w:rsidRDefault="00842C99" w:rsidP="00842C99">
      <w:pPr>
        <w:jc w:val="both"/>
        <w:rPr>
          <w:lang w:val="es-GT"/>
        </w:rPr>
      </w:pPr>
    </w:p>
    <w:p w:rsidR="00842C99" w:rsidRDefault="00842C99" w:rsidP="00842C99">
      <w:pPr>
        <w:jc w:val="both"/>
        <w:rPr>
          <w:lang w:val="es-GT"/>
        </w:rPr>
      </w:pPr>
      <w:r>
        <w:rPr>
          <w:lang w:val="es-GT"/>
        </w:rPr>
        <w:t>El balance primario fue menor al establecido en el presupuesto vigente, que se ubicó en un déficit de Q</w:t>
      </w:r>
      <w:r w:rsidR="007C7E46">
        <w:rPr>
          <w:lang w:val="es-GT"/>
        </w:rPr>
        <w:t>.</w:t>
      </w:r>
      <w:r>
        <w:rPr>
          <w:lang w:val="es-GT"/>
        </w:rPr>
        <w:t>1,892.2 millones, en tanto que el del presupuesto era un déficit de Q</w:t>
      </w:r>
      <w:r w:rsidR="007C7E46">
        <w:rPr>
          <w:lang w:val="es-GT"/>
        </w:rPr>
        <w:t>.</w:t>
      </w:r>
      <w:r>
        <w:rPr>
          <w:lang w:val="es-GT"/>
        </w:rPr>
        <w:t xml:space="preserve">4,059.9 millones. </w:t>
      </w:r>
      <w:r w:rsidR="007C7E46">
        <w:rPr>
          <w:lang w:val="es-GT"/>
        </w:rPr>
        <w:t>P</w:t>
      </w:r>
      <w:r>
        <w:rPr>
          <w:lang w:val="es-GT"/>
        </w:rPr>
        <w:t>or su parte del déficit fiscal tuvo una ejecución del 82.6% del presupuesto vigente al ubicarse en Q</w:t>
      </w:r>
      <w:r w:rsidR="007C7E46">
        <w:rPr>
          <w:lang w:val="es-GT"/>
        </w:rPr>
        <w:t>.</w:t>
      </w:r>
      <w:r>
        <w:rPr>
          <w:lang w:val="es-GT"/>
        </w:rPr>
        <w:t>10,375.8 millones a diferencia del establecido en el presupuesto vigente que era de Q</w:t>
      </w:r>
      <w:r w:rsidR="007C7E46">
        <w:rPr>
          <w:lang w:val="es-GT"/>
        </w:rPr>
        <w:t>.</w:t>
      </w:r>
      <w:r>
        <w:rPr>
          <w:lang w:val="es-GT"/>
        </w:rPr>
        <w:t>12,558.9 millones al cierre de 2018.</w:t>
      </w:r>
    </w:p>
    <w:p w:rsidR="00842C99" w:rsidRDefault="00842C99" w:rsidP="00842C99">
      <w:pPr>
        <w:jc w:val="both"/>
        <w:rPr>
          <w:lang w:val="es-GT"/>
        </w:rPr>
      </w:pPr>
    </w:p>
    <w:p w:rsidR="00E24F7B" w:rsidRDefault="00E24F7B" w:rsidP="00802E7E">
      <w:pPr>
        <w:jc w:val="both"/>
        <w:rPr>
          <w:lang w:val="es-GT"/>
        </w:rPr>
      </w:pPr>
    </w:p>
    <w:p w:rsidR="00802E7E" w:rsidRDefault="001D7553" w:rsidP="00E24F7B">
      <w:pPr>
        <w:pStyle w:val="Ttulo2"/>
        <w:numPr>
          <w:ilvl w:val="0"/>
          <w:numId w:val="6"/>
        </w:numPr>
        <w:spacing w:line="276" w:lineRule="auto"/>
        <w:ind w:left="567" w:hanging="567"/>
        <w:rPr>
          <w:rFonts w:ascii="Times New Roman" w:hAnsi="Times New Roman"/>
          <w:color w:val="auto"/>
          <w:sz w:val="24"/>
          <w:szCs w:val="24"/>
        </w:rPr>
      </w:pPr>
      <w:bookmarkStart w:id="32" w:name="_Toc4775344"/>
      <w:r>
        <w:rPr>
          <w:rFonts w:ascii="Times New Roman" w:hAnsi="Times New Roman"/>
          <w:color w:val="auto"/>
          <w:sz w:val="24"/>
          <w:szCs w:val="24"/>
        </w:rPr>
        <w:t xml:space="preserve">Principales </w:t>
      </w:r>
      <w:r w:rsidR="00BA1267">
        <w:rPr>
          <w:rFonts w:ascii="Times New Roman" w:hAnsi="Times New Roman"/>
          <w:color w:val="auto"/>
          <w:sz w:val="24"/>
          <w:szCs w:val="24"/>
        </w:rPr>
        <w:t xml:space="preserve">Metas y </w:t>
      </w:r>
      <w:r>
        <w:rPr>
          <w:rFonts w:ascii="Times New Roman" w:hAnsi="Times New Roman"/>
          <w:color w:val="auto"/>
          <w:sz w:val="24"/>
          <w:szCs w:val="24"/>
        </w:rPr>
        <w:t>Resultados</w:t>
      </w:r>
      <w:bookmarkEnd w:id="32"/>
    </w:p>
    <w:p w:rsidR="00E24F7B" w:rsidRDefault="00E24F7B" w:rsidP="00E24F7B"/>
    <w:p w:rsidR="005970B7" w:rsidRDefault="005970B7" w:rsidP="005970B7">
      <w:pPr>
        <w:jc w:val="both"/>
      </w:pPr>
      <w:r>
        <w:t xml:space="preserve">No obstante que el Congreso de la República de Guatemala no aprobó el Presupuesto General de Ingresos y Egresos del Estado para el Ejercicio Fiscal 2018, y que de conformidad con lo que establece el artículo 171, literal b) de la Constitución Política de la República de Guatemala, entra a regir de nuevo el presupuesto en vigencia del año anterior, </w:t>
      </w:r>
      <w:r w:rsidR="00F6432D">
        <w:t xml:space="preserve">durante 2018 </w:t>
      </w:r>
      <w:r>
        <w:t>se realizaron esfuerzos p</w:t>
      </w:r>
      <w:r w:rsidR="00D41716">
        <w:t xml:space="preserve">ara </w:t>
      </w:r>
      <w:r>
        <w:t>que las intervenciones públicas y los resultados alcanzados por las entidades del Estado se ejecutaran en favor del establecimiento de una ruta para el desarrollo sostenible, enfocándose en tres ejes principales: Desarrollo Humano, Seguridad y Justicia, y Economía y Prosperidad.</w:t>
      </w:r>
    </w:p>
    <w:p w:rsidR="005970B7" w:rsidRDefault="005970B7" w:rsidP="005970B7">
      <w:pPr>
        <w:jc w:val="both"/>
      </w:pPr>
    </w:p>
    <w:p w:rsidR="001D7553" w:rsidRDefault="005970B7" w:rsidP="005970B7">
      <w:pPr>
        <w:jc w:val="both"/>
      </w:pPr>
      <w:r>
        <w:t xml:space="preserve">De esa cuenta, se alcanzaron </w:t>
      </w:r>
      <w:r w:rsidR="002C3A6A">
        <w:t xml:space="preserve">metas y </w:t>
      </w:r>
      <w:r>
        <w:t>resultados enfocad</w:t>
      </w:r>
      <w:r w:rsidR="002C3A6A">
        <w:t>o</w:t>
      </w:r>
      <w:r>
        <w:t>s principalmente al ámbito social, con el propósito de beneficiar a la población más necesitada del país.</w:t>
      </w:r>
    </w:p>
    <w:p w:rsidR="005970B7" w:rsidRDefault="005970B7" w:rsidP="00E24F7B"/>
    <w:p w:rsidR="00842C99" w:rsidRDefault="00842C99" w:rsidP="00E24F7B"/>
    <w:p w:rsidR="00842C99" w:rsidRDefault="00842C99" w:rsidP="00E24F7B"/>
    <w:p w:rsidR="00842C99" w:rsidRDefault="00842C99" w:rsidP="00E24F7B"/>
    <w:p w:rsidR="00842C99" w:rsidRDefault="00842C99" w:rsidP="00E24F7B"/>
    <w:p w:rsidR="00842C99" w:rsidRDefault="00842C99" w:rsidP="00E24F7B"/>
    <w:p w:rsidR="00842C99" w:rsidRDefault="00842C99" w:rsidP="00E24F7B"/>
    <w:p w:rsidR="00842C99" w:rsidRDefault="00842C99" w:rsidP="00E24F7B"/>
    <w:p w:rsidR="00842C99" w:rsidRDefault="00842C99" w:rsidP="00E24F7B"/>
    <w:p w:rsidR="00842C99" w:rsidRDefault="00842C99" w:rsidP="00E24F7B"/>
    <w:p w:rsidR="00842C99" w:rsidRDefault="00842C99" w:rsidP="00E24F7B"/>
    <w:p w:rsidR="00842C99" w:rsidRDefault="00842C99" w:rsidP="00E24F7B"/>
    <w:p w:rsidR="00CC3CAE" w:rsidRPr="00124AD6" w:rsidRDefault="00CC3CAE" w:rsidP="00CC3CAE">
      <w:pPr>
        <w:jc w:val="center"/>
        <w:rPr>
          <w:b/>
        </w:rPr>
      </w:pPr>
      <w:r w:rsidRPr="00124AD6">
        <w:rPr>
          <w:b/>
        </w:rPr>
        <w:t xml:space="preserve">Cuadro </w:t>
      </w:r>
      <w:r w:rsidR="005F75BB">
        <w:rPr>
          <w:b/>
        </w:rPr>
        <w:t>10</w:t>
      </w:r>
    </w:p>
    <w:p w:rsidR="00CC3CAE" w:rsidRPr="00124AD6" w:rsidRDefault="00CC3CAE" w:rsidP="00CC3CAE">
      <w:pPr>
        <w:jc w:val="center"/>
        <w:rPr>
          <w:b/>
        </w:rPr>
      </w:pPr>
      <w:r>
        <w:rPr>
          <w:b/>
        </w:rPr>
        <w:t>Resultado de la Entrega de Raciones Alimentarias</w:t>
      </w:r>
    </w:p>
    <w:p w:rsidR="00CC3CAE" w:rsidRDefault="00CC3CAE" w:rsidP="00CC3CAE">
      <w:pPr>
        <w:jc w:val="center"/>
        <w:rPr>
          <w:rFonts w:ascii="Calibri" w:eastAsia="Calibri" w:hAnsi="Calibri"/>
          <w:sz w:val="20"/>
          <w:szCs w:val="20"/>
          <w:lang w:val="es-GT" w:eastAsia="es-GT"/>
        </w:rPr>
      </w:pPr>
      <w:r>
        <w:rPr>
          <w:b/>
        </w:rPr>
        <w:t>Ejercicio Fiscal 2018</w:t>
      </w:r>
      <w:r>
        <w:fldChar w:fldCharType="begin"/>
      </w:r>
      <w:r>
        <w:instrText xml:space="preserve"> LINK </w:instrText>
      </w:r>
      <w:r w:rsidR="00581D2B">
        <w:instrText xml:space="preserve">Excel.Sheet.12 "C:\\Users\\Public\\Documents\\José Antonio Menéndez Letona\\Documents\\Documents (3)\\2019\\Excel\\Varios\\Cuadros para Informe de Fin de Año 2018.xlsx" raciones!F5C2:F11C3 </w:instrText>
      </w:r>
      <w:r>
        <w:instrText xml:space="preserve">\a \f 4 \h  \* MERGEFORMAT </w:instrText>
      </w:r>
      <w:r>
        <w:fldChar w:fldCharType="separate"/>
      </w:r>
    </w:p>
    <w:tbl>
      <w:tblPr>
        <w:tblW w:w="8789" w:type="dxa"/>
        <w:tblInd w:w="70" w:type="dxa"/>
        <w:tblCellMar>
          <w:left w:w="70" w:type="dxa"/>
          <w:right w:w="70" w:type="dxa"/>
        </w:tblCellMar>
        <w:tblLook w:val="04A0" w:firstRow="1" w:lastRow="0" w:firstColumn="1" w:lastColumn="0" w:noHBand="0" w:noVBand="1"/>
      </w:tblPr>
      <w:tblGrid>
        <w:gridCol w:w="7088"/>
        <w:gridCol w:w="1701"/>
      </w:tblGrid>
      <w:tr w:rsidR="00CC3CAE" w:rsidRPr="00CC3CAE" w:rsidTr="00CC3CAE">
        <w:trPr>
          <w:trHeight w:val="570"/>
        </w:trPr>
        <w:tc>
          <w:tcPr>
            <w:tcW w:w="7088" w:type="dxa"/>
            <w:tcBorders>
              <w:top w:val="single" w:sz="8" w:space="0" w:color="auto"/>
              <w:left w:val="single" w:sz="8" w:space="0" w:color="auto"/>
              <w:bottom w:val="single" w:sz="8" w:space="0" w:color="auto"/>
              <w:right w:val="single" w:sz="4" w:space="0" w:color="auto"/>
            </w:tcBorders>
            <w:shd w:val="clear" w:color="000000" w:fill="8DB4E2"/>
            <w:noWrap/>
            <w:vAlign w:val="center"/>
            <w:hideMark/>
          </w:tcPr>
          <w:p w:rsidR="00CC3CAE" w:rsidRPr="00CC3CAE" w:rsidRDefault="00CC3CAE" w:rsidP="00CC3CAE">
            <w:pPr>
              <w:jc w:val="center"/>
              <w:rPr>
                <w:b/>
                <w:bCs/>
                <w:color w:val="000000"/>
                <w:sz w:val="22"/>
                <w:lang w:val="es-GT" w:eastAsia="es-GT"/>
              </w:rPr>
            </w:pPr>
            <w:r w:rsidRPr="00CC3CAE">
              <w:rPr>
                <w:b/>
                <w:bCs/>
                <w:color w:val="000000"/>
                <w:sz w:val="22"/>
                <w:lang w:val="es-GT" w:eastAsia="es-GT"/>
              </w:rPr>
              <w:t>Descripción</w:t>
            </w:r>
          </w:p>
        </w:tc>
        <w:tc>
          <w:tcPr>
            <w:tcW w:w="1701" w:type="dxa"/>
            <w:tcBorders>
              <w:top w:val="single" w:sz="8" w:space="0" w:color="auto"/>
              <w:left w:val="nil"/>
              <w:bottom w:val="single" w:sz="8" w:space="0" w:color="auto"/>
              <w:right w:val="single" w:sz="8" w:space="0" w:color="auto"/>
            </w:tcBorders>
            <w:shd w:val="clear" w:color="000000" w:fill="8DB4E2"/>
            <w:noWrap/>
            <w:vAlign w:val="center"/>
            <w:hideMark/>
          </w:tcPr>
          <w:p w:rsidR="00CC3CAE" w:rsidRPr="00CC3CAE" w:rsidRDefault="00CC3CAE" w:rsidP="00CC3CAE">
            <w:pPr>
              <w:jc w:val="center"/>
              <w:rPr>
                <w:b/>
                <w:bCs/>
                <w:color w:val="000000"/>
                <w:sz w:val="22"/>
                <w:lang w:val="es-GT" w:eastAsia="es-GT"/>
              </w:rPr>
            </w:pPr>
            <w:r w:rsidRPr="00CC3CAE">
              <w:rPr>
                <w:b/>
                <w:bCs/>
                <w:color w:val="000000"/>
                <w:sz w:val="22"/>
                <w:lang w:val="es-GT" w:eastAsia="es-GT"/>
              </w:rPr>
              <w:t>Beneficiarios</w:t>
            </w:r>
            <w:r>
              <w:rPr>
                <w:b/>
                <w:bCs/>
                <w:color w:val="000000"/>
                <w:sz w:val="22"/>
                <w:lang w:val="es-GT" w:eastAsia="es-GT"/>
              </w:rPr>
              <w:t>*</w:t>
            </w:r>
          </w:p>
        </w:tc>
      </w:tr>
      <w:tr w:rsidR="00CC3CAE" w:rsidRPr="00CC3CAE" w:rsidTr="00CC3CAE">
        <w:trPr>
          <w:trHeight w:val="600"/>
        </w:trPr>
        <w:tc>
          <w:tcPr>
            <w:tcW w:w="7088" w:type="dxa"/>
            <w:tcBorders>
              <w:top w:val="nil"/>
              <w:left w:val="single" w:sz="8" w:space="0" w:color="auto"/>
              <w:bottom w:val="nil"/>
              <w:right w:val="single" w:sz="4" w:space="0" w:color="auto"/>
            </w:tcBorders>
            <w:shd w:val="clear" w:color="auto" w:fill="auto"/>
            <w:vAlign w:val="bottom"/>
            <w:hideMark/>
          </w:tcPr>
          <w:p w:rsidR="00CC3CAE" w:rsidRPr="00CC3CAE" w:rsidRDefault="00CC3CAE" w:rsidP="00CC3CAE">
            <w:pPr>
              <w:rPr>
                <w:color w:val="000000"/>
                <w:sz w:val="22"/>
                <w:lang w:val="es-GT" w:eastAsia="es-GT"/>
              </w:rPr>
            </w:pPr>
            <w:r w:rsidRPr="00CC3CAE">
              <w:rPr>
                <w:color w:val="000000"/>
                <w:sz w:val="22"/>
                <w:lang w:val="es-GT" w:eastAsia="es-GT"/>
              </w:rPr>
              <w:t>Raciones de alimentos entregadas a jefes de hogar por situación de vulnerabilidad a riesgo y desastres</w:t>
            </w:r>
          </w:p>
        </w:tc>
        <w:tc>
          <w:tcPr>
            <w:tcW w:w="1701" w:type="dxa"/>
            <w:tcBorders>
              <w:top w:val="nil"/>
              <w:left w:val="nil"/>
              <w:bottom w:val="nil"/>
              <w:right w:val="single" w:sz="8" w:space="0" w:color="auto"/>
            </w:tcBorders>
            <w:shd w:val="clear" w:color="auto" w:fill="auto"/>
            <w:noWrap/>
            <w:vAlign w:val="bottom"/>
            <w:hideMark/>
          </w:tcPr>
          <w:p w:rsidR="00CC3CAE" w:rsidRPr="00CC3CAE" w:rsidRDefault="00CC3CAE" w:rsidP="00CC3CAE">
            <w:pPr>
              <w:jc w:val="right"/>
              <w:rPr>
                <w:color w:val="000000"/>
                <w:sz w:val="22"/>
                <w:lang w:val="es-GT" w:eastAsia="es-GT"/>
              </w:rPr>
            </w:pPr>
            <w:r w:rsidRPr="00CC3CAE">
              <w:rPr>
                <w:color w:val="000000"/>
                <w:sz w:val="22"/>
                <w:lang w:val="es-GT" w:eastAsia="es-GT"/>
              </w:rPr>
              <w:t>137,258</w:t>
            </w:r>
          </w:p>
        </w:tc>
      </w:tr>
      <w:tr w:rsidR="00CC3CAE" w:rsidRPr="00CC3CAE" w:rsidTr="00CC3CAE">
        <w:trPr>
          <w:trHeight w:val="571"/>
        </w:trPr>
        <w:tc>
          <w:tcPr>
            <w:tcW w:w="7088" w:type="dxa"/>
            <w:tcBorders>
              <w:top w:val="nil"/>
              <w:left w:val="single" w:sz="8" w:space="0" w:color="auto"/>
              <w:bottom w:val="nil"/>
              <w:right w:val="single" w:sz="4" w:space="0" w:color="auto"/>
            </w:tcBorders>
            <w:shd w:val="clear" w:color="auto" w:fill="auto"/>
            <w:vAlign w:val="bottom"/>
            <w:hideMark/>
          </w:tcPr>
          <w:p w:rsidR="00CC3CAE" w:rsidRPr="00CC3CAE" w:rsidRDefault="00CC3CAE" w:rsidP="00CC3CAE">
            <w:pPr>
              <w:rPr>
                <w:color w:val="000000"/>
                <w:sz w:val="22"/>
                <w:lang w:val="es-GT" w:eastAsia="es-GT"/>
              </w:rPr>
            </w:pPr>
            <w:r w:rsidRPr="00CC3CAE">
              <w:rPr>
                <w:color w:val="000000"/>
                <w:sz w:val="22"/>
                <w:lang w:val="es-GT" w:eastAsia="es-GT"/>
              </w:rPr>
              <w:t>Raciones de alimentos entregadas a jefes de hogar por acciones realizadas para el beneficio de la comunidad</w:t>
            </w:r>
          </w:p>
        </w:tc>
        <w:tc>
          <w:tcPr>
            <w:tcW w:w="1701" w:type="dxa"/>
            <w:tcBorders>
              <w:top w:val="nil"/>
              <w:left w:val="nil"/>
              <w:bottom w:val="nil"/>
              <w:right w:val="single" w:sz="8" w:space="0" w:color="auto"/>
            </w:tcBorders>
            <w:shd w:val="clear" w:color="auto" w:fill="auto"/>
            <w:noWrap/>
            <w:vAlign w:val="bottom"/>
            <w:hideMark/>
          </w:tcPr>
          <w:p w:rsidR="00CC3CAE" w:rsidRPr="00CC3CAE" w:rsidRDefault="00CC3CAE" w:rsidP="00CC3CAE">
            <w:pPr>
              <w:jc w:val="right"/>
              <w:rPr>
                <w:color w:val="000000"/>
                <w:sz w:val="22"/>
                <w:lang w:val="es-GT" w:eastAsia="es-GT"/>
              </w:rPr>
            </w:pPr>
            <w:r w:rsidRPr="00CC3CAE">
              <w:rPr>
                <w:color w:val="000000"/>
                <w:sz w:val="22"/>
                <w:lang w:val="es-GT" w:eastAsia="es-GT"/>
              </w:rPr>
              <w:t>128,983</w:t>
            </w:r>
          </w:p>
        </w:tc>
      </w:tr>
      <w:tr w:rsidR="00CC3CAE" w:rsidRPr="00CC3CAE" w:rsidTr="00CC3CAE">
        <w:trPr>
          <w:trHeight w:val="565"/>
        </w:trPr>
        <w:tc>
          <w:tcPr>
            <w:tcW w:w="7088" w:type="dxa"/>
            <w:tcBorders>
              <w:top w:val="nil"/>
              <w:left w:val="single" w:sz="8" w:space="0" w:color="auto"/>
              <w:bottom w:val="nil"/>
              <w:right w:val="single" w:sz="4" w:space="0" w:color="auto"/>
            </w:tcBorders>
            <w:shd w:val="clear" w:color="auto" w:fill="auto"/>
            <w:vAlign w:val="bottom"/>
            <w:hideMark/>
          </w:tcPr>
          <w:p w:rsidR="00CC3CAE" w:rsidRPr="00CC3CAE" w:rsidRDefault="00CC3CAE" w:rsidP="00CC3CAE">
            <w:pPr>
              <w:rPr>
                <w:color w:val="000000"/>
                <w:sz w:val="22"/>
                <w:lang w:val="es-GT" w:eastAsia="es-GT"/>
              </w:rPr>
            </w:pPr>
            <w:r w:rsidRPr="00CC3CAE">
              <w:rPr>
                <w:color w:val="000000"/>
                <w:sz w:val="22"/>
                <w:lang w:val="es-GT" w:eastAsia="es-GT"/>
              </w:rPr>
              <w:t>Raciones de alimentos entregadas a damnificados por la erupción del Volcán de Fuego</w:t>
            </w:r>
          </w:p>
        </w:tc>
        <w:tc>
          <w:tcPr>
            <w:tcW w:w="1701" w:type="dxa"/>
            <w:tcBorders>
              <w:top w:val="nil"/>
              <w:left w:val="nil"/>
              <w:bottom w:val="nil"/>
              <w:right w:val="single" w:sz="8" w:space="0" w:color="auto"/>
            </w:tcBorders>
            <w:shd w:val="clear" w:color="auto" w:fill="auto"/>
            <w:noWrap/>
            <w:vAlign w:val="bottom"/>
            <w:hideMark/>
          </w:tcPr>
          <w:p w:rsidR="00CC3CAE" w:rsidRPr="00CC3CAE" w:rsidRDefault="00CC3CAE" w:rsidP="00CC3CAE">
            <w:pPr>
              <w:jc w:val="right"/>
              <w:rPr>
                <w:color w:val="000000"/>
                <w:sz w:val="22"/>
                <w:lang w:val="es-GT" w:eastAsia="es-GT"/>
              </w:rPr>
            </w:pPr>
            <w:r w:rsidRPr="00CC3CAE">
              <w:rPr>
                <w:color w:val="000000"/>
                <w:sz w:val="22"/>
                <w:lang w:val="es-GT" w:eastAsia="es-GT"/>
              </w:rPr>
              <w:t>15,577</w:t>
            </w:r>
          </w:p>
        </w:tc>
      </w:tr>
      <w:tr w:rsidR="00CC3CAE" w:rsidRPr="00CC3CAE" w:rsidTr="00CC3CAE">
        <w:trPr>
          <w:trHeight w:val="573"/>
        </w:trPr>
        <w:tc>
          <w:tcPr>
            <w:tcW w:w="7088" w:type="dxa"/>
            <w:tcBorders>
              <w:top w:val="nil"/>
              <w:left w:val="single" w:sz="8" w:space="0" w:color="auto"/>
              <w:bottom w:val="nil"/>
              <w:right w:val="single" w:sz="4" w:space="0" w:color="auto"/>
            </w:tcBorders>
            <w:shd w:val="clear" w:color="auto" w:fill="auto"/>
            <w:vAlign w:val="bottom"/>
            <w:hideMark/>
          </w:tcPr>
          <w:p w:rsidR="00CC3CAE" w:rsidRPr="00CC3CAE" w:rsidRDefault="00CC3CAE" w:rsidP="00CC3CAE">
            <w:pPr>
              <w:rPr>
                <w:color w:val="000000"/>
                <w:sz w:val="22"/>
                <w:lang w:val="es-GT" w:eastAsia="es-GT"/>
              </w:rPr>
            </w:pPr>
            <w:r w:rsidRPr="00CC3CAE">
              <w:rPr>
                <w:color w:val="000000"/>
                <w:sz w:val="22"/>
                <w:lang w:val="es-GT" w:eastAsia="es-GT"/>
              </w:rPr>
              <w:t>Cupones canjeables por raciones de alimentos entregados a afectados por la canícula prolongada</w:t>
            </w:r>
          </w:p>
        </w:tc>
        <w:tc>
          <w:tcPr>
            <w:tcW w:w="1701" w:type="dxa"/>
            <w:tcBorders>
              <w:top w:val="nil"/>
              <w:left w:val="nil"/>
              <w:bottom w:val="nil"/>
              <w:right w:val="single" w:sz="8" w:space="0" w:color="auto"/>
            </w:tcBorders>
            <w:shd w:val="clear" w:color="auto" w:fill="auto"/>
            <w:noWrap/>
            <w:vAlign w:val="bottom"/>
            <w:hideMark/>
          </w:tcPr>
          <w:p w:rsidR="00CC3CAE" w:rsidRPr="00CC3CAE" w:rsidRDefault="00CC3CAE" w:rsidP="00CC3CAE">
            <w:pPr>
              <w:jc w:val="right"/>
              <w:rPr>
                <w:color w:val="000000"/>
                <w:sz w:val="22"/>
                <w:lang w:val="es-GT" w:eastAsia="es-GT"/>
              </w:rPr>
            </w:pPr>
            <w:r w:rsidRPr="00CC3CAE">
              <w:rPr>
                <w:color w:val="000000"/>
                <w:sz w:val="22"/>
                <w:lang w:val="es-GT" w:eastAsia="es-GT"/>
              </w:rPr>
              <w:t>300,000</w:t>
            </w:r>
          </w:p>
        </w:tc>
      </w:tr>
      <w:tr w:rsidR="00CC3CAE" w:rsidRPr="00CC3CAE" w:rsidTr="00CC3CAE">
        <w:trPr>
          <w:trHeight w:val="567"/>
        </w:trPr>
        <w:tc>
          <w:tcPr>
            <w:tcW w:w="7088" w:type="dxa"/>
            <w:tcBorders>
              <w:top w:val="nil"/>
              <w:left w:val="single" w:sz="8" w:space="0" w:color="auto"/>
              <w:bottom w:val="nil"/>
              <w:right w:val="single" w:sz="4" w:space="0" w:color="auto"/>
            </w:tcBorders>
            <w:shd w:val="clear" w:color="auto" w:fill="auto"/>
            <w:vAlign w:val="bottom"/>
            <w:hideMark/>
          </w:tcPr>
          <w:p w:rsidR="00CC3CAE" w:rsidRPr="00CC3CAE" w:rsidRDefault="00CC3CAE" w:rsidP="00CC3CAE">
            <w:pPr>
              <w:rPr>
                <w:color w:val="000000"/>
                <w:sz w:val="22"/>
                <w:lang w:val="es-GT" w:eastAsia="es-GT"/>
              </w:rPr>
            </w:pPr>
            <w:r w:rsidRPr="00CC3CAE">
              <w:rPr>
                <w:color w:val="000000"/>
                <w:sz w:val="22"/>
                <w:lang w:val="es-GT" w:eastAsia="es-GT"/>
              </w:rPr>
              <w:t>Cupones canjeables por insumos agropecuarios a caficultores afectados por la canícula prolongada y erupción del Volcán de Fuego</w:t>
            </w:r>
          </w:p>
        </w:tc>
        <w:tc>
          <w:tcPr>
            <w:tcW w:w="1701" w:type="dxa"/>
            <w:tcBorders>
              <w:top w:val="nil"/>
              <w:left w:val="nil"/>
              <w:bottom w:val="nil"/>
              <w:right w:val="single" w:sz="8" w:space="0" w:color="auto"/>
            </w:tcBorders>
            <w:shd w:val="clear" w:color="auto" w:fill="auto"/>
            <w:noWrap/>
            <w:vAlign w:val="bottom"/>
            <w:hideMark/>
          </w:tcPr>
          <w:p w:rsidR="00CC3CAE" w:rsidRPr="00CC3CAE" w:rsidRDefault="00CC3CAE" w:rsidP="00CC3CAE">
            <w:pPr>
              <w:jc w:val="right"/>
              <w:rPr>
                <w:color w:val="000000"/>
                <w:sz w:val="22"/>
                <w:lang w:val="es-GT" w:eastAsia="es-GT"/>
              </w:rPr>
            </w:pPr>
            <w:r w:rsidRPr="00CC3CAE">
              <w:rPr>
                <w:color w:val="000000"/>
                <w:sz w:val="22"/>
                <w:lang w:val="es-GT" w:eastAsia="es-GT"/>
              </w:rPr>
              <w:t>6,000</w:t>
            </w:r>
          </w:p>
        </w:tc>
      </w:tr>
      <w:tr w:rsidR="00CC3CAE" w:rsidRPr="00CC3CAE" w:rsidTr="00CC3CAE">
        <w:trPr>
          <w:trHeight w:val="278"/>
        </w:trPr>
        <w:tc>
          <w:tcPr>
            <w:tcW w:w="7088" w:type="dxa"/>
            <w:tcBorders>
              <w:top w:val="nil"/>
              <w:left w:val="single" w:sz="8" w:space="0" w:color="auto"/>
              <w:bottom w:val="single" w:sz="8" w:space="0" w:color="auto"/>
              <w:right w:val="single" w:sz="4" w:space="0" w:color="auto"/>
            </w:tcBorders>
            <w:shd w:val="clear" w:color="auto" w:fill="auto"/>
            <w:vAlign w:val="bottom"/>
            <w:hideMark/>
          </w:tcPr>
          <w:p w:rsidR="00CC3CAE" w:rsidRPr="00CC3CAE" w:rsidRDefault="00CC3CAE" w:rsidP="00CC3CAE">
            <w:pPr>
              <w:rPr>
                <w:color w:val="000000"/>
                <w:sz w:val="22"/>
                <w:lang w:val="es-GT" w:eastAsia="es-GT"/>
              </w:rPr>
            </w:pPr>
            <w:r w:rsidRPr="00CC3CAE">
              <w:rPr>
                <w:color w:val="000000"/>
                <w:sz w:val="22"/>
                <w:lang w:val="es-GT" w:eastAsia="es-GT"/>
              </w:rPr>
              <w:t>Beneficiarios indirectos (considerando 5 miembros por familia)</w:t>
            </w:r>
          </w:p>
        </w:tc>
        <w:tc>
          <w:tcPr>
            <w:tcW w:w="1701" w:type="dxa"/>
            <w:tcBorders>
              <w:top w:val="nil"/>
              <w:left w:val="nil"/>
              <w:bottom w:val="single" w:sz="8" w:space="0" w:color="auto"/>
              <w:right w:val="single" w:sz="8" w:space="0" w:color="auto"/>
            </w:tcBorders>
            <w:shd w:val="clear" w:color="auto" w:fill="auto"/>
            <w:noWrap/>
            <w:vAlign w:val="bottom"/>
            <w:hideMark/>
          </w:tcPr>
          <w:p w:rsidR="00CC3CAE" w:rsidRPr="00CC3CAE" w:rsidRDefault="00CC3CAE" w:rsidP="00CC3CAE">
            <w:pPr>
              <w:jc w:val="right"/>
              <w:rPr>
                <w:color w:val="000000"/>
                <w:sz w:val="22"/>
                <w:lang w:val="es-GT" w:eastAsia="es-GT"/>
              </w:rPr>
            </w:pPr>
            <w:r w:rsidRPr="00CC3CAE">
              <w:rPr>
                <w:color w:val="000000"/>
                <w:sz w:val="22"/>
                <w:lang w:val="es-GT" w:eastAsia="es-GT"/>
              </w:rPr>
              <w:t>2,689,090</w:t>
            </w:r>
          </w:p>
        </w:tc>
      </w:tr>
    </w:tbl>
    <w:p w:rsidR="00CC3CAE" w:rsidRPr="004E678D" w:rsidRDefault="00CC3CAE" w:rsidP="00CC3CAE">
      <w:pPr>
        <w:jc w:val="both"/>
        <w:rPr>
          <w:sz w:val="18"/>
        </w:rPr>
      </w:pPr>
      <w:r>
        <w:fldChar w:fldCharType="end"/>
      </w:r>
      <w:r w:rsidRPr="004E678D">
        <w:rPr>
          <w:sz w:val="18"/>
          <w:lang w:val="es-GT"/>
        </w:rPr>
        <w:t>* Cifras preliminares</w:t>
      </w:r>
    </w:p>
    <w:p w:rsidR="00CC3CAE" w:rsidRPr="004E678D" w:rsidRDefault="00CC3CAE" w:rsidP="00CC3CAE">
      <w:pPr>
        <w:jc w:val="both"/>
        <w:rPr>
          <w:sz w:val="18"/>
        </w:rPr>
      </w:pPr>
      <w:r w:rsidRPr="004E678D">
        <w:rPr>
          <w:sz w:val="18"/>
        </w:rPr>
        <w:t xml:space="preserve">Fuente: </w:t>
      </w:r>
      <w:r>
        <w:rPr>
          <w:sz w:val="18"/>
        </w:rPr>
        <w:t>Tercer Informe de Gobierno 2018-2019.</w:t>
      </w:r>
    </w:p>
    <w:p w:rsidR="001D7553" w:rsidRDefault="001D7553" w:rsidP="00E24F7B"/>
    <w:p w:rsidR="00872E0D" w:rsidRDefault="00872E0D" w:rsidP="00E24F7B"/>
    <w:p w:rsidR="00872E0D" w:rsidRDefault="00872E0D" w:rsidP="00E24F7B"/>
    <w:p w:rsidR="00CC3CAE" w:rsidRPr="00124AD6" w:rsidRDefault="00CC3CAE" w:rsidP="00CC3CAE">
      <w:pPr>
        <w:jc w:val="center"/>
        <w:rPr>
          <w:b/>
        </w:rPr>
      </w:pPr>
      <w:r w:rsidRPr="00124AD6">
        <w:rPr>
          <w:b/>
        </w:rPr>
        <w:t xml:space="preserve">Cuadro </w:t>
      </w:r>
      <w:r w:rsidR="005F75BB">
        <w:rPr>
          <w:b/>
        </w:rPr>
        <w:t>11</w:t>
      </w:r>
    </w:p>
    <w:p w:rsidR="00CC3CAE" w:rsidRPr="00124AD6" w:rsidRDefault="00CC3CAE" w:rsidP="00CC3CAE">
      <w:pPr>
        <w:jc w:val="center"/>
        <w:rPr>
          <w:b/>
        </w:rPr>
      </w:pPr>
      <w:r>
        <w:rPr>
          <w:b/>
        </w:rPr>
        <w:t>Intervenciones para la Prevención de la Desnutrición Crónica</w:t>
      </w:r>
    </w:p>
    <w:p w:rsidR="00CC3CAE" w:rsidRDefault="00CC3CAE" w:rsidP="00CC3CAE">
      <w:pPr>
        <w:jc w:val="center"/>
        <w:rPr>
          <w:rFonts w:ascii="Calibri" w:eastAsia="Calibri" w:hAnsi="Calibri"/>
          <w:sz w:val="20"/>
          <w:szCs w:val="20"/>
          <w:lang w:val="es-GT" w:eastAsia="es-GT"/>
        </w:rPr>
      </w:pPr>
      <w:r>
        <w:rPr>
          <w:b/>
        </w:rPr>
        <w:t>Ejercicio Fiscal 2018</w:t>
      </w:r>
      <w:r>
        <w:fldChar w:fldCharType="begin"/>
      </w:r>
      <w:r>
        <w:instrText xml:space="preserve"> LINK </w:instrText>
      </w:r>
      <w:r w:rsidR="00581D2B">
        <w:instrText xml:space="preserve">Excel.Sheet.12 "C:\\Users\\Public\\Documents\\José Antonio Menéndez Letona\\Documents\\Documents (3)\\2019\\Excel\\Varios\\Cuadros para Informe de Fin de Año 2018.xlsx" desnutrición!F6C2:F19C3 </w:instrText>
      </w:r>
      <w:r>
        <w:instrText xml:space="preserve">\a \f 4 \h  \* MERGEFORMAT </w:instrText>
      </w:r>
      <w:r>
        <w:fldChar w:fldCharType="separate"/>
      </w:r>
    </w:p>
    <w:tbl>
      <w:tblPr>
        <w:tblW w:w="8789" w:type="dxa"/>
        <w:tblInd w:w="70" w:type="dxa"/>
        <w:tblCellMar>
          <w:left w:w="70" w:type="dxa"/>
          <w:right w:w="70" w:type="dxa"/>
        </w:tblCellMar>
        <w:tblLook w:val="04A0" w:firstRow="1" w:lastRow="0" w:firstColumn="1" w:lastColumn="0" w:noHBand="0" w:noVBand="1"/>
      </w:tblPr>
      <w:tblGrid>
        <w:gridCol w:w="7088"/>
        <w:gridCol w:w="1701"/>
      </w:tblGrid>
      <w:tr w:rsidR="00CC3CAE" w:rsidRPr="00CC3CAE" w:rsidTr="00CC3CAE">
        <w:trPr>
          <w:trHeight w:val="570"/>
        </w:trPr>
        <w:tc>
          <w:tcPr>
            <w:tcW w:w="7088" w:type="dxa"/>
            <w:tcBorders>
              <w:top w:val="single" w:sz="8" w:space="0" w:color="auto"/>
              <w:left w:val="single" w:sz="8" w:space="0" w:color="auto"/>
              <w:bottom w:val="single" w:sz="8" w:space="0" w:color="auto"/>
              <w:right w:val="single" w:sz="4" w:space="0" w:color="auto"/>
            </w:tcBorders>
            <w:shd w:val="clear" w:color="000000" w:fill="8DB4E2"/>
            <w:noWrap/>
            <w:vAlign w:val="center"/>
            <w:hideMark/>
          </w:tcPr>
          <w:p w:rsidR="00CC3CAE" w:rsidRPr="00CC3CAE" w:rsidRDefault="00CC3CAE" w:rsidP="00CC3CAE">
            <w:pPr>
              <w:jc w:val="center"/>
              <w:rPr>
                <w:b/>
                <w:bCs/>
                <w:color w:val="000000"/>
                <w:sz w:val="22"/>
                <w:lang w:val="es-GT" w:eastAsia="es-GT"/>
              </w:rPr>
            </w:pPr>
            <w:r w:rsidRPr="00CC3CAE">
              <w:rPr>
                <w:b/>
                <w:bCs/>
                <w:color w:val="000000"/>
                <w:sz w:val="22"/>
                <w:lang w:val="es-GT" w:eastAsia="es-GT"/>
              </w:rPr>
              <w:t>Descripción</w:t>
            </w:r>
          </w:p>
        </w:tc>
        <w:tc>
          <w:tcPr>
            <w:tcW w:w="1701" w:type="dxa"/>
            <w:tcBorders>
              <w:top w:val="single" w:sz="8" w:space="0" w:color="auto"/>
              <w:left w:val="nil"/>
              <w:bottom w:val="single" w:sz="8" w:space="0" w:color="auto"/>
              <w:right w:val="single" w:sz="8" w:space="0" w:color="auto"/>
            </w:tcBorders>
            <w:shd w:val="clear" w:color="000000" w:fill="8DB4E2"/>
            <w:noWrap/>
            <w:vAlign w:val="center"/>
            <w:hideMark/>
          </w:tcPr>
          <w:p w:rsidR="00CC3CAE" w:rsidRPr="00CC3CAE" w:rsidRDefault="00CC3CAE" w:rsidP="00CC3CAE">
            <w:pPr>
              <w:jc w:val="center"/>
              <w:rPr>
                <w:b/>
                <w:bCs/>
                <w:color w:val="000000"/>
                <w:sz w:val="22"/>
                <w:lang w:val="es-GT" w:eastAsia="es-GT"/>
              </w:rPr>
            </w:pPr>
            <w:r w:rsidRPr="00CC3CAE">
              <w:rPr>
                <w:b/>
                <w:bCs/>
                <w:color w:val="000000"/>
                <w:sz w:val="22"/>
                <w:lang w:val="es-GT" w:eastAsia="es-GT"/>
              </w:rPr>
              <w:t>Beneficiarios</w:t>
            </w:r>
            <w:r w:rsidR="008A1A2E">
              <w:rPr>
                <w:b/>
                <w:bCs/>
                <w:color w:val="000000"/>
                <w:sz w:val="22"/>
                <w:lang w:val="es-GT" w:eastAsia="es-GT"/>
              </w:rPr>
              <w:t>*</w:t>
            </w:r>
          </w:p>
        </w:tc>
      </w:tr>
      <w:tr w:rsidR="00CC3CAE" w:rsidRPr="00CC3CAE" w:rsidTr="00CC3CAE">
        <w:trPr>
          <w:trHeight w:val="511"/>
        </w:trPr>
        <w:tc>
          <w:tcPr>
            <w:tcW w:w="7088" w:type="dxa"/>
            <w:tcBorders>
              <w:top w:val="nil"/>
              <w:left w:val="single" w:sz="8" w:space="0" w:color="auto"/>
              <w:bottom w:val="nil"/>
              <w:right w:val="single" w:sz="4" w:space="0" w:color="auto"/>
            </w:tcBorders>
            <w:shd w:val="clear" w:color="auto" w:fill="auto"/>
            <w:vAlign w:val="bottom"/>
            <w:hideMark/>
          </w:tcPr>
          <w:p w:rsidR="00CC3CAE" w:rsidRPr="00CC3CAE" w:rsidRDefault="00CC3CAE" w:rsidP="00CC3CAE">
            <w:pPr>
              <w:rPr>
                <w:color w:val="000000"/>
                <w:sz w:val="22"/>
                <w:lang w:val="es-GT" w:eastAsia="es-GT"/>
              </w:rPr>
            </w:pPr>
            <w:r w:rsidRPr="00CC3CAE">
              <w:rPr>
                <w:color w:val="000000"/>
                <w:sz w:val="22"/>
                <w:lang w:val="es-GT" w:eastAsia="es-GT"/>
              </w:rPr>
              <w:t xml:space="preserve">Niños menores de 1 </w:t>
            </w:r>
            <w:proofErr w:type="gramStart"/>
            <w:r w:rsidRPr="00CC3CAE">
              <w:rPr>
                <w:color w:val="000000"/>
                <w:sz w:val="22"/>
                <w:lang w:val="es-GT" w:eastAsia="es-GT"/>
              </w:rPr>
              <w:t>año de edad</w:t>
            </w:r>
            <w:proofErr w:type="gramEnd"/>
            <w:r w:rsidRPr="00CC3CAE">
              <w:rPr>
                <w:color w:val="000000"/>
                <w:sz w:val="22"/>
                <w:lang w:val="es-GT" w:eastAsia="es-GT"/>
              </w:rPr>
              <w:t xml:space="preserve"> vacunados de acuerdo con su edad y esquema de vacunación vigente</w:t>
            </w:r>
          </w:p>
        </w:tc>
        <w:tc>
          <w:tcPr>
            <w:tcW w:w="1701" w:type="dxa"/>
            <w:tcBorders>
              <w:top w:val="nil"/>
              <w:left w:val="nil"/>
              <w:bottom w:val="nil"/>
              <w:right w:val="single" w:sz="8" w:space="0" w:color="auto"/>
            </w:tcBorders>
            <w:shd w:val="clear" w:color="auto" w:fill="auto"/>
            <w:noWrap/>
            <w:vAlign w:val="bottom"/>
            <w:hideMark/>
          </w:tcPr>
          <w:p w:rsidR="00CC3CAE" w:rsidRPr="00CC3CAE" w:rsidRDefault="00CC3CAE" w:rsidP="00CC3CAE">
            <w:pPr>
              <w:jc w:val="right"/>
              <w:rPr>
                <w:color w:val="000000"/>
                <w:sz w:val="22"/>
                <w:lang w:val="es-GT" w:eastAsia="es-GT"/>
              </w:rPr>
            </w:pPr>
            <w:r w:rsidRPr="00CC3CAE">
              <w:rPr>
                <w:color w:val="000000"/>
                <w:sz w:val="22"/>
                <w:lang w:val="es-GT" w:eastAsia="es-GT"/>
              </w:rPr>
              <w:t>331,657</w:t>
            </w:r>
          </w:p>
        </w:tc>
      </w:tr>
      <w:tr w:rsidR="00CC3CAE" w:rsidRPr="00CC3CAE" w:rsidTr="00CC3CAE">
        <w:trPr>
          <w:trHeight w:val="425"/>
        </w:trPr>
        <w:tc>
          <w:tcPr>
            <w:tcW w:w="7088" w:type="dxa"/>
            <w:tcBorders>
              <w:top w:val="nil"/>
              <w:left w:val="single" w:sz="8" w:space="0" w:color="auto"/>
              <w:bottom w:val="nil"/>
              <w:right w:val="single" w:sz="4" w:space="0" w:color="auto"/>
            </w:tcBorders>
            <w:shd w:val="clear" w:color="auto" w:fill="auto"/>
            <w:vAlign w:val="bottom"/>
            <w:hideMark/>
          </w:tcPr>
          <w:p w:rsidR="00CC3CAE" w:rsidRPr="00CC3CAE" w:rsidRDefault="00CC3CAE" w:rsidP="00CC3CAE">
            <w:pPr>
              <w:rPr>
                <w:color w:val="000000"/>
                <w:sz w:val="22"/>
                <w:lang w:val="es-GT" w:eastAsia="es-GT"/>
              </w:rPr>
            </w:pPr>
            <w:r w:rsidRPr="00CC3CAE">
              <w:rPr>
                <w:color w:val="000000"/>
                <w:sz w:val="22"/>
                <w:lang w:val="es-GT" w:eastAsia="es-GT"/>
              </w:rPr>
              <w:t xml:space="preserve">Niños de 1 a 5 </w:t>
            </w:r>
            <w:proofErr w:type="gramStart"/>
            <w:r w:rsidRPr="00CC3CAE">
              <w:rPr>
                <w:color w:val="000000"/>
                <w:sz w:val="22"/>
                <w:lang w:val="es-GT" w:eastAsia="es-GT"/>
              </w:rPr>
              <w:t>años de edad</w:t>
            </w:r>
            <w:proofErr w:type="gramEnd"/>
            <w:r w:rsidRPr="00CC3CAE">
              <w:rPr>
                <w:color w:val="000000"/>
                <w:sz w:val="22"/>
                <w:lang w:val="es-GT" w:eastAsia="es-GT"/>
              </w:rPr>
              <w:t xml:space="preserve"> vacunados de acuerdo con su edad y esquema de vacunación vigente</w:t>
            </w:r>
          </w:p>
        </w:tc>
        <w:tc>
          <w:tcPr>
            <w:tcW w:w="1701" w:type="dxa"/>
            <w:tcBorders>
              <w:top w:val="nil"/>
              <w:left w:val="nil"/>
              <w:bottom w:val="nil"/>
              <w:right w:val="single" w:sz="8" w:space="0" w:color="auto"/>
            </w:tcBorders>
            <w:shd w:val="clear" w:color="auto" w:fill="auto"/>
            <w:noWrap/>
            <w:vAlign w:val="bottom"/>
            <w:hideMark/>
          </w:tcPr>
          <w:p w:rsidR="00CC3CAE" w:rsidRPr="00CC3CAE" w:rsidRDefault="00CC3CAE" w:rsidP="00CC3CAE">
            <w:pPr>
              <w:jc w:val="right"/>
              <w:rPr>
                <w:color w:val="000000"/>
                <w:sz w:val="22"/>
                <w:lang w:val="es-GT" w:eastAsia="es-GT"/>
              </w:rPr>
            </w:pPr>
            <w:r w:rsidRPr="00CC3CAE">
              <w:rPr>
                <w:color w:val="000000"/>
                <w:sz w:val="22"/>
                <w:lang w:val="es-GT" w:eastAsia="es-GT"/>
              </w:rPr>
              <w:t>266,687</w:t>
            </w:r>
          </w:p>
        </w:tc>
      </w:tr>
      <w:tr w:rsidR="00CC3CAE" w:rsidRPr="00CC3CAE" w:rsidTr="00CC3CAE">
        <w:trPr>
          <w:trHeight w:val="433"/>
        </w:trPr>
        <w:tc>
          <w:tcPr>
            <w:tcW w:w="7088" w:type="dxa"/>
            <w:tcBorders>
              <w:top w:val="nil"/>
              <w:left w:val="single" w:sz="8" w:space="0" w:color="auto"/>
              <w:bottom w:val="nil"/>
              <w:right w:val="single" w:sz="4" w:space="0" w:color="auto"/>
            </w:tcBorders>
            <w:shd w:val="clear" w:color="auto" w:fill="auto"/>
            <w:vAlign w:val="bottom"/>
            <w:hideMark/>
          </w:tcPr>
          <w:p w:rsidR="00CC3CAE" w:rsidRPr="00CC3CAE" w:rsidRDefault="00CC3CAE" w:rsidP="00CC3CAE">
            <w:pPr>
              <w:rPr>
                <w:color w:val="000000"/>
                <w:sz w:val="22"/>
                <w:lang w:val="es-GT" w:eastAsia="es-GT"/>
              </w:rPr>
            </w:pPr>
            <w:r w:rsidRPr="00CC3CAE">
              <w:rPr>
                <w:color w:val="000000"/>
                <w:sz w:val="22"/>
                <w:lang w:val="es-GT" w:eastAsia="es-GT"/>
              </w:rPr>
              <w:t>Madres de niños menores de 5 años que reciben consejería sobre prácticas para el cuidado infantil</w:t>
            </w:r>
          </w:p>
        </w:tc>
        <w:tc>
          <w:tcPr>
            <w:tcW w:w="1701" w:type="dxa"/>
            <w:tcBorders>
              <w:top w:val="nil"/>
              <w:left w:val="nil"/>
              <w:bottom w:val="nil"/>
              <w:right w:val="single" w:sz="8" w:space="0" w:color="auto"/>
            </w:tcBorders>
            <w:shd w:val="clear" w:color="auto" w:fill="auto"/>
            <w:noWrap/>
            <w:vAlign w:val="bottom"/>
            <w:hideMark/>
          </w:tcPr>
          <w:p w:rsidR="00CC3CAE" w:rsidRPr="00CC3CAE" w:rsidRDefault="00CC3CAE" w:rsidP="00CC3CAE">
            <w:pPr>
              <w:jc w:val="right"/>
              <w:rPr>
                <w:color w:val="000000"/>
                <w:sz w:val="22"/>
                <w:lang w:val="es-GT" w:eastAsia="es-GT"/>
              </w:rPr>
            </w:pPr>
            <w:r w:rsidRPr="00CC3CAE">
              <w:rPr>
                <w:color w:val="000000"/>
                <w:sz w:val="22"/>
                <w:lang w:val="es-GT" w:eastAsia="es-GT"/>
              </w:rPr>
              <w:t>1,465,163</w:t>
            </w:r>
          </w:p>
        </w:tc>
      </w:tr>
      <w:tr w:rsidR="00CC3CAE" w:rsidRPr="00CC3CAE" w:rsidTr="008A1A2E">
        <w:trPr>
          <w:trHeight w:val="256"/>
        </w:trPr>
        <w:tc>
          <w:tcPr>
            <w:tcW w:w="7088" w:type="dxa"/>
            <w:tcBorders>
              <w:top w:val="nil"/>
              <w:left w:val="single" w:sz="8" w:space="0" w:color="auto"/>
              <w:bottom w:val="nil"/>
              <w:right w:val="single" w:sz="4" w:space="0" w:color="auto"/>
            </w:tcBorders>
            <w:shd w:val="clear" w:color="auto" w:fill="auto"/>
            <w:vAlign w:val="center"/>
            <w:hideMark/>
          </w:tcPr>
          <w:p w:rsidR="00CC3CAE" w:rsidRPr="00CC3CAE" w:rsidRDefault="00CC3CAE" w:rsidP="00CC3CAE">
            <w:pPr>
              <w:rPr>
                <w:color w:val="000000"/>
                <w:sz w:val="22"/>
                <w:lang w:val="es-GT" w:eastAsia="es-GT"/>
              </w:rPr>
            </w:pPr>
            <w:r w:rsidRPr="00CC3CAE">
              <w:rPr>
                <w:color w:val="000000"/>
                <w:sz w:val="22"/>
                <w:lang w:val="es-GT" w:eastAsia="es-GT"/>
              </w:rPr>
              <w:t>Niños menores de 5 años con monitoreo de crecimiento</w:t>
            </w:r>
          </w:p>
        </w:tc>
        <w:tc>
          <w:tcPr>
            <w:tcW w:w="1701" w:type="dxa"/>
            <w:tcBorders>
              <w:top w:val="nil"/>
              <w:left w:val="nil"/>
              <w:bottom w:val="nil"/>
              <w:right w:val="single" w:sz="8" w:space="0" w:color="auto"/>
            </w:tcBorders>
            <w:shd w:val="clear" w:color="auto" w:fill="auto"/>
            <w:noWrap/>
            <w:vAlign w:val="center"/>
            <w:hideMark/>
          </w:tcPr>
          <w:p w:rsidR="00CC3CAE" w:rsidRPr="00CC3CAE" w:rsidRDefault="00CC3CAE" w:rsidP="00CC3CAE">
            <w:pPr>
              <w:jc w:val="right"/>
              <w:rPr>
                <w:color w:val="000000"/>
                <w:sz w:val="22"/>
                <w:lang w:val="es-GT" w:eastAsia="es-GT"/>
              </w:rPr>
            </w:pPr>
            <w:r w:rsidRPr="00CC3CAE">
              <w:rPr>
                <w:color w:val="000000"/>
                <w:sz w:val="22"/>
                <w:lang w:val="es-GT" w:eastAsia="es-GT"/>
              </w:rPr>
              <w:t>1,652,786</w:t>
            </w:r>
          </w:p>
        </w:tc>
      </w:tr>
      <w:tr w:rsidR="00CC3CAE" w:rsidRPr="00CC3CAE" w:rsidTr="008A1A2E">
        <w:trPr>
          <w:trHeight w:val="302"/>
        </w:trPr>
        <w:tc>
          <w:tcPr>
            <w:tcW w:w="7088" w:type="dxa"/>
            <w:tcBorders>
              <w:top w:val="nil"/>
              <w:left w:val="single" w:sz="8" w:space="0" w:color="auto"/>
              <w:bottom w:val="nil"/>
              <w:right w:val="single" w:sz="4" w:space="0" w:color="auto"/>
            </w:tcBorders>
            <w:shd w:val="clear" w:color="auto" w:fill="auto"/>
            <w:vAlign w:val="center"/>
            <w:hideMark/>
          </w:tcPr>
          <w:p w:rsidR="00CC3CAE" w:rsidRPr="00CC3CAE" w:rsidRDefault="00CC3CAE" w:rsidP="00CC3CAE">
            <w:pPr>
              <w:rPr>
                <w:color w:val="000000"/>
                <w:sz w:val="22"/>
                <w:lang w:val="es-GT" w:eastAsia="es-GT"/>
              </w:rPr>
            </w:pPr>
            <w:r w:rsidRPr="00CC3CAE">
              <w:rPr>
                <w:color w:val="000000"/>
                <w:sz w:val="22"/>
                <w:lang w:val="es-GT" w:eastAsia="es-GT"/>
              </w:rPr>
              <w:t>Niños menores de 5 años con suplementación de micronutrientes</w:t>
            </w:r>
          </w:p>
        </w:tc>
        <w:tc>
          <w:tcPr>
            <w:tcW w:w="1701" w:type="dxa"/>
            <w:tcBorders>
              <w:top w:val="nil"/>
              <w:left w:val="nil"/>
              <w:bottom w:val="nil"/>
              <w:right w:val="single" w:sz="8" w:space="0" w:color="auto"/>
            </w:tcBorders>
            <w:shd w:val="clear" w:color="auto" w:fill="auto"/>
            <w:noWrap/>
            <w:vAlign w:val="center"/>
            <w:hideMark/>
          </w:tcPr>
          <w:p w:rsidR="00CC3CAE" w:rsidRPr="00CC3CAE" w:rsidRDefault="00CC3CAE" w:rsidP="00CC3CAE">
            <w:pPr>
              <w:jc w:val="right"/>
              <w:rPr>
                <w:color w:val="000000"/>
                <w:sz w:val="22"/>
                <w:lang w:val="es-GT" w:eastAsia="es-GT"/>
              </w:rPr>
            </w:pPr>
            <w:r w:rsidRPr="00CC3CAE">
              <w:rPr>
                <w:color w:val="000000"/>
                <w:sz w:val="22"/>
                <w:lang w:val="es-GT" w:eastAsia="es-GT"/>
              </w:rPr>
              <w:t>716,647</w:t>
            </w:r>
          </w:p>
        </w:tc>
      </w:tr>
      <w:tr w:rsidR="00CC3CAE" w:rsidRPr="00CC3CAE" w:rsidTr="008A1A2E">
        <w:trPr>
          <w:trHeight w:val="278"/>
        </w:trPr>
        <w:tc>
          <w:tcPr>
            <w:tcW w:w="7088" w:type="dxa"/>
            <w:tcBorders>
              <w:top w:val="nil"/>
              <w:left w:val="single" w:sz="8" w:space="0" w:color="auto"/>
              <w:bottom w:val="nil"/>
              <w:right w:val="single" w:sz="4" w:space="0" w:color="auto"/>
            </w:tcBorders>
            <w:shd w:val="clear" w:color="auto" w:fill="auto"/>
            <w:vAlign w:val="center"/>
            <w:hideMark/>
          </w:tcPr>
          <w:p w:rsidR="00CC3CAE" w:rsidRPr="00CC3CAE" w:rsidRDefault="00CC3CAE" w:rsidP="00CC3CAE">
            <w:pPr>
              <w:rPr>
                <w:color w:val="000000"/>
                <w:sz w:val="22"/>
                <w:lang w:val="es-GT" w:eastAsia="es-GT"/>
              </w:rPr>
            </w:pPr>
            <w:r w:rsidRPr="00CC3CAE">
              <w:rPr>
                <w:color w:val="000000"/>
                <w:sz w:val="22"/>
                <w:lang w:val="es-GT" w:eastAsia="es-GT"/>
              </w:rPr>
              <w:t>Mujeres en edad fértil suplementadas con micronutrientes</w:t>
            </w:r>
          </w:p>
        </w:tc>
        <w:tc>
          <w:tcPr>
            <w:tcW w:w="1701" w:type="dxa"/>
            <w:tcBorders>
              <w:top w:val="nil"/>
              <w:left w:val="nil"/>
              <w:bottom w:val="nil"/>
              <w:right w:val="single" w:sz="8" w:space="0" w:color="auto"/>
            </w:tcBorders>
            <w:shd w:val="clear" w:color="auto" w:fill="auto"/>
            <w:noWrap/>
            <w:vAlign w:val="center"/>
            <w:hideMark/>
          </w:tcPr>
          <w:p w:rsidR="00CC3CAE" w:rsidRPr="00CC3CAE" w:rsidRDefault="00CC3CAE" w:rsidP="00CC3CAE">
            <w:pPr>
              <w:jc w:val="right"/>
              <w:rPr>
                <w:color w:val="000000"/>
                <w:sz w:val="22"/>
                <w:lang w:val="es-GT" w:eastAsia="es-GT"/>
              </w:rPr>
            </w:pPr>
            <w:r w:rsidRPr="00CC3CAE">
              <w:rPr>
                <w:color w:val="000000"/>
                <w:sz w:val="22"/>
                <w:lang w:val="es-GT" w:eastAsia="es-GT"/>
              </w:rPr>
              <w:t>1,674,306</w:t>
            </w:r>
          </w:p>
        </w:tc>
      </w:tr>
      <w:tr w:rsidR="00CC3CAE" w:rsidRPr="00CC3CAE" w:rsidTr="008A1A2E">
        <w:trPr>
          <w:trHeight w:val="282"/>
        </w:trPr>
        <w:tc>
          <w:tcPr>
            <w:tcW w:w="7088" w:type="dxa"/>
            <w:tcBorders>
              <w:top w:val="nil"/>
              <w:left w:val="single" w:sz="8" w:space="0" w:color="auto"/>
              <w:bottom w:val="nil"/>
              <w:right w:val="single" w:sz="4" w:space="0" w:color="auto"/>
            </w:tcBorders>
            <w:shd w:val="clear" w:color="auto" w:fill="auto"/>
            <w:vAlign w:val="center"/>
            <w:hideMark/>
          </w:tcPr>
          <w:p w:rsidR="00CC3CAE" w:rsidRPr="00CC3CAE" w:rsidRDefault="00CC3CAE" w:rsidP="00CC3CAE">
            <w:pPr>
              <w:rPr>
                <w:color w:val="000000"/>
                <w:sz w:val="22"/>
                <w:lang w:val="es-GT" w:eastAsia="es-GT"/>
              </w:rPr>
            </w:pPr>
            <w:r w:rsidRPr="00CC3CAE">
              <w:rPr>
                <w:color w:val="000000"/>
                <w:sz w:val="22"/>
                <w:lang w:val="es-GT" w:eastAsia="es-GT"/>
              </w:rPr>
              <w:t xml:space="preserve">Niños de 1 a 5 </w:t>
            </w:r>
            <w:proofErr w:type="gramStart"/>
            <w:r w:rsidRPr="00CC3CAE">
              <w:rPr>
                <w:color w:val="000000"/>
                <w:sz w:val="22"/>
                <w:lang w:val="es-GT" w:eastAsia="es-GT"/>
              </w:rPr>
              <w:t>años de edad</w:t>
            </w:r>
            <w:proofErr w:type="gramEnd"/>
            <w:r w:rsidRPr="00CC3CAE">
              <w:rPr>
                <w:color w:val="000000"/>
                <w:sz w:val="22"/>
                <w:lang w:val="es-GT" w:eastAsia="es-GT"/>
              </w:rPr>
              <w:t xml:space="preserve"> tratados con desparasitación</w:t>
            </w:r>
          </w:p>
        </w:tc>
        <w:tc>
          <w:tcPr>
            <w:tcW w:w="1701" w:type="dxa"/>
            <w:tcBorders>
              <w:top w:val="nil"/>
              <w:left w:val="nil"/>
              <w:bottom w:val="nil"/>
              <w:right w:val="single" w:sz="8" w:space="0" w:color="auto"/>
            </w:tcBorders>
            <w:shd w:val="clear" w:color="auto" w:fill="auto"/>
            <w:noWrap/>
            <w:vAlign w:val="center"/>
            <w:hideMark/>
          </w:tcPr>
          <w:p w:rsidR="00CC3CAE" w:rsidRPr="00CC3CAE" w:rsidRDefault="00CC3CAE" w:rsidP="00CC3CAE">
            <w:pPr>
              <w:jc w:val="right"/>
              <w:rPr>
                <w:color w:val="000000"/>
                <w:sz w:val="22"/>
                <w:lang w:val="es-GT" w:eastAsia="es-GT"/>
              </w:rPr>
            </w:pPr>
            <w:r w:rsidRPr="00CC3CAE">
              <w:rPr>
                <w:color w:val="000000"/>
                <w:sz w:val="22"/>
                <w:lang w:val="es-GT" w:eastAsia="es-GT"/>
              </w:rPr>
              <w:t>540,697</w:t>
            </w:r>
          </w:p>
        </w:tc>
      </w:tr>
      <w:tr w:rsidR="00CC3CAE" w:rsidRPr="00CC3CAE" w:rsidTr="008A1A2E">
        <w:trPr>
          <w:trHeight w:val="286"/>
        </w:trPr>
        <w:tc>
          <w:tcPr>
            <w:tcW w:w="7088" w:type="dxa"/>
            <w:tcBorders>
              <w:top w:val="nil"/>
              <w:left w:val="single" w:sz="8" w:space="0" w:color="auto"/>
              <w:bottom w:val="nil"/>
              <w:right w:val="single" w:sz="4" w:space="0" w:color="auto"/>
            </w:tcBorders>
            <w:shd w:val="clear" w:color="auto" w:fill="auto"/>
            <w:vAlign w:val="center"/>
            <w:hideMark/>
          </w:tcPr>
          <w:p w:rsidR="00CC3CAE" w:rsidRPr="00CC3CAE" w:rsidRDefault="00CC3CAE" w:rsidP="00CC3CAE">
            <w:pPr>
              <w:rPr>
                <w:color w:val="000000"/>
                <w:sz w:val="22"/>
                <w:lang w:val="es-GT" w:eastAsia="es-GT"/>
              </w:rPr>
            </w:pPr>
            <w:r w:rsidRPr="00CC3CAE">
              <w:rPr>
                <w:color w:val="000000"/>
                <w:sz w:val="22"/>
                <w:lang w:val="es-GT" w:eastAsia="es-GT"/>
              </w:rPr>
              <w:t>Vigilancia del agua para consumo humano y uso recreativo</w:t>
            </w:r>
          </w:p>
        </w:tc>
        <w:tc>
          <w:tcPr>
            <w:tcW w:w="1701" w:type="dxa"/>
            <w:tcBorders>
              <w:top w:val="nil"/>
              <w:left w:val="nil"/>
              <w:bottom w:val="nil"/>
              <w:right w:val="single" w:sz="8" w:space="0" w:color="auto"/>
            </w:tcBorders>
            <w:shd w:val="clear" w:color="auto" w:fill="auto"/>
            <w:noWrap/>
            <w:vAlign w:val="center"/>
            <w:hideMark/>
          </w:tcPr>
          <w:p w:rsidR="00CC3CAE" w:rsidRPr="00CC3CAE" w:rsidRDefault="00CC3CAE" w:rsidP="00CC3CAE">
            <w:pPr>
              <w:jc w:val="right"/>
              <w:rPr>
                <w:color w:val="000000"/>
                <w:sz w:val="22"/>
                <w:lang w:val="es-GT" w:eastAsia="es-GT"/>
              </w:rPr>
            </w:pPr>
            <w:r w:rsidRPr="00CC3CAE">
              <w:rPr>
                <w:color w:val="000000"/>
                <w:sz w:val="22"/>
                <w:lang w:val="es-GT" w:eastAsia="es-GT"/>
              </w:rPr>
              <w:t>146,320</w:t>
            </w:r>
          </w:p>
        </w:tc>
      </w:tr>
      <w:tr w:rsidR="00CC3CAE" w:rsidRPr="00CC3CAE" w:rsidTr="008A1A2E">
        <w:trPr>
          <w:trHeight w:val="276"/>
        </w:trPr>
        <w:tc>
          <w:tcPr>
            <w:tcW w:w="7088" w:type="dxa"/>
            <w:tcBorders>
              <w:top w:val="nil"/>
              <w:left w:val="single" w:sz="8" w:space="0" w:color="auto"/>
              <w:bottom w:val="nil"/>
              <w:right w:val="single" w:sz="4" w:space="0" w:color="auto"/>
            </w:tcBorders>
            <w:shd w:val="clear" w:color="auto" w:fill="auto"/>
            <w:vAlign w:val="center"/>
            <w:hideMark/>
          </w:tcPr>
          <w:p w:rsidR="00CC3CAE" w:rsidRPr="00CC3CAE" w:rsidRDefault="00CC3CAE" w:rsidP="00CC3CAE">
            <w:pPr>
              <w:rPr>
                <w:color w:val="000000"/>
                <w:sz w:val="22"/>
                <w:lang w:val="es-GT" w:eastAsia="es-GT"/>
              </w:rPr>
            </w:pPr>
            <w:r w:rsidRPr="00CC3CAE">
              <w:rPr>
                <w:color w:val="000000"/>
                <w:sz w:val="22"/>
                <w:lang w:val="es-GT" w:eastAsia="es-GT"/>
              </w:rPr>
              <w:t xml:space="preserve">Niños menores de 1 </w:t>
            </w:r>
            <w:proofErr w:type="gramStart"/>
            <w:r w:rsidRPr="00CC3CAE">
              <w:rPr>
                <w:color w:val="000000"/>
                <w:sz w:val="22"/>
                <w:lang w:val="es-GT" w:eastAsia="es-GT"/>
              </w:rPr>
              <w:t>año de edad</w:t>
            </w:r>
            <w:proofErr w:type="gramEnd"/>
            <w:r w:rsidRPr="00CC3CAE">
              <w:rPr>
                <w:color w:val="000000"/>
                <w:sz w:val="22"/>
                <w:lang w:val="es-GT" w:eastAsia="es-GT"/>
              </w:rPr>
              <w:t xml:space="preserve"> atendidos por infección respiratoria aguda</w:t>
            </w:r>
          </w:p>
        </w:tc>
        <w:tc>
          <w:tcPr>
            <w:tcW w:w="1701" w:type="dxa"/>
            <w:tcBorders>
              <w:top w:val="nil"/>
              <w:left w:val="nil"/>
              <w:bottom w:val="nil"/>
              <w:right w:val="single" w:sz="8" w:space="0" w:color="auto"/>
            </w:tcBorders>
            <w:shd w:val="clear" w:color="auto" w:fill="auto"/>
            <w:noWrap/>
            <w:vAlign w:val="center"/>
            <w:hideMark/>
          </w:tcPr>
          <w:p w:rsidR="00CC3CAE" w:rsidRPr="00CC3CAE" w:rsidRDefault="00CC3CAE" w:rsidP="00CC3CAE">
            <w:pPr>
              <w:jc w:val="right"/>
              <w:rPr>
                <w:color w:val="000000"/>
                <w:sz w:val="22"/>
                <w:lang w:val="es-GT" w:eastAsia="es-GT"/>
              </w:rPr>
            </w:pPr>
            <w:r w:rsidRPr="00CC3CAE">
              <w:rPr>
                <w:color w:val="000000"/>
                <w:sz w:val="22"/>
                <w:lang w:val="es-GT" w:eastAsia="es-GT"/>
              </w:rPr>
              <w:t>754,479</w:t>
            </w:r>
          </w:p>
        </w:tc>
      </w:tr>
      <w:tr w:rsidR="00CC3CAE" w:rsidRPr="00CC3CAE" w:rsidTr="008A1A2E">
        <w:trPr>
          <w:trHeight w:val="280"/>
        </w:trPr>
        <w:tc>
          <w:tcPr>
            <w:tcW w:w="7088" w:type="dxa"/>
            <w:tcBorders>
              <w:top w:val="nil"/>
              <w:left w:val="single" w:sz="8" w:space="0" w:color="auto"/>
              <w:bottom w:val="nil"/>
              <w:right w:val="single" w:sz="4" w:space="0" w:color="auto"/>
            </w:tcBorders>
            <w:shd w:val="clear" w:color="auto" w:fill="auto"/>
            <w:vAlign w:val="center"/>
            <w:hideMark/>
          </w:tcPr>
          <w:p w:rsidR="00CC3CAE" w:rsidRPr="00CC3CAE" w:rsidRDefault="00CC3CAE" w:rsidP="00CC3CAE">
            <w:pPr>
              <w:rPr>
                <w:color w:val="000000"/>
                <w:sz w:val="22"/>
                <w:lang w:val="es-GT" w:eastAsia="es-GT"/>
              </w:rPr>
            </w:pPr>
            <w:r w:rsidRPr="00CC3CAE">
              <w:rPr>
                <w:color w:val="000000"/>
                <w:sz w:val="22"/>
                <w:lang w:val="es-GT" w:eastAsia="es-GT"/>
              </w:rPr>
              <w:t xml:space="preserve">Niños menores de 1 </w:t>
            </w:r>
            <w:proofErr w:type="gramStart"/>
            <w:r w:rsidRPr="00CC3CAE">
              <w:rPr>
                <w:color w:val="000000"/>
                <w:sz w:val="22"/>
                <w:lang w:val="es-GT" w:eastAsia="es-GT"/>
              </w:rPr>
              <w:t>año de edad</w:t>
            </w:r>
            <w:proofErr w:type="gramEnd"/>
            <w:r w:rsidRPr="00CC3CAE">
              <w:rPr>
                <w:color w:val="000000"/>
                <w:sz w:val="22"/>
                <w:lang w:val="es-GT" w:eastAsia="es-GT"/>
              </w:rPr>
              <w:t xml:space="preserve"> atendidos por enfermedad diarreica aguda</w:t>
            </w:r>
          </w:p>
        </w:tc>
        <w:tc>
          <w:tcPr>
            <w:tcW w:w="1701" w:type="dxa"/>
            <w:tcBorders>
              <w:top w:val="nil"/>
              <w:left w:val="nil"/>
              <w:bottom w:val="nil"/>
              <w:right w:val="single" w:sz="8" w:space="0" w:color="auto"/>
            </w:tcBorders>
            <w:shd w:val="clear" w:color="auto" w:fill="auto"/>
            <w:noWrap/>
            <w:vAlign w:val="center"/>
            <w:hideMark/>
          </w:tcPr>
          <w:p w:rsidR="00CC3CAE" w:rsidRPr="00CC3CAE" w:rsidRDefault="00CC3CAE" w:rsidP="00CC3CAE">
            <w:pPr>
              <w:jc w:val="right"/>
              <w:rPr>
                <w:color w:val="000000"/>
                <w:sz w:val="22"/>
                <w:lang w:val="es-GT" w:eastAsia="es-GT"/>
              </w:rPr>
            </w:pPr>
            <w:r w:rsidRPr="00CC3CAE">
              <w:rPr>
                <w:color w:val="000000"/>
                <w:sz w:val="22"/>
                <w:lang w:val="es-GT" w:eastAsia="es-GT"/>
              </w:rPr>
              <w:t>318,895</w:t>
            </w:r>
          </w:p>
        </w:tc>
      </w:tr>
      <w:tr w:rsidR="00CC3CAE" w:rsidRPr="00CC3CAE" w:rsidTr="00CC3CAE">
        <w:trPr>
          <w:trHeight w:val="478"/>
        </w:trPr>
        <w:tc>
          <w:tcPr>
            <w:tcW w:w="7088" w:type="dxa"/>
            <w:tcBorders>
              <w:top w:val="nil"/>
              <w:left w:val="single" w:sz="8" w:space="0" w:color="auto"/>
              <w:bottom w:val="nil"/>
              <w:right w:val="single" w:sz="4" w:space="0" w:color="auto"/>
            </w:tcBorders>
            <w:shd w:val="clear" w:color="auto" w:fill="auto"/>
            <w:vAlign w:val="center"/>
            <w:hideMark/>
          </w:tcPr>
          <w:p w:rsidR="00CC3CAE" w:rsidRPr="00CC3CAE" w:rsidRDefault="00CC3CAE" w:rsidP="00CC3CAE">
            <w:pPr>
              <w:rPr>
                <w:color w:val="000000"/>
                <w:sz w:val="22"/>
                <w:lang w:val="es-GT" w:eastAsia="es-GT"/>
              </w:rPr>
            </w:pPr>
            <w:r w:rsidRPr="00CC3CAE">
              <w:rPr>
                <w:color w:val="000000"/>
                <w:sz w:val="22"/>
                <w:lang w:val="es-GT" w:eastAsia="es-GT"/>
              </w:rPr>
              <w:t xml:space="preserve">Niños menores de 1 </w:t>
            </w:r>
            <w:proofErr w:type="gramStart"/>
            <w:r w:rsidRPr="00CC3CAE">
              <w:rPr>
                <w:color w:val="000000"/>
                <w:sz w:val="22"/>
                <w:lang w:val="es-GT" w:eastAsia="es-GT"/>
              </w:rPr>
              <w:t>año de edad</w:t>
            </w:r>
            <w:proofErr w:type="gramEnd"/>
            <w:r w:rsidRPr="00CC3CAE">
              <w:rPr>
                <w:color w:val="000000"/>
                <w:sz w:val="22"/>
                <w:lang w:val="es-GT" w:eastAsia="es-GT"/>
              </w:rPr>
              <w:t xml:space="preserve"> con diagnóstico y tratamiento de la desnutrición aguda</w:t>
            </w:r>
          </w:p>
        </w:tc>
        <w:tc>
          <w:tcPr>
            <w:tcW w:w="1701" w:type="dxa"/>
            <w:tcBorders>
              <w:top w:val="nil"/>
              <w:left w:val="nil"/>
              <w:bottom w:val="nil"/>
              <w:right w:val="single" w:sz="8" w:space="0" w:color="auto"/>
            </w:tcBorders>
            <w:shd w:val="clear" w:color="auto" w:fill="auto"/>
            <w:noWrap/>
            <w:vAlign w:val="bottom"/>
            <w:hideMark/>
          </w:tcPr>
          <w:p w:rsidR="00CC3CAE" w:rsidRPr="00CC3CAE" w:rsidRDefault="00CC3CAE" w:rsidP="00CC3CAE">
            <w:pPr>
              <w:jc w:val="right"/>
              <w:rPr>
                <w:color w:val="000000"/>
                <w:sz w:val="22"/>
                <w:lang w:val="es-GT" w:eastAsia="es-GT"/>
              </w:rPr>
            </w:pPr>
            <w:r w:rsidRPr="00CC3CAE">
              <w:rPr>
                <w:color w:val="000000"/>
                <w:sz w:val="22"/>
                <w:lang w:val="es-GT" w:eastAsia="es-GT"/>
              </w:rPr>
              <w:t>9,219</w:t>
            </w:r>
          </w:p>
        </w:tc>
      </w:tr>
      <w:tr w:rsidR="00CC3CAE" w:rsidRPr="00CC3CAE" w:rsidTr="00CC3CAE">
        <w:trPr>
          <w:trHeight w:val="274"/>
        </w:trPr>
        <w:tc>
          <w:tcPr>
            <w:tcW w:w="7088" w:type="dxa"/>
            <w:tcBorders>
              <w:top w:val="nil"/>
              <w:left w:val="single" w:sz="8" w:space="0" w:color="auto"/>
              <w:bottom w:val="nil"/>
              <w:right w:val="single" w:sz="4" w:space="0" w:color="auto"/>
            </w:tcBorders>
            <w:shd w:val="clear" w:color="auto" w:fill="auto"/>
            <w:vAlign w:val="center"/>
            <w:hideMark/>
          </w:tcPr>
          <w:p w:rsidR="00CC3CAE" w:rsidRPr="00CC3CAE" w:rsidRDefault="00CC3CAE" w:rsidP="00CC3CAE">
            <w:pPr>
              <w:rPr>
                <w:color w:val="000000"/>
                <w:sz w:val="22"/>
                <w:lang w:val="es-GT" w:eastAsia="es-GT"/>
              </w:rPr>
            </w:pPr>
            <w:r w:rsidRPr="00CC3CAE">
              <w:rPr>
                <w:color w:val="000000"/>
                <w:sz w:val="22"/>
                <w:lang w:val="es-GT" w:eastAsia="es-GT"/>
              </w:rPr>
              <w:t>Niños de 6 a 24 meses de edad atendidos con alimentación complementaria</w:t>
            </w:r>
          </w:p>
        </w:tc>
        <w:tc>
          <w:tcPr>
            <w:tcW w:w="1701" w:type="dxa"/>
            <w:tcBorders>
              <w:top w:val="nil"/>
              <w:left w:val="nil"/>
              <w:bottom w:val="nil"/>
              <w:right w:val="single" w:sz="8" w:space="0" w:color="auto"/>
            </w:tcBorders>
            <w:shd w:val="clear" w:color="auto" w:fill="auto"/>
            <w:noWrap/>
            <w:vAlign w:val="center"/>
            <w:hideMark/>
          </w:tcPr>
          <w:p w:rsidR="00CC3CAE" w:rsidRPr="00CC3CAE" w:rsidRDefault="00CC3CAE" w:rsidP="00CC3CAE">
            <w:pPr>
              <w:jc w:val="right"/>
              <w:rPr>
                <w:color w:val="000000"/>
                <w:sz w:val="22"/>
                <w:lang w:val="es-GT" w:eastAsia="es-GT"/>
              </w:rPr>
            </w:pPr>
            <w:r w:rsidRPr="00CC3CAE">
              <w:rPr>
                <w:color w:val="000000"/>
                <w:sz w:val="22"/>
                <w:lang w:val="es-GT" w:eastAsia="es-GT"/>
              </w:rPr>
              <w:t>37,530</w:t>
            </w:r>
          </w:p>
        </w:tc>
      </w:tr>
      <w:tr w:rsidR="00CC3CAE" w:rsidRPr="00CC3CAE" w:rsidTr="00CC3CAE">
        <w:trPr>
          <w:trHeight w:val="278"/>
        </w:trPr>
        <w:tc>
          <w:tcPr>
            <w:tcW w:w="7088" w:type="dxa"/>
            <w:tcBorders>
              <w:top w:val="nil"/>
              <w:left w:val="single" w:sz="8" w:space="0" w:color="auto"/>
              <w:bottom w:val="single" w:sz="8" w:space="0" w:color="auto"/>
              <w:right w:val="single" w:sz="4" w:space="0" w:color="auto"/>
            </w:tcBorders>
            <w:shd w:val="clear" w:color="auto" w:fill="auto"/>
            <w:vAlign w:val="center"/>
            <w:hideMark/>
          </w:tcPr>
          <w:p w:rsidR="00CC3CAE" w:rsidRPr="00CC3CAE" w:rsidRDefault="00CC3CAE" w:rsidP="00CC3CAE">
            <w:pPr>
              <w:rPr>
                <w:color w:val="000000"/>
                <w:sz w:val="22"/>
                <w:lang w:val="es-GT" w:eastAsia="es-GT"/>
              </w:rPr>
            </w:pPr>
            <w:r w:rsidRPr="00CC3CAE">
              <w:rPr>
                <w:color w:val="000000"/>
                <w:sz w:val="22"/>
                <w:lang w:val="es-GT" w:eastAsia="es-GT"/>
              </w:rPr>
              <w:t>Niños menores de 2 años atendidos con vigilancia del desarrollo infantil</w:t>
            </w:r>
          </w:p>
        </w:tc>
        <w:tc>
          <w:tcPr>
            <w:tcW w:w="1701" w:type="dxa"/>
            <w:tcBorders>
              <w:top w:val="nil"/>
              <w:left w:val="nil"/>
              <w:bottom w:val="single" w:sz="8" w:space="0" w:color="auto"/>
              <w:right w:val="single" w:sz="8" w:space="0" w:color="auto"/>
            </w:tcBorders>
            <w:shd w:val="clear" w:color="auto" w:fill="auto"/>
            <w:noWrap/>
            <w:vAlign w:val="center"/>
            <w:hideMark/>
          </w:tcPr>
          <w:p w:rsidR="00CC3CAE" w:rsidRPr="00CC3CAE" w:rsidRDefault="00CC3CAE" w:rsidP="00CC3CAE">
            <w:pPr>
              <w:jc w:val="right"/>
              <w:rPr>
                <w:color w:val="000000"/>
                <w:sz w:val="22"/>
                <w:lang w:val="es-GT" w:eastAsia="es-GT"/>
              </w:rPr>
            </w:pPr>
            <w:r w:rsidRPr="00CC3CAE">
              <w:rPr>
                <w:color w:val="000000"/>
                <w:sz w:val="22"/>
                <w:lang w:val="es-GT" w:eastAsia="es-GT"/>
              </w:rPr>
              <w:t>66,293</w:t>
            </w:r>
          </w:p>
        </w:tc>
      </w:tr>
    </w:tbl>
    <w:p w:rsidR="008A1A2E" w:rsidRPr="004E678D" w:rsidRDefault="00CC3CAE" w:rsidP="008A1A2E">
      <w:pPr>
        <w:jc w:val="both"/>
        <w:rPr>
          <w:sz w:val="18"/>
        </w:rPr>
      </w:pPr>
      <w:r>
        <w:fldChar w:fldCharType="end"/>
      </w:r>
      <w:r w:rsidR="008A1A2E" w:rsidRPr="004E678D">
        <w:rPr>
          <w:sz w:val="18"/>
          <w:lang w:val="es-GT"/>
        </w:rPr>
        <w:t>* Cifras preliminares</w:t>
      </w:r>
    </w:p>
    <w:p w:rsidR="00CC3CAE" w:rsidRDefault="008A1A2E" w:rsidP="008A1A2E">
      <w:r w:rsidRPr="004E678D">
        <w:rPr>
          <w:sz w:val="18"/>
        </w:rPr>
        <w:t xml:space="preserve">Fuente: </w:t>
      </w:r>
      <w:r>
        <w:rPr>
          <w:sz w:val="18"/>
        </w:rPr>
        <w:t>Tercer Informe de Gobierno 2018-2019.</w:t>
      </w:r>
    </w:p>
    <w:p w:rsidR="008B418F" w:rsidRDefault="008B418F" w:rsidP="00E24F7B"/>
    <w:p w:rsidR="00872E0D" w:rsidRDefault="00872E0D" w:rsidP="00E24F7B"/>
    <w:p w:rsidR="008B418F" w:rsidRDefault="008B418F" w:rsidP="00E24F7B"/>
    <w:p w:rsidR="002C3A6A" w:rsidRPr="00124AD6" w:rsidRDefault="002C3A6A" w:rsidP="002C3A6A">
      <w:pPr>
        <w:jc w:val="center"/>
        <w:rPr>
          <w:b/>
        </w:rPr>
      </w:pPr>
      <w:r w:rsidRPr="00124AD6">
        <w:rPr>
          <w:b/>
        </w:rPr>
        <w:t xml:space="preserve">Cuadro </w:t>
      </w:r>
      <w:r w:rsidR="00D8680B">
        <w:rPr>
          <w:b/>
        </w:rPr>
        <w:t>1</w:t>
      </w:r>
      <w:r w:rsidR="005F75BB">
        <w:rPr>
          <w:b/>
        </w:rPr>
        <w:t>2</w:t>
      </w:r>
    </w:p>
    <w:p w:rsidR="002C3A6A" w:rsidRPr="00124AD6" w:rsidRDefault="002C3A6A" w:rsidP="002C3A6A">
      <w:pPr>
        <w:jc w:val="center"/>
        <w:rPr>
          <w:b/>
        </w:rPr>
      </w:pPr>
      <w:r>
        <w:rPr>
          <w:b/>
        </w:rPr>
        <w:t>Personas Inscritas por Nivel Educativo</w:t>
      </w:r>
    </w:p>
    <w:p w:rsidR="002C3A6A" w:rsidRDefault="002C3A6A" w:rsidP="002C3A6A">
      <w:pPr>
        <w:jc w:val="center"/>
        <w:rPr>
          <w:rFonts w:ascii="Calibri" w:eastAsia="Calibri" w:hAnsi="Calibri"/>
          <w:sz w:val="20"/>
          <w:szCs w:val="20"/>
          <w:lang w:val="es-GT" w:eastAsia="es-GT"/>
        </w:rPr>
      </w:pPr>
      <w:r>
        <w:rPr>
          <w:b/>
        </w:rPr>
        <w:t>Ejercicio Fiscal 2018</w:t>
      </w:r>
      <w:r w:rsidR="008042B8">
        <w:rPr>
          <w:b/>
        </w:rPr>
        <w:t>*</w:t>
      </w:r>
      <w:r>
        <w:fldChar w:fldCharType="begin"/>
      </w:r>
      <w:r>
        <w:instrText xml:space="preserve"> LINK </w:instrText>
      </w:r>
      <w:r w:rsidR="00581D2B">
        <w:instrText xml:space="preserve">Excel.Sheet.12 "C:\\Users\\Public\\Documents\\José Antonio Menéndez Letona\\Documents\\Documents (3)\\2019\\Excel\\Varios\\Cuadros para Informe de Fin de Año 2018.xlsx" educación!F6C2:F12C4 </w:instrText>
      </w:r>
      <w:r>
        <w:instrText xml:space="preserve">\a \f 4 \h  \* MERGEFORMAT </w:instrText>
      </w:r>
      <w:r>
        <w:fldChar w:fldCharType="separate"/>
      </w:r>
    </w:p>
    <w:tbl>
      <w:tblPr>
        <w:tblW w:w="7360" w:type="dxa"/>
        <w:jc w:val="center"/>
        <w:tblCellMar>
          <w:left w:w="70" w:type="dxa"/>
          <w:right w:w="70" w:type="dxa"/>
        </w:tblCellMar>
        <w:tblLook w:val="04A0" w:firstRow="1" w:lastRow="0" w:firstColumn="1" w:lastColumn="0" w:noHBand="0" w:noVBand="1"/>
      </w:tblPr>
      <w:tblGrid>
        <w:gridCol w:w="3320"/>
        <w:gridCol w:w="2020"/>
        <w:gridCol w:w="2020"/>
      </w:tblGrid>
      <w:tr w:rsidR="002C3A6A" w:rsidRPr="002C3A6A" w:rsidTr="002C3A6A">
        <w:trPr>
          <w:trHeight w:val="960"/>
          <w:jc w:val="center"/>
        </w:trPr>
        <w:tc>
          <w:tcPr>
            <w:tcW w:w="3320" w:type="dxa"/>
            <w:tcBorders>
              <w:top w:val="single" w:sz="8" w:space="0" w:color="auto"/>
              <w:left w:val="single" w:sz="8" w:space="0" w:color="auto"/>
              <w:bottom w:val="single" w:sz="8" w:space="0" w:color="auto"/>
              <w:right w:val="single" w:sz="4" w:space="0" w:color="auto"/>
            </w:tcBorders>
            <w:shd w:val="clear" w:color="000000" w:fill="8DB4E2"/>
            <w:noWrap/>
            <w:vAlign w:val="center"/>
            <w:hideMark/>
          </w:tcPr>
          <w:p w:rsidR="002C3A6A" w:rsidRPr="002C3A6A" w:rsidRDefault="002C3A6A">
            <w:pPr>
              <w:jc w:val="center"/>
              <w:rPr>
                <w:b/>
                <w:bCs/>
                <w:color w:val="000000"/>
                <w:sz w:val="22"/>
                <w:lang w:val="es-GT" w:eastAsia="es-GT"/>
              </w:rPr>
            </w:pPr>
            <w:r w:rsidRPr="002C3A6A">
              <w:rPr>
                <w:b/>
                <w:bCs/>
                <w:color w:val="000000"/>
                <w:sz w:val="22"/>
                <w:lang w:val="es-GT" w:eastAsia="es-GT"/>
              </w:rPr>
              <w:t>Nivel Educativo</w:t>
            </w:r>
          </w:p>
        </w:tc>
        <w:tc>
          <w:tcPr>
            <w:tcW w:w="2020" w:type="dxa"/>
            <w:tcBorders>
              <w:top w:val="single" w:sz="8" w:space="0" w:color="auto"/>
              <w:left w:val="nil"/>
              <w:bottom w:val="single" w:sz="8" w:space="0" w:color="auto"/>
              <w:right w:val="single" w:sz="4" w:space="0" w:color="auto"/>
            </w:tcBorders>
            <w:shd w:val="clear" w:color="000000" w:fill="8DB4E2"/>
            <w:noWrap/>
            <w:vAlign w:val="center"/>
            <w:hideMark/>
          </w:tcPr>
          <w:p w:rsidR="002C3A6A" w:rsidRPr="002C3A6A" w:rsidRDefault="002C3A6A" w:rsidP="002C3A6A">
            <w:pPr>
              <w:jc w:val="center"/>
              <w:rPr>
                <w:b/>
                <w:bCs/>
                <w:color w:val="000000"/>
                <w:sz w:val="22"/>
                <w:lang w:val="es-GT" w:eastAsia="es-GT"/>
              </w:rPr>
            </w:pPr>
            <w:r w:rsidRPr="002C3A6A">
              <w:rPr>
                <w:b/>
                <w:bCs/>
                <w:color w:val="000000"/>
                <w:sz w:val="22"/>
                <w:lang w:val="es-GT" w:eastAsia="es-GT"/>
              </w:rPr>
              <w:t>Inscritos</w:t>
            </w:r>
          </w:p>
        </w:tc>
        <w:tc>
          <w:tcPr>
            <w:tcW w:w="2020" w:type="dxa"/>
            <w:tcBorders>
              <w:top w:val="single" w:sz="8" w:space="0" w:color="auto"/>
              <w:left w:val="nil"/>
              <w:bottom w:val="single" w:sz="8" w:space="0" w:color="auto"/>
              <w:right w:val="single" w:sz="8" w:space="0" w:color="auto"/>
            </w:tcBorders>
            <w:shd w:val="clear" w:color="000000" w:fill="8DB4E2"/>
            <w:vAlign w:val="center"/>
            <w:hideMark/>
          </w:tcPr>
          <w:p w:rsidR="002C3A6A" w:rsidRPr="002C3A6A" w:rsidRDefault="002C3A6A" w:rsidP="002C3A6A">
            <w:pPr>
              <w:jc w:val="center"/>
              <w:rPr>
                <w:b/>
                <w:bCs/>
                <w:color w:val="000000"/>
                <w:sz w:val="22"/>
                <w:lang w:val="es-GT" w:eastAsia="es-GT"/>
              </w:rPr>
            </w:pPr>
            <w:r w:rsidRPr="002C3A6A">
              <w:rPr>
                <w:b/>
                <w:bCs/>
                <w:color w:val="000000"/>
                <w:sz w:val="22"/>
                <w:lang w:val="es-GT" w:eastAsia="es-GT"/>
              </w:rPr>
              <w:t xml:space="preserve">Incremento de la </w:t>
            </w:r>
            <w:r>
              <w:rPr>
                <w:b/>
                <w:bCs/>
                <w:color w:val="000000"/>
                <w:sz w:val="22"/>
                <w:lang w:val="es-GT" w:eastAsia="es-GT"/>
              </w:rPr>
              <w:t>A</w:t>
            </w:r>
            <w:r w:rsidRPr="002C3A6A">
              <w:rPr>
                <w:b/>
                <w:bCs/>
                <w:color w:val="000000"/>
                <w:sz w:val="22"/>
                <w:lang w:val="es-GT" w:eastAsia="es-GT"/>
              </w:rPr>
              <w:t>tención entre 2016 y 2018</w:t>
            </w:r>
          </w:p>
        </w:tc>
      </w:tr>
      <w:tr w:rsidR="002C3A6A" w:rsidRPr="002C3A6A" w:rsidTr="002C3A6A">
        <w:trPr>
          <w:trHeight w:val="495"/>
          <w:jc w:val="center"/>
        </w:trPr>
        <w:tc>
          <w:tcPr>
            <w:tcW w:w="3320" w:type="dxa"/>
            <w:tcBorders>
              <w:top w:val="nil"/>
              <w:left w:val="single" w:sz="8" w:space="0" w:color="auto"/>
              <w:bottom w:val="nil"/>
              <w:right w:val="single" w:sz="4" w:space="0" w:color="auto"/>
            </w:tcBorders>
            <w:shd w:val="clear" w:color="000000" w:fill="FFFFFF"/>
            <w:noWrap/>
            <w:vAlign w:val="center"/>
            <w:hideMark/>
          </w:tcPr>
          <w:p w:rsidR="002C3A6A" w:rsidRPr="002C3A6A" w:rsidRDefault="002C3A6A" w:rsidP="002C3A6A">
            <w:pPr>
              <w:jc w:val="center"/>
              <w:rPr>
                <w:b/>
                <w:bCs/>
                <w:color w:val="000000"/>
                <w:sz w:val="22"/>
                <w:lang w:val="es-GT" w:eastAsia="es-GT"/>
              </w:rPr>
            </w:pPr>
            <w:r w:rsidRPr="002C3A6A">
              <w:rPr>
                <w:b/>
                <w:bCs/>
                <w:color w:val="000000"/>
                <w:sz w:val="22"/>
                <w:lang w:val="es-GT" w:eastAsia="es-GT"/>
              </w:rPr>
              <w:t>Total</w:t>
            </w:r>
          </w:p>
        </w:tc>
        <w:tc>
          <w:tcPr>
            <w:tcW w:w="2020" w:type="dxa"/>
            <w:tcBorders>
              <w:top w:val="nil"/>
              <w:left w:val="nil"/>
              <w:bottom w:val="nil"/>
              <w:right w:val="single" w:sz="4" w:space="0" w:color="auto"/>
            </w:tcBorders>
            <w:shd w:val="clear" w:color="000000" w:fill="FFFFFF"/>
            <w:noWrap/>
            <w:vAlign w:val="center"/>
            <w:hideMark/>
          </w:tcPr>
          <w:p w:rsidR="002C3A6A" w:rsidRPr="002C3A6A" w:rsidRDefault="002C3A6A" w:rsidP="002C3A6A">
            <w:pPr>
              <w:jc w:val="right"/>
              <w:rPr>
                <w:b/>
                <w:bCs/>
                <w:color w:val="000000"/>
                <w:sz w:val="22"/>
                <w:lang w:val="es-GT" w:eastAsia="es-GT"/>
              </w:rPr>
            </w:pPr>
            <w:r w:rsidRPr="002C3A6A">
              <w:rPr>
                <w:b/>
                <w:bCs/>
                <w:color w:val="000000"/>
                <w:sz w:val="22"/>
                <w:lang w:val="es-GT" w:eastAsia="es-GT"/>
              </w:rPr>
              <w:t>3,041,282</w:t>
            </w:r>
          </w:p>
        </w:tc>
        <w:tc>
          <w:tcPr>
            <w:tcW w:w="2020" w:type="dxa"/>
            <w:tcBorders>
              <w:top w:val="nil"/>
              <w:left w:val="nil"/>
              <w:bottom w:val="nil"/>
              <w:right w:val="single" w:sz="8" w:space="0" w:color="auto"/>
            </w:tcBorders>
            <w:shd w:val="clear" w:color="000000" w:fill="FFFFFF"/>
            <w:vAlign w:val="center"/>
            <w:hideMark/>
          </w:tcPr>
          <w:p w:rsidR="002C3A6A" w:rsidRPr="002C3A6A" w:rsidRDefault="002C3A6A" w:rsidP="002C3A6A">
            <w:pPr>
              <w:jc w:val="right"/>
              <w:rPr>
                <w:b/>
                <w:bCs/>
                <w:color w:val="000000"/>
                <w:sz w:val="22"/>
                <w:lang w:val="es-GT" w:eastAsia="es-GT"/>
              </w:rPr>
            </w:pPr>
            <w:r w:rsidRPr="002C3A6A">
              <w:rPr>
                <w:b/>
                <w:bCs/>
                <w:color w:val="000000"/>
                <w:sz w:val="22"/>
                <w:lang w:val="es-GT" w:eastAsia="es-GT"/>
              </w:rPr>
              <w:t>100,415</w:t>
            </w:r>
          </w:p>
        </w:tc>
      </w:tr>
      <w:tr w:rsidR="002C3A6A" w:rsidRPr="002C3A6A" w:rsidTr="002C3A6A">
        <w:trPr>
          <w:trHeight w:val="172"/>
          <w:jc w:val="center"/>
        </w:trPr>
        <w:tc>
          <w:tcPr>
            <w:tcW w:w="3320" w:type="dxa"/>
            <w:tcBorders>
              <w:top w:val="nil"/>
              <w:left w:val="single" w:sz="8" w:space="0" w:color="auto"/>
              <w:bottom w:val="nil"/>
              <w:right w:val="single" w:sz="4" w:space="0" w:color="auto"/>
            </w:tcBorders>
            <w:shd w:val="clear" w:color="auto" w:fill="auto"/>
            <w:vAlign w:val="bottom"/>
            <w:hideMark/>
          </w:tcPr>
          <w:p w:rsidR="002C3A6A" w:rsidRPr="002C3A6A" w:rsidRDefault="002C3A6A" w:rsidP="002C3A6A">
            <w:pPr>
              <w:rPr>
                <w:color w:val="000000"/>
                <w:sz w:val="22"/>
                <w:lang w:val="es-GT" w:eastAsia="es-GT"/>
              </w:rPr>
            </w:pPr>
            <w:r w:rsidRPr="002C3A6A">
              <w:rPr>
                <w:color w:val="000000"/>
                <w:sz w:val="22"/>
                <w:lang w:val="es-GT" w:eastAsia="es-GT"/>
              </w:rPr>
              <w:t>Preprimaria</w:t>
            </w:r>
          </w:p>
        </w:tc>
        <w:tc>
          <w:tcPr>
            <w:tcW w:w="2020" w:type="dxa"/>
            <w:tcBorders>
              <w:top w:val="nil"/>
              <w:left w:val="nil"/>
              <w:bottom w:val="nil"/>
              <w:right w:val="single" w:sz="4" w:space="0" w:color="auto"/>
            </w:tcBorders>
            <w:shd w:val="clear" w:color="auto" w:fill="auto"/>
            <w:noWrap/>
            <w:vAlign w:val="bottom"/>
            <w:hideMark/>
          </w:tcPr>
          <w:p w:rsidR="002C3A6A" w:rsidRPr="002C3A6A" w:rsidRDefault="002C3A6A" w:rsidP="002C3A6A">
            <w:pPr>
              <w:jc w:val="right"/>
              <w:rPr>
                <w:color w:val="000000"/>
                <w:sz w:val="22"/>
                <w:lang w:val="es-GT" w:eastAsia="es-GT"/>
              </w:rPr>
            </w:pPr>
            <w:r w:rsidRPr="002C3A6A">
              <w:rPr>
                <w:color w:val="000000"/>
                <w:sz w:val="22"/>
                <w:lang w:val="es-GT" w:eastAsia="es-GT"/>
              </w:rPr>
              <w:t>525,013</w:t>
            </w:r>
          </w:p>
        </w:tc>
        <w:tc>
          <w:tcPr>
            <w:tcW w:w="2020" w:type="dxa"/>
            <w:tcBorders>
              <w:top w:val="nil"/>
              <w:left w:val="nil"/>
              <w:bottom w:val="nil"/>
              <w:right w:val="single" w:sz="8" w:space="0" w:color="auto"/>
            </w:tcBorders>
            <w:shd w:val="clear" w:color="auto" w:fill="auto"/>
            <w:noWrap/>
            <w:vAlign w:val="bottom"/>
            <w:hideMark/>
          </w:tcPr>
          <w:p w:rsidR="002C3A6A" w:rsidRPr="002C3A6A" w:rsidRDefault="002C3A6A" w:rsidP="002C3A6A">
            <w:pPr>
              <w:jc w:val="right"/>
              <w:rPr>
                <w:color w:val="000000"/>
                <w:sz w:val="22"/>
                <w:lang w:val="es-GT" w:eastAsia="es-GT"/>
              </w:rPr>
            </w:pPr>
            <w:r w:rsidRPr="002C3A6A">
              <w:rPr>
                <w:color w:val="000000"/>
                <w:sz w:val="22"/>
                <w:lang w:val="es-GT" w:eastAsia="es-GT"/>
              </w:rPr>
              <w:t>72,100</w:t>
            </w:r>
          </w:p>
        </w:tc>
      </w:tr>
      <w:tr w:rsidR="002C3A6A" w:rsidRPr="002C3A6A" w:rsidTr="002C3A6A">
        <w:trPr>
          <w:trHeight w:val="276"/>
          <w:jc w:val="center"/>
        </w:trPr>
        <w:tc>
          <w:tcPr>
            <w:tcW w:w="3320" w:type="dxa"/>
            <w:tcBorders>
              <w:top w:val="nil"/>
              <w:left w:val="single" w:sz="8" w:space="0" w:color="auto"/>
              <w:bottom w:val="nil"/>
              <w:right w:val="single" w:sz="4" w:space="0" w:color="auto"/>
            </w:tcBorders>
            <w:shd w:val="clear" w:color="auto" w:fill="auto"/>
            <w:vAlign w:val="bottom"/>
            <w:hideMark/>
          </w:tcPr>
          <w:p w:rsidR="002C3A6A" w:rsidRPr="002C3A6A" w:rsidRDefault="002C3A6A" w:rsidP="002C3A6A">
            <w:pPr>
              <w:rPr>
                <w:color w:val="000000"/>
                <w:sz w:val="22"/>
                <w:lang w:val="es-GT" w:eastAsia="es-GT"/>
              </w:rPr>
            </w:pPr>
            <w:r w:rsidRPr="002C3A6A">
              <w:rPr>
                <w:color w:val="000000"/>
                <w:sz w:val="22"/>
                <w:lang w:val="es-GT" w:eastAsia="es-GT"/>
              </w:rPr>
              <w:t>Primaria</w:t>
            </w:r>
          </w:p>
        </w:tc>
        <w:tc>
          <w:tcPr>
            <w:tcW w:w="2020" w:type="dxa"/>
            <w:tcBorders>
              <w:top w:val="nil"/>
              <w:left w:val="nil"/>
              <w:bottom w:val="nil"/>
              <w:right w:val="single" w:sz="4" w:space="0" w:color="auto"/>
            </w:tcBorders>
            <w:shd w:val="clear" w:color="auto" w:fill="auto"/>
            <w:noWrap/>
            <w:vAlign w:val="bottom"/>
            <w:hideMark/>
          </w:tcPr>
          <w:p w:rsidR="002C3A6A" w:rsidRPr="002C3A6A" w:rsidRDefault="002C3A6A" w:rsidP="002C3A6A">
            <w:pPr>
              <w:jc w:val="right"/>
              <w:rPr>
                <w:color w:val="000000"/>
                <w:sz w:val="22"/>
                <w:lang w:val="es-GT" w:eastAsia="es-GT"/>
              </w:rPr>
            </w:pPr>
            <w:r w:rsidRPr="002C3A6A">
              <w:rPr>
                <w:color w:val="000000"/>
                <w:sz w:val="22"/>
                <w:lang w:val="es-GT" w:eastAsia="es-GT"/>
              </w:rPr>
              <w:t>2,064,816</w:t>
            </w:r>
          </w:p>
        </w:tc>
        <w:tc>
          <w:tcPr>
            <w:tcW w:w="2020" w:type="dxa"/>
            <w:tcBorders>
              <w:top w:val="nil"/>
              <w:left w:val="nil"/>
              <w:bottom w:val="nil"/>
              <w:right w:val="single" w:sz="8" w:space="0" w:color="auto"/>
            </w:tcBorders>
            <w:shd w:val="clear" w:color="auto" w:fill="auto"/>
            <w:noWrap/>
            <w:vAlign w:val="bottom"/>
            <w:hideMark/>
          </w:tcPr>
          <w:p w:rsidR="002C3A6A" w:rsidRPr="002C3A6A" w:rsidRDefault="002C3A6A" w:rsidP="002C3A6A">
            <w:pPr>
              <w:jc w:val="right"/>
              <w:rPr>
                <w:color w:val="000000"/>
                <w:sz w:val="22"/>
                <w:lang w:val="es-GT" w:eastAsia="es-GT"/>
              </w:rPr>
            </w:pPr>
            <w:r w:rsidRPr="002C3A6A">
              <w:rPr>
                <w:color w:val="000000"/>
                <w:sz w:val="22"/>
                <w:lang w:val="es-GT" w:eastAsia="es-GT"/>
              </w:rPr>
              <w:t>25,455</w:t>
            </w:r>
          </w:p>
        </w:tc>
      </w:tr>
      <w:tr w:rsidR="002C3A6A" w:rsidRPr="002C3A6A" w:rsidTr="002C3A6A">
        <w:trPr>
          <w:trHeight w:val="282"/>
          <w:jc w:val="center"/>
        </w:trPr>
        <w:tc>
          <w:tcPr>
            <w:tcW w:w="3320" w:type="dxa"/>
            <w:tcBorders>
              <w:top w:val="nil"/>
              <w:left w:val="single" w:sz="8" w:space="0" w:color="auto"/>
              <w:bottom w:val="nil"/>
              <w:right w:val="single" w:sz="4" w:space="0" w:color="auto"/>
            </w:tcBorders>
            <w:shd w:val="clear" w:color="auto" w:fill="auto"/>
            <w:vAlign w:val="bottom"/>
            <w:hideMark/>
          </w:tcPr>
          <w:p w:rsidR="002C3A6A" w:rsidRPr="002C3A6A" w:rsidRDefault="002C3A6A" w:rsidP="002C3A6A">
            <w:pPr>
              <w:rPr>
                <w:color w:val="000000"/>
                <w:sz w:val="22"/>
                <w:lang w:val="es-GT" w:eastAsia="es-GT"/>
              </w:rPr>
            </w:pPr>
            <w:r w:rsidRPr="002C3A6A">
              <w:rPr>
                <w:color w:val="000000"/>
                <w:sz w:val="22"/>
                <w:lang w:val="es-GT" w:eastAsia="es-GT"/>
              </w:rPr>
              <w:t>Primaria de Adultos</w:t>
            </w:r>
          </w:p>
        </w:tc>
        <w:tc>
          <w:tcPr>
            <w:tcW w:w="2020" w:type="dxa"/>
            <w:tcBorders>
              <w:top w:val="nil"/>
              <w:left w:val="nil"/>
              <w:bottom w:val="nil"/>
              <w:right w:val="single" w:sz="4" w:space="0" w:color="auto"/>
            </w:tcBorders>
            <w:shd w:val="clear" w:color="auto" w:fill="auto"/>
            <w:noWrap/>
            <w:vAlign w:val="bottom"/>
            <w:hideMark/>
          </w:tcPr>
          <w:p w:rsidR="002C3A6A" w:rsidRPr="002C3A6A" w:rsidRDefault="002C3A6A" w:rsidP="002C3A6A">
            <w:pPr>
              <w:jc w:val="right"/>
              <w:rPr>
                <w:color w:val="000000"/>
                <w:sz w:val="22"/>
                <w:lang w:val="es-GT" w:eastAsia="es-GT"/>
              </w:rPr>
            </w:pPr>
            <w:r w:rsidRPr="002C3A6A">
              <w:rPr>
                <w:color w:val="000000"/>
                <w:sz w:val="22"/>
                <w:lang w:val="es-GT" w:eastAsia="es-GT"/>
              </w:rPr>
              <w:t>13,625</w:t>
            </w:r>
          </w:p>
        </w:tc>
        <w:tc>
          <w:tcPr>
            <w:tcW w:w="2020" w:type="dxa"/>
            <w:tcBorders>
              <w:top w:val="nil"/>
              <w:left w:val="nil"/>
              <w:bottom w:val="nil"/>
              <w:right w:val="single" w:sz="8" w:space="0" w:color="auto"/>
            </w:tcBorders>
            <w:shd w:val="clear" w:color="auto" w:fill="auto"/>
            <w:noWrap/>
            <w:vAlign w:val="bottom"/>
            <w:hideMark/>
          </w:tcPr>
          <w:p w:rsidR="002C3A6A" w:rsidRPr="002C3A6A" w:rsidRDefault="002C3A6A" w:rsidP="002C3A6A">
            <w:pPr>
              <w:jc w:val="right"/>
              <w:rPr>
                <w:color w:val="000000"/>
                <w:sz w:val="22"/>
                <w:lang w:val="es-GT" w:eastAsia="es-GT"/>
              </w:rPr>
            </w:pPr>
            <w:r w:rsidRPr="002C3A6A">
              <w:rPr>
                <w:color w:val="000000"/>
                <w:sz w:val="22"/>
                <w:lang w:val="es-GT" w:eastAsia="es-GT"/>
              </w:rPr>
              <w:t>-2,420</w:t>
            </w:r>
          </w:p>
        </w:tc>
      </w:tr>
      <w:tr w:rsidR="002C3A6A" w:rsidRPr="002C3A6A" w:rsidTr="002C3A6A">
        <w:trPr>
          <w:trHeight w:val="288"/>
          <w:jc w:val="center"/>
        </w:trPr>
        <w:tc>
          <w:tcPr>
            <w:tcW w:w="3320" w:type="dxa"/>
            <w:tcBorders>
              <w:top w:val="nil"/>
              <w:left w:val="single" w:sz="8" w:space="0" w:color="auto"/>
              <w:bottom w:val="nil"/>
              <w:right w:val="single" w:sz="4" w:space="0" w:color="auto"/>
            </w:tcBorders>
            <w:shd w:val="clear" w:color="auto" w:fill="auto"/>
            <w:vAlign w:val="bottom"/>
            <w:hideMark/>
          </w:tcPr>
          <w:p w:rsidR="002C3A6A" w:rsidRPr="002C3A6A" w:rsidRDefault="002C3A6A" w:rsidP="002C3A6A">
            <w:pPr>
              <w:rPr>
                <w:color w:val="000000"/>
                <w:sz w:val="22"/>
                <w:lang w:val="es-GT" w:eastAsia="es-GT"/>
              </w:rPr>
            </w:pPr>
            <w:r w:rsidRPr="002C3A6A">
              <w:rPr>
                <w:color w:val="000000"/>
                <w:sz w:val="22"/>
                <w:lang w:val="es-GT" w:eastAsia="es-GT"/>
              </w:rPr>
              <w:t>Básicos</w:t>
            </w:r>
          </w:p>
        </w:tc>
        <w:tc>
          <w:tcPr>
            <w:tcW w:w="2020" w:type="dxa"/>
            <w:tcBorders>
              <w:top w:val="nil"/>
              <w:left w:val="nil"/>
              <w:bottom w:val="nil"/>
              <w:right w:val="single" w:sz="4" w:space="0" w:color="auto"/>
            </w:tcBorders>
            <w:shd w:val="clear" w:color="auto" w:fill="auto"/>
            <w:noWrap/>
            <w:vAlign w:val="bottom"/>
            <w:hideMark/>
          </w:tcPr>
          <w:p w:rsidR="002C3A6A" w:rsidRPr="002C3A6A" w:rsidRDefault="002C3A6A" w:rsidP="002C3A6A">
            <w:pPr>
              <w:jc w:val="right"/>
              <w:rPr>
                <w:color w:val="000000"/>
                <w:sz w:val="22"/>
                <w:lang w:val="es-GT" w:eastAsia="es-GT"/>
              </w:rPr>
            </w:pPr>
            <w:r w:rsidRPr="002C3A6A">
              <w:rPr>
                <w:color w:val="000000"/>
                <w:sz w:val="22"/>
                <w:lang w:val="es-GT" w:eastAsia="es-GT"/>
              </w:rPr>
              <w:t>344,163</w:t>
            </w:r>
          </w:p>
        </w:tc>
        <w:tc>
          <w:tcPr>
            <w:tcW w:w="2020" w:type="dxa"/>
            <w:tcBorders>
              <w:top w:val="nil"/>
              <w:left w:val="nil"/>
              <w:bottom w:val="nil"/>
              <w:right w:val="single" w:sz="8" w:space="0" w:color="auto"/>
            </w:tcBorders>
            <w:shd w:val="clear" w:color="auto" w:fill="auto"/>
            <w:noWrap/>
            <w:vAlign w:val="bottom"/>
            <w:hideMark/>
          </w:tcPr>
          <w:p w:rsidR="002C3A6A" w:rsidRPr="002C3A6A" w:rsidRDefault="002C3A6A" w:rsidP="002C3A6A">
            <w:pPr>
              <w:jc w:val="right"/>
              <w:rPr>
                <w:color w:val="000000"/>
                <w:sz w:val="22"/>
                <w:lang w:val="es-GT" w:eastAsia="es-GT"/>
              </w:rPr>
            </w:pPr>
            <w:r w:rsidRPr="002C3A6A">
              <w:rPr>
                <w:color w:val="000000"/>
                <w:sz w:val="22"/>
                <w:lang w:val="es-GT" w:eastAsia="es-GT"/>
              </w:rPr>
              <w:t>48</w:t>
            </w:r>
          </w:p>
        </w:tc>
      </w:tr>
      <w:tr w:rsidR="002C3A6A" w:rsidRPr="002C3A6A" w:rsidTr="002C3A6A">
        <w:trPr>
          <w:trHeight w:val="293"/>
          <w:jc w:val="center"/>
        </w:trPr>
        <w:tc>
          <w:tcPr>
            <w:tcW w:w="3320" w:type="dxa"/>
            <w:tcBorders>
              <w:top w:val="nil"/>
              <w:left w:val="single" w:sz="8" w:space="0" w:color="auto"/>
              <w:bottom w:val="single" w:sz="8" w:space="0" w:color="auto"/>
              <w:right w:val="single" w:sz="4" w:space="0" w:color="auto"/>
            </w:tcBorders>
            <w:shd w:val="clear" w:color="auto" w:fill="auto"/>
            <w:vAlign w:val="bottom"/>
            <w:hideMark/>
          </w:tcPr>
          <w:p w:rsidR="002C3A6A" w:rsidRPr="002C3A6A" w:rsidRDefault="002C3A6A" w:rsidP="002C3A6A">
            <w:pPr>
              <w:rPr>
                <w:color w:val="000000"/>
                <w:sz w:val="22"/>
                <w:lang w:val="es-GT" w:eastAsia="es-GT"/>
              </w:rPr>
            </w:pPr>
            <w:r w:rsidRPr="002C3A6A">
              <w:rPr>
                <w:color w:val="000000"/>
                <w:sz w:val="22"/>
                <w:lang w:val="es-GT" w:eastAsia="es-GT"/>
              </w:rPr>
              <w:t>Diversificado</w:t>
            </w:r>
          </w:p>
        </w:tc>
        <w:tc>
          <w:tcPr>
            <w:tcW w:w="2020" w:type="dxa"/>
            <w:tcBorders>
              <w:top w:val="nil"/>
              <w:left w:val="nil"/>
              <w:bottom w:val="single" w:sz="8" w:space="0" w:color="auto"/>
              <w:right w:val="single" w:sz="4" w:space="0" w:color="auto"/>
            </w:tcBorders>
            <w:shd w:val="clear" w:color="auto" w:fill="auto"/>
            <w:noWrap/>
            <w:vAlign w:val="bottom"/>
            <w:hideMark/>
          </w:tcPr>
          <w:p w:rsidR="002C3A6A" w:rsidRPr="002C3A6A" w:rsidRDefault="002C3A6A" w:rsidP="002C3A6A">
            <w:pPr>
              <w:jc w:val="right"/>
              <w:rPr>
                <w:color w:val="000000"/>
                <w:sz w:val="22"/>
                <w:lang w:val="es-GT" w:eastAsia="es-GT"/>
              </w:rPr>
            </w:pPr>
            <w:r w:rsidRPr="002C3A6A">
              <w:rPr>
                <w:color w:val="000000"/>
                <w:sz w:val="22"/>
                <w:lang w:val="es-GT" w:eastAsia="es-GT"/>
              </w:rPr>
              <w:t>93,665</w:t>
            </w:r>
          </w:p>
        </w:tc>
        <w:tc>
          <w:tcPr>
            <w:tcW w:w="2020" w:type="dxa"/>
            <w:tcBorders>
              <w:top w:val="nil"/>
              <w:left w:val="nil"/>
              <w:bottom w:val="single" w:sz="8" w:space="0" w:color="auto"/>
              <w:right w:val="single" w:sz="8" w:space="0" w:color="auto"/>
            </w:tcBorders>
            <w:shd w:val="clear" w:color="auto" w:fill="auto"/>
            <w:noWrap/>
            <w:vAlign w:val="bottom"/>
            <w:hideMark/>
          </w:tcPr>
          <w:p w:rsidR="002C3A6A" w:rsidRPr="002C3A6A" w:rsidRDefault="002C3A6A" w:rsidP="002C3A6A">
            <w:pPr>
              <w:jc w:val="right"/>
              <w:rPr>
                <w:color w:val="000000"/>
                <w:sz w:val="22"/>
                <w:lang w:val="es-GT" w:eastAsia="es-GT"/>
              </w:rPr>
            </w:pPr>
            <w:r w:rsidRPr="002C3A6A">
              <w:rPr>
                <w:color w:val="000000"/>
                <w:sz w:val="22"/>
                <w:lang w:val="es-GT" w:eastAsia="es-GT"/>
              </w:rPr>
              <w:t>5,232</w:t>
            </w:r>
          </w:p>
        </w:tc>
      </w:tr>
    </w:tbl>
    <w:p w:rsidR="002C3A6A" w:rsidRPr="004E678D" w:rsidRDefault="002C3A6A" w:rsidP="002C3A6A">
      <w:pPr>
        <w:jc w:val="both"/>
        <w:rPr>
          <w:sz w:val="18"/>
        </w:rPr>
      </w:pPr>
      <w:r>
        <w:fldChar w:fldCharType="end"/>
      </w:r>
      <w:r>
        <w:t xml:space="preserve">            </w:t>
      </w:r>
      <w:r w:rsidRPr="004E678D">
        <w:rPr>
          <w:sz w:val="18"/>
          <w:lang w:val="es-GT"/>
        </w:rPr>
        <w:t>* Cifras preliminares</w:t>
      </w:r>
    </w:p>
    <w:p w:rsidR="00CC3CAE" w:rsidRDefault="002C3A6A" w:rsidP="002C3A6A">
      <w:r>
        <w:rPr>
          <w:sz w:val="18"/>
        </w:rPr>
        <w:t xml:space="preserve">                </w:t>
      </w:r>
      <w:r w:rsidRPr="004E678D">
        <w:rPr>
          <w:sz w:val="18"/>
        </w:rPr>
        <w:t xml:space="preserve">Fuente: </w:t>
      </w:r>
      <w:r>
        <w:rPr>
          <w:sz w:val="18"/>
        </w:rPr>
        <w:t>Tercer Informe de Gobierno 2018-2019.</w:t>
      </w:r>
    </w:p>
    <w:p w:rsidR="00CC3CAE" w:rsidRDefault="00CC3CAE" w:rsidP="00E24F7B"/>
    <w:p w:rsidR="00116540" w:rsidRDefault="00116540">
      <w:r>
        <w:br w:type="page"/>
      </w:r>
    </w:p>
    <w:p w:rsidR="006C4B3A" w:rsidRDefault="006C4B3A" w:rsidP="00E24F7B"/>
    <w:p w:rsidR="008B418F" w:rsidRPr="00124AD6" w:rsidRDefault="008B418F" w:rsidP="008B418F">
      <w:pPr>
        <w:jc w:val="center"/>
        <w:rPr>
          <w:b/>
        </w:rPr>
      </w:pPr>
      <w:r w:rsidRPr="00124AD6">
        <w:rPr>
          <w:b/>
        </w:rPr>
        <w:t xml:space="preserve">Cuadro </w:t>
      </w:r>
      <w:r w:rsidR="00FE730A">
        <w:rPr>
          <w:b/>
        </w:rPr>
        <w:t>1</w:t>
      </w:r>
      <w:r w:rsidR="005F75BB">
        <w:rPr>
          <w:b/>
        </w:rPr>
        <w:t>3</w:t>
      </w:r>
    </w:p>
    <w:p w:rsidR="003E5087" w:rsidRDefault="003E5087" w:rsidP="008B418F">
      <w:pPr>
        <w:jc w:val="center"/>
        <w:rPr>
          <w:b/>
        </w:rPr>
      </w:pPr>
      <w:r>
        <w:rPr>
          <w:b/>
        </w:rPr>
        <w:t>Tasa de Homicidios y Hechos Delictivos contra el Patrimonio</w:t>
      </w:r>
    </w:p>
    <w:p w:rsidR="008B418F" w:rsidRPr="00124AD6" w:rsidRDefault="003E5087" w:rsidP="008B418F">
      <w:pPr>
        <w:jc w:val="center"/>
        <w:rPr>
          <w:b/>
        </w:rPr>
      </w:pPr>
      <w:r>
        <w:rPr>
          <w:b/>
        </w:rPr>
        <w:t>A Nivel Departamental</w:t>
      </w:r>
    </w:p>
    <w:p w:rsidR="003E5087" w:rsidRDefault="008B418F" w:rsidP="003E5087">
      <w:pPr>
        <w:jc w:val="center"/>
        <w:rPr>
          <w:rFonts w:ascii="Calibri" w:eastAsia="Calibri" w:hAnsi="Calibri"/>
          <w:sz w:val="20"/>
          <w:szCs w:val="20"/>
          <w:lang w:val="es-GT" w:eastAsia="es-GT"/>
        </w:rPr>
      </w:pPr>
      <w:r>
        <w:rPr>
          <w:b/>
        </w:rPr>
        <w:t>Ejercicio Fiscal 2018</w:t>
      </w:r>
      <w:r w:rsidR="003E5087">
        <w:rPr>
          <w:b/>
        </w:rPr>
        <w:t>*</w:t>
      </w:r>
      <w:r w:rsidR="003E5087">
        <w:fldChar w:fldCharType="begin"/>
      </w:r>
      <w:r w:rsidR="003E5087">
        <w:instrText xml:space="preserve"> LINK </w:instrText>
      </w:r>
      <w:r w:rsidR="00581D2B">
        <w:instrText xml:space="preserve">Excel.Sheet.12 "C:\\Users\\Public\\Documents\\José Antonio Menéndez Letona\\Documents\\Documents (3)\\2019\\Excel\\Varios\\Cuadros para Informe de Fin de Año 2018.xlsx" seguridad!F6C2:F28C4 </w:instrText>
      </w:r>
      <w:r w:rsidR="003E5087">
        <w:instrText xml:space="preserve">\a \f 4 \h  \* MERGEFORMAT </w:instrText>
      </w:r>
      <w:r w:rsidR="003E5087">
        <w:fldChar w:fldCharType="separate"/>
      </w:r>
    </w:p>
    <w:tbl>
      <w:tblPr>
        <w:tblW w:w="7246" w:type="dxa"/>
        <w:jc w:val="center"/>
        <w:tblCellMar>
          <w:left w:w="70" w:type="dxa"/>
          <w:right w:w="70" w:type="dxa"/>
        </w:tblCellMar>
        <w:tblLook w:val="04A0" w:firstRow="1" w:lastRow="0" w:firstColumn="1" w:lastColumn="0" w:noHBand="0" w:noVBand="1"/>
      </w:tblPr>
      <w:tblGrid>
        <w:gridCol w:w="3135"/>
        <w:gridCol w:w="2023"/>
        <w:gridCol w:w="2088"/>
      </w:tblGrid>
      <w:tr w:rsidR="003E5087" w:rsidRPr="003E5087" w:rsidTr="00723EE3">
        <w:trPr>
          <w:trHeight w:val="550"/>
          <w:jc w:val="center"/>
        </w:trPr>
        <w:tc>
          <w:tcPr>
            <w:tcW w:w="3135" w:type="dxa"/>
            <w:tcBorders>
              <w:top w:val="single" w:sz="8" w:space="0" w:color="auto"/>
              <w:left w:val="single" w:sz="8" w:space="0" w:color="auto"/>
              <w:bottom w:val="single" w:sz="8" w:space="0" w:color="auto"/>
              <w:right w:val="single" w:sz="4" w:space="0" w:color="auto"/>
            </w:tcBorders>
            <w:shd w:val="clear" w:color="000000" w:fill="8DB4E2"/>
            <w:noWrap/>
            <w:vAlign w:val="center"/>
            <w:hideMark/>
          </w:tcPr>
          <w:p w:rsidR="003E5087" w:rsidRPr="003E5087" w:rsidRDefault="003E5087" w:rsidP="003E5087">
            <w:pPr>
              <w:jc w:val="center"/>
              <w:rPr>
                <w:b/>
                <w:bCs/>
                <w:color w:val="000000"/>
                <w:sz w:val="22"/>
                <w:szCs w:val="22"/>
                <w:lang w:val="es-GT" w:eastAsia="es-GT"/>
              </w:rPr>
            </w:pPr>
            <w:r w:rsidRPr="003E5087">
              <w:rPr>
                <w:b/>
                <w:bCs/>
                <w:color w:val="000000"/>
                <w:sz w:val="22"/>
                <w:szCs w:val="22"/>
                <w:lang w:val="es-GT" w:eastAsia="es-GT"/>
              </w:rPr>
              <w:t>Departamento</w:t>
            </w:r>
          </w:p>
        </w:tc>
        <w:tc>
          <w:tcPr>
            <w:tcW w:w="2023" w:type="dxa"/>
            <w:tcBorders>
              <w:top w:val="single" w:sz="8" w:space="0" w:color="auto"/>
              <w:left w:val="nil"/>
              <w:bottom w:val="single" w:sz="8" w:space="0" w:color="auto"/>
              <w:right w:val="single" w:sz="4" w:space="0" w:color="auto"/>
            </w:tcBorders>
            <w:shd w:val="clear" w:color="000000" w:fill="8DB4E2"/>
            <w:vAlign w:val="center"/>
            <w:hideMark/>
          </w:tcPr>
          <w:p w:rsidR="003E5087" w:rsidRPr="003E5087" w:rsidRDefault="003E5087" w:rsidP="003E5087">
            <w:pPr>
              <w:jc w:val="center"/>
              <w:rPr>
                <w:b/>
                <w:bCs/>
                <w:color w:val="000000"/>
                <w:sz w:val="22"/>
                <w:szCs w:val="22"/>
                <w:lang w:val="es-GT" w:eastAsia="es-GT"/>
              </w:rPr>
            </w:pPr>
            <w:r w:rsidRPr="003E5087">
              <w:rPr>
                <w:b/>
                <w:bCs/>
                <w:color w:val="000000"/>
                <w:sz w:val="22"/>
                <w:szCs w:val="22"/>
                <w:lang w:val="es-GT" w:eastAsia="es-GT"/>
              </w:rPr>
              <w:t>Tasa de</w:t>
            </w:r>
            <w:r>
              <w:rPr>
                <w:b/>
                <w:bCs/>
                <w:color w:val="000000"/>
                <w:sz w:val="22"/>
                <w:szCs w:val="22"/>
                <w:lang w:val="es-GT" w:eastAsia="es-GT"/>
              </w:rPr>
              <w:t xml:space="preserve"> </w:t>
            </w:r>
            <w:r w:rsidRPr="003E5087">
              <w:rPr>
                <w:b/>
                <w:bCs/>
                <w:color w:val="000000"/>
                <w:sz w:val="22"/>
                <w:szCs w:val="22"/>
                <w:lang w:val="es-GT" w:eastAsia="es-GT"/>
              </w:rPr>
              <w:t>Homicidios*</w:t>
            </w:r>
            <w:r>
              <w:rPr>
                <w:b/>
                <w:bCs/>
                <w:color w:val="000000"/>
                <w:sz w:val="22"/>
                <w:szCs w:val="22"/>
                <w:lang w:val="es-GT" w:eastAsia="es-GT"/>
              </w:rPr>
              <w:t>*</w:t>
            </w:r>
          </w:p>
        </w:tc>
        <w:tc>
          <w:tcPr>
            <w:tcW w:w="2088" w:type="dxa"/>
            <w:tcBorders>
              <w:top w:val="single" w:sz="8" w:space="0" w:color="auto"/>
              <w:left w:val="nil"/>
              <w:bottom w:val="single" w:sz="8" w:space="0" w:color="auto"/>
              <w:right w:val="single" w:sz="8" w:space="0" w:color="auto"/>
            </w:tcBorders>
            <w:shd w:val="clear" w:color="000000" w:fill="8DB4E2"/>
            <w:vAlign w:val="center"/>
            <w:hideMark/>
          </w:tcPr>
          <w:p w:rsidR="003E5087" w:rsidRPr="003E5087" w:rsidRDefault="003E5087" w:rsidP="003E5087">
            <w:pPr>
              <w:jc w:val="center"/>
              <w:rPr>
                <w:b/>
                <w:bCs/>
                <w:color w:val="000000"/>
                <w:sz w:val="22"/>
                <w:szCs w:val="22"/>
                <w:lang w:val="es-GT" w:eastAsia="es-GT"/>
              </w:rPr>
            </w:pPr>
            <w:r w:rsidRPr="003E5087">
              <w:rPr>
                <w:b/>
                <w:bCs/>
                <w:color w:val="000000"/>
                <w:sz w:val="22"/>
                <w:szCs w:val="22"/>
                <w:lang w:val="es-GT" w:eastAsia="es-GT"/>
              </w:rPr>
              <w:t>Tasa de Hechos Delictivos*</w:t>
            </w:r>
            <w:r>
              <w:rPr>
                <w:b/>
                <w:bCs/>
                <w:color w:val="000000"/>
                <w:sz w:val="22"/>
                <w:szCs w:val="22"/>
                <w:lang w:val="es-GT" w:eastAsia="es-GT"/>
              </w:rPr>
              <w:t>*</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Alta Verapaz</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6.76</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17</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Baja Verapaz</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10.46</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18</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Chimaltenango</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14.83</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47</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Chiquimula</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39.83</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57</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El Progreso</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33.63</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72</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Escuintla</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45.59</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170</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Guatemala</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42.36</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153</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Huehuetenango</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419.00</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14</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Izabal</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42.80</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108</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Jalapa</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33.92</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27</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Jutiapa</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29.69</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24</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Petén</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31.41</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28</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Quetzaltenango</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18.12</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87</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Quiché</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1.76</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2</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Retalhuleu</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19.66</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46</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Sacatepéquez</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9.92</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90</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San Marcos</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8.55</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15</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Santa Rosa</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32.29</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28</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Sololá</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3.11</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12</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Suchitepéquez</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12.34</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40</w:t>
            </w:r>
          </w:p>
        </w:tc>
      </w:tr>
      <w:tr w:rsidR="003E5087" w:rsidRPr="003E5087" w:rsidTr="003E5087">
        <w:trPr>
          <w:trHeight w:val="390"/>
          <w:jc w:val="center"/>
        </w:trPr>
        <w:tc>
          <w:tcPr>
            <w:tcW w:w="3135" w:type="dxa"/>
            <w:tcBorders>
              <w:top w:val="nil"/>
              <w:left w:val="single" w:sz="8" w:space="0" w:color="auto"/>
              <w:bottom w:val="nil"/>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Totonicapán</w:t>
            </w:r>
          </w:p>
        </w:tc>
        <w:tc>
          <w:tcPr>
            <w:tcW w:w="2023" w:type="dxa"/>
            <w:tcBorders>
              <w:top w:val="nil"/>
              <w:left w:val="nil"/>
              <w:bottom w:val="nil"/>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2.35</w:t>
            </w:r>
          </w:p>
        </w:tc>
        <w:tc>
          <w:tcPr>
            <w:tcW w:w="2088" w:type="dxa"/>
            <w:tcBorders>
              <w:top w:val="nil"/>
              <w:left w:val="nil"/>
              <w:bottom w:val="nil"/>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5</w:t>
            </w:r>
          </w:p>
        </w:tc>
      </w:tr>
      <w:tr w:rsidR="003E5087" w:rsidRPr="003E5087" w:rsidTr="003E5087">
        <w:trPr>
          <w:trHeight w:val="390"/>
          <w:jc w:val="center"/>
        </w:trPr>
        <w:tc>
          <w:tcPr>
            <w:tcW w:w="3135" w:type="dxa"/>
            <w:tcBorders>
              <w:top w:val="nil"/>
              <w:left w:val="single" w:sz="8" w:space="0" w:color="auto"/>
              <w:bottom w:val="single" w:sz="8" w:space="0" w:color="auto"/>
              <w:right w:val="single" w:sz="4" w:space="0" w:color="auto"/>
            </w:tcBorders>
            <w:shd w:val="clear" w:color="auto" w:fill="auto"/>
            <w:noWrap/>
            <w:vAlign w:val="bottom"/>
            <w:hideMark/>
          </w:tcPr>
          <w:p w:rsidR="003E5087" w:rsidRPr="003E5087" w:rsidRDefault="003E5087" w:rsidP="003E5087">
            <w:pPr>
              <w:rPr>
                <w:color w:val="000000"/>
                <w:sz w:val="22"/>
                <w:szCs w:val="22"/>
                <w:lang w:val="es-GT" w:eastAsia="es-GT"/>
              </w:rPr>
            </w:pPr>
            <w:r w:rsidRPr="003E5087">
              <w:rPr>
                <w:color w:val="000000"/>
                <w:sz w:val="22"/>
                <w:szCs w:val="22"/>
                <w:lang w:val="es-GT" w:eastAsia="es-GT"/>
              </w:rPr>
              <w:t>Zacapa</w:t>
            </w:r>
          </w:p>
        </w:tc>
        <w:tc>
          <w:tcPr>
            <w:tcW w:w="2023" w:type="dxa"/>
            <w:tcBorders>
              <w:top w:val="nil"/>
              <w:left w:val="nil"/>
              <w:bottom w:val="single" w:sz="8" w:space="0" w:color="auto"/>
              <w:right w:val="single" w:sz="4"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57.34</w:t>
            </w:r>
          </w:p>
        </w:tc>
        <w:tc>
          <w:tcPr>
            <w:tcW w:w="2088" w:type="dxa"/>
            <w:tcBorders>
              <w:top w:val="nil"/>
              <w:left w:val="nil"/>
              <w:bottom w:val="single" w:sz="8" w:space="0" w:color="auto"/>
              <w:right w:val="single" w:sz="8" w:space="0" w:color="auto"/>
            </w:tcBorders>
            <w:shd w:val="clear" w:color="auto" w:fill="auto"/>
            <w:noWrap/>
            <w:vAlign w:val="bottom"/>
            <w:hideMark/>
          </w:tcPr>
          <w:p w:rsidR="003E5087" w:rsidRPr="003E5087" w:rsidRDefault="003E5087" w:rsidP="003E5087">
            <w:pPr>
              <w:jc w:val="center"/>
              <w:rPr>
                <w:color w:val="000000"/>
                <w:sz w:val="22"/>
                <w:szCs w:val="22"/>
                <w:lang w:val="es-GT" w:eastAsia="es-GT"/>
              </w:rPr>
            </w:pPr>
            <w:r w:rsidRPr="003E5087">
              <w:rPr>
                <w:color w:val="000000"/>
                <w:sz w:val="22"/>
                <w:szCs w:val="22"/>
                <w:lang w:val="es-GT" w:eastAsia="es-GT"/>
              </w:rPr>
              <w:t>114</w:t>
            </w:r>
          </w:p>
        </w:tc>
      </w:tr>
    </w:tbl>
    <w:p w:rsidR="003E5087" w:rsidRDefault="003E5087" w:rsidP="003E5087">
      <w:pPr>
        <w:jc w:val="both"/>
        <w:rPr>
          <w:sz w:val="18"/>
          <w:lang w:val="es-GT"/>
        </w:rPr>
      </w:pPr>
      <w:r>
        <w:fldChar w:fldCharType="end"/>
      </w:r>
      <w:r>
        <w:t xml:space="preserve">             </w:t>
      </w:r>
      <w:r w:rsidRPr="004E678D">
        <w:rPr>
          <w:sz w:val="18"/>
          <w:lang w:val="es-GT"/>
        </w:rPr>
        <w:t>* Cifras preliminares</w:t>
      </w:r>
    </w:p>
    <w:p w:rsidR="003E5087" w:rsidRPr="004E678D" w:rsidRDefault="003E5087" w:rsidP="003E5087">
      <w:pPr>
        <w:jc w:val="both"/>
        <w:rPr>
          <w:sz w:val="18"/>
        </w:rPr>
      </w:pPr>
      <w:r>
        <w:rPr>
          <w:sz w:val="18"/>
          <w:lang w:val="es-GT"/>
        </w:rPr>
        <w:t xml:space="preserve">                ** Por cada 100,000 habitantes</w:t>
      </w:r>
    </w:p>
    <w:p w:rsidR="00CC3CAE" w:rsidRDefault="003E5087" w:rsidP="003E5087">
      <w:r>
        <w:rPr>
          <w:sz w:val="18"/>
        </w:rPr>
        <w:t xml:space="preserve">                  </w:t>
      </w:r>
      <w:r w:rsidRPr="004E678D">
        <w:rPr>
          <w:sz w:val="18"/>
        </w:rPr>
        <w:t xml:space="preserve">Fuente: </w:t>
      </w:r>
      <w:r>
        <w:rPr>
          <w:sz w:val="18"/>
        </w:rPr>
        <w:t>Tercer Informe de Gobierno 2018-2019.</w:t>
      </w:r>
    </w:p>
    <w:p w:rsidR="00CC3CAE" w:rsidRDefault="00CC3CAE" w:rsidP="00E24F7B"/>
    <w:p w:rsidR="00723EE3" w:rsidRDefault="00723EE3" w:rsidP="00723EE3">
      <w:pPr>
        <w:jc w:val="both"/>
      </w:pPr>
      <w:r>
        <w:t>Además, de conformidad al Plan Nacional de Desarrollo K’atun, Nuestra Guatemala 2032 se desarrollan acciones encaminadas al logro de los cinco ejes de la Política General de Gobierno 2016-2020, que contribuyan a los Objetivos de Desarrollo Sostenible (ODS).</w:t>
      </w:r>
    </w:p>
    <w:p w:rsidR="005F75BB" w:rsidRDefault="005F75BB" w:rsidP="00723EE3">
      <w:pPr>
        <w:jc w:val="both"/>
      </w:pPr>
    </w:p>
    <w:p w:rsidR="00723EE3" w:rsidRDefault="00723EE3" w:rsidP="00723EE3">
      <w:pPr>
        <w:pStyle w:val="Prrafodelista"/>
        <w:numPr>
          <w:ilvl w:val="0"/>
          <w:numId w:val="41"/>
        </w:numPr>
        <w:jc w:val="both"/>
      </w:pPr>
      <w:r>
        <w:t>Tolerancia cero a la corrupción y modernización del Estado.</w:t>
      </w:r>
    </w:p>
    <w:p w:rsidR="00723EE3" w:rsidRDefault="00723EE3" w:rsidP="00723EE3">
      <w:pPr>
        <w:pStyle w:val="Prrafodelista"/>
        <w:numPr>
          <w:ilvl w:val="0"/>
          <w:numId w:val="41"/>
        </w:numPr>
        <w:jc w:val="both"/>
      </w:pPr>
      <w:r>
        <w:t>Seguridad alimentaria y nutricional, salud integral y educación de calidad.</w:t>
      </w:r>
    </w:p>
    <w:p w:rsidR="00723EE3" w:rsidRDefault="00723EE3" w:rsidP="00723EE3">
      <w:pPr>
        <w:pStyle w:val="Prrafodelista"/>
        <w:numPr>
          <w:ilvl w:val="0"/>
          <w:numId w:val="41"/>
        </w:numPr>
        <w:jc w:val="both"/>
      </w:pPr>
      <w:r>
        <w:t>Fomento de las Mypimes, turismo, vivienda y trabajo digno y decente.</w:t>
      </w:r>
    </w:p>
    <w:p w:rsidR="00723EE3" w:rsidRDefault="00723EE3" w:rsidP="00723EE3">
      <w:pPr>
        <w:pStyle w:val="Prrafodelista"/>
        <w:numPr>
          <w:ilvl w:val="0"/>
          <w:numId w:val="41"/>
        </w:numPr>
        <w:jc w:val="both"/>
      </w:pPr>
      <w:r>
        <w:t>Seguridad ciudadana.</w:t>
      </w:r>
    </w:p>
    <w:p w:rsidR="00723EE3" w:rsidRDefault="00723EE3" w:rsidP="00723EE3">
      <w:pPr>
        <w:pStyle w:val="Prrafodelista"/>
        <w:numPr>
          <w:ilvl w:val="0"/>
          <w:numId w:val="41"/>
        </w:numPr>
        <w:jc w:val="both"/>
      </w:pPr>
      <w:r>
        <w:t>Ambiente y recursos naturales.</w:t>
      </w:r>
    </w:p>
    <w:p w:rsidR="00723EE3" w:rsidRDefault="00723EE3" w:rsidP="00723EE3">
      <w:pPr>
        <w:jc w:val="both"/>
      </w:pPr>
    </w:p>
    <w:p w:rsidR="00CC3CAE" w:rsidRDefault="00723EE3" w:rsidP="00723EE3">
      <w:pPr>
        <w:jc w:val="both"/>
      </w:pPr>
      <w:r>
        <w:t>De esa cuenta, existe una serie de indicadores</w:t>
      </w:r>
      <w:r w:rsidR="006C4B3A">
        <w:t>, metas</w:t>
      </w:r>
      <w:r>
        <w:t xml:space="preserve"> y resultados alcanzados</w:t>
      </w:r>
      <w:r w:rsidR="006C4B3A">
        <w:t xml:space="preserve"> en 2018 cuyo detalle sería demasiado extenso (consultar Tercer Informe de Gobierno 2018-2019)</w:t>
      </w:r>
      <w:r>
        <w:t xml:space="preserve"> que se enmarcan en temas</w:t>
      </w:r>
      <w:r w:rsidR="007146F3">
        <w:t>,</w:t>
      </w:r>
      <w:r>
        <w:t xml:space="preserve"> tales como: </w:t>
      </w:r>
      <w:r w:rsidR="00807118">
        <w:t xml:space="preserve">promoción de la </w:t>
      </w:r>
      <w:r>
        <w:t xml:space="preserve">transparencia y </w:t>
      </w:r>
      <w:r w:rsidR="00807118">
        <w:t>lucha contra</w:t>
      </w:r>
      <w:r>
        <w:t xml:space="preserve"> la corrupción; </w:t>
      </w:r>
      <w:r w:rsidR="008C1784">
        <w:t>modernización del Estado; seguridad alimentaria; salud; educación; acciones de protección social; infraestructura para la productividad y competitividad; gestión ambiental y de los recursos naturales; ordenamiento territorial; energías renovables; gestión de riesgo</w:t>
      </w:r>
      <w:r w:rsidR="007146F3">
        <w:t>;</w:t>
      </w:r>
      <w:r w:rsidR="008C1784">
        <w:t xml:space="preserve"> seguridad interna; entorno macroeconómico; política fiscal sostenible, entre otros.</w:t>
      </w:r>
    </w:p>
    <w:p w:rsidR="009A0BB6" w:rsidRPr="003B0A7E" w:rsidRDefault="009A0BB6" w:rsidP="00723EE3">
      <w:pPr>
        <w:jc w:val="both"/>
        <w:rPr>
          <w:sz w:val="18"/>
        </w:rPr>
      </w:pPr>
    </w:p>
    <w:p w:rsidR="009A0BB6" w:rsidRDefault="009A0BB6" w:rsidP="009A0BB6">
      <w:pPr>
        <w:pStyle w:val="Ttulo2"/>
        <w:numPr>
          <w:ilvl w:val="0"/>
          <w:numId w:val="6"/>
        </w:numPr>
        <w:spacing w:line="276" w:lineRule="auto"/>
        <w:ind w:left="567" w:hanging="567"/>
        <w:rPr>
          <w:rFonts w:ascii="Times New Roman" w:hAnsi="Times New Roman"/>
          <w:color w:val="auto"/>
          <w:sz w:val="24"/>
          <w:szCs w:val="24"/>
        </w:rPr>
      </w:pPr>
      <w:bookmarkStart w:id="33" w:name="_Toc4775345"/>
      <w:r>
        <w:rPr>
          <w:rFonts w:ascii="Times New Roman" w:hAnsi="Times New Roman"/>
          <w:color w:val="auto"/>
          <w:sz w:val="24"/>
          <w:szCs w:val="24"/>
        </w:rPr>
        <w:t>Fondos Extrapresupuestarios</w:t>
      </w:r>
      <w:bookmarkEnd w:id="33"/>
    </w:p>
    <w:p w:rsidR="009A0BB6" w:rsidRPr="003B0A7E" w:rsidRDefault="009A0BB6" w:rsidP="00E24F7B">
      <w:pPr>
        <w:rPr>
          <w:sz w:val="20"/>
        </w:rPr>
      </w:pPr>
    </w:p>
    <w:p w:rsidR="009A0BB6" w:rsidRDefault="009A0BB6" w:rsidP="00BF239D">
      <w:pPr>
        <w:jc w:val="both"/>
      </w:pPr>
      <w:r>
        <w:t xml:space="preserve">Tanto el Proyecto </w:t>
      </w:r>
      <w:r w:rsidR="00AB214E">
        <w:t xml:space="preserve">de Presupuesto </w:t>
      </w:r>
      <w:r>
        <w:t xml:space="preserve">que se traslada al Congreso de la República para su análisis y aprobación, como el Presupuesto General de Ingresos y Egresos del Estado del Ejercicio Fiscal que corresponda, contiene el detalle y desglose </w:t>
      </w:r>
      <w:r w:rsidR="00AB214E">
        <w:t xml:space="preserve">de </w:t>
      </w:r>
      <w:r>
        <w:t xml:space="preserve">los ingresos y gastos de las entidades de la Administración Central. Por lo tanto, </w:t>
      </w:r>
      <w:r w:rsidR="00FB1D8B">
        <w:t>existen</w:t>
      </w:r>
      <w:r>
        <w:t xml:space="preserve"> otras asignaciones que al </w:t>
      </w:r>
      <w:r w:rsidR="00FB1D8B">
        <w:t>no figurar en</w:t>
      </w:r>
      <w:r>
        <w:t xml:space="preserve"> </w:t>
      </w:r>
      <w:r w:rsidR="00FB1D8B">
        <w:t xml:space="preserve">dichos </w:t>
      </w:r>
      <w:r>
        <w:t xml:space="preserve">documentos se consideran fondos extrapresupuestarios, entre los cuales se pueden mencionar: los ingresos propios o privativos, los saldos de caja, </w:t>
      </w:r>
      <w:r w:rsidR="00FB1D8B">
        <w:t xml:space="preserve">las rentas de la propiedad, </w:t>
      </w:r>
      <w:r>
        <w:t>los ingresos de operación, las transferencias corrientes y de capital, entre otros, de las entidades descentralizadas y autónomas y de las municipalidades del país.</w:t>
      </w:r>
      <w:r w:rsidR="001D785F">
        <w:t xml:space="preserve"> En este detalle de asignaciones extrapresupuestarias se deben excluir las transferencias corrientes y de capital que la Administración Central traslada a </w:t>
      </w:r>
      <w:r w:rsidR="00AB214E">
        <w:t>las</w:t>
      </w:r>
      <w:r w:rsidR="00ED0678">
        <w:t xml:space="preserve"> instituciones </w:t>
      </w:r>
      <w:r w:rsidR="00DB23E7">
        <w:t xml:space="preserve">descentralizadas y autónomas </w:t>
      </w:r>
      <w:r w:rsidR="00AB214E">
        <w:t xml:space="preserve">y a los gobiernos locales </w:t>
      </w:r>
      <w:r w:rsidR="00ED0678">
        <w:t>en calidad de aportes constitucionales o por leyes específicas</w:t>
      </w:r>
      <w:r w:rsidR="001D785F">
        <w:t xml:space="preserve">, </w:t>
      </w:r>
      <w:r w:rsidR="004020FA">
        <w:t xml:space="preserve">ya que dichos </w:t>
      </w:r>
      <w:r w:rsidR="001D785F">
        <w:t xml:space="preserve">montos </w:t>
      </w:r>
      <w:r w:rsidR="00FB1D8B">
        <w:t xml:space="preserve">sí </w:t>
      </w:r>
      <w:r w:rsidR="001D785F">
        <w:t>fueron incluidos en la formulación y aprobación del Presupuesto General de Ingresos y Egresos del Estado</w:t>
      </w:r>
      <w:r w:rsidR="00DB23E7">
        <w:t xml:space="preserve">, programados en la entidad </w:t>
      </w:r>
      <w:r w:rsidR="0099768A">
        <w:t xml:space="preserve">otorgante </w:t>
      </w:r>
      <w:r w:rsidR="00DB23E7">
        <w:t>que correspond</w:t>
      </w:r>
      <w:r w:rsidR="00FB1D8B">
        <w:t>a</w:t>
      </w:r>
      <w:r w:rsidR="001D785F">
        <w:t>.</w:t>
      </w:r>
    </w:p>
    <w:p w:rsidR="009A0BB6" w:rsidRPr="003B0A7E" w:rsidRDefault="009A0BB6" w:rsidP="00BF239D">
      <w:pPr>
        <w:jc w:val="both"/>
        <w:rPr>
          <w:sz w:val="22"/>
        </w:rPr>
      </w:pPr>
    </w:p>
    <w:p w:rsidR="000E0C87" w:rsidRDefault="00F6432D" w:rsidP="00BF239D">
      <w:pPr>
        <w:jc w:val="both"/>
      </w:pPr>
      <w:r>
        <w:t xml:space="preserve">De esa cuenta, en los siguientes dos cuadros se presenta el Presupuesto de Ingresos Aprobado y </w:t>
      </w:r>
      <w:r w:rsidR="00A3418E">
        <w:t xml:space="preserve">el </w:t>
      </w:r>
      <w:r w:rsidR="008136F3">
        <w:t xml:space="preserve">Presupuesto de Ingresos </w:t>
      </w:r>
      <w:r>
        <w:t xml:space="preserve">Percibido </w:t>
      </w:r>
      <w:r w:rsidR="00700012">
        <w:t xml:space="preserve">en el </w:t>
      </w:r>
      <w:r>
        <w:t xml:space="preserve">Ejercicio Fiscal 2018, de las entidades descentralizadas y autónomas (sin incluir </w:t>
      </w:r>
      <w:r w:rsidR="00A3418E">
        <w:t>los</w:t>
      </w:r>
      <w:r>
        <w:t xml:space="preserve"> aporte</w:t>
      </w:r>
      <w:r w:rsidR="00A3418E">
        <w:t>s</w:t>
      </w:r>
      <w:r>
        <w:t xml:space="preserve"> de la Administración Central), bajo la Clasificación de Recursos por Rubro</w:t>
      </w:r>
      <w:r w:rsidR="00700012">
        <w:t>, en los cuales se puede destacar que en su conjunto, estas entidades realizaron el 56.3% de su presupuesto de ingresos aprobado, lo que significa un bajo nivel de efectividad para percibir los ingresos programados, situación que vuelve a muchas de estas entidades, en altamente dependientes de los aportes del Gobierno Central para financiar sus actividades diarias.</w:t>
      </w:r>
      <w:r w:rsidR="008136F3">
        <w:t xml:space="preserve"> Esto ha ocasionado la emisión de leyes específicas para asignar y/o incrementar el traslado de recursos públicos vía aportes o transferencias, situación que provoca un alto nivel de rigide</w:t>
      </w:r>
      <w:r w:rsidR="00A3418E">
        <w:t>z</w:t>
      </w:r>
      <w:r w:rsidR="008136F3">
        <w:t xml:space="preserve"> al Presupuesto General de Ingresos y Egresos del Estado, ocasionando </w:t>
      </w:r>
      <w:r w:rsidR="00A3418E">
        <w:t xml:space="preserve">muchas veces </w:t>
      </w:r>
      <w:r w:rsidR="008136F3">
        <w:t xml:space="preserve">que los Ministerios de Estado o las Secretarías y Otras Dependencias del Ejecutivo dispongan de escasos </w:t>
      </w:r>
      <w:r w:rsidR="008136F3">
        <w:lastRenderedPageBreak/>
        <w:t>recursos para el desarrollo de su gestión pública, encaminada a lograr el bienestar social y económico de la población</w:t>
      </w:r>
      <w:r w:rsidR="00A3418E">
        <w:t xml:space="preserve"> más necesitada del país.</w:t>
      </w:r>
    </w:p>
    <w:p w:rsidR="00700012" w:rsidRDefault="00700012" w:rsidP="00BF239D">
      <w:pPr>
        <w:jc w:val="both"/>
      </w:pPr>
    </w:p>
    <w:p w:rsidR="00116540" w:rsidRDefault="00116540" w:rsidP="00BF239D">
      <w:pPr>
        <w:jc w:val="both"/>
      </w:pPr>
    </w:p>
    <w:p w:rsidR="00116540" w:rsidRDefault="00116540" w:rsidP="00BF239D">
      <w:pPr>
        <w:jc w:val="both"/>
      </w:pPr>
    </w:p>
    <w:p w:rsidR="00691DA3" w:rsidRPr="00124AD6" w:rsidRDefault="00691DA3" w:rsidP="00691DA3">
      <w:pPr>
        <w:jc w:val="center"/>
        <w:rPr>
          <w:b/>
        </w:rPr>
      </w:pPr>
      <w:r w:rsidRPr="00124AD6">
        <w:rPr>
          <w:b/>
        </w:rPr>
        <w:t xml:space="preserve">Cuadro </w:t>
      </w:r>
      <w:r>
        <w:rPr>
          <w:b/>
        </w:rPr>
        <w:t>1</w:t>
      </w:r>
      <w:r w:rsidR="005F75BB">
        <w:rPr>
          <w:b/>
        </w:rPr>
        <w:t>4</w:t>
      </w:r>
      <w:r w:rsidR="000E0C87">
        <w:rPr>
          <w:b/>
        </w:rPr>
        <w:t xml:space="preserve"> (1/2)</w:t>
      </w:r>
    </w:p>
    <w:p w:rsidR="00691DA3" w:rsidRDefault="00691DA3" w:rsidP="00691DA3">
      <w:pPr>
        <w:jc w:val="center"/>
        <w:rPr>
          <w:b/>
        </w:rPr>
      </w:pPr>
      <w:r>
        <w:rPr>
          <w:b/>
        </w:rPr>
        <w:t xml:space="preserve">Presupuesto Aprobado de </w:t>
      </w:r>
      <w:r w:rsidR="000E0C87">
        <w:rPr>
          <w:b/>
        </w:rPr>
        <w:t xml:space="preserve">Ingresos de </w:t>
      </w:r>
      <w:r>
        <w:rPr>
          <w:b/>
        </w:rPr>
        <w:t>Entidades Descentralizadas y Autónomas</w:t>
      </w:r>
    </w:p>
    <w:p w:rsidR="009A0BB6" w:rsidRDefault="00691DA3" w:rsidP="00691DA3">
      <w:pPr>
        <w:jc w:val="center"/>
        <w:rPr>
          <w:b/>
        </w:rPr>
      </w:pPr>
      <w:r>
        <w:rPr>
          <w:b/>
        </w:rPr>
        <w:t>Ejercicio Fiscal 2018</w:t>
      </w:r>
    </w:p>
    <w:p w:rsidR="00691DA3" w:rsidRDefault="00691DA3" w:rsidP="00691DA3">
      <w:pPr>
        <w:jc w:val="center"/>
      </w:pPr>
      <w:r>
        <w:rPr>
          <w:b/>
        </w:rPr>
        <w:t>(En Millones de Quetzales)</w:t>
      </w:r>
    </w:p>
    <w:p w:rsidR="009A0BB6" w:rsidRDefault="000E0C87" w:rsidP="00691DA3">
      <w:pPr>
        <w:jc w:val="center"/>
      </w:pPr>
      <w:r w:rsidRPr="000E0C87">
        <w:rPr>
          <w:noProof/>
          <w:lang w:val="es-GT" w:eastAsia="es-GT"/>
        </w:rPr>
        <w:drawing>
          <wp:inline distT="0" distB="0" distL="0" distR="0" wp14:anchorId="0F672A16" wp14:editId="03C64FDC">
            <wp:extent cx="5612130" cy="5187141"/>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5187141"/>
                    </a:xfrm>
                    <a:prstGeom prst="rect">
                      <a:avLst/>
                    </a:prstGeom>
                    <a:noFill/>
                    <a:ln>
                      <a:noFill/>
                    </a:ln>
                  </pic:spPr>
                </pic:pic>
              </a:graphicData>
            </a:graphic>
          </wp:inline>
        </w:drawing>
      </w:r>
    </w:p>
    <w:p w:rsidR="009A0BB6" w:rsidRDefault="009A0BB6" w:rsidP="00BF239D">
      <w:pPr>
        <w:jc w:val="both"/>
      </w:pPr>
    </w:p>
    <w:p w:rsidR="009A0BB6" w:rsidRDefault="009A0BB6" w:rsidP="00E24F7B"/>
    <w:p w:rsidR="000E0C87" w:rsidRDefault="000E0C87" w:rsidP="00E24F7B"/>
    <w:p w:rsidR="000E0C87" w:rsidRDefault="000E0C87" w:rsidP="00E24F7B"/>
    <w:p w:rsidR="000E0C87" w:rsidRDefault="000E0C87" w:rsidP="00E24F7B"/>
    <w:p w:rsidR="000E0C87" w:rsidRDefault="000E0C87" w:rsidP="00E24F7B"/>
    <w:p w:rsidR="000E0C87" w:rsidRDefault="000E0C87" w:rsidP="00E24F7B"/>
    <w:p w:rsidR="006F70B5" w:rsidRDefault="006F70B5" w:rsidP="00E24F7B"/>
    <w:p w:rsidR="00116540" w:rsidRDefault="00116540" w:rsidP="00E24F7B"/>
    <w:p w:rsidR="000E0C87" w:rsidRDefault="000E0C87" w:rsidP="00E24F7B"/>
    <w:p w:rsidR="000E0C87" w:rsidRPr="00124AD6" w:rsidRDefault="000E0C87" w:rsidP="000E0C87">
      <w:pPr>
        <w:jc w:val="center"/>
        <w:rPr>
          <w:b/>
        </w:rPr>
      </w:pPr>
      <w:r w:rsidRPr="00124AD6">
        <w:rPr>
          <w:b/>
        </w:rPr>
        <w:t xml:space="preserve">Cuadro </w:t>
      </w:r>
      <w:r>
        <w:rPr>
          <w:b/>
        </w:rPr>
        <w:t>1</w:t>
      </w:r>
      <w:r w:rsidR="005F75BB">
        <w:rPr>
          <w:b/>
        </w:rPr>
        <w:t>4</w:t>
      </w:r>
      <w:r>
        <w:rPr>
          <w:b/>
        </w:rPr>
        <w:t xml:space="preserve"> (2/2)</w:t>
      </w:r>
    </w:p>
    <w:p w:rsidR="000E0C87" w:rsidRDefault="000E0C87" w:rsidP="000E0C87">
      <w:pPr>
        <w:jc w:val="center"/>
        <w:rPr>
          <w:b/>
        </w:rPr>
      </w:pPr>
      <w:r>
        <w:rPr>
          <w:b/>
        </w:rPr>
        <w:t>Presupuesto Aprobado de Ingresos de Entidades Descentralizadas y Autónomas</w:t>
      </w:r>
    </w:p>
    <w:p w:rsidR="000E0C87" w:rsidRDefault="000E0C87" w:rsidP="000E0C87">
      <w:pPr>
        <w:jc w:val="center"/>
        <w:rPr>
          <w:b/>
        </w:rPr>
      </w:pPr>
      <w:r>
        <w:rPr>
          <w:b/>
        </w:rPr>
        <w:t>Ejercicio Fiscal 2018*</w:t>
      </w:r>
    </w:p>
    <w:p w:rsidR="000E0C87" w:rsidRDefault="000E0C87" w:rsidP="000E0C87">
      <w:pPr>
        <w:jc w:val="center"/>
      </w:pPr>
      <w:r>
        <w:rPr>
          <w:b/>
        </w:rPr>
        <w:t>(En Millones de Quetzales)</w:t>
      </w:r>
    </w:p>
    <w:p w:rsidR="000E0C87" w:rsidRDefault="000E0C87" w:rsidP="00E24F7B">
      <w:r w:rsidRPr="000E0C87">
        <w:rPr>
          <w:noProof/>
          <w:lang w:val="es-GT" w:eastAsia="es-GT"/>
        </w:rPr>
        <w:drawing>
          <wp:inline distT="0" distB="0" distL="0" distR="0" wp14:anchorId="69F2516F" wp14:editId="102AF71A">
            <wp:extent cx="5612130" cy="5247854"/>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5247854"/>
                    </a:xfrm>
                    <a:prstGeom prst="rect">
                      <a:avLst/>
                    </a:prstGeom>
                    <a:noFill/>
                    <a:ln>
                      <a:noFill/>
                    </a:ln>
                  </pic:spPr>
                </pic:pic>
              </a:graphicData>
            </a:graphic>
          </wp:inline>
        </w:drawing>
      </w:r>
    </w:p>
    <w:p w:rsidR="000E0C87" w:rsidRDefault="000E0C87" w:rsidP="000E0C87">
      <w:r w:rsidRPr="004E678D">
        <w:rPr>
          <w:sz w:val="18"/>
        </w:rPr>
        <w:t xml:space="preserve">Fuente: </w:t>
      </w:r>
      <w:r>
        <w:rPr>
          <w:sz w:val="18"/>
        </w:rPr>
        <w:t>Ministerio de Finanzas Públicas, con base en el SICOIN.DES.</w:t>
      </w:r>
    </w:p>
    <w:p w:rsidR="009A0BB6" w:rsidRDefault="009A0BB6" w:rsidP="00E24F7B"/>
    <w:p w:rsidR="000E0C87" w:rsidRDefault="000E0C87" w:rsidP="00E24F7B"/>
    <w:p w:rsidR="000E0C87" w:rsidRDefault="000E0C87" w:rsidP="00E24F7B"/>
    <w:p w:rsidR="000E0C87" w:rsidRDefault="000E0C87" w:rsidP="00E24F7B"/>
    <w:p w:rsidR="000E0C87" w:rsidRDefault="000E0C87" w:rsidP="00E24F7B"/>
    <w:p w:rsidR="0099768A" w:rsidRDefault="0099768A" w:rsidP="00E24F7B"/>
    <w:p w:rsidR="006F70B5" w:rsidRDefault="006F70B5" w:rsidP="000E0C87">
      <w:pPr>
        <w:jc w:val="center"/>
        <w:rPr>
          <w:b/>
        </w:rPr>
      </w:pPr>
    </w:p>
    <w:p w:rsidR="000E0C87" w:rsidRPr="00124AD6" w:rsidRDefault="000E0C87" w:rsidP="000E0C87">
      <w:pPr>
        <w:jc w:val="center"/>
        <w:rPr>
          <w:b/>
        </w:rPr>
      </w:pPr>
      <w:r w:rsidRPr="00124AD6">
        <w:rPr>
          <w:b/>
        </w:rPr>
        <w:t xml:space="preserve">Cuadro </w:t>
      </w:r>
      <w:r>
        <w:rPr>
          <w:b/>
        </w:rPr>
        <w:t>1</w:t>
      </w:r>
      <w:r w:rsidR="005F75BB">
        <w:rPr>
          <w:b/>
        </w:rPr>
        <w:t>5</w:t>
      </w:r>
      <w:r>
        <w:rPr>
          <w:b/>
        </w:rPr>
        <w:t xml:space="preserve"> (1/2)</w:t>
      </w:r>
    </w:p>
    <w:p w:rsidR="000E0C87" w:rsidRDefault="000E0C87" w:rsidP="000E0C87">
      <w:pPr>
        <w:jc w:val="center"/>
        <w:rPr>
          <w:b/>
        </w:rPr>
      </w:pPr>
      <w:r>
        <w:rPr>
          <w:b/>
        </w:rPr>
        <w:t>Presupuesto Percibido de Ingresos de Entidades Descentralizadas y Autónomas</w:t>
      </w:r>
    </w:p>
    <w:p w:rsidR="000E0C87" w:rsidRDefault="000E0C87" w:rsidP="000E0C87">
      <w:pPr>
        <w:jc w:val="center"/>
        <w:rPr>
          <w:b/>
        </w:rPr>
      </w:pPr>
      <w:r>
        <w:rPr>
          <w:b/>
        </w:rPr>
        <w:t>Ejercicio Fiscal 2018*</w:t>
      </w:r>
    </w:p>
    <w:p w:rsidR="000E0C87" w:rsidRDefault="000E0C87" w:rsidP="000E0C87">
      <w:pPr>
        <w:jc w:val="center"/>
      </w:pPr>
      <w:r>
        <w:rPr>
          <w:b/>
        </w:rPr>
        <w:t>(En Millones de Quetzales)</w:t>
      </w:r>
    </w:p>
    <w:p w:rsidR="000E0C87" w:rsidRDefault="000E0C87" w:rsidP="00E24F7B">
      <w:r w:rsidRPr="000E0C87">
        <w:rPr>
          <w:noProof/>
          <w:lang w:val="es-GT" w:eastAsia="es-GT"/>
        </w:rPr>
        <w:drawing>
          <wp:inline distT="0" distB="0" distL="0" distR="0" wp14:anchorId="5B5669E0" wp14:editId="1D289084">
            <wp:extent cx="5612130" cy="6604723"/>
            <wp:effectExtent l="0" t="0" r="7620"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6604723"/>
                    </a:xfrm>
                    <a:prstGeom prst="rect">
                      <a:avLst/>
                    </a:prstGeom>
                    <a:noFill/>
                    <a:ln>
                      <a:noFill/>
                    </a:ln>
                  </pic:spPr>
                </pic:pic>
              </a:graphicData>
            </a:graphic>
          </wp:inline>
        </w:drawing>
      </w:r>
    </w:p>
    <w:p w:rsidR="000E0C87" w:rsidRDefault="000E0C87" w:rsidP="00E24F7B"/>
    <w:p w:rsidR="000E0C87" w:rsidRDefault="000E0C87" w:rsidP="00E24F7B"/>
    <w:p w:rsidR="006F70B5" w:rsidRDefault="006F70B5" w:rsidP="000E0C87">
      <w:pPr>
        <w:jc w:val="center"/>
        <w:rPr>
          <w:b/>
        </w:rPr>
      </w:pPr>
    </w:p>
    <w:p w:rsidR="00116540" w:rsidRDefault="00116540" w:rsidP="000E0C87">
      <w:pPr>
        <w:jc w:val="center"/>
        <w:rPr>
          <w:b/>
        </w:rPr>
      </w:pPr>
    </w:p>
    <w:p w:rsidR="000E0C87" w:rsidRPr="00124AD6" w:rsidRDefault="000E0C87" w:rsidP="000E0C87">
      <w:pPr>
        <w:jc w:val="center"/>
        <w:rPr>
          <w:b/>
        </w:rPr>
      </w:pPr>
      <w:r w:rsidRPr="00124AD6">
        <w:rPr>
          <w:b/>
        </w:rPr>
        <w:t xml:space="preserve">Cuadro </w:t>
      </w:r>
      <w:r>
        <w:rPr>
          <w:b/>
        </w:rPr>
        <w:t>1</w:t>
      </w:r>
      <w:r w:rsidR="005F75BB">
        <w:rPr>
          <w:b/>
        </w:rPr>
        <w:t>5</w:t>
      </w:r>
      <w:r>
        <w:rPr>
          <w:b/>
        </w:rPr>
        <w:t xml:space="preserve"> (2/2)</w:t>
      </w:r>
    </w:p>
    <w:p w:rsidR="000E0C87" w:rsidRDefault="000E0C87" w:rsidP="000E0C87">
      <w:pPr>
        <w:jc w:val="center"/>
        <w:rPr>
          <w:b/>
        </w:rPr>
      </w:pPr>
      <w:r>
        <w:rPr>
          <w:b/>
        </w:rPr>
        <w:t>Presupuesto Percibido de Ingresos de Entidades Descentralizadas y Autónomas</w:t>
      </w:r>
    </w:p>
    <w:p w:rsidR="000E0C87" w:rsidRDefault="000E0C87" w:rsidP="000E0C87">
      <w:pPr>
        <w:jc w:val="center"/>
        <w:rPr>
          <w:b/>
        </w:rPr>
      </w:pPr>
      <w:r>
        <w:rPr>
          <w:b/>
        </w:rPr>
        <w:t>Ejercicio Fiscal 2018*</w:t>
      </w:r>
    </w:p>
    <w:p w:rsidR="000E0C87" w:rsidRDefault="000E0C87" w:rsidP="000E0C87">
      <w:pPr>
        <w:jc w:val="center"/>
      </w:pPr>
      <w:r>
        <w:rPr>
          <w:b/>
        </w:rPr>
        <w:t>(En Millones de Quetzales)</w:t>
      </w:r>
    </w:p>
    <w:p w:rsidR="000E0C87" w:rsidRDefault="000D786F" w:rsidP="00E24F7B">
      <w:r w:rsidRPr="000D786F">
        <w:rPr>
          <w:noProof/>
          <w:lang w:val="es-GT" w:eastAsia="es-GT"/>
        </w:rPr>
        <w:drawing>
          <wp:inline distT="0" distB="0" distL="0" distR="0" wp14:anchorId="383CDF23" wp14:editId="12490AA0">
            <wp:extent cx="5612130" cy="6483267"/>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6483267"/>
                    </a:xfrm>
                    <a:prstGeom prst="rect">
                      <a:avLst/>
                    </a:prstGeom>
                    <a:noFill/>
                    <a:ln>
                      <a:noFill/>
                    </a:ln>
                  </pic:spPr>
                </pic:pic>
              </a:graphicData>
            </a:graphic>
          </wp:inline>
        </w:drawing>
      </w:r>
    </w:p>
    <w:p w:rsidR="000D786F" w:rsidRPr="004E678D" w:rsidRDefault="000D786F" w:rsidP="000D786F">
      <w:pPr>
        <w:jc w:val="both"/>
        <w:rPr>
          <w:sz w:val="18"/>
        </w:rPr>
      </w:pPr>
      <w:r w:rsidRPr="004E678D">
        <w:rPr>
          <w:sz w:val="18"/>
          <w:lang w:val="es-GT"/>
        </w:rPr>
        <w:t>* Cifras preliminares</w:t>
      </w:r>
    </w:p>
    <w:p w:rsidR="000D786F" w:rsidRDefault="000D786F" w:rsidP="000D786F">
      <w:pPr>
        <w:rPr>
          <w:sz w:val="18"/>
        </w:rPr>
      </w:pPr>
      <w:r w:rsidRPr="004E678D">
        <w:rPr>
          <w:sz w:val="18"/>
        </w:rPr>
        <w:t xml:space="preserve">Fuente: </w:t>
      </w:r>
      <w:r>
        <w:rPr>
          <w:sz w:val="18"/>
        </w:rPr>
        <w:t>Ministerio de Finanzas Públicas, con base en el SICOIN.DES.</w:t>
      </w:r>
    </w:p>
    <w:p w:rsidR="00C620A4" w:rsidRPr="008203B9" w:rsidRDefault="00C620A4" w:rsidP="00C620A4">
      <w:pPr>
        <w:pStyle w:val="Ttulo1"/>
        <w:rPr>
          <w:lang w:val="es-MX"/>
        </w:rPr>
      </w:pPr>
      <w:bookmarkStart w:id="34" w:name="_Toc417992544"/>
      <w:bookmarkStart w:id="35" w:name="_Toc443491862"/>
      <w:bookmarkStart w:id="36" w:name="_Toc482339312"/>
      <w:bookmarkStart w:id="37" w:name="_Toc4775346"/>
      <w:bookmarkEnd w:id="25"/>
      <w:r w:rsidRPr="008203B9">
        <w:rPr>
          <w:lang w:val="es-MX"/>
        </w:rPr>
        <w:lastRenderedPageBreak/>
        <w:t>Logros de la</w:t>
      </w:r>
      <w:r>
        <w:rPr>
          <w:lang w:val="es-MX"/>
        </w:rPr>
        <w:t xml:space="preserve"> Gestión de las Finanzas Públicas 201</w:t>
      </w:r>
      <w:r w:rsidR="0043775E">
        <w:rPr>
          <w:lang w:val="es-MX"/>
        </w:rPr>
        <w:t>8</w:t>
      </w:r>
      <w:bookmarkEnd w:id="34"/>
      <w:bookmarkEnd w:id="35"/>
      <w:bookmarkEnd w:id="36"/>
      <w:bookmarkEnd w:id="37"/>
    </w:p>
    <w:p w:rsidR="00C620A4" w:rsidRPr="009F6AC2" w:rsidRDefault="00C620A4" w:rsidP="00C620A4">
      <w:pPr>
        <w:rPr>
          <w:rFonts w:eastAsia="Calibri"/>
          <w:lang w:val="es-GT" w:eastAsia="en-US" w:bidi="en-US"/>
        </w:rPr>
      </w:pPr>
    </w:p>
    <w:p w:rsidR="00C620A4" w:rsidRPr="009F6AC2" w:rsidRDefault="00C620A4" w:rsidP="00C620A4">
      <w:pPr>
        <w:rPr>
          <w:rFonts w:eastAsia="Calibri"/>
          <w:lang w:val="es-GT" w:eastAsia="en-US" w:bidi="en-US"/>
        </w:rPr>
      </w:pPr>
      <w:r w:rsidRPr="009F6AC2">
        <w:rPr>
          <w:rFonts w:eastAsia="Calibri"/>
          <w:lang w:val="es-GT" w:eastAsia="en-US" w:bidi="en-US"/>
        </w:rPr>
        <w:t xml:space="preserve">Dentro de los principales logros </w:t>
      </w:r>
      <w:r w:rsidR="0043775E">
        <w:rPr>
          <w:rFonts w:eastAsia="Calibri"/>
          <w:lang w:val="es-GT" w:eastAsia="en-US" w:bidi="en-US"/>
        </w:rPr>
        <w:t xml:space="preserve">y resultados </w:t>
      </w:r>
      <w:r w:rsidRPr="009F6AC2">
        <w:rPr>
          <w:rFonts w:eastAsia="Calibri"/>
          <w:lang w:val="es-GT" w:eastAsia="en-US" w:bidi="en-US"/>
        </w:rPr>
        <w:t>obtenidos durante 201</w:t>
      </w:r>
      <w:r w:rsidR="00AD55A4">
        <w:rPr>
          <w:rFonts w:eastAsia="Calibri"/>
          <w:lang w:val="es-GT" w:eastAsia="en-US" w:bidi="en-US"/>
        </w:rPr>
        <w:t>8</w:t>
      </w:r>
      <w:r w:rsidRPr="009F6AC2">
        <w:rPr>
          <w:rFonts w:eastAsia="Calibri"/>
          <w:lang w:val="es-GT" w:eastAsia="en-US" w:bidi="en-US"/>
        </w:rPr>
        <w:t xml:space="preserve"> se pueden destacar:</w:t>
      </w:r>
    </w:p>
    <w:p w:rsidR="00C620A4" w:rsidRPr="009F6AC2" w:rsidRDefault="00C620A4" w:rsidP="00C620A4">
      <w:pPr>
        <w:rPr>
          <w:rFonts w:eastAsia="Calibri"/>
          <w:lang w:val="es-GT" w:eastAsia="en-US" w:bidi="en-US"/>
        </w:rPr>
      </w:pPr>
    </w:p>
    <w:p w:rsidR="00C620A4" w:rsidRPr="009F6AC2" w:rsidRDefault="00C620A4" w:rsidP="00C620A4">
      <w:pPr>
        <w:pStyle w:val="Ttulo2"/>
        <w:rPr>
          <w:rFonts w:ascii="Times New Roman" w:eastAsia="Calibri" w:hAnsi="Times New Roman"/>
          <w:color w:val="auto"/>
          <w:sz w:val="24"/>
          <w:szCs w:val="24"/>
          <w:lang w:val="es-GT" w:eastAsia="en-US" w:bidi="en-US"/>
        </w:rPr>
      </w:pPr>
      <w:bookmarkStart w:id="38" w:name="_Toc417992545"/>
      <w:bookmarkStart w:id="39" w:name="_Toc443491863"/>
      <w:bookmarkStart w:id="40" w:name="_Toc482339313"/>
      <w:bookmarkStart w:id="41" w:name="_Toc4775347"/>
      <w:r>
        <w:rPr>
          <w:rFonts w:ascii="Times New Roman" w:eastAsia="Calibri" w:hAnsi="Times New Roman"/>
          <w:color w:val="auto"/>
          <w:sz w:val="24"/>
          <w:szCs w:val="24"/>
          <w:lang w:val="es-GT" w:eastAsia="en-US" w:bidi="en-US"/>
        </w:rPr>
        <w:t>Gobierno Abierto y Transparencia</w:t>
      </w:r>
      <w:bookmarkEnd w:id="38"/>
      <w:bookmarkEnd w:id="39"/>
      <w:r>
        <w:rPr>
          <w:rFonts w:ascii="Times New Roman" w:eastAsia="Calibri" w:hAnsi="Times New Roman"/>
          <w:color w:val="auto"/>
          <w:sz w:val="24"/>
          <w:szCs w:val="24"/>
          <w:lang w:val="es-GT" w:eastAsia="en-US" w:bidi="en-US"/>
        </w:rPr>
        <w:t xml:space="preserve"> Fiscal</w:t>
      </w:r>
      <w:bookmarkEnd w:id="40"/>
      <w:bookmarkEnd w:id="41"/>
    </w:p>
    <w:p w:rsidR="00C620A4" w:rsidRDefault="00C620A4" w:rsidP="00C620A4">
      <w:pPr>
        <w:jc w:val="both"/>
        <w:rPr>
          <w:rFonts w:eastAsia="Calibri"/>
          <w:lang w:val="es-GT" w:eastAsia="en-US" w:bidi="en-US"/>
        </w:rPr>
      </w:pPr>
    </w:p>
    <w:p w:rsidR="00117A88" w:rsidRDefault="0043775E" w:rsidP="00C620A4">
      <w:pPr>
        <w:jc w:val="both"/>
        <w:rPr>
          <w:rFonts w:eastAsia="Calibri"/>
          <w:lang w:val="es-GT" w:eastAsia="en-US" w:bidi="en-US"/>
        </w:rPr>
      </w:pPr>
      <w:r>
        <w:rPr>
          <w:rFonts w:eastAsia="Calibri"/>
          <w:lang w:val="es-GT" w:eastAsia="en-US" w:bidi="en-US"/>
        </w:rPr>
        <w:t xml:space="preserve">Durante el ejercicio fiscal 2018 se continuó con el cumplimiento e implementación de los compromisos del Tercer Plan de Acción Nacional de Gobierno Abierto 2016-2018, considerando que su vigencia concluyó en noviembre de ese año. De esa cuenta, a nivel general del Plan se alcanzó el 90.22% de cumplimiento, quedando pendiente </w:t>
      </w:r>
      <w:r w:rsidR="00117A88">
        <w:rPr>
          <w:rFonts w:eastAsia="Calibri"/>
          <w:lang w:val="es-GT" w:eastAsia="en-US" w:bidi="en-US"/>
        </w:rPr>
        <w:t>la meta 2 d</w:t>
      </w:r>
      <w:r>
        <w:rPr>
          <w:rFonts w:eastAsia="Calibri"/>
          <w:lang w:val="es-GT" w:eastAsia="en-US" w:bidi="en-US"/>
        </w:rPr>
        <w:t xml:space="preserve">el compromiso 2 </w:t>
      </w:r>
      <w:r w:rsidR="00117A88">
        <w:rPr>
          <w:rFonts w:eastAsia="Calibri"/>
          <w:lang w:val="es-GT" w:eastAsia="en-US" w:bidi="en-US"/>
        </w:rPr>
        <w:t>relacionad</w:t>
      </w:r>
      <w:r w:rsidR="009A22CF">
        <w:rPr>
          <w:rFonts w:eastAsia="Calibri"/>
          <w:lang w:val="es-GT" w:eastAsia="en-US" w:bidi="en-US"/>
        </w:rPr>
        <w:t>a</w:t>
      </w:r>
      <w:r w:rsidR="00117A88">
        <w:rPr>
          <w:rFonts w:eastAsia="Calibri"/>
          <w:lang w:val="es-GT" w:eastAsia="en-US" w:bidi="en-US"/>
        </w:rPr>
        <w:t xml:space="preserve"> con la “Formación de la Población Educativa en Acceso a la Información Pública”, a cargo de la Universidad de San Carlos de Guatemala</w:t>
      </w:r>
      <w:r w:rsidR="00D93FB4">
        <w:rPr>
          <w:rFonts w:eastAsia="Calibri"/>
          <w:lang w:val="es-GT" w:eastAsia="en-US" w:bidi="en-US"/>
        </w:rPr>
        <w:t xml:space="preserve"> (USAC)</w:t>
      </w:r>
      <w:r w:rsidR="00117A88">
        <w:rPr>
          <w:rFonts w:eastAsia="Calibri"/>
          <w:lang w:val="es-GT" w:eastAsia="en-US" w:bidi="en-US"/>
        </w:rPr>
        <w:t xml:space="preserve"> que decidió ya no participar en la Me</w:t>
      </w:r>
      <w:r w:rsidR="00377E43">
        <w:rPr>
          <w:rFonts w:eastAsia="Calibri"/>
          <w:lang w:val="es-GT" w:eastAsia="en-US" w:bidi="en-US"/>
        </w:rPr>
        <w:t>s</w:t>
      </w:r>
      <w:r w:rsidR="00117A88">
        <w:rPr>
          <w:rFonts w:eastAsia="Calibri"/>
          <w:lang w:val="es-GT" w:eastAsia="en-US" w:bidi="en-US"/>
        </w:rPr>
        <w:t xml:space="preserve">a Técnica de Gobierno Abierto (MTGA). Asimismo, el compromiso 3 relacionado con la “Evaluación de Buenas Prácticas de Acceso a la Información Pública” que ha sido el único </w:t>
      </w:r>
      <w:r w:rsidR="00D93FB4">
        <w:rPr>
          <w:rFonts w:eastAsia="Calibri"/>
          <w:lang w:val="es-GT" w:eastAsia="en-US" w:bidi="en-US"/>
        </w:rPr>
        <w:t xml:space="preserve">compromiso </w:t>
      </w:r>
      <w:r w:rsidR="00117A88">
        <w:rPr>
          <w:rFonts w:eastAsia="Calibri"/>
          <w:lang w:val="es-GT" w:eastAsia="en-US" w:bidi="en-US"/>
        </w:rPr>
        <w:t>cuyo responsable directo de su cumplimiento fueron dos organizaciones de sociedad civil</w:t>
      </w:r>
      <w:r w:rsidR="00377E43">
        <w:rPr>
          <w:rFonts w:eastAsia="Calibri"/>
          <w:lang w:val="es-GT" w:eastAsia="en-US" w:bidi="en-US"/>
        </w:rPr>
        <w:t>, las</w:t>
      </w:r>
      <w:r w:rsidR="00117A88">
        <w:rPr>
          <w:rFonts w:eastAsia="Calibri"/>
          <w:lang w:val="es-GT" w:eastAsia="en-US" w:bidi="en-US"/>
        </w:rPr>
        <w:t xml:space="preserve"> que </w:t>
      </w:r>
      <w:r w:rsidR="009A22CF">
        <w:rPr>
          <w:rFonts w:eastAsia="Calibri"/>
          <w:lang w:val="es-GT" w:eastAsia="en-US" w:bidi="en-US"/>
        </w:rPr>
        <w:t xml:space="preserve">también </w:t>
      </w:r>
      <w:r w:rsidR="00117A88">
        <w:rPr>
          <w:rFonts w:eastAsia="Calibri"/>
          <w:lang w:val="es-GT" w:eastAsia="en-US" w:bidi="en-US"/>
        </w:rPr>
        <w:t>se retiraron de la Me</w:t>
      </w:r>
      <w:r w:rsidR="00377E43">
        <w:rPr>
          <w:rFonts w:eastAsia="Calibri"/>
          <w:lang w:val="es-GT" w:eastAsia="en-US" w:bidi="en-US"/>
        </w:rPr>
        <w:t>s</w:t>
      </w:r>
      <w:r w:rsidR="00117A88">
        <w:rPr>
          <w:rFonts w:eastAsia="Calibri"/>
          <w:lang w:val="es-GT" w:eastAsia="en-US" w:bidi="en-US"/>
        </w:rPr>
        <w:t xml:space="preserve">a Técnica de Gobierno Abierto (MTGA), </w:t>
      </w:r>
      <w:r w:rsidR="00377E43">
        <w:rPr>
          <w:rFonts w:eastAsia="Calibri"/>
          <w:lang w:val="es-GT" w:eastAsia="en-US" w:bidi="en-US"/>
        </w:rPr>
        <w:t>argumentando</w:t>
      </w:r>
      <w:r w:rsidR="00117A88">
        <w:rPr>
          <w:rFonts w:eastAsia="Calibri"/>
          <w:lang w:val="es-GT" w:eastAsia="en-US" w:bidi="en-US"/>
        </w:rPr>
        <w:t xml:space="preserve"> la coyuntura política acaecida durante el año 2018.</w:t>
      </w:r>
    </w:p>
    <w:p w:rsidR="00117A88" w:rsidRDefault="00117A88" w:rsidP="00C620A4">
      <w:pPr>
        <w:jc w:val="both"/>
        <w:rPr>
          <w:rFonts w:eastAsia="Calibri"/>
          <w:lang w:val="es-GT" w:eastAsia="en-US" w:bidi="en-US"/>
        </w:rPr>
      </w:pPr>
    </w:p>
    <w:p w:rsidR="00E447DB" w:rsidRDefault="00E447DB" w:rsidP="00C620A4">
      <w:pPr>
        <w:jc w:val="both"/>
        <w:rPr>
          <w:rFonts w:eastAsia="Calibri"/>
          <w:lang w:val="es-GT" w:eastAsia="en-US" w:bidi="en-US"/>
        </w:rPr>
      </w:pPr>
      <w:r>
        <w:rPr>
          <w:rFonts w:eastAsia="Calibri"/>
          <w:lang w:val="es-GT" w:eastAsia="en-US" w:bidi="en-US"/>
        </w:rPr>
        <w:t>Por su parte, el Ministerio de Finanzas Públicas alcanzó el 98.68% de cumplimiento en los 4 compromisos del eje de transparencia fiscal (al 30 de noviembre de 2018, fech</w:t>
      </w:r>
      <w:r w:rsidR="00D24608">
        <w:rPr>
          <w:rFonts w:eastAsia="Calibri"/>
          <w:lang w:val="es-GT" w:eastAsia="en-US" w:bidi="en-US"/>
        </w:rPr>
        <w:t>a</w:t>
      </w:r>
      <w:r>
        <w:rPr>
          <w:rFonts w:eastAsia="Calibri"/>
          <w:lang w:val="es-GT" w:eastAsia="en-US" w:bidi="en-US"/>
        </w:rPr>
        <w:t xml:space="preserve"> en que concluyó la vigencia del Tercer Plan), </w:t>
      </w:r>
      <w:r w:rsidR="00D24608">
        <w:rPr>
          <w:rFonts w:eastAsia="Calibri"/>
          <w:lang w:val="es-GT" w:eastAsia="en-US" w:bidi="en-US"/>
        </w:rPr>
        <w:t>habiendo quedado en estatus de “avanzado o sustancial”</w:t>
      </w:r>
      <w:r w:rsidR="009A22CF">
        <w:rPr>
          <w:rFonts w:eastAsia="Calibri"/>
          <w:lang w:val="es-GT" w:eastAsia="en-US" w:bidi="en-US"/>
        </w:rPr>
        <w:t>,</w:t>
      </w:r>
      <w:r w:rsidR="00D24608">
        <w:rPr>
          <w:rFonts w:eastAsia="Calibri"/>
          <w:lang w:val="es-GT" w:eastAsia="en-US" w:bidi="en-US"/>
        </w:rPr>
        <w:t xml:space="preserve"> la meta 6 del compromiso 17, relacionada con la segunda fase del proceso de “Consolidación </w:t>
      </w:r>
      <w:r w:rsidR="009A22CF">
        <w:rPr>
          <w:rFonts w:eastAsia="Calibri"/>
          <w:lang w:val="es-GT" w:eastAsia="en-US" w:bidi="en-US"/>
        </w:rPr>
        <w:t>a nivel de Cuenta Económica</w:t>
      </w:r>
      <w:r w:rsidR="00CA3054">
        <w:rPr>
          <w:rFonts w:eastAsia="Calibri"/>
          <w:lang w:val="es-GT" w:eastAsia="en-US" w:bidi="en-US"/>
        </w:rPr>
        <w:t>,</w:t>
      </w:r>
      <w:r w:rsidR="009A22CF">
        <w:rPr>
          <w:rFonts w:eastAsia="Calibri"/>
          <w:lang w:val="es-GT" w:eastAsia="en-US" w:bidi="en-US"/>
        </w:rPr>
        <w:t xml:space="preserve"> </w:t>
      </w:r>
      <w:r w:rsidR="00D24608">
        <w:rPr>
          <w:rFonts w:eastAsia="Calibri"/>
          <w:lang w:val="es-GT" w:eastAsia="en-US" w:bidi="en-US"/>
        </w:rPr>
        <w:t>del Sector Público no Financiero”, para incorporar varias recomendaciones que formuló una misión del Fondo Monetario Internacional</w:t>
      </w:r>
      <w:r w:rsidR="00BC54DC">
        <w:rPr>
          <w:rFonts w:eastAsia="Calibri"/>
          <w:lang w:val="es-GT" w:eastAsia="en-US" w:bidi="en-US"/>
        </w:rPr>
        <w:t xml:space="preserve"> (FMI)</w:t>
      </w:r>
      <w:r w:rsidR="00377E43">
        <w:rPr>
          <w:rFonts w:eastAsia="Calibri"/>
          <w:lang w:val="es-GT" w:eastAsia="en-US" w:bidi="en-US"/>
        </w:rPr>
        <w:t xml:space="preserve"> que visitó el país</w:t>
      </w:r>
      <w:r w:rsidR="00D24608">
        <w:rPr>
          <w:rFonts w:eastAsia="Calibri"/>
          <w:lang w:val="es-GT" w:eastAsia="en-US" w:bidi="en-US"/>
        </w:rPr>
        <w:t>.</w:t>
      </w:r>
    </w:p>
    <w:p w:rsidR="00E447DB" w:rsidRDefault="00E447DB" w:rsidP="00C620A4">
      <w:pPr>
        <w:jc w:val="both"/>
        <w:rPr>
          <w:rFonts w:eastAsia="Calibri"/>
          <w:lang w:val="es-GT" w:eastAsia="en-US" w:bidi="en-US"/>
        </w:rPr>
      </w:pPr>
    </w:p>
    <w:p w:rsidR="00C44012" w:rsidRDefault="00D93FB4" w:rsidP="00C620A4">
      <w:pPr>
        <w:jc w:val="both"/>
        <w:rPr>
          <w:rFonts w:eastAsia="Calibri"/>
          <w:lang w:val="es-GT" w:eastAsia="en-US" w:bidi="en-US"/>
        </w:rPr>
      </w:pPr>
      <w:r>
        <w:rPr>
          <w:rFonts w:eastAsia="Calibri"/>
          <w:lang w:val="es-GT" w:eastAsia="en-US" w:bidi="en-US"/>
        </w:rPr>
        <w:t xml:space="preserve">Simultáneamente, en los primeros meses de 2018 dio inicio el proceso de formulación </w:t>
      </w:r>
      <w:r w:rsidR="007D38E3">
        <w:rPr>
          <w:rFonts w:eastAsia="Calibri"/>
          <w:lang w:val="es-GT" w:eastAsia="en-US" w:bidi="en-US"/>
        </w:rPr>
        <w:t xml:space="preserve">o </w:t>
      </w:r>
      <w:r>
        <w:rPr>
          <w:rFonts w:eastAsia="Calibri"/>
          <w:lang w:val="es-GT" w:eastAsia="en-US" w:bidi="en-US"/>
        </w:rPr>
        <w:t xml:space="preserve">co-creación del </w:t>
      </w:r>
      <w:r w:rsidR="007D38E3">
        <w:rPr>
          <w:rFonts w:eastAsia="Calibri"/>
          <w:lang w:val="es-GT" w:eastAsia="en-US" w:bidi="en-US"/>
        </w:rPr>
        <w:t>C</w:t>
      </w:r>
      <w:r>
        <w:rPr>
          <w:rFonts w:eastAsia="Calibri"/>
          <w:lang w:val="es-GT" w:eastAsia="en-US" w:bidi="en-US"/>
        </w:rPr>
        <w:t xml:space="preserve">uarto Plan de Acción Nacional de Gobierno Abierto 2018-2020, cuya vigencia </w:t>
      </w:r>
      <w:r w:rsidR="00C44012">
        <w:rPr>
          <w:rFonts w:eastAsia="Calibri"/>
          <w:lang w:val="es-GT" w:eastAsia="en-US" w:bidi="en-US"/>
        </w:rPr>
        <w:t>inici</w:t>
      </w:r>
      <w:r w:rsidR="00131670">
        <w:rPr>
          <w:rFonts w:eastAsia="Calibri"/>
          <w:lang w:val="es-GT" w:eastAsia="en-US" w:bidi="en-US"/>
        </w:rPr>
        <w:t>ó</w:t>
      </w:r>
      <w:r w:rsidR="00C44012">
        <w:rPr>
          <w:rFonts w:eastAsia="Calibri"/>
          <w:lang w:val="es-GT" w:eastAsia="en-US" w:bidi="en-US"/>
        </w:rPr>
        <w:t xml:space="preserve"> en</w:t>
      </w:r>
      <w:r>
        <w:rPr>
          <w:rFonts w:eastAsia="Calibri"/>
          <w:lang w:val="es-GT" w:eastAsia="en-US" w:bidi="en-US"/>
        </w:rPr>
        <w:t xml:space="preserve"> diciembre de 2018 </w:t>
      </w:r>
      <w:r w:rsidR="00C44012">
        <w:rPr>
          <w:rFonts w:eastAsia="Calibri"/>
          <w:lang w:val="es-GT" w:eastAsia="en-US" w:bidi="en-US"/>
        </w:rPr>
        <w:t>y concluye en</w:t>
      </w:r>
      <w:r>
        <w:rPr>
          <w:rFonts w:eastAsia="Calibri"/>
          <w:lang w:val="es-GT" w:eastAsia="en-US" w:bidi="en-US"/>
        </w:rPr>
        <w:t xml:space="preserve"> octubre de 2020</w:t>
      </w:r>
      <w:r w:rsidR="007D38E3">
        <w:rPr>
          <w:rFonts w:eastAsia="Calibri"/>
          <w:lang w:val="es-GT" w:eastAsia="en-US" w:bidi="en-US"/>
        </w:rPr>
        <w:t>. Es</w:t>
      </w:r>
      <w:r w:rsidR="00131670">
        <w:rPr>
          <w:rFonts w:eastAsia="Calibri"/>
          <w:lang w:val="es-GT" w:eastAsia="en-US" w:bidi="en-US"/>
        </w:rPr>
        <w:t>t</w:t>
      </w:r>
      <w:r w:rsidR="007D38E3">
        <w:rPr>
          <w:rFonts w:eastAsia="Calibri"/>
          <w:lang w:val="es-GT" w:eastAsia="en-US" w:bidi="en-US"/>
        </w:rPr>
        <w:t>e nuevo Plan consta de 12 ejes temáticos y 24 compromisos que fueron acordados con las distintas organizaciones de sociedad civil que integran la Mesa Técnica de Gobierno Abierto (MTGA)</w:t>
      </w:r>
      <w:r w:rsidR="0016665C">
        <w:rPr>
          <w:rFonts w:eastAsia="Calibri"/>
          <w:lang w:val="es-GT" w:eastAsia="en-US" w:bidi="en-US"/>
        </w:rPr>
        <w:t xml:space="preserve">. Durante dicho proceso, se realizaron 6 Foros de Consulta Ciudadana en el interior del país, en los cuales se dio la oportunidad a los ciudadanos organizados o no, para que formularan propuestas de compromisos y metas que posteriormente serían analizadas y consensuadas por los equipos técnicos de las entidades públicas, de conformidad con su viabilidad legal, técnica, financiera, o de cualquier otra </w:t>
      </w:r>
      <w:r w:rsidR="00131670">
        <w:rPr>
          <w:rFonts w:eastAsia="Calibri"/>
          <w:lang w:val="es-GT" w:eastAsia="en-US" w:bidi="en-US"/>
        </w:rPr>
        <w:t>naturaleza</w:t>
      </w:r>
      <w:r w:rsidR="00C44012">
        <w:rPr>
          <w:rFonts w:eastAsia="Calibri"/>
          <w:lang w:val="es-GT" w:eastAsia="en-US" w:bidi="en-US"/>
        </w:rPr>
        <w:t>.</w:t>
      </w:r>
      <w:r w:rsidR="00CA3054">
        <w:rPr>
          <w:rFonts w:eastAsia="Calibri"/>
          <w:lang w:val="es-GT" w:eastAsia="en-US" w:bidi="en-US"/>
        </w:rPr>
        <w:t xml:space="preserve"> Durante el mes de noviembre de 2018 se llevó a cabo el proceso de validación técnica y aceptación del Plan, por parte de las autoridades superiores de las distintas entidades públicas responsables directa o indirectamente del cumplimiento de los compromisos. Además, a finales de ese mes, por parte del Presidente de la República se llevó a cabo el </w:t>
      </w:r>
      <w:r w:rsidR="002A5624">
        <w:rPr>
          <w:rFonts w:eastAsia="Calibri"/>
          <w:lang w:val="es-GT" w:eastAsia="en-US" w:bidi="en-US"/>
        </w:rPr>
        <w:t xml:space="preserve">lanzamiento y validación </w:t>
      </w:r>
      <w:r w:rsidR="00C77D22">
        <w:rPr>
          <w:rFonts w:eastAsia="Calibri"/>
          <w:lang w:val="es-GT" w:eastAsia="en-US" w:bidi="en-US"/>
        </w:rPr>
        <w:t xml:space="preserve">oficial </w:t>
      </w:r>
      <w:r w:rsidR="002A5624">
        <w:rPr>
          <w:rFonts w:eastAsia="Calibri"/>
          <w:lang w:val="es-GT" w:eastAsia="en-US" w:bidi="en-US"/>
        </w:rPr>
        <w:t>del Cuarto Plan de Acción Nacional de Gobierno Abierto 2018-2020, convirtiéndose de esa cuenta en compromisos que asume el Gobierno de la Rep</w:t>
      </w:r>
      <w:r w:rsidR="00C77D22">
        <w:rPr>
          <w:rFonts w:eastAsia="Calibri"/>
          <w:lang w:val="es-GT" w:eastAsia="en-US" w:bidi="en-US"/>
        </w:rPr>
        <w:t>ública, a través de sus distintas entidades públicas.</w:t>
      </w:r>
    </w:p>
    <w:p w:rsidR="002E0FD6" w:rsidRDefault="002E0FD6" w:rsidP="00C620A4">
      <w:pPr>
        <w:jc w:val="both"/>
        <w:rPr>
          <w:rFonts w:eastAsia="Calibri"/>
          <w:lang w:val="es-GT" w:eastAsia="en-US" w:bidi="en-US"/>
        </w:rPr>
      </w:pPr>
      <w:r>
        <w:rPr>
          <w:rFonts w:eastAsia="Calibri"/>
          <w:lang w:val="es-GT" w:eastAsia="en-US" w:bidi="en-US"/>
        </w:rPr>
        <w:lastRenderedPageBreak/>
        <w:t xml:space="preserve">De forma resumida, en el siguiente cuadro se muestra el estatus de los 4 Planes de Acción Nacional de Gobierno Abierto que ha </w:t>
      </w:r>
      <w:r w:rsidR="00131670">
        <w:rPr>
          <w:rFonts w:eastAsia="Calibri"/>
          <w:lang w:val="es-GT" w:eastAsia="en-US" w:bidi="en-US"/>
        </w:rPr>
        <w:t xml:space="preserve">suscrito </w:t>
      </w:r>
      <w:r>
        <w:rPr>
          <w:rFonts w:eastAsia="Calibri"/>
          <w:lang w:val="es-GT" w:eastAsia="en-US" w:bidi="en-US"/>
        </w:rPr>
        <w:t>la República de Guatemala:</w:t>
      </w:r>
    </w:p>
    <w:p w:rsidR="002E0FD6" w:rsidRDefault="002E0FD6" w:rsidP="00C620A4">
      <w:pPr>
        <w:jc w:val="both"/>
        <w:rPr>
          <w:rFonts w:eastAsia="Calibri"/>
          <w:lang w:val="es-GT" w:eastAsia="en-US" w:bidi="en-US"/>
        </w:rPr>
      </w:pPr>
    </w:p>
    <w:p w:rsidR="0099619F" w:rsidRPr="00124AD6" w:rsidRDefault="0099619F" w:rsidP="0099619F">
      <w:pPr>
        <w:jc w:val="center"/>
        <w:rPr>
          <w:b/>
        </w:rPr>
      </w:pPr>
      <w:r w:rsidRPr="00124AD6">
        <w:rPr>
          <w:b/>
        </w:rPr>
        <w:t xml:space="preserve">Cuadro </w:t>
      </w:r>
      <w:r>
        <w:rPr>
          <w:b/>
        </w:rPr>
        <w:t>16</w:t>
      </w:r>
    </w:p>
    <w:p w:rsidR="0099619F" w:rsidRPr="0099619F" w:rsidRDefault="0099619F" w:rsidP="0099619F">
      <w:pPr>
        <w:jc w:val="center"/>
        <w:rPr>
          <w:rFonts w:eastAsia="Calibri"/>
          <w:lang w:eastAsia="en-US" w:bidi="en-US"/>
        </w:rPr>
      </w:pPr>
      <w:r>
        <w:rPr>
          <w:b/>
        </w:rPr>
        <w:t>Situación de los Planes de Acción Nacional de Gobierno Abierto</w:t>
      </w:r>
    </w:p>
    <w:tbl>
      <w:tblPr>
        <w:tblStyle w:val="Tablaconcuadrcula"/>
        <w:tblW w:w="9640" w:type="dxa"/>
        <w:tblInd w:w="-318" w:type="dxa"/>
        <w:tblBorders>
          <w:insideH w:val="none" w:sz="0" w:space="0" w:color="auto"/>
          <w:insideV w:val="none" w:sz="0" w:space="0" w:color="auto"/>
        </w:tblBorders>
        <w:tblLook w:val="04A0" w:firstRow="1" w:lastRow="0" w:firstColumn="1" w:lastColumn="0" w:noHBand="0" w:noVBand="1"/>
      </w:tblPr>
      <w:tblGrid>
        <w:gridCol w:w="2401"/>
        <w:gridCol w:w="2561"/>
        <w:gridCol w:w="2410"/>
        <w:gridCol w:w="2268"/>
      </w:tblGrid>
      <w:tr w:rsidR="002E0FD6" w:rsidRPr="002E0FD6" w:rsidTr="005F75BB">
        <w:tc>
          <w:tcPr>
            <w:tcW w:w="2401" w:type="dxa"/>
            <w:tcBorders>
              <w:top w:val="single" w:sz="4" w:space="0" w:color="auto"/>
              <w:bottom w:val="single" w:sz="4" w:space="0" w:color="auto"/>
              <w:right w:val="single" w:sz="4" w:space="0" w:color="auto"/>
            </w:tcBorders>
            <w:shd w:val="clear" w:color="auto" w:fill="99CCFF"/>
          </w:tcPr>
          <w:p w:rsidR="002E0FD6" w:rsidRPr="002E0FD6" w:rsidRDefault="002E0FD6" w:rsidP="00691DA3">
            <w:pPr>
              <w:jc w:val="center"/>
              <w:rPr>
                <w:b/>
                <w:sz w:val="22"/>
                <w:szCs w:val="22"/>
              </w:rPr>
            </w:pPr>
            <w:r w:rsidRPr="002E0FD6">
              <w:rPr>
                <w:b/>
                <w:sz w:val="22"/>
                <w:szCs w:val="22"/>
              </w:rPr>
              <w:t>1</w:t>
            </w:r>
            <w:r w:rsidRPr="002E0FD6">
              <w:rPr>
                <w:b/>
                <w:sz w:val="22"/>
                <w:szCs w:val="22"/>
                <w:vertAlign w:val="superscript"/>
              </w:rPr>
              <w:t>er</w:t>
            </w:r>
            <w:r w:rsidRPr="002E0FD6">
              <w:rPr>
                <w:b/>
                <w:sz w:val="22"/>
                <w:szCs w:val="22"/>
              </w:rPr>
              <w:t xml:space="preserve"> Plan 2012-2014</w:t>
            </w:r>
          </w:p>
        </w:tc>
        <w:tc>
          <w:tcPr>
            <w:tcW w:w="2561" w:type="dxa"/>
            <w:tcBorders>
              <w:top w:val="single" w:sz="4" w:space="0" w:color="auto"/>
              <w:left w:val="single" w:sz="4" w:space="0" w:color="auto"/>
              <w:bottom w:val="single" w:sz="4" w:space="0" w:color="auto"/>
              <w:right w:val="single" w:sz="4" w:space="0" w:color="auto"/>
            </w:tcBorders>
            <w:shd w:val="clear" w:color="auto" w:fill="99CCFF"/>
          </w:tcPr>
          <w:p w:rsidR="002E0FD6" w:rsidRPr="002E0FD6" w:rsidRDefault="002E0FD6" w:rsidP="00691DA3">
            <w:pPr>
              <w:jc w:val="center"/>
              <w:rPr>
                <w:b/>
                <w:sz w:val="22"/>
                <w:szCs w:val="22"/>
              </w:rPr>
            </w:pPr>
            <w:r w:rsidRPr="002E0FD6">
              <w:rPr>
                <w:b/>
                <w:sz w:val="22"/>
                <w:szCs w:val="22"/>
              </w:rPr>
              <w:t>2</w:t>
            </w:r>
            <w:r w:rsidRPr="002E0FD6">
              <w:rPr>
                <w:b/>
                <w:sz w:val="22"/>
                <w:szCs w:val="22"/>
                <w:vertAlign w:val="superscript"/>
              </w:rPr>
              <w:t>do</w:t>
            </w:r>
            <w:r w:rsidRPr="002E0FD6">
              <w:rPr>
                <w:b/>
                <w:sz w:val="22"/>
                <w:szCs w:val="22"/>
              </w:rPr>
              <w:t xml:space="preserve"> Plan 2014-2016</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2E0FD6" w:rsidRPr="002E0FD6" w:rsidRDefault="002E0FD6" w:rsidP="00691DA3">
            <w:pPr>
              <w:jc w:val="center"/>
              <w:rPr>
                <w:b/>
                <w:sz w:val="22"/>
                <w:szCs w:val="22"/>
              </w:rPr>
            </w:pPr>
            <w:r w:rsidRPr="002E0FD6">
              <w:rPr>
                <w:b/>
                <w:sz w:val="22"/>
                <w:szCs w:val="22"/>
              </w:rPr>
              <w:t>3</w:t>
            </w:r>
            <w:r w:rsidRPr="002E0FD6">
              <w:rPr>
                <w:b/>
                <w:sz w:val="22"/>
                <w:szCs w:val="22"/>
                <w:vertAlign w:val="superscript"/>
              </w:rPr>
              <w:t>er</w:t>
            </w:r>
            <w:r w:rsidRPr="002E0FD6">
              <w:rPr>
                <w:b/>
                <w:sz w:val="22"/>
                <w:szCs w:val="22"/>
              </w:rPr>
              <w:t xml:space="preserve"> Plan 2016-2018</w:t>
            </w:r>
          </w:p>
        </w:tc>
        <w:tc>
          <w:tcPr>
            <w:tcW w:w="2268" w:type="dxa"/>
            <w:tcBorders>
              <w:top w:val="single" w:sz="4" w:space="0" w:color="auto"/>
              <w:left w:val="single" w:sz="4" w:space="0" w:color="auto"/>
              <w:bottom w:val="single" w:sz="4" w:space="0" w:color="auto"/>
            </w:tcBorders>
            <w:shd w:val="clear" w:color="auto" w:fill="99CCFF"/>
          </w:tcPr>
          <w:p w:rsidR="002E0FD6" w:rsidRPr="002E0FD6" w:rsidRDefault="002E0FD6" w:rsidP="00691DA3">
            <w:pPr>
              <w:jc w:val="center"/>
              <w:rPr>
                <w:b/>
                <w:sz w:val="22"/>
                <w:szCs w:val="22"/>
              </w:rPr>
            </w:pPr>
            <w:r w:rsidRPr="002E0FD6">
              <w:rPr>
                <w:b/>
                <w:sz w:val="22"/>
                <w:szCs w:val="22"/>
              </w:rPr>
              <w:t>4</w:t>
            </w:r>
            <w:r w:rsidRPr="002E0FD6">
              <w:rPr>
                <w:b/>
                <w:sz w:val="22"/>
                <w:szCs w:val="22"/>
                <w:vertAlign w:val="superscript"/>
              </w:rPr>
              <w:t>to</w:t>
            </w:r>
            <w:r w:rsidRPr="002E0FD6">
              <w:rPr>
                <w:b/>
                <w:sz w:val="22"/>
                <w:szCs w:val="22"/>
              </w:rPr>
              <w:t xml:space="preserve"> Plan 2018-2020</w:t>
            </w:r>
          </w:p>
        </w:tc>
      </w:tr>
      <w:tr w:rsidR="002E0FD6" w:rsidRPr="002E0FD6" w:rsidTr="00131670">
        <w:tc>
          <w:tcPr>
            <w:tcW w:w="2401" w:type="dxa"/>
            <w:tcBorders>
              <w:top w:val="single" w:sz="4" w:space="0" w:color="auto"/>
              <w:right w:val="single" w:sz="4" w:space="0" w:color="auto"/>
            </w:tcBorders>
          </w:tcPr>
          <w:p w:rsidR="002E0FD6" w:rsidRPr="002E0FD6" w:rsidRDefault="002E0FD6" w:rsidP="00691DA3">
            <w:pPr>
              <w:rPr>
                <w:sz w:val="22"/>
                <w:szCs w:val="22"/>
              </w:rPr>
            </w:pPr>
          </w:p>
        </w:tc>
        <w:tc>
          <w:tcPr>
            <w:tcW w:w="2561" w:type="dxa"/>
            <w:tcBorders>
              <w:top w:val="single" w:sz="4" w:space="0" w:color="auto"/>
              <w:left w:val="single" w:sz="4" w:space="0" w:color="auto"/>
              <w:right w:val="single" w:sz="4" w:space="0" w:color="auto"/>
            </w:tcBorders>
          </w:tcPr>
          <w:p w:rsidR="002E0FD6" w:rsidRPr="002E0FD6" w:rsidRDefault="002E0FD6" w:rsidP="00691DA3">
            <w:pPr>
              <w:rPr>
                <w:sz w:val="22"/>
                <w:szCs w:val="22"/>
              </w:rPr>
            </w:pPr>
          </w:p>
        </w:tc>
        <w:tc>
          <w:tcPr>
            <w:tcW w:w="2410" w:type="dxa"/>
            <w:tcBorders>
              <w:top w:val="single" w:sz="4" w:space="0" w:color="auto"/>
              <w:left w:val="single" w:sz="4" w:space="0" w:color="auto"/>
              <w:right w:val="single" w:sz="4" w:space="0" w:color="auto"/>
            </w:tcBorders>
          </w:tcPr>
          <w:p w:rsidR="002E0FD6" w:rsidRPr="002E0FD6" w:rsidRDefault="002E0FD6" w:rsidP="00691DA3">
            <w:pPr>
              <w:rPr>
                <w:sz w:val="22"/>
                <w:szCs w:val="22"/>
              </w:rPr>
            </w:pPr>
          </w:p>
        </w:tc>
        <w:tc>
          <w:tcPr>
            <w:tcW w:w="2268" w:type="dxa"/>
            <w:tcBorders>
              <w:top w:val="single" w:sz="4" w:space="0" w:color="auto"/>
              <w:left w:val="single" w:sz="4" w:space="0" w:color="auto"/>
            </w:tcBorders>
          </w:tcPr>
          <w:p w:rsidR="002E0FD6" w:rsidRPr="002E0FD6" w:rsidRDefault="002E0FD6" w:rsidP="00691DA3">
            <w:pPr>
              <w:rPr>
                <w:sz w:val="22"/>
                <w:szCs w:val="22"/>
              </w:rPr>
            </w:pPr>
          </w:p>
        </w:tc>
      </w:tr>
      <w:tr w:rsidR="002E0FD6" w:rsidRPr="002E0FD6" w:rsidTr="00131670">
        <w:tc>
          <w:tcPr>
            <w:tcW w:w="2401" w:type="dxa"/>
            <w:tcBorders>
              <w:right w:val="single" w:sz="4" w:space="0" w:color="auto"/>
            </w:tcBorders>
          </w:tcPr>
          <w:p w:rsidR="002E0FD6" w:rsidRPr="002E0FD6" w:rsidRDefault="002E0FD6" w:rsidP="00691DA3">
            <w:pPr>
              <w:rPr>
                <w:sz w:val="22"/>
                <w:szCs w:val="22"/>
              </w:rPr>
            </w:pPr>
            <w:r w:rsidRPr="002E0FD6">
              <w:rPr>
                <w:sz w:val="22"/>
                <w:szCs w:val="22"/>
              </w:rPr>
              <w:t>2 Ejes temáticos</w:t>
            </w:r>
          </w:p>
        </w:tc>
        <w:tc>
          <w:tcPr>
            <w:tcW w:w="2561" w:type="dxa"/>
            <w:tcBorders>
              <w:left w:val="single" w:sz="4" w:space="0" w:color="auto"/>
              <w:right w:val="single" w:sz="4" w:space="0" w:color="auto"/>
            </w:tcBorders>
          </w:tcPr>
          <w:p w:rsidR="002E0FD6" w:rsidRPr="002E0FD6" w:rsidRDefault="002E0FD6" w:rsidP="00691DA3">
            <w:pPr>
              <w:rPr>
                <w:sz w:val="22"/>
                <w:szCs w:val="22"/>
              </w:rPr>
            </w:pPr>
            <w:r w:rsidRPr="002E0FD6">
              <w:rPr>
                <w:sz w:val="22"/>
                <w:szCs w:val="22"/>
              </w:rPr>
              <w:t>5 Ejes temáticos</w:t>
            </w:r>
          </w:p>
        </w:tc>
        <w:tc>
          <w:tcPr>
            <w:tcW w:w="2410" w:type="dxa"/>
            <w:tcBorders>
              <w:left w:val="single" w:sz="4" w:space="0" w:color="auto"/>
              <w:right w:val="single" w:sz="4" w:space="0" w:color="auto"/>
            </w:tcBorders>
          </w:tcPr>
          <w:p w:rsidR="002E0FD6" w:rsidRPr="002E0FD6" w:rsidRDefault="002E0FD6" w:rsidP="00691DA3">
            <w:pPr>
              <w:rPr>
                <w:sz w:val="22"/>
                <w:szCs w:val="22"/>
              </w:rPr>
            </w:pPr>
            <w:r w:rsidRPr="002E0FD6">
              <w:rPr>
                <w:sz w:val="22"/>
                <w:szCs w:val="22"/>
              </w:rPr>
              <w:t>5 Ejes temáticos</w:t>
            </w:r>
          </w:p>
        </w:tc>
        <w:tc>
          <w:tcPr>
            <w:tcW w:w="2268" w:type="dxa"/>
            <w:tcBorders>
              <w:left w:val="single" w:sz="4" w:space="0" w:color="auto"/>
            </w:tcBorders>
          </w:tcPr>
          <w:p w:rsidR="002E0FD6" w:rsidRPr="002E0FD6" w:rsidRDefault="002E0FD6" w:rsidP="00691DA3">
            <w:pPr>
              <w:rPr>
                <w:sz w:val="22"/>
                <w:szCs w:val="22"/>
              </w:rPr>
            </w:pPr>
            <w:r w:rsidRPr="002E0FD6">
              <w:rPr>
                <w:sz w:val="22"/>
                <w:szCs w:val="22"/>
              </w:rPr>
              <w:t>12 Ejes temáticos</w:t>
            </w:r>
          </w:p>
        </w:tc>
      </w:tr>
      <w:tr w:rsidR="002E0FD6" w:rsidRPr="002E0FD6" w:rsidTr="00131670">
        <w:tc>
          <w:tcPr>
            <w:tcW w:w="2401" w:type="dxa"/>
            <w:tcBorders>
              <w:right w:val="single" w:sz="4" w:space="0" w:color="auto"/>
            </w:tcBorders>
          </w:tcPr>
          <w:p w:rsidR="002E0FD6" w:rsidRPr="002E0FD6" w:rsidRDefault="002E0FD6" w:rsidP="00691DA3">
            <w:pPr>
              <w:rPr>
                <w:sz w:val="22"/>
                <w:szCs w:val="22"/>
              </w:rPr>
            </w:pPr>
            <w:r w:rsidRPr="002E0FD6">
              <w:rPr>
                <w:sz w:val="22"/>
                <w:szCs w:val="22"/>
              </w:rPr>
              <w:t>3 Compromisos (14 hitos o metas)</w:t>
            </w:r>
          </w:p>
        </w:tc>
        <w:tc>
          <w:tcPr>
            <w:tcW w:w="2561" w:type="dxa"/>
            <w:tcBorders>
              <w:left w:val="single" w:sz="4" w:space="0" w:color="auto"/>
              <w:right w:val="single" w:sz="4" w:space="0" w:color="auto"/>
            </w:tcBorders>
          </w:tcPr>
          <w:p w:rsidR="002E0FD6" w:rsidRPr="002E0FD6" w:rsidRDefault="002E0FD6" w:rsidP="00691DA3">
            <w:pPr>
              <w:rPr>
                <w:sz w:val="22"/>
                <w:szCs w:val="22"/>
              </w:rPr>
            </w:pPr>
            <w:r w:rsidRPr="002E0FD6">
              <w:rPr>
                <w:sz w:val="22"/>
                <w:szCs w:val="22"/>
              </w:rPr>
              <w:t>48 Compromisos</w:t>
            </w:r>
          </w:p>
        </w:tc>
        <w:tc>
          <w:tcPr>
            <w:tcW w:w="2410" w:type="dxa"/>
            <w:tcBorders>
              <w:left w:val="single" w:sz="4" w:space="0" w:color="auto"/>
              <w:right w:val="single" w:sz="4" w:space="0" w:color="auto"/>
            </w:tcBorders>
          </w:tcPr>
          <w:p w:rsidR="002E0FD6" w:rsidRPr="002E0FD6" w:rsidRDefault="002E0FD6" w:rsidP="00691DA3">
            <w:pPr>
              <w:rPr>
                <w:sz w:val="22"/>
                <w:szCs w:val="22"/>
              </w:rPr>
            </w:pPr>
            <w:r w:rsidRPr="002E0FD6">
              <w:rPr>
                <w:sz w:val="22"/>
                <w:szCs w:val="22"/>
              </w:rPr>
              <w:t>22 Compromisos</w:t>
            </w:r>
          </w:p>
        </w:tc>
        <w:tc>
          <w:tcPr>
            <w:tcW w:w="2268" w:type="dxa"/>
            <w:tcBorders>
              <w:left w:val="single" w:sz="4" w:space="0" w:color="auto"/>
            </w:tcBorders>
          </w:tcPr>
          <w:p w:rsidR="002E0FD6" w:rsidRPr="002E0FD6" w:rsidRDefault="002E0FD6" w:rsidP="00691DA3">
            <w:pPr>
              <w:rPr>
                <w:sz w:val="22"/>
                <w:szCs w:val="22"/>
              </w:rPr>
            </w:pPr>
            <w:r w:rsidRPr="002E0FD6">
              <w:rPr>
                <w:sz w:val="22"/>
                <w:szCs w:val="22"/>
              </w:rPr>
              <w:t>24 Compromisos</w:t>
            </w:r>
          </w:p>
        </w:tc>
      </w:tr>
      <w:tr w:rsidR="002E0FD6" w:rsidRPr="002E0FD6" w:rsidTr="00131670">
        <w:tc>
          <w:tcPr>
            <w:tcW w:w="2401" w:type="dxa"/>
            <w:tcBorders>
              <w:right w:val="single" w:sz="4" w:space="0" w:color="auto"/>
            </w:tcBorders>
          </w:tcPr>
          <w:p w:rsidR="002E0FD6" w:rsidRPr="002E0FD6" w:rsidRDefault="002E0FD6" w:rsidP="00691DA3">
            <w:pPr>
              <w:rPr>
                <w:sz w:val="22"/>
                <w:szCs w:val="22"/>
              </w:rPr>
            </w:pPr>
            <w:r w:rsidRPr="002E0FD6">
              <w:rPr>
                <w:sz w:val="22"/>
                <w:szCs w:val="22"/>
              </w:rPr>
              <w:t>(todos de Transparencia Fiscal)</w:t>
            </w:r>
          </w:p>
        </w:tc>
        <w:tc>
          <w:tcPr>
            <w:tcW w:w="2561" w:type="dxa"/>
            <w:tcBorders>
              <w:left w:val="single" w:sz="4" w:space="0" w:color="auto"/>
              <w:right w:val="single" w:sz="4" w:space="0" w:color="auto"/>
            </w:tcBorders>
          </w:tcPr>
          <w:p w:rsidR="002E0FD6" w:rsidRPr="002E0FD6" w:rsidRDefault="002E0FD6" w:rsidP="00691DA3">
            <w:pPr>
              <w:rPr>
                <w:sz w:val="22"/>
                <w:szCs w:val="22"/>
              </w:rPr>
            </w:pPr>
            <w:r w:rsidRPr="002E0FD6">
              <w:rPr>
                <w:sz w:val="22"/>
                <w:szCs w:val="22"/>
              </w:rPr>
              <w:t>22 propuestos por Gobierno</w:t>
            </w:r>
          </w:p>
        </w:tc>
        <w:tc>
          <w:tcPr>
            <w:tcW w:w="2410" w:type="dxa"/>
            <w:tcBorders>
              <w:left w:val="single" w:sz="4" w:space="0" w:color="auto"/>
              <w:right w:val="single" w:sz="4" w:space="0" w:color="auto"/>
            </w:tcBorders>
          </w:tcPr>
          <w:p w:rsidR="002E0FD6" w:rsidRPr="002E0FD6" w:rsidRDefault="002E0FD6" w:rsidP="00691DA3">
            <w:pPr>
              <w:rPr>
                <w:sz w:val="22"/>
                <w:szCs w:val="22"/>
              </w:rPr>
            </w:pPr>
            <w:r w:rsidRPr="002E0FD6">
              <w:rPr>
                <w:sz w:val="22"/>
                <w:szCs w:val="22"/>
              </w:rPr>
              <w:t>(7 de Transparencia Fiscal)</w:t>
            </w:r>
          </w:p>
        </w:tc>
        <w:tc>
          <w:tcPr>
            <w:tcW w:w="2268" w:type="dxa"/>
            <w:tcBorders>
              <w:left w:val="single" w:sz="4" w:space="0" w:color="auto"/>
            </w:tcBorders>
          </w:tcPr>
          <w:p w:rsidR="002E0FD6" w:rsidRPr="002E0FD6" w:rsidRDefault="002E0FD6" w:rsidP="00691DA3">
            <w:pPr>
              <w:rPr>
                <w:sz w:val="22"/>
                <w:szCs w:val="22"/>
              </w:rPr>
            </w:pPr>
            <w:r w:rsidRPr="002E0FD6">
              <w:rPr>
                <w:sz w:val="22"/>
                <w:szCs w:val="22"/>
              </w:rPr>
              <w:t>(3 de Transparencia Fiscal)</w:t>
            </w:r>
          </w:p>
        </w:tc>
      </w:tr>
      <w:tr w:rsidR="002E0FD6" w:rsidRPr="002E0FD6" w:rsidTr="00131670">
        <w:tc>
          <w:tcPr>
            <w:tcW w:w="2401" w:type="dxa"/>
            <w:tcBorders>
              <w:right w:val="single" w:sz="4" w:space="0" w:color="auto"/>
            </w:tcBorders>
          </w:tcPr>
          <w:p w:rsidR="002E0FD6" w:rsidRPr="002E0FD6" w:rsidRDefault="002E0FD6" w:rsidP="00691DA3">
            <w:pPr>
              <w:rPr>
                <w:sz w:val="22"/>
                <w:szCs w:val="22"/>
              </w:rPr>
            </w:pPr>
          </w:p>
        </w:tc>
        <w:tc>
          <w:tcPr>
            <w:tcW w:w="2561" w:type="dxa"/>
            <w:tcBorders>
              <w:left w:val="single" w:sz="4" w:space="0" w:color="auto"/>
              <w:right w:val="single" w:sz="4" w:space="0" w:color="auto"/>
            </w:tcBorders>
          </w:tcPr>
          <w:p w:rsidR="002E0FD6" w:rsidRPr="002E0FD6" w:rsidRDefault="002E0FD6" w:rsidP="00691DA3">
            <w:pPr>
              <w:rPr>
                <w:sz w:val="22"/>
                <w:szCs w:val="22"/>
              </w:rPr>
            </w:pPr>
            <w:r w:rsidRPr="002E0FD6">
              <w:rPr>
                <w:sz w:val="22"/>
                <w:szCs w:val="22"/>
              </w:rPr>
              <w:t>26 propuestos por OSC</w:t>
            </w:r>
          </w:p>
        </w:tc>
        <w:tc>
          <w:tcPr>
            <w:tcW w:w="2410" w:type="dxa"/>
            <w:tcBorders>
              <w:left w:val="single" w:sz="4" w:space="0" w:color="auto"/>
              <w:right w:val="single" w:sz="4" w:space="0" w:color="auto"/>
            </w:tcBorders>
          </w:tcPr>
          <w:p w:rsidR="002E0FD6" w:rsidRPr="002E0FD6" w:rsidRDefault="002E0FD6" w:rsidP="00691DA3">
            <w:pPr>
              <w:rPr>
                <w:sz w:val="22"/>
                <w:szCs w:val="22"/>
              </w:rPr>
            </w:pPr>
          </w:p>
        </w:tc>
        <w:tc>
          <w:tcPr>
            <w:tcW w:w="2268" w:type="dxa"/>
            <w:tcBorders>
              <w:left w:val="single" w:sz="4" w:space="0" w:color="auto"/>
            </w:tcBorders>
          </w:tcPr>
          <w:p w:rsidR="002E0FD6" w:rsidRPr="002E0FD6" w:rsidRDefault="002E0FD6" w:rsidP="00691DA3">
            <w:pPr>
              <w:rPr>
                <w:sz w:val="22"/>
                <w:szCs w:val="22"/>
              </w:rPr>
            </w:pPr>
          </w:p>
        </w:tc>
      </w:tr>
      <w:tr w:rsidR="002E0FD6" w:rsidRPr="002E0FD6" w:rsidTr="00131670">
        <w:tc>
          <w:tcPr>
            <w:tcW w:w="2401" w:type="dxa"/>
            <w:tcBorders>
              <w:right w:val="single" w:sz="4" w:space="0" w:color="auto"/>
            </w:tcBorders>
          </w:tcPr>
          <w:p w:rsidR="002E0FD6" w:rsidRPr="002E0FD6" w:rsidRDefault="002E0FD6" w:rsidP="00691DA3">
            <w:pPr>
              <w:rPr>
                <w:sz w:val="22"/>
                <w:szCs w:val="22"/>
              </w:rPr>
            </w:pPr>
          </w:p>
        </w:tc>
        <w:tc>
          <w:tcPr>
            <w:tcW w:w="2561" w:type="dxa"/>
            <w:tcBorders>
              <w:left w:val="single" w:sz="4" w:space="0" w:color="auto"/>
              <w:right w:val="single" w:sz="4" w:space="0" w:color="auto"/>
            </w:tcBorders>
          </w:tcPr>
          <w:p w:rsidR="002E0FD6" w:rsidRPr="002E0FD6" w:rsidRDefault="002E0FD6" w:rsidP="00691DA3">
            <w:pPr>
              <w:rPr>
                <w:sz w:val="22"/>
                <w:szCs w:val="22"/>
              </w:rPr>
            </w:pPr>
            <w:r w:rsidRPr="002E0FD6">
              <w:rPr>
                <w:sz w:val="22"/>
                <w:szCs w:val="22"/>
              </w:rPr>
              <w:t>(12 de Transparencia Fiscal)</w:t>
            </w:r>
          </w:p>
        </w:tc>
        <w:tc>
          <w:tcPr>
            <w:tcW w:w="2410" w:type="dxa"/>
            <w:tcBorders>
              <w:left w:val="single" w:sz="4" w:space="0" w:color="auto"/>
              <w:right w:val="single" w:sz="4" w:space="0" w:color="auto"/>
            </w:tcBorders>
          </w:tcPr>
          <w:p w:rsidR="002E0FD6" w:rsidRPr="002E0FD6" w:rsidRDefault="002E0FD6" w:rsidP="00691DA3">
            <w:pPr>
              <w:rPr>
                <w:sz w:val="22"/>
                <w:szCs w:val="22"/>
              </w:rPr>
            </w:pPr>
            <w:r w:rsidRPr="002E0FD6">
              <w:rPr>
                <w:sz w:val="22"/>
                <w:szCs w:val="22"/>
              </w:rPr>
              <w:t>3 Foros de Consulta Ciudadana</w:t>
            </w:r>
            <w:r w:rsidR="002A7078">
              <w:rPr>
                <w:sz w:val="22"/>
                <w:szCs w:val="22"/>
              </w:rPr>
              <w:t xml:space="preserve"> en el interior</w:t>
            </w:r>
          </w:p>
        </w:tc>
        <w:tc>
          <w:tcPr>
            <w:tcW w:w="2268" w:type="dxa"/>
            <w:tcBorders>
              <w:left w:val="single" w:sz="4" w:space="0" w:color="auto"/>
            </w:tcBorders>
          </w:tcPr>
          <w:p w:rsidR="002E0FD6" w:rsidRPr="002E0FD6" w:rsidRDefault="002E0FD6" w:rsidP="00691DA3">
            <w:pPr>
              <w:rPr>
                <w:sz w:val="22"/>
                <w:szCs w:val="22"/>
              </w:rPr>
            </w:pPr>
            <w:r w:rsidRPr="002E0FD6">
              <w:rPr>
                <w:sz w:val="22"/>
                <w:szCs w:val="22"/>
              </w:rPr>
              <w:t>6 Foros de Consulta Ciudadana</w:t>
            </w:r>
          </w:p>
        </w:tc>
      </w:tr>
      <w:tr w:rsidR="002E0FD6" w:rsidRPr="002E0FD6" w:rsidTr="00131670">
        <w:tc>
          <w:tcPr>
            <w:tcW w:w="2401" w:type="dxa"/>
            <w:tcBorders>
              <w:right w:val="single" w:sz="4" w:space="0" w:color="auto"/>
            </w:tcBorders>
          </w:tcPr>
          <w:p w:rsidR="002E0FD6" w:rsidRPr="002E0FD6" w:rsidRDefault="002E0FD6" w:rsidP="00691DA3">
            <w:pPr>
              <w:rPr>
                <w:sz w:val="22"/>
                <w:szCs w:val="22"/>
              </w:rPr>
            </w:pPr>
          </w:p>
        </w:tc>
        <w:tc>
          <w:tcPr>
            <w:tcW w:w="2561" w:type="dxa"/>
            <w:tcBorders>
              <w:left w:val="single" w:sz="4" w:space="0" w:color="auto"/>
              <w:right w:val="single" w:sz="4" w:space="0" w:color="auto"/>
            </w:tcBorders>
          </w:tcPr>
          <w:p w:rsidR="002E0FD6" w:rsidRPr="002E0FD6" w:rsidRDefault="002E0FD6" w:rsidP="00691DA3">
            <w:pPr>
              <w:rPr>
                <w:sz w:val="22"/>
                <w:szCs w:val="22"/>
              </w:rPr>
            </w:pPr>
          </w:p>
        </w:tc>
        <w:tc>
          <w:tcPr>
            <w:tcW w:w="2410" w:type="dxa"/>
            <w:tcBorders>
              <w:left w:val="single" w:sz="4" w:space="0" w:color="auto"/>
              <w:right w:val="single" w:sz="4" w:space="0" w:color="auto"/>
            </w:tcBorders>
          </w:tcPr>
          <w:p w:rsidR="002E0FD6" w:rsidRPr="002E0FD6" w:rsidRDefault="002A7078" w:rsidP="002A7078">
            <w:pPr>
              <w:rPr>
                <w:sz w:val="22"/>
                <w:szCs w:val="22"/>
              </w:rPr>
            </w:pPr>
            <w:r>
              <w:rPr>
                <w:sz w:val="22"/>
                <w:szCs w:val="22"/>
              </w:rPr>
              <w:t>Un c</w:t>
            </w:r>
            <w:r w:rsidR="002E0FD6" w:rsidRPr="002E0FD6">
              <w:rPr>
                <w:sz w:val="22"/>
                <w:szCs w:val="22"/>
              </w:rPr>
              <w:t xml:space="preserve">omité </w:t>
            </w:r>
            <w:r>
              <w:rPr>
                <w:sz w:val="22"/>
                <w:szCs w:val="22"/>
              </w:rPr>
              <w:t>t</w:t>
            </w:r>
            <w:r w:rsidR="002E0FD6" w:rsidRPr="002E0FD6">
              <w:rPr>
                <w:sz w:val="22"/>
                <w:szCs w:val="22"/>
              </w:rPr>
              <w:t>écnico por cada eje temático</w:t>
            </w:r>
          </w:p>
        </w:tc>
        <w:tc>
          <w:tcPr>
            <w:tcW w:w="2268" w:type="dxa"/>
            <w:tcBorders>
              <w:left w:val="single" w:sz="4" w:space="0" w:color="auto"/>
            </w:tcBorders>
          </w:tcPr>
          <w:p w:rsidR="002E0FD6" w:rsidRPr="002E0FD6" w:rsidRDefault="002E0FD6" w:rsidP="00691DA3">
            <w:pPr>
              <w:rPr>
                <w:sz w:val="22"/>
                <w:szCs w:val="22"/>
              </w:rPr>
            </w:pPr>
            <w:r w:rsidRPr="002E0FD6">
              <w:rPr>
                <w:sz w:val="22"/>
                <w:szCs w:val="22"/>
              </w:rPr>
              <w:t>3 Rondas de Mesas de Trabajo</w:t>
            </w:r>
          </w:p>
          <w:p w:rsidR="002E0FD6" w:rsidRPr="002E0FD6" w:rsidRDefault="002E0FD6" w:rsidP="00691DA3">
            <w:pPr>
              <w:rPr>
                <w:sz w:val="22"/>
                <w:szCs w:val="22"/>
              </w:rPr>
            </w:pPr>
            <w:r w:rsidRPr="002E0FD6">
              <w:rPr>
                <w:sz w:val="22"/>
                <w:szCs w:val="22"/>
              </w:rPr>
              <w:t>Varias reuniones técnicas</w:t>
            </w:r>
          </w:p>
        </w:tc>
      </w:tr>
      <w:tr w:rsidR="002E0FD6" w:rsidRPr="002E0FD6" w:rsidTr="00131670">
        <w:tc>
          <w:tcPr>
            <w:tcW w:w="2401" w:type="dxa"/>
            <w:tcBorders>
              <w:right w:val="single" w:sz="4" w:space="0" w:color="auto"/>
            </w:tcBorders>
          </w:tcPr>
          <w:p w:rsidR="002E0FD6" w:rsidRPr="002E0FD6" w:rsidRDefault="002E0FD6" w:rsidP="00691DA3">
            <w:pPr>
              <w:rPr>
                <w:sz w:val="22"/>
                <w:szCs w:val="22"/>
              </w:rPr>
            </w:pPr>
          </w:p>
        </w:tc>
        <w:tc>
          <w:tcPr>
            <w:tcW w:w="2561" w:type="dxa"/>
            <w:tcBorders>
              <w:left w:val="single" w:sz="4" w:space="0" w:color="auto"/>
              <w:right w:val="single" w:sz="4" w:space="0" w:color="auto"/>
            </w:tcBorders>
          </w:tcPr>
          <w:p w:rsidR="002E0FD6" w:rsidRPr="002E0FD6" w:rsidRDefault="002E0FD6" w:rsidP="00691DA3">
            <w:pPr>
              <w:rPr>
                <w:sz w:val="22"/>
                <w:szCs w:val="22"/>
              </w:rPr>
            </w:pPr>
          </w:p>
        </w:tc>
        <w:tc>
          <w:tcPr>
            <w:tcW w:w="2410" w:type="dxa"/>
            <w:tcBorders>
              <w:left w:val="single" w:sz="4" w:space="0" w:color="auto"/>
              <w:right w:val="single" w:sz="4" w:space="0" w:color="auto"/>
            </w:tcBorders>
          </w:tcPr>
          <w:p w:rsidR="002E0FD6" w:rsidRPr="002E0FD6" w:rsidRDefault="002E0FD6" w:rsidP="00691DA3">
            <w:pPr>
              <w:rPr>
                <w:sz w:val="22"/>
                <w:szCs w:val="22"/>
              </w:rPr>
            </w:pPr>
          </w:p>
        </w:tc>
        <w:tc>
          <w:tcPr>
            <w:tcW w:w="2268" w:type="dxa"/>
            <w:tcBorders>
              <w:left w:val="single" w:sz="4" w:space="0" w:color="auto"/>
            </w:tcBorders>
          </w:tcPr>
          <w:p w:rsidR="002E0FD6" w:rsidRPr="002E0FD6" w:rsidRDefault="002E0FD6" w:rsidP="00691DA3">
            <w:pPr>
              <w:rPr>
                <w:sz w:val="22"/>
                <w:szCs w:val="22"/>
              </w:rPr>
            </w:pPr>
          </w:p>
        </w:tc>
      </w:tr>
      <w:tr w:rsidR="002E0FD6" w:rsidRPr="002E0FD6" w:rsidTr="00131670">
        <w:tc>
          <w:tcPr>
            <w:tcW w:w="2401" w:type="dxa"/>
            <w:tcBorders>
              <w:right w:val="single" w:sz="4" w:space="0" w:color="auto"/>
            </w:tcBorders>
          </w:tcPr>
          <w:p w:rsidR="002E0FD6" w:rsidRPr="002E0FD6" w:rsidRDefault="002E0FD6" w:rsidP="00691DA3">
            <w:pPr>
              <w:rPr>
                <w:sz w:val="22"/>
                <w:szCs w:val="22"/>
              </w:rPr>
            </w:pPr>
            <w:r w:rsidRPr="002E0FD6">
              <w:rPr>
                <w:sz w:val="22"/>
                <w:szCs w:val="22"/>
              </w:rPr>
              <w:t>Propuesta</w:t>
            </w:r>
            <w:r w:rsidR="00131670">
              <w:rPr>
                <w:sz w:val="22"/>
                <w:szCs w:val="22"/>
              </w:rPr>
              <w:t>s</w:t>
            </w:r>
            <w:r w:rsidRPr="002E0FD6">
              <w:rPr>
                <w:sz w:val="22"/>
                <w:szCs w:val="22"/>
              </w:rPr>
              <w:t xml:space="preserve"> solo de</w:t>
            </w:r>
            <w:r w:rsidR="00131670">
              <w:rPr>
                <w:sz w:val="22"/>
                <w:szCs w:val="22"/>
              </w:rPr>
              <w:t>l</w:t>
            </w:r>
            <w:r w:rsidRPr="002E0FD6">
              <w:rPr>
                <w:sz w:val="22"/>
                <w:szCs w:val="22"/>
              </w:rPr>
              <w:t xml:space="preserve"> Gobierno</w:t>
            </w:r>
          </w:p>
        </w:tc>
        <w:tc>
          <w:tcPr>
            <w:tcW w:w="2561" w:type="dxa"/>
            <w:tcBorders>
              <w:left w:val="single" w:sz="4" w:space="0" w:color="auto"/>
              <w:right w:val="single" w:sz="4" w:space="0" w:color="auto"/>
            </w:tcBorders>
          </w:tcPr>
          <w:p w:rsidR="002E0FD6" w:rsidRPr="002E0FD6" w:rsidRDefault="002E0FD6" w:rsidP="00691DA3">
            <w:pPr>
              <w:rPr>
                <w:sz w:val="22"/>
                <w:szCs w:val="22"/>
              </w:rPr>
            </w:pPr>
            <w:r w:rsidRPr="002E0FD6">
              <w:rPr>
                <w:sz w:val="22"/>
                <w:szCs w:val="22"/>
              </w:rPr>
              <w:t>Coyuntura política de 2015</w:t>
            </w:r>
          </w:p>
        </w:tc>
        <w:tc>
          <w:tcPr>
            <w:tcW w:w="2410" w:type="dxa"/>
            <w:tcBorders>
              <w:left w:val="single" w:sz="4" w:space="0" w:color="auto"/>
              <w:right w:val="single" w:sz="4" w:space="0" w:color="auto"/>
            </w:tcBorders>
          </w:tcPr>
          <w:p w:rsidR="002E0FD6" w:rsidRPr="002E0FD6" w:rsidRDefault="002A7078" w:rsidP="002A7078">
            <w:pPr>
              <w:rPr>
                <w:sz w:val="22"/>
                <w:szCs w:val="22"/>
              </w:rPr>
            </w:pPr>
            <w:r>
              <w:rPr>
                <w:sz w:val="22"/>
                <w:szCs w:val="22"/>
              </w:rPr>
              <w:t>Existió a</w:t>
            </w:r>
            <w:r w:rsidR="002E0FD6" w:rsidRPr="002E0FD6">
              <w:rPr>
                <w:sz w:val="22"/>
                <w:szCs w:val="22"/>
              </w:rPr>
              <w:t xml:space="preserve">utoevaluación </w:t>
            </w:r>
            <w:r>
              <w:rPr>
                <w:sz w:val="22"/>
                <w:szCs w:val="22"/>
              </w:rPr>
              <w:t xml:space="preserve">por parte </w:t>
            </w:r>
            <w:r w:rsidR="002E0FD6" w:rsidRPr="002E0FD6">
              <w:rPr>
                <w:sz w:val="22"/>
                <w:szCs w:val="22"/>
              </w:rPr>
              <w:t>de</w:t>
            </w:r>
            <w:r>
              <w:rPr>
                <w:sz w:val="22"/>
                <w:szCs w:val="22"/>
              </w:rPr>
              <w:t>l</w:t>
            </w:r>
            <w:r w:rsidR="002E0FD6" w:rsidRPr="002E0FD6">
              <w:rPr>
                <w:sz w:val="22"/>
                <w:szCs w:val="22"/>
              </w:rPr>
              <w:t xml:space="preserve"> Gobierno</w:t>
            </w:r>
          </w:p>
        </w:tc>
        <w:tc>
          <w:tcPr>
            <w:tcW w:w="2268" w:type="dxa"/>
            <w:tcBorders>
              <w:left w:val="single" w:sz="4" w:space="0" w:color="auto"/>
            </w:tcBorders>
          </w:tcPr>
          <w:p w:rsidR="002E0FD6" w:rsidRPr="002E0FD6" w:rsidRDefault="002E0FD6" w:rsidP="00691DA3">
            <w:pPr>
              <w:rPr>
                <w:sz w:val="22"/>
                <w:szCs w:val="22"/>
              </w:rPr>
            </w:pPr>
            <w:r w:rsidRPr="002E0FD6">
              <w:rPr>
                <w:sz w:val="22"/>
                <w:szCs w:val="22"/>
              </w:rPr>
              <w:t>Revisión a la metodología propuesta por organizaciones de sociedad civil</w:t>
            </w:r>
          </w:p>
        </w:tc>
      </w:tr>
      <w:tr w:rsidR="002E0FD6" w:rsidRPr="002E0FD6" w:rsidTr="00131670">
        <w:tc>
          <w:tcPr>
            <w:tcW w:w="2401" w:type="dxa"/>
            <w:tcBorders>
              <w:right w:val="single" w:sz="4" w:space="0" w:color="auto"/>
            </w:tcBorders>
          </w:tcPr>
          <w:p w:rsidR="002E0FD6" w:rsidRPr="002E0FD6" w:rsidRDefault="002E0FD6" w:rsidP="00691DA3">
            <w:pPr>
              <w:rPr>
                <w:sz w:val="22"/>
                <w:szCs w:val="22"/>
              </w:rPr>
            </w:pPr>
            <w:r w:rsidRPr="002E0FD6">
              <w:rPr>
                <w:sz w:val="22"/>
                <w:szCs w:val="22"/>
              </w:rPr>
              <w:t>No participó sociedad civil</w:t>
            </w:r>
          </w:p>
        </w:tc>
        <w:tc>
          <w:tcPr>
            <w:tcW w:w="2561" w:type="dxa"/>
            <w:tcBorders>
              <w:left w:val="single" w:sz="4" w:space="0" w:color="auto"/>
              <w:right w:val="single" w:sz="4" w:space="0" w:color="auto"/>
            </w:tcBorders>
          </w:tcPr>
          <w:p w:rsidR="002E0FD6" w:rsidRPr="002E0FD6" w:rsidRDefault="002E0FD6" w:rsidP="00691DA3">
            <w:pPr>
              <w:rPr>
                <w:sz w:val="22"/>
                <w:szCs w:val="22"/>
              </w:rPr>
            </w:pPr>
            <w:r w:rsidRPr="002E0FD6">
              <w:rPr>
                <w:sz w:val="22"/>
                <w:szCs w:val="22"/>
              </w:rPr>
              <w:t>COPRET suspende funciones</w:t>
            </w:r>
            <w:r w:rsidR="00131670">
              <w:rPr>
                <w:sz w:val="22"/>
                <w:szCs w:val="22"/>
              </w:rPr>
              <w:t xml:space="preserve"> en 2015</w:t>
            </w:r>
          </w:p>
        </w:tc>
        <w:tc>
          <w:tcPr>
            <w:tcW w:w="2410" w:type="dxa"/>
            <w:tcBorders>
              <w:left w:val="single" w:sz="4" w:space="0" w:color="auto"/>
              <w:right w:val="single" w:sz="4" w:space="0" w:color="auto"/>
            </w:tcBorders>
          </w:tcPr>
          <w:p w:rsidR="002E0FD6" w:rsidRPr="002E0FD6" w:rsidRDefault="002E0FD6" w:rsidP="00691DA3">
            <w:pPr>
              <w:rPr>
                <w:sz w:val="22"/>
                <w:szCs w:val="22"/>
              </w:rPr>
            </w:pPr>
            <w:r w:rsidRPr="002E0FD6">
              <w:rPr>
                <w:sz w:val="22"/>
                <w:szCs w:val="22"/>
              </w:rPr>
              <w:t>Evaluación del MRI</w:t>
            </w:r>
            <w:r w:rsidR="002A7078">
              <w:rPr>
                <w:sz w:val="22"/>
                <w:szCs w:val="22"/>
              </w:rPr>
              <w:t xml:space="preserve"> (investigador independiente)</w:t>
            </w:r>
          </w:p>
        </w:tc>
        <w:tc>
          <w:tcPr>
            <w:tcW w:w="2268" w:type="dxa"/>
            <w:tcBorders>
              <w:left w:val="single" w:sz="4" w:space="0" w:color="auto"/>
            </w:tcBorders>
          </w:tcPr>
          <w:p w:rsidR="002E0FD6" w:rsidRPr="002E0FD6" w:rsidRDefault="002E0FD6" w:rsidP="00691DA3">
            <w:pPr>
              <w:rPr>
                <w:sz w:val="22"/>
                <w:szCs w:val="22"/>
              </w:rPr>
            </w:pPr>
            <w:r w:rsidRPr="002E0FD6">
              <w:rPr>
                <w:sz w:val="22"/>
                <w:szCs w:val="22"/>
              </w:rPr>
              <w:t>Evaluación en línea</w:t>
            </w:r>
          </w:p>
        </w:tc>
      </w:tr>
      <w:tr w:rsidR="002E0FD6" w:rsidRPr="002E0FD6" w:rsidTr="00131670">
        <w:tc>
          <w:tcPr>
            <w:tcW w:w="2401" w:type="dxa"/>
            <w:tcBorders>
              <w:right w:val="single" w:sz="4" w:space="0" w:color="auto"/>
            </w:tcBorders>
          </w:tcPr>
          <w:p w:rsidR="002E0FD6" w:rsidRPr="002E0FD6" w:rsidRDefault="002E0FD6" w:rsidP="00691DA3">
            <w:pPr>
              <w:rPr>
                <w:sz w:val="22"/>
                <w:szCs w:val="22"/>
              </w:rPr>
            </w:pPr>
            <w:r w:rsidRPr="002E0FD6">
              <w:rPr>
                <w:sz w:val="22"/>
                <w:szCs w:val="22"/>
              </w:rPr>
              <w:t>COPRET no consultó con entidades públicas ni con sociedad civil</w:t>
            </w:r>
          </w:p>
        </w:tc>
        <w:tc>
          <w:tcPr>
            <w:tcW w:w="2561" w:type="dxa"/>
            <w:tcBorders>
              <w:left w:val="single" w:sz="4" w:space="0" w:color="auto"/>
              <w:right w:val="single" w:sz="4" w:space="0" w:color="auto"/>
            </w:tcBorders>
          </w:tcPr>
          <w:p w:rsidR="002E0FD6" w:rsidRPr="002E0FD6" w:rsidRDefault="002E0FD6" w:rsidP="00691DA3">
            <w:pPr>
              <w:rPr>
                <w:sz w:val="22"/>
                <w:szCs w:val="22"/>
              </w:rPr>
            </w:pPr>
          </w:p>
        </w:tc>
        <w:tc>
          <w:tcPr>
            <w:tcW w:w="2410" w:type="dxa"/>
            <w:tcBorders>
              <w:left w:val="single" w:sz="4" w:space="0" w:color="auto"/>
              <w:right w:val="single" w:sz="4" w:space="0" w:color="auto"/>
            </w:tcBorders>
          </w:tcPr>
          <w:p w:rsidR="002E0FD6" w:rsidRPr="002E0FD6" w:rsidRDefault="002E0FD6" w:rsidP="00691DA3">
            <w:pPr>
              <w:rPr>
                <w:sz w:val="22"/>
                <w:szCs w:val="22"/>
              </w:rPr>
            </w:pPr>
          </w:p>
        </w:tc>
        <w:tc>
          <w:tcPr>
            <w:tcW w:w="2268" w:type="dxa"/>
            <w:tcBorders>
              <w:left w:val="single" w:sz="4" w:space="0" w:color="auto"/>
            </w:tcBorders>
          </w:tcPr>
          <w:p w:rsidR="002E0FD6" w:rsidRPr="002E0FD6" w:rsidRDefault="002E0FD6" w:rsidP="00691DA3">
            <w:pPr>
              <w:rPr>
                <w:sz w:val="22"/>
                <w:szCs w:val="22"/>
              </w:rPr>
            </w:pPr>
            <w:r w:rsidRPr="002E0FD6">
              <w:rPr>
                <w:sz w:val="22"/>
                <w:szCs w:val="22"/>
              </w:rPr>
              <w:t>Revisión del Comité Técnico</w:t>
            </w:r>
          </w:p>
          <w:p w:rsidR="002E0FD6" w:rsidRPr="002E0FD6" w:rsidRDefault="002E0FD6" w:rsidP="00691DA3">
            <w:pPr>
              <w:rPr>
                <w:sz w:val="22"/>
                <w:szCs w:val="22"/>
              </w:rPr>
            </w:pPr>
            <w:r w:rsidRPr="002E0FD6">
              <w:rPr>
                <w:sz w:val="22"/>
                <w:szCs w:val="22"/>
              </w:rPr>
              <w:t>Revisión del Comité de Estilo</w:t>
            </w:r>
          </w:p>
          <w:p w:rsidR="002E0FD6" w:rsidRPr="002E0FD6" w:rsidRDefault="002E0FD6" w:rsidP="00691DA3">
            <w:pPr>
              <w:rPr>
                <w:sz w:val="22"/>
                <w:szCs w:val="22"/>
              </w:rPr>
            </w:pPr>
            <w:r w:rsidRPr="002E0FD6">
              <w:rPr>
                <w:sz w:val="22"/>
                <w:szCs w:val="22"/>
              </w:rPr>
              <w:t>Revisión de la OGP</w:t>
            </w:r>
          </w:p>
        </w:tc>
      </w:tr>
      <w:tr w:rsidR="002E0FD6" w:rsidRPr="002E0FD6" w:rsidTr="00131670">
        <w:tc>
          <w:tcPr>
            <w:tcW w:w="2401" w:type="dxa"/>
            <w:tcBorders>
              <w:right w:val="single" w:sz="4" w:space="0" w:color="auto"/>
            </w:tcBorders>
          </w:tcPr>
          <w:p w:rsidR="002E0FD6" w:rsidRPr="002E0FD6" w:rsidRDefault="002E0FD6" w:rsidP="00691DA3">
            <w:pPr>
              <w:rPr>
                <w:sz w:val="22"/>
                <w:szCs w:val="22"/>
              </w:rPr>
            </w:pPr>
            <w:r w:rsidRPr="002E0FD6">
              <w:rPr>
                <w:sz w:val="22"/>
                <w:szCs w:val="22"/>
              </w:rPr>
              <w:t>Contenido irrelevante para sociedad civil</w:t>
            </w:r>
          </w:p>
        </w:tc>
        <w:tc>
          <w:tcPr>
            <w:tcW w:w="2561" w:type="dxa"/>
            <w:tcBorders>
              <w:left w:val="single" w:sz="4" w:space="0" w:color="auto"/>
              <w:right w:val="single" w:sz="4" w:space="0" w:color="auto"/>
            </w:tcBorders>
          </w:tcPr>
          <w:p w:rsidR="002E0FD6" w:rsidRPr="002E0FD6" w:rsidRDefault="002E0FD6" w:rsidP="00691DA3">
            <w:pPr>
              <w:rPr>
                <w:sz w:val="22"/>
                <w:szCs w:val="22"/>
              </w:rPr>
            </w:pPr>
            <w:r w:rsidRPr="002E0FD6">
              <w:rPr>
                <w:sz w:val="22"/>
                <w:szCs w:val="22"/>
              </w:rPr>
              <w:t xml:space="preserve">No existe evaluación oficial </w:t>
            </w:r>
            <w:r w:rsidR="00131670">
              <w:rPr>
                <w:sz w:val="22"/>
                <w:szCs w:val="22"/>
              </w:rPr>
              <w:t xml:space="preserve">del Plan por parte </w:t>
            </w:r>
            <w:r w:rsidRPr="002E0FD6">
              <w:rPr>
                <w:sz w:val="22"/>
                <w:szCs w:val="22"/>
              </w:rPr>
              <w:t>de</w:t>
            </w:r>
            <w:r w:rsidR="00131670">
              <w:rPr>
                <w:sz w:val="22"/>
                <w:szCs w:val="22"/>
              </w:rPr>
              <w:t>l</w:t>
            </w:r>
            <w:r w:rsidRPr="002E0FD6">
              <w:rPr>
                <w:sz w:val="22"/>
                <w:szCs w:val="22"/>
              </w:rPr>
              <w:t xml:space="preserve"> Gobierno</w:t>
            </w:r>
          </w:p>
        </w:tc>
        <w:tc>
          <w:tcPr>
            <w:tcW w:w="2410" w:type="dxa"/>
            <w:tcBorders>
              <w:left w:val="single" w:sz="4" w:space="0" w:color="auto"/>
              <w:right w:val="single" w:sz="4" w:space="0" w:color="auto"/>
            </w:tcBorders>
          </w:tcPr>
          <w:p w:rsidR="002E0FD6" w:rsidRPr="002E0FD6" w:rsidRDefault="002E0FD6" w:rsidP="002A7078">
            <w:pPr>
              <w:rPr>
                <w:sz w:val="22"/>
                <w:szCs w:val="22"/>
              </w:rPr>
            </w:pPr>
            <w:r w:rsidRPr="002E0FD6">
              <w:rPr>
                <w:sz w:val="22"/>
                <w:szCs w:val="22"/>
              </w:rPr>
              <w:t xml:space="preserve">96.68% de </w:t>
            </w:r>
            <w:r w:rsidR="002A7078">
              <w:rPr>
                <w:sz w:val="22"/>
                <w:szCs w:val="22"/>
              </w:rPr>
              <w:t>a</w:t>
            </w:r>
            <w:r w:rsidRPr="002E0FD6">
              <w:rPr>
                <w:sz w:val="22"/>
                <w:szCs w:val="22"/>
              </w:rPr>
              <w:t>vance en los compromisos de transparencia fiscal</w:t>
            </w:r>
          </w:p>
        </w:tc>
        <w:tc>
          <w:tcPr>
            <w:tcW w:w="2268" w:type="dxa"/>
            <w:tcBorders>
              <w:left w:val="single" w:sz="4" w:space="0" w:color="auto"/>
            </w:tcBorders>
          </w:tcPr>
          <w:p w:rsidR="002E0FD6" w:rsidRPr="002E0FD6" w:rsidRDefault="002E0FD6" w:rsidP="00691DA3">
            <w:pPr>
              <w:rPr>
                <w:sz w:val="22"/>
                <w:szCs w:val="22"/>
              </w:rPr>
            </w:pPr>
          </w:p>
        </w:tc>
      </w:tr>
      <w:tr w:rsidR="002E0FD6" w:rsidRPr="002E0FD6" w:rsidTr="00131670">
        <w:tc>
          <w:tcPr>
            <w:tcW w:w="2401" w:type="dxa"/>
            <w:tcBorders>
              <w:right w:val="single" w:sz="4" w:space="0" w:color="auto"/>
            </w:tcBorders>
          </w:tcPr>
          <w:p w:rsidR="002E0FD6" w:rsidRPr="002E0FD6" w:rsidRDefault="002E0FD6" w:rsidP="00691DA3">
            <w:pPr>
              <w:rPr>
                <w:sz w:val="22"/>
                <w:szCs w:val="22"/>
              </w:rPr>
            </w:pPr>
            <w:r w:rsidRPr="002E0FD6">
              <w:rPr>
                <w:sz w:val="22"/>
                <w:szCs w:val="22"/>
              </w:rPr>
              <w:t>Impacto Medio</w:t>
            </w:r>
          </w:p>
        </w:tc>
        <w:tc>
          <w:tcPr>
            <w:tcW w:w="2561" w:type="dxa"/>
            <w:tcBorders>
              <w:left w:val="single" w:sz="4" w:space="0" w:color="auto"/>
              <w:right w:val="single" w:sz="4" w:space="0" w:color="auto"/>
            </w:tcBorders>
          </w:tcPr>
          <w:p w:rsidR="002E0FD6" w:rsidRPr="002E0FD6" w:rsidRDefault="002E0FD6" w:rsidP="00691DA3">
            <w:pPr>
              <w:rPr>
                <w:sz w:val="22"/>
                <w:szCs w:val="22"/>
              </w:rPr>
            </w:pPr>
          </w:p>
        </w:tc>
        <w:tc>
          <w:tcPr>
            <w:tcW w:w="2410" w:type="dxa"/>
            <w:tcBorders>
              <w:left w:val="single" w:sz="4" w:space="0" w:color="auto"/>
              <w:right w:val="single" w:sz="4" w:space="0" w:color="auto"/>
            </w:tcBorders>
          </w:tcPr>
          <w:p w:rsidR="002E0FD6" w:rsidRPr="002E0FD6" w:rsidRDefault="002E0FD6" w:rsidP="002A7078">
            <w:pPr>
              <w:rPr>
                <w:sz w:val="22"/>
                <w:szCs w:val="22"/>
              </w:rPr>
            </w:pPr>
            <w:r w:rsidRPr="002E0FD6">
              <w:rPr>
                <w:sz w:val="22"/>
                <w:szCs w:val="22"/>
              </w:rPr>
              <w:t xml:space="preserve">90.22 % de </w:t>
            </w:r>
            <w:r w:rsidR="002A7078">
              <w:rPr>
                <w:sz w:val="22"/>
                <w:szCs w:val="22"/>
              </w:rPr>
              <w:t>a</w:t>
            </w:r>
            <w:r w:rsidRPr="002E0FD6">
              <w:rPr>
                <w:sz w:val="22"/>
                <w:szCs w:val="22"/>
              </w:rPr>
              <w:t xml:space="preserve">vance </w:t>
            </w:r>
            <w:r w:rsidR="002A7078">
              <w:rPr>
                <w:sz w:val="22"/>
                <w:szCs w:val="22"/>
              </w:rPr>
              <w:t>g</w:t>
            </w:r>
            <w:r w:rsidRPr="002E0FD6">
              <w:rPr>
                <w:sz w:val="22"/>
                <w:szCs w:val="22"/>
              </w:rPr>
              <w:t>lobal del Plan</w:t>
            </w:r>
          </w:p>
        </w:tc>
        <w:tc>
          <w:tcPr>
            <w:tcW w:w="2268" w:type="dxa"/>
            <w:tcBorders>
              <w:left w:val="single" w:sz="4" w:space="0" w:color="auto"/>
            </w:tcBorders>
          </w:tcPr>
          <w:p w:rsidR="002E0FD6" w:rsidRPr="002E0FD6" w:rsidRDefault="002E0FD6" w:rsidP="00691DA3">
            <w:pPr>
              <w:rPr>
                <w:sz w:val="22"/>
                <w:szCs w:val="22"/>
              </w:rPr>
            </w:pPr>
          </w:p>
        </w:tc>
      </w:tr>
      <w:tr w:rsidR="002E0FD6" w:rsidRPr="002E0FD6" w:rsidTr="00131670">
        <w:tc>
          <w:tcPr>
            <w:tcW w:w="2401" w:type="dxa"/>
            <w:tcBorders>
              <w:right w:val="single" w:sz="4" w:space="0" w:color="auto"/>
            </w:tcBorders>
          </w:tcPr>
          <w:p w:rsidR="002E0FD6" w:rsidRPr="002E0FD6" w:rsidRDefault="002E0FD6" w:rsidP="00691DA3">
            <w:pPr>
              <w:rPr>
                <w:sz w:val="22"/>
                <w:szCs w:val="22"/>
              </w:rPr>
            </w:pPr>
          </w:p>
        </w:tc>
        <w:tc>
          <w:tcPr>
            <w:tcW w:w="2561" w:type="dxa"/>
            <w:tcBorders>
              <w:left w:val="single" w:sz="4" w:space="0" w:color="auto"/>
              <w:right w:val="single" w:sz="4" w:space="0" w:color="auto"/>
            </w:tcBorders>
          </w:tcPr>
          <w:p w:rsidR="002E0FD6" w:rsidRPr="002E0FD6" w:rsidRDefault="002E0FD6" w:rsidP="00691DA3">
            <w:pPr>
              <w:rPr>
                <w:sz w:val="22"/>
                <w:szCs w:val="22"/>
              </w:rPr>
            </w:pPr>
          </w:p>
        </w:tc>
        <w:tc>
          <w:tcPr>
            <w:tcW w:w="2410" w:type="dxa"/>
            <w:tcBorders>
              <w:left w:val="single" w:sz="4" w:space="0" w:color="auto"/>
              <w:right w:val="single" w:sz="4" w:space="0" w:color="auto"/>
            </w:tcBorders>
          </w:tcPr>
          <w:p w:rsidR="002E0FD6" w:rsidRPr="002E0FD6" w:rsidRDefault="002E0FD6" w:rsidP="00691DA3">
            <w:pPr>
              <w:rPr>
                <w:sz w:val="22"/>
                <w:szCs w:val="22"/>
              </w:rPr>
            </w:pPr>
          </w:p>
        </w:tc>
        <w:tc>
          <w:tcPr>
            <w:tcW w:w="2268" w:type="dxa"/>
            <w:tcBorders>
              <w:left w:val="single" w:sz="4" w:space="0" w:color="auto"/>
            </w:tcBorders>
          </w:tcPr>
          <w:p w:rsidR="002E0FD6" w:rsidRPr="002E0FD6" w:rsidRDefault="002E0FD6" w:rsidP="00691DA3">
            <w:pPr>
              <w:rPr>
                <w:sz w:val="22"/>
                <w:szCs w:val="22"/>
              </w:rPr>
            </w:pPr>
          </w:p>
        </w:tc>
      </w:tr>
      <w:tr w:rsidR="002E0FD6" w:rsidRPr="002E0FD6" w:rsidTr="00131670">
        <w:tc>
          <w:tcPr>
            <w:tcW w:w="2401" w:type="dxa"/>
            <w:tcBorders>
              <w:right w:val="single" w:sz="4" w:space="0" w:color="auto"/>
            </w:tcBorders>
          </w:tcPr>
          <w:p w:rsidR="002E0FD6" w:rsidRPr="002E0FD6" w:rsidRDefault="002E0FD6" w:rsidP="00691DA3">
            <w:pPr>
              <w:rPr>
                <w:sz w:val="22"/>
                <w:szCs w:val="22"/>
              </w:rPr>
            </w:pPr>
            <w:r w:rsidRPr="002E0FD6">
              <w:rPr>
                <w:sz w:val="22"/>
                <w:szCs w:val="22"/>
              </w:rPr>
              <w:t>Evaluación de 14 hitos (según MRI):</w:t>
            </w:r>
          </w:p>
        </w:tc>
        <w:tc>
          <w:tcPr>
            <w:tcW w:w="2561" w:type="dxa"/>
            <w:tcBorders>
              <w:left w:val="single" w:sz="4" w:space="0" w:color="auto"/>
              <w:right w:val="single" w:sz="4" w:space="0" w:color="auto"/>
            </w:tcBorders>
          </w:tcPr>
          <w:p w:rsidR="002E0FD6" w:rsidRPr="002E0FD6" w:rsidRDefault="002E0FD6" w:rsidP="00691DA3">
            <w:pPr>
              <w:rPr>
                <w:sz w:val="22"/>
                <w:szCs w:val="22"/>
              </w:rPr>
            </w:pPr>
            <w:r w:rsidRPr="002E0FD6">
              <w:rPr>
                <w:sz w:val="22"/>
                <w:szCs w:val="22"/>
              </w:rPr>
              <w:t>MINFIN rescata sus compromisos de Transparencia Fiscal:</w:t>
            </w:r>
          </w:p>
        </w:tc>
        <w:tc>
          <w:tcPr>
            <w:tcW w:w="2410" w:type="dxa"/>
            <w:tcBorders>
              <w:left w:val="single" w:sz="4" w:space="0" w:color="auto"/>
              <w:right w:val="single" w:sz="4" w:space="0" w:color="auto"/>
            </w:tcBorders>
          </w:tcPr>
          <w:p w:rsidR="002E0FD6" w:rsidRPr="002E0FD6" w:rsidRDefault="002E0FD6" w:rsidP="00691DA3">
            <w:pPr>
              <w:rPr>
                <w:sz w:val="22"/>
                <w:szCs w:val="22"/>
              </w:rPr>
            </w:pPr>
            <w:r w:rsidRPr="002E0FD6">
              <w:rPr>
                <w:sz w:val="22"/>
                <w:szCs w:val="22"/>
              </w:rPr>
              <w:t>Informe Final en página de Gobierno Abierto para comentarios de la ciudadanía</w:t>
            </w:r>
          </w:p>
        </w:tc>
        <w:tc>
          <w:tcPr>
            <w:tcW w:w="2268" w:type="dxa"/>
            <w:tcBorders>
              <w:left w:val="single" w:sz="4" w:space="0" w:color="auto"/>
            </w:tcBorders>
          </w:tcPr>
          <w:p w:rsidR="002E0FD6" w:rsidRPr="002E0FD6" w:rsidRDefault="002E0FD6" w:rsidP="00691DA3">
            <w:pPr>
              <w:rPr>
                <w:sz w:val="22"/>
                <w:szCs w:val="22"/>
              </w:rPr>
            </w:pPr>
            <w:r w:rsidRPr="002E0FD6">
              <w:rPr>
                <w:sz w:val="22"/>
                <w:szCs w:val="22"/>
              </w:rPr>
              <w:t>20 de noviembre validación técnica por autoridades superiores</w:t>
            </w:r>
            <w:r w:rsidR="002A7078">
              <w:rPr>
                <w:sz w:val="22"/>
                <w:szCs w:val="22"/>
              </w:rPr>
              <w:t xml:space="preserve"> de entidades públicas</w:t>
            </w:r>
          </w:p>
        </w:tc>
      </w:tr>
      <w:tr w:rsidR="002E0FD6" w:rsidRPr="002E0FD6" w:rsidTr="00131670">
        <w:tc>
          <w:tcPr>
            <w:tcW w:w="2401" w:type="dxa"/>
            <w:tcBorders>
              <w:right w:val="single" w:sz="4" w:space="0" w:color="auto"/>
            </w:tcBorders>
          </w:tcPr>
          <w:p w:rsidR="002E0FD6" w:rsidRPr="002E0FD6" w:rsidRDefault="002E0FD6" w:rsidP="00691DA3">
            <w:pPr>
              <w:rPr>
                <w:sz w:val="22"/>
                <w:szCs w:val="22"/>
              </w:rPr>
            </w:pPr>
            <w:r w:rsidRPr="002E0FD6">
              <w:rPr>
                <w:sz w:val="22"/>
                <w:szCs w:val="22"/>
              </w:rPr>
              <w:t>No iniciados          2</w:t>
            </w:r>
          </w:p>
          <w:p w:rsidR="002E0FD6" w:rsidRPr="002E0FD6" w:rsidRDefault="002E0FD6" w:rsidP="00691DA3">
            <w:pPr>
              <w:rPr>
                <w:sz w:val="22"/>
                <w:szCs w:val="22"/>
              </w:rPr>
            </w:pPr>
            <w:r w:rsidRPr="002E0FD6">
              <w:rPr>
                <w:sz w:val="22"/>
                <w:szCs w:val="22"/>
              </w:rPr>
              <w:t>Limitados            10</w:t>
            </w:r>
          </w:p>
          <w:p w:rsidR="002E0FD6" w:rsidRPr="002E0FD6" w:rsidRDefault="002E0FD6" w:rsidP="00691DA3">
            <w:pPr>
              <w:rPr>
                <w:sz w:val="22"/>
                <w:szCs w:val="22"/>
              </w:rPr>
            </w:pPr>
            <w:r w:rsidRPr="002E0FD6">
              <w:rPr>
                <w:sz w:val="22"/>
                <w:szCs w:val="22"/>
              </w:rPr>
              <w:t>Sustantivos           2</w:t>
            </w:r>
          </w:p>
          <w:p w:rsidR="002E0FD6" w:rsidRPr="002E0FD6" w:rsidRDefault="002E0FD6" w:rsidP="00691DA3">
            <w:pPr>
              <w:rPr>
                <w:sz w:val="22"/>
                <w:szCs w:val="22"/>
              </w:rPr>
            </w:pPr>
            <w:r w:rsidRPr="002E0FD6">
              <w:rPr>
                <w:sz w:val="22"/>
                <w:szCs w:val="22"/>
              </w:rPr>
              <w:t>Completos            0</w:t>
            </w:r>
          </w:p>
        </w:tc>
        <w:tc>
          <w:tcPr>
            <w:tcW w:w="2561" w:type="dxa"/>
            <w:tcBorders>
              <w:left w:val="single" w:sz="4" w:space="0" w:color="auto"/>
              <w:right w:val="single" w:sz="4" w:space="0" w:color="auto"/>
            </w:tcBorders>
          </w:tcPr>
          <w:p w:rsidR="002E0FD6" w:rsidRPr="002E0FD6" w:rsidRDefault="00131670" w:rsidP="00691DA3">
            <w:pPr>
              <w:rPr>
                <w:sz w:val="22"/>
                <w:szCs w:val="22"/>
              </w:rPr>
            </w:pPr>
            <w:r>
              <w:rPr>
                <w:sz w:val="22"/>
                <w:szCs w:val="22"/>
              </w:rPr>
              <w:t>I</w:t>
            </w:r>
            <w:r w:rsidR="002E0FD6" w:rsidRPr="002E0FD6">
              <w:rPr>
                <w:sz w:val="22"/>
                <w:szCs w:val="22"/>
              </w:rPr>
              <w:t xml:space="preserve">niciados </w:t>
            </w:r>
            <w:r>
              <w:rPr>
                <w:sz w:val="22"/>
                <w:szCs w:val="22"/>
              </w:rPr>
              <w:t xml:space="preserve">         </w:t>
            </w:r>
            <w:r w:rsidR="002E0FD6" w:rsidRPr="002E0FD6">
              <w:rPr>
                <w:sz w:val="22"/>
                <w:szCs w:val="22"/>
              </w:rPr>
              <w:t xml:space="preserve"> </w:t>
            </w:r>
            <w:r>
              <w:rPr>
                <w:sz w:val="22"/>
                <w:szCs w:val="22"/>
              </w:rPr>
              <w:t xml:space="preserve"> </w:t>
            </w:r>
            <w:r w:rsidR="002E0FD6" w:rsidRPr="002E0FD6">
              <w:rPr>
                <w:sz w:val="22"/>
                <w:szCs w:val="22"/>
              </w:rPr>
              <w:t>2</w:t>
            </w:r>
          </w:p>
          <w:p w:rsidR="002E0FD6" w:rsidRPr="002E0FD6" w:rsidRDefault="00131670" w:rsidP="00691DA3">
            <w:pPr>
              <w:rPr>
                <w:sz w:val="22"/>
                <w:szCs w:val="22"/>
              </w:rPr>
            </w:pPr>
            <w:r>
              <w:rPr>
                <w:sz w:val="22"/>
                <w:szCs w:val="22"/>
              </w:rPr>
              <w:t>E</w:t>
            </w:r>
            <w:r w:rsidR="002E0FD6" w:rsidRPr="002E0FD6">
              <w:rPr>
                <w:sz w:val="22"/>
                <w:szCs w:val="22"/>
              </w:rPr>
              <w:t xml:space="preserve">n curso     </w:t>
            </w:r>
            <w:r>
              <w:rPr>
                <w:sz w:val="22"/>
                <w:szCs w:val="22"/>
              </w:rPr>
              <w:t xml:space="preserve">     </w:t>
            </w:r>
            <w:r w:rsidR="002E0FD6" w:rsidRPr="002E0FD6">
              <w:rPr>
                <w:sz w:val="22"/>
                <w:szCs w:val="22"/>
              </w:rPr>
              <w:t xml:space="preserve"> </w:t>
            </w:r>
            <w:r>
              <w:rPr>
                <w:sz w:val="22"/>
                <w:szCs w:val="22"/>
              </w:rPr>
              <w:t xml:space="preserve"> </w:t>
            </w:r>
            <w:r w:rsidR="002E0FD6" w:rsidRPr="002E0FD6">
              <w:rPr>
                <w:sz w:val="22"/>
                <w:szCs w:val="22"/>
              </w:rPr>
              <w:t>5</w:t>
            </w:r>
          </w:p>
          <w:p w:rsidR="002E0FD6" w:rsidRPr="002E0FD6" w:rsidRDefault="00131670" w:rsidP="00691DA3">
            <w:pPr>
              <w:rPr>
                <w:sz w:val="22"/>
                <w:szCs w:val="22"/>
              </w:rPr>
            </w:pPr>
            <w:r>
              <w:rPr>
                <w:sz w:val="22"/>
                <w:szCs w:val="22"/>
              </w:rPr>
              <w:t>S</w:t>
            </w:r>
            <w:r w:rsidR="002E0FD6" w:rsidRPr="002E0FD6">
              <w:rPr>
                <w:sz w:val="22"/>
                <w:szCs w:val="22"/>
              </w:rPr>
              <w:t>ustanciales</w:t>
            </w:r>
            <w:r>
              <w:rPr>
                <w:sz w:val="22"/>
                <w:szCs w:val="22"/>
              </w:rPr>
              <w:t xml:space="preserve">       </w:t>
            </w:r>
            <w:r w:rsidR="002E0FD6" w:rsidRPr="002E0FD6">
              <w:rPr>
                <w:sz w:val="22"/>
                <w:szCs w:val="22"/>
              </w:rPr>
              <w:t>3</w:t>
            </w:r>
          </w:p>
          <w:p w:rsidR="002E0FD6" w:rsidRPr="002E0FD6" w:rsidRDefault="00131670" w:rsidP="00131670">
            <w:pPr>
              <w:rPr>
                <w:sz w:val="22"/>
                <w:szCs w:val="22"/>
              </w:rPr>
            </w:pPr>
            <w:r>
              <w:rPr>
                <w:sz w:val="22"/>
                <w:szCs w:val="22"/>
              </w:rPr>
              <w:t xml:space="preserve">Completos        </w:t>
            </w:r>
            <w:r w:rsidR="002E0FD6" w:rsidRPr="002E0FD6">
              <w:rPr>
                <w:sz w:val="22"/>
                <w:szCs w:val="22"/>
              </w:rPr>
              <w:t xml:space="preserve"> 2</w:t>
            </w:r>
          </w:p>
        </w:tc>
        <w:tc>
          <w:tcPr>
            <w:tcW w:w="2410" w:type="dxa"/>
            <w:tcBorders>
              <w:left w:val="single" w:sz="4" w:space="0" w:color="auto"/>
              <w:right w:val="single" w:sz="4" w:space="0" w:color="auto"/>
            </w:tcBorders>
          </w:tcPr>
          <w:p w:rsidR="002E0FD6" w:rsidRPr="002E0FD6" w:rsidRDefault="002E0FD6" w:rsidP="00691DA3">
            <w:pPr>
              <w:rPr>
                <w:sz w:val="22"/>
                <w:szCs w:val="22"/>
              </w:rPr>
            </w:pPr>
            <w:r w:rsidRPr="002E0FD6">
              <w:rPr>
                <w:sz w:val="22"/>
                <w:szCs w:val="22"/>
              </w:rPr>
              <w:t xml:space="preserve">Buen ejercicio de co-creación entre </w:t>
            </w:r>
            <w:r w:rsidR="002A7078">
              <w:rPr>
                <w:sz w:val="22"/>
                <w:szCs w:val="22"/>
              </w:rPr>
              <w:t xml:space="preserve">el </w:t>
            </w:r>
            <w:r w:rsidRPr="002E0FD6">
              <w:rPr>
                <w:sz w:val="22"/>
                <w:szCs w:val="22"/>
              </w:rPr>
              <w:t xml:space="preserve">Gobierno y </w:t>
            </w:r>
            <w:r w:rsidR="002A7078">
              <w:rPr>
                <w:sz w:val="22"/>
                <w:szCs w:val="22"/>
              </w:rPr>
              <w:t xml:space="preserve">organizaciones de la </w:t>
            </w:r>
            <w:r w:rsidRPr="002E0FD6">
              <w:rPr>
                <w:sz w:val="22"/>
                <w:szCs w:val="22"/>
              </w:rPr>
              <w:t>sociedad civil</w:t>
            </w:r>
          </w:p>
        </w:tc>
        <w:tc>
          <w:tcPr>
            <w:tcW w:w="2268" w:type="dxa"/>
            <w:tcBorders>
              <w:left w:val="single" w:sz="4" w:space="0" w:color="auto"/>
            </w:tcBorders>
          </w:tcPr>
          <w:p w:rsidR="002E0FD6" w:rsidRPr="002E0FD6" w:rsidRDefault="002E0FD6" w:rsidP="00691DA3">
            <w:pPr>
              <w:rPr>
                <w:sz w:val="22"/>
                <w:szCs w:val="22"/>
              </w:rPr>
            </w:pPr>
            <w:r w:rsidRPr="002E0FD6">
              <w:rPr>
                <w:sz w:val="22"/>
                <w:szCs w:val="22"/>
              </w:rPr>
              <w:t>28 de noviembre lanzamiento oficial por el Presidente de la República</w:t>
            </w:r>
          </w:p>
        </w:tc>
      </w:tr>
      <w:tr w:rsidR="002E0FD6" w:rsidRPr="002E0FD6" w:rsidTr="00131670">
        <w:tc>
          <w:tcPr>
            <w:tcW w:w="2401" w:type="dxa"/>
            <w:tcBorders>
              <w:bottom w:val="single" w:sz="4" w:space="0" w:color="auto"/>
              <w:right w:val="single" w:sz="4" w:space="0" w:color="auto"/>
            </w:tcBorders>
          </w:tcPr>
          <w:p w:rsidR="002E0FD6" w:rsidRPr="002E0FD6" w:rsidRDefault="002E0FD6" w:rsidP="00691DA3">
            <w:pPr>
              <w:rPr>
                <w:sz w:val="22"/>
                <w:szCs w:val="22"/>
              </w:rPr>
            </w:pPr>
          </w:p>
        </w:tc>
        <w:tc>
          <w:tcPr>
            <w:tcW w:w="2561" w:type="dxa"/>
            <w:tcBorders>
              <w:left w:val="single" w:sz="4" w:space="0" w:color="auto"/>
              <w:bottom w:val="single" w:sz="4" w:space="0" w:color="auto"/>
              <w:right w:val="single" w:sz="4" w:space="0" w:color="auto"/>
            </w:tcBorders>
          </w:tcPr>
          <w:p w:rsidR="002E0FD6" w:rsidRPr="002E0FD6" w:rsidRDefault="002E0FD6" w:rsidP="00691DA3">
            <w:pPr>
              <w:rPr>
                <w:sz w:val="22"/>
                <w:szCs w:val="22"/>
              </w:rPr>
            </w:pPr>
          </w:p>
        </w:tc>
        <w:tc>
          <w:tcPr>
            <w:tcW w:w="2410" w:type="dxa"/>
            <w:tcBorders>
              <w:left w:val="single" w:sz="4" w:space="0" w:color="auto"/>
              <w:bottom w:val="single" w:sz="4" w:space="0" w:color="auto"/>
              <w:right w:val="single" w:sz="4" w:space="0" w:color="auto"/>
            </w:tcBorders>
          </w:tcPr>
          <w:p w:rsidR="002E0FD6" w:rsidRPr="002E0FD6" w:rsidRDefault="002E0FD6" w:rsidP="00691DA3">
            <w:pPr>
              <w:rPr>
                <w:sz w:val="22"/>
                <w:szCs w:val="22"/>
              </w:rPr>
            </w:pPr>
          </w:p>
        </w:tc>
        <w:tc>
          <w:tcPr>
            <w:tcW w:w="2268" w:type="dxa"/>
            <w:tcBorders>
              <w:left w:val="single" w:sz="4" w:space="0" w:color="auto"/>
              <w:bottom w:val="single" w:sz="4" w:space="0" w:color="auto"/>
            </w:tcBorders>
          </w:tcPr>
          <w:p w:rsidR="002E0FD6" w:rsidRPr="002E0FD6" w:rsidRDefault="002E0FD6" w:rsidP="00691DA3">
            <w:pPr>
              <w:rPr>
                <w:sz w:val="22"/>
                <w:szCs w:val="22"/>
              </w:rPr>
            </w:pPr>
          </w:p>
        </w:tc>
      </w:tr>
    </w:tbl>
    <w:p w:rsidR="002E0FD6" w:rsidRDefault="002E0FD6" w:rsidP="002E0FD6">
      <w:pPr>
        <w:ind w:left="-426"/>
        <w:jc w:val="both"/>
        <w:rPr>
          <w:rFonts w:eastAsia="Calibri"/>
          <w:sz w:val="18"/>
          <w:lang w:eastAsia="en-US" w:bidi="en-US"/>
        </w:rPr>
      </w:pPr>
      <w:r w:rsidRPr="002E0FD6">
        <w:rPr>
          <w:rFonts w:eastAsia="Calibri"/>
          <w:sz w:val="18"/>
          <w:lang w:eastAsia="en-US" w:bidi="en-US"/>
        </w:rPr>
        <w:t xml:space="preserve">Fuente: </w:t>
      </w:r>
      <w:r w:rsidR="00131670">
        <w:rPr>
          <w:rFonts w:eastAsia="Calibri"/>
          <w:sz w:val="18"/>
          <w:lang w:eastAsia="en-US" w:bidi="en-US"/>
        </w:rPr>
        <w:t>Ministerio de Finanzas Públicas, conforme informes de OGP.</w:t>
      </w:r>
    </w:p>
    <w:p w:rsidR="004669E3" w:rsidRDefault="00C44012" w:rsidP="00C620A4">
      <w:pPr>
        <w:jc w:val="both"/>
        <w:rPr>
          <w:rFonts w:eastAsia="Calibri"/>
          <w:lang w:val="es-GT" w:eastAsia="en-US" w:bidi="en-US"/>
        </w:rPr>
      </w:pPr>
      <w:r>
        <w:rPr>
          <w:rFonts w:eastAsia="Calibri"/>
          <w:lang w:val="es-GT" w:eastAsia="en-US" w:bidi="en-US"/>
        </w:rPr>
        <w:lastRenderedPageBreak/>
        <w:t xml:space="preserve">Mediante el Acuerdo Gubernativo No. 41-2018, se creó la Comisión Presidencial de Gestión Pública Abierta y Transparencia (GPAT), que entre otras </w:t>
      </w:r>
      <w:r w:rsidR="00CA5005">
        <w:rPr>
          <w:rFonts w:eastAsia="Calibri"/>
          <w:lang w:val="es-GT" w:eastAsia="en-US" w:bidi="en-US"/>
        </w:rPr>
        <w:t>funciones, t</w:t>
      </w:r>
      <w:r w:rsidR="008E62B1">
        <w:rPr>
          <w:rFonts w:eastAsia="Calibri"/>
          <w:lang w:val="es-GT" w:eastAsia="en-US" w:bidi="en-US"/>
        </w:rPr>
        <w:t>iene</w:t>
      </w:r>
      <w:r w:rsidR="00CA5005">
        <w:rPr>
          <w:rFonts w:eastAsia="Calibri"/>
          <w:lang w:val="es-GT" w:eastAsia="en-US" w:bidi="en-US"/>
        </w:rPr>
        <w:t xml:space="preserve"> a su cargo los temas de gobierno abierto, gobierno electrónico, iniciativas de transparencia y mecanismos anticorrupción. </w:t>
      </w:r>
      <w:r w:rsidR="00673DC9">
        <w:rPr>
          <w:rFonts w:eastAsia="Calibri"/>
          <w:lang w:val="es-GT" w:eastAsia="en-US" w:bidi="en-US"/>
        </w:rPr>
        <w:t>De esta forma se institucionalizaron dichos temas en una entidad del Organismo Ejecutivo, que tendrá la rectoría de los mismos hacia el resto de entidades públicas. Asimismo, con el Acuerdo Gubernativo No. 25-2018 se creó el Viceministerio de Transparencia Fiscal y Adquisiciones del Estado dentro de la estruct</w:t>
      </w:r>
      <w:r w:rsidR="004669E3">
        <w:rPr>
          <w:rFonts w:eastAsia="Calibri"/>
          <w:lang w:val="es-GT" w:eastAsia="en-US" w:bidi="en-US"/>
        </w:rPr>
        <w:t>u</w:t>
      </w:r>
      <w:r w:rsidR="00673DC9">
        <w:rPr>
          <w:rFonts w:eastAsia="Calibri"/>
          <w:lang w:val="es-GT" w:eastAsia="en-US" w:bidi="en-US"/>
        </w:rPr>
        <w:t>ra orgánica interna del Ministerio de Finanzas Públicas</w:t>
      </w:r>
      <w:r w:rsidR="004669E3">
        <w:rPr>
          <w:rFonts w:eastAsia="Calibri"/>
          <w:lang w:val="es-GT" w:eastAsia="en-US" w:bidi="en-US"/>
        </w:rPr>
        <w:t>, con lo que se da respuesta a otro de los requerimientos de las organizaciones de sociedad civil</w:t>
      </w:r>
      <w:r w:rsidR="006D3045">
        <w:rPr>
          <w:rFonts w:eastAsia="Calibri"/>
          <w:lang w:val="es-GT" w:eastAsia="en-US" w:bidi="en-US"/>
        </w:rPr>
        <w:t>,</w:t>
      </w:r>
      <w:r w:rsidR="004669E3">
        <w:rPr>
          <w:rFonts w:eastAsia="Calibri"/>
          <w:lang w:val="es-GT" w:eastAsia="en-US" w:bidi="en-US"/>
        </w:rPr>
        <w:t xml:space="preserve"> que en su momento solicitaron la institucionalización de la agenda de transparencia fiscal dentro del citado Ministerio.</w:t>
      </w:r>
    </w:p>
    <w:p w:rsidR="002E0FD6" w:rsidRDefault="002E0FD6" w:rsidP="00C620A4">
      <w:pPr>
        <w:jc w:val="both"/>
        <w:rPr>
          <w:rFonts w:eastAsia="Calibri"/>
          <w:lang w:val="es-GT" w:eastAsia="en-US" w:bidi="en-US"/>
        </w:rPr>
      </w:pPr>
    </w:p>
    <w:p w:rsidR="00821DF9" w:rsidRPr="009F6AC2" w:rsidRDefault="004E6B51" w:rsidP="00821DF9">
      <w:pPr>
        <w:pStyle w:val="Ttulo2"/>
        <w:rPr>
          <w:rFonts w:ascii="Times New Roman" w:eastAsia="Calibri" w:hAnsi="Times New Roman"/>
          <w:color w:val="auto"/>
          <w:sz w:val="24"/>
          <w:szCs w:val="24"/>
          <w:lang w:val="es-GT" w:eastAsia="en-US" w:bidi="en-US"/>
        </w:rPr>
      </w:pPr>
      <w:bookmarkStart w:id="42" w:name="_Toc4775348"/>
      <w:r>
        <w:rPr>
          <w:rFonts w:ascii="Times New Roman" w:eastAsia="Calibri" w:hAnsi="Times New Roman"/>
          <w:color w:val="auto"/>
          <w:sz w:val="24"/>
          <w:szCs w:val="24"/>
          <w:lang w:val="es-GT" w:eastAsia="en-US" w:bidi="en-US"/>
        </w:rPr>
        <w:t xml:space="preserve">Institucionalización de </w:t>
      </w:r>
      <w:r w:rsidR="0021606F">
        <w:rPr>
          <w:rFonts w:ascii="Times New Roman" w:eastAsia="Calibri" w:hAnsi="Times New Roman"/>
          <w:color w:val="auto"/>
          <w:sz w:val="24"/>
          <w:szCs w:val="24"/>
          <w:lang w:val="es-GT" w:eastAsia="en-US" w:bidi="en-US"/>
        </w:rPr>
        <w:t xml:space="preserve">los </w:t>
      </w:r>
      <w:r w:rsidR="00821DF9">
        <w:rPr>
          <w:rFonts w:ascii="Times New Roman" w:eastAsia="Calibri" w:hAnsi="Times New Roman"/>
          <w:color w:val="auto"/>
          <w:sz w:val="24"/>
          <w:szCs w:val="24"/>
          <w:lang w:val="es-GT" w:eastAsia="en-US" w:bidi="en-US"/>
        </w:rPr>
        <w:t>Talleres de Presupuesto Abierto</w:t>
      </w:r>
      <w:bookmarkEnd w:id="42"/>
    </w:p>
    <w:p w:rsidR="00821DF9" w:rsidRDefault="00821DF9" w:rsidP="00C620A4">
      <w:pPr>
        <w:jc w:val="both"/>
        <w:rPr>
          <w:rFonts w:eastAsia="Calibri"/>
          <w:lang w:val="es-GT" w:eastAsia="en-US" w:bidi="en-US"/>
        </w:rPr>
      </w:pPr>
    </w:p>
    <w:p w:rsidR="004E6B51" w:rsidRDefault="004E6B51" w:rsidP="00C620A4">
      <w:pPr>
        <w:jc w:val="both"/>
        <w:rPr>
          <w:rFonts w:eastAsia="Calibri"/>
          <w:lang w:val="es-GT" w:eastAsia="en-US" w:bidi="en-US"/>
        </w:rPr>
      </w:pPr>
      <w:r w:rsidRPr="004E6B51">
        <w:rPr>
          <w:rFonts w:eastAsia="Calibri"/>
          <w:lang w:val="es-GT" w:eastAsia="en-US" w:bidi="en-US"/>
        </w:rPr>
        <w:t xml:space="preserve">Por medio del Acuerdo Ministerial No. 194-2017 se institucionaliza durante la etapa de formulación del Proyecto de Presupuesto General de Ingresos y Egresos del Estado, la realización de Talleres de Presupuesto Abierto para propiciar la participación y colaboración de organizaciones de la sociedad civil </w:t>
      </w:r>
      <w:r w:rsidR="00F53A5D">
        <w:rPr>
          <w:rFonts w:eastAsia="Calibri"/>
          <w:lang w:val="es-GT" w:eastAsia="en-US" w:bidi="en-US"/>
        </w:rPr>
        <w:t>y ciudadanos en general en</w:t>
      </w:r>
      <w:r w:rsidRPr="004E6B51">
        <w:rPr>
          <w:rFonts w:eastAsia="Calibri"/>
          <w:lang w:val="es-GT" w:eastAsia="en-US" w:bidi="en-US"/>
        </w:rPr>
        <w:t xml:space="preserve"> dicho proceso. </w:t>
      </w:r>
      <w:r w:rsidR="00D20B55">
        <w:rPr>
          <w:rFonts w:eastAsia="Calibri"/>
          <w:lang w:val="es-GT" w:eastAsia="en-US" w:bidi="en-US"/>
        </w:rPr>
        <w:t>Durante los meses de abril a agosto de 2018,</w:t>
      </w:r>
      <w:r w:rsidRPr="004E6B51">
        <w:rPr>
          <w:rFonts w:eastAsia="Calibri"/>
          <w:lang w:val="es-GT" w:eastAsia="en-US" w:bidi="en-US"/>
        </w:rPr>
        <w:t xml:space="preserve"> se realiza</w:t>
      </w:r>
      <w:r w:rsidR="00D20B55">
        <w:rPr>
          <w:rFonts w:eastAsia="Calibri"/>
          <w:lang w:val="es-GT" w:eastAsia="en-US" w:bidi="en-US"/>
        </w:rPr>
        <w:t>ron</w:t>
      </w:r>
      <w:r w:rsidRPr="004E6B51">
        <w:rPr>
          <w:rFonts w:eastAsia="Calibri"/>
          <w:lang w:val="es-GT" w:eastAsia="en-US" w:bidi="en-US"/>
        </w:rPr>
        <w:t xml:space="preserve"> talleres para dar a conocer y discutir sobre las variables macroeconómicas y proyecciones de ingresos tributarios</w:t>
      </w:r>
      <w:r>
        <w:rPr>
          <w:rFonts w:eastAsia="Calibri"/>
          <w:lang w:val="es-GT" w:eastAsia="en-US" w:bidi="en-US"/>
        </w:rPr>
        <w:t xml:space="preserve"> a cargo del Banco de Guatemala, Superintendencia de Administración Tributaria (SAT) y Ministerio de Finanzas Públicas</w:t>
      </w:r>
      <w:r w:rsidRPr="004E6B51">
        <w:rPr>
          <w:rFonts w:eastAsia="Calibri"/>
          <w:lang w:val="es-GT" w:eastAsia="en-US" w:bidi="en-US"/>
        </w:rPr>
        <w:t>;</w:t>
      </w:r>
      <w:r w:rsidR="00025229">
        <w:rPr>
          <w:rFonts w:eastAsia="Calibri"/>
          <w:lang w:val="es-GT" w:eastAsia="en-US" w:bidi="en-US"/>
        </w:rPr>
        <w:t xml:space="preserve"> se realiza</w:t>
      </w:r>
      <w:r w:rsidR="00D20B55">
        <w:rPr>
          <w:rFonts w:eastAsia="Calibri"/>
          <w:lang w:val="es-GT" w:eastAsia="en-US" w:bidi="en-US"/>
        </w:rPr>
        <w:t>ro</w:t>
      </w:r>
      <w:r w:rsidR="00025229">
        <w:rPr>
          <w:rFonts w:eastAsia="Calibri"/>
          <w:lang w:val="es-GT" w:eastAsia="en-US" w:bidi="en-US"/>
        </w:rPr>
        <w:t xml:space="preserve">n talleres </w:t>
      </w:r>
      <w:r w:rsidRPr="004E6B51">
        <w:rPr>
          <w:rFonts w:eastAsia="Calibri"/>
          <w:lang w:val="es-GT" w:eastAsia="en-US" w:bidi="en-US"/>
        </w:rPr>
        <w:t>para conocer los planes, programas</w:t>
      </w:r>
      <w:r w:rsidR="00025229">
        <w:rPr>
          <w:rFonts w:eastAsia="Calibri"/>
          <w:lang w:val="es-GT" w:eastAsia="en-US" w:bidi="en-US"/>
        </w:rPr>
        <w:t>,</w:t>
      </w:r>
      <w:r w:rsidRPr="004E6B51">
        <w:rPr>
          <w:rFonts w:eastAsia="Calibri"/>
          <w:lang w:val="es-GT" w:eastAsia="en-US" w:bidi="en-US"/>
        </w:rPr>
        <w:t xml:space="preserve"> proyectos</w:t>
      </w:r>
      <w:r w:rsidR="00025229">
        <w:rPr>
          <w:rFonts w:eastAsia="Calibri"/>
          <w:lang w:val="es-GT" w:eastAsia="en-US" w:bidi="en-US"/>
        </w:rPr>
        <w:t xml:space="preserve"> y techos presupuestarios</w:t>
      </w:r>
      <w:r w:rsidRPr="004E6B51">
        <w:rPr>
          <w:rFonts w:eastAsia="Calibri"/>
          <w:lang w:val="es-GT" w:eastAsia="en-US" w:bidi="en-US"/>
        </w:rPr>
        <w:t xml:space="preserve"> institucionales</w:t>
      </w:r>
      <w:r w:rsidR="00025229">
        <w:rPr>
          <w:rFonts w:eastAsia="Calibri"/>
          <w:lang w:val="es-GT" w:eastAsia="en-US" w:bidi="en-US"/>
        </w:rPr>
        <w:t xml:space="preserve">. Además, se </w:t>
      </w:r>
      <w:r w:rsidR="00D20B55">
        <w:rPr>
          <w:rFonts w:eastAsia="Calibri"/>
          <w:lang w:val="es-GT" w:eastAsia="en-US" w:bidi="en-US"/>
        </w:rPr>
        <w:t>efectuaron</w:t>
      </w:r>
      <w:r w:rsidR="00025229">
        <w:rPr>
          <w:rFonts w:eastAsia="Calibri"/>
          <w:lang w:val="es-GT" w:eastAsia="en-US" w:bidi="en-US"/>
        </w:rPr>
        <w:t xml:space="preserve"> talleres complementarios al proceso de formulación, tales como:</w:t>
      </w:r>
      <w:r w:rsidRPr="004E6B51">
        <w:rPr>
          <w:rFonts w:eastAsia="Calibri"/>
          <w:lang w:val="es-GT" w:eastAsia="en-US" w:bidi="en-US"/>
        </w:rPr>
        <w:t xml:space="preserve"> </w:t>
      </w:r>
      <w:r w:rsidR="00025229">
        <w:rPr>
          <w:rFonts w:eastAsia="Calibri"/>
          <w:lang w:val="es-GT" w:eastAsia="en-US" w:bidi="en-US"/>
        </w:rPr>
        <w:t xml:space="preserve">sobre </w:t>
      </w:r>
      <w:r w:rsidRPr="004E6B51">
        <w:rPr>
          <w:rFonts w:eastAsia="Calibri"/>
          <w:lang w:val="es-GT" w:eastAsia="en-US" w:bidi="en-US"/>
        </w:rPr>
        <w:t>análisis de riesgos fiscales; para discutir sobre el Listado Geográfico de Obras</w:t>
      </w:r>
      <w:r w:rsidR="0021606F">
        <w:rPr>
          <w:rFonts w:eastAsia="Calibri"/>
          <w:lang w:val="es-GT" w:eastAsia="en-US" w:bidi="en-US"/>
        </w:rPr>
        <w:t>; sobre</w:t>
      </w:r>
      <w:r w:rsidRPr="004E6B51">
        <w:rPr>
          <w:rFonts w:eastAsia="Calibri"/>
          <w:lang w:val="es-GT" w:eastAsia="en-US" w:bidi="en-US"/>
        </w:rPr>
        <w:t xml:space="preserve"> aportes a Organizaciones No Gubernamentales y </w:t>
      </w:r>
      <w:r w:rsidR="0021606F">
        <w:rPr>
          <w:rFonts w:eastAsia="Calibri"/>
          <w:lang w:val="es-GT" w:eastAsia="en-US" w:bidi="en-US"/>
        </w:rPr>
        <w:t xml:space="preserve">sobre </w:t>
      </w:r>
      <w:r w:rsidRPr="004E6B51">
        <w:rPr>
          <w:rFonts w:eastAsia="Calibri"/>
          <w:lang w:val="es-GT" w:eastAsia="en-US" w:bidi="en-US"/>
        </w:rPr>
        <w:t>normas de transparencia y calidad del gasto público a incluir en la iniciativa de Ley Anual del Presupuesto</w:t>
      </w:r>
      <w:r w:rsidR="00D20B55">
        <w:rPr>
          <w:rFonts w:eastAsia="Calibri"/>
          <w:lang w:val="es-GT" w:eastAsia="en-US" w:bidi="en-US"/>
        </w:rPr>
        <w:t xml:space="preserve"> de 2019</w:t>
      </w:r>
      <w:r w:rsidR="00025229">
        <w:rPr>
          <w:rFonts w:eastAsia="Calibri"/>
          <w:lang w:val="es-GT" w:eastAsia="en-US" w:bidi="en-US"/>
        </w:rPr>
        <w:t>.</w:t>
      </w:r>
    </w:p>
    <w:p w:rsidR="004E6B51" w:rsidRDefault="004E6B51" w:rsidP="00C620A4">
      <w:pPr>
        <w:jc w:val="both"/>
        <w:rPr>
          <w:rFonts w:eastAsia="Calibri"/>
          <w:lang w:val="es-GT" w:eastAsia="en-US" w:bidi="en-US"/>
        </w:rPr>
      </w:pPr>
    </w:p>
    <w:p w:rsidR="00C620A4" w:rsidRPr="00D12482" w:rsidRDefault="00D12482" w:rsidP="00D12482">
      <w:pPr>
        <w:pStyle w:val="Ttulo2"/>
        <w:rPr>
          <w:rFonts w:ascii="Times New Roman" w:eastAsia="Calibri" w:hAnsi="Times New Roman"/>
          <w:color w:val="auto"/>
          <w:sz w:val="24"/>
          <w:szCs w:val="24"/>
          <w:lang w:val="es-GT" w:eastAsia="en-US" w:bidi="en-US"/>
        </w:rPr>
      </w:pPr>
      <w:bookmarkStart w:id="43" w:name="_Toc4775349"/>
      <w:r>
        <w:rPr>
          <w:rFonts w:ascii="Times New Roman" w:eastAsia="Calibri" w:hAnsi="Times New Roman"/>
          <w:color w:val="auto"/>
          <w:sz w:val="24"/>
          <w:szCs w:val="24"/>
          <w:lang w:val="es-GT" w:eastAsia="en-US" w:bidi="en-US"/>
        </w:rPr>
        <w:t>Mejora en la Calificación del Índice de Presupuesto Abierto (OBI)</w:t>
      </w:r>
      <w:bookmarkEnd w:id="43"/>
    </w:p>
    <w:p w:rsidR="00C620A4" w:rsidRDefault="00C620A4" w:rsidP="00C620A4">
      <w:pPr>
        <w:jc w:val="both"/>
        <w:rPr>
          <w:rFonts w:eastAsia="Calibri"/>
          <w:lang w:val="es-GT" w:eastAsia="en-US" w:bidi="en-US"/>
        </w:rPr>
      </w:pPr>
    </w:p>
    <w:p w:rsidR="00C620A4" w:rsidRDefault="00DD7FEC" w:rsidP="00C620A4">
      <w:pPr>
        <w:jc w:val="both"/>
        <w:rPr>
          <w:rFonts w:eastAsia="Calibri"/>
          <w:lang w:val="es-GT" w:eastAsia="en-US" w:bidi="en-US"/>
        </w:rPr>
      </w:pPr>
      <w:r w:rsidRPr="00C157EE">
        <w:t xml:space="preserve">En la penúltima evaluación de la International Budget Partnership (IBP), Guatemala obtuvo una calificación de 46 puntos en el Índice de Presupuesto Abierto (OBI). Luego de haber normado e institucionalizado este proceso </w:t>
      </w:r>
      <w:r w:rsidR="00201D05">
        <w:t>con</w:t>
      </w:r>
      <w:r w:rsidRPr="00C157EE">
        <w:t xml:space="preserve"> </w:t>
      </w:r>
      <w:r w:rsidR="00201D05">
        <w:t>el</w:t>
      </w:r>
      <w:r w:rsidRPr="00C157EE">
        <w:t xml:space="preserve"> Acuerdo Ministerial No. 194-2017, en la calificación presentada </w:t>
      </w:r>
      <w:r w:rsidR="00201D05">
        <w:t>a finales de</w:t>
      </w:r>
      <w:r w:rsidRPr="00C157EE">
        <w:t xml:space="preserve"> enero de 2018 por parte del ente evaluador, se obtuvo una calificación de 61 puntos que sitúa a Guatemala en el quinto lugar a nivel de América Latina, permitiendo también mejorar en el ranking mundial. Esta normativa de observancia general para las dependencias del </w:t>
      </w:r>
      <w:r w:rsidR="00201D05">
        <w:t xml:space="preserve">citado Ministerio </w:t>
      </w:r>
      <w:r w:rsidRPr="00C157EE">
        <w:t>a cargo de la elaboración y publicación de los 8 documentos clave del ciclo presupuestario que evalúa el Índice de Presupuesto Abierto, regula que se tomen en consideración los estándares y lineamientos contenidos en la Guía para la Transparencia en los Documentos Presupuestarios del Gobierno y en la Encuesta de Presupuesto Abierto, ambos emitidos por la International Budget Partnership (IBP</w:t>
      </w:r>
      <w:r>
        <w:t>)</w:t>
      </w:r>
      <w:r w:rsidR="00A07C18">
        <w:t>, así como la fecha límite para su publicación en las páginas web institucionales</w:t>
      </w:r>
      <w:r>
        <w:t>.</w:t>
      </w:r>
      <w:r w:rsidR="00C620A4">
        <w:rPr>
          <w:rFonts w:eastAsia="Calibri"/>
          <w:lang w:val="es-GT" w:eastAsia="en-US" w:bidi="en-US"/>
        </w:rPr>
        <w:t xml:space="preserve"> Dicho resultado fue oficialmente notificado por parte del Centro Internacional de Investigaciones en Derechos Humanos (CIIDH), que es el ente independiente de sociedad civil que realiza en el país </w:t>
      </w:r>
      <w:r w:rsidR="005B4A2B">
        <w:rPr>
          <w:rFonts w:eastAsia="Calibri"/>
          <w:lang w:val="es-GT" w:eastAsia="en-US" w:bidi="en-US"/>
        </w:rPr>
        <w:t>la citada</w:t>
      </w:r>
      <w:r w:rsidR="00C620A4">
        <w:rPr>
          <w:rFonts w:eastAsia="Calibri"/>
          <w:lang w:val="es-GT" w:eastAsia="en-US" w:bidi="en-US"/>
        </w:rPr>
        <w:t xml:space="preserve"> evaluación.</w:t>
      </w:r>
    </w:p>
    <w:p w:rsidR="00C620A4" w:rsidRDefault="00C620A4" w:rsidP="00C620A4">
      <w:pPr>
        <w:jc w:val="both"/>
        <w:rPr>
          <w:rFonts w:eastAsia="Calibri"/>
          <w:lang w:val="es-GT" w:eastAsia="en-US" w:bidi="en-US"/>
        </w:rPr>
      </w:pPr>
    </w:p>
    <w:p w:rsidR="00DD7FEC" w:rsidRPr="0061795D" w:rsidRDefault="0061795D" w:rsidP="0061795D">
      <w:pPr>
        <w:pStyle w:val="Ttulo2"/>
        <w:jc w:val="both"/>
        <w:rPr>
          <w:rFonts w:ascii="Times New Roman" w:eastAsia="Calibri" w:hAnsi="Times New Roman"/>
          <w:color w:val="auto"/>
          <w:sz w:val="24"/>
          <w:szCs w:val="24"/>
          <w:lang w:val="es-GT" w:eastAsia="en-US" w:bidi="en-US"/>
        </w:rPr>
      </w:pPr>
      <w:bookmarkStart w:id="44" w:name="_Toc4775350"/>
      <w:r w:rsidRPr="0061795D">
        <w:rPr>
          <w:rFonts w:ascii="Times New Roman" w:eastAsia="Calibri" w:hAnsi="Times New Roman"/>
          <w:color w:val="auto"/>
          <w:sz w:val="24"/>
          <w:szCs w:val="24"/>
          <w:lang w:val="es-GT" w:eastAsia="en-US" w:bidi="en-US"/>
        </w:rPr>
        <w:t>Lanzamiento del Portal de Datos Abiertos</w:t>
      </w:r>
      <w:bookmarkEnd w:id="44"/>
    </w:p>
    <w:p w:rsidR="00DD7FEC" w:rsidRDefault="00DD7FEC" w:rsidP="00C620A4">
      <w:pPr>
        <w:jc w:val="both"/>
        <w:rPr>
          <w:rFonts w:eastAsia="Calibri"/>
          <w:lang w:val="es-GT" w:eastAsia="en-US" w:bidi="en-US"/>
        </w:rPr>
      </w:pPr>
    </w:p>
    <w:p w:rsidR="00EA5B37" w:rsidRPr="00685702" w:rsidRDefault="00EA5B37" w:rsidP="00C620A4">
      <w:pPr>
        <w:jc w:val="both"/>
        <w:rPr>
          <w:rFonts w:eastAsia="Calibri"/>
          <w:lang w:val="es-GT" w:eastAsia="en-US" w:bidi="en-US"/>
        </w:rPr>
      </w:pPr>
      <w:r w:rsidRPr="00685702">
        <w:rPr>
          <w:rFonts w:eastAsia="Calibri"/>
          <w:lang w:val="es-GT" w:eastAsia="en-US" w:bidi="en-US"/>
        </w:rPr>
        <w:t>Uno de los compromisos del Ministerio de Finanzas Públicas dentro del Tercer Plan de Acción Nacional de Gobierno Abierto 2016-2018, fue el diseño y lanzamiento de</w:t>
      </w:r>
      <w:r w:rsidR="007A7041">
        <w:rPr>
          <w:rFonts w:eastAsia="Calibri"/>
          <w:lang w:val="es-GT" w:eastAsia="en-US" w:bidi="en-US"/>
        </w:rPr>
        <w:t xml:space="preserve"> un</w:t>
      </w:r>
      <w:r w:rsidRPr="00685702">
        <w:rPr>
          <w:rFonts w:eastAsia="Calibri"/>
          <w:lang w:val="es-GT" w:eastAsia="en-US" w:bidi="en-US"/>
        </w:rPr>
        <w:t xml:space="preserve"> Portal de Datos Abiertos, para el análisis y publicación de información presupuestaria y financiera en formatos editables y reutilizables, de conformidad con</w:t>
      </w:r>
      <w:r w:rsidR="005E42C6" w:rsidRPr="00685702">
        <w:rPr>
          <w:rFonts w:eastAsia="Calibri"/>
          <w:lang w:val="es-GT" w:eastAsia="en-US" w:bidi="en-US"/>
        </w:rPr>
        <w:t xml:space="preserve"> la</w:t>
      </w:r>
      <w:r w:rsidRPr="00685702">
        <w:rPr>
          <w:rFonts w:eastAsia="Calibri"/>
          <w:lang w:val="es-GT" w:eastAsia="en-US" w:bidi="en-US"/>
        </w:rPr>
        <w:t xml:space="preserve"> oferta y demanda de información pública</w:t>
      </w:r>
      <w:r w:rsidR="005E42C6" w:rsidRPr="00685702">
        <w:rPr>
          <w:rFonts w:eastAsia="Calibri"/>
          <w:lang w:val="es-GT" w:eastAsia="en-US" w:bidi="en-US"/>
        </w:rPr>
        <w:t xml:space="preserve"> a divulgar</w:t>
      </w:r>
      <w:r w:rsidRPr="00685702">
        <w:rPr>
          <w:rFonts w:eastAsia="Calibri"/>
          <w:lang w:val="es-GT" w:eastAsia="en-US" w:bidi="en-US"/>
        </w:rPr>
        <w:t>.</w:t>
      </w:r>
    </w:p>
    <w:p w:rsidR="00EA5B37" w:rsidRPr="00685702" w:rsidRDefault="00EA5B37" w:rsidP="00C620A4">
      <w:pPr>
        <w:jc w:val="both"/>
        <w:rPr>
          <w:rFonts w:eastAsia="Calibri"/>
          <w:lang w:val="es-GT" w:eastAsia="en-US" w:bidi="en-US"/>
        </w:rPr>
      </w:pPr>
    </w:p>
    <w:p w:rsidR="00252FE7" w:rsidRDefault="00F40D09" w:rsidP="007A7041">
      <w:pPr>
        <w:jc w:val="both"/>
        <w:rPr>
          <w:rFonts w:eastAsia="Calibri"/>
          <w:lang w:val="es-GT" w:eastAsia="en-US" w:bidi="en-US"/>
        </w:rPr>
      </w:pPr>
      <w:r>
        <w:rPr>
          <w:rFonts w:eastAsia="Calibri"/>
          <w:lang w:val="es-GT" w:eastAsia="en-US" w:bidi="en-US"/>
        </w:rPr>
        <w:t xml:space="preserve">El éxito alcanzado en este Portal motivó el diseño e implementación de un Portal Nacional o Único de Datos Abiertos así como la formulación y aprobación de la Política Nacional de Datos Abiertos mediante la emisión del Acuerdo Gubernativo No. </w:t>
      </w:r>
      <w:r w:rsidR="00252FE7">
        <w:rPr>
          <w:rFonts w:eastAsia="Calibri"/>
          <w:lang w:val="es-GT" w:eastAsia="en-US" w:bidi="en-US"/>
        </w:rPr>
        <w:t>199-2018 del 26 de noviembre de 2018. En ese sentido, las entidades públicas deben implementar acciones a efecto de que cualquier información que se publique en sus páginas web institucionales, se debe hacer en archivos editables</w:t>
      </w:r>
      <w:r w:rsidR="007A7041">
        <w:rPr>
          <w:rFonts w:eastAsia="Calibri"/>
          <w:lang w:val="es-GT" w:eastAsia="en-US" w:bidi="en-US"/>
        </w:rPr>
        <w:t>,</w:t>
      </w:r>
      <w:r w:rsidR="00252FE7">
        <w:rPr>
          <w:rFonts w:eastAsia="Calibri"/>
          <w:lang w:val="es-GT" w:eastAsia="en-US" w:bidi="en-US"/>
        </w:rPr>
        <w:t xml:space="preserve"> reutilizables</w:t>
      </w:r>
      <w:r w:rsidR="007A7041">
        <w:rPr>
          <w:rFonts w:eastAsia="Calibri"/>
          <w:lang w:val="es-GT" w:eastAsia="en-US" w:bidi="en-US"/>
        </w:rPr>
        <w:t xml:space="preserve"> </w:t>
      </w:r>
      <w:r w:rsidR="007A7041" w:rsidRPr="007A7041">
        <w:rPr>
          <w:rFonts w:eastAsia="Calibri"/>
          <w:lang w:val="es-GT" w:eastAsia="en-US" w:bidi="en-US"/>
        </w:rPr>
        <w:t>y redistribui</w:t>
      </w:r>
      <w:r w:rsidR="007A7041">
        <w:rPr>
          <w:rFonts w:eastAsia="Calibri"/>
          <w:lang w:val="es-GT" w:eastAsia="en-US" w:bidi="en-US"/>
        </w:rPr>
        <w:t xml:space="preserve">bles </w:t>
      </w:r>
      <w:r w:rsidR="007A7041" w:rsidRPr="007A7041">
        <w:rPr>
          <w:rFonts w:eastAsia="Calibri"/>
          <w:lang w:val="es-GT" w:eastAsia="en-US" w:bidi="en-US"/>
        </w:rPr>
        <w:t>libremente por</w:t>
      </w:r>
      <w:r w:rsidR="007A7041">
        <w:rPr>
          <w:rFonts w:eastAsia="Calibri"/>
          <w:lang w:val="es-GT" w:eastAsia="en-US" w:bidi="en-US"/>
        </w:rPr>
        <w:t xml:space="preserve"> </w:t>
      </w:r>
      <w:r w:rsidR="007A7041" w:rsidRPr="007A7041">
        <w:rPr>
          <w:rFonts w:eastAsia="Calibri"/>
          <w:lang w:val="es-GT" w:eastAsia="en-US" w:bidi="en-US"/>
        </w:rPr>
        <w:t>cualquier persona, en cualquier momento y en cualquier lugar</w:t>
      </w:r>
      <w:r w:rsidR="007A7041">
        <w:rPr>
          <w:rFonts w:eastAsia="Calibri"/>
          <w:lang w:val="es-GT" w:eastAsia="en-US" w:bidi="en-US"/>
        </w:rPr>
        <w:t xml:space="preserve">, situación que permitirá </w:t>
      </w:r>
      <w:r w:rsidR="007A7041" w:rsidRPr="007A7041">
        <w:rPr>
          <w:rFonts w:eastAsia="Calibri"/>
          <w:lang w:val="es-GT" w:eastAsia="en-US" w:bidi="en-US"/>
        </w:rPr>
        <w:t>impulsa</w:t>
      </w:r>
      <w:r w:rsidR="007A7041">
        <w:rPr>
          <w:rFonts w:eastAsia="Calibri"/>
          <w:lang w:val="es-GT" w:eastAsia="en-US" w:bidi="en-US"/>
        </w:rPr>
        <w:t>r</w:t>
      </w:r>
      <w:r w:rsidR="007A7041" w:rsidRPr="007A7041">
        <w:rPr>
          <w:rFonts w:eastAsia="Calibri"/>
          <w:lang w:val="es-GT" w:eastAsia="en-US" w:bidi="en-US"/>
        </w:rPr>
        <w:t xml:space="preserve"> la transparencia y la rendición de cuentas</w:t>
      </w:r>
      <w:r w:rsidR="007A7041">
        <w:rPr>
          <w:rFonts w:eastAsia="Calibri"/>
          <w:lang w:val="es-GT" w:eastAsia="en-US" w:bidi="en-US"/>
        </w:rPr>
        <w:t xml:space="preserve">, </w:t>
      </w:r>
      <w:r w:rsidR="007A7041" w:rsidRPr="007A7041">
        <w:rPr>
          <w:rFonts w:eastAsia="Calibri"/>
          <w:lang w:val="es-GT" w:eastAsia="en-US" w:bidi="en-US"/>
        </w:rPr>
        <w:t>fortalec</w:t>
      </w:r>
      <w:r w:rsidR="007A7041">
        <w:rPr>
          <w:rFonts w:eastAsia="Calibri"/>
          <w:lang w:val="es-GT" w:eastAsia="en-US" w:bidi="en-US"/>
        </w:rPr>
        <w:t>er</w:t>
      </w:r>
      <w:r w:rsidR="007A7041" w:rsidRPr="007A7041">
        <w:rPr>
          <w:rFonts w:eastAsia="Calibri"/>
          <w:lang w:val="es-GT" w:eastAsia="en-US" w:bidi="en-US"/>
        </w:rPr>
        <w:t xml:space="preserve"> el combate a la corrupción y prom</w:t>
      </w:r>
      <w:r w:rsidR="007A7041">
        <w:rPr>
          <w:rFonts w:eastAsia="Calibri"/>
          <w:lang w:val="es-GT" w:eastAsia="en-US" w:bidi="en-US"/>
        </w:rPr>
        <w:t>over</w:t>
      </w:r>
      <w:r w:rsidR="007A7041" w:rsidRPr="007A7041">
        <w:rPr>
          <w:rFonts w:eastAsia="Calibri"/>
          <w:lang w:val="es-GT" w:eastAsia="en-US" w:bidi="en-US"/>
        </w:rPr>
        <w:t xml:space="preserve"> la participación ciudadana en la esfera</w:t>
      </w:r>
      <w:r w:rsidR="007A7041">
        <w:rPr>
          <w:rFonts w:eastAsia="Calibri"/>
          <w:lang w:val="es-GT" w:eastAsia="en-US" w:bidi="en-US"/>
        </w:rPr>
        <w:t xml:space="preserve"> </w:t>
      </w:r>
      <w:r w:rsidR="007A7041" w:rsidRPr="007A7041">
        <w:rPr>
          <w:rFonts w:eastAsia="Calibri"/>
          <w:lang w:val="es-GT" w:eastAsia="en-US" w:bidi="en-US"/>
        </w:rPr>
        <w:t>pública, redundando en una sociedad más abierta, incluyente, no discriminativa y orientada</w:t>
      </w:r>
      <w:r w:rsidR="007A7041">
        <w:rPr>
          <w:rFonts w:eastAsia="Calibri"/>
          <w:lang w:val="es-GT" w:eastAsia="en-US" w:bidi="en-US"/>
        </w:rPr>
        <w:t xml:space="preserve"> </w:t>
      </w:r>
      <w:r w:rsidR="007A7041" w:rsidRPr="007A7041">
        <w:rPr>
          <w:rFonts w:eastAsia="Calibri"/>
          <w:lang w:val="es-GT" w:eastAsia="en-US" w:bidi="en-US"/>
        </w:rPr>
        <w:t>al desarrollo integral.</w:t>
      </w:r>
    </w:p>
    <w:p w:rsidR="00252FE7" w:rsidRDefault="00252FE7" w:rsidP="00C620A4">
      <w:pPr>
        <w:jc w:val="both"/>
        <w:rPr>
          <w:rFonts w:eastAsia="Calibri"/>
          <w:lang w:val="es-GT" w:eastAsia="en-US" w:bidi="en-US"/>
        </w:rPr>
      </w:pPr>
    </w:p>
    <w:p w:rsidR="00C620A4" w:rsidRDefault="00E511F1" w:rsidP="00C620A4">
      <w:pPr>
        <w:jc w:val="both"/>
        <w:rPr>
          <w:rFonts w:eastAsia="Calibri"/>
          <w:lang w:val="es-GT" w:eastAsia="en-US" w:bidi="en-US"/>
        </w:rPr>
      </w:pPr>
      <w:r>
        <w:rPr>
          <w:rFonts w:eastAsia="Calibri"/>
          <w:lang w:val="es-GT" w:eastAsia="en-US" w:bidi="en-US"/>
        </w:rPr>
        <w:t xml:space="preserve">Asimismo, </w:t>
      </w:r>
      <w:r w:rsidR="00915B4D" w:rsidRPr="00685702">
        <w:rPr>
          <w:rFonts w:eastAsia="Calibri"/>
          <w:lang w:val="es-GT" w:eastAsia="en-US" w:bidi="en-US"/>
        </w:rPr>
        <w:t xml:space="preserve">durante el primer semestre de 2018 se llevó a cabo el rediseño y lanzamiento del Portal de Transparencia Fiscal para </w:t>
      </w:r>
      <w:r>
        <w:rPr>
          <w:rFonts w:eastAsia="Calibri"/>
          <w:lang w:val="es-GT" w:eastAsia="en-US" w:bidi="en-US"/>
        </w:rPr>
        <w:t xml:space="preserve">uso de </w:t>
      </w:r>
      <w:r w:rsidR="00915B4D" w:rsidRPr="00685702">
        <w:rPr>
          <w:rFonts w:eastAsia="Calibri"/>
          <w:lang w:val="es-GT" w:eastAsia="en-US" w:bidi="en-US"/>
        </w:rPr>
        <w:t>ciudadanos en general, en un ambiente gráfico, con lenguaje sencillo, sin tecnicismos ni jerga presupuestaria, con mapas, gráficas, imágenes, tablas, infografías, entre otros, para una mejo</w:t>
      </w:r>
      <w:r w:rsidR="00D464AB">
        <w:rPr>
          <w:rFonts w:eastAsia="Calibri"/>
          <w:lang w:val="es-GT" w:eastAsia="en-US" w:bidi="en-US"/>
        </w:rPr>
        <w:t>r comprensión de la información</w:t>
      </w:r>
      <w:r w:rsidR="00915B4D" w:rsidRPr="00685702">
        <w:rPr>
          <w:rFonts w:eastAsia="Calibri"/>
          <w:lang w:val="es-GT" w:eastAsia="en-US" w:bidi="en-US"/>
        </w:rPr>
        <w:t xml:space="preserve">. </w:t>
      </w:r>
      <w:r>
        <w:rPr>
          <w:rFonts w:eastAsia="Calibri"/>
          <w:lang w:val="es-GT" w:eastAsia="en-US" w:bidi="en-US"/>
        </w:rPr>
        <w:t>Ambos portales son constantemente actualizados con información diaria que se genera en los distintos sistemas financieros del Gobierno de la República</w:t>
      </w:r>
      <w:r w:rsidR="00D464AB">
        <w:rPr>
          <w:rFonts w:eastAsia="Calibri"/>
          <w:lang w:val="es-GT" w:eastAsia="en-US" w:bidi="en-US"/>
        </w:rPr>
        <w:t>;</w:t>
      </w:r>
      <w:r>
        <w:rPr>
          <w:rFonts w:eastAsia="Calibri"/>
          <w:lang w:val="es-GT" w:eastAsia="en-US" w:bidi="en-US"/>
        </w:rPr>
        <w:t xml:space="preserve"> además, se les adiciona nuevos cubos de información que solicitan las distintas organizaciones de sociedad civil y ciudadanos</w:t>
      </w:r>
      <w:r w:rsidR="00D464AB">
        <w:rPr>
          <w:rFonts w:eastAsia="Calibri"/>
          <w:lang w:val="es-GT" w:eastAsia="en-US" w:bidi="en-US"/>
        </w:rPr>
        <w:t xml:space="preserve"> en general</w:t>
      </w:r>
      <w:r>
        <w:rPr>
          <w:rFonts w:eastAsia="Calibri"/>
          <w:lang w:val="es-GT" w:eastAsia="en-US" w:bidi="en-US"/>
        </w:rPr>
        <w:t>, en función de su viabilidad técnica y legal para su publicación.</w:t>
      </w:r>
    </w:p>
    <w:p w:rsidR="00C620A4" w:rsidRDefault="00C620A4" w:rsidP="00C620A4">
      <w:pPr>
        <w:jc w:val="both"/>
        <w:rPr>
          <w:rFonts w:eastAsia="Calibri"/>
          <w:lang w:val="es-GT" w:eastAsia="en-US" w:bidi="en-US"/>
        </w:rPr>
      </w:pPr>
    </w:p>
    <w:p w:rsidR="00C620A4" w:rsidRPr="00B25D87" w:rsidRDefault="00557944" w:rsidP="00C620A4">
      <w:pPr>
        <w:jc w:val="both"/>
        <w:rPr>
          <w:rFonts w:eastAsia="Calibri"/>
          <w:lang w:val="es-GT" w:eastAsia="en-US" w:bidi="en-US"/>
        </w:rPr>
      </w:pPr>
      <w:r>
        <w:rPr>
          <w:rFonts w:eastAsia="Calibri"/>
          <w:lang w:val="es-GT" w:eastAsia="en-US" w:bidi="en-US"/>
        </w:rPr>
        <w:t xml:space="preserve">Por último, </w:t>
      </w:r>
      <w:r w:rsidR="00C620A4" w:rsidRPr="00B25D87">
        <w:rPr>
          <w:rFonts w:eastAsia="Calibri"/>
          <w:lang w:val="es-GT" w:eastAsia="en-US" w:bidi="en-US"/>
        </w:rPr>
        <w:t>se continúa trabajando en diversas iniciativas</w:t>
      </w:r>
      <w:r w:rsidR="00C620A4">
        <w:rPr>
          <w:rFonts w:eastAsia="Calibri"/>
          <w:lang w:val="es-GT" w:eastAsia="en-US" w:bidi="en-US"/>
        </w:rPr>
        <w:t xml:space="preserve"> y mecanismos </w:t>
      </w:r>
      <w:r w:rsidR="00CB3D5A">
        <w:rPr>
          <w:rFonts w:eastAsia="Calibri"/>
          <w:lang w:val="es-GT" w:eastAsia="en-US" w:bidi="en-US"/>
        </w:rPr>
        <w:t xml:space="preserve">de transparencia  y participación ciudadana </w:t>
      </w:r>
      <w:r w:rsidR="00C620A4" w:rsidRPr="00B25D87">
        <w:rPr>
          <w:rFonts w:eastAsia="Calibri"/>
          <w:lang w:val="es-GT" w:eastAsia="en-US" w:bidi="en-US"/>
        </w:rPr>
        <w:t>que evalúan la situación del país comparada con determinados parámetros y estándares que recomiendan las buenas prácticas internacionales, tales como:</w:t>
      </w:r>
    </w:p>
    <w:p w:rsidR="00C620A4" w:rsidRPr="00B25D87" w:rsidRDefault="00C620A4" w:rsidP="00C620A4">
      <w:pPr>
        <w:jc w:val="both"/>
        <w:rPr>
          <w:rFonts w:eastAsia="Calibri"/>
          <w:lang w:val="es-GT" w:eastAsia="en-US" w:bidi="en-US"/>
        </w:rPr>
      </w:pPr>
    </w:p>
    <w:p w:rsidR="00C620A4" w:rsidRDefault="00C620A4" w:rsidP="00C620A4">
      <w:pPr>
        <w:ind w:left="709" w:hanging="709"/>
        <w:jc w:val="both"/>
        <w:rPr>
          <w:rFonts w:eastAsia="Calibri"/>
          <w:lang w:val="es-GT" w:eastAsia="en-US" w:bidi="en-US"/>
        </w:rPr>
      </w:pPr>
      <w:r w:rsidRPr="00B25D87">
        <w:rPr>
          <w:rFonts w:eastAsia="Calibri"/>
          <w:lang w:val="es-GT" w:eastAsia="en-US" w:bidi="en-US"/>
        </w:rPr>
        <w:t>•</w:t>
      </w:r>
      <w:r w:rsidRPr="00B25D87">
        <w:rPr>
          <w:rFonts w:eastAsia="Calibri"/>
          <w:lang w:val="es-GT" w:eastAsia="en-US" w:bidi="en-US"/>
        </w:rPr>
        <w:tab/>
        <w:t>Informe PEFA (Public Expenditures and Financial Accountability) que evalúa la gestión de las finanzas públicas y la rendición de cuentas.</w:t>
      </w:r>
    </w:p>
    <w:p w:rsidR="00C620A4" w:rsidRPr="004E438A" w:rsidRDefault="00C620A4" w:rsidP="00C620A4">
      <w:pPr>
        <w:ind w:left="709" w:hanging="709"/>
        <w:jc w:val="both"/>
        <w:rPr>
          <w:rFonts w:eastAsia="Calibri"/>
          <w:sz w:val="14"/>
          <w:lang w:val="es-GT" w:eastAsia="en-US" w:bidi="en-US"/>
        </w:rPr>
      </w:pPr>
    </w:p>
    <w:p w:rsidR="00C620A4" w:rsidRDefault="00C620A4" w:rsidP="00C620A4">
      <w:pPr>
        <w:ind w:left="709" w:hanging="709"/>
        <w:jc w:val="both"/>
        <w:rPr>
          <w:rFonts w:eastAsia="Calibri"/>
          <w:lang w:val="es-GT" w:eastAsia="en-US" w:bidi="en-US"/>
        </w:rPr>
      </w:pPr>
      <w:r w:rsidRPr="00B25D87">
        <w:rPr>
          <w:rFonts w:eastAsia="Calibri"/>
          <w:lang w:val="es-GT" w:eastAsia="en-US" w:bidi="en-US"/>
        </w:rPr>
        <w:t>•</w:t>
      </w:r>
      <w:r w:rsidRPr="00B25D87">
        <w:rPr>
          <w:rFonts w:eastAsia="Calibri"/>
          <w:lang w:val="es-GT" w:eastAsia="en-US" w:bidi="en-US"/>
        </w:rPr>
        <w:tab/>
        <w:t>Índice de Percepción de la Corrupción (IPC) que evalúa</w:t>
      </w:r>
      <w:r w:rsidR="00557944">
        <w:rPr>
          <w:rFonts w:eastAsia="Calibri"/>
          <w:lang w:val="es-GT" w:eastAsia="en-US" w:bidi="en-US"/>
        </w:rPr>
        <w:t>,</w:t>
      </w:r>
      <w:r w:rsidRPr="00B25D87">
        <w:rPr>
          <w:rFonts w:eastAsia="Calibri"/>
          <w:lang w:val="es-GT" w:eastAsia="en-US" w:bidi="en-US"/>
        </w:rPr>
        <w:t xml:space="preserve"> con base en la opinión de expertos, la percepción de la corrupción en el país.</w:t>
      </w:r>
    </w:p>
    <w:p w:rsidR="00C620A4" w:rsidRPr="004E438A" w:rsidRDefault="00C620A4" w:rsidP="00C620A4">
      <w:pPr>
        <w:ind w:left="709" w:hanging="709"/>
        <w:jc w:val="both"/>
        <w:rPr>
          <w:rFonts w:eastAsia="Calibri"/>
          <w:sz w:val="14"/>
          <w:lang w:val="es-GT" w:eastAsia="en-US" w:bidi="en-US"/>
        </w:rPr>
      </w:pPr>
    </w:p>
    <w:p w:rsidR="00C620A4" w:rsidRDefault="00C620A4" w:rsidP="00C620A4">
      <w:pPr>
        <w:ind w:left="709" w:hanging="709"/>
        <w:jc w:val="both"/>
        <w:rPr>
          <w:rFonts w:eastAsia="Calibri"/>
          <w:lang w:val="es-GT" w:eastAsia="en-US" w:bidi="en-US"/>
        </w:rPr>
      </w:pPr>
      <w:r w:rsidRPr="00B25D87">
        <w:rPr>
          <w:rFonts w:eastAsia="Calibri"/>
          <w:lang w:val="es-GT" w:eastAsia="en-US" w:bidi="en-US"/>
        </w:rPr>
        <w:t>•</w:t>
      </w:r>
      <w:r w:rsidRPr="00B25D87">
        <w:rPr>
          <w:rFonts w:eastAsia="Calibri"/>
          <w:lang w:val="es-GT" w:eastAsia="en-US" w:bidi="en-US"/>
        </w:rPr>
        <w:tab/>
      </w:r>
      <w:r>
        <w:rPr>
          <w:rFonts w:eastAsia="Calibri"/>
          <w:lang w:val="es-GT" w:eastAsia="en-US" w:bidi="en-US"/>
        </w:rPr>
        <w:t>O</w:t>
      </w:r>
      <w:r w:rsidRPr="00B25D87">
        <w:rPr>
          <w:rFonts w:eastAsia="Calibri"/>
          <w:lang w:val="es-GT" w:eastAsia="en-US" w:bidi="en-US"/>
        </w:rPr>
        <w:t xml:space="preserve">tras </w:t>
      </w:r>
      <w:r>
        <w:rPr>
          <w:rFonts w:eastAsia="Calibri"/>
          <w:lang w:val="es-GT" w:eastAsia="en-US" w:bidi="en-US"/>
        </w:rPr>
        <w:t>acciones adicionales</w:t>
      </w:r>
      <w:r w:rsidRPr="00B25D87">
        <w:rPr>
          <w:rFonts w:eastAsia="Calibri"/>
          <w:lang w:val="es-GT" w:eastAsia="en-US" w:bidi="en-US"/>
        </w:rPr>
        <w:t xml:space="preserve">, tales como, Iniciativa Global de Transparencia Fiscal (GIFT), Iniciativa de Transparencia en </w:t>
      </w:r>
      <w:r w:rsidR="00557944">
        <w:rPr>
          <w:rFonts w:eastAsia="Calibri"/>
          <w:lang w:val="es-GT" w:eastAsia="en-US" w:bidi="en-US"/>
        </w:rPr>
        <w:t>Infraestructura Pública</w:t>
      </w:r>
      <w:r w:rsidRPr="00B25D87">
        <w:rPr>
          <w:rFonts w:eastAsia="Calibri"/>
          <w:lang w:val="es-GT" w:eastAsia="en-US" w:bidi="en-US"/>
        </w:rPr>
        <w:t xml:space="preserve"> (COST), Iniciativa para la Recuperación de Activos Robados (STAR), Iniciativa de Transparencia de las Industrias Extractivas (EITI), Mecanismo de Seguimiento de la Convención Interamericana </w:t>
      </w:r>
      <w:r>
        <w:rPr>
          <w:rFonts w:eastAsia="Calibri"/>
          <w:lang w:val="es-GT" w:eastAsia="en-US" w:bidi="en-US"/>
        </w:rPr>
        <w:t>c</w:t>
      </w:r>
      <w:r w:rsidRPr="00B25D87">
        <w:rPr>
          <w:rFonts w:eastAsia="Calibri"/>
          <w:lang w:val="es-GT" w:eastAsia="en-US" w:bidi="en-US"/>
        </w:rPr>
        <w:t xml:space="preserve">ontra la Corrupción (MESICIC), </w:t>
      </w:r>
      <w:r>
        <w:rPr>
          <w:rFonts w:eastAsia="Calibri"/>
          <w:lang w:val="es-GT" w:eastAsia="en-US" w:bidi="en-US"/>
        </w:rPr>
        <w:t>seguimiento de la Convención de Naciones Unidas contra la Corrupción</w:t>
      </w:r>
      <w:r w:rsidR="00557944">
        <w:rPr>
          <w:rFonts w:eastAsia="Calibri"/>
          <w:lang w:val="es-GT" w:eastAsia="en-US" w:bidi="en-US"/>
        </w:rPr>
        <w:t xml:space="preserve"> (</w:t>
      </w:r>
      <w:r w:rsidR="00CE74BD">
        <w:rPr>
          <w:rFonts w:eastAsia="Calibri"/>
          <w:lang w:val="es-GT" w:eastAsia="en-US" w:bidi="en-US"/>
        </w:rPr>
        <w:t>CNU</w:t>
      </w:r>
      <w:r w:rsidR="00557944">
        <w:rPr>
          <w:rFonts w:eastAsia="Calibri"/>
          <w:lang w:val="es-GT" w:eastAsia="en-US" w:bidi="en-US"/>
        </w:rPr>
        <w:t>CC)</w:t>
      </w:r>
      <w:r>
        <w:rPr>
          <w:rFonts w:eastAsia="Calibri"/>
          <w:lang w:val="es-GT" w:eastAsia="en-US" w:bidi="en-US"/>
        </w:rPr>
        <w:t xml:space="preserve">, </w:t>
      </w:r>
      <w:r w:rsidRPr="00B25D87">
        <w:rPr>
          <w:rFonts w:eastAsia="Calibri"/>
          <w:lang w:val="es-GT" w:eastAsia="en-US" w:bidi="en-US"/>
        </w:rPr>
        <w:t>entre otras</w:t>
      </w:r>
      <w:r>
        <w:rPr>
          <w:rFonts w:eastAsia="Calibri"/>
          <w:lang w:val="es-GT" w:eastAsia="en-US" w:bidi="en-US"/>
        </w:rPr>
        <w:t>.</w:t>
      </w:r>
    </w:p>
    <w:p w:rsidR="00C620A4" w:rsidRDefault="00C620A4" w:rsidP="00C620A4">
      <w:pPr>
        <w:pStyle w:val="Ttulo2"/>
        <w:rPr>
          <w:rFonts w:ascii="Times New Roman" w:eastAsia="Calibri" w:hAnsi="Times New Roman"/>
          <w:color w:val="auto"/>
          <w:sz w:val="24"/>
          <w:szCs w:val="24"/>
          <w:lang w:val="es-GT" w:eastAsia="en-US" w:bidi="en-US"/>
        </w:rPr>
      </w:pPr>
      <w:bookmarkStart w:id="45" w:name="_Toc417992546"/>
      <w:bookmarkStart w:id="46" w:name="_Toc443491864"/>
      <w:bookmarkStart w:id="47" w:name="_Toc482339314"/>
      <w:bookmarkStart w:id="48" w:name="_Toc4775351"/>
      <w:r w:rsidRPr="00C620A4">
        <w:rPr>
          <w:rFonts w:ascii="Times New Roman" w:eastAsia="Calibri" w:hAnsi="Times New Roman"/>
          <w:color w:val="auto"/>
          <w:sz w:val="24"/>
          <w:szCs w:val="24"/>
          <w:lang w:val="es-GT" w:eastAsia="en-US" w:bidi="en-US"/>
        </w:rPr>
        <w:lastRenderedPageBreak/>
        <w:t>Gestión de Riesgos Fiscales</w:t>
      </w:r>
      <w:bookmarkEnd w:id="45"/>
      <w:bookmarkEnd w:id="46"/>
      <w:bookmarkEnd w:id="47"/>
      <w:bookmarkEnd w:id="48"/>
    </w:p>
    <w:p w:rsidR="00C7403B" w:rsidRDefault="00C7403B" w:rsidP="00C7403B">
      <w:pPr>
        <w:rPr>
          <w:rFonts w:eastAsia="Calibri"/>
          <w:lang w:val="es-GT" w:eastAsia="en-US" w:bidi="en-US"/>
        </w:rPr>
      </w:pPr>
    </w:p>
    <w:p w:rsidR="0045067B" w:rsidRPr="00994772" w:rsidRDefault="0045067B" w:rsidP="0045067B">
      <w:pPr>
        <w:jc w:val="both"/>
        <w:rPr>
          <w:rFonts w:eastAsia="Calibri"/>
          <w:lang w:val="es-GT" w:eastAsia="en-US" w:bidi="en-US"/>
        </w:rPr>
      </w:pPr>
      <w:r w:rsidRPr="00994772">
        <w:rPr>
          <w:rFonts w:eastAsia="Calibri"/>
          <w:lang w:val="es-GT" w:eastAsia="en-US" w:bidi="en-US"/>
        </w:rPr>
        <w:t xml:space="preserve">En la formulación del Proyecto de Presupuesto General de Ingresos y Egresos del Estado, por tercer año consecutivo se ha incorporado una separata o informe ejecutivo sobre el análisis y gestión de riesgos fiscales, para que se conozcan los principales riesgos que pueden afectar las finanzas públicas, su impacto en monto y como porcentaje del PIB y las posibles medidas de mitigación que se pueden adoptar para contrarrestar sus efectos. </w:t>
      </w:r>
    </w:p>
    <w:p w:rsidR="0045067B" w:rsidRPr="00994772" w:rsidRDefault="0045067B" w:rsidP="00C7403B">
      <w:pPr>
        <w:rPr>
          <w:rFonts w:eastAsia="Calibri"/>
          <w:lang w:val="es-GT" w:eastAsia="en-US" w:bidi="en-US"/>
        </w:rPr>
      </w:pPr>
    </w:p>
    <w:p w:rsidR="00C7403B" w:rsidRPr="00994772" w:rsidRDefault="00C7403B" w:rsidP="00F31597">
      <w:pPr>
        <w:pStyle w:val="Sinespaciado"/>
        <w:jc w:val="both"/>
        <w:rPr>
          <w:rFonts w:ascii="Times New Roman" w:hAnsi="Times New Roman" w:cs="Times New Roman"/>
          <w:lang w:val="es-MX"/>
        </w:rPr>
      </w:pPr>
      <w:r w:rsidRPr="00994772">
        <w:rPr>
          <w:rFonts w:ascii="Times New Roman" w:hAnsi="Times New Roman" w:cs="Times New Roman"/>
          <w:lang w:val="es-MX"/>
        </w:rPr>
        <w:t>La transparencia fiscal ayuda a garantizar que las decisiones de los gobiernos en materia de economía se informen en una evaluación compartida y exacta de la posición fiscal actual los costos y beneficios de cualquier modificación de la política y los riesgos potenciales para las perspectivas fiscales. Además, brinda a las legislaturas, mercados y ciudadanos la información necesaria para tomar decisiones financieras eficientes y para responsabilizar al gobierno por el desempeño fiscal y la utiliz</w:t>
      </w:r>
      <w:r w:rsidR="00F31597" w:rsidRPr="00994772">
        <w:rPr>
          <w:rFonts w:ascii="Times New Roman" w:hAnsi="Times New Roman" w:cs="Times New Roman"/>
          <w:lang w:val="es-MX"/>
        </w:rPr>
        <w:t xml:space="preserve">ación de los recursos públicos y </w:t>
      </w:r>
      <w:r w:rsidRPr="00994772">
        <w:rPr>
          <w:rFonts w:ascii="Times New Roman" w:hAnsi="Times New Roman" w:cs="Times New Roman"/>
          <w:lang w:val="es-MX"/>
        </w:rPr>
        <w:t>facilita la vigilancia internacional de los acontecimientos fiscales y ayuda a mitigar la transmisión de contagio fiscal entre países.</w:t>
      </w:r>
    </w:p>
    <w:p w:rsidR="00C7403B" w:rsidRDefault="00C7403B" w:rsidP="00C7403B">
      <w:pPr>
        <w:pStyle w:val="Sinespaciado"/>
        <w:jc w:val="both"/>
        <w:rPr>
          <w:rFonts w:ascii="Times New Roman" w:hAnsi="Times New Roman" w:cs="Times New Roman"/>
          <w:lang w:val="es-MX"/>
        </w:rPr>
      </w:pPr>
    </w:p>
    <w:p w:rsidR="00365D39" w:rsidRDefault="00365D39" w:rsidP="00365D39">
      <w:pPr>
        <w:pStyle w:val="Ttulo2"/>
        <w:rPr>
          <w:rFonts w:ascii="Times New Roman" w:eastAsia="Calibri" w:hAnsi="Times New Roman"/>
          <w:color w:val="auto"/>
          <w:sz w:val="24"/>
          <w:szCs w:val="24"/>
          <w:lang w:val="es-GT" w:eastAsia="en-US" w:bidi="en-US"/>
        </w:rPr>
      </w:pPr>
      <w:bookmarkStart w:id="49" w:name="_Toc4775352"/>
      <w:r>
        <w:rPr>
          <w:rFonts w:ascii="Times New Roman" w:eastAsia="Calibri" w:hAnsi="Times New Roman"/>
          <w:color w:val="auto"/>
          <w:sz w:val="24"/>
          <w:szCs w:val="24"/>
          <w:lang w:val="es-GT" w:eastAsia="en-US" w:bidi="en-US"/>
        </w:rPr>
        <w:t>Contrataciones Públicas</w:t>
      </w:r>
      <w:bookmarkEnd w:id="49"/>
    </w:p>
    <w:p w:rsidR="00365D39" w:rsidRDefault="00365D39" w:rsidP="00C7403B">
      <w:pPr>
        <w:pStyle w:val="Sinespaciado"/>
        <w:jc w:val="both"/>
        <w:rPr>
          <w:rFonts w:ascii="Times New Roman" w:hAnsi="Times New Roman" w:cs="Times New Roman"/>
          <w:lang w:val="es-MX"/>
        </w:rPr>
      </w:pPr>
    </w:p>
    <w:p w:rsidR="00181D3E" w:rsidRDefault="00B93F65" w:rsidP="00C7403B">
      <w:pPr>
        <w:pStyle w:val="Sinespaciado"/>
        <w:jc w:val="both"/>
        <w:rPr>
          <w:rFonts w:ascii="Times New Roman" w:hAnsi="Times New Roman" w:cs="Times New Roman"/>
          <w:lang w:val="es-MX"/>
        </w:rPr>
      </w:pPr>
      <w:r>
        <w:rPr>
          <w:rFonts w:ascii="Times New Roman" w:hAnsi="Times New Roman" w:cs="Times New Roman"/>
          <w:lang w:val="es-MX"/>
        </w:rPr>
        <w:t xml:space="preserve">El Congreso de la República de Guatemala mediante los Decretos Nos. 9-2015 y 46-2016 aprobó una serie de reformas a la Ley de Contrataciones del Estado, cuya implementación </w:t>
      </w:r>
      <w:r w:rsidR="00AA7A93">
        <w:rPr>
          <w:rFonts w:ascii="Times New Roman" w:hAnsi="Times New Roman" w:cs="Times New Roman"/>
          <w:lang w:val="es-MX"/>
        </w:rPr>
        <w:t>de acciones por parte d</w:t>
      </w:r>
      <w:r>
        <w:rPr>
          <w:rFonts w:ascii="Times New Roman" w:hAnsi="Times New Roman" w:cs="Times New Roman"/>
          <w:lang w:val="es-MX"/>
        </w:rPr>
        <w:t>el Ministerio de Finanzas Públicas</w:t>
      </w:r>
      <w:r w:rsidR="00AA7A93">
        <w:rPr>
          <w:rFonts w:ascii="Times New Roman" w:hAnsi="Times New Roman" w:cs="Times New Roman"/>
          <w:lang w:val="es-MX"/>
        </w:rPr>
        <w:t>, se</w:t>
      </w:r>
      <w:r>
        <w:rPr>
          <w:rFonts w:ascii="Times New Roman" w:hAnsi="Times New Roman" w:cs="Times New Roman"/>
          <w:lang w:val="es-MX"/>
        </w:rPr>
        <w:t xml:space="preserve"> ha venido realizando</w:t>
      </w:r>
      <w:r w:rsidR="00C468D2">
        <w:rPr>
          <w:rFonts w:ascii="Times New Roman" w:hAnsi="Times New Roman" w:cs="Times New Roman"/>
          <w:lang w:val="es-MX"/>
        </w:rPr>
        <w:t xml:space="preserve"> en los últimos años</w:t>
      </w:r>
      <w:r>
        <w:rPr>
          <w:rFonts w:ascii="Times New Roman" w:hAnsi="Times New Roman" w:cs="Times New Roman"/>
          <w:lang w:val="es-MX"/>
        </w:rPr>
        <w:t xml:space="preserve">. Básicamente dentro de las principales reformas se tienen: </w:t>
      </w:r>
      <w:r w:rsidR="00AA7A93">
        <w:rPr>
          <w:rFonts w:ascii="Times New Roman" w:hAnsi="Times New Roman" w:cs="Times New Roman"/>
          <w:lang w:val="es-MX"/>
        </w:rPr>
        <w:t>estandarización de formatos por modalidad de compra y tipo de bien y servicio; presentación de oferta</w:t>
      </w:r>
      <w:r w:rsidR="00CE432A">
        <w:rPr>
          <w:rFonts w:ascii="Times New Roman" w:hAnsi="Times New Roman" w:cs="Times New Roman"/>
          <w:lang w:val="es-MX"/>
        </w:rPr>
        <w:t>s</w:t>
      </w:r>
      <w:r w:rsidR="00AA7A93">
        <w:rPr>
          <w:rFonts w:ascii="Times New Roman" w:hAnsi="Times New Roman" w:cs="Times New Roman"/>
          <w:lang w:val="es-MX"/>
        </w:rPr>
        <w:t xml:space="preserve"> electrónica</w:t>
      </w:r>
      <w:r w:rsidR="00CE432A">
        <w:rPr>
          <w:rFonts w:ascii="Times New Roman" w:hAnsi="Times New Roman" w:cs="Times New Roman"/>
          <w:lang w:val="es-MX"/>
        </w:rPr>
        <w:t>s</w:t>
      </w:r>
      <w:r w:rsidR="00AA7A93">
        <w:rPr>
          <w:rFonts w:ascii="Times New Roman" w:hAnsi="Times New Roman" w:cs="Times New Roman"/>
          <w:lang w:val="es-MX"/>
        </w:rPr>
        <w:t>; creación del módulo de Subasta Electrónica Inversa; creación del Registro General de Adquisiciones del Estado</w:t>
      </w:r>
      <w:r w:rsidR="00C468D2">
        <w:rPr>
          <w:rFonts w:ascii="Times New Roman" w:hAnsi="Times New Roman" w:cs="Times New Roman"/>
          <w:lang w:val="es-MX"/>
        </w:rPr>
        <w:t xml:space="preserve"> (REGAE);</w:t>
      </w:r>
      <w:r w:rsidR="00AA7A93">
        <w:rPr>
          <w:rFonts w:ascii="Times New Roman" w:hAnsi="Times New Roman" w:cs="Times New Roman"/>
          <w:lang w:val="es-MX"/>
        </w:rPr>
        <w:t xml:space="preserve"> reformas al Sistema de </w:t>
      </w:r>
      <w:r w:rsidR="00181D3E">
        <w:rPr>
          <w:rFonts w:ascii="Times New Roman" w:hAnsi="Times New Roman" w:cs="Times New Roman"/>
          <w:lang w:val="es-MX"/>
        </w:rPr>
        <w:t xml:space="preserve">Información de Contrataciones y Adquisiciones del Estado </w:t>
      </w:r>
      <w:r w:rsidR="00C468D2">
        <w:rPr>
          <w:rFonts w:ascii="Times New Roman" w:hAnsi="Times New Roman" w:cs="Times New Roman"/>
          <w:lang w:val="es-MX"/>
        </w:rPr>
        <w:t xml:space="preserve">(GUATECOMPRAS) </w:t>
      </w:r>
      <w:r w:rsidR="00181D3E">
        <w:rPr>
          <w:rFonts w:ascii="Times New Roman" w:hAnsi="Times New Roman" w:cs="Times New Roman"/>
          <w:lang w:val="es-MX"/>
        </w:rPr>
        <w:t>que en el mediano</w:t>
      </w:r>
      <w:r w:rsidR="00C468D2">
        <w:rPr>
          <w:rFonts w:ascii="Times New Roman" w:hAnsi="Times New Roman" w:cs="Times New Roman"/>
          <w:lang w:val="es-MX"/>
        </w:rPr>
        <w:t xml:space="preserve"> o largo</w:t>
      </w:r>
      <w:r w:rsidR="00181D3E">
        <w:rPr>
          <w:rFonts w:ascii="Times New Roman" w:hAnsi="Times New Roman" w:cs="Times New Roman"/>
          <w:lang w:val="es-MX"/>
        </w:rPr>
        <w:t xml:space="preserve"> plazo lo convertir</w:t>
      </w:r>
      <w:r w:rsidR="00C468D2">
        <w:rPr>
          <w:rFonts w:ascii="Times New Roman" w:hAnsi="Times New Roman" w:cs="Times New Roman"/>
          <w:lang w:val="es-MX"/>
        </w:rPr>
        <w:t>á</w:t>
      </w:r>
      <w:r w:rsidR="00181D3E">
        <w:rPr>
          <w:rFonts w:ascii="Times New Roman" w:hAnsi="Times New Roman" w:cs="Times New Roman"/>
          <w:lang w:val="es-MX"/>
        </w:rPr>
        <w:t>n en un sistema transaccion</w:t>
      </w:r>
      <w:r w:rsidR="00857301">
        <w:rPr>
          <w:rFonts w:ascii="Times New Roman" w:hAnsi="Times New Roman" w:cs="Times New Roman"/>
          <w:lang w:val="es-MX"/>
        </w:rPr>
        <w:t>a</w:t>
      </w:r>
      <w:r w:rsidR="00181D3E">
        <w:rPr>
          <w:rFonts w:ascii="Times New Roman" w:hAnsi="Times New Roman" w:cs="Times New Roman"/>
          <w:lang w:val="es-MX"/>
        </w:rPr>
        <w:t>l y no meramente estad</w:t>
      </w:r>
      <w:r w:rsidR="00857301">
        <w:rPr>
          <w:rFonts w:ascii="Times New Roman" w:hAnsi="Times New Roman" w:cs="Times New Roman"/>
          <w:lang w:val="es-MX"/>
        </w:rPr>
        <w:t>ís</w:t>
      </w:r>
      <w:r w:rsidR="00181D3E">
        <w:rPr>
          <w:rFonts w:ascii="Times New Roman" w:hAnsi="Times New Roman" w:cs="Times New Roman"/>
          <w:lang w:val="es-MX"/>
        </w:rPr>
        <w:t>tico de publicación de eventos, como opera a la</w:t>
      </w:r>
      <w:r w:rsidR="00C468D2">
        <w:rPr>
          <w:rFonts w:ascii="Times New Roman" w:hAnsi="Times New Roman" w:cs="Times New Roman"/>
          <w:lang w:val="es-MX"/>
        </w:rPr>
        <w:t xml:space="preserve"> presente</w:t>
      </w:r>
      <w:r w:rsidR="00181D3E">
        <w:rPr>
          <w:rFonts w:ascii="Times New Roman" w:hAnsi="Times New Roman" w:cs="Times New Roman"/>
          <w:lang w:val="es-MX"/>
        </w:rPr>
        <w:t xml:space="preserve"> fecha.</w:t>
      </w:r>
      <w:r w:rsidR="00C468D2">
        <w:rPr>
          <w:rFonts w:ascii="Times New Roman" w:hAnsi="Times New Roman" w:cs="Times New Roman"/>
          <w:lang w:val="es-MX"/>
        </w:rPr>
        <w:t xml:space="preserve">  Con esta serie de modificaciones a</w:t>
      </w:r>
      <w:r w:rsidR="00CE432A">
        <w:rPr>
          <w:rFonts w:ascii="Times New Roman" w:hAnsi="Times New Roman" w:cs="Times New Roman"/>
          <w:lang w:val="es-MX"/>
        </w:rPr>
        <w:t>l sistema</w:t>
      </w:r>
      <w:r w:rsidR="00C468D2">
        <w:rPr>
          <w:rFonts w:ascii="Times New Roman" w:hAnsi="Times New Roman" w:cs="Times New Roman"/>
          <w:lang w:val="es-MX"/>
        </w:rPr>
        <w:t xml:space="preserve"> </w:t>
      </w:r>
      <w:r w:rsidR="00CE432A">
        <w:rPr>
          <w:rFonts w:ascii="Times New Roman" w:hAnsi="Times New Roman" w:cs="Times New Roman"/>
          <w:lang w:val="es-MX"/>
        </w:rPr>
        <w:t>y procesos de</w:t>
      </w:r>
      <w:r w:rsidR="00C468D2">
        <w:rPr>
          <w:rFonts w:ascii="Times New Roman" w:hAnsi="Times New Roman" w:cs="Times New Roman"/>
          <w:lang w:val="es-MX"/>
        </w:rPr>
        <w:t xml:space="preserve"> contrataciones y adquisiciones públicas, la República de Guatemala estaría en condiciones de adherirse a la Iniciativa de Contrataciones Abiertas (OCP, por sus siglas en inglés).</w:t>
      </w:r>
    </w:p>
    <w:p w:rsidR="00181D3E" w:rsidRDefault="00181D3E" w:rsidP="00C7403B">
      <w:pPr>
        <w:pStyle w:val="Sinespaciado"/>
        <w:jc w:val="both"/>
        <w:rPr>
          <w:rFonts w:ascii="Times New Roman" w:hAnsi="Times New Roman" w:cs="Times New Roman"/>
          <w:lang w:val="es-MX"/>
        </w:rPr>
      </w:pPr>
    </w:p>
    <w:p w:rsidR="00EC6694" w:rsidRDefault="00EC6694">
      <w:pPr>
        <w:rPr>
          <w:rFonts w:eastAsiaTheme="minorEastAsia"/>
          <w:lang w:val="es-MX" w:eastAsia="ja-JP"/>
        </w:rPr>
      </w:pPr>
      <w:r>
        <w:rPr>
          <w:lang w:val="es-MX"/>
        </w:rPr>
        <w:br w:type="page"/>
      </w:r>
    </w:p>
    <w:p w:rsidR="00EC6694" w:rsidRPr="00124AD6" w:rsidRDefault="00EC6694" w:rsidP="00EC6694">
      <w:pPr>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Default="00EC6694" w:rsidP="00EC6694">
      <w:pPr>
        <w:jc w:val="center"/>
        <w:rPr>
          <w:b/>
        </w:rPr>
      </w:pPr>
    </w:p>
    <w:p w:rsidR="00EC6694" w:rsidRDefault="00EC6694" w:rsidP="00EC6694">
      <w:pPr>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Pr="004C0853" w:rsidRDefault="00EC6694" w:rsidP="00EC6694">
      <w:pPr>
        <w:jc w:val="center"/>
        <w:rPr>
          <w:b/>
          <w:sz w:val="36"/>
        </w:rPr>
      </w:pPr>
      <w:r w:rsidRPr="00EC6694">
        <w:rPr>
          <w:b/>
          <w:sz w:val="72"/>
        </w:rPr>
        <w:t>ANEXOS</w:t>
      </w:r>
    </w:p>
    <w:p w:rsidR="00EC6694" w:rsidRPr="004C0853" w:rsidRDefault="00EC6694" w:rsidP="00EC6694">
      <w:pPr>
        <w:jc w:val="center"/>
        <w:rPr>
          <w:b/>
          <w:sz w:val="36"/>
        </w:rPr>
      </w:pPr>
    </w:p>
    <w:p w:rsidR="00EC6694" w:rsidRPr="00124AD6" w:rsidRDefault="00EC6694" w:rsidP="00EC6694">
      <w:pPr>
        <w:tabs>
          <w:tab w:val="left" w:pos="142"/>
        </w:tabs>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Default="00EC6694" w:rsidP="00EC6694">
      <w:pPr>
        <w:jc w:val="center"/>
        <w:rPr>
          <w:b/>
        </w:rPr>
      </w:pPr>
    </w:p>
    <w:p w:rsidR="00EC6694" w:rsidRDefault="00EC6694" w:rsidP="00EC6694">
      <w:pPr>
        <w:jc w:val="center"/>
        <w:rPr>
          <w:b/>
        </w:rPr>
      </w:pPr>
    </w:p>
    <w:p w:rsidR="00EC6694" w:rsidRDefault="00EC6694" w:rsidP="00EC6694">
      <w:pPr>
        <w:jc w:val="center"/>
        <w:rPr>
          <w:b/>
        </w:rPr>
      </w:pPr>
    </w:p>
    <w:p w:rsidR="00EC6694" w:rsidRDefault="00EC6694" w:rsidP="00EC6694">
      <w:pPr>
        <w:jc w:val="center"/>
        <w:rPr>
          <w:b/>
        </w:rPr>
      </w:pPr>
    </w:p>
    <w:p w:rsidR="00EC6694" w:rsidRPr="00124AD6" w:rsidRDefault="00EC6694" w:rsidP="00EC6694">
      <w:pPr>
        <w:jc w:val="center"/>
        <w:rPr>
          <w:b/>
        </w:rPr>
      </w:pPr>
    </w:p>
    <w:p w:rsidR="00EC6694" w:rsidRPr="00124AD6" w:rsidRDefault="00EC6694" w:rsidP="00EC6694">
      <w:pPr>
        <w:jc w:val="center"/>
        <w:rPr>
          <w:b/>
        </w:rPr>
      </w:pPr>
    </w:p>
    <w:p w:rsidR="00EC6694" w:rsidRDefault="00EC6694" w:rsidP="00EC6694">
      <w:pPr>
        <w:jc w:val="center"/>
        <w:rPr>
          <w:b/>
        </w:rPr>
      </w:pPr>
    </w:p>
    <w:p w:rsidR="00EC6694" w:rsidRPr="00124AD6" w:rsidRDefault="00EC6694" w:rsidP="00EC6694">
      <w:pPr>
        <w:jc w:val="center"/>
        <w:rPr>
          <w:b/>
        </w:rPr>
      </w:pPr>
    </w:p>
    <w:p w:rsidR="00EC6694" w:rsidRPr="00124AD6" w:rsidRDefault="00EC6694" w:rsidP="00EC6694">
      <w:pPr>
        <w:rPr>
          <w:b/>
        </w:rPr>
      </w:pPr>
    </w:p>
    <w:p w:rsidR="00EC6694" w:rsidRPr="00124AD6" w:rsidRDefault="00EC6694" w:rsidP="00EC6694">
      <w:pPr>
        <w:jc w:val="center"/>
        <w:rPr>
          <w:b/>
        </w:rPr>
      </w:pPr>
    </w:p>
    <w:p w:rsidR="00EC6694" w:rsidRPr="00124AD6" w:rsidRDefault="00EC6694" w:rsidP="00EC6694">
      <w:pPr>
        <w:rPr>
          <w:b/>
        </w:rPr>
      </w:pPr>
    </w:p>
    <w:p w:rsidR="00EC6694" w:rsidRPr="00124AD6" w:rsidRDefault="00EC6694" w:rsidP="00EC6694">
      <w:pPr>
        <w:rPr>
          <w:b/>
        </w:rPr>
      </w:pPr>
    </w:p>
    <w:p w:rsidR="00EC6694" w:rsidRPr="00124AD6" w:rsidRDefault="00EC6694" w:rsidP="00EC6694">
      <w:pPr>
        <w:jc w:val="center"/>
        <w:rPr>
          <w:b/>
        </w:rPr>
      </w:pPr>
      <w:r w:rsidRPr="00124AD6">
        <w:rPr>
          <w:b/>
        </w:rPr>
        <w:t>MINISTERIO DE FINANZAS PÚBLICAS</w:t>
      </w:r>
    </w:p>
    <w:p w:rsidR="00EC6694" w:rsidRPr="00124AD6" w:rsidRDefault="00EC6694" w:rsidP="00EC6694">
      <w:pPr>
        <w:jc w:val="center"/>
        <w:rPr>
          <w:b/>
        </w:rPr>
      </w:pPr>
    </w:p>
    <w:p w:rsidR="00EC6694" w:rsidRPr="00124AD6" w:rsidRDefault="00EC6694" w:rsidP="00EC6694">
      <w:pPr>
        <w:jc w:val="center"/>
        <w:rPr>
          <w:b/>
        </w:rPr>
      </w:pPr>
      <w:r w:rsidRPr="00124AD6">
        <w:rPr>
          <w:b/>
        </w:rPr>
        <w:t xml:space="preserve">Guatemala, </w:t>
      </w:r>
      <w:r>
        <w:rPr>
          <w:b/>
        </w:rPr>
        <w:t>marzo de 2019.</w:t>
      </w:r>
    </w:p>
    <w:p w:rsidR="00EC6694" w:rsidRDefault="00EC6694" w:rsidP="00EC6694">
      <w:pPr>
        <w:jc w:val="center"/>
        <w:rPr>
          <w:b/>
        </w:rPr>
      </w:pPr>
    </w:p>
    <w:p w:rsidR="00EC6694" w:rsidRDefault="00EC6694" w:rsidP="00EC6694">
      <w:pPr>
        <w:jc w:val="center"/>
        <w:rPr>
          <w:b/>
        </w:rPr>
      </w:pPr>
      <w:r w:rsidRPr="00D108FD">
        <w:rPr>
          <w:b/>
        </w:rPr>
        <w:lastRenderedPageBreak/>
        <w:t xml:space="preserve">Ejecución Presupuestaria por </w:t>
      </w:r>
      <w:r>
        <w:rPr>
          <w:b/>
        </w:rPr>
        <w:t xml:space="preserve">Entidad y </w:t>
      </w:r>
      <w:r w:rsidRPr="00D108FD">
        <w:rPr>
          <w:b/>
        </w:rPr>
        <w:t>Programa</w:t>
      </w:r>
      <w:r>
        <w:rPr>
          <w:b/>
        </w:rPr>
        <w:t>s Institucionales</w:t>
      </w:r>
    </w:p>
    <w:p w:rsidR="00EC6694" w:rsidRDefault="00EC6694" w:rsidP="00EC6694">
      <w:pPr>
        <w:jc w:val="center"/>
        <w:rPr>
          <w:b/>
        </w:rPr>
      </w:pPr>
      <w:r w:rsidRPr="00D108FD">
        <w:rPr>
          <w:b/>
        </w:rPr>
        <w:t>Ejercicio Fiscal 2018</w:t>
      </w:r>
    </w:p>
    <w:p w:rsidR="00EC6694" w:rsidRPr="00D108FD" w:rsidRDefault="00EC6694" w:rsidP="00EC6694">
      <w:pPr>
        <w:jc w:val="center"/>
        <w:rPr>
          <w:b/>
        </w:rPr>
      </w:pPr>
    </w:p>
    <w:p w:rsidR="00EC6694" w:rsidRDefault="00EC6694" w:rsidP="00EC6694">
      <w:pPr>
        <w:jc w:val="both"/>
        <w:rPr>
          <w:b/>
        </w:rPr>
      </w:pPr>
      <w:r w:rsidRPr="00D108FD">
        <w:rPr>
          <w:b/>
        </w:rPr>
        <w:t>Presidencia de la República</w:t>
      </w:r>
      <w:r>
        <w:rPr>
          <w:b/>
        </w:rPr>
        <w:t>:</w:t>
      </w:r>
    </w:p>
    <w:p w:rsidR="00EC6694" w:rsidRPr="00D108FD" w:rsidRDefault="00EC6694" w:rsidP="00EC6694">
      <w:pPr>
        <w:jc w:val="both"/>
        <w:rPr>
          <w:b/>
        </w:rPr>
      </w:pPr>
    </w:p>
    <w:p w:rsidR="00EC6694" w:rsidRDefault="00EC6694" w:rsidP="00EC6694">
      <w:pPr>
        <w:jc w:val="both"/>
      </w:pPr>
      <w:r>
        <w:t>E</w:t>
      </w:r>
      <w:r w:rsidRPr="00D108FD">
        <w:t>sta entidad tuvo un porcentaje de ejecución total del 98.3%, calcula</w:t>
      </w:r>
      <w:r>
        <w:t>do</w:t>
      </w:r>
      <w:r w:rsidRPr="00D108FD">
        <w:t xml:space="preserve"> con base al presupuesto vigente</w:t>
      </w:r>
      <w:r>
        <w:t>.</w:t>
      </w:r>
    </w:p>
    <w:p w:rsidR="00EC6694" w:rsidRPr="00D108FD" w:rsidRDefault="00EC6694" w:rsidP="00EC6694">
      <w:pPr>
        <w:jc w:val="both"/>
      </w:pPr>
    </w:p>
    <w:p w:rsidR="00EC6694" w:rsidRDefault="00EC6694" w:rsidP="00EC6694">
      <w:pPr>
        <w:jc w:val="both"/>
      </w:pPr>
      <w:r w:rsidRPr="00D108FD">
        <w:t xml:space="preserve">El programa que </w:t>
      </w:r>
      <w:r>
        <w:t>mostró</w:t>
      </w:r>
      <w:r w:rsidRPr="00D108FD">
        <w:t xml:space="preserve"> </w:t>
      </w:r>
      <w:r>
        <w:t>el mayor gasto</w:t>
      </w:r>
      <w:r w:rsidRPr="00D108FD">
        <w:t xml:space="preserve"> fue el de “Seguridad Presidencial y Vicepresidencial” con Q</w:t>
      </w:r>
      <w:r>
        <w:t>.</w:t>
      </w:r>
      <w:r w:rsidRPr="00D108FD">
        <w:t xml:space="preserve">188.8 millones y una ejecución del 99.7%.  Asimismo, </w:t>
      </w:r>
      <w:r>
        <w:t>e</w:t>
      </w:r>
      <w:r w:rsidRPr="00D108FD">
        <w:t>ste programa tuvo un incremento de Q</w:t>
      </w:r>
      <w:r>
        <w:t>.</w:t>
      </w:r>
      <w:r w:rsidRPr="00D108FD">
        <w:t>25.4 millones respecto al presupuesto de 2017.  Durante el transcurso del año se creó el programa “Servicios de Transparencia y Gobierno Abierto” con un presupuesto vigente de Q</w:t>
      </w:r>
      <w:r>
        <w:t>.</w:t>
      </w:r>
      <w:r w:rsidRPr="00D108FD">
        <w:t>9.8 millones y una ejecución de Q</w:t>
      </w:r>
      <w:r>
        <w:t>.</w:t>
      </w:r>
      <w:r w:rsidRPr="00D108FD">
        <w:t xml:space="preserve">9.3 millones equivalente </w:t>
      </w:r>
      <w:r>
        <w:t>a</w:t>
      </w:r>
      <w:r w:rsidRPr="00D108FD">
        <w:t>l 95.1%.</w:t>
      </w:r>
    </w:p>
    <w:p w:rsidR="00EC6694" w:rsidRPr="00D108FD" w:rsidRDefault="00EC6694" w:rsidP="00EC6694">
      <w:pPr>
        <w:jc w:val="both"/>
      </w:pPr>
    </w:p>
    <w:p w:rsidR="00EC6694" w:rsidRDefault="00EC6694" w:rsidP="00EC6694">
      <w:pPr>
        <w:jc w:val="both"/>
      </w:pPr>
      <w:r w:rsidRPr="00D108FD">
        <w:t>El programa de “Dirección y Coordinación Ejecutiva” tuvo una disminución de Q</w:t>
      </w:r>
      <w:r>
        <w:t>.</w:t>
      </w:r>
      <w:r w:rsidRPr="00D108FD">
        <w:t>4.2 millones y su ejecución al cierre de</w:t>
      </w:r>
      <w:r>
        <w:t>l</w:t>
      </w:r>
      <w:r w:rsidRPr="00D108FD">
        <w:t xml:space="preserve"> 2018 fue de Q</w:t>
      </w:r>
      <w:r>
        <w:t>.</w:t>
      </w:r>
      <w:r w:rsidRPr="00D108FD">
        <w:t>34.5 millones equivalentes al 91.7%.</w:t>
      </w:r>
    </w:p>
    <w:p w:rsidR="00EC6694" w:rsidRPr="00D108FD" w:rsidRDefault="00EC6694" w:rsidP="00EC6694">
      <w:pPr>
        <w:jc w:val="both"/>
      </w:pPr>
    </w:p>
    <w:p w:rsidR="00EC6694" w:rsidRDefault="00EC6694" w:rsidP="00EC6694">
      <w:pPr>
        <w:jc w:val="both"/>
      </w:pPr>
      <w:r w:rsidRPr="00D108FD">
        <w:t>Finalmente el programa denominado “Partidas no asignables a Programas” tuvo una ejecución de Q</w:t>
      </w:r>
      <w:r>
        <w:t>.</w:t>
      </w:r>
      <w:r w:rsidRPr="00D108FD">
        <w:t>2.4 millones, con</w:t>
      </w:r>
      <w:r>
        <w:t xml:space="preserve"> un porcentaje de 100%.</w:t>
      </w:r>
    </w:p>
    <w:p w:rsidR="00EC6694" w:rsidRPr="00D108FD" w:rsidRDefault="00EC6694" w:rsidP="00EC6694">
      <w:pPr>
        <w:jc w:val="both"/>
      </w:pPr>
    </w:p>
    <w:p w:rsidR="00EC6694" w:rsidRPr="00D108FD" w:rsidRDefault="00EC6694" w:rsidP="00EC6694">
      <w:pPr>
        <w:jc w:val="both"/>
      </w:pPr>
      <w:r w:rsidRPr="00D108FD">
        <w:rPr>
          <w:noProof/>
          <w:lang w:eastAsia="es-GT"/>
        </w:rPr>
        <w:drawing>
          <wp:inline distT="0" distB="0" distL="0" distR="0" wp14:anchorId="4DD25952" wp14:editId="19B978DB">
            <wp:extent cx="5612130" cy="95040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950408"/>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Default="00EC6694" w:rsidP="00EC6694">
      <w:pPr>
        <w:jc w:val="both"/>
        <w:rPr>
          <w:b/>
        </w:rPr>
      </w:pPr>
      <w:r w:rsidRPr="00D108FD">
        <w:rPr>
          <w:b/>
        </w:rPr>
        <w:t>Ministerio de Relaciones Exteriores</w:t>
      </w:r>
      <w:r>
        <w:rPr>
          <w:b/>
        </w:rPr>
        <w:t>:</w:t>
      </w:r>
    </w:p>
    <w:p w:rsidR="00EC6694" w:rsidRPr="00D108FD" w:rsidRDefault="00EC6694" w:rsidP="00EC6694">
      <w:pPr>
        <w:jc w:val="both"/>
        <w:rPr>
          <w:b/>
        </w:rPr>
      </w:pPr>
    </w:p>
    <w:p w:rsidR="00EC6694" w:rsidRDefault="00EC6694" w:rsidP="00EC6694">
      <w:pPr>
        <w:jc w:val="both"/>
      </w:pPr>
      <w:r w:rsidRPr="00D108FD">
        <w:t>El Min</w:t>
      </w:r>
      <w:r>
        <w:t xml:space="preserve">isterio de Relaciones Exteriores </w:t>
      </w:r>
      <w:r w:rsidRPr="00D108FD">
        <w:t xml:space="preserve"> tuvo un presupuesto vigente de Q</w:t>
      </w:r>
      <w:r>
        <w:t>.</w:t>
      </w:r>
      <w:r w:rsidRPr="00D108FD">
        <w:t>441.1 millones y una ejecución al cierre de Q</w:t>
      </w:r>
      <w:r>
        <w:t>.</w:t>
      </w:r>
      <w:r w:rsidRPr="00D108FD">
        <w:t>433.3 millones equivalentes al 98.2%.</w:t>
      </w:r>
    </w:p>
    <w:p w:rsidR="00EC6694" w:rsidRPr="00D108FD" w:rsidRDefault="00EC6694" w:rsidP="00EC6694">
      <w:pPr>
        <w:jc w:val="both"/>
      </w:pPr>
    </w:p>
    <w:p w:rsidR="00EC6694" w:rsidRDefault="00EC6694" w:rsidP="00EC6694">
      <w:pPr>
        <w:jc w:val="both"/>
      </w:pPr>
      <w:r w:rsidRPr="00D108FD">
        <w:t>Los programas más importantes fueron: “Servicios de Política Exterior” y el de “Servicios Consulares y de Atención al Migrante” con presupuestos vigentes de Q</w:t>
      </w:r>
      <w:r>
        <w:t>.</w:t>
      </w:r>
      <w:r w:rsidRPr="00D108FD">
        <w:t>195.3 millones y de Q</w:t>
      </w:r>
      <w:r>
        <w:t>.</w:t>
      </w:r>
      <w:r w:rsidRPr="00D108FD">
        <w:t>136.2 millones, equivalentes a</w:t>
      </w:r>
      <w:r>
        <w:t>l</w:t>
      </w:r>
      <w:r w:rsidRPr="00D108FD">
        <w:t xml:space="preserve"> 99.1% y 98.1%</w:t>
      </w:r>
      <w:r>
        <w:t>,</w:t>
      </w:r>
      <w:r w:rsidRPr="00D108FD">
        <w:t xml:space="preserve"> respectivamente.  El programa de “Servicios de Política Exterior” tuvo un incremento durante el año de Q</w:t>
      </w:r>
      <w:r>
        <w:t>.</w:t>
      </w:r>
      <w:r w:rsidRPr="00D108FD">
        <w:t>9.8 millones, en tanto que el resto de programas sufrieron modificaciones a la baja.</w:t>
      </w:r>
    </w:p>
    <w:p w:rsidR="00EC6694" w:rsidRPr="00D108FD" w:rsidRDefault="00EC6694" w:rsidP="00EC6694">
      <w:pPr>
        <w:jc w:val="both"/>
      </w:pPr>
    </w:p>
    <w:p w:rsidR="00EC6694" w:rsidRDefault="00EC6694" w:rsidP="00EC6694">
      <w:pPr>
        <w:jc w:val="both"/>
      </w:pPr>
      <w:r w:rsidRPr="00D108FD">
        <w:t>El programa “Conservación y Demarcación de Límites Internacionales” tuvo una ejecución de Q</w:t>
      </w:r>
      <w:r>
        <w:t>.</w:t>
      </w:r>
      <w:r w:rsidRPr="00D108FD">
        <w:t>14.0 millones equivalente al 99.9%.</w:t>
      </w:r>
    </w:p>
    <w:p w:rsidR="00EC6694" w:rsidRPr="00D108FD" w:rsidRDefault="00EC6694" w:rsidP="00EC6694">
      <w:pPr>
        <w:jc w:val="both"/>
      </w:pPr>
    </w:p>
    <w:p w:rsidR="00EC6694" w:rsidRPr="00D108FD" w:rsidRDefault="00EC6694" w:rsidP="00EC6694">
      <w:pPr>
        <w:jc w:val="both"/>
      </w:pPr>
      <w:r w:rsidRPr="00D108FD">
        <w:t>El programa relacionado con las “Actividades Centrales” tuvo un presupuesto de Q</w:t>
      </w:r>
      <w:r>
        <w:t>.</w:t>
      </w:r>
      <w:r w:rsidRPr="00D108FD">
        <w:t>61.5 millones, y un porcentaje de ejecución del 97.7%.</w:t>
      </w:r>
    </w:p>
    <w:p w:rsidR="00EC6694" w:rsidRDefault="00EC6694" w:rsidP="00EC6694">
      <w:pPr>
        <w:jc w:val="both"/>
      </w:pPr>
      <w:r w:rsidRPr="00D108FD">
        <w:lastRenderedPageBreak/>
        <w:t>Finalmente, el programa de “Partidas no Asignables a Programas” tuvo un presupuesto de Q</w:t>
      </w:r>
      <w:r>
        <w:t>.</w:t>
      </w:r>
      <w:r w:rsidRPr="00D108FD">
        <w:t xml:space="preserve">34.2 millones, </w:t>
      </w:r>
      <w:r>
        <w:t>con</w:t>
      </w:r>
      <w:r w:rsidRPr="00D108FD">
        <w:t xml:space="preserve"> una ejecución al final del año de Q</w:t>
      </w:r>
      <w:r>
        <w:t>.</w:t>
      </w:r>
      <w:r w:rsidRPr="00D108FD">
        <w:t>32.0 millones equivalentes al 93.5% de ejecución presupuestaria.</w:t>
      </w:r>
    </w:p>
    <w:p w:rsidR="00EC6694" w:rsidRPr="00D108FD" w:rsidRDefault="00EC6694" w:rsidP="00EC6694">
      <w:pPr>
        <w:jc w:val="both"/>
      </w:pPr>
    </w:p>
    <w:p w:rsidR="00EC6694" w:rsidRPr="00D108FD" w:rsidRDefault="00EC6694" w:rsidP="00EC6694">
      <w:pPr>
        <w:jc w:val="both"/>
      </w:pPr>
      <w:r w:rsidRPr="0037001A">
        <w:rPr>
          <w:noProof/>
          <w:lang w:eastAsia="es-GT"/>
        </w:rPr>
        <w:drawing>
          <wp:inline distT="0" distB="0" distL="0" distR="0" wp14:anchorId="7B5E29C5" wp14:editId="66755DF4">
            <wp:extent cx="5612130" cy="12359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1235926"/>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Default="00EC6694" w:rsidP="00EC6694">
      <w:pPr>
        <w:jc w:val="both"/>
        <w:rPr>
          <w:b/>
        </w:rPr>
      </w:pPr>
      <w:r>
        <w:rPr>
          <w:b/>
        </w:rPr>
        <w:t>Ministerio de Gobernación:</w:t>
      </w:r>
    </w:p>
    <w:p w:rsidR="00EC6694" w:rsidRPr="0037001A" w:rsidRDefault="00EC6694" w:rsidP="00EC6694">
      <w:pPr>
        <w:jc w:val="both"/>
        <w:rPr>
          <w:b/>
        </w:rPr>
      </w:pPr>
    </w:p>
    <w:p w:rsidR="00EC6694" w:rsidRDefault="00EC6694" w:rsidP="00EC6694">
      <w:pPr>
        <w:jc w:val="both"/>
      </w:pPr>
      <w:r w:rsidRPr="00D108FD">
        <w:t>El Min</w:t>
      </w:r>
      <w:r>
        <w:t>isterio de Gobernación</w:t>
      </w:r>
      <w:r w:rsidRPr="00D108FD">
        <w:t xml:space="preserve"> tuvo un presupuesto vigente de Q</w:t>
      </w:r>
      <w:r>
        <w:t>.</w:t>
      </w:r>
      <w:r w:rsidRPr="00D108FD">
        <w:t>5,039.1 millones, con una ejecución de Q</w:t>
      </w:r>
      <w:r>
        <w:t>.</w:t>
      </w:r>
      <w:r w:rsidRPr="00D108FD">
        <w:t>4,854.8 millones equivalente</w:t>
      </w:r>
      <w:r>
        <w:t xml:space="preserve"> </w:t>
      </w:r>
      <w:r w:rsidRPr="00D108FD">
        <w:t>al 96.3%.</w:t>
      </w:r>
    </w:p>
    <w:p w:rsidR="00EC6694" w:rsidRPr="00D108FD" w:rsidRDefault="00EC6694" w:rsidP="00EC6694">
      <w:pPr>
        <w:jc w:val="both"/>
      </w:pPr>
    </w:p>
    <w:p w:rsidR="00EC6694" w:rsidRDefault="00EC6694" w:rsidP="00EC6694">
      <w:pPr>
        <w:jc w:val="both"/>
      </w:pPr>
      <w:r w:rsidRPr="00D108FD">
        <w:t xml:space="preserve">El principal programa dentro de su ejecución fue “Servicios de Seguridad a las Personas y su Patrimonio” con </w:t>
      </w:r>
      <w:r>
        <w:t xml:space="preserve">un </w:t>
      </w:r>
      <w:r w:rsidRPr="00D108FD">
        <w:t>presupuesto vigente de Q</w:t>
      </w:r>
      <w:r>
        <w:t>.</w:t>
      </w:r>
      <w:r w:rsidRPr="00D108FD">
        <w:t>3,957.2 millones y una ejecución de Q</w:t>
      </w:r>
      <w:r>
        <w:t>.</w:t>
      </w:r>
      <w:r w:rsidRPr="00D108FD">
        <w:t>3,865.0 equivalentes a 97.7% de ejecución respecto al presupuesto vigente.</w:t>
      </w:r>
    </w:p>
    <w:p w:rsidR="00EC6694" w:rsidRPr="00D108FD" w:rsidRDefault="00EC6694" w:rsidP="00EC6694">
      <w:pPr>
        <w:jc w:val="both"/>
      </w:pPr>
    </w:p>
    <w:p w:rsidR="00EC6694" w:rsidRDefault="00EC6694" w:rsidP="00EC6694">
      <w:pPr>
        <w:jc w:val="both"/>
      </w:pPr>
      <w:r w:rsidRPr="00D108FD">
        <w:t xml:space="preserve">Seguidamente en importancia se ubica el programa “Servicios de Custodia y Rehabilitación de Privados de Libertad”, </w:t>
      </w:r>
      <w:r>
        <w:t>con un presupuesto de</w:t>
      </w:r>
      <w:r w:rsidRPr="00D108FD">
        <w:t xml:space="preserve"> Q</w:t>
      </w:r>
      <w:r>
        <w:t>.</w:t>
      </w:r>
      <w:r w:rsidRPr="00D108FD">
        <w:t xml:space="preserve">541.6 millones y </w:t>
      </w:r>
      <w:r>
        <w:t>una</w:t>
      </w:r>
      <w:r w:rsidRPr="00D108FD">
        <w:t xml:space="preserve"> ejecución de Q</w:t>
      </w:r>
      <w:r>
        <w:t>.</w:t>
      </w:r>
      <w:r w:rsidRPr="00D108FD">
        <w:t>519.0 millones equivalente al 95.8%</w:t>
      </w:r>
      <w:r>
        <w:t>.</w:t>
      </w:r>
      <w:r w:rsidRPr="00D108FD">
        <w:t>El siguiente programa es “Servicios Migratorios y de Extranjería” con Q</w:t>
      </w:r>
      <w:r>
        <w:t>.</w:t>
      </w:r>
      <w:r w:rsidRPr="00D108FD">
        <w:t>132.0 millones, y una ejecución presupuestaria de Q</w:t>
      </w:r>
      <w:r>
        <w:t>.</w:t>
      </w:r>
      <w:r w:rsidRPr="00D108FD">
        <w:t>119.8 millones equivalentes al 90.8%</w:t>
      </w:r>
      <w:r>
        <w:t>.</w:t>
      </w:r>
    </w:p>
    <w:p w:rsidR="00EC6694" w:rsidRPr="00D108FD" w:rsidRDefault="00EC6694" w:rsidP="00EC6694">
      <w:pPr>
        <w:jc w:val="both"/>
      </w:pPr>
    </w:p>
    <w:p w:rsidR="00EC6694" w:rsidRDefault="00EC6694" w:rsidP="00EC6694">
      <w:pPr>
        <w:jc w:val="both"/>
      </w:pPr>
      <w:r w:rsidRPr="00D108FD">
        <w:t>Las “Actividades Centrales” tuvieron un presupuesto de Q</w:t>
      </w:r>
      <w:r>
        <w:t>.</w:t>
      </w:r>
      <w:r w:rsidRPr="00D108FD">
        <w:t>116.9 millones, la ejecución presupuestaria se ubicó en Q</w:t>
      </w:r>
      <w:r>
        <w:t>.</w:t>
      </w:r>
      <w:r w:rsidRPr="00D108FD">
        <w:t>106.4 millones equivalentes al 91.0%</w:t>
      </w:r>
      <w:r>
        <w:t>.</w:t>
      </w:r>
    </w:p>
    <w:p w:rsidR="00EC6694" w:rsidRPr="00D108FD" w:rsidRDefault="00EC6694" w:rsidP="00EC6694">
      <w:pPr>
        <w:jc w:val="both"/>
      </w:pPr>
    </w:p>
    <w:p w:rsidR="00EC6694" w:rsidRDefault="00EC6694" w:rsidP="00EC6694">
      <w:pPr>
        <w:jc w:val="both"/>
      </w:pPr>
      <w:r w:rsidRPr="00D108FD">
        <w:t>El programa de “Servicios de Inteligencia Civil” tuvo un presupuesto de Q</w:t>
      </w:r>
      <w:r>
        <w:t>.</w:t>
      </w:r>
      <w:r w:rsidRPr="00D108FD">
        <w:t>87.2 millones</w:t>
      </w:r>
      <w:r>
        <w:t xml:space="preserve"> </w:t>
      </w:r>
      <w:r w:rsidRPr="00D108FD">
        <w:t>y una ejecución de Q</w:t>
      </w:r>
      <w:r>
        <w:t>.</w:t>
      </w:r>
      <w:r w:rsidRPr="00D108FD">
        <w:t>74.1 millones equivalentes al 84.9%</w:t>
      </w:r>
      <w:r>
        <w:t>.</w:t>
      </w:r>
    </w:p>
    <w:p w:rsidR="00EC6694" w:rsidRPr="00D108FD" w:rsidRDefault="00EC6694" w:rsidP="00EC6694">
      <w:pPr>
        <w:jc w:val="both"/>
      </w:pPr>
    </w:p>
    <w:p w:rsidR="00EC6694" w:rsidRDefault="00EC6694" w:rsidP="00EC6694">
      <w:pPr>
        <w:jc w:val="both"/>
      </w:pPr>
      <w:r>
        <w:t>Final</w:t>
      </w:r>
      <w:r w:rsidRPr="00D108FD">
        <w:t xml:space="preserve">mente se ubica el programa “Servicios de Gobierno Departamental y Registro de Personas Jurídicas”, </w:t>
      </w:r>
      <w:r>
        <w:t>con un presupuesto</w:t>
      </w:r>
      <w:r w:rsidRPr="00D108FD">
        <w:t xml:space="preserve"> de Q</w:t>
      </w:r>
      <w:r>
        <w:t>.</w:t>
      </w:r>
      <w:r w:rsidRPr="00D108FD">
        <w:t xml:space="preserve">85.1 millones, </w:t>
      </w:r>
      <w:r>
        <w:t>una</w:t>
      </w:r>
      <w:r w:rsidRPr="00D108FD">
        <w:t xml:space="preserve"> ejecución presupuestaria de Q</w:t>
      </w:r>
      <w:r>
        <w:t>.</w:t>
      </w:r>
      <w:r w:rsidRPr="00D108FD">
        <w:t>74.9 millones equivalente al 88.0%.</w:t>
      </w:r>
    </w:p>
    <w:p w:rsidR="00EC6694" w:rsidRPr="00D108FD" w:rsidRDefault="00EC6694" w:rsidP="00EC6694">
      <w:pPr>
        <w:jc w:val="both"/>
      </w:pPr>
    </w:p>
    <w:p w:rsidR="00EC6694" w:rsidRPr="00D108FD" w:rsidRDefault="00EC6694" w:rsidP="00EC6694">
      <w:pPr>
        <w:jc w:val="both"/>
      </w:pPr>
      <w:r w:rsidRPr="00D108FD">
        <w:t>Los 5 programas restantes se ubicaron con una ejecución presupuestaria por debajo de los Q</w:t>
      </w:r>
      <w:r>
        <w:t>.</w:t>
      </w:r>
      <w:r w:rsidRPr="00D108FD">
        <w:t>50.0 cómo se observa en el cuadro que se presenta a continuación.</w:t>
      </w:r>
    </w:p>
    <w:p w:rsidR="00EC6694" w:rsidRPr="00D108FD" w:rsidRDefault="00EC6694" w:rsidP="00EC6694">
      <w:pPr>
        <w:jc w:val="both"/>
      </w:pPr>
      <w:r w:rsidRPr="0037001A">
        <w:rPr>
          <w:noProof/>
          <w:lang w:eastAsia="es-GT"/>
        </w:rPr>
        <w:lastRenderedPageBreak/>
        <w:drawing>
          <wp:inline distT="0" distB="0" distL="0" distR="0" wp14:anchorId="3FA24F5A" wp14:editId="50CB173F">
            <wp:extent cx="5612130" cy="181946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1819462"/>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Pr="00D108FD" w:rsidRDefault="00EC6694" w:rsidP="00EC6694">
      <w:pPr>
        <w:jc w:val="both"/>
      </w:pPr>
    </w:p>
    <w:p w:rsidR="00EC6694" w:rsidRDefault="00EC6694" w:rsidP="00EC6694">
      <w:pPr>
        <w:jc w:val="both"/>
        <w:rPr>
          <w:b/>
        </w:rPr>
      </w:pPr>
      <w:r w:rsidRPr="00D108FD">
        <w:rPr>
          <w:b/>
        </w:rPr>
        <w:t>Ministerio de la Defensa Nacional</w:t>
      </w:r>
      <w:r>
        <w:rPr>
          <w:b/>
        </w:rPr>
        <w:t>:</w:t>
      </w:r>
    </w:p>
    <w:p w:rsidR="00EC6694" w:rsidRPr="00D108FD" w:rsidRDefault="00EC6694" w:rsidP="00EC6694">
      <w:pPr>
        <w:jc w:val="both"/>
        <w:rPr>
          <w:b/>
        </w:rPr>
      </w:pPr>
    </w:p>
    <w:p w:rsidR="00EC6694" w:rsidRDefault="00EC6694" w:rsidP="00EC6694">
      <w:pPr>
        <w:jc w:val="both"/>
      </w:pPr>
      <w:r w:rsidRPr="00D108FD">
        <w:t>Tuvo un presupuesto de Q</w:t>
      </w:r>
      <w:r>
        <w:t>.</w:t>
      </w:r>
      <w:r w:rsidRPr="00D108FD">
        <w:t xml:space="preserve">2,075.3 millones, y </w:t>
      </w:r>
      <w:r>
        <w:t>su</w:t>
      </w:r>
      <w:r w:rsidRPr="00D108FD">
        <w:t xml:space="preserve"> ejecución presupuestaria fue de Q</w:t>
      </w:r>
      <w:r>
        <w:t>.</w:t>
      </w:r>
      <w:r w:rsidRPr="00D108FD">
        <w:t>2,053.8 millones equivalente al 99.0%.</w:t>
      </w:r>
    </w:p>
    <w:p w:rsidR="00EC6694" w:rsidRPr="00D108FD" w:rsidRDefault="00EC6694" w:rsidP="00EC6694">
      <w:pPr>
        <w:jc w:val="both"/>
      </w:pPr>
    </w:p>
    <w:p w:rsidR="00EC6694" w:rsidRDefault="00EC6694" w:rsidP="00EC6694">
      <w:pPr>
        <w:jc w:val="both"/>
      </w:pPr>
      <w:r w:rsidRPr="00D108FD">
        <w:t xml:space="preserve">Hubo 5 programas dentro de las prioridades de </w:t>
      </w:r>
      <w:r>
        <w:t xml:space="preserve">su </w:t>
      </w:r>
      <w:r w:rsidRPr="00D108FD">
        <w:t xml:space="preserve">ejecución presupuestaria, el primero se refiere a “Defensa de la Soberanía e Integridad Territorial”, </w:t>
      </w:r>
      <w:r>
        <w:t>con</w:t>
      </w:r>
      <w:r w:rsidRPr="00D108FD">
        <w:t xml:space="preserve"> un presupuesto de Q</w:t>
      </w:r>
      <w:r>
        <w:t>.</w:t>
      </w:r>
      <w:r w:rsidRPr="00D108FD">
        <w:t xml:space="preserve">762.6 millones, </w:t>
      </w:r>
      <w:r>
        <w:t>una</w:t>
      </w:r>
      <w:r w:rsidRPr="00D108FD">
        <w:t xml:space="preserve"> ejecución presupuestaria </w:t>
      </w:r>
      <w:r>
        <w:t>d</w:t>
      </w:r>
      <w:r w:rsidRPr="00D108FD">
        <w:t>el 99.9%.</w:t>
      </w:r>
    </w:p>
    <w:p w:rsidR="00EC6694" w:rsidRPr="00D108FD" w:rsidRDefault="00EC6694" w:rsidP="00EC6694">
      <w:pPr>
        <w:jc w:val="both"/>
      </w:pPr>
    </w:p>
    <w:p w:rsidR="00EC6694" w:rsidRDefault="00EC6694" w:rsidP="00EC6694">
      <w:pPr>
        <w:jc w:val="both"/>
      </w:pPr>
      <w:r w:rsidRPr="00D108FD">
        <w:t xml:space="preserve">El segundo programa se refiere a las Actividades Centrales, </w:t>
      </w:r>
      <w:r>
        <w:t>con</w:t>
      </w:r>
      <w:r w:rsidRPr="00D108FD">
        <w:t xml:space="preserve"> un presupuesto de Q</w:t>
      </w:r>
      <w:r w:rsidR="006A6965">
        <w:t>.</w:t>
      </w:r>
      <w:r w:rsidRPr="00D108FD">
        <w:t xml:space="preserve">539.9 millones, </w:t>
      </w:r>
      <w:r>
        <w:t>una</w:t>
      </w:r>
      <w:r w:rsidRPr="00D108FD">
        <w:t xml:space="preserve"> ejecución </w:t>
      </w:r>
      <w:r>
        <w:t>de</w:t>
      </w:r>
      <w:r w:rsidRPr="00D108FD">
        <w:t xml:space="preserve"> Q</w:t>
      </w:r>
      <w:r w:rsidR="006A6965">
        <w:t>.</w:t>
      </w:r>
      <w:r w:rsidRPr="00D108FD">
        <w:t>532.1 millones equivalente al 98.6%</w:t>
      </w:r>
      <w:r>
        <w:t>.</w:t>
      </w:r>
      <w:r w:rsidR="006A6965">
        <w:t xml:space="preserve"> </w:t>
      </w:r>
      <w:r w:rsidRPr="00D108FD">
        <w:t xml:space="preserve">El tercer programa Actividades Comunes a los Programas de Servicios de Educación y Salud con </w:t>
      </w:r>
      <w:r>
        <w:t xml:space="preserve">un </w:t>
      </w:r>
      <w:r w:rsidRPr="00D108FD">
        <w:t xml:space="preserve">presupuesto </w:t>
      </w:r>
      <w:r>
        <w:t>de</w:t>
      </w:r>
      <w:r w:rsidRPr="00D108FD">
        <w:t xml:space="preserve"> Q</w:t>
      </w:r>
      <w:r w:rsidR="006A6965">
        <w:t>.</w:t>
      </w:r>
      <w:r w:rsidRPr="00D108FD">
        <w:t xml:space="preserve">257.3 millones, </w:t>
      </w:r>
      <w:r>
        <w:t>registró</w:t>
      </w:r>
      <w:r w:rsidRPr="00D108FD">
        <w:t xml:space="preserve"> una ejecución presupuestaria de Q</w:t>
      </w:r>
      <w:r w:rsidR="006A6965">
        <w:t>.</w:t>
      </w:r>
      <w:r w:rsidRPr="00D108FD">
        <w:t>251.6 millones equivalente a</w:t>
      </w:r>
      <w:r>
        <w:t>l</w:t>
      </w:r>
      <w:r w:rsidRPr="00D108FD">
        <w:t xml:space="preserve"> 97.8</w:t>
      </w:r>
      <w:r>
        <w:t>%.</w:t>
      </w:r>
    </w:p>
    <w:p w:rsidR="006A6965" w:rsidRPr="00D108FD" w:rsidRDefault="006A6965" w:rsidP="00EC6694">
      <w:pPr>
        <w:jc w:val="both"/>
      </w:pPr>
    </w:p>
    <w:p w:rsidR="00EC6694" w:rsidRDefault="00EC6694" w:rsidP="00EC6694">
      <w:pPr>
        <w:jc w:val="both"/>
      </w:pPr>
      <w:r w:rsidRPr="00D108FD">
        <w:t xml:space="preserve">El cuarto programa relevante, según las cifras de ejecución presupuestaria es “Prevención de Hechos Delictivos Contra el Patrimonio”, </w:t>
      </w:r>
      <w:r>
        <w:t>con un presupuesto de</w:t>
      </w:r>
      <w:r w:rsidRPr="00D108FD">
        <w:t xml:space="preserve"> Q</w:t>
      </w:r>
      <w:r w:rsidR="006A6965">
        <w:t>.</w:t>
      </w:r>
      <w:r w:rsidRPr="00D108FD">
        <w:t>226.4 millones, y una ejecución presupuestaria de Q</w:t>
      </w:r>
      <w:r w:rsidR="006A6965">
        <w:t>.</w:t>
      </w:r>
      <w:r w:rsidRPr="00D108FD">
        <w:t>226.2 millones equivalentes al 99.9%.</w:t>
      </w:r>
    </w:p>
    <w:p w:rsidR="006A6965" w:rsidRPr="00D108FD" w:rsidRDefault="006A6965" w:rsidP="00EC6694">
      <w:pPr>
        <w:jc w:val="both"/>
      </w:pPr>
    </w:p>
    <w:p w:rsidR="00EC6694" w:rsidRDefault="00EC6694" w:rsidP="00EC6694">
      <w:pPr>
        <w:jc w:val="both"/>
      </w:pPr>
      <w:r w:rsidRPr="00D108FD">
        <w:t>Finalmente las Partidas no Asignables a Programas con un presupuesto de Q</w:t>
      </w:r>
      <w:r w:rsidR="006A6965">
        <w:t>.</w:t>
      </w:r>
      <w:r w:rsidRPr="00D108FD">
        <w:t>140.1, y una ejecución presupuestaria de Q</w:t>
      </w:r>
      <w:r w:rsidR="006A6965">
        <w:t>.</w:t>
      </w:r>
      <w:r w:rsidRPr="00D108FD">
        <w:t>140.1 millones equivalentes al 100.0%.</w:t>
      </w:r>
    </w:p>
    <w:p w:rsidR="006A6965" w:rsidRPr="00D108FD" w:rsidRDefault="006A6965" w:rsidP="00EC6694">
      <w:pPr>
        <w:jc w:val="both"/>
      </w:pPr>
    </w:p>
    <w:p w:rsidR="006A6965" w:rsidRDefault="00EC6694" w:rsidP="00EC6694">
      <w:pPr>
        <w:jc w:val="both"/>
      </w:pPr>
      <w:r>
        <w:t xml:space="preserve">En su ejecución destaca </w:t>
      </w:r>
      <w:r w:rsidRPr="00D108FD">
        <w:t>el renglón 453</w:t>
      </w:r>
      <w:r w:rsidR="006A6965">
        <w:t xml:space="preserve"> “</w:t>
      </w:r>
      <w:r w:rsidRPr="00D108FD">
        <w:t xml:space="preserve">Transferencias a </w:t>
      </w:r>
      <w:r w:rsidR="006A6965">
        <w:t>e</w:t>
      </w:r>
      <w:r w:rsidRPr="00D108FD">
        <w:t xml:space="preserve">ntidades </w:t>
      </w:r>
      <w:r w:rsidR="006A6965">
        <w:t>d</w:t>
      </w:r>
      <w:r w:rsidRPr="00D108FD">
        <w:t xml:space="preserve">escentralizadas y </w:t>
      </w:r>
      <w:r w:rsidR="006A6965">
        <w:t>a</w:t>
      </w:r>
      <w:r w:rsidRPr="00D108FD">
        <w:t xml:space="preserve">utónomas no </w:t>
      </w:r>
      <w:r w:rsidR="006A6965">
        <w:t>f</w:t>
      </w:r>
      <w:r w:rsidRPr="00D108FD">
        <w:t>inancieras</w:t>
      </w:r>
      <w:r w:rsidR="006A6965">
        <w:t>”</w:t>
      </w:r>
      <w:r w:rsidR="00EE353E">
        <w:t xml:space="preserve"> (para funcionamiento)</w:t>
      </w:r>
      <w:r w:rsidRPr="00D108FD">
        <w:t>, específicamente al Instituto de Previsión Militar por Q</w:t>
      </w:r>
      <w:r w:rsidR="006A6965">
        <w:t>.</w:t>
      </w:r>
      <w:r w:rsidRPr="00D108FD">
        <w:t>84.8 millones</w:t>
      </w:r>
      <w:r w:rsidR="006A6965">
        <w:t>. A</w:t>
      </w:r>
      <w:r w:rsidRPr="00D108FD">
        <w:t>simismo, a través del renglón 533</w:t>
      </w:r>
      <w:r w:rsidR="006A6965">
        <w:t xml:space="preserve"> “</w:t>
      </w:r>
      <w:r w:rsidRPr="00D108FD">
        <w:t xml:space="preserve">Transferencias a </w:t>
      </w:r>
      <w:r w:rsidR="006A6965">
        <w:t>e</w:t>
      </w:r>
      <w:r w:rsidRPr="00D108FD">
        <w:t xml:space="preserve">ntidades </w:t>
      </w:r>
      <w:r w:rsidR="006A6965">
        <w:t>d</w:t>
      </w:r>
      <w:r w:rsidRPr="00D108FD">
        <w:t xml:space="preserve">escentralizadas y </w:t>
      </w:r>
      <w:r w:rsidR="006A6965">
        <w:t>a</w:t>
      </w:r>
      <w:r w:rsidRPr="00D108FD">
        <w:t xml:space="preserve">utónomas no </w:t>
      </w:r>
      <w:r w:rsidR="006A6965">
        <w:t>f</w:t>
      </w:r>
      <w:r w:rsidRPr="00D108FD">
        <w:t>inancieras</w:t>
      </w:r>
      <w:r w:rsidR="006A6965">
        <w:t>”</w:t>
      </w:r>
      <w:r w:rsidR="00EE353E">
        <w:t xml:space="preserve"> (para inversión)</w:t>
      </w:r>
      <w:r w:rsidRPr="00D108FD">
        <w:t>, también al Instituto de Previsión Militar por Q</w:t>
      </w:r>
      <w:r w:rsidR="006A6965">
        <w:t>.</w:t>
      </w:r>
      <w:r w:rsidRPr="00D108FD">
        <w:t>55.0 millones, lo cual da un total de Q</w:t>
      </w:r>
      <w:r w:rsidR="006A6965">
        <w:t>.</w:t>
      </w:r>
      <w:r w:rsidRPr="00D108FD">
        <w:t>139.8 millones.</w:t>
      </w:r>
    </w:p>
    <w:p w:rsidR="00EC6694" w:rsidRPr="00D108FD" w:rsidRDefault="00EC6694" w:rsidP="00EC6694">
      <w:pPr>
        <w:jc w:val="both"/>
      </w:pPr>
    </w:p>
    <w:p w:rsidR="00EC6694" w:rsidRPr="00D108FD" w:rsidRDefault="00EC6694" w:rsidP="00EC6694">
      <w:pPr>
        <w:jc w:val="both"/>
      </w:pPr>
      <w:r w:rsidRPr="00D108FD">
        <w:t>El resto de los 5 programas</w:t>
      </w:r>
      <w:r>
        <w:t xml:space="preserve"> </w:t>
      </w:r>
      <w:r w:rsidRPr="00D108FD">
        <w:t>tuvieron una ejecución presupuestaria por debajo de los Q</w:t>
      </w:r>
      <w:r w:rsidR="00EE353E">
        <w:t>.</w:t>
      </w:r>
      <w:r w:rsidRPr="00D108FD">
        <w:t>65.9 millones, que es el caso del programa “Proyección Diplomática y Apoyo en Misiones de Paz”, tal y como se puede observar en el cuadro que se detalla a continuación.</w:t>
      </w:r>
    </w:p>
    <w:p w:rsidR="00EC6694" w:rsidRPr="00D108FD" w:rsidRDefault="00EC6694" w:rsidP="00EC6694">
      <w:pPr>
        <w:jc w:val="both"/>
      </w:pPr>
      <w:r w:rsidRPr="0037001A">
        <w:rPr>
          <w:noProof/>
          <w:lang w:eastAsia="es-GT"/>
        </w:rPr>
        <w:lastRenderedPageBreak/>
        <w:drawing>
          <wp:inline distT="0" distB="0" distL="0" distR="0" wp14:anchorId="1A47A6C7" wp14:editId="49D5E06E">
            <wp:extent cx="5612130" cy="146605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1466054"/>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Default="00EC6694" w:rsidP="00EC6694">
      <w:pPr>
        <w:jc w:val="both"/>
        <w:rPr>
          <w:b/>
        </w:rPr>
      </w:pPr>
      <w:r w:rsidRPr="00D108FD">
        <w:rPr>
          <w:b/>
        </w:rPr>
        <w:t>Ministerio de Finanzas Públicas</w:t>
      </w:r>
      <w:r w:rsidR="00EE353E">
        <w:rPr>
          <w:b/>
        </w:rPr>
        <w:t>:</w:t>
      </w:r>
    </w:p>
    <w:p w:rsidR="00EE353E" w:rsidRPr="00D108FD" w:rsidRDefault="00EE353E" w:rsidP="00EC6694">
      <w:pPr>
        <w:jc w:val="both"/>
        <w:rPr>
          <w:b/>
        </w:rPr>
      </w:pPr>
    </w:p>
    <w:p w:rsidR="00EC6694" w:rsidRDefault="00EC6694" w:rsidP="00EC6694">
      <w:pPr>
        <w:jc w:val="both"/>
      </w:pPr>
      <w:r w:rsidRPr="00D108FD">
        <w:t xml:space="preserve">Este </w:t>
      </w:r>
      <w:r w:rsidR="00D4379E">
        <w:t>M</w:t>
      </w:r>
      <w:r w:rsidRPr="00D108FD">
        <w:t>inisterio tuvo un presupuesto de Q</w:t>
      </w:r>
      <w:r w:rsidR="00D4379E">
        <w:t>.</w:t>
      </w:r>
      <w:r w:rsidRPr="00D108FD">
        <w:t>309.7 millones.</w:t>
      </w:r>
      <w:r>
        <w:t xml:space="preserve"> </w:t>
      </w:r>
      <w:r w:rsidRPr="00D108FD">
        <w:t>Su mayor ejecución presupuestaria estuvo bajo el programa de las Actividades Centrales, el cual tuvo un presupuesto de Q</w:t>
      </w:r>
      <w:r w:rsidR="00D4379E">
        <w:t>.</w:t>
      </w:r>
      <w:r w:rsidRPr="00D108FD">
        <w:t>167.6 millones, y una ejecución presupuestaria de Q</w:t>
      </w:r>
      <w:r w:rsidR="00D4379E">
        <w:t>.</w:t>
      </w:r>
      <w:r w:rsidRPr="00D108FD">
        <w:t>149.9 millones equivalente al 89.4%.</w:t>
      </w:r>
    </w:p>
    <w:p w:rsidR="00D4379E" w:rsidRPr="00D108FD" w:rsidRDefault="00D4379E" w:rsidP="00EC6694">
      <w:pPr>
        <w:jc w:val="both"/>
      </w:pPr>
    </w:p>
    <w:p w:rsidR="00EC6694" w:rsidRDefault="00EC6694" w:rsidP="00EC6694">
      <w:pPr>
        <w:jc w:val="both"/>
      </w:pPr>
      <w:r>
        <w:t>Otro</w:t>
      </w:r>
      <w:r w:rsidRPr="00D108FD">
        <w:t xml:space="preserve"> programa </w:t>
      </w:r>
      <w:r>
        <w:t>importante</w:t>
      </w:r>
      <w:r w:rsidRPr="00D108FD">
        <w:t xml:space="preserve"> es “Administración Financiera” </w:t>
      </w:r>
      <w:r>
        <w:t>con un presupuesto</w:t>
      </w:r>
      <w:r w:rsidRPr="00D108FD">
        <w:t xml:space="preserve"> de Q</w:t>
      </w:r>
      <w:r w:rsidR="00D4379E">
        <w:t>.</w:t>
      </w:r>
      <w:r w:rsidRPr="00D108FD">
        <w:t>104.7 millones, y una ejecución presupuestaria de Q</w:t>
      </w:r>
      <w:r w:rsidR="00D4379E">
        <w:t>.</w:t>
      </w:r>
      <w:r w:rsidRPr="00D108FD">
        <w:t>90.0 millones equivalente al 85.9%.</w:t>
      </w:r>
    </w:p>
    <w:p w:rsidR="00D4379E" w:rsidRPr="00D108FD" w:rsidRDefault="00D4379E" w:rsidP="00EC6694">
      <w:pPr>
        <w:jc w:val="both"/>
      </w:pPr>
    </w:p>
    <w:p w:rsidR="00EC6694" w:rsidRDefault="00EC6694" w:rsidP="00EC6694">
      <w:pPr>
        <w:jc w:val="both"/>
      </w:pPr>
      <w:r w:rsidRPr="00D108FD">
        <w:t>Los dos programas restantes tuvieron una ejecución presupuestaria por debajo de los Q</w:t>
      </w:r>
      <w:r w:rsidR="00D4379E">
        <w:t>.</w:t>
      </w:r>
      <w:r w:rsidRPr="00D108FD">
        <w:t>21.9 millones, así como se detalla en el cuadro a continuación.</w:t>
      </w:r>
    </w:p>
    <w:p w:rsidR="00D4379E" w:rsidRPr="00D108FD" w:rsidRDefault="00D4379E" w:rsidP="00EC6694">
      <w:pPr>
        <w:jc w:val="both"/>
      </w:pPr>
    </w:p>
    <w:p w:rsidR="00EC6694" w:rsidRPr="00D108FD" w:rsidRDefault="00EC6694" w:rsidP="00EC6694">
      <w:pPr>
        <w:jc w:val="both"/>
      </w:pPr>
      <w:r w:rsidRPr="0037001A">
        <w:rPr>
          <w:noProof/>
          <w:lang w:eastAsia="es-GT"/>
        </w:rPr>
        <w:drawing>
          <wp:inline distT="0" distB="0" distL="0" distR="0" wp14:anchorId="2D0FC862" wp14:editId="51872B12">
            <wp:extent cx="5612130" cy="104887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1048873"/>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Default="00EC6694" w:rsidP="00EC6694">
      <w:pPr>
        <w:jc w:val="both"/>
        <w:rPr>
          <w:b/>
        </w:rPr>
      </w:pPr>
      <w:r w:rsidRPr="00D108FD">
        <w:rPr>
          <w:b/>
        </w:rPr>
        <w:t>Ministerio de Educación</w:t>
      </w:r>
      <w:r w:rsidR="00D4379E">
        <w:rPr>
          <w:b/>
        </w:rPr>
        <w:t>:</w:t>
      </w:r>
    </w:p>
    <w:p w:rsidR="00D4379E" w:rsidRPr="00D108FD" w:rsidRDefault="00D4379E" w:rsidP="00EC6694">
      <w:pPr>
        <w:jc w:val="both"/>
        <w:rPr>
          <w:b/>
        </w:rPr>
      </w:pPr>
    </w:p>
    <w:p w:rsidR="00EC6694" w:rsidRDefault="00EC6694" w:rsidP="00EC6694">
      <w:pPr>
        <w:jc w:val="both"/>
      </w:pPr>
      <w:r w:rsidRPr="00D108FD">
        <w:t xml:space="preserve">Este </w:t>
      </w:r>
      <w:r w:rsidR="00D4379E">
        <w:t>M</w:t>
      </w:r>
      <w:r w:rsidRPr="00D108FD">
        <w:t>inisterio tuvo un presupuesto de Q</w:t>
      </w:r>
      <w:r w:rsidR="00D4379E">
        <w:t>.</w:t>
      </w:r>
      <w:r w:rsidRPr="00D108FD">
        <w:t>14,398.2 millones, y una ejecución presupuestaria de Q</w:t>
      </w:r>
      <w:r w:rsidR="00D4379E">
        <w:t>.</w:t>
      </w:r>
      <w:r w:rsidRPr="00D108FD">
        <w:t>3,990.3 millones equivalente al 97.2%.</w:t>
      </w:r>
    </w:p>
    <w:p w:rsidR="00D4379E" w:rsidRPr="00D108FD" w:rsidRDefault="00D4379E" w:rsidP="00EC6694">
      <w:pPr>
        <w:jc w:val="both"/>
      </w:pPr>
    </w:p>
    <w:p w:rsidR="00EC6694" w:rsidRDefault="00EC6694" w:rsidP="00EC6694">
      <w:pPr>
        <w:jc w:val="both"/>
      </w:pPr>
      <w:r w:rsidRPr="00D108FD">
        <w:t>El programa con mayor ejecución presupuestaria fue “Educación Escolar de Primaria” con un presupuesto de Q</w:t>
      </w:r>
      <w:r w:rsidR="00D4379E">
        <w:t>.</w:t>
      </w:r>
      <w:r w:rsidRPr="00D108FD">
        <w:t>8,035.9 millones, una ejecución presupuestaria de Q</w:t>
      </w:r>
      <w:r w:rsidR="00D4379E">
        <w:t>.</w:t>
      </w:r>
      <w:r w:rsidRPr="00D108FD">
        <w:t>7,950.5 millones equivalente al 98.9%.</w:t>
      </w:r>
    </w:p>
    <w:p w:rsidR="00D4379E" w:rsidRPr="00D108FD" w:rsidRDefault="00D4379E" w:rsidP="00EC6694">
      <w:pPr>
        <w:jc w:val="both"/>
      </w:pPr>
    </w:p>
    <w:p w:rsidR="00EC6694" w:rsidRDefault="00EC6694" w:rsidP="00EC6694">
      <w:pPr>
        <w:jc w:val="both"/>
      </w:pPr>
      <w:r>
        <w:t xml:space="preserve">Le sigue </w:t>
      </w:r>
      <w:r w:rsidRPr="00D108FD">
        <w:t>el programa “Educación Escolar de Preprimaria” con un presupuesto de Q</w:t>
      </w:r>
      <w:r w:rsidR="00D4379E">
        <w:t>.</w:t>
      </w:r>
      <w:r w:rsidRPr="00D108FD">
        <w:t>1,789.2 millones, y una ejecución presupuestaria de Q</w:t>
      </w:r>
      <w:r w:rsidR="00D4379E">
        <w:t>.</w:t>
      </w:r>
      <w:r w:rsidRPr="00D108FD">
        <w:t>1,770.4 millones equivalente al 99.0%.</w:t>
      </w:r>
    </w:p>
    <w:p w:rsidR="00D4379E" w:rsidRPr="00D108FD" w:rsidRDefault="00D4379E" w:rsidP="00EC6694">
      <w:pPr>
        <w:jc w:val="both"/>
      </w:pPr>
    </w:p>
    <w:p w:rsidR="00EC6694" w:rsidRDefault="00EC6694" w:rsidP="00EC6694">
      <w:pPr>
        <w:jc w:val="both"/>
      </w:pPr>
      <w:r w:rsidRPr="00D108FD">
        <w:lastRenderedPageBreak/>
        <w:t xml:space="preserve">Otro de los programas importantes de </w:t>
      </w:r>
      <w:proofErr w:type="gramStart"/>
      <w:r w:rsidRPr="00D108FD">
        <w:t>éste</w:t>
      </w:r>
      <w:proofErr w:type="gramEnd"/>
      <w:r w:rsidRPr="00D108FD">
        <w:t xml:space="preserve"> ministerio es “Apoyo para el Consumo Adecuado de Alimentos” con un presupuesto de Q</w:t>
      </w:r>
      <w:r w:rsidR="00D4379E">
        <w:t>.</w:t>
      </w:r>
      <w:r w:rsidRPr="00D108FD">
        <w:t>1,257.6 millones, y una ejecución de Q</w:t>
      </w:r>
      <w:r w:rsidR="00D4379E">
        <w:t>.</w:t>
      </w:r>
      <w:r w:rsidRPr="00D108FD">
        <w:t>1,241.2 millones equivalente al 98.7%.</w:t>
      </w:r>
    </w:p>
    <w:p w:rsidR="00D4379E" w:rsidRPr="00D108FD" w:rsidRDefault="00D4379E" w:rsidP="00EC6694">
      <w:pPr>
        <w:jc w:val="both"/>
      </w:pPr>
    </w:p>
    <w:p w:rsidR="00EC6694" w:rsidRDefault="00EC6694" w:rsidP="00EC6694">
      <w:pPr>
        <w:jc w:val="both"/>
      </w:pPr>
      <w:r w:rsidRPr="00D108FD">
        <w:t>El Programa de “Educación Escolar Básica” tuvo un presupuesto de Q</w:t>
      </w:r>
      <w:r w:rsidR="00D4379E">
        <w:t>.</w:t>
      </w:r>
      <w:r w:rsidRPr="00D108FD">
        <w:t>950.0 millones y una ejecución presupuestaria de Q</w:t>
      </w:r>
      <w:r w:rsidR="00D4379E">
        <w:t>.</w:t>
      </w:r>
      <w:r w:rsidRPr="00D108FD">
        <w:t>930.4 millones equivalente al 97.9%.</w:t>
      </w:r>
    </w:p>
    <w:p w:rsidR="00D4379E" w:rsidRPr="00D108FD" w:rsidRDefault="00D4379E" w:rsidP="00EC6694">
      <w:pPr>
        <w:jc w:val="both"/>
      </w:pPr>
    </w:p>
    <w:p w:rsidR="00EC6694" w:rsidRDefault="00EC6694" w:rsidP="00EC6694">
      <w:pPr>
        <w:jc w:val="both"/>
      </w:pPr>
      <w:r>
        <w:t>Destacan</w:t>
      </w:r>
      <w:r w:rsidRPr="00D108FD">
        <w:t xml:space="preserve"> las Partidas No Asignables a Programas, </w:t>
      </w:r>
      <w:r>
        <w:t>con</w:t>
      </w:r>
      <w:r w:rsidRPr="00D108FD">
        <w:t xml:space="preserve"> un presupuesto de Q</w:t>
      </w:r>
      <w:r w:rsidR="00D4379E">
        <w:t>.</w:t>
      </w:r>
      <w:r w:rsidRPr="00D108FD">
        <w:t>535.3 millones, y una ejecución presupuestaria de Q</w:t>
      </w:r>
      <w:r w:rsidR="00D4379E">
        <w:t>.</w:t>
      </w:r>
      <w:r w:rsidRPr="00D108FD">
        <w:t>489.3 millones equivalente</w:t>
      </w:r>
      <w:r>
        <w:t xml:space="preserve"> </w:t>
      </w:r>
      <w:r w:rsidRPr="00D108FD">
        <w:t>al 91.4%, bajo este rubro se registran los aportes a las escuelas e institutos por cooperativa y al Comité Nacional de Alfabetización.</w:t>
      </w:r>
    </w:p>
    <w:p w:rsidR="00D4379E" w:rsidRPr="00D108FD" w:rsidRDefault="00D4379E" w:rsidP="00EC6694">
      <w:pPr>
        <w:jc w:val="both"/>
      </w:pPr>
    </w:p>
    <w:p w:rsidR="00EC6694" w:rsidRDefault="00EC6694" w:rsidP="00EC6694">
      <w:pPr>
        <w:jc w:val="both"/>
      </w:pPr>
      <w:r w:rsidRPr="00D108FD">
        <w:t>El programa de “Educación Diversificada” tuvo un presupuesto de Q</w:t>
      </w:r>
      <w:r w:rsidR="00D4379E">
        <w:t>.</w:t>
      </w:r>
      <w:r w:rsidRPr="00D108FD">
        <w:t>499.8, y una ejecución de Q</w:t>
      </w:r>
      <w:r w:rsidR="00D4379E">
        <w:t>.</w:t>
      </w:r>
      <w:r w:rsidRPr="00D108FD">
        <w:t>449.7 millones equivalente al 90.0%.</w:t>
      </w:r>
    </w:p>
    <w:p w:rsidR="00D4379E" w:rsidRPr="00D108FD" w:rsidRDefault="00D4379E" w:rsidP="00EC6694">
      <w:pPr>
        <w:jc w:val="both"/>
      </w:pPr>
    </w:p>
    <w:p w:rsidR="00EC6694" w:rsidRDefault="00EC6694" w:rsidP="00EC6694">
      <w:pPr>
        <w:jc w:val="both"/>
      </w:pPr>
      <w:r w:rsidRPr="00D108FD">
        <w:t>El programa que se refiere a las Actividades Centrales tuvo un presupuesto de  Q</w:t>
      </w:r>
      <w:r w:rsidR="00D4379E">
        <w:t>.</w:t>
      </w:r>
      <w:r w:rsidRPr="00D108FD">
        <w:t xml:space="preserve">486.5 millones, y </w:t>
      </w:r>
      <w:r>
        <w:t>su</w:t>
      </w:r>
      <w:r w:rsidRPr="00D108FD">
        <w:t xml:space="preserve"> ejecución presupuestaria fue de Q</w:t>
      </w:r>
      <w:r w:rsidR="00D4379E">
        <w:t>.</w:t>
      </w:r>
      <w:r w:rsidRPr="00D108FD">
        <w:t>463.4 millones equivalente al 95.3%.</w:t>
      </w:r>
    </w:p>
    <w:p w:rsidR="00D4379E" w:rsidRPr="00D108FD" w:rsidRDefault="00D4379E" w:rsidP="00EC6694">
      <w:pPr>
        <w:jc w:val="both"/>
      </w:pPr>
    </w:p>
    <w:p w:rsidR="00EC6694" w:rsidRDefault="00EC6694" w:rsidP="00EC6694">
      <w:pPr>
        <w:jc w:val="both"/>
      </w:pPr>
      <w:r w:rsidRPr="00D108FD">
        <w:t xml:space="preserve">El siguiente programa es el de “Actividades Comunes a los Programas de Preprimaria, Primaria, Básico y Diversificado” que según el SICOIN </w:t>
      </w:r>
      <w:r>
        <w:t>con</w:t>
      </w:r>
      <w:r w:rsidRPr="00D108FD">
        <w:t xml:space="preserve"> un presupuesto de Q</w:t>
      </w:r>
      <w:r w:rsidR="00D4379E">
        <w:t>.</w:t>
      </w:r>
      <w:r w:rsidRPr="00D108FD">
        <w:t>293.5 millones y una ejecución de Q</w:t>
      </w:r>
      <w:r w:rsidR="00D4379E">
        <w:t>.</w:t>
      </w:r>
      <w:r w:rsidRPr="00D108FD">
        <w:t>264.9 millones equivalente al 90.2%.</w:t>
      </w:r>
    </w:p>
    <w:p w:rsidR="00D4379E" w:rsidRPr="00D108FD" w:rsidRDefault="00D4379E" w:rsidP="00EC6694">
      <w:pPr>
        <w:jc w:val="both"/>
      </w:pPr>
    </w:p>
    <w:p w:rsidR="00EC6694" w:rsidRDefault="00EC6694" w:rsidP="00EC6694">
      <w:pPr>
        <w:jc w:val="both"/>
      </w:pPr>
      <w:r w:rsidRPr="00D108FD">
        <w:t xml:space="preserve">Las “Actividades Comunes a los Programas de Primaria, Básicos y Diversificado” </w:t>
      </w:r>
      <w:r>
        <w:t>con un presupuesto</w:t>
      </w:r>
      <w:r w:rsidRPr="00D108FD">
        <w:t xml:space="preserve"> de Q</w:t>
      </w:r>
      <w:r w:rsidR="00D4379E">
        <w:t>.</w:t>
      </w:r>
      <w:r w:rsidRPr="00D108FD">
        <w:t xml:space="preserve">261.3 millones, y </w:t>
      </w:r>
      <w:r>
        <w:t>una</w:t>
      </w:r>
      <w:r w:rsidRPr="00D108FD">
        <w:t xml:space="preserve"> ejecución de Q</w:t>
      </w:r>
      <w:r w:rsidR="00D4379E">
        <w:t>.</w:t>
      </w:r>
      <w:r w:rsidRPr="00D108FD">
        <w:t>157.6 millones equivalente al 60.3%</w:t>
      </w:r>
      <w:r>
        <w:t>.</w:t>
      </w:r>
    </w:p>
    <w:p w:rsidR="00D4379E" w:rsidRPr="00D108FD" w:rsidRDefault="00D4379E" w:rsidP="00EC6694">
      <w:pPr>
        <w:jc w:val="both"/>
      </w:pPr>
    </w:p>
    <w:p w:rsidR="00EC6694" w:rsidRDefault="00EC6694" w:rsidP="00EC6694">
      <w:pPr>
        <w:jc w:val="both"/>
      </w:pPr>
      <w:r w:rsidRPr="00D108FD">
        <w:t>Seguidamente en el orden del monto de ejecución presupuestaria, se ubica el programa de “Actividades Comunes a los programas de Preprimaria y Primaria”, el cual tuvo un presupuesto inicial de Q</w:t>
      </w:r>
      <w:r w:rsidR="000462D9">
        <w:t>.</w:t>
      </w:r>
      <w:r w:rsidRPr="00D108FD">
        <w:t>140.2 millones, el vigente fue de Q</w:t>
      </w:r>
      <w:r w:rsidR="000462D9">
        <w:t>.</w:t>
      </w:r>
      <w:r w:rsidRPr="00D108FD">
        <w:t>163.4 millones, que deja ver un aumento de Q</w:t>
      </w:r>
      <w:r w:rsidR="000462D9">
        <w:t>.</w:t>
      </w:r>
      <w:r w:rsidRPr="00D108FD">
        <w:t>23.2 millones y una ejecución presupuestaria de Q</w:t>
      </w:r>
      <w:r w:rsidR="000462D9">
        <w:t>.</w:t>
      </w:r>
      <w:r w:rsidRPr="00D108FD">
        <w:t>163.1 millones equivalentes al 99.8% del presupuesto vigente.</w:t>
      </w:r>
    </w:p>
    <w:p w:rsidR="000462D9" w:rsidRPr="00D108FD" w:rsidRDefault="000462D9" w:rsidP="00EC6694">
      <w:pPr>
        <w:jc w:val="both"/>
      </w:pPr>
    </w:p>
    <w:p w:rsidR="00EC6694" w:rsidRDefault="00EC6694" w:rsidP="00EC6694">
      <w:pPr>
        <w:jc w:val="both"/>
      </w:pPr>
      <w:r w:rsidRPr="00D108FD">
        <w:t>El programa de “Educación Extraescolar”, tuvo un presupuesto de Q</w:t>
      </w:r>
      <w:r w:rsidR="000462D9">
        <w:t>.</w:t>
      </w:r>
      <w:r w:rsidRPr="00D108FD">
        <w:t>103.7 millones con una ejecución presupuestaria de Q</w:t>
      </w:r>
      <w:r w:rsidR="000462D9">
        <w:t>.</w:t>
      </w:r>
      <w:r w:rsidRPr="00D108FD">
        <w:t>96.4 millones equivalentes al 93.0% del presupuesto vigente.</w:t>
      </w:r>
    </w:p>
    <w:p w:rsidR="000462D9" w:rsidRPr="00D108FD" w:rsidRDefault="000462D9" w:rsidP="00EC6694">
      <w:pPr>
        <w:jc w:val="both"/>
      </w:pPr>
    </w:p>
    <w:p w:rsidR="00EC6694" w:rsidRPr="00D108FD" w:rsidRDefault="00EC6694" w:rsidP="00EC6694">
      <w:pPr>
        <w:jc w:val="both"/>
      </w:pPr>
      <w:r w:rsidRPr="00D108FD">
        <w:t>Finalmente se ubican 3 programas restantes que tuvieron una ejecución presupuestaria por debajo de los Q</w:t>
      </w:r>
      <w:r w:rsidR="000462D9">
        <w:t>.</w:t>
      </w:r>
      <w:r w:rsidRPr="00D108FD">
        <w:t>8.3 millones, según se observa en el cuadro siguiente que contiene los datos reportados por el SICOIN.</w:t>
      </w:r>
    </w:p>
    <w:p w:rsidR="00EC6694" w:rsidRPr="00D108FD" w:rsidRDefault="00EC6694" w:rsidP="00EC6694">
      <w:pPr>
        <w:jc w:val="both"/>
      </w:pPr>
      <w:r w:rsidRPr="0037001A">
        <w:rPr>
          <w:noProof/>
          <w:lang w:eastAsia="es-GT"/>
        </w:rPr>
        <w:lastRenderedPageBreak/>
        <w:drawing>
          <wp:inline distT="0" distB="0" distL="0" distR="0" wp14:anchorId="498C38B7" wp14:editId="2368A2E4">
            <wp:extent cx="5612130" cy="234972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2349722"/>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Default="00EC6694" w:rsidP="00EC6694">
      <w:pPr>
        <w:jc w:val="both"/>
        <w:rPr>
          <w:b/>
        </w:rPr>
      </w:pPr>
      <w:r w:rsidRPr="00D108FD">
        <w:rPr>
          <w:b/>
        </w:rPr>
        <w:t>Ministerio de Salud Pública y Asistencia Social</w:t>
      </w:r>
      <w:r w:rsidR="000462D9">
        <w:rPr>
          <w:b/>
        </w:rPr>
        <w:t>:</w:t>
      </w:r>
    </w:p>
    <w:p w:rsidR="000462D9" w:rsidRPr="00D108FD" w:rsidRDefault="000462D9" w:rsidP="00EC6694">
      <w:pPr>
        <w:jc w:val="both"/>
        <w:rPr>
          <w:b/>
        </w:rPr>
      </w:pPr>
    </w:p>
    <w:p w:rsidR="00EC6694" w:rsidRDefault="00EC6694" w:rsidP="00EC6694">
      <w:pPr>
        <w:jc w:val="both"/>
      </w:pPr>
      <w:r w:rsidRPr="00D108FD">
        <w:t>El M</w:t>
      </w:r>
      <w:r w:rsidR="000462D9">
        <w:t>inisterio de Salud Pública y Asistencia Social</w:t>
      </w:r>
      <w:r w:rsidRPr="00D108FD">
        <w:t xml:space="preserve"> tuvo un presupuesto de Q</w:t>
      </w:r>
      <w:r w:rsidR="000462D9">
        <w:t>.</w:t>
      </w:r>
      <w:r w:rsidRPr="00D108FD">
        <w:t>7,005.3 millones y una ejecución presupuestaria de Q</w:t>
      </w:r>
      <w:r w:rsidR="000462D9">
        <w:t>.</w:t>
      </w:r>
      <w:r w:rsidRPr="00D108FD">
        <w:t>6,428.6 millones equivalente al 91.8%.</w:t>
      </w:r>
    </w:p>
    <w:p w:rsidR="000462D9" w:rsidRPr="00D108FD" w:rsidRDefault="000462D9" w:rsidP="00EC6694">
      <w:pPr>
        <w:jc w:val="both"/>
      </w:pPr>
    </w:p>
    <w:p w:rsidR="00EC6694" w:rsidRDefault="00EC6694" w:rsidP="00EC6694">
      <w:pPr>
        <w:jc w:val="both"/>
      </w:pPr>
      <w:r w:rsidRPr="00D108FD">
        <w:t xml:space="preserve">Con base a las prioridades de éste ministerio se tiene como primer punto al programa “Recuperación de la Salud”, el cual tuvo un presupuesto </w:t>
      </w:r>
      <w:proofErr w:type="gramStart"/>
      <w:r w:rsidRPr="00D108FD">
        <w:t>de  Q</w:t>
      </w:r>
      <w:r w:rsidR="000462D9">
        <w:t>.</w:t>
      </w:r>
      <w:r w:rsidRPr="00D108FD">
        <w:t>3</w:t>
      </w:r>
      <w:proofErr w:type="gramEnd"/>
      <w:r w:rsidRPr="00D108FD">
        <w:t>,009.1 millones, el SICOIN reporta una ejecución presupuestaria de Q</w:t>
      </w:r>
      <w:r w:rsidR="000462D9">
        <w:t>.</w:t>
      </w:r>
      <w:r w:rsidRPr="00D108FD">
        <w:t>2,819.2 millones equivalente al 93.7%</w:t>
      </w:r>
      <w:r>
        <w:t>.</w:t>
      </w:r>
    </w:p>
    <w:p w:rsidR="000462D9" w:rsidRPr="00D108FD" w:rsidRDefault="000462D9" w:rsidP="00EC6694">
      <w:pPr>
        <w:jc w:val="both"/>
      </w:pPr>
    </w:p>
    <w:p w:rsidR="00EC6694" w:rsidRDefault="00EC6694" w:rsidP="00EC6694">
      <w:pPr>
        <w:jc w:val="both"/>
      </w:pPr>
      <w:r w:rsidRPr="00D108FD">
        <w:t>El programa sobre “Fomento de Salud y Medicina Preventiva” tuvo un presupuesto de Q</w:t>
      </w:r>
      <w:r w:rsidR="000462D9">
        <w:t>.</w:t>
      </w:r>
      <w:r w:rsidRPr="00D108FD">
        <w:t>925.6 millones y una ejecución presupuestaria de Q</w:t>
      </w:r>
      <w:r w:rsidR="000462D9">
        <w:t>.</w:t>
      </w:r>
      <w:r w:rsidRPr="00D108FD">
        <w:t>879.5 millones equivalente al 95.0%</w:t>
      </w:r>
      <w:r>
        <w:t>.</w:t>
      </w:r>
    </w:p>
    <w:p w:rsidR="000462D9" w:rsidRPr="00D108FD" w:rsidRDefault="000462D9" w:rsidP="00EC6694">
      <w:pPr>
        <w:jc w:val="both"/>
      </w:pPr>
    </w:p>
    <w:p w:rsidR="00EC6694" w:rsidRDefault="00EC6694" w:rsidP="00EC6694">
      <w:pPr>
        <w:jc w:val="both"/>
      </w:pPr>
      <w:r w:rsidRPr="00D108FD">
        <w:t>A continuación se presenta el programa “Prevención de la Mortalidad de la Niñez y de la Desnutrición Crónica” que tuvo un presupuesto de Q</w:t>
      </w:r>
      <w:r w:rsidR="000462D9">
        <w:t>.</w:t>
      </w:r>
      <w:r w:rsidRPr="00D108FD">
        <w:t>855.1 millones y una ejecución presupuestaria de Q</w:t>
      </w:r>
      <w:r w:rsidR="000462D9">
        <w:t>.</w:t>
      </w:r>
      <w:r w:rsidRPr="00D108FD">
        <w:t>726.0 millones equivalente al 84.9%.</w:t>
      </w:r>
    </w:p>
    <w:p w:rsidR="000462D9" w:rsidRPr="00D108FD" w:rsidRDefault="000462D9" w:rsidP="00EC6694">
      <w:pPr>
        <w:jc w:val="both"/>
      </w:pPr>
    </w:p>
    <w:p w:rsidR="00EC6694" w:rsidRDefault="00EC6694" w:rsidP="00EC6694">
      <w:pPr>
        <w:jc w:val="both"/>
      </w:pPr>
      <w:r w:rsidRPr="00D108FD">
        <w:t>Seguidamente se ubica el programa “Prevención de la Mortalidad Materna Neonatal” con un presupuesto de Q</w:t>
      </w:r>
      <w:r w:rsidR="00664C99">
        <w:t>.</w:t>
      </w:r>
      <w:r w:rsidRPr="00D108FD">
        <w:t>692.7 millones y una ejecución presupuestaria de Q</w:t>
      </w:r>
      <w:r w:rsidR="00664C99">
        <w:t>.</w:t>
      </w:r>
      <w:r w:rsidRPr="00D108FD">
        <w:t>644.1 millones equivalente al 93.0%.</w:t>
      </w:r>
    </w:p>
    <w:p w:rsidR="00664C99" w:rsidRPr="00D108FD" w:rsidRDefault="00664C99" w:rsidP="00EC6694">
      <w:pPr>
        <w:jc w:val="both"/>
      </w:pPr>
    </w:p>
    <w:p w:rsidR="00EC6694" w:rsidRDefault="00EC6694" w:rsidP="00EC6694">
      <w:pPr>
        <w:jc w:val="both"/>
      </w:pPr>
      <w:r>
        <w:t>Las</w:t>
      </w:r>
      <w:r w:rsidRPr="00D108FD">
        <w:t xml:space="preserve"> Partidas No Asignables a Programas </w:t>
      </w:r>
      <w:r>
        <w:t>con</w:t>
      </w:r>
      <w:r w:rsidRPr="00D108FD">
        <w:t xml:space="preserve"> un presupuesto de Q</w:t>
      </w:r>
      <w:r w:rsidR="00664C99">
        <w:t>.</w:t>
      </w:r>
      <w:r w:rsidRPr="00D108FD">
        <w:t xml:space="preserve">515.2 millones, </w:t>
      </w:r>
      <w:r>
        <w:t>mostraron</w:t>
      </w:r>
      <w:r w:rsidRPr="00D108FD">
        <w:t xml:space="preserve"> </w:t>
      </w:r>
      <w:r>
        <w:t xml:space="preserve">una </w:t>
      </w:r>
      <w:r w:rsidRPr="00D108FD">
        <w:t>ejecución presupuestaria de Q</w:t>
      </w:r>
      <w:r w:rsidR="00664C99">
        <w:t>.</w:t>
      </w:r>
      <w:r w:rsidRPr="00D108FD">
        <w:t>513.1 millones equivalente al 99.6</w:t>
      </w:r>
      <w:r>
        <w:t>%.</w:t>
      </w:r>
      <w:r w:rsidRPr="00D108FD">
        <w:t>La mayor ejecución dentro de este programa, se ejecutó bajo el subprograma Aportes a Entidades Asistenciales, específicamente bajo el renglón 432-Transferencias a Instituciones de Salud y Asistencia Social, así:</w:t>
      </w:r>
    </w:p>
    <w:p w:rsidR="00664C99" w:rsidRPr="00D108FD" w:rsidRDefault="00664C99" w:rsidP="00EC6694">
      <w:pPr>
        <w:jc w:val="both"/>
      </w:pPr>
    </w:p>
    <w:p w:rsidR="00EC6694" w:rsidRDefault="00EC6694" w:rsidP="00EC6694">
      <w:pPr>
        <w:jc w:val="both"/>
      </w:pPr>
      <w:r w:rsidRPr="00D108FD">
        <w:t>Las cantidades más significativas se transfirieron a la Unidad Nacional de Atención al Enfermo Renal Crónico –UNAERC- por Q</w:t>
      </w:r>
      <w:r w:rsidR="00CD6D6C">
        <w:t>.</w:t>
      </w:r>
      <w:r w:rsidRPr="00D108FD">
        <w:t>230.0 millones, a la Unidad de Cirugía Cardiovascular de Guatemala por Q55.0 millones, a la Unidad Nacional de Oncología Pediátrica por Q</w:t>
      </w:r>
      <w:r w:rsidR="00CD6D6C">
        <w:t>.</w:t>
      </w:r>
      <w:r w:rsidRPr="00D108FD">
        <w:t>40.0 millones, a la Liga Nacional Contra el Cáncer por Q</w:t>
      </w:r>
      <w:r w:rsidR="00CD6D6C">
        <w:t>.</w:t>
      </w:r>
      <w:r w:rsidRPr="00D108FD">
        <w:t xml:space="preserve">21.7 millones, a </w:t>
      </w:r>
      <w:r w:rsidRPr="00D108FD">
        <w:lastRenderedPageBreak/>
        <w:t>la Asociación Obras Sociales del Santo Hermano Pedro Frailes Franciscanos O. F. M. por Q</w:t>
      </w:r>
      <w:r w:rsidR="00CD6D6C">
        <w:t>.</w:t>
      </w:r>
      <w:r w:rsidRPr="00D108FD">
        <w:t xml:space="preserve">20.0 millones, a Saint Joseph </w:t>
      </w:r>
      <w:proofErr w:type="spellStart"/>
      <w:r w:rsidRPr="00D108FD">
        <w:t>Hospice</w:t>
      </w:r>
      <w:proofErr w:type="spellEnd"/>
      <w:r w:rsidRPr="00D108FD">
        <w:t xml:space="preserve"> </w:t>
      </w:r>
      <w:proofErr w:type="spellStart"/>
      <w:r w:rsidRPr="00D108FD">
        <w:t>Association</w:t>
      </w:r>
      <w:proofErr w:type="spellEnd"/>
      <w:r w:rsidRPr="00D108FD">
        <w:t xml:space="preserve"> (Asociación Hospicio de San José) por Q12.6 millones, a la Fundación </w:t>
      </w:r>
      <w:proofErr w:type="spellStart"/>
      <w:r w:rsidRPr="00D108FD">
        <w:t>Probienestar</w:t>
      </w:r>
      <w:proofErr w:type="spellEnd"/>
      <w:r w:rsidRPr="00D108FD">
        <w:t xml:space="preserve"> del Minusválido FUNDABIEM por Q</w:t>
      </w:r>
      <w:r w:rsidR="00CD6D6C">
        <w:t>.</w:t>
      </w:r>
      <w:r w:rsidRPr="00D108FD">
        <w:t>12.5 millones, a la Organización Cristiana de Beneficio Social Esperanza de Vida ONG por Q</w:t>
      </w:r>
      <w:r w:rsidR="00CD6D6C">
        <w:t>.</w:t>
      </w:r>
      <w:r w:rsidRPr="00D108FD">
        <w:t>12.5 millones, a la Cruz Roja Guatemalteca por Q</w:t>
      </w:r>
      <w:r w:rsidR="00CD6D6C">
        <w:t>.</w:t>
      </w:r>
      <w:r w:rsidRPr="00D108FD">
        <w:t>12.0 millones, en tanto que al resto de entidades se les hicieron transferencias por debajo de los Q</w:t>
      </w:r>
      <w:r w:rsidR="00CD6D6C">
        <w:t>.</w:t>
      </w:r>
      <w:r w:rsidRPr="00D108FD">
        <w:t xml:space="preserve">10.0 millones, lo </w:t>
      </w:r>
      <w:r>
        <w:t xml:space="preserve">que se </w:t>
      </w:r>
      <w:r w:rsidRPr="00D108FD">
        <w:t xml:space="preserve"> observa en el cuadro </w:t>
      </w:r>
      <w:r>
        <w:t>siguiente</w:t>
      </w:r>
      <w:r w:rsidRPr="00D108FD">
        <w:t>.</w:t>
      </w:r>
    </w:p>
    <w:p w:rsidR="00CD6D6C" w:rsidRPr="00D108FD" w:rsidRDefault="00CD6D6C" w:rsidP="00EC6694">
      <w:pPr>
        <w:jc w:val="both"/>
      </w:pPr>
    </w:p>
    <w:p w:rsidR="00EC6694" w:rsidRPr="00D108FD" w:rsidRDefault="00EC6694" w:rsidP="00EC6694">
      <w:pPr>
        <w:jc w:val="both"/>
      </w:pPr>
      <w:r w:rsidRPr="0049429F">
        <w:rPr>
          <w:noProof/>
          <w:lang w:eastAsia="es-GT"/>
        </w:rPr>
        <w:drawing>
          <wp:inline distT="0" distB="0" distL="0" distR="0" wp14:anchorId="003DD994" wp14:editId="5FD0A096">
            <wp:extent cx="5612130" cy="608845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6088455"/>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Default="00EC6694" w:rsidP="00EC6694">
      <w:pPr>
        <w:jc w:val="both"/>
      </w:pPr>
      <w:r>
        <w:lastRenderedPageBreak/>
        <w:t>E</w:t>
      </w:r>
      <w:r w:rsidRPr="00D108FD">
        <w:t>l programa de “Administración Institucional” con un presupuesto de Q</w:t>
      </w:r>
      <w:r w:rsidR="00CD6D6C">
        <w:t>.</w:t>
      </w:r>
      <w:r w:rsidRPr="00D108FD">
        <w:t>362.6 millones, una ejecución presupuestaria de Q</w:t>
      </w:r>
      <w:r w:rsidR="00CD6D6C">
        <w:t>.</w:t>
      </w:r>
      <w:r w:rsidRPr="00D108FD">
        <w:t>334.6 millones equivalente al 92.3%</w:t>
      </w:r>
      <w:r>
        <w:t>.</w:t>
      </w:r>
    </w:p>
    <w:p w:rsidR="00CD6D6C" w:rsidRPr="00D108FD" w:rsidRDefault="00CD6D6C" w:rsidP="00EC6694">
      <w:pPr>
        <w:jc w:val="both"/>
      </w:pPr>
    </w:p>
    <w:p w:rsidR="00EC6694" w:rsidRDefault="00EC6694" w:rsidP="00EC6694">
      <w:pPr>
        <w:jc w:val="both"/>
      </w:pPr>
      <w:r w:rsidRPr="00D108FD">
        <w:t>Se observa también el programa “Servicio de Formación del Recurso Humano” con un presupuesto de Q</w:t>
      </w:r>
      <w:r w:rsidR="00C53F28">
        <w:t>.</w:t>
      </w:r>
      <w:r w:rsidRPr="00D108FD">
        <w:t>245.0 millones, una ejecución de Q</w:t>
      </w:r>
      <w:r w:rsidR="00C53F28">
        <w:t>.</w:t>
      </w:r>
      <w:r w:rsidRPr="00D108FD">
        <w:t>236.5 millones equivalente al 96.6%</w:t>
      </w:r>
      <w:r>
        <w:t>.</w:t>
      </w:r>
    </w:p>
    <w:p w:rsidR="00C53F28" w:rsidRPr="00D108FD" w:rsidRDefault="00C53F28" w:rsidP="00EC6694">
      <w:pPr>
        <w:jc w:val="both"/>
      </w:pPr>
    </w:p>
    <w:p w:rsidR="00EC6694" w:rsidRDefault="00EC6694" w:rsidP="00EC6694">
      <w:pPr>
        <w:jc w:val="both"/>
      </w:pPr>
      <w:r w:rsidRPr="00D108FD">
        <w:t>Dentro de los prioritarios se ubica finalmente el programa “Prevención y control de las Enfermedades Vectoriales y Zoonóticas” con un presupuesto de Q</w:t>
      </w:r>
      <w:r w:rsidR="00C53F28">
        <w:t>.</w:t>
      </w:r>
      <w:r w:rsidRPr="00D108FD">
        <w:t>174.2 millones y una ejecución presupuestaria de Q</w:t>
      </w:r>
      <w:r w:rsidR="00C53F28">
        <w:t>.</w:t>
      </w:r>
      <w:r w:rsidRPr="00D108FD">
        <w:t>154.5 millones equivalente al 88.7%</w:t>
      </w:r>
      <w:r>
        <w:t>.</w:t>
      </w:r>
      <w:r w:rsidRPr="00D108FD">
        <w:t>Finalmente se encuentran 6 programas con una ejecución por debajo de los Q</w:t>
      </w:r>
      <w:r w:rsidR="00C53F28">
        <w:t>.</w:t>
      </w:r>
      <w:r w:rsidRPr="00D108FD">
        <w:t>90.0 millones los cuales se detallan en el cuadro siguiente.</w:t>
      </w:r>
    </w:p>
    <w:p w:rsidR="00C53F28" w:rsidRPr="00D108FD" w:rsidRDefault="00C53F28" w:rsidP="00EC6694">
      <w:pPr>
        <w:jc w:val="both"/>
      </w:pPr>
    </w:p>
    <w:p w:rsidR="00EC6694" w:rsidRPr="00D108FD" w:rsidRDefault="00EC6694" w:rsidP="00EC6694">
      <w:pPr>
        <w:jc w:val="both"/>
      </w:pPr>
      <w:r w:rsidRPr="0037001A">
        <w:rPr>
          <w:noProof/>
          <w:lang w:eastAsia="es-GT"/>
        </w:rPr>
        <w:drawing>
          <wp:inline distT="0" distB="0" distL="0" distR="0" wp14:anchorId="61AD7F92" wp14:editId="5803ED89">
            <wp:extent cx="5612130" cy="21082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2108260"/>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Default="00EC6694" w:rsidP="00EC6694">
      <w:pPr>
        <w:jc w:val="both"/>
        <w:rPr>
          <w:b/>
        </w:rPr>
      </w:pPr>
      <w:r w:rsidRPr="00D108FD">
        <w:rPr>
          <w:b/>
        </w:rPr>
        <w:t>Ministerio de Trabajo y Previsión Social</w:t>
      </w:r>
      <w:r w:rsidR="00C53F28">
        <w:rPr>
          <w:b/>
        </w:rPr>
        <w:t>:</w:t>
      </w:r>
    </w:p>
    <w:p w:rsidR="00C53F28" w:rsidRPr="00D108FD" w:rsidRDefault="00C53F28" w:rsidP="00EC6694">
      <w:pPr>
        <w:jc w:val="both"/>
        <w:rPr>
          <w:b/>
        </w:rPr>
      </w:pPr>
    </w:p>
    <w:p w:rsidR="00EC6694" w:rsidRDefault="00EC6694" w:rsidP="00EC6694">
      <w:pPr>
        <w:jc w:val="both"/>
      </w:pPr>
      <w:r w:rsidRPr="00D108FD">
        <w:t>El Min</w:t>
      </w:r>
      <w:r w:rsidR="00C53F28">
        <w:t>isterio de Trabajo y Previsión Social</w:t>
      </w:r>
      <w:r w:rsidRPr="00D108FD">
        <w:t xml:space="preserve"> tuvo </w:t>
      </w:r>
      <w:r>
        <w:t>un presupuesto</w:t>
      </w:r>
      <w:r w:rsidRPr="00D108FD">
        <w:t xml:space="preserve"> de Q</w:t>
      </w:r>
      <w:r w:rsidR="00C53F28">
        <w:t>.</w:t>
      </w:r>
      <w:r w:rsidRPr="00D108FD">
        <w:t xml:space="preserve">637.2 millones </w:t>
      </w:r>
      <w:r>
        <w:t>su</w:t>
      </w:r>
      <w:r w:rsidRPr="00D108FD">
        <w:t xml:space="preserve"> ejecución presupuestaria se ubicó en Q</w:t>
      </w:r>
      <w:r w:rsidR="00C53F28">
        <w:t>.</w:t>
      </w:r>
      <w:r w:rsidRPr="00D108FD">
        <w:t>612.6 millones equivalente al 96.1%</w:t>
      </w:r>
      <w:r>
        <w:t>.</w:t>
      </w:r>
    </w:p>
    <w:p w:rsidR="00C53F28" w:rsidRPr="00D108FD" w:rsidRDefault="00C53F28" w:rsidP="00EC6694">
      <w:pPr>
        <w:jc w:val="both"/>
      </w:pPr>
    </w:p>
    <w:p w:rsidR="00EC6694" w:rsidRDefault="00EC6694" w:rsidP="00EC6694">
      <w:pPr>
        <w:jc w:val="both"/>
      </w:pPr>
      <w:r>
        <w:t>Con base</w:t>
      </w:r>
      <w:r w:rsidRPr="00D108FD">
        <w:t xml:space="preserve"> en las cifras </w:t>
      </w:r>
      <w:r>
        <w:t>d</w:t>
      </w:r>
      <w:r w:rsidRPr="00D108FD">
        <w:t xml:space="preserve">el SIOCIN, se </w:t>
      </w:r>
      <w:r>
        <w:t>observa</w:t>
      </w:r>
      <w:r w:rsidRPr="00D108FD">
        <w:t xml:space="preserve"> que el principal programa fue “Atención al Adulto Mayor” con un presupuesto de Q</w:t>
      </w:r>
      <w:r w:rsidR="00C53F28">
        <w:t>.</w:t>
      </w:r>
      <w:r w:rsidRPr="00D108FD">
        <w:t>493.1 millones y una ejecución de Q</w:t>
      </w:r>
      <w:r w:rsidR="00C53F28">
        <w:t>.</w:t>
      </w:r>
      <w:r w:rsidRPr="00D108FD">
        <w:t>490.6 millones equivalente al 99.5%</w:t>
      </w:r>
      <w:r>
        <w:t>.</w:t>
      </w:r>
    </w:p>
    <w:p w:rsidR="00C53F28" w:rsidRPr="00D108FD" w:rsidRDefault="00C53F28" w:rsidP="00EC6694">
      <w:pPr>
        <w:jc w:val="both"/>
      </w:pPr>
    </w:p>
    <w:p w:rsidR="00EC6694" w:rsidRDefault="00EC6694" w:rsidP="00EC6694">
      <w:pPr>
        <w:jc w:val="both"/>
      </w:pPr>
      <w:r w:rsidRPr="00D108FD">
        <w:t>El segundo programa de mayor cuantía fue “Administración Institucional” con</w:t>
      </w:r>
      <w:r>
        <w:t xml:space="preserve"> un </w:t>
      </w:r>
      <w:r w:rsidRPr="00D108FD">
        <w:t>presupuesto de Q</w:t>
      </w:r>
      <w:r w:rsidR="00C53F28">
        <w:t>.</w:t>
      </w:r>
      <w:r w:rsidRPr="00D108FD">
        <w:t>55.9 millones, su ejecución presupuestaria fue de Q</w:t>
      </w:r>
      <w:r w:rsidR="00C53F28">
        <w:t>.</w:t>
      </w:r>
      <w:r w:rsidRPr="00D108FD">
        <w:t>51.6 millones equivalentes al 92.3%.</w:t>
      </w:r>
    </w:p>
    <w:p w:rsidR="00C53F28" w:rsidRPr="00D108FD" w:rsidRDefault="00C53F28" w:rsidP="00EC6694">
      <w:pPr>
        <w:jc w:val="both"/>
      </w:pPr>
    </w:p>
    <w:p w:rsidR="00EC6694" w:rsidRPr="00D108FD" w:rsidRDefault="00EC6694" w:rsidP="00EC6694">
      <w:pPr>
        <w:jc w:val="both"/>
      </w:pPr>
      <w:r w:rsidRPr="00D108FD">
        <w:t>Para completar la ejecución presupuestaria de</w:t>
      </w:r>
      <w:r w:rsidR="00C53F28">
        <w:t xml:space="preserve"> este Ministerio</w:t>
      </w:r>
      <w:r w:rsidRPr="00D108FD">
        <w:t>, solo restan tres programas los cuales tuvieron una ejecución por debajo de los Q</w:t>
      </w:r>
      <w:r w:rsidR="00C53F28">
        <w:t>.</w:t>
      </w:r>
      <w:r w:rsidRPr="00D108FD">
        <w:t xml:space="preserve">30.0 millones, tal como se observa en el cuadro </w:t>
      </w:r>
      <w:r>
        <w:t>siguiente</w:t>
      </w:r>
      <w:r w:rsidRPr="00D108FD">
        <w:t>.</w:t>
      </w:r>
    </w:p>
    <w:p w:rsidR="00EC6694" w:rsidRPr="00D108FD" w:rsidRDefault="00EC6694" w:rsidP="00EC6694">
      <w:pPr>
        <w:jc w:val="both"/>
      </w:pPr>
      <w:r w:rsidRPr="0037001A">
        <w:rPr>
          <w:noProof/>
          <w:lang w:eastAsia="es-GT"/>
        </w:rPr>
        <w:lastRenderedPageBreak/>
        <w:drawing>
          <wp:inline distT="0" distB="0" distL="0" distR="0" wp14:anchorId="29BC9762" wp14:editId="430852AF">
            <wp:extent cx="5612130" cy="120607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2130" cy="1206072"/>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Default="00EC6694" w:rsidP="00EC6694">
      <w:pPr>
        <w:jc w:val="both"/>
        <w:rPr>
          <w:b/>
        </w:rPr>
      </w:pPr>
      <w:r w:rsidRPr="00D108FD">
        <w:rPr>
          <w:b/>
        </w:rPr>
        <w:t>Ministerio de Economía</w:t>
      </w:r>
      <w:r w:rsidR="00C53F28">
        <w:rPr>
          <w:b/>
        </w:rPr>
        <w:t>:</w:t>
      </w:r>
    </w:p>
    <w:p w:rsidR="00C53F28" w:rsidRPr="00D108FD" w:rsidRDefault="00C53F28" w:rsidP="00EC6694">
      <w:pPr>
        <w:jc w:val="both"/>
        <w:rPr>
          <w:b/>
        </w:rPr>
      </w:pPr>
    </w:p>
    <w:p w:rsidR="00EC6694" w:rsidRDefault="00EC6694" w:rsidP="00EC6694">
      <w:pPr>
        <w:jc w:val="both"/>
      </w:pPr>
      <w:r w:rsidRPr="00D108FD">
        <w:t>El Min</w:t>
      </w:r>
      <w:r w:rsidR="00C53F28">
        <w:t xml:space="preserve">isterio de Economía </w:t>
      </w:r>
      <w:r w:rsidRPr="00D108FD">
        <w:t>tuvo un presupuesto de Q</w:t>
      </w:r>
      <w:r w:rsidR="00C53F28">
        <w:t>.</w:t>
      </w:r>
      <w:r w:rsidRPr="00D108FD">
        <w:t>387.4 millones.  La ejecución presupuestaria fue de Q</w:t>
      </w:r>
      <w:r w:rsidR="00C53F28">
        <w:t>.</w:t>
      </w:r>
      <w:r w:rsidRPr="00D108FD">
        <w:t>360.2 millones equivalente al 93.0%.</w:t>
      </w:r>
    </w:p>
    <w:p w:rsidR="00C53F28" w:rsidRPr="00D108FD" w:rsidRDefault="00C53F28" w:rsidP="00EC6694">
      <w:pPr>
        <w:jc w:val="both"/>
      </w:pPr>
    </w:p>
    <w:p w:rsidR="00EC6694" w:rsidRDefault="00EC6694" w:rsidP="00EC6694">
      <w:pPr>
        <w:jc w:val="both"/>
      </w:pPr>
      <w:r w:rsidRPr="00D108FD">
        <w:t>El principal programa de este ministerio fue</w:t>
      </w:r>
      <w:r>
        <w:t xml:space="preserve"> el de</w:t>
      </w:r>
      <w:r w:rsidRPr="00D108FD">
        <w:t xml:space="preserve"> Partidas No Asignables a Programas, el cual tuvo un presupuesto de Q</w:t>
      </w:r>
      <w:r w:rsidR="00C53F28">
        <w:t>.</w:t>
      </w:r>
      <w:r w:rsidRPr="00D108FD">
        <w:t>101.1 millones y la ejecución fue de Q</w:t>
      </w:r>
      <w:r w:rsidR="00C53F28">
        <w:t>.</w:t>
      </w:r>
      <w:r w:rsidRPr="00D108FD">
        <w:t>101.1 millones equivalente al 100%</w:t>
      </w:r>
      <w:r>
        <w:t>.</w:t>
      </w:r>
    </w:p>
    <w:p w:rsidR="00C53F28" w:rsidRPr="00D108FD" w:rsidRDefault="00C53F28" w:rsidP="00EC6694">
      <w:pPr>
        <w:jc w:val="both"/>
      </w:pPr>
    </w:p>
    <w:p w:rsidR="00EC6694" w:rsidRDefault="00EC6694" w:rsidP="00EC6694">
      <w:pPr>
        <w:jc w:val="both"/>
      </w:pPr>
      <w:r w:rsidRPr="00D108FD">
        <w:t>El programa de “Promoción de la Inversión y Competencia” tuvo un presupuesto de Q</w:t>
      </w:r>
      <w:r w:rsidR="00C53F28">
        <w:t>.</w:t>
      </w:r>
      <w:r w:rsidRPr="00D108FD">
        <w:t>93.2 millones, y una ejecución presupuestaria de Q</w:t>
      </w:r>
      <w:r w:rsidR="00C53F28">
        <w:t>.</w:t>
      </w:r>
      <w:r w:rsidRPr="00D108FD">
        <w:t>88.3 millones equivalente al 94.8%</w:t>
      </w:r>
      <w:r>
        <w:t>.</w:t>
      </w:r>
    </w:p>
    <w:p w:rsidR="00C53F28" w:rsidRPr="00D108FD" w:rsidRDefault="00C53F28" w:rsidP="00EC6694">
      <w:pPr>
        <w:jc w:val="both"/>
      </w:pPr>
    </w:p>
    <w:p w:rsidR="00EC6694" w:rsidRDefault="00EC6694" w:rsidP="00EC6694">
      <w:pPr>
        <w:jc w:val="both"/>
      </w:pPr>
      <w:r w:rsidRPr="00D108FD">
        <w:t xml:space="preserve">El programa de “Gestión de la Integración Económica y Comercio Exterior” </w:t>
      </w:r>
      <w:r>
        <w:t>tuvo un presupuesto de</w:t>
      </w:r>
      <w:r w:rsidRPr="00D108FD">
        <w:t xml:space="preserve"> Q</w:t>
      </w:r>
      <w:r w:rsidR="00C53F28">
        <w:t>.</w:t>
      </w:r>
      <w:r w:rsidRPr="00D108FD">
        <w:t>62.9 millones, y la ejecución presupuestaria fue de Q</w:t>
      </w:r>
      <w:r w:rsidR="00C53F28">
        <w:t>.</w:t>
      </w:r>
      <w:r w:rsidRPr="00D108FD">
        <w:t>53.7 millones equivalente al 85.3%</w:t>
      </w:r>
      <w:r>
        <w:t>.</w:t>
      </w:r>
    </w:p>
    <w:p w:rsidR="00C53F28" w:rsidRPr="00D108FD" w:rsidRDefault="00C53F28" w:rsidP="00EC6694">
      <w:pPr>
        <w:jc w:val="both"/>
      </w:pPr>
    </w:p>
    <w:p w:rsidR="00EC6694" w:rsidRDefault="00EC6694" w:rsidP="00EC6694">
      <w:pPr>
        <w:jc w:val="both"/>
      </w:pPr>
      <w:r w:rsidRPr="00D108FD">
        <w:t>En los 4 restantes programas se observa una ejecución por debajo de los Q</w:t>
      </w:r>
      <w:r w:rsidR="00C53F28">
        <w:t>.</w:t>
      </w:r>
      <w:r w:rsidRPr="00D108FD">
        <w:t>50.6 millones que fue el caso de las Actividades Centrales, tal como se puede observar en el cuadro que se presenta a continuación.</w:t>
      </w:r>
    </w:p>
    <w:p w:rsidR="00C53F28" w:rsidRPr="00D108FD" w:rsidRDefault="00C53F28" w:rsidP="00EC6694">
      <w:pPr>
        <w:jc w:val="both"/>
      </w:pPr>
    </w:p>
    <w:p w:rsidR="00EC6694" w:rsidRPr="00D108FD" w:rsidRDefault="00EC6694" w:rsidP="00EC6694">
      <w:pPr>
        <w:jc w:val="both"/>
      </w:pPr>
      <w:r w:rsidRPr="0037001A">
        <w:rPr>
          <w:noProof/>
          <w:lang w:eastAsia="es-GT"/>
        </w:rPr>
        <w:drawing>
          <wp:inline distT="0" distB="0" distL="0" distR="0" wp14:anchorId="3158D360" wp14:editId="37B1CE83">
            <wp:extent cx="5612130" cy="143128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2130" cy="1431288"/>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Default="00EC6694" w:rsidP="00EC6694">
      <w:pPr>
        <w:jc w:val="both"/>
        <w:rPr>
          <w:b/>
        </w:rPr>
      </w:pPr>
      <w:r w:rsidRPr="00D108FD">
        <w:rPr>
          <w:b/>
        </w:rPr>
        <w:t>Ministerio de Agricultura, Ganadería y Alimentación</w:t>
      </w:r>
      <w:r w:rsidR="00C53F28">
        <w:rPr>
          <w:b/>
        </w:rPr>
        <w:t>:</w:t>
      </w:r>
    </w:p>
    <w:p w:rsidR="00C53F28" w:rsidRPr="00D108FD" w:rsidRDefault="00C53F28" w:rsidP="00EC6694">
      <w:pPr>
        <w:jc w:val="both"/>
        <w:rPr>
          <w:b/>
        </w:rPr>
      </w:pPr>
    </w:p>
    <w:p w:rsidR="00EC6694" w:rsidRDefault="00EC6694" w:rsidP="00EC6694">
      <w:pPr>
        <w:jc w:val="both"/>
      </w:pPr>
      <w:r w:rsidRPr="00D108FD">
        <w:t>El M</w:t>
      </w:r>
      <w:r w:rsidR="00C53F28">
        <w:t>inisterio de Agricultura, Ganadería y Alimentación</w:t>
      </w:r>
      <w:r w:rsidRPr="00D108FD">
        <w:t xml:space="preserve"> tuvo un presupuesto de Q</w:t>
      </w:r>
      <w:r w:rsidR="00C53F28">
        <w:t>.</w:t>
      </w:r>
      <w:r w:rsidRPr="00D108FD">
        <w:t>1,482.8 millones y una ejecución presupuestaria de Q</w:t>
      </w:r>
      <w:r w:rsidR="00C53F28">
        <w:t>.</w:t>
      </w:r>
      <w:r w:rsidRPr="00D108FD">
        <w:t>1,404.7 millones equivalente al 94.7%</w:t>
      </w:r>
      <w:r>
        <w:t>.</w:t>
      </w:r>
    </w:p>
    <w:p w:rsidR="00C53F28" w:rsidRPr="00D108FD" w:rsidRDefault="00C53F28" w:rsidP="00EC6694">
      <w:pPr>
        <w:jc w:val="both"/>
      </w:pPr>
    </w:p>
    <w:p w:rsidR="00EC6694" w:rsidRDefault="00EC6694" w:rsidP="00EC6694">
      <w:pPr>
        <w:jc w:val="both"/>
      </w:pPr>
      <w:r w:rsidRPr="00D108FD">
        <w:lastRenderedPageBreak/>
        <w:t xml:space="preserve">De acuerdo </w:t>
      </w:r>
      <w:r>
        <w:t>a</w:t>
      </w:r>
      <w:r w:rsidRPr="00D108FD">
        <w:t xml:space="preserve">l SICOIN, los programas prioritarios para las funciones esenciales de este ministerio, “Apoyo a la Agricultura Familiar” el cual tuvo un presupuesto de </w:t>
      </w:r>
      <w:r w:rsidR="000C0DC4">
        <w:t>Q.</w:t>
      </w:r>
      <w:r w:rsidRPr="00D108FD">
        <w:t>563.4</w:t>
      </w:r>
      <w:r w:rsidR="000C0DC4">
        <w:t xml:space="preserve"> millones</w:t>
      </w:r>
      <w:r w:rsidRPr="00D108FD">
        <w:t xml:space="preserve"> y una ejecución presupuestaria de Q</w:t>
      </w:r>
      <w:r w:rsidR="000C0DC4">
        <w:t>.</w:t>
      </w:r>
      <w:r w:rsidRPr="00D108FD">
        <w:t>527.9 millones equivalentes al 93.7%.</w:t>
      </w:r>
    </w:p>
    <w:p w:rsidR="000C0DC4" w:rsidRPr="00D108FD" w:rsidRDefault="000C0DC4" w:rsidP="00EC6694">
      <w:pPr>
        <w:jc w:val="both"/>
      </w:pPr>
    </w:p>
    <w:p w:rsidR="00EC6694" w:rsidRDefault="00EC6694" w:rsidP="00EC6694">
      <w:pPr>
        <w:jc w:val="both"/>
      </w:pPr>
      <w:r w:rsidRPr="00D108FD">
        <w:t>El programa de “Apoyo a la Productividad y Competitividad Agropecuaria e Hidrobiológica” tuvo un presupuesto de Q</w:t>
      </w:r>
      <w:r w:rsidR="000C0DC4">
        <w:t>.</w:t>
      </w:r>
      <w:r w:rsidRPr="00D108FD">
        <w:t>290.0 millones y una ejecución presupuestaria de Q</w:t>
      </w:r>
      <w:r w:rsidR="000C0DC4">
        <w:t>.</w:t>
      </w:r>
      <w:r w:rsidRPr="00D108FD">
        <w:t>274.7 millones equivalente al 94.7%.</w:t>
      </w:r>
    </w:p>
    <w:p w:rsidR="000C0DC4" w:rsidRPr="00D108FD" w:rsidRDefault="000C0DC4" w:rsidP="00EC6694">
      <w:pPr>
        <w:jc w:val="both"/>
      </w:pPr>
    </w:p>
    <w:p w:rsidR="00EC6694" w:rsidRDefault="00EC6694" w:rsidP="00EC6694">
      <w:pPr>
        <w:jc w:val="both"/>
      </w:pPr>
      <w:r w:rsidRPr="00D108FD">
        <w:t>Las Actividades Centrales Q</w:t>
      </w:r>
      <w:r w:rsidR="000C0DC4">
        <w:t>.</w:t>
      </w:r>
      <w:r w:rsidRPr="00D108FD">
        <w:t>263.7 millones y una ejecución presupuestaria de Q</w:t>
      </w:r>
      <w:r w:rsidR="000C0DC4">
        <w:t>.</w:t>
      </w:r>
      <w:r w:rsidRPr="00D108FD">
        <w:t>245.5 millones equivalente a un 93.1%</w:t>
      </w:r>
      <w:r>
        <w:t>.</w:t>
      </w:r>
    </w:p>
    <w:p w:rsidR="000C0DC4" w:rsidRPr="00D108FD" w:rsidRDefault="000C0DC4" w:rsidP="00EC6694">
      <w:pPr>
        <w:jc w:val="both"/>
      </w:pPr>
    </w:p>
    <w:p w:rsidR="00EC6694" w:rsidRDefault="00EC6694" w:rsidP="00EC6694">
      <w:pPr>
        <w:jc w:val="both"/>
      </w:pPr>
      <w:r w:rsidRPr="00D108FD">
        <w:t>E</w:t>
      </w:r>
      <w:r w:rsidR="000C0DC4">
        <w:t xml:space="preserve">ste Ministerio </w:t>
      </w:r>
      <w:r w:rsidRPr="00D108FD">
        <w:t>con</w:t>
      </w:r>
      <w:r w:rsidR="000C0DC4">
        <w:t>sideró</w:t>
      </w:r>
      <w:r w:rsidRPr="00D108FD">
        <w:t xml:space="preserve"> Partidas No Asignables a Programas con un presupuesto de Q</w:t>
      </w:r>
      <w:r w:rsidR="000C0DC4">
        <w:t>.</w:t>
      </w:r>
      <w:r w:rsidRPr="00D108FD">
        <w:t>247.7 millones y una ejecución presupuestaria de Q</w:t>
      </w:r>
      <w:r w:rsidR="000C0DC4">
        <w:t>.</w:t>
      </w:r>
      <w:r w:rsidRPr="00D108FD">
        <w:t>241.1 millones equivalente al 97.4%</w:t>
      </w:r>
      <w:r>
        <w:t>.</w:t>
      </w:r>
    </w:p>
    <w:p w:rsidR="000C0DC4" w:rsidRPr="00D108FD" w:rsidRDefault="000C0DC4" w:rsidP="00EC6694">
      <w:pPr>
        <w:jc w:val="both"/>
      </w:pPr>
    </w:p>
    <w:p w:rsidR="00EC6694" w:rsidRDefault="00EC6694" w:rsidP="00EC6694">
      <w:pPr>
        <w:jc w:val="both"/>
      </w:pPr>
      <w:r w:rsidRPr="00D108FD">
        <w:t>En el transcurso del año se creó el programa “Atención por Desastres Naturales y Calamidades Públicas” al cual se le asignaron recursos con el avance del año por Q</w:t>
      </w:r>
      <w:r w:rsidR="000C0DC4">
        <w:t>.</w:t>
      </w:r>
      <w:r w:rsidRPr="00D108FD">
        <w:t>75.3 millones, con ejecución presupuestaria de Q</w:t>
      </w:r>
      <w:r w:rsidR="000C0DC4">
        <w:t>.</w:t>
      </w:r>
      <w:r w:rsidRPr="00D108FD">
        <w:t>74.2 millones equivalentes al 98.6% del presupuesto vigente.</w:t>
      </w:r>
    </w:p>
    <w:p w:rsidR="000C0DC4" w:rsidRPr="00D108FD" w:rsidRDefault="000C0DC4" w:rsidP="00EC6694">
      <w:pPr>
        <w:jc w:val="both"/>
      </w:pPr>
    </w:p>
    <w:p w:rsidR="00EC6694" w:rsidRDefault="00EC6694" w:rsidP="00EC6694">
      <w:pPr>
        <w:jc w:val="both"/>
      </w:pPr>
      <w:r w:rsidRPr="00D108FD">
        <w:t>Los restantes 2 programas tuvieron una ejecución presupuestaria por debajo de Q</w:t>
      </w:r>
      <w:r w:rsidR="00E868EE">
        <w:t>.</w:t>
      </w:r>
      <w:r w:rsidRPr="00D108FD">
        <w:t>50 millones, según se observa en el cuadro a continuación.</w:t>
      </w:r>
    </w:p>
    <w:p w:rsidR="00E868EE" w:rsidRPr="00D108FD" w:rsidRDefault="00E868EE" w:rsidP="00EC6694">
      <w:pPr>
        <w:jc w:val="both"/>
      </w:pPr>
    </w:p>
    <w:p w:rsidR="00EC6694" w:rsidRPr="00D108FD" w:rsidRDefault="00EC6694" w:rsidP="00EC6694">
      <w:pPr>
        <w:jc w:val="both"/>
      </w:pPr>
      <w:r w:rsidRPr="000841C5">
        <w:rPr>
          <w:noProof/>
          <w:lang w:eastAsia="es-GT"/>
        </w:rPr>
        <w:drawing>
          <wp:inline distT="0" distB="0" distL="0" distR="0" wp14:anchorId="3B4C39C1" wp14:editId="7650637F">
            <wp:extent cx="5612130" cy="13930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2130" cy="1393075"/>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Default="00EC6694" w:rsidP="00EC6694">
      <w:pPr>
        <w:jc w:val="both"/>
        <w:rPr>
          <w:b/>
        </w:rPr>
      </w:pPr>
      <w:r w:rsidRPr="00D108FD">
        <w:rPr>
          <w:b/>
        </w:rPr>
        <w:t>Ministerio de Comunicaciones, Infraestructura y Vivienda</w:t>
      </w:r>
      <w:r w:rsidR="00E868EE">
        <w:rPr>
          <w:b/>
        </w:rPr>
        <w:t>:</w:t>
      </w:r>
    </w:p>
    <w:p w:rsidR="00E868EE" w:rsidRPr="00D108FD" w:rsidRDefault="00E868EE" w:rsidP="00EC6694">
      <w:pPr>
        <w:jc w:val="both"/>
        <w:rPr>
          <w:b/>
        </w:rPr>
      </w:pPr>
    </w:p>
    <w:p w:rsidR="00EC6694" w:rsidRDefault="00EC6694" w:rsidP="00EC6694">
      <w:pPr>
        <w:jc w:val="both"/>
      </w:pPr>
      <w:r w:rsidRPr="00D108FD">
        <w:t xml:space="preserve">El </w:t>
      </w:r>
      <w:r w:rsidR="00E868EE" w:rsidRPr="00E868EE">
        <w:t>Ministerio de Comunicaciones, Infraestructura y Vivienda</w:t>
      </w:r>
      <w:r w:rsidR="00E868EE" w:rsidRPr="00D108FD">
        <w:t xml:space="preserve"> </w:t>
      </w:r>
      <w:r w:rsidRPr="00D108FD">
        <w:t>reporta 5 programas principales dentro de su ejecución, a los cuales le asignó la mayor cantidad de recursos, tuvo un presupuesto de Q</w:t>
      </w:r>
      <w:r w:rsidR="00E868EE">
        <w:t>.</w:t>
      </w:r>
      <w:r w:rsidRPr="00D108FD">
        <w:t>4,951.4 millones y una ejecución presupuestaria de Q</w:t>
      </w:r>
      <w:r w:rsidR="00E868EE">
        <w:t>.</w:t>
      </w:r>
      <w:r w:rsidRPr="00D108FD">
        <w:t>4,782.5 millones equivalente al 96.6%</w:t>
      </w:r>
      <w:r>
        <w:t>.</w:t>
      </w:r>
    </w:p>
    <w:p w:rsidR="00E868EE" w:rsidRPr="00D108FD" w:rsidRDefault="00E868EE" w:rsidP="00EC6694">
      <w:pPr>
        <w:jc w:val="both"/>
      </w:pPr>
    </w:p>
    <w:p w:rsidR="00EC6694" w:rsidRDefault="00EC6694" w:rsidP="00EC6694">
      <w:pPr>
        <w:jc w:val="both"/>
      </w:pPr>
      <w:r w:rsidRPr="00D108FD">
        <w:t>El primero de los programas prioritarios es “Desarrollo de la Infraestructura Vial” con un presupuesto de Q</w:t>
      </w:r>
      <w:r w:rsidR="00434E29">
        <w:t>.</w:t>
      </w:r>
      <w:r w:rsidRPr="00D108FD">
        <w:t>4,004.0 millones y una ejecución presupuestaria de Q</w:t>
      </w:r>
      <w:r w:rsidR="00434E29">
        <w:t>.</w:t>
      </w:r>
      <w:r w:rsidRPr="00D108FD">
        <w:t>3,905.5 equivalente al 97.5%.</w:t>
      </w:r>
    </w:p>
    <w:p w:rsidR="00434E29" w:rsidRPr="00D108FD" w:rsidRDefault="00434E29" w:rsidP="00EC6694">
      <w:pPr>
        <w:jc w:val="both"/>
      </w:pPr>
    </w:p>
    <w:p w:rsidR="00EC6694" w:rsidRDefault="00EC6694" w:rsidP="00EC6694">
      <w:pPr>
        <w:jc w:val="both"/>
      </w:pPr>
      <w:r w:rsidRPr="00D108FD">
        <w:lastRenderedPageBreak/>
        <w:t>Seguidamente aparece el programa “Atención por Desastres Naturales y Calamidades Públicas” el cual se creó en el transcurso del año con un presupuesto de Q</w:t>
      </w:r>
      <w:r w:rsidR="00434E29">
        <w:t>.</w:t>
      </w:r>
      <w:r w:rsidRPr="00D108FD">
        <w:t>222.4 millones y una ejecución presupuestaria de Q</w:t>
      </w:r>
      <w:r w:rsidR="00434E29">
        <w:t>.</w:t>
      </w:r>
      <w:r w:rsidRPr="00D108FD">
        <w:t>201.5 millones equivalente al 90.6%.</w:t>
      </w:r>
    </w:p>
    <w:p w:rsidR="00434E29" w:rsidRPr="00D108FD" w:rsidRDefault="00434E29" w:rsidP="00EC6694">
      <w:pPr>
        <w:jc w:val="both"/>
      </w:pPr>
    </w:p>
    <w:p w:rsidR="00EC6694" w:rsidRDefault="00EC6694" w:rsidP="00EC6694">
      <w:pPr>
        <w:jc w:val="both"/>
      </w:pPr>
      <w:r w:rsidRPr="00D108FD">
        <w:t xml:space="preserve">Le sigue el programa de “Servicios Aeronáuticos y Aeroportuarios”, el cual </w:t>
      </w:r>
      <w:r>
        <w:t xml:space="preserve">tuvo un presupuesto </w:t>
      </w:r>
      <w:r w:rsidRPr="00D108FD">
        <w:t>de Q</w:t>
      </w:r>
      <w:r w:rsidR="00434E29">
        <w:t>.</w:t>
      </w:r>
      <w:r w:rsidRPr="00D108FD">
        <w:t>182.2 millones y una ejecución presupuestaria de Q</w:t>
      </w:r>
      <w:r w:rsidR="00434E29">
        <w:t>.</w:t>
      </w:r>
      <w:r w:rsidRPr="00D108FD">
        <w:t>172.2 millones equivalente al 94.5%</w:t>
      </w:r>
      <w:r>
        <w:t>.</w:t>
      </w:r>
    </w:p>
    <w:p w:rsidR="00434E29" w:rsidRPr="00D108FD" w:rsidRDefault="00434E29" w:rsidP="00EC6694">
      <w:pPr>
        <w:jc w:val="both"/>
      </w:pPr>
    </w:p>
    <w:p w:rsidR="00EC6694" w:rsidRDefault="00EC6694" w:rsidP="00EC6694">
      <w:pPr>
        <w:jc w:val="both"/>
      </w:pPr>
      <w:r w:rsidRPr="00D108FD">
        <w:t>Se observa también el programa “Desarrollo de la Vivienda” con un presupuesto de Q</w:t>
      </w:r>
      <w:r w:rsidR="00434E29">
        <w:t>.</w:t>
      </w:r>
      <w:r w:rsidRPr="00D108FD">
        <w:t>180.5 y una ejecución presupuestaria de Q</w:t>
      </w:r>
      <w:r w:rsidR="00434E29">
        <w:t>.</w:t>
      </w:r>
      <w:r w:rsidRPr="00D108FD">
        <w:t>162.0 millones equivalente al 89.8%</w:t>
      </w:r>
      <w:r>
        <w:t>.</w:t>
      </w:r>
    </w:p>
    <w:p w:rsidR="00434E29" w:rsidRPr="00D108FD" w:rsidRDefault="00434E29" w:rsidP="00EC6694">
      <w:pPr>
        <w:jc w:val="both"/>
      </w:pPr>
    </w:p>
    <w:p w:rsidR="00EC6694" w:rsidRDefault="00EC6694" w:rsidP="00EC6694">
      <w:pPr>
        <w:jc w:val="both"/>
      </w:pPr>
      <w:r w:rsidRPr="00D108FD">
        <w:t>Finalmente dentro del grupo de programas con mayor presupuesto y ejecución, se ubica el de “Construcción de Obra Pública” con un presupuesto de Q</w:t>
      </w:r>
      <w:r w:rsidR="00434E29">
        <w:t>.</w:t>
      </w:r>
      <w:r w:rsidRPr="00D108FD">
        <w:t>129.1 millones y una ejecución presupuestaria de Q</w:t>
      </w:r>
      <w:r w:rsidR="00434E29">
        <w:t>.</w:t>
      </w:r>
      <w:r w:rsidRPr="00D108FD">
        <w:t>123.0 millones equivalente al 95.2</w:t>
      </w:r>
      <w:r>
        <w:t>%.</w:t>
      </w:r>
    </w:p>
    <w:p w:rsidR="00434E29" w:rsidRPr="00D108FD" w:rsidRDefault="00434E29" w:rsidP="00EC6694">
      <w:pPr>
        <w:jc w:val="both"/>
      </w:pPr>
    </w:p>
    <w:p w:rsidR="00EC6694" w:rsidRDefault="00EC6694" w:rsidP="00EC6694">
      <w:pPr>
        <w:jc w:val="both"/>
      </w:pPr>
      <w:r w:rsidRPr="00D108FD">
        <w:t>Seguidamente se observan 14 programas más, los cuales tuvieron una ejecución presupuestaria por debajo de los Q</w:t>
      </w:r>
      <w:r w:rsidR="00434E29">
        <w:t>.</w:t>
      </w:r>
      <w:r w:rsidRPr="00D108FD">
        <w:t>40.0 millones, tal como se observa en el cuadro que se presenta a continuación.</w:t>
      </w:r>
    </w:p>
    <w:p w:rsidR="00434E29" w:rsidRPr="00D108FD" w:rsidRDefault="00434E29" w:rsidP="00EC6694">
      <w:pPr>
        <w:jc w:val="both"/>
      </w:pPr>
    </w:p>
    <w:p w:rsidR="00EC6694" w:rsidRPr="00D108FD" w:rsidRDefault="00EC6694" w:rsidP="00EC6694">
      <w:pPr>
        <w:jc w:val="both"/>
      </w:pPr>
      <w:r w:rsidRPr="000841C5">
        <w:rPr>
          <w:noProof/>
          <w:lang w:eastAsia="es-GT"/>
        </w:rPr>
        <w:drawing>
          <wp:inline distT="0" distB="0" distL="0" distR="0" wp14:anchorId="0505FCCC" wp14:editId="51BFC2C0">
            <wp:extent cx="5612130" cy="279267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2130" cy="2792678"/>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Default="00EC6694" w:rsidP="00EC6694">
      <w:pPr>
        <w:jc w:val="both"/>
        <w:rPr>
          <w:b/>
        </w:rPr>
      </w:pPr>
      <w:r>
        <w:rPr>
          <w:b/>
        </w:rPr>
        <w:t>M</w:t>
      </w:r>
      <w:r w:rsidRPr="00D108FD">
        <w:rPr>
          <w:b/>
        </w:rPr>
        <w:t>inisterio de Energía y Minas</w:t>
      </w:r>
      <w:r w:rsidR="00434E29">
        <w:rPr>
          <w:b/>
        </w:rPr>
        <w:t>:</w:t>
      </w:r>
    </w:p>
    <w:p w:rsidR="00434E29" w:rsidRPr="00D108FD" w:rsidRDefault="00434E29" w:rsidP="00EC6694">
      <w:pPr>
        <w:jc w:val="both"/>
        <w:rPr>
          <w:b/>
        </w:rPr>
      </w:pPr>
    </w:p>
    <w:p w:rsidR="00EC6694" w:rsidRDefault="00EC6694" w:rsidP="00EC6694">
      <w:pPr>
        <w:jc w:val="both"/>
      </w:pPr>
      <w:r w:rsidRPr="00D108FD">
        <w:t xml:space="preserve">Éste </w:t>
      </w:r>
      <w:r w:rsidR="00434E29">
        <w:t>M</w:t>
      </w:r>
      <w:r w:rsidRPr="00D108FD">
        <w:t xml:space="preserve">inisterio inició </w:t>
      </w:r>
      <w:r>
        <w:t>conto con un</w:t>
      </w:r>
      <w:r w:rsidRPr="00D108FD">
        <w:t xml:space="preserve"> presupuesto de Q</w:t>
      </w:r>
      <w:r w:rsidR="00434E29">
        <w:t>.</w:t>
      </w:r>
      <w:r w:rsidRPr="00D108FD">
        <w:t>75.2 millones y una ejecución presupuestaria de Q</w:t>
      </w:r>
      <w:r w:rsidR="00434E29">
        <w:t>.</w:t>
      </w:r>
      <w:r w:rsidRPr="00D108FD">
        <w:t>73.4 millones equivalente al 97.6%</w:t>
      </w:r>
      <w:r>
        <w:t>.</w:t>
      </w:r>
    </w:p>
    <w:p w:rsidR="00434E29" w:rsidRPr="00D108FD" w:rsidRDefault="00434E29" w:rsidP="00EC6694">
      <w:pPr>
        <w:jc w:val="both"/>
      </w:pPr>
    </w:p>
    <w:p w:rsidR="00EC6694" w:rsidRPr="00D108FD" w:rsidRDefault="00EC6694" w:rsidP="00EC6694">
      <w:pPr>
        <w:jc w:val="both"/>
      </w:pPr>
      <w:r w:rsidRPr="00D108FD">
        <w:t>Dos fueron los programas prioritarios de</w:t>
      </w:r>
      <w:r w:rsidR="00434E29">
        <w:t xml:space="preserve"> este Ministerio</w:t>
      </w:r>
      <w:r w:rsidRPr="00D108FD">
        <w:t>, siendo el primero el de las Actividades Centrales que iniciaron con un presupuesto de Q</w:t>
      </w:r>
      <w:r w:rsidR="00434E29">
        <w:t>.</w:t>
      </w:r>
      <w:r w:rsidRPr="00D108FD">
        <w:t>30.7 millones y una ejecución presupuestaria de Q</w:t>
      </w:r>
      <w:r w:rsidR="00434E29">
        <w:t>.</w:t>
      </w:r>
      <w:r w:rsidRPr="00D108FD">
        <w:t>30.2 millones equivalente al 98.3%.</w:t>
      </w:r>
    </w:p>
    <w:p w:rsidR="00EC6694" w:rsidRDefault="00EC6694" w:rsidP="00EC6694">
      <w:pPr>
        <w:jc w:val="both"/>
      </w:pPr>
      <w:r w:rsidRPr="00D108FD">
        <w:lastRenderedPageBreak/>
        <w:t>El segundo programa más importante fue “Exploración, Explotación y Comercialización Petrolera” con un presupuesto  de Q</w:t>
      </w:r>
      <w:r w:rsidR="00434E29">
        <w:t>.</w:t>
      </w:r>
      <w:r w:rsidRPr="00D108FD">
        <w:t>13.6 millones y una ejecución presupuestaria de Q</w:t>
      </w:r>
      <w:r w:rsidR="00434E29">
        <w:t>.</w:t>
      </w:r>
      <w:r w:rsidRPr="00D108FD">
        <w:t>13.3 millones equivalente al 97.8%</w:t>
      </w:r>
      <w:r>
        <w:t>.</w:t>
      </w:r>
    </w:p>
    <w:p w:rsidR="00434E29" w:rsidRPr="00D108FD" w:rsidRDefault="00434E29" w:rsidP="00EC6694">
      <w:pPr>
        <w:jc w:val="both"/>
      </w:pPr>
    </w:p>
    <w:p w:rsidR="00EC6694" w:rsidRDefault="00EC6694" w:rsidP="00EC6694">
      <w:pPr>
        <w:jc w:val="both"/>
      </w:pPr>
      <w:r w:rsidRPr="00D108FD">
        <w:t>Seguidamente el SICOIN reporta 5 programas más con una ejecución por debajo de los Q</w:t>
      </w:r>
      <w:r w:rsidR="00434E29">
        <w:t>.</w:t>
      </w:r>
      <w:r w:rsidRPr="00D108FD">
        <w:t>10.0 millones, tal como se puede observar en el cuadro a continuación.</w:t>
      </w:r>
    </w:p>
    <w:p w:rsidR="00434E29" w:rsidRPr="00D108FD" w:rsidRDefault="00434E29" w:rsidP="00EC6694">
      <w:pPr>
        <w:jc w:val="both"/>
      </w:pPr>
    </w:p>
    <w:p w:rsidR="00EC6694" w:rsidRPr="00D108FD" w:rsidRDefault="00EC6694" w:rsidP="00EC6694">
      <w:pPr>
        <w:jc w:val="both"/>
      </w:pPr>
      <w:r w:rsidRPr="000841C5">
        <w:rPr>
          <w:noProof/>
          <w:lang w:eastAsia="es-GT"/>
        </w:rPr>
        <w:drawing>
          <wp:inline distT="0" distB="0" distL="0" distR="0" wp14:anchorId="449F12C5" wp14:editId="259FF34C">
            <wp:extent cx="5612130" cy="125295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2130" cy="1252953"/>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Default="00EC6694" w:rsidP="00EC6694">
      <w:pPr>
        <w:jc w:val="both"/>
        <w:rPr>
          <w:b/>
        </w:rPr>
      </w:pPr>
      <w:r w:rsidRPr="00D108FD">
        <w:rPr>
          <w:b/>
        </w:rPr>
        <w:t>Ministerio de Cultura y Deportes</w:t>
      </w:r>
      <w:r w:rsidR="00434E29">
        <w:rPr>
          <w:b/>
        </w:rPr>
        <w:t>:</w:t>
      </w:r>
    </w:p>
    <w:p w:rsidR="00434E29" w:rsidRPr="00D108FD" w:rsidRDefault="00434E29" w:rsidP="00EC6694">
      <w:pPr>
        <w:jc w:val="both"/>
        <w:rPr>
          <w:b/>
        </w:rPr>
      </w:pPr>
    </w:p>
    <w:p w:rsidR="00EC6694" w:rsidRDefault="00EC6694" w:rsidP="00EC6694">
      <w:pPr>
        <w:jc w:val="both"/>
      </w:pPr>
      <w:r w:rsidRPr="00D108FD">
        <w:t xml:space="preserve">Éste </w:t>
      </w:r>
      <w:r w:rsidR="00434E29">
        <w:t>M</w:t>
      </w:r>
      <w:r w:rsidRPr="00D108FD">
        <w:t xml:space="preserve">inisterio </w:t>
      </w:r>
      <w:r>
        <w:t>contó</w:t>
      </w:r>
      <w:r w:rsidRPr="00D108FD">
        <w:t xml:space="preserve"> con un presupuesto de Q</w:t>
      </w:r>
      <w:r w:rsidR="00434E29">
        <w:t>.</w:t>
      </w:r>
      <w:r w:rsidRPr="00D108FD">
        <w:t>557.4 millones y una ejecución presupuestaria de Q</w:t>
      </w:r>
      <w:r w:rsidR="00434E29">
        <w:t>.</w:t>
      </w:r>
      <w:r w:rsidRPr="00D108FD">
        <w:t>431.2 millones equivalente al 77.4%.</w:t>
      </w:r>
    </w:p>
    <w:p w:rsidR="00434E29" w:rsidRPr="00D108FD" w:rsidRDefault="00434E29" w:rsidP="00EC6694">
      <w:pPr>
        <w:jc w:val="both"/>
      </w:pPr>
    </w:p>
    <w:p w:rsidR="00EC6694" w:rsidRDefault="00EC6694" w:rsidP="00EC6694">
      <w:pPr>
        <w:jc w:val="both"/>
      </w:pPr>
      <w:r w:rsidRPr="00D108FD">
        <w:t>Dentro de los programas con mayor cantidad de recursos ejecutados, se ubica “Fomento al Deporte No Federado y a la Recreación” con un presupuesto de Q</w:t>
      </w:r>
      <w:r w:rsidR="00434E29">
        <w:t>.</w:t>
      </w:r>
      <w:r w:rsidRPr="00D108FD">
        <w:t>216.6 millones, y su ejecución fue de Q</w:t>
      </w:r>
      <w:r w:rsidR="00434E29">
        <w:t>.</w:t>
      </w:r>
      <w:r w:rsidRPr="00D108FD">
        <w:t>140.4 millones equivalente al 64.8%.</w:t>
      </w:r>
    </w:p>
    <w:p w:rsidR="00434E29" w:rsidRPr="00D108FD" w:rsidRDefault="00434E29" w:rsidP="00EC6694">
      <w:pPr>
        <w:jc w:val="both"/>
      </w:pPr>
    </w:p>
    <w:p w:rsidR="00EC6694" w:rsidRDefault="00EC6694" w:rsidP="00EC6694">
      <w:pPr>
        <w:jc w:val="both"/>
      </w:pPr>
      <w:r w:rsidRPr="00D108FD">
        <w:t>El siguiente programa fue “Restauración, Preservación y Protección del Patrimonio Cultural y Natural” el cual tuvo un presupuesto de Q</w:t>
      </w:r>
      <w:r w:rsidR="00434E29">
        <w:t>.</w:t>
      </w:r>
      <w:r w:rsidRPr="00D108FD">
        <w:t>156.8 millones y una ejecución presupuestaria de Q</w:t>
      </w:r>
      <w:r w:rsidR="00434E29">
        <w:t>.</w:t>
      </w:r>
      <w:r w:rsidRPr="00D108FD">
        <w:t>139.3 millones equivalente al 88.9%</w:t>
      </w:r>
      <w:r>
        <w:t>.</w:t>
      </w:r>
    </w:p>
    <w:p w:rsidR="00434E29" w:rsidRPr="00D108FD" w:rsidRDefault="00434E29" w:rsidP="00EC6694">
      <w:pPr>
        <w:jc w:val="both"/>
      </w:pPr>
    </w:p>
    <w:p w:rsidR="00EC6694" w:rsidRDefault="00EC6694" w:rsidP="00EC6694">
      <w:pPr>
        <w:jc w:val="both"/>
      </w:pPr>
      <w:r w:rsidRPr="00D108FD">
        <w:t xml:space="preserve">Finalmente dentro de los programas con mayor asignación se ubica el programa de “Formación, Fomento y Difusión de las Artes” con un presupuesto de </w:t>
      </w:r>
      <w:r w:rsidR="00434E29">
        <w:t>Q.</w:t>
      </w:r>
      <w:r w:rsidRPr="00D108FD">
        <w:t>114.2 millones y una ejecución presupuestaria de Q</w:t>
      </w:r>
      <w:r w:rsidR="00434E29">
        <w:t>.</w:t>
      </w:r>
      <w:r w:rsidRPr="00D108FD">
        <w:t>92.9 millones equivalente</w:t>
      </w:r>
      <w:r>
        <w:t xml:space="preserve"> al 81.4%</w:t>
      </w:r>
      <w:r w:rsidRPr="00D108FD">
        <w:t>.</w:t>
      </w:r>
    </w:p>
    <w:p w:rsidR="00434E29" w:rsidRPr="00D108FD" w:rsidRDefault="00434E29" w:rsidP="00EC6694">
      <w:pPr>
        <w:jc w:val="both"/>
      </w:pPr>
    </w:p>
    <w:p w:rsidR="00EC6694" w:rsidRDefault="00EC6694" w:rsidP="00EC6694">
      <w:pPr>
        <w:jc w:val="both"/>
      </w:pPr>
      <w:r w:rsidRPr="00D108FD">
        <w:t>Quedan 3 programas restantes para completar la ejecución presupuestaria, los cuales se ubicaron por debajo de los Q</w:t>
      </w:r>
      <w:r w:rsidR="00434E29">
        <w:t>.</w:t>
      </w:r>
      <w:r w:rsidRPr="00D108FD">
        <w:t>25.0 millones, según se observa en el cuadro que se presenta a continuación.</w:t>
      </w:r>
    </w:p>
    <w:p w:rsidR="00434E29" w:rsidRPr="00D108FD" w:rsidRDefault="00434E29" w:rsidP="00EC6694">
      <w:pPr>
        <w:jc w:val="both"/>
      </w:pPr>
    </w:p>
    <w:p w:rsidR="00EC6694" w:rsidRPr="00D108FD" w:rsidRDefault="00EC6694" w:rsidP="00EC6694">
      <w:pPr>
        <w:jc w:val="both"/>
      </w:pPr>
      <w:r w:rsidRPr="000841C5">
        <w:rPr>
          <w:noProof/>
          <w:lang w:eastAsia="es-GT"/>
        </w:rPr>
        <w:drawing>
          <wp:inline distT="0" distB="0" distL="0" distR="0" wp14:anchorId="04457B63" wp14:editId="789B3118">
            <wp:extent cx="5612130" cy="1294051"/>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2130" cy="1294051"/>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Default="00EC6694" w:rsidP="00EC6694">
      <w:pPr>
        <w:jc w:val="both"/>
        <w:rPr>
          <w:b/>
        </w:rPr>
      </w:pPr>
      <w:r w:rsidRPr="00D108FD">
        <w:rPr>
          <w:b/>
        </w:rPr>
        <w:t>Ministerio de Ambiente y Recursos Naturales</w:t>
      </w:r>
      <w:r w:rsidR="00B21910">
        <w:rPr>
          <w:b/>
        </w:rPr>
        <w:t>:</w:t>
      </w:r>
    </w:p>
    <w:p w:rsidR="00B21910" w:rsidRPr="00D108FD" w:rsidRDefault="00B21910" w:rsidP="00EC6694">
      <w:pPr>
        <w:jc w:val="both"/>
        <w:rPr>
          <w:b/>
        </w:rPr>
      </w:pPr>
    </w:p>
    <w:p w:rsidR="00EC6694" w:rsidRDefault="00EC6694" w:rsidP="00EC6694">
      <w:pPr>
        <w:jc w:val="both"/>
      </w:pPr>
      <w:r w:rsidRPr="00D108FD">
        <w:t xml:space="preserve">El </w:t>
      </w:r>
      <w:r w:rsidR="00B21910" w:rsidRPr="00B21910">
        <w:t>Ministerio de Ambiente y Recursos Naturales</w:t>
      </w:r>
      <w:r w:rsidR="00B21910" w:rsidRPr="00D108FD">
        <w:t xml:space="preserve"> </w:t>
      </w:r>
      <w:r w:rsidRPr="00D108FD">
        <w:t>tuvo un presupuesto de Q</w:t>
      </w:r>
      <w:r w:rsidR="00B21910">
        <w:t>.</w:t>
      </w:r>
      <w:r w:rsidRPr="00D108FD">
        <w:t>145.9 millones, y una ejecución presupuestaria de Q</w:t>
      </w:r>
      <w:r w:rsidR="00B21910">
        <w:t>.</w:t>
      </w:r>
      <w:r w:rsidRPr="00D108FD">
        <w:t>140.6 millones equivalente al 96.3%</w:t>
      </w:r>
      <w:r>
        <w:t>.</w:t>
      </w:r>
    </w:p>
    <w:p w:rsidR="00B21910" w:rsidRPr="00D108FD" w:rsidRDefault="00B21910" w:rsidP="00EC6694">
      <w:pPr>
        <w:jc w:val="both"/>
      </w:pPr>
    </w:p>
    <w:p w:rsidR="00EC6694" w:rsidRDefault="00EC6694" w:rsidP="00EC6694">
      <w:pPr>
        <w:jc w:val="both"/>
      </w:pPr>
      <w:r w:rsidRPr="00D108FD">
        <w:t xml:space="preserve">Éste </w:t>
      </w:r>
      <w:r w:rsidR="00B21910">
        <w:t>M</w:t>
      </w:r>
      <w:r w:rsidRPr="00D108FD">
        <w:t>inisterio operó durante 2018 con dos programas principales de acuerdo al monto observado en su ejecución presupuestaria, dentro de esos el primero es “Resiliencia y Adaptación al Cambio Climático” con un presupuesto de Q</w:t>
      </w:r>
      <w:r w:rsidR="00B21910">
        <w:t>.</w:t>
      </w:r>
      <w:r w:rsidRPr="00D108FD">
        <w:t>66.1 millones y una ejecución presupuestaria de Q</w:t>
      </w:r>
      <w:r w:rsidR="00B21910">
        <w:t>.</w:t>
      </w:r>
      <w:r w:rsidRPr="00D108FD">
        <w:t>64.9 millones equivalente al 98.1%</w:t>
      </w:r>
      <w:r>
        <w:t>.</w:t>
      </w:r>
    </w:p>
    <w:p w:rsidR="00B21910" w:rsidRPr="00D108FD" w:rsidRDefault="00B21910" w:rsidP="00EC6694">
      <w:pPr>
        <w:jc w:val="both"/>
      </w:pPr>
    </w:p>
    <w:p w:rsidR="00EC6694" w:rsidRDefault="00EC6694" w:rsidP="00EC6694">
      <w:pPr>
        <w:jc w:val="both"/>
      </w:pPr>
      <w:r w:rsidRPr="00D108FD">
        <w:t xml:space="preserve">El segundo fue el de “Administración Institucional” con un presupuesto </w:t>
      </w:r>
      <w:r>
        <w:t xml:space="preserve">de </w:t>
      </w:r>
      <w:r w:rsidRPr="00D108FD">
        <w:t>Q</w:t>
      </w:r>
      <w:r w:rsidR="00B21910">
        <w:t>.</w:t>
      </w:r>
      <w:r w:rsidRPr="00D108FD">
        <w:t>55.6 millones y una ejecución presupuestaria de Q</w:t>
      </w:r>
      <w:r w:rsidR="00B21910">
        <w:t>.</w:t>
      </w:r>
      <w:r w:rsidRPr="00D108FD">
        <w:t>54.0 millones equivalente al 97.1%</w:t>
      </w:r>
      <w:r>
        <w:t>.</w:t>
      </w:r>
    </w:p>
    <w:p w:rsidR="00B21910" w:rsidRPr="00D108FD" w:rsidRDefault="00B21910" w:rsidP="00EC6694">
      <w:pPr>
        <w:jc w:val="both"/>
      </w:pPr>
    </w:p>
    <w:p w:rsidR="00EC6694" w:rsidRDefault="00EC6694" w:rsidP="00EC6694">
      <w:pPr>
        <w:jc w:val="both"/>
      </w:pPr>
      <w:r w:rsidRPr="00D108FD">
        <w:t>El programa “Conservación y Protección de los Recursos Naturales y Ambiente” tuvo un presupuesto de Q</w:t>
      </w:r>
      <w:r w:rsidR="00B21910">
        <w:t>.</w:t>
      </w:r>
      <w:r w:rsidRPr="00D108FD">
        <w:t>13.9 millones y una ejecución presupuestaria de Q</w:t>
      </w:r>
      <w:r w:rsidR="00B21910">
        <w:t>.</w:t>
      </w:r>
      <w:r w:rsidRPr="00D108FD">
        <w:t>11.7 millones equivalente al 84.4%.</w:t>
      </w:r>
    </w:p>
    <w:p w:rsidR="00B21910" w:rsidRPr="00D108FD" w:rsidRDefault="00B21910" w:rsidP="00EC6694">
      <w:pPr>
        <w:jc w:val="both"/>
      </w:pPr>
    </w:p>
    <w:p w:rsidR="00EC6694" w:rsidRDefault="00EC6694" w:rsidP="00EC6694">
      <w:pPr>
        <w:jc w:val="both"/>
      </w:pPr>
      <w:r w:rsidRPr="00D108FD">
        <w:t>Para concluir el total de la ejecución presupuestaria quedan 4 programas los cuales tuvieron una ejecución presupuestaria por debajo de los Q</w:t>
      </w:r>
      <w:r w:rsidR="00B21910">
        <w:t>.</w:t>
      </w:r>
      <w:r w:rsidRPr="00D108FD">
        <w:t>10.0 millones, así como se observa en el cuadro que se detalla a continuación.</w:t>
      </w:r>
    </w:p>
    <w:p w:rsidR="00B21910" w:rsidRPr="00D108FD" w:rsidRDefault="00B21910" w:rsidP="00EC6694">
      <w:pPr>
        <w:jc w:val="both"/>
      </w:pPr>
    </w:p>
    <w:p w:rsidR="00EC6694" w:rsidRPr="00D108FD" w:rsidRDefault="00EC6694" w:rsidP="00EC6694">
      <w:pPr>
        <w:jc w:val="both"/>
      </w:pPr>
      <w:r w:rsidRPr="000841C5">
        <w:rPr>
          <w:noProof/>
          <w:lang w:eastAsia="es-GT"/>
        </w:rPr>
        <w:drawing>
          <wp:inline distT="0" distB="0" distL="0" distR="0" wp14:anchorId="74B76565" wp14:editId="3AB9C150">
            <wp:extent cx="5612130" cy="122873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2130" cy="1228736"/>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Default="00EC6694" w:rsidP="00EC6694">
      <w:pPr>
        <w:jc w:val="both"/>
        <w:rPr>
          <w:b/>
        </w:rPr>
      </w:pPr>
      <w:r w:rsidRPr="00D108FD">
        <w:rPr>
          <w:b/>
        </w:rPr>
        <w:t>Ministerio de Desarrollo Social</w:t>
      </w:r>
      <w:r w:rsidR="00B21910">
        <w:rPr>
          <w:b/>
        </w:rPr>
        <w:t>:</w:t>
      </w:r>
    </w:p>
    <w:p w:rsidR="00B21910" w:rsidRPr="00D108FD" w:rsidRDefault="00B21910" w:rsidP="00EC6694">
      <w:pPr>
        <w:jc w:val="both"/>
        <w:rPr>
          <w:b/>
        </w:rPr>
      </w:pPr>
    </w:p>
    <w:p w:rsidR="00EC6694" w:rsidRDefault="00EC6694" w:rsidP="00EC6694">
      <w:pPr>
        <w:jc w:val="both"/>
      </w:pPr>
      <w:r w:rsidRPr="00D108FD">
        <w:t>El Min</w:t>
      </w:r>
      <w:r w:rsidR="00B21910">
        <w:t xml:space="preserve">isterio de </w:t>
      </w:r>
      <w:r w:rsidRPr="00D108FD">
        <w:t>Des</w:t>
      </w:r>
      <w:r w:rsidR="00B21910">
        <w:t>arrollo Social</w:t>
      </w:r>
      <w:r w:rsidRPr="00D108FD">
        <w:t xml:space="preserve"> tuvo una asignación de Q</w:t>
      </w:r>
      <w:r w:rsidR="00B21910">
        <w:t>.</w:t>
      </w:r>
      <w:r w:rsidRPr="00D108FD">
        <w:t>1,055.0 millones y una ejecución presupuestaria de Q</w:t>
      </w:r>
      <w:r w:rsidR="00B21910">
        <w:t>.</w:t>
      </w:r>
      <w:r w:rsidRPr="00D108FD">
        <w:t>866.8 millones equivalente al 82.2%</w:t>
      </w:r>
      <w:r>
        <w:t>.</w:t>
      </w:r>
      <w:r w:rsidR="00B21910">
        <w:t xml:space="preserve"> </w:t>
      </w:r>
      <w:r w:rsidRPr="00D108FD">
        <w:t>El programa con mayor ejecución fue “Transferencias Monetarias Condicionadas en Salud y Educación” con un presupuesto de Q</w:t>
      </w:r>
      <w:r w:rsidR="00B21910">
        <w:t>.</w:t>
      </w:r>
      <w:r w:rsidRPr="00D108FD">
        <w:t>361.3 millones y una ejecución presupuestaria de Q</w:t>
      </w:r>
      <w:r w:rsidR="00B21910">
        <w:t>.</w:t>
      </w:r>
      <w:r w:rsidRPr="00D108FD">
        <w:t>353.1 millones equivalente al 97.7</w:t>
      </w:r>
      <w:r>
        <w:t>%.</w:t>
      </w:r>
    </w:p>
    <w:p w:rsidR="00B21910" w:rsidRPr="00D108FD" w:rsidRDefault="00B21910" w:rsidP="00EC6694">
      <w:pPr>
        <w:jc w:val="both"/>
      </w:pPr>
    </w:p>
    <w:p w:rsidR="00EC6694" w:rsidRDefault="00EC6694" w:rsidP="00EC6694">
      <w:pPr>
        <w:jc w:val="both"/>
      </w:pPr>
      <w:r w:rsidRPr="00D108FD">
        <w:t>El siguiente programa que se observa es “Dotaciones, Servicios e Infraestructura para el Desarrollo Social” con un presupuesto de Q</w:t>
      </w:r>
      <w:r w:rsidR="00B21910">
        <w:t>.</w:t>
      </w:r>
      <w:r w:rsidRPr="00D108FD">
        <w:t>336.4 millones y a una ejecución presupuestaria de Q</w:t>
      </w:r>
      <w:r w:rsidR="00B21910">
        <w:t>.</w:t>
      </w:r>
      <w:r w:rsidRPr="00D108FD">
        <w:t>243.6 millones equivalente a un 72.4%.</w:t>
      </w:r>
    </w:p>
    <w:p w:rsidR="00B21910" w:rsidRPr="00D108FD" w:rsidRDefault="00B21910" w:rsidP="00EC6694">
      <w:pPr>
        <w:jc w:val="both"/>
      </w:pPr>
    </w:p>
    <w:p w:rsidR="00EC6694" w:rsidRDefault="00EC6694" w:rsidP="00EC6694">
      <w:pPr>
        <w:jc w:val="both"/>
      </w:pPr>
      <w:r w:rsidRPr="00D108FD">
        <w:t>Las Actividades Centrales tuvieron un presupuesto de Q</w:t>
      </w:r>
      <w:r w:rsidR="00B21910">
        <w:t>.</w:t>
      </w:r>
      <w:r w:rsidRPr="00D108FD">
        <w:t>109.4 millones y una ejecución presupuestaria de Q</w:t>
      </w:r>
      <w:r w:rsidR="00B21910">
        <w:t>.</w:t>
      </w:r>
      <w:r w:rsidRPr="00D108FD">
        <w:t>94.2 millones equivalente al 86.1%.</w:t>
      </w:r>
    </w:p>
    <w:p w:rsidR="00B21910" w:rsidRPr="00D108FD" w:rsidRDefault="00B21910" w:rsidP="00EC6694">
      <w:pPr>
        <w:jc w:val="both"/>
      </w:pPr>
    </w:p>
    <w:p w:rsidR="00EC6694" w:rsidRDefault="00EC6694" w:rsidP="00EC6694">
      <w:pPr>
        <w:jc w:val="both"/>
      </w:pPr>
      <w:r w:rsidRPr="00D108FD">
        <w:t>El programa “Apoyo para el Consumo Adecuado de Alimentos” inició con un presupuesto de Q</w:t>
      </w:r>
      <w:r w:rsidR="00445A16">
        <w:t>.</w:t>
      </w:r>
      <w:r w:rsidRPr="00D108FD">
        <w:t>112.0 millones y una ejecución presupuestaria de Q</w:t>
      </w:r>
      <w:r w:rsidR="00445A16">
        <w:t>.</w:t>
      </w:r>
      <w:r w:rsidRPr="00D108FD">
        <w:t>84.9 millones equivalente al 75.8%</w:t>
      </w:r>
      <w:r>
        <w:t>.</w:t>
      </w:r>
      <w:r w:rsidR="00445A16">
        <w:t xml:space="preserve"> </w:t>
      </w:r>
      <w:r w:rsidRPr="00D108FD">
        <w:t>Los restantes 3 programas tuvieron una ejecución presupuestaria por debajo de los Q</w:t>
      </w:r>
      <w:r w:rsidR="00445A16">
        <w:t>.</w:t>
      </w:r>
      <w:r w:rsidRPr="00D108FD">
        <w:t>50.0 millones, según lo reportado en el SICOIN y plasmado en el cuadro que se presenta a continuación.</w:t>
      </w:r>
    </w:p>
    <w:p w:rsidR="00445A16" w:rsidRPr="00D108FD" w:rsidRDefault="00445A16" w:rsidP="00EC6694">
      <w:pPr>
        <w:jc w:val="both"/>
      </w:pPr>
    </w:p>
    <w:p w:rsidR="00EC6694" w:rsidRPr="00D108FD" w:rsidRDefault="00EC6694" w:rsidP="00EC6694">
      <w:pPr>
        <w:jc w:val="both"/>
      </w:pPr>
      <w:r w:rsidRPr="000841C5">
        <w:rPr>
          <w:noProof/>
          <w:lang w:eastAsia="es-GT"/>
        </w:rPr>
        <w:drawing>
          <wp:inline distT="0" distB="0" distL="0" distR="0" wp14:anchorId="0339EA04" wp14:editId="5FD347A9">
            <wp:extent cx="5612130" cy="120619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2130" cy="1206197"/>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Pr="00D108FD" w:rsidRDefault="00EC6694" w:rsidP="00EC6694">
      <w:pPr>
        <w:jc w:val="both"/>
      </w:pPr>
    </w:p>
    <w:p w:rsidR="00EC6694" w:rsidRDefault="00EC6694" w:rsidP="00EC6694">
      <w:pPr>
        <w:jc w:val="both"/>
        <w:rPr>
          <w:b/>
        </w:rPr>
      </w:pPr>
      <w:r w:rsidRPr="00D108FD">
        <w:rPr>
          <w:b/>
        </w:rPr>
        <w:t>Procuraduría General de la Nación</w:t>
      </w:r>
      <w:r w:rsidR="00445A16">
        <w:rPr>
          <w:b/>
        </w:rPr>
        <w:t>:</w:t>
      </w:r>
    </w:p>
    <w:p w:rsidR="00445A16" w:rsidRPr="00D108FD" w:rsidRDefault="00445A16" w:rsidP="00EC6694">
      <w:pPr>
        <w:jc w:val="both"/>
        <w:rPr>
          <w:b/>
        </w:rPr>
      </w:pPr>
    </w:p>
    <w:p w:rsidR="00EC6694" w:rsidRDefault="00EC6694" w:rsidP="00EC6694">
      <w:pPr>
        <w:jc w:val="both"/>
      </w:pPr>
      <w:r w:rsidRPr="00D108FD">
        <w:t xml:space="preserve">Ésta entidad </w:t>
      </w:r>
      <w:r>
        <w:t>tuvo</w:t>
      </w:r>
      <w:r w:rsidRPr="00D108FD">
        <w:t xml:space="preserve"> un presupuesto de Q</w:t>
      </w:r>
      <w:r w:rsidR="00445A16">
        <w:t>.</w:t>
      </w:r>
      <w:r w:rsidRPr="00D108FD">
        <w:t>108.2 millones y una ejecución presupuestaria de Q</w:t>
      </w:r>
      <w:r w:rsidR="00445A16">
        <w:t>.</w:t>
      </w:r>
      <w:r w:rsidRPr="00D108FD">
        <w:t>104.4 millones equivalente al 96.5</w:t>
      </w:r>
      <w:r>
        <w:t>%.</w:t>
      </w:r>
      <w:r w:rsidR="00445A16">
        <w:t xml:space="preserve"> </w:t>
      </w:r>
      <w:r w:rsidRPr="00D108FD">
        <w:t>El programa con mayor cantidad de recursos ejecutados fue “Protección de los Derechos de la Familia” con un presupuesto de Q</w:t>
      </w:r>
      <w:r w:rsidR="00445A16">
        <w:t>.</w:t>
      </w:r>
      <w:r w:rsidRPr="00D108FD">
        <w:t>38.0 millones y una ejecución presupuestaria de Q</w:t>
      </w:r>
      <w:r w:rsidR="00445A16">
        <w:t>.</w:t>
      </w:r>
      <w:r w:rsidRPr="00D108FD">
        <w:t>37.1 millones equivalente al  97.6%</w:t>
      </w:r>
      <w:r>
        <w:t>.</w:t>
      </w:r>
    </w:p>
    <w:p w:rsidR="00445A16" w:rsidRPr="00D108FD" w:rsidRDefault="00445A16" w:rsidP="00EC6694">
      <w:pPr>
        <w:jc w:val="both"/>
      </w:pPr>
    </w:p>
    <w:p w:rsidR="00EC6694" w:rsidRDefault="00EC6694" w:rsidP="00EC6694">
      <w:pPr>
        <w:jc w:val="both"/>
      </w:pPr>
      <w:r w:rsidRPr="00D108FD">
        <w:t>El programa “Representación y Defensa de los Intereses del Estado” Q</w:t>
      </w:r>
      <w:r w:rsidR="00445A16">
        <w:t>.</w:t>
      </w:r>
      <w:r w:rsidRPr="00D108FD">
        <w:t>34.1 millones y una ejecución presupuestaria de Q</w:t>
      </w:r>
      <w:r w:rsidR="00445A16">
        <w:t>.</w:t>
      </w:r>
      <w:r w:rsidRPr="00D108FD">
        <w:t>32.2 millones equivalente al 94.3%</w:t>
      </w:r>
      <w:r>
        <w:t>.</w:t>
      </w:r>
    </w:p>
    <w:p w:rsidR="00445A16" w:rsidRPr="00D108FD" w:rsidRDefault="00445A16" w:rsidP="00EC6694">
      <w:pPr>
        <w:jc w:val="both"/>
      </w:pPr>
    </w:p>
    <w:p w:rsidR="00EC6694" w:rsidRDefault="00EC6694" w:rsidP="00EC6694">
      <w:pPr>
        <w:jc w:val="both"/>
      </w:pPr>
      <w:r w:rsidRPr="00D108FD">
        <w:t>Las Actividades Centrales Q</w:t>
      </w:r>
      <w:r w:rsidR="00445A16">
        <w:t>.</w:t>
      </w:r>
      <w:r w:rsidRPr="00D108FD">
        <w:t>30.4 millones y una ejecución presupuestaria de Q</w:t>
      </w:r>
      <w:r w:rsidR="00445A16">
        <w:t>.</w:t>
      </w:r>
      <w:r w:rsidRPr="00D108FD">
        <w:t>29.8 millones equivalente al 98.1%.</w:t>
      </w:r>
    </w:p>
    <w:p w:rsidR="00445A16" w:rsidRPr="00D108FD" w:rsidRDefault="00445A16" w:rsidP="00EC6694">
      <w:pPr>
        <w:jc w:val="both"/>
      </w:pPr>
    </w:p>
    <w:p w:rsidR="00EC6694" w:rsidRDefault="00EC6694" w:rsidP="00EC6694">
      <w:pPr>
        <w:jc w:val="both"/>
      </w:pPr>
      <w:r w:rsidRPr="00D108FD">
        <w:t>Los restantes dos programas tuvieron una ejecución por debajo de los Q</w:t>
      </w:r>
      <w:r w:rsidR="00445A16">
        <w:t>.</w:t>
      </w:r>
      <w:r w:rsidRPr="00D108FD">
        <w:t>5.0 millones, según se observa en el cuadro que se presenta a continuación.</w:t>
      </w:r>
    </w:p>
    <w:p w:rsidR="00445A16" w:rsidRPr="00D108FD" w:rsidRDefault="00445A16" w:rsidP="00EC6694">
      <w:pPr>
        <w:jc w:val="both"/>
      </w:pPr>
    </w:p>
    <w:p w:rsidR="00EC6694" w:rsidRPr="00D108FD" w:rsidRDefault="00EC6694" w:rsidP="00EC6694">
      <w:pPr>
        <w:jc w:val="both"/>
      </w:pPr>
      <w:r w:rsidRPr="000841C5">
        <w:rPr>
          <w:noProof/>
          <w:lang w:eastAsia="es-GT"/>
        </w:rPr>
        <w:drawing>
          <wp:inline distT="0" distB="0" distL="0" distR="0" wp14:anchorId="4770FEAE" wp14:editId="54E73359">
            <wp:extent cx="5612130" cy="1006857"/>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2130" cy="1006857"/>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Default="00EC6694" w:rsidP="00EC6694">
      <w:pPr>
        <w:jc w:val="both"/>
        <w:rPr>
          <w:b/>
        </w:rPr>
      </w:pPr>
      <w:r w:rsidRPr="0049429F">
        <w:rPr>
          <w:b/>
        </w:rPr>
        <w:t>Secretarías y Otras Dependencias del Ejecutivo</w:t>
      </w:r>
      <w:r w:rsidR="00445A16">
        <w:rPr>
          <w:b/>
        </w:rPr>
        <w:t>:</w:t>
      </w:r>
    </w:p>
    <w:p w:rsidR="00445A16" w:rsidRPr="0049429F" w:rsidRDefault="00445A16" w:rsidP="00EC6694">
      <w:pPr>
        <w:jc w:val="both"/>
        <w:rPr>
          <w:b/>
        </w:rPr>
      </w:pPr>
    </w:p>
    <w:p w:rsidR="00EC6694" w:rsidRDefault="00EC6694" w:rsidP="00EC6694">
      <w:pPr>
        <w:jc w:val="both"/>
      </w:pPr>
      <w:r w:rsidRPr="00D108FD">
        <w:t>Dentro de las Secretarías por el nivel de recursos ejecutados, resalta como primer punto la Secretaría de Bienestar Social de la Presidencia de la República que contó con Q</w:t>
      </w:r>
      <w:r w:rsidR="00E24197">
        <w:t>.</w:t>
      </w:r>
      <w:r w:rsidRPr="00D108FD">
        <w:t xml:space="preserve">282.6 </w:t>
      </w:r>
      <w:r w:rsidRPr="00D108FD">
        <w:lastRenderedPageBreak/>
        <w:t>millones de presupuesto y una ejecución de Q</w:t>
      </w:r>
      <w:r w:rsidR="00E24197">
        <w:t>.</w:t>
      </w:r>
      <w:r w:rsidRPr="00D108FD">
        <w:t>254.6 millones equivalente al 90.1%</w:t>
      </w:r>
      <w:r>
        <w:t>.</w:t>
      </w:r>
      <w:r w:rsidRPr="00D108FD">
        <w:t>bajo el programa Actividades de Bienes</w:t>
      </w:r>
      <w:r>
        <w:t>tar</w:t>
      </w:r>
      <w:r w:rsidRPr="00D108FD">
        <w:t xml:space="preserve"> Social.</w:t>
      </w:r>
    </w:p>
    <w:p w:rsidR="00E24197" w:rsidRPr="00D108FD" w:rsidRDefault="00E24197" w:rsidP="00EC6694">
      <w:pPr>
        <w:jc w:val="both"/>
      </w:pPr>
    </w:p>
    <w:p w:rsidR="00EC6694" w:rsidRDefault="00EC6694" w:rsidP="00EC6694">
      <w:pPr>
        <w:jc w:val="both"/>
      </w:pPr>
      <w:r w:rsidRPr="00D108FD">
        <w:t>Seguidamente se puede observar que dentro de los montos importantes de ejecución, se ubica la Secretaría de Obras Sociales de la Esposa del Presidente, que alcanzó un presupuesto de Q</w:t>
      </w:r>
      <w:r w:rsidR="00E24197">
        <w:t>.</w:t>
      </w:r>
      <w:r w:rsidRPr="00D108FD">
        <w:t>179.5 millones y una ejecución presupuestaria de Q</w:t>
      </w:r>
      <w:r w:rsidR="00E24197">
        <w:t>.</w:t>
      </w:r>
      <w:r w:rsidRPr="00D108FD">
        <w:t>169.7 millones equivalente al 94.5</w:t>
      </w:r>
      <w:r>
        <w:t xml:space="preserve">%, </w:t>
      </w:r>
      <w:r w:rsidRPr="00D108FD">
        <w:t>principalmente bajo el programa de Ob</w:t>
      </w:r>
      <w:r>
        <w:t>r</w:t>
      </w:r>
      <w:r w:rsidRPr="00D108FD">
        <w:t>as Sociales.</w:t>
      </w:r>
    </w:p>
    <w:p w:rsidR="00E24197" w:rsidRPr="00D108FD" w:rsidRDefault="00E24197" w:rsidP="00EC6694">
      <w:pPr>
        <w:jc w:val="both"/>
      </w:pPr>
    </w:p>
    <w:p w:rsidR="00EC6694" w:rsidRDefault="00EC6694" w:rsidP="00EC6694">
      <w:pPr>
        <w:jc w:val="both"/>
      </w:pPr>
      <w:r w:rsidRPr="00D108FD">
        <w:t>También resalta el Consejo Nacional de Áreas Protegidas con un presupuesto de Q</w:t>
      </w:r>
      <w:r w:rsidR="00E24197">
        <w:t>.</w:t>
      </w:r>
      <w:r w:rsidRPr="00D108FD">
        <w:t>106.4 millones, luego de un aumento de Q</w:t>
      </w:r>
      <w:r w:rsidR="00E24197">
        <w:t>.</w:t>
      </w:r>
      <w:r w:rsidRPr="00D108FD">
        <w:t>1.9 millones y una ejecución de Q</w:t>
      </w:r>
      <w:r w:rsidR="00E24197">
        <w:t>.</w:t>
      </w:r>
      <w:r w:rsidRPr="00D108FD">
        <w:t>101.5 millones equivalente al 95.3% bajo el programa Cobertura Forestal y Biodiversidad.</w:t>
      </w:r>
    </w:p>
    <w:p w:rsidR="00E24197" w:rsidRPr="00D108FD" w:rsidRDefault="00E24197" w:rsidP="00EC6694">
      <w:pPr>
        <w:jc w:val="both"/>
      </w:pPr>
    </w:p>
    <w:p w:rsidR="00EC6694" w:rsidRDefault="00EC6694" w:rsidP="00EC6694">
      <w:pPr>
        <w:jc w:val="both"/>
      </w:pPr>
      <w:r w:rsidRPr="00D108FD">
        <w:t xml:space="preserve">Otra </w:t>
      </w:r>
      <w:r>
        <w:t xml:space="preserve">entidad </w:t>
      </w:r>
      <w:r w:rsidRPr="00D108FD">
        <w:t>que destin</w:t>
      </w:r>
      <w:r>
        <w:t>ó</w:t>
      </w:r>
      <w:r w:rsidRPr="00D108FD">
        <w:t xml:space="preserve"> un monto considerable en su ejecución durante 2018 fue la Secretaría de Planificación y Programación de la Presidencia con un presupuesto de Q</w:t>
      </w:r>
      <w:r w:rsidR="00E24197">
        <w:t>.</w:t>
      </w:r>
      <w:r w:rsidRPr="00D108FD">
        <w:t>78.9 millones luego de un aumento de Q</w:t>
      </w:r>
      <w:r w:rsidR="00E24197">
        <w:t>.</w:t>
      </w:r>
      <w:r w:rsidRPr="00D108FD">
        <w:t>1.8 millones y una ejecución presupuestaria de Q</w:t>
      </w:r>
      <w:r w:rsidR="00E24197">
        <w:t>.</w:t>
      </w:r>
      <w:r w:rsidRPr="00D108FD">
        <w:t>74.8 millones equivalentes al 94.8%, bajo el programa Planificación, Monitoreo y Evaluación de la Gestión Pública.</w:t>
      </w:r>
    </w:p>
    <w:p w:rsidR="00E24197" w:rsidRPr="00D108FD" w:rsidRDefault="00E24197" w:rsidP="00EC6694">
      <w:pPr>
        <w:jc w:val="both"/>
      </w:pPr>
    </w:p>
    <w:p w:rsidR="00EC6694" w:rsidRDefault="00EC6694" w:rsidP="00EC6694">
      <w:pPr>
        <w:jc w:val="both"/>
      </w:pPr>
      <w:r w:rsidRPr="00D108FD">
        <w:t>La Secretaría de la Paz alcanzó un presupuesto de Q</w:t>
      </w:r>
      <w:r w:rsidR="00E24197">
        <w:t>.</w:t>
      </w:r>
      <w:r w:rsidRPr="00D108FD">
        <w:t>67.2 y una ejecución presupuestaria de Q</w:t>
      </w:r>
      <w:r w:rsidR="00E24197">
        <w:t>.</w:t>
      </w:r>
      <w:r w:rsidRPr="00D108FD">
        <w:t xml:space="preserve">56.9 millones equivalente al 84.7%, principalmente bajo el </w:t>
      </w:r>
      <w:r w:rsidR="00E24197">
        <w:t>Programa</w:t>
      </w:r>
      <w:r w:rsidRPr="00D108FD">
        <w:t xml:space="preserve"> Nacional de Resarcimiento con un monto de Q</w:t>
      </w:r>
      <w:r w:rsidR="00E24197">
        <w:t>.</w:t>
      </w:r>
      <w:r w:rsidRPr="00D108FD">
        <w:t>35.1 millones, en tanto que bajo el programa Seguimiento del Cumplimiento de los Acuerdos Paz ejecutó Q</w:t>
      </w:r>
      <w:r w:rsidR="00E24197">
        <w:t>.</w:t>
      </w:r>
      <w:r w:rsidRPr="00D108FD">
        <w:t>21.8 millones.</w:t>
      </w:r>
    </w:p>
    <w:p w:rsidR="00E24197" w:rsidRPr="00D108FD" w:rsidRDefault="00E24197" w:rsidP="00EC6694">
      <w:pPr>
        <w:jc w:val="both"/>
      </w:pPr>
    </w:p>
    <w:p w:rsidR="00EC6694" w:rsidRDefault="00EC6694" w:rsidP="00EC6694">
      <w:pPr>
        <w:jc w:val="both"/>
      </w:pPr>
      <w:r w:rsidRPr="00D108FD">
        <w:t>Por su parte la Secretaría de Coordinación Ejecutiva de la Presidencia alcanzó un presupuesto de Q</w:t>
      </w:r>
      <w:r w:rsidR="00E24197">
        <w:t>.</w:t>
      </w:r>
      <w:r w:rsidRPr="00D108FD">
        <w:t>65.5 millones, en tanto que su ejecución presupuestaria fue de Q</w:t>
      </w:r>
      <w:r w:rsidR="00E24197">
        <w:t>.</w:t>
      </w:r>
      <w:r w:rsidRPr="00D108FD">
        <w:t>65.2 millones equivalente al 99.5%</w:t>
      </w:r>
      <w:r>
        <w:t>.</w:t>
      </w:r>
      <w:r w:rsidRPr="00D108FD">
        <w:t xml:space="preserve"> </w:t>
      </w:r>
      <w:r>
        <w:t>B</w:t>
      </w:r>
      <w:r w:rsidRPr="00D108FD">
        <w:t>ajo el programa Coordinación de Políticas y Proyectos de Desarrollo.</w:t>
      </w:r>
    </w:p>
    <w:p w:rsidR="00E24197" w:rsidRPr="00D108FD" w:rsidRDefault="00E24197" w:rsidP="00EC6694">
      <w:pPr>
        <w:jc w:val="both"/>
      </w:pPr>
    </w:p>
    <w:p w:rsidR="00EC6694" w:rsidRDefault="00EC6694" w:rsidP="00EC6694">
      <w:pPr>
        <w:jc w:val="both"/>
      </w:pPr>
      <w:r w:rsidRPr="00D108FD">
        <w:t>La Oficina Nacional de Servicio Civil tuvo un presupuesto de Q</w:t>
      </w:r>
      <w:r w:rsidR="00E24197">
        <w:t>.</w:t>
      </w:r>
      <w:r w:rsidRPr="00D108FD">
        <w:t>51.9 millones, y alcanzó una ejecución de Q</w:t>
      </w:r>
      <w:r w:rsidR="00E24197">
        <w:t>.</w:t>
      </w:r>
      <w:r w:rsidRPr="00D108FD">
        <w:t>51.4 millones equivalente al 99.1% bajo el programa Administración de Recursos Humanos de la Administración Pública y del Régimen de Clases Pasivas Civiles y del Estado.</w:t>
      </w:r>
    </w:p>
    <w:p w:rsidR="00E24197" w:rsidRPr="00D108FD" w:rsidRDefault="00E24197" w:rsidP="00EC6694">
      <w:pPr>
        <w:jc w:val="both"/>
      </w:pPr>
    </w:p>
    <w:p w:rsidR="00EC6694" w:rsidRDefault="00EC6694" w:rsidP="00EC6694">
      <w:pPr>
        <w:jc w:val="both"/>
      </w:pPr>
      <w:r>
        <w:t>La</w:t>
      </w:r>
      <w:r w:rsidRPr="00D108FD">
        <w:t xml:space="preserve"> Comisión Presidencial Coordinadora de la Política del Ejecutivo en Materia de Derechos Humanos, </w:t>
      </w:r>
      <w:r>
        <w:t xml:space="preserve">tuvo un presupuesto </w:t>
      </w:r>
      <w:r w:rsidRPr="00D108FD">
        <w:t>de Q</w:t>
      </w:r>
      <w:r w:rsidR="00E24197">
        <w:t>.</w:t>
      </w:r>
      <w:r w:rsidRPr="00D108FD">
        <w:t>47.5 millones y una ejecución presupuestaria de Q</w:t>
      </w:r>
      <w:r w:rsidR="00E24197">
        <w:t>.</w:t>
      </w:r>
      <w:r w:rsidRPr="00D108FD">
        <w:t>45.0 millones equivalentes al 94.7% bajo el programa Coordinación de Acciones Sobre Derechos Humanos.</w:t>
      </w:r>
    </w:p>
    <w:p w:rsidR="00E24197" w:rsidRPr="00D108FD" w:rsidRDefault="00E24197" w:rsidP="00EC6694">
      <w:pPr>
        <w:jc w:val="both"/>
      </w:pPr>
    </w:p>
    <w:p w:rsidR="00EC6694" w:rsidRDefault="00EC6694" w:rsidP="00EC6694">
      <w:pPr>
        <w:jc w:val="both"/>
      </w:pPr>
      <w:r w:rsidRPr="00D108FD">
        <w:t>Por su parte la Secretaría de Seguridad Alimentaria y Nutricional de la Presidencia de la República tuvo un de Q</w:t>
      </w:r>
      <w:r w:rsidR="00E24197">
        <w:t>.</w:t>
      </w:r>
      <w:r w:rsidRPr="00D108FD">
        <w:t>46.8 millones y una ejecución presupuestaria de Q</w:t>
      </w:r>
      <w:r w:rsidR="00E24197">
        <w:t>.</w:t>
      </w:r>
      <w:r w:rsidRPr="00D108FD">
        <w:t>46.2 millones equivalente al 98.6% bajo el programa Asuntos de Seguridad Alimentaria y Nutricional.</w:t>
      </w:r>
    </w:p>
    <w:p w:rsidR="00E24197" w:rsidRPr="00D108FD" w:rsidRDefault="00E24197" w:rsidP="00EC6694">
      <w:pPr>
        <w:jc w:val="both"/>
      </w:pPr>
    </w:p>
    <w:p w:rsidR="00EC6694" w:rsidRPr="00D108FD" w:rsidRDefault="00EC6694" w:rsidP="00EC6694">
      <w:pPr>
        <w:jc w:val="both"/>
      </w:pPr>
      <w:r w:rsidRPr="00D108FD">
        <w:t>La Secretaría de Comunicación Social de la Presidencia Q</w:t>
      </w:r>
      <w:r w:rsidR="00E24197">
        <w:t>.</w:t>
      </w:r>
      <w:r w:rsidRPr="00D108FD">
        <w:t xml:space="preserve">40.0 millones y ejecución presupuestaria </w:t>
      </w:r>
      <w:r>
        <w:t xml:space="preserve">por </w:t>
      </w:r>
      <w:r w:rsidRPr="00D108FD">
        <w:t>Q</w:t>
      </w:r>
      <w:r w:rsidR="00E24197">
        <w:t>.</w:t>
      </w:r>
      <w:r w:rsidRPr="00D108FD">
        <w:t>31.5 millones equivalente al 78.7% bajo el programa Información y Divulgación Gubernamental.</w:t>
      </w:r>
    </w:p>
    <w:p w:rsidR="00EC6694" w:rsidRDefault="00EC6694" w:rsidP="00EC6694">
      <w:pPr>
        <w:jc w:val="both"/>
      </w:pPr>
      <w:r w:rsidRPr="00D108FD">
        <w:lastRenderedPageBreak/>
        <w:t>La Secretaría de Asuntos Agrarios de la Presidencia de la República con un monto de Q</w:t>
      </w:r>
      <w:r w:rsidR="00E24197">
        <w:t>.</w:t>
      </w:r>
      <w:r w:rsidRPr="00D108FD">
        <w:t>38.0 millones y su ejecución presupuestaria fue de Q</w:t>
      </w:r>
      <w:r w:rsidR="00E24197">
        <w:t>.</w:t>
      </w:r>
      <w:r w:rsidRPr="00D108FD">
        <w:t>37.3 millones equivalente al 98.0% bajo el programa Atención a la Conflictividad Agraria.</w:t>
      </w:r>
    </w:p>
    <w:p w:rsidR="00E24197" w:rsidRPr="00D108FD" w:rsidRDefault="00E24197" w:rsidP="00EC6694">
      <w:pPr>
        <w:jc w:val="both"/>
      </w:pPr>
    </w:p>
    <w:p w:rsidR="00EC6694" w:rsidRDefault="00EC6694" w:rsidP="00EC6694">
      <w:pPr>
        <w:jc w:val="both"/>
      </w:pPr>
      <w:r w:rsidRPr="00D108FD">
        <w:t>La Secretaría de Inteligencia Estratégica Q</w:t>
      </w:r>
      <w:r w:rsidR="00E24197">
        <w:t>.</w:t>
      </w:r>
      <w:r w:rsidRPr="00D108FD">
        <w:t>35.0 millones y su ejecución presupuestaria llegó a Q</w:t>
      </w:r>
      <w:r w:rsidR="00E24197">
        <w:t>.</w:t>
      </w:r>
      <w:r w:rsidRPr="00D108FD">
        <w:t>34.4 millones equivalente al 98.4% bajo el programa Acciones de Inteligencia Estratégica.</w:t>
      </w:r>
    </w:p>
    <w:p w:rsidR="00E24197" w:rsidRPr="00D108FD" w:rsidRDefault="00E24197" w:rsidP="00EC6694">
      <w:pPr>
        <w:jc w:val="both"/>
      </w:pPr>
    </w:p>
    <w:p w:rsidR="00EC6694" w:rsidRDefault="00EC6694" w:rsidP="00EC6694">
      <w:pPr>
        <w:jc w:val="both"/>
      </w:pPr>
      <w:r w:rsidRPr="00D108FD">
        <w:t xml:space="preserve">La Autoridad para el Manejo Sustentable de la Cuenca del Lago de Amatitlán </w:t>
      </w:r>
      <w:r w:rsidR="00E24197">
        <w:t xml:space="preserve">tuvo un presupuesto de </w:t>
      </w:r>
      <w:r w:rsidRPr="00D108FD">
        <w:t>Q</w:t>
      </w:r>
      <w:r w:rsidR="00E24197">
        <w:t>.</w:t>
      </w:r>
      <w:r w:rsidRPr="00D108FD">
        <w:t>33.7 millones y su ejecución presupuestaria llegó a Q</w:t>
      </w:r>
      <w:r w:rsidR="00E24197">
        <w:t>.</w:t>
      </w:r>
      <w:r w:rsidRPr="00D108FD">
        <w:t>32.0 millones equivalente al 95.1%  bajo el programa Manejo Integrado de la Cuenca y del Lago de Amatitlán.</w:t>
      </w:r>
    </w:p>
    <w:p w:rsidR="00E24197" w:rsidRPr="00D108FD" w:rsidRDefault="00E24197" w:rsidP="00EC6694">
      <w:pPr>
        <w:jc w:val="both"/>
      </w:pPr>
    </w:p>
    <w:p w:rsidR="00EC6694" w:rsidRDefault="00EC6694" w:rsidP="00EC6694">
      <w:pPr>
        <w:jc w:val="both"/>
      </w:pPr>
      <w:r w:rsidRPr="00D108FD">
        <w:t xml:space="preserve">La Secretaría Técnica del Consejo Nacional de Seguridad </w:t>
      </w:r>
      <w:r w:rsidR="00E24197">
        <w:t xml:space="preserve">con </w:t>
      </w:r>
      <w:r w:rsidRPr="00D108FD">
        <w:t>Q</w:t>
      </w:r>
      <w:r w:rsidR="00E24197">
        <w:t>.</w:t>
      </w:r>
      <w:r w:rsidRPr="00D108FD">
        <w:t>28.4 millones y la ejecución presupuestaria fue de Q</w:t>
      </w:r>
      <w:r w:rsidR="00E24197">
        <w:t>.</w:t>
      </w:r>
      <w:r w:rsidRPr="00D108FD">
        <w:t>28.2 millones equivalente al 99.3% bajo los programas de Fortalecimiento y Apoyo al Sistema Nacional de Seguridad, Estudios Estratégico en Seguridad e Inspectoría General del Sistema Nacional de Seguridad.</w:t>
      </w:r>
    </w:p>
    <w:p w:rsidR="00E24197" w:rsidRPr="00D108FD" w:rsidRDefault="00E24197" w:rsidP="00EC6694">
      <w:pPr>
        <w:jc w:val="both"/>
      </w:pPr>
    </w:p>
    <w:p w:rsidR="00EC6694" w:rsidRDefault="00EC6694" w:rsidP="00EC6694">
      <w:pPr>
        <w:jc w:val="both"/>
      </w:pPr>
      <w:r w:rsidRPr="00D108FD">
        <w:t xml:space="preserve">El Consejo Nacional de la Juventud </w:t>
      </w:r>
      <w:r w:rsidR="00E24197">
        <w:t xml:space="preserve">con </w:t>
      </w:r>
      <w:r w:rsidRPr="00D108FD">
        <w:t>Q</w:t>
      </w:r>
      <w:r w:rsidR="00E24197">
        <w:t>.</w:t>
      </w:r>
      <w:r w:rsidRPr="00D108FD">
        <w:t>32.0 millones, en tanto que la ejecución presupuestaria fue de Q</w:t>
      </w:r>
      <w:r w:rsidR="00E24197">
        <w:t>.</w:t>
      </w:r>
      <w:r w:rsidRPr="00D108FD">
        <w:t>27.6 millones equivalente al 86.3% bajo el programa Organización y Formación de la Juventud.</w:t>
      </w:r>
    </w:p>
    <w:p w:rsidR="00E24197" w:rsidRPr="00D108FD" w:rsidRDefault="00E24197" w:rsidP="00EC6694">
      <w:pPr>
        <w:jc w:val="both"/>
      </w:pPr>
    </w:p>
    <w:p w:rsidR="00EC6694" w:rsidRDefault="00EC6694" w:rsidP="00EC6694">
      <w:pPr>
        <w:jc w:val="both"/>
      </w:pPr>
      <w:r w:rsidRPr="00D108FD">
        <w:t xml:space="preserve">La Secretaría Nacional de Ciencia y Tecnología </w:t>
      </w:r>
      <w:r w:rsidR="00E24197">
        <w:t xml:space="preserve">con </w:t>
      </w:r>
      <w:r w:rsidRPr="00D108FD">
        <w:t>Q</w:t>
      </w:r>
      <w:r w:rsidR="00E24197">
        <w:t>.</w:t>
      </w:r>
      <w:r w:rsidRPr="00D108FD">
        <w:t>28.3 millones y la ejecución presupuestaria fue de Q</w:t>
      </w:r>
      <w:r w:rsidR="00E24197">
        <w:t>.</w:t>
      </w:r>
      <w:r w:rsidRPr="00D108FD">
        <w:t>25.1 millones equivalente al  88.7% bajo el programa Promoción del Desarrollo Científico y Tecnológico.</w:t>
      </w:r>
      <w:r>
        <w:t xml:space="preserve"> </w:t>
      </w:r>
      <w:r w:rsidR="00E24197">
        <w:t>En tanto que la</w:t>
      </w:r>
      <w:r w:rsidRPr="00D108FD">
        <w:t xml:space="preserve"> Secretaría Presidencia de la Mujer </w:t>
      </w:r>
      <w:r w:rsidR="00E24197">
        <w:t xml:space="preserve">con </w:t>
      </w:r>
      <w:r w:rsidRPr="00D108FD">
        <w:t>Q</w:t>
      </w:r>
      <w:r w:rsidR="00E24197">
        <w:t>.</w:t>
      </w:r>
      <w:r w:rsidRPr="00D108FD">
        <w:t>24.9 millones y una ejecución presupuestaria de Q</w:t>
      </w:r>
      <w:r w:rsidR="00E24197">
        <w:t>.</w:t>
      </w:r>
      <w:r w:rsidRPr="00D108FD">
        <w:t>24.9 millones equivalente al 89.1% bajo el programa Promoción y Desarrollo Integral de la Mujer.</w:t>
      </w:r>
    </w:p>
    <w:p w:rsidR="00E24197" w:rsidRPr="00D108FD" w:rsidRDefault="00E24197" w:rsidP="00EC6694">
      <w:pPr>
        <w:jc w:val="both"/>
      </w:pPr>
    </w:p>
    <w:p w:rsidR="00EC6694" w:rsidRDefault="00EC6694" w:rsidP="00EC6694">
      <w:pPr>
        <w:jc w:val="both"/>
      </w:pPr>
      <w:r w:rsidRPr="00D108FD">
        <w:t xml:space="preserve">El Fondo Indígena Guatemalteco </w:t>
      </w:r>
      <w:r w:rsidR="002B76AA">
        <w:t xml:space="preserve">con </w:t>
      </w:r>
      <w:r w:rsidRPr="00D108FD">
        <w:t>Q</w:t>
      </w:r>
      <w:r w:rsidR="002B76AA">
        <w:t>.</w:t>
      </w:r>
      <w:r w:rsidRPr="00D108FD">
        <w:t>32.1 millones en tanto que su ejecución presupuestaria llegó a Q</w:t>
      </w:r>
      <w:r w:rsidR="002B76AA">
        <w:t>.</w:t>
      </w:r>
      <w:r w:rsidRPr="00D108FD">
        <w:t>20.7 millones equivalente al  64.5% bajo el programa Apoyo y Participación para el Desarrollo Integral de los Pueblos Indígenas.</w:t>
      </w:r>
    </w:p>
    <w:p w:rsidR="002B76AA" w:rsidRPr="00D108FD" w:rsidRDefault="002B76AA" w:rsidP="00EC6694">
      <w:pPr>
        <w:jc w:val="both"/>
      </w:pPr>
    </w:p>
    <w:p w:rsidR="00EC6694" w:rsidRPr="00D108FD" w:rsidRDefault="00EC6694" w:rsidP="00EC6694">
      <w:pPr>
        <w:jc w:val="both"/>
      </w:pPr>
      <w:r w:rsidRPr="00D108FD">
        <w:t>Las restantes 7 entidades tuvieron una ejecución presupuestaria por debajo de los Q</w:t>
      </w:r>
      <w:r w:rsidR="002B76AA">
        <w:t>.</w:t>
      </w:r>
      <w:r w:rsidRPr="00D108FD">
        <w:t>20.0 millones, según se puede observar en el cuadro que se presenta a continuación.</w:t>
      </w:r>
    </w:p>
    <w:p w:rsidR="00EC6694" w:rsidRPr="00D108FD" w:rsidRDefault="00EC6694" w:rsidP="00EC6694">
      <w:pPr>
        <w:jc w:val="both"/>
      </w:pPr>
      <w:r w:rsidRPr="000841C5">
        <w:rPr>
          <w:noProof/>
          <w:lang w:eastAsia="es-GT"/>
        </w:rPr>
        <w:lastRenderedPageBreak/>
        <w:drawing>
          <wp:inline distT="0" distB="0" distL="0" distR="0" wp14:anchorId="44A9CAE1" wp14:editId="40D8E2A5">
            <wp:extent cx="5612130" cy="689783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2130" cy="6897830"/>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2B76AA" w:rsidRDefault="002B76AA" w:rsidP="00EC6694">
      <w:pPr>
        <w:jc w:val="both"/>
        <w:rPr>
          <w:b/>
        </w:rPr>
      </w:pPr>
    </w:p>
    <w:p w:rsidR="00EC6694" w:rsidRDefault="00EC6694" w:rsidP="00EC6694">
      <w:pPr>
        <w:jc w:val="both"/>
        <w:rPr>
          <w:b/>
        </w:rPr>
      </w:pPr>
      <w:r w:rsidRPr="0049429F">
        <w:rPr>
          <w:b/>
        </w:rPr>
        <w:t>Obligaciones del Estado a Cargo del Tesoro</w:t>
      </w:r>
      <w:r w:rsidR="002B76AA">
        <w:rPr>
          <w:b/>
        </w:rPr>
        <w:t>:</w:t>
      </w:r>
    </w:p>
    <w:p w:rsidR="002B76AA" w:rsidRPr="0049429F" w:rsidRDefault="002B76AA" w:rsidP="00EC6694">
      <w:pPr>
        <w:jc w:val="both"/>
        <w:rPr>
          <w:b/>
        </w:rPr>
      </w:pPr>
    </w:p>
    <w:p w:rsidR="00EC6694" w:rsidRDefault="00EC6694" w:rsidP="00EC6694">
      <w:pPr>
        <w:jc w:val="both"/>
      </w:pPr>
      <w:r w:rsidRPr="00D108FD">
        <w:t xml:space="preserve">Las Obligaciones </w:t>
      </w:r>
      <w:r w:rsidR="002B76AA">
        <w:t xml:space="preserve">del Estado a Cargo del Tesoro </w:t>
      </w:r>
      <w:r w:rsidRPr="00D108FD">
        <w:t xml:space="preserve">es una entidad virtual a través de la cual se ejecuta el presupuesto bajo cinco rubros, que en su totalidad tuvieron un presupuesto de </w:t>
      </w:r>
      <w:r w:rsidRPr="00D108FD">
        <w:lastRenderedPageBreak/>
        <w:t>Q</w:t>
      </w:r>
      <w:r w:rsidR="002B76AA">
        <w:t>.</w:t>
      </w:r>
      <w:r w:rsidRPr="00D108FD">
        <w:t>27,091.7 millones y una ejecución presupuestaria de Q</w:t>
      </w:r>
      <w:r w:rsidR="002B76AA">
        <w:t>.</w:t>
      </w:r>
      <w:r w:rsidRPr="00D108FD">
        <w:t xml:space="preserve">25,965.3 millones equivalentes al 95.8%, para lo cual a continuación se detallan los diferentes rubros bajo </w:t>
      </w:r>
      <w:proofErr w:type="gramStart"/>
      <w:r w:rsidRPr="00D108FD">
        <w:t>sub programas</w:t>
      </w:r>
      <w:proofErr w:type="gramEnd"/>
      <w:r w:rsidRPr="00D108FD">
        <w:t xml:space="preserve"> y actividades.</w:t>
      </w:r>
    </w:p>
    <w:p w:rsidR="002B76AA" w:rsidRPr="00D108FD" w:rsidRDefault="002B76AA" w:rsidP="00EC6694">
      <w:pPr>
        <w:jc w:val="both"/>
      </w:pPr>
    </w:p>
    <w:p w:rsidR="00EC6694" w:rsidRDefault="00EC6694" w:rsidP="00EC6694">
      <w:pPr>
        <w:jc w:val="both"/>
        <w:rPr>
          <w:b/>
        </w:rPr>
      </w:pPr>
      <w:r w:rsidRPr="00D108FD">
        <w:rPr>
          <w:b/>
        </w:rPr>
        <w:t>Aportes Institucionales</w:t>
      </w:r>
    </w:p>
    <w:p w:rsidR="002B76AA" w:rsidRPr="00D108FD" w:rsidRDefault="002B76AA" w:rsidP="00EC6694">
      <w:pPr>
        <w:jc w:val="both"/>
        <w:rPr>
          <w:b/>
        </w:rPr>
      </w:pPr>
    </w:p>
    <w:p w:rsidR="00EC6694" w:rsidRDefault="00EC6694" w:rsidP="00EC6694">
      <w:pPr>
        <w:jc w:val="both"/>
      </w:pPr>
      <w:r w:rsidRPr="00D108FD">
        <w:t>Este subprograma tuvo un presupuesto de Q</w:t>
      </w:r>
      <w:r w:rsidR="002B76AA">
        <w:t>.</w:t>
      </w:r>
      <w:r w:rsidRPr="00D108FD">
        <w:t xml:space="preserve">12,168.6 millones y una ejecución de </w:t>
      </w:r>
      <w:r w:rsidR="002B76AA">
        <w:t>Q.</w:t>
      </w:r>
      <w:r w:rsidRPr="00D108FD">
        <w:t>11,656.7 millones equivalente al 95.8%, bajo las principales actividades de Sistema de Justicia con Q</w:t>
      </w:r>
      <w:r w:rsidR="002B76AA">
        <w:t>.</w:t>
      </w:r>
      <w:r w:rsidRPr="00D108FD">
        <w:t>4,099.2 millones, a la Educación por Q</w:t>
      </w:r>
      <w:r w:rsidR="002B76AA">
        <w:t>.</w:t>
      </w:r>
      <w:r w:rsidRPr="00D108FD">
        <w:t>2,150.7 millones, a la Administración Fiscal por Q</w:t>
      </w:r>
      <w:r w:rsidR="002B76AA">
        <w:t>.</w:t>
      </w:r>
      <w:r w:rsidRPr="00D108FD">
        <w:t>1,053.5 millones, para la Protección Social por Q</w:t>
      </w:r>
      <w:r w:rsidR="002B76AA">
        <w:t>.</w:t>
      </w:r>
      <w:r w:rsidRPr="00D108FD">
        <w:t>724.5 millones, a la Administración Legislativa por Q</w:t>
      </w:r>
      <w:r w:rsidR="002B76AA">
        <w:t>.</w:t>
      </w:r>
      <w:r w:rsidRPr="00D108FD">
        <w:t>615.4, al Fomento y Promoción al Deporte por Q</w:t>
      </w:r>
      <w:r w:rsidR="002B76AA">
        <w:t>.</w:t>
      </w:r>
      <w:r w:rsidRPr="00D108FD">
        <w:t>457.8 millones, a los Servicios de Fiscalización por Q</w:t>
      </w:r>
      <w:r w:rsidR="002B76AA">
        <w:t>.</w:t>
      </w:r>
      <w:r w:rsidRPr="00D108FD">
        <w:t>375.2 millones, a los Servicios de Electricidad por Q</w:t>
      </w:r>
      <w:r w:rsidR="002B76AA">
        <w:t>.</w:t>
      </w:r>
      <w:r w:rsidRPr="00D108FD">
        <w:t>300.0 millones, Atención a Desastres y Gestión de Riesgos por Q</w:t>
      </w:r>
      <w:r w:rsidR="002B76AA">
        <w:t>.</w:t>
      </w:r>
      <w:r w:rsidRPr="00D108FD">
        <w:t>257.4, al Apoyo al Sistema de Justicia por Q</w:t>
      </w:r>
      <w:r w:rsidR="002B76AA">
        <w:t>.</w:t>
      </w:r>
      <w:r w:rsidRPr="00D108FD">
        <w:t>243.8 millones, al Desarrollo Comunitario por Q</w:t>
      </w:r>
      <w:r w:rsidR="002B76AA">
        <w:t>.</w:t>
      </w:r>
      <w:r w:rsidRPr="00D108FD">
        <w:t>233.5 millones, a la Defensoría Pública Penal por Q</w:t>
      </w:r>
      <w:r w:rsidR="002B76AA">
        <w:t>.</w:t>
      </w:r>
      <w:r w:rsidRPr="00D108FD">
        <w:t>201.1 millones, al Transporte por Q</w:t>
      </w:r>
      <w:r w:rsidR="002B76AA">
        <w:t>.</w:t>
      </w:r>
      <w:r w:rsidRPr="00D108FD">
        <w:t>195.0 millones, a los Servicios Públicos Generales por Q</w:t>
      </w:r>
      <w:r w:rsidR="002B76AA">
        <w:t>.</w:t>
      </w:r>
      <w:r w:rsidRPr="00D108FD">
        <w:t>194.0 millones, para los Servicios Electorales por Q</w:t>
      </w:r>
      <w:r w:rsidR="002B76AA">
        <w:t>.</w:t>
      </w:r>
      <w:r w:rsidRPr="00D108FD">
        <w:t>193.6 millones, a la Defensoría de los Derechos Humanos por Q</w:t>
      </w:r>
      <w:r w:rsidR="002B76AA">
        <w:t>.</w:t>
      </w:r>
      <w:r w:rsidRPr="00D108FD">
        <w:t>125.0 millones, en tanto que el resto de los cinco rubros de aportes estuvieron por debajo de los Q</w:t>
      </w:r>
      <w:r w:rsidR="002B76AA">
        <w:t>.</w:t>
      </w:r>
      <w:r w:rsidRPr="00D108FD">
        <w:t>100.0 millones, tal y como se muestra en el cuadro siguiente.</w:t>
      </w:r>
    </w:p>
    <w:p w:rsidR="002B76AA" w:rsidRPr="00D108FD" w:rsidRDefault="002B76AA" w:rsidP="00EC6694">
      <w:pPr>
        <w:jc w:val="both"/>
      </w:pPr>
    </w:p>
    <w:p w:rsidR="00EC6694" w:rsidRPr="00D108FD" w:rsidRDefault="00EC6694" w:rsidP="00EC6694">
      <w:pPr>
        <w:jc w:val="both"/>
      </w:pPr>
      <w:r w:rsidRPr="000841C5">
        <w:rPr>
          <w:noProof/>
          <w:lang w:eastAsia="es-GT"/>
        </w:rPr>
        <w:drawing>
          <wp:inline distT="0" distB="0" distL="0" distR="0" wp14:anchorId="5B7BA3AA" wp14:editId="314294CA">
            <wp:extent cx="5612130" cy="3874138"/>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12130" cy="3874138"/>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Default="00EC6694" w:rsidP="00EC6694">
      <w:pPr>
        <w:jc w:val="both"/>
      </w:pPr>
      <w:r w:rsidRPr="00D108FD">
        <w:lastRenderedPageBreak/>
        <w:t xml:space="preserve">En cuanto al </w:t>
      </w:r>
      <w:proofErr w:type="gramStart"/>
      <w:r w:rsidRPr="00D108FD">
        <w:t>sub programa</w:t>
      </w:r>
      <w:proofErr w:type="gramEnd"/>
      <w:r w:rsidRPr="00D108FD">
        <w:t xml:space="preserve"> Aporte a las Municipalidades, la actividad es la misma en la que el presupuesto asignado tuvo un presupuesto de Q</w:t>
      </w:r>
      <w:r w:rsidR="00F57226">
        <w:t>.</w:t>
      </w:r>
      <w:r w:rsidRPr="00D108FD">
        <w:t>6,789.4 millones y una ejecución presupuestaria por el mismo valor, dando como resultado un 100%.</w:t>
      </w:r>
    </w:p>
    <w:p w:rsidR="00F57226" w:rsidRPr="00D108FD" w:rsidRDefault="00F57226" w:rsidP="00EC6694">
      <w:pPr>
        <w:jc w:val="both"/>
      </w:pPr>
    </w:p>
    <w:p w:rsidR="00EC6694" w:rsidRDefault="00EC6694" w:rsidP="00EC6694">
      <w:pPr>
        <w:jc w:val="both"/>
        <w:rPr>
          <w:b/>
        </w:rPr>
      </w:pPr>
      <w:r w:rsidRPr="0049429F">
        <w:rPr>
          <w:b/>
        </w:rPr>
        <w:t>Aportes a Consejos Departamentales de Desarrollo</w:t>
      </w:r>
    </w:p>
    <w:p w:rsidR="00F57226" w:rsidRPr="0049429F" w:rsidRDefault="00F57226" w:rsidP="00EC6694">
      <w:pPr>
        <w:jc w:val="both"/>
        <w:rPr>
          <w:b/>
        </w:rPr>
      </w:pPr>
    </w:p>
    <w:p w:rsidR="00EC6694" w:rsidRDefault="00EC6694" w:rsidP="00EC6694">
      <w:pPr>
        <w:jc w:val="both"/>
      </w:pPr>
      <w:r w:rsidRPr="00D108FD">
        <w:t>Estos se ejecutaron bajo diferentes actividades, entre las cuales se destacan por el monto de recursos asignados las siguientes actividades: Abastecimiento de Agua por Q</w:t>
      </w:r>
      <w:r w:rsidR="00F57226">
        <w:t>.</w:t>
      </w:r>
      <w:r w:rsidRPr="00D108FD">
        <w:t>604.8 millones, Ordenación de Aguas Residuales por Q</w:t>
      </w:r>
      <w:r w:rsidR="00F57226">
        <w:t>.</w:t>
      </w:r>
      <w:r w:rsidRPr="00D108FD">
        <w:t>444.6 millones, Educación Primaria por Q</w:t>
      </w:r>
      <w:r w:rsidR="00F57226">
        <w:t>.</w:t>
      </w:r>
      <w:r w:rsidRPr="00D108FD">
        <w:t>421.1 millones, Educación Básica por Q</w:t>
      </w:r>
      <w:r w:rsidR="00F57226">
        <w:t>.</w:t>
      </w:r>
      <w:r w:rsidRPr="00D108FD">
        <w:t>131.4 millones, Transporte por Carretera por Q</w:t>
      </w:r>
      <w:r w:rsidR="00F57226">
        <w:t>.</w:t>
      </w:r>
      <w:r w:rsidRPr="00D108FD">
        <w:t>97.3 millones, Servicios Hospitalarios Generales por Q</w:t>
      </w:r>
      <w:r w:rsidR="00F57226">
        <w:t>.</w:t>
      </w:r>
      <w:r w:rsidRPr="00D108FD">
        <w:t>96.6 millones, Fondo para el Desarrollo Económico para la Nación (FONPETROL) por Q</w:t>
      </w:r>
      <w:r w:rsidR="00F57226">
        <w:t>.</w:t>
      </w:r>
      <w:r w:rsidRPr="00D108FD">
        <w:t xml:space="preserve">70.7 millones, Educación No Atribuible a Ningún Nivel Escolarizado por </w:t>
      </w:r>
      <w:r>
        <w:t>Q</w:t>
      </w:r>
      <w:r w:rsidR="00F57226">
        <w:t>.</w:t>
      </w:r>
      <w:r w:rsidRPr="00D108FD">
        <w:t>41.5 millones, en tanto que el resto de las actividades tuvieron una ejecución presupuestaria por debajo de los Q</w:t>
      </w:r>
      <w:r w:rsidR="00F57226">
        <w:t>.</w:t>
      </w:r>
      <w:r w:rsidRPr="00D108FD">
        <w:t>40.0 millones, lo cual se puede observar en el cuadro que se presenta a continuación.</w:t>
      </w:r>
    </w:p>
    <w:p w:rsidR="00F57226" w:rsidRPr="00D108FD" w:rsidRDefault="00F57226" w:rsidP="00EC6694">
      <w:pPr>
        <w:jc w:val="both"/>
      </w:pPr>
    </w:p>
    <w:p w:rsidR="00EC6694" w:rsidRPr="00D108FD" w:rsidRDefault="00EC6694" w:rsidP="00EC6694">
      <w:pPr>
        <w:jc w:val="both"/>
      </w:pPr>
      <w:r w:rsidRPr="000841C5">
        <w:rPr>
          <w:noProof/>
          <w:lang w:eastAsia="es-GT"/>
        </w:rPr>
        <w:drawing>
          <wp:inline distT="0" distB="0" distL="0" distR="0" wp14:anchorId="6252CFAA" wp14:editId="1DF59523">
            <wp:extent cx="5612130" cy="3563853"/>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2130" cy="3563853"/>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Default="00EC6694" w:rsidP="00EC6694">
      <w:pPr>
        <w:jc w:val="both"/>
      </w:pPr>
    </w:p>
    <w:p w:rsidR="00EC6694" w:rsidRDefault="00EC6694" w:rsidP="00EC6694">
      <w:pPr>
        <w:jc w:val="both"/>
      </w:pPr>
      <w:r w:rsidRPr="00D108FD">
        <w:t>Por otro lado, están l</w:t>
      </w:r>
      <w:r>
        <w:t>o</w:t>
      </w:r>
      <w:r w:rsidRPr="00D108FD">
        <w:t xml:space="preserve">s recursos destinados a las Clases Pasivas </w:t>
      </w:r>
      <w:r>
        <w:t xml:space="preserve">Civiles </w:t>
      </w:r>
      <w:r w:rsidRPr="00D108FD">
        <w:t>del Estado, las cuales tuvieron un presupuesto de Q</w:t>
      </w:r>
      <w:r w:rsidR="00BB14AE">
        <w:t>.</w:t>
      </w:r>
      <w:r w:rsidRPr="00D108FD">
        <w:t>5,016.4 millones y una ejecución presupuestaria de Q</w:t>
      </w:r>
      <w:r w:rsidR="00BB14AE">
        <w:t>.</w:t>
      </w:r>
      <w:r w:rsidRPr="00D108FD">
        <w:t>5,011.5 millones equivalente al 99.9%</w:t>
      </w:r>
      <w:r>
        <w:t>.</w:t>
      </w:r>
    </w:p>
    <w:p w:rsidR="00EC6694" w:rsidRPr="00D108FD" w:rsidRDefault="00EC6694" w:rsidP="00EC6694">
      <w:pPr>
        <w:jc w:val="both"/>
      </w:pPr>
    </w:p>
    <w:p w:rsidR="00EC6694" w:rsidRDefault="00EC6694" w:rsidP="00EC6694">
      <w:pPr>
        <w:rPr>
          <w:b/>
        </w:rPr>
      </w:pPr>
      <w:r>
        <w:rPr>
          <w:b/>
        </w:rPr>
        <w:br w:type="page"/>
      </w:r>
    </w:p>
    <w:p w:rsidR="00EC6694" w:rsidRDefault="00EC6694" w:rsidP="00EC6694">
      <w:pPr>
        <w:jc w:val="both"/>
        <w:rPr>
          <w:b/>
        </w:rPr>
      </w:pPr>
      <w:r w:rsidRPr="0049429F">
        <w:rPr>
          <w:b/>
        </w:rPr>
        <w:lastRenderedPageBreak/>
        <w:t>Otras Obligaciones</w:t>
      </w:r>
    </w:p>
    <w:p w:rsidR="00BB14AE" w:rsidRPr="0049429F" w:rsidRDefault="00BB14AE" w:rsidP="00EC6694">
      <w:pPr>
        <w:jc w:val="both"/>
        <w:rPr>
          <w:b/>
        </w:rPr>
      </w:pPr>
    </w:p>
    <w:p w:rsidR="00EC6694" w:rsidRPr="00D108FD" w:rsidRDefault="00EC6694" w:rsidP="00EC6694">
      <w:pPr>
        <w:jc w:val="both"/>
      </w:pPr>
      <w:r w:rsidRPr="00D108FD">
        <w:t>Dentro de este subprograma se ejecutaron tres actividades, así:</w:t>
      </w:r>
    </w:p>
    <w:p w:rsidR="00EC6694" w:rsidRDefault="00EC6694" w:rsidP="00EC6694">
      <w:pPr>
        <w:jc w:val="both"/>
      </w:pPr>
      <w:r w:rsidRPr="00D108FD">
        <w:t>Incentivos Forestales (PINPEP) por Q</w:t>
      </w:r>
      <w:r w:rsidR="00BB14AE">
        <w:t>.</w:t>
      </w:r>
      <w:r w:rsidRPr="00D108FD">
        <w:t>496.0 millones, Protección Ambiental por Q</w:t>
      </w:r>
      <w:r w:rsidR="00BB14AE">
        <w:t>.</w:t>
      </w:r>
      <w:r w:rsidRPr="00D108FD">
        <w:t>300.2 millones y otras obligaciones por Q1.5 millones.</w:t>
      </w:r>
    </w:p>
    <w:p w:rsidR="00BB14AE" w:rsidRPr="00D108FD" w:rsidRDefault="00BB14AE" w:rsidP="00EC6694">
      <w:pPr>
        <w:jc w:val="both"/>
      </w:pPr>
    </w:p>
    <w:p w:rsidR="00EC6694" w:rsidRPr="00D108FD" w:rsidRDefault="00EC6694" w:rsidP="00EC6694">
      <w:pPr>
        <w:jc w:val="both"/>
      </w:pPr>
      <w:r w:rsidRPr="000841C5">
        <w:rPr>
          <w:noProof/>
          <w:lang w:eastAsia="es-GT"/>
        </w:rPr>
        <w:drawing>
          <wp:inline distT="0" distB="0" distL="0" distR="0" wp14:anchorId="71671429" wp14:editId="1A7D6ECB">
            <wp:extent cx="5612130" cy="766291"/>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12130" cy="766291"/>
                    </a:xfrm>
                    <a:prstGeom prst="rect">
                      <a:avLst/>
                    </a:prstGeom>
                    <a:noFill/>
                    <a:ln>
                      <a:noFill/>
                    </a:ln>
                  </pic:spPr>
                </pic:pic>
              </a:graphicData>
            </a:graphic>
          </wp:inline>
        </w:drawing>
      </w:r>
    </w:p>
    <w:p w:rsidR="00E531EC" w:rsidRPr="004E678D" w:rsidRDefault="00E531EC" w:rsidP="00E531EC">
      <w:pPr>
        <w:jc w:val="both"/>
        <w:rPr>
          <w:sz w:val="18"/>
        </w:rPr>
      </w:pPr>
      <w:r w:rsidRPr="004E678D">
        <w:rPr>
          <w:sz w:val="18"/>
        </w:rPr>
        <w:t>Fuente: Ministerio de Finanzas Públicas</w:t>
      </w:r>
      <w:r>
        <w:rPr>
          <w:sz w:val="18"/>
        </w:rPr>
        <w:t>.</w:t>
      </w:r>
    </w:p>
    <w:p w:rsidR="00EC6694" w:rsidRPr="00D108FD" w:rsidRDefault="00EC6694" w:rsidP="00EC6694">
      <w:pPr>
        <w:jc w:val="both"/>
      </w:pPr>
    </w:p>
    <w:p w:rsidR="00EC6694" w:rsidRPr="00D108FD" w:rsidRDefault="00EC6694" w:rsidP="00EC6694">
      <w:pPr>
        <w:jc w:val="both"/>
      </w:pPr>
    </w:p>
    <w:p w:rsidR="00365D39" w:rsidRPr="00994772" w:rsidRDefault="00365D39" w:rsidP="00C7403B">
      <w:pPr>
        <w:pStyle w:val="Sinespaciado"/>
        <w:jc w:val="both"/>
        <w:rPr>
          <w:rFonts w:ascii="Times New Roman" w:hAnsi="Times New Roman" w:cs="Times New Roman"/>
          <w:lang w:val="es-MX"/>
        </w:rPr>
      </w:pPr>
    </w:p>
    <w:sectPr w:rsidR="00365D39" w:rsidRPr="00994772">
      <w:headerReference w:type="default" r:id="rId52"/>
      <w:footerReference w:type="default" r:id="rId5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37E" w:rsidRDefault="0074737E" w:rsidP="000E01E0">
      <w:r>
        <w:separator/>
      </w:r>
    </w:p>
  </w:endnote>
  <w:endnote w:type="continuationSeparator" w:id="0">
    <w:p w:rsidR="0074737E" w:rsidRDefault="0074737E" w:rsidP="000E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n-ea">
    <w:altName w:val="Times New Roman"/>
    <w:panose1 w:val="00000000000000000000"/>
    <w:charset w:val="00"/>
    <w:family w:val="roman"/>
    <w:notTrueType/>
    <w:pitch w:val="default"/>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193506"/>
      <w:docPartObj>
        <w:docPartGallery w:val="Page Numbers (Bottom of Page)"/>
        <w:docPartUnique/>
      </w:docPartObj>
    </w:sdtPr>
    <w:sdtEndPr/>
    <w:sdtContent>
      <w:p w:rsidR="00E04CFB" w:rsidRDefault="00E04CFB">
        <w:pPr>
          <w:pStyle w:val="Piedepgina"/>
          <w:jc w:val="right"/>
        </w:pPr>
        <w:r>
          <w:fldChar w:fldCharType="begin"/>
        </w:r>
        <w:r>
          <w:instrText>PAGE   \* MERGEFORMAT</w:instrText>
        </w:r>
        <w:r>
          <w:fldChar w:fldCharType="separate"/>
        </w:r>
        <w:r w:rsidR="00F430BD">
          <w:rPr>
            <w:noProof/>
          </w:rPr>
          <w:t>1</w:t>
        </w:r>
        <w:r>
          <w:fldChar w:fldCharType="end"/>
        </w:r>
      </w:p>
    </w:sdtContent>
  </w:sdt>
  <w:p w:rsidR="00E04CFB" w:rsidRDefault="00E04C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37E" w:rsidRDefault="0074737E" w:rsidP="000E01E0">
      <w:r>
        <w:separator/>
      </w:r>
    </w:p>
  </w:footnote>
  <w:footnote w:type="continuationSeparator" w:id="0">
    <w:p w:rsidR="0074737E" w:rsidRDefault="0074737E" w:rsidP="000E0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rsidR="00E04CFB" w:rsidRDefault="00E04CFB">
        <w:pPr>
          <w:pStyle w:val="Encabezado"/>
          <w:pBdr>
            <w:bottom w:val="thickThinSmallGap" w:sz="24" w:space="1" w:color="585858"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s-GT"/>
          </w:rPr>
          <w:t>Desempeño Reciente de la Política Fiscal y Situación Macroeconómica al 31 de diciembre 2018</w:t>
        </w:r>
      </w:p>
    </w:sdtContent>
  </w:sdt>
  <w:p w:rsidR="00E04CFB" w:rsidRDefault="00E04C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0000001A"/>
    <w:name w:val="WW8Num26"/>
    <w:lvl w:ilvl="0">
      <w:start w:val="1"/>
      <w:numFmt w:val="decimal"/>
      <w:lvlText w:val="%1."/>
      <w:lvlJc w:val="left"/>
      <w:pPr>
        <w:tabs>
          <w:tab w:val="num" w:pos="0"/>
        </w:tabs>
        <w:ind w:left="720" w:hanging="360"/>
      </w:pPr>
      <w:rPr>
        <w:b/>
      </w:rPr>
    </w:lvl>
  </w:abstractNum>
  <w:abstractNum w:abstractNumId="1" w15:restartNumberingAfterBreak="0">
    <w:nsid w:val="01F121CE"/>
    <w:multiLevelType w:val="hybridMultilevel"/>
    <w:tmpl w:val="3C7A96BC"/>
    <w:lvl w:ilvl="0" w:tplc="7C567F54">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 w15:restartNumberingAfterBreak="0">
    <w:nsid w:val="069835AE"/>
    <w:multiLevelType w:val="hybridMultilevel"/>
    <w:tmpl w:val="9E0479E8"/>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BAB2559"/>
    <w:multiLevelType w:val="hybridMultilevel"/>
    <w:tmpl w:val="DF6A72FA"/>
    <w:lvl w:ilvl="0" w:tplc="39ACC5F0">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FB526EC"/>
    <w:multiLevelType w:val="hybridMultilevel"/>
    <w:tmpl w:val="911C7B7C"/>
    <w:lvl w:ilvl="0" w:tplc="100A000F">
      <w:start w:val="1"/>
      <w:numFmt w:val="decimal"/>
      <w:lvlText w:val="%1."/>
      <w:lvlJc w:val="left"/>
      <w:pPr>
        <w:ind w:left="360" w:hanging="360"/>
      </w:pPr>
      <w:rPr>
        <w:rFonts w:hint="default"/>
      </w:r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2082437F"/>
    <w:multiLevelType w:val="hybridMultilevel"/>
    <w:tmpl w:val="10C4AE48"/>
    <w:lvl w:ilvl="0" w:tplc="A9ACAEBC">
      <w:start w:val="1"/>
      <w:numFmt w:val="decimal"/>
      <w:lvlText w:val="%1."/>
      <w:lvlJc w:val="left"/>
      <w:pPr>
        <w:ind w:left="720" w:hanging="360"/>
      </w:pPr>
      <w:rPr>
        <w:rFonts w:ascii="Times New Roman" w:hAnsi="Times New Roman" w:hint="default"/>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27B20A6F"/>
    <w:multiLevelType w:val="hybridMultilevel"/>
    <w:tmpl w:val="F5AEA69E"/>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29A42438"/>
    <w:multiLevelType w:val="hybridMultilevel"/>
    <w:tmpl w:val="4DDA1730"/>
    <w:lvl w:ilvl="0" w:tplc="100A000F">
      <w:start w:val="1"/>
      <w:numFmt w:val="decimal"/>
      <w:lvlText w:val="%1."/>
      <w:lvlJc w:val="left"/>
      <w:pPr>
        <w:ind w:left="720" w:hanging="360"/>
      </w:pPr>
      <w:rPr>
        <w:i w:val="0"/>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8" w15:restartNumberingAfterBreak="0">
    <w:nsid w:val="2DD50963"/>
    <w:multiLevelType w:val="hybridMultilevel"/>
    <w:tmpl w:val="A1246EAA"/>
    <w:lvl w:ilvl="0" w:tplc="39ACC5F0">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330349D4"/>
    <w:multiLevelType w:val="hybridMultilevel"/>
    <w:tmpl w:val="34947750"/>
    <w:lvl w:ilvl="0" w:tplc="100A0017">
      <w:start w:val="1"/>
      <w:numFmt w:val="lowerLetter"/>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381F2BD9"/>
    <w:multiLevelType w:val="hybridMultilevel"/>
    <w:tmpl w:val="D4347CA2"/>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38BB0CA4"/>
    <w:multiLevelType w:val="hybridMultilevel"/>
    <w:tmpl w:val="2EF6EC14"/>
    <w:lvl w:ilvl="0" w:tplc="39ACC5F0">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3CA01772"/>
    <w:multiLevelType w:val="hybridMultilevel"/>
    <w:tmpl w:val="B448A9F8"/>
    <w:lvl w:ilvl="0" w:tplc="10E0BD9C">
      <w:start w:val="1"/>
      <w:numFmt w:val="lowerLetter"/>
      <w:lvlText w:val="%1."/>
      <w:lvlJc w:val="left"/>
      <w:pPr>
        <w:ind w:left="360" w:hanging="360"/>
      </w:pPr>
      <w:rPr>
        <w:rFonts w:hint="default"/>
      </w:r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 w15:restartNumberingAfterBreak="0">
    <w:nsid w:val="442923C7"/>
    <w:multiLevelType w:val="hybridMultilevel"/>
    <w:tmpl w:val="8A3EE1F2"/>
    <w:lvl w:ilvl="0" w:tplc="39ACC5F0">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445D6D34"/>
    <w:multiLevelType w:val="hybridMultilevel"/>
    <w:tmpl w:val="A87C41C8"/>
    <w:lvl w:ilvl="0" w:tplc="844256AE">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93E0221"/>
    <w:multiLevelType w:val="hybridMultilevel"/>
    <w:tmpl w:val="5B10E3FC"/>
    <w:lvl w:ilvl="0" w:tplc="FF0E753E">
      <w:start w:val="5"/>
      <w:numFmt w:val="bullet"/>
      <w:lvlText w:val=""/>
      <w:lvlJc w:val="left"/>
      <w:pPr>
        <w:ind w:left="502" w:hanging="360"/>
      </w:pPr>
      <w:rPr>
        <w:rFonts w:ascii="Symbol" w:eastAsia="Times New Roman" w:hAnsi="Symbol" w:cs="Times New Roman"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abstractNum w:abstractNumId="16" w15:restartNumberingAfterBreak="0">
    <w:nsid w:val="49DD6648"/>
    <w:multiLevelType w:val="hybridMultilevel"/>
    <w:tmpl w:val="2EF2612A"/>
    <w:lvl w:ilvl="0" w:tplc="39ACC5F0">
      <w:start w:val="1"/>
      <w:numFmt w:val="bullet"/>
      <w:lvlText w:val=""/>
      <w:lvlJc w:val="left"/>
      <w:pPr>
        <w:ind w:left="2136" w:hanging="360"/>
      </w:pPr>
      <w:rPr>
        <w:rFonts w:ascii="Symbol" w:hAnsi="Symbol" w:hint="default"/>
      </w:rPr>
    </w:lvl>
    <w:lvl w:ilvl="1" w:tplc="100A0003" w:tentative="1">
      <w:start w:val="1"/>
      <w:numFmt w:val="bullet"/>
      <w:lvlText w:val="o"/>
      <w:lvlJc w:val="left"/>
      <w:pPr>
        <w:ind w:left="2856" w:hanging="360"/>
      </w:pPr>
      <w:rPr>
        <w:rFonts w:ascii="Courier New" w:hAnsi="Courier New" w:cs="Courier New" w:hint="default"/>
      </w:rPr>
    </w:lvl>
    <w:lvl w:ilvl="2" w:tplc="100A0005" w:tentative="1">
      <w:start w:val="1"/>
      <w:numFmt w:val="bullet"/>
      <w:lvlText w:val=""/>
      <w:lvlJc w:val="left"/>
      <w:pPr>
        <w:ind w:left="3576" w:hanging="360"/>
      </w:pPr>
      <w:rPr>
        <w:rFonts w:ascii="Wingdings" w:hAnsi="Wingdings" w:hint="default"/>
      </w:rPr>
    </w:lvl>
    <w:lvl w:ilvl="3" w:tplc="100A0001" w:tentative="1">
      <w:start w:val="1"/>
      <w:numFmt w:val="bullet"/>
      <w:lvlText w:val=""/>
      <w:lvlJc w:val="left"/>
      <w:pPr>
        <w:ind w:left="4296" w:hanging="360"/>
      </w:pPr>
      <w:rPr>
        <w:rFonts w:ascii="Symbol" w:hAnsi="Symbol" w:hint="default"/>
      </w:rPr>
    </w:lvl>
    <w:lvl w:ilvl="4" w:tplc="100A0003" w:tentative="1">
      <w:start w:val="1"/>
      <w:numFmt w:val="bullet"/>
      <w:lvlText w:val="o"/>
      <w:lvlJc w:val="left"/>
      <w:pPr>
        <w:ind w:left="5016" w:hanging="360"/>
      </w:pPr>
      <w:rPr>
        <w:rFonts w:ascii="Courier New" w:hAnsi="Courier New" w:cs="Courier New" w:hint="default"/>
      </w:rPr>
    </w:lvl>
    <w:lvl w:ilvl="5" w:tplc="100A0005" w:tentative="1">
      <w:start w:val="1"/>
      <w:numFmt w:val="bullet"/>
      <w:lvlText w:val=""/>
      <w:lvlJc w:val="left"/>
      <w:pPr>
        <w:ind w:left="5736" w:hanging="360"/>
      </w:pPr>
      <w:rPr>
        <w:rFonts w:ascii="Wingdings" w:hAnsi="Wingdings" w:hint="default"/>
      </w:rPr>
    </w:lvl>
    <w:lvl w:ilvl="6" w:tplc="100A0001" w:tentative="1">
      <w:start w:val="1"/>
      <w:numFmt w:val="bullet"/>
      <w:lvlText w:val=""/>
      <w:lvlJc w:val="left"/>
      <w:pPr>
        <w:ind w:left="6456" w:hanging="360"/>
      </w:pPr>
      <w:rPr>
        <w:rFonts w:ascii="Symbol" w:hAnsi="Symbol" w:hint="default"/>
      </w:rPr>
    </w:lvl>
    <w:lvl w:ilvl="7" w:tplc="100A0003" w:tentative="1">
      <w:start w:val="1"/>
      <w:numFmt w:val="bullet"/>
      <w:lvlText w:val="o"/>
      <w:lvlJc w:val="left"/>
      <w:pPr>
        <w:ind w:left="7176" w:hanging="360"/>
      </w:pPr>
      <w:rPr>
        <w:rFonts w:ascii="Courier New" w:hAnsi="Courier New" w:cs="Courier New" w:hint="default"/>
      </w:rPr>
    </w:lvl>
    <w:lvl w:ilvl="8" w:tplc="100A0005" w:tentative="1">
      <w:start w:val="1"/>
      <w:numFmt w:val="bullet"/>
      <w:lvlText w:val=""/>
      <w:lvlJc w:val="left"/>
      <w:pPr>
        <w:ind w:left="7896" w:hanging="360"/>
      </w:pPr>
      <w:rPr>
        <w:rFonts w:ascii="Wingdings" w:hAnsi="Wingdings" w:hint="default"/>
      </w:rPr>
    </w:lvl>
  </w:abstractNum>
  <w:abstractNum w:abstractNumId="17" w15:restartNumberingAfterBreak="0">
    <w:nsid w:val="4D67270B"/>
    <w:multiLevelType w:val="hybridMultilevel"/>
    <w:tmpl w:val="A79EF2D8"/>
    <w:lvl w:ilvl="0" w:tplc="AE5232D8">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584E0156"/>
    <w:multiLevelType w:val="hybridMultilevel"/>
    <w:tmpl w:val="F8A81018"/>
    <w:lvl w:ilvl="0" w:tplc="39ACC5F0">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5A1772A8"/>
    <w:multiLevelType w:val="hybridMultilevel"/>
    <w:tmpl w:val="E6284944"/>
    <w:lvl w:ilvl="0" w:tplc="39ACC5F0">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5E164F8D"/>
    <w:multiLevelType w:val="hybridMultilevel"/>
    <w:tmpl w:val="2C2E6BCC"/>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61247E9F"/>
    <w:multiLevelType w:val="hybridMultilevel"/>
    <w:tmpl w:val="D05C03B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63394AB9"/>
    <w:multiLevelType w:val="multilevel"/>
    <w:tmpl w:val="9A3093B6"/>
    <w:lvl w:ilvl="0">
      <w:start w:val="1"/>
      <w:numFmt w:val="upperRoman"/>
      <w:pStyle w:val="Ttulo1"/>
      <w:lvlText w:val="%1."/>
      <w:lvlJc w:val="left"/>
      <w:pPr>
        <w:tabs>
          <w:tab w:val="num" w:pos="0"/>
        </w:tabs>
        <w:ind w:left="432" w:hanging="432"/>
      </w:pPr>
      <w:rPr>
        <w:rFonts w:hint="default"/>
      </w:rPr>
    </w:lvl>
    <w:lvl w:ilvl="1">
      <w:start w:val="1"/>
      <w:numFmt w:val="upperLetter"/>
      <w:pStyle w:val="Ttulo2"/>
      <w:lvlText w:val="%2."/>
      <w:lvlJc w:val="left"/>
      <w:pPr>
        <w:tabs>
          <w:tab w:val="num" w:pos="0"/>
        </w:tabs>
        <w:ind w:left="576" w:hanging="576"/>
      </w:pPr>
      <w:rPr>
        <w:rFonts w:ascii="Times New Roman" w:hAnsi="Times New Roman" w:cs="Times New Roman" w:hint="default"/>
        <w:b/>
        <w:i w:val="0"/>
        <w:color w:val="auto"/>
      </w:rPr>
    </w:lvl>
    <w:lvl w:ilvl="2">
      <w:start w:val="1"/>
      <w:numFmt w:val="decimal"/>
      <w:pStyle w:val="Ttulo3"/>
      <w:lvlText w:val="%1.%2.%3"/>
      <w:lvlJc w:val="left"/>
      <w:pPr>
        <w:tabs>
          <w:tab w:val="num" w:pos="0"/>
        </w:tabs>
        <w:ind w:left="720" w:hanging="720"/>
      </w:pPr>
      <w:rPr>
        <w:rFonts w:hint="default"/>
      </w:rPr>
    </w:lvl>
    <w:lvl w:ilvl="3">
      <w:start w:val="1"/>
      <w:numFmt w:val="decimal"/>
      <w:pStyle w:val="Ttulo4"/>
      <w:lvlText w:val="%1.%2.%3.%4"/>
      <w:lvlJc w:val="left"/>
      <w:pPr>
        <w:tabs>
          <w:tab w:val="num" w:pos="0"/>
        </w:tabs>
        <w:ind w:left="864" w:hanging="864"/>
      </w:pPr>
      <w:rPr>
        <w:rFonts w:hint="default"/>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23" w15:restartNumberingAfterBreak="0">
    <w:nsid w:val="70C3446F"/>
    <w:multiLevelType w:val="hybridMultilevel"/>
    <w:tmpl w:val="C38088CC"/>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73793373"/>
    <w:multiLevelType w:val="hybridMultilevel"/>
    <w:tmpl w:val="C84CB78C"/>
    <w:lvl w:ilvl="0" w:tplc="100A0015">
      <w:start w:val="1"/>
      <w:numFmt w:val="upperLetter"/>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791E5064"/>
    <w:multiLevelType w:val="hybridMultilevel"/>
    <w:tmpl w:val="92900BBA"/>
    <w:lvl w:ilvl="0" w:tplc="82CAF02C">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6" w15:restartNumberingAfterBreak="0">
    <w:nsid w:val="7C576421"/>
    <w:multiLevelType w:val="hybridMultilevel"/>
    <w:tmpl w:val="42CCD77A"/>
    <w:lvl w:ilvl="0" w:tplc="39ACC5F0">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7D086F59"/>
    <w:multiLevelType w:val="hybridMultilevel"/>
    <w:tmpl w:val="0884F094"/>
    <w:lvl w:ilvl="0" w:tplc="9CA84AF4">
      <w:start w:val="1"/>
      <w:numFmt w:val="lowerRoman"/>
      <w:lvlText w:val="(%1)"/>
      <w:lvlJc w:val="left"/>
      <w:pPr>
        <w:ind w:left="1440" w:hanging="72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num w:numId="1">
    <w:abstractNumId w:val="22"/>
  </w:num>
  <w:num w:numId="2">
    <w:abstractNumId w:val="1"/>
  </w:num>
  <w:num w:numId="3">
    <w:abstractNumId w:val="7"/>
  </w:num>
  <w:num w:numId="4">
    <w:abstractNumId w:val="17"/>
  </w:num>
  <w:num w:numId="5">
    <w:abstractNumId w:val="20"/>
  </w:num>
  <w:num w:numId="6">
    <w:abstractNumId w:val="24"/>
  </w:num>
  <w:num w:numId="7">
    <w:abstractNumId w:val="23"/>
  </w:num>
  <w:num w:numId="8">
    <w:abstractNumId w:val="6"/>
  </w:num>
  <w:num w:numId="9">
    <w:abstractNumId w:val="4"/>
  </w:num>
  <w:num w:numId="10">
    <w:abstractNumId w:val="12"/>
  </w:num>
  <w:num w:numId="11">
    <w:abstractNumId w:val="25"/>
  </w:num>
  <w:num w:numId="12">
    <w:abstractNumId w:val="22"/>
  </w:num>
  <w:num w:numId="13">
    <w:abstractNumId w:val="22"/>
  </w:num>
  <w:num w:numId="14">
    <w:abstractNumId w:val="22"/>
  </w:num>
  <w:num w:numId="15">
    <w:abstractNumId w:val="14"/>
  </w:num>
  <w:num w:numId="16">
    <w:abstractNumId w:val="27"/>
  </w:num>
  <w:num w:numId="17">
    <w:abstractNumId w:val="22"/>
  </w:num>
  <w:num w:numId="18">
    <w:abstractNumId w:val="22"/>
  </w:num>
  <w:num w:numId="19">
    <w:abstractNumId w:val="22"/>
  </w:num>
  <w:num w:numId="20">
    <w:abstractNumId w:val="22"/>
  </w:num>
  <w:num w:numId="21">
    <w:abstractNumId w:val="26"/>
  </w:num>
  <w:num w:numId="22">
    <w:abstractNumId w:val="3"/>
  </w:num>
  <w:num w:numId="23">
    <w:abstractNumId w:val="13"/>
  </w:num>
  <w:num w:numId="24">
    <w:abstractNumId w:val="18"/>
  </w:num>
  <w:num w:numId="25">
    <w:abstractNumId w:val="8"/>
  </w:num>
  <w:num w:numId="26">
    <w:abstractNumId w:val="19"/>
  </w:num>
  <w:num w:numId="27">
    <w:abstractNumId w:val="11"/>
  </w:num>
  <w:num w:numId="28">
    <w:abstractNumId w:val="16"/>
  </w:num>
  <w:num w:numId="29">
    <w:abstractNumId w:val="22"/>
  </w:num>
  <w:num w:numId="30">
    <w:abstractNumId w:val="22"/>
  </w:num>
  <w:num w:numId="31">
    <w:abstractNumId w:val="22"/>
  </w:num>
  <w:num w:numId="32">
    <w:abstractNumId w:val="15"/>
  </w:num>
  <w:num w:numId="33">
    <w:abstractNumId w:val="21"/>
  </w:num>
  <w:num w:numId="34">
    <w:abstractNumId w:val="10"/>
  </w:num>
  <w:num w:numId="35">
    <w:abstractNumId w:val="9"/>
  </w:num>
  <w:num w:numId="36">
    <w:abstractNumId w:val="22"/>
  </w:num>
  <w:num w:numId="37">
    <w:abstractNumId w:val="22"/>
  </w:num>
  <w:num w:numId="38">
    <w:abstractNumId w:val="22"/>
  </w:num>
  <w:num w:numId="39">
    <w:abstractNumId w:val="22"/>
  </w:num>
  <w:num w:numId="40">
    <w:abstractNumId w:val="22"/>
  </w:num>
  <w:num w:numId="41">
    <w:abstractNumId w:val="2"/>
  </w:num>
  <w:num w:numId="4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F6"/>
    <w:rsid w:val="00000271"/>
    <w:rsid w:val="00001941"/>
    <w:rsid w:val="00001FCE"/>
    <w:rsid w:val="000026A6"/>
    <w:rsid w:val="00002C71"/>
    <w:rsid w:val="00002F20"/>
    <w:rsid w:val="00006C7E"/>
    <w:rsid w:val="00006DD0"/>
    <w:rsid w:val="00006E08"/>
    <w:rsid w:val="0000712C"/>
    <w:rsid w:val="00007971"/>
    <w:rsid w:val="00011C9C"/>
    <w:rsid w:val="00013358"/>
    <w:rsid w:val="00013E0C"/>
    <w:rsid w:val="000166C1"/>
    <w:rsid w:val="00017B3B"/>
    <w:rsid w:val="00017B82"/>
    <w:rsid w:val="00022538"/>
    <w:rsid w:val="000249ED"/>
    <w:rsid w:val="00025229"/>
    <w:rsid w:val="00025284"/>
    <w:rsid w:val="00025E2C"/>
    <w:rsid w:val="0002656E"/>
    <w:rsid w:val="000270F6"/>
    <w:rsid w:val="000277A1"/>
    <w:rsid w:val="00031261"/>
    <w:rsid w:val="00032094"/>
    <w:rsid w:val="00033469"/>
    <w:rsid w:val="000335A6"/>
    <w:rsid w:val="000339BE"/>
    <w:rsid w:val="0003552B"/>
    <w:rsid w:val="000356E9"/>
    <w:rsid w:val="00036623"/>
    <w:rsid w:val="00037093"/>
    <w:rsid w:val="0003764E"/>
    <w:rsid w:val="00041492"/>
    <w:rsid w:val="000417AF"/>
    <w:rsid w:val="000462D9"/>
    <w:rsid w:val="000463B8"/>
    <w:rsid w:val="00047128"/>
    <w:rsid w:val="00050464"/>
    <w:rsid w:val="00050A01"/>
    <w:rsid w:val="00050D2F"/>
    <w:rsid w:val="000514DA"/>
    <w:rsid w:val="000520A7"/>
    <w:rsid w:val="00052BF0"/>
    <w:rsid w:val="00054D29"/>
    <w:rsid w:val="0005699A"/>
    <w:rsid w:val="00057F62"/>
    <w:rsid w:val="00060431"/>
    <w:rsid w:val="00062367"/>
    <w:rsid w:val="00065510"/>
    <w:rsid w:val="00065527"/>
    <w:rsid w:val="00065D4A"/>
    <w:rsid w:val="00065E12"/>
    <w:rsid w:val="00066682"/>
    <w:rsid w:val="00067496"/>
    <w:rsid w:val="00067C62"/>
    <w:rsid w:val="00071A03"/>
    <w:rsid w:val="00072145"/>
    <w:rsid w:val="00073C9A"/>
    <w:rsid w:val="00074713"/>
    <w:rsid w:val="00075770"/>
    <w:rsid w:val="000763E5"/>
    <w:rsid w:val="000775C1"/>
    <w:rsid w:val="00080461"/>
    <w:rsid w:val="00080C7D"/>
    <w:rsid w:val="00080D50"/>
    <w:rsid w:val="00082035"/>
    <w:rsid w:val="000830DF"/>
    <w:rsid w:val="00084505"/>
    <w:rsid w:val="0008463A"/>
    <w:rsid w:val="00084D8F"/>
    <w:rsid w:val="00085B6E"/>
    <w:rsid w:val="00085EBA"/>
    <w:rsid w:val="0008753F"/>
    <w:rsid w:val="00087634"/>
    <w:rsid w:val="00087866"/>
    <w:rsid w:val="00091DAD"/>
    <w:rsid w:val="00092468"/>
    <w:rsid w:val="00095237"/>
    <w:rsid w:val="000967ED"/>
    <w:rsid w:val="000A01E7"/>
    <w:rsid w:val="000A0AA2"/>
    <w:rsid w:val="000A36B5"/>
    <w:rsid w:val="000A4F25"/>
    <w:rsid w:val="000A54A7"/>
    <w:rsid w:val="000A698B"/>
    <w:rsid w:val="000A71A1"/>
    <w:rsid w:val="000A77DC"/>
    <w:rsid w:val="000B006C"/>
    <w:rsid w:val="000B0E01"/>
    <w:rsid w:val="000B2527"/>
    <w:rsid w:val="000B3701"/>
    <w:rsid w:val="000B4F22"/>
    <w:rsid w:val="000B5414"/>
    <w:rsid w:val="000B60B9"/>
    <w:rsid w:val="000B62C6"/>
    <w:rsid w:val="000B7AA2"/>
    <w:rsid w:val="000C0344"/>
    <w:rsid w:val="000C0DC4"/>
    <w:rsid w:val="000C1A25"/>
    <w:rsid w:val="000C1A68"/>
    <w:rsid w:val="000C279B"/>
    <w:rsid w:val="000C2A92"/>
    <w:rsid w:val="000C36B4"/>
    <w:rsid w:val="000C4AD7"/>
    <w:rsid w:val="000C4D67"/>
    <w:rsid w:val="000C53BE"/>
    <w:rsid w:val="000C6E8D"/>
    <w:rsid w:val="000C75FE"/>
    <w:rsid w:val="000D0A1C"/>
    <w:rsid w:val="000D10F4"/>
    <w:rsid w:val="000D3BEF"/>
    <w:rsid w:val="000D4A27"/>
    <w:rsid w:val="000D5D6E"/>
    <w:rsid w:val="000D777E"/>
    <w:rsid w:val="000D786F"/>
    <w:rsid w:val="000D7E66"/>
    <w:rsid w:val="000E01E0"/>
    <w:rsid w:val="000E0C87"/>
    <w:rsid w:val="000E1F0E"/>
    <w:rsid w:val="000E34DD"/>
    <w:rsid w:val="000E35D4"/>
    <w:rsid w:val="000E43D0"/>
    <w:rsid w:val="000E448D"/>
    <w:rsid w:val="000E4B70"/>
    <w:rsid w:val="000E7D80"/>
    <w:rsid w:val="000F0CC7"/>
    <w:rsid w:val="000F0F53"/>
    <w:rsid w:val="000F304B"/>
    <w:rsid w:val="000F31D3"/>
    <w:rsid w:val="000F4303"/>
    <w:rsid w:val="000F6870"/>
    <w:rsid w:val="000F7C84"/>
    <w:rsid w:val="001009A6"/>
    <w:rsid w:val="00100C95"/>
    <w:rsid w:val="00102201"/>
    <w:rsid w:val="00102469"/>
    <w:rsid w:val="0010274A"/>
    <w:rsid w:val="001038B1"/>
    <w:rsid w:val="001060A5"/>
    <w:rsid w:val="00107E6D"/>
    <w:rsid w:val="001106C1"/>
    <w:rsid w:val="00111E81"/>
    <w:rsid w:val="0011402D"/>
    <w:rsid w:val="0011418E"/>
    <w:rsid w:val="0011619F"/>
    <w:rsid w:val="0011651D"/>
    <w:rsid w:val="00116540"/>
    <w:rsid w:val="00117403"/>
    <w:rsid w:val="00117A88"/>
    <w:rsid w:val="00117FC2"/>
    <w:rsid w:val="00121013"/>
    <w:rsid w:val="0012373F"/>
    <w:rsid w:val="00124AD6"/>
    <w:rsid w:val="00124E70"/>
    <w:rsid w:val="00125647"/>
    <w:rsid w:val="00126FB8"/>
    <w:rsid w:val="00131670"/>
    <w:rsid w:val="00131980"/>
    <w:rsid w:val="00131BC0"/>
    <w:rsid w:val="001339AA"/>
    <w:rsid w:val="0013520D"/>
    <w:rsid w:val="00136F4B"/>
    <w:rsid w:val="00137470"/>
    <w:rsid w:val="001422F2"/>
    <w:rsid w:val="00142A1E"/>
    <w:rsid w:val="001432F1"/>
    <w:rsid w:val="0014364E"/>
    <w:rsid w:val="001457E7"/>
    <w:rsid w:val="00146383"/>
    <w:rsid w:val="00150099"/>
    <w:rsid w:val="00150901"/>
    <w:rsid w:val="00152A09"/>
    <w:rsid w:val="00153337"/>
    <w:rsid w:val="001541E7"/>
    <w:rsid w:val="00160059"/>
    <w:rsid w:val="00160835"/>
    <w:rsid w:val="00160A89"/>
    <w:rsid w:val="001611FC"/>
    <w:rsid w:val="00163055"/>
    <w:rsid w:val="00164C3E"/>
    <w:rsid w:val="0016665C"/>
    <w:rsid w:val="00166AB2"/>
    <w:rsid w:val="00167975"/>
    <w:rsid w:val="00170963"/>
    <w:rsid w:val="00170E9E"/>
    <w:rsid w:val="00172283"/>
    <w:rsid w:val="00173649"/>
    <w:rsid w:val="001749CE"/>
    <w:rsid w:val="00174DDC"/>
    <w:rsid w:val="0017542C"/>
    <w:rsid w:val="001756B5"/>
    <w:rsid w:val="00175C23"/>
    <w:rsid w:val="00180854"/>
    <w:rsid w:val="00180A0E"/>
    <w:rsid w:val="00181D3E"/>
    <w:rsid w:val="0019039C"/>
    <w:rsid w:val="00190F0E"/>
    <w:rsid w:val="00191216"/>
    <w:rsid w:val="00191AE8"/>
    <w:rsid w:val="00191C70"/>
    <w:rsid w:val="00194D4C"/>
    <w:rsid w:val="00195D8B"/>
    <w:rsid w:val="001960E2"/>
    <w:rsid w:val="001966ED"/>
    <w:rsid w:val="001A0DE9"/>
    <w:rsid w:val="001A137C"/>
    <w:rsid w:val="001A2D5E"/>
    <w:rsid w:val="001A50D4"/>
    <w:rsid w:val="001A5C6B"/>
    <w:rsid w:val="001A613A"/>
    <w:rsid w:val="001B07B2"/>
    <w:rsid w:val="001B2234"/>
    <w:rsid w:val="001B3D8A"/>
    <w:rsid w:val="001B3DDB"/>
    <w:rsid w:val="001B4259"/>
    <w:rsid w:val="001B4C14"/>
    <w:rsid w:val="001B5A69"/>
    <w:rsid w:val="001B656E"/>
    <w:rsid w:val="001B69BD"/>
    <w:rsid w:val="001B7DD0"/>
    <w:rsid w:val="001C1168"/>
    <w:rsid w:val="001C2713"/>
    <w:rsid w:val="001C2DAF"/>
    <w:rsid w:val="001C4C02"/>
    <w:rsid w:val="001C5216"/>
    <w:rsid w:val="001C5775"/>
    <w:rsid w:val="001C6241"/>
    <w:rsid w:val="001C6FB1"/>
    <w:rsid w:val="001C7CA7"/>
    <w:rsid w:val="001C7CDF"/>
    <w:rsid w:val="001C7D2A"/>
    <w:rsid w:val="001D07B2"/>
    <w:rsid w:val="001D0D64"/>
    <w:rsid w:val="001D2E72"/>
    <w:rsid w:val="001D57B1"/>
    <w:rsid w:val="001D5D2B"/>
    <w:rsid w:val="001D69A2"/>
    <w:rsid w:val="001D7553"/>
    <w:rsid w:val="001D785F"/>
    <w:rsid w:val="001E02BB"/>
    <w:rsid w:val="001E12CD"/>
    <w:rsid w:val="001E1E63"/>
    <w:rsid w:val="001E2B73"/>
    <w:rsid w:val="001E2EF8"/>
    <w:rsid w:val="001E3DB7"/>
    <w:rsid w:val="001E6DEE"/>
    <w:rsid w:val="001E6F40"/>
    <w:rsid w:val="001F078C"/>
    <w:rsid w:val="001F0BC8"/>
    <w:rsid w:val="001F13DC"/>
    <w:rsid w:val="001F2A2B"/>
    <w:rsid w:val="001F5849"/>
    <w:rsid w:val="001F58C5"/>
    <w:rsid w:val="001F74FB"/>
    <w:rsid w:val="00200269"/>
    <w:rsid w:val="00201D05"/>
    <w:rsid w:val="00203DB9"/>
    <w:rsid w:val="002041A8"/>
    <w:rsid w:val="00204263"/>
    <w:rsid w:val="002042CC"/>
    <w:rsid w:val="00204AEC"/>
    <w:rsid w:val="00204CE1"/>
    <w:rsid w:val="00204E00"/>
    <w:rsid w:val="00205BBD"/>
    <w:rsid w:val="0020645A"/>
    <w:rsid w:val="00206BE7"/>
    <w:rsid w:val="002126FE"/>
    <w:rsid w:val="002139A8"/>
    <w:rsid w:val="00215592"/>
    <w:rsid w:val="00215D20"/>
    <w:rsid w:val="0021606F"/>
    <w:rsid w:val="0021669B"/>
    <w:rsid w:val="002213F6"/>
    <w:rsid w:val="002215DA"/>
    <w:rsid w:val="00221D8E"/>
    <w:rsid w:val="00222913"/>
    <w:rsid w:val="00222E74"/>
    <w:rsid w:val="002239F6"/>
    <w:rsid w:val="0022647B"/>
    <w:rsid w:val="00227D1F"/>
    <w:rsid w:val="0023230B"/>
    <w:rsid w:val="002403F9"/>
    <w:rsid w:val="00243EA4"/>
    <w:rsid w:val="00244244"/>
    <w:rsid w:val="00245DF7"/>
    <w:rsid w:val="00246614"/>
    <w:rsid w:val="00246B8D"/>
    <w:rsid w:val="00250229"/>
    <w:rsid w:val="0025124D"/>
    <w:rsid w:val="00251E1C"/>
    <w:rsid w:val="00252FE7"/>
    <w:rsid w:val="00253236"/>
    <w:rsid w:val="00253E46"/>
    <w:rsid w:val="00255AF8"/>
    <w:rsid w:val="00256FA8"/>
    <w:rsid w:val="00257A94"/>
    <w:rsid w:val="00260546"/>
    <w:rsid w:val="002610D3"/>
    <w:rsid w:val="00263C1E"/>
    <w:rsid w:val="00264910"/>
    <w:rsid w:val="00265DA8"/>
    <w:rsid w:val="0027470A"/>
    <w:rsid w:val="00274AF0"/>
    <w:rsid w:val="00274F39"/>
    <w:rsid w:val="00277526"/>
    <w:rsid w:val="00280E60"/>
    <w:rsid w:val="00281298"/>
    <w:rsid w:val="0028148E"/>
    <w:rsid w:val="00281FCD"/>
    <w:rsid w:val="0028530C"/>
    <w:rsid w:val="002861B8"/>
    <w:rsid w:val="00286A67"/>
    <w:rsid w:val="00287473"/>
    <w:rsid w:val="00287F49"/>
    <w:rsid w:val="002906B2"/>
    <w:rsid w:val="00290FF6"/>
    <w:rsid w:val="0029118F"/>
    <w:rsid w:val="00292D4F"/>
    <w:rsid w:val="00292F2F"/>
    <w:rsid w:val="00294F1B"/>
    <w:rsid w:val="0029692B"/>
    <w:rsid w:val="002A0B27"/>
    <w:rsid w:val="002A332E"/>
    <w:rsid w:val="002A55A1"/>
    <w:rsid w:val="002A5624"/>
    <w:rsid w:val="002A6BC2"/>
    <w:rsid w:val="002A6F3B"/>
    <w:rsid w:val="002A7078"/>
    <w:rsid w:val="002B0831"/>
    <w:rsid w:val="002B0EEB"/>
    <w:rsid w:val="002B0FB0"/>
    <w:rsid w:val="002B44C0"/>
    <w:rsid w:val="002B62DF"/>
    <w:rsid w:val="002B7181"/>
    <w:rsid w:val="002B76AA"/>
    <w:rsid w:val="002C13CC"/>
    <w:rsid w:val="002C169B"/>
    <w:rsid w:val="002C3219"/>
    <w:rsid w:val="002C3A6A"/>
    <w:rsid w:val="002C3D99"/>
    <w:rsid w:val="002C6B76"/>
    <w:rsid w:val="002C7DD6"/>
    <w:rsid w:val="002D1DDF"/>
    <w:rsid w:val="002D786C"/>
    <w:rsid w:val="002E073E"/>
    <w:rsid w:val="002E0BC8"/>
    <w:rsid w:val="002E0D7D"/>
    <w:rsid w:val="002E0FD6"/>
    <w:rsid w:val="002E1458"/>
    <w:rsid w:val="002E31F9"/>
    <w:rsid w:val="002E3253"/>
    <w:rsid w:val="002E5B6B"/>
    <w:rsid w:val="002F1F2B"/>
    <w:rsid w:val="002F3A71"/>
    <w:rsid w:val="002F3B68"/>
    <w:rsid w:val="002F4543"/>
    <w:rsid w:val="002F4E2F"/>
    <w:rsid w:val="002F59F1"/>
    <w:rsid w:val="002F747D"/>
    <w:rsid w:val="00300FD8"/>
    <w:rsid w:val="0030204D"/>
    <w:rsid w:val="00302458"/>
    <w:rsid w:val="003031DB"/>
    <w:rsid w:val="003031E1"/>
    <w:rsid w:val="003034E7"/>
    <w:rsid w:val="00303A11"/>
    <w:rsid w:val="003048DC"/>
    <w:rsid w:val="00304DFD"/>
    <w:rsid w:val="003058C4"/>
    <w:rsid w:val="00307213"/>
    <w:rsid w:val="003075D1"/>
    <w:rsid w:val="00310004"/>
    <w:rsid w:val="003115D1"/>
    <w:rsid w:val="003163CB"/>
    <w:rsid w:val="00316541"/>
    <w:rsid w:val="0031796F"/>
    <w:rsid w:val="0032032E"/>
    <w:rsid w:val="003211CD"/>
    <w:rsid w:val="00321356"/>
    <w:rsid w:val="00321F48"/>
    <w:rsid w:val="00324198"/>
    <w:rsid w:val="00324A91"/>
    <w:rsid w:val="00325386"/>
    <w:rsid w:val="00327305"/>
    <w:rsid w:val="003274F7"/>
    <w:rsid w:val="0033026A"/>
    <w:rsid w:val="003360AD"/>
    <w:rsid w:val="003365B1"/>
    <w:rsid w:val="00340155"/>
    <w:rsid w:val="003417DC"/>
    <w:rsid w:val="00341E49"/>
    <w:rsid w:val="00342AAF"/>
    <w:rsid w:val="0034304B"/>
    <w:rsid w:val="00343CFB"/>
    <w:rsid w:val="00345F54"/>
    <w:rsid w:val="00347C7E"/>
    <w:rsid w:val="00347FB7"/>
    <w:rsid w:val="00352B41"/>
    <w:rsid w:val="00352DE7"/>
    <w:rsid w:val="003543EF"/>
    <w:rsid w:val="00355326"/>
    <w:rsid w:val="003563D1"/>
    <w:rsid w:val="00356BF7"/>
    <w:rsid w:val="00356E86"/>
    <w:rsid w:val="0035762A"/>
    <w:rsid w:val="00361AE8"/>
    <w:rsid w:val="003637E9"/>
    <w:rsid w:val="00363B6B"/>
    <w:rsid w:val="00363F31"/>
    <w:rsid w:val="00364A3A"/>
    <w:rsid w:val="00365D39"/>
    <w:rsid w:val="0036693C"/>
    <w:rsid w:val="003679D2"/>
    <w:rsid w:val="00373668"/>
    <w:rsid w:val="00375355"/>
    <w:rsid w:val="00375966"/>
    <w:rsid w:val="00375F88"/>
    <w:rsid w:val="00376563"/>
    <w:rsid w:val="00377E43"/>
    <w:rsid w:val="00380647"/>
    <w:rsid w:val="00382593"/>
    <w:rsid w:val="00384199"/>
    <w:rsid w:val="00387CCA"/>
    <w:rsid w:val="003902FF"/>
    <w:rsid w:val="00391CED"/>
    <w:rsid w:val="003937AC"/>
    <w:rsid w:val="003A1DD3"/>
    <w:rsid w:val="003A2487"/>
    <w:rsid w:val="003A3DE7"/>
    <w:rsid w:val="003A4595"/>
    <w:rsid w:val="003A5ECB"/>
    <w:rsid w:val="003A7822"/>
    <w:rsid w:val="003B014D"/>
    <w:rsid w:val="003B0A7E"/>
    <w:rsid w:val="003B0D27"/>
    <w:rsid w:val="003B2C58"/>
    <w:rsid w:val="003B2D1B"/>
    <w:rsid w:val="003B3299"/>
    <w:rsid w:val="003B647D"/>
    <w:rsid w:val="003B686B"/>
    <w:rsid w:val="003C033C"/>
    <w:rsid w:val="003C0489"/>
    <w:rsid w:val="003C0613"/>
    <w:rsid w:val="003C088A"/>
    <w:rsid w:val="003C0AC8"/>
    <w:rsid w:val="003C1260"/>
    <w:rsid w:val="003C1B74"/>
    <w:rsid w:val="003C37FA"/>
    <w:rsid w:val="003C7D41"/>
    <w:rsid w:val="003D02B4"/>
    <w:rsid w:val="003D1187"/>
    <w:rsid w:val="003D195F"/>
    <w:rsid w:val="003D2115"/>
    <w:rsid w:val="003D3143"/>
    <w:rsid w:val="003D3435"/>
    <w:rsid w:val="003E005F"/>
    <w:rsid w:val="003E0412"/>
    <w:rsid w:val="003E2769"/>
    <w:rsid w:val="003E5087"/>
    <w:rsid w:val="003E5764"/>
    <w:rsid w:val="003E59DE"/>
    <w:rsid w:val="003E59EE"/>
    <w:rsid w:val="003E6882"/>
    <w:rsid w:val="003F022C"/>
    <w:rsid w:val="003F2AC5"/>
    <w:rsid w:val="003F2CBA"/>
    <w:rsid w:val="003F4BAA"/>
    <w:rsid w:val="003F75FE"/>
    <w:rsid w:val="003F76FF"/>
    <w:rsid w:val="004015E2"/>
    <w:rsid w:val="004016A4"/>
    <w:rsid w:val="004019DF"/>
    <w:rsid w:val="004020FA"/>
    <w:rsid w:val="00404906"/>
    <w:rsid w:val="00404E7B"/>
    <w:rsid w:val="00406C70"/>
    <w:rsid w:val="00410274"/>
    <w:rsid w:val="00410C60"/>
    <w:rsid w:val="0041158A"/>
    <w:rsid w:val="00415127"/>
    <w:rsid w:val="00417899"/>
    <w:rsid w:val="00420DCC"/>
    <w:rsid w:val="00422CBB"/>
    <w:rsid w:val="00422D9F"/>
    <w:rsid w:val="0042346E"/>
    <w:rsid w:val="00424044"/>
    <w:rsid w:val="0042416B"/>
    <w:rsid w:val="00430779"/>
    <w:rsid w:val="00430CB0"/>
    <w:rsid w:val="004337DE"/>
    <w:rsid w:val="0043392F"/>
    <w:rsid w:val="00433ED8"/>
    <w:rsid w:val="00434642"/>
    <w:rsid w:val="00434E29"/>
    <w:rsid w:val="004359F2"/>
    <w:rsid w:val="00435DAF"/>
    <w:rsid w:val="004372F7"/>
    <w:rsid w:val="0043775E"/>
    <w:rsid w:val="00441836"/>
    <w:rsid w:val="00442314"/>
    <w:rsid w:val="00442774"/>
    <w:rsid w:val="0044314A"/>
    <w:rsid w:val="004451F6"/>
    <w:rsid w:val="00445A16"/>
    <w:rsid w:val="00445E78"/>
    <w:rsid w:val="0045067B"/>
    <w:rsid w:val="004506BE"/>
    <w:rsid w:val="00450EB8"/>
    <w:rsid w:val="004521FC"/>
    <w:rsid w:val="00452D65"/>
    <w:rsid w:val="00454B60"/>
    <w:rsid w:val="00455AA7"/>
    <w:rsid w:val="00455FF3"/>
    <w:rsid w:val="0045761B"/>
    <w:rsid w:val="00457A70"/>
    <w:rsid w:val="00460764"/>
    <w:rsid w:val="00460B46"/>
    <w:rsid w:val="004617E0"/>
    <w:rsid w:val="00461936"/>
    <w:rsid w:val="00461F46"/>
    <w:rsid w:val="00463827"/>
    <w:rsid w:val="0046447D"/>
    <w:rsid w:val="004648D4"/>
    <w:rsid w:val="0046669C"/>
    <w:rsid w:val="004669E3"/>
    <w:rsid w:val="004671A3"/>
    <w:rsid w:val="0046725D"/>
    <w:rsid w:val="00470395"/>
    <w:rsid w:val="0047254C"/>
    <w:rsid w:val="00472614"/>
    <w:rsid w:val="00472764"/>
    <w:rsid w:val="004734B2"/>
    <w:rsid w:val="004734DA"/>
    <w:rsid w:val="00475D90"/>
    <w:rsid w:val="00476016"/>
    <w:rsid w:val="00481687"/>
    <w:rsid w:val="00482A22"/>
    <w:rsid w:val="00483CD5"/>
    <w:rsid w:val="00485D75"/>
    <w:rsid w:val="004871C3"/>
    <w:rsid w:val="004874F3"/>
    <w:rsid w:val="0048768D"/>
    <w:rsid w:val="004907E9"/>
    <w:rsid w:val="00490B49"/>
    <w:rsid w:val="0049117B"/>
    <w:rsid w:val="00494EE3"/>
    <w:rsid w:val="00497B54"/>
    <w:rsid w:val="00497C90"/>
    <w:rsid w:val="004A0C3C"/>
    <w:rsid w:val="004A13A7"/>
    <w:rsid w:val="004A16D8"/>
    <w:rsid w:val="004A215E"/>
    <w:rsid w:val="004A2E81"/>
    <w:rsid w:val="004A2F11"/>
    <w:rsid w:val="004A4980"/>
    <w:rsid w:val="004A5793"/>
    <w:rsid w:val="004A689C"/>
    <w:rsid w:val="004B04CC"/>
    <w:rsid w:val="004B1701"/>
    <w:rsid w:val="004B1F3E"/>
    <w:rsid w:val="004B2554"/>
    <w:rsid w:val="004B5D76"/>
    <w:rsid w:val="004B710F"/>
    <w:rsid w:val="004C0725"/>
    <w:rsid w:val="004C0853"/>
    <w:rsid w:val="004C0B59"/>
    <w:rsid w:val="004C33CC"/>
    <w:rsid w:val="004C59DC"/>
    <w:rsid w:val="004C5F5E"/>
    <w:rsid w:val="004C787C"/>
    <w:rsid w:val="004D049B"/>
    <w:rsid w:val="004D1597"/>
    <w:rsid w:val="004D1735"/>
    <w:rsid w:val="004D19C8"/>
    <w:rsid w:val="004D2C6F"/>
    <w:rsid w:val="004D38C1"/>
    <w:rsid w:val="004D3EA5"/>
    <w:rsid w:val="004D4920"/>
    <w:rsid w:val="004D5491"/>
    <w:rsid w:val="004D5C4A"/>
    <w:rsid w:val="004D60D5"/>
    <w:rsid w:val="004D6175"/>
    <w:rsid w:val="004D6968"/>
    <w:rsid w:val="004E03B3"/>
    <w:rsid w:val="004E346A"/>
    <w:rsid w:val="004E438A"/>
    <w:rsid w:val="004E678D"/>
    <w:rsid w:val="004E6B51"/>
    <w:rsid w:val="004E7D32"/>
    <w:rsid w:val="004F0A9D"/>
    <w:rsid w:val="004F1887"/>
    <w:rsid w:val="004F1C7A"/>
    <w:rsid w:val="004F34F7"/>
    <w:rsid w:val="004F37CB"/>
    <w:rsid w:val="004F4633"/>
    <w:rsid w:val="004F5108"/>
    <w:rsid w:val="004F52F4"/>
    <w:rsid w:val="004F596B"/>
    <w:rsid w:val="004F633A"/>
    <w:rsid w:val="00500393"/>
    <w:rsid w:val="00501530"/>
    <w:rsid w:val="00502E9E"/>
    <w:rsid w:val="00506925"/>
    <w:rsid w:val="00506F0B"/>
    <w:rsid w:val="00510F8D"/>
    <w:rsid w:val="0051210E"/>
    <w:rsid w:val="00512FA6"/>
    <w:rsid w:val="00514715"/>
    <w:rsid w:val="00517564"/>
    <w:rsid w:val="005200C4"/>
    <w:rsid w:val="00521F46"/>
    <w:rsid w:val="00522B3D"/>
    <w:rsid w:val="00523005"/>
    <w:rsid w:val="0052348A"/>
    <w:rsid w:val="00523935"/>
    <w:rsid w:val="0052400C"/>
    <w:rsid w:val="00524611"/>
    <w:rsid w:val="00524B50"/>
    <w:rsid w:val="005260F4"/>
    <w:rsid w:val="0052784F"/>
    <w:rsid w:val="00527CCE"/>
    <w:rsid w:val="005303F0"/>
    <w:rsid w:val="005314D1"/>
    <w:rsid w:val="005321A7"/>
    <w:rsid w:val="0053246B"/>
    <w:rsid w:val="005328F8"/>
    <w:rsid w:val="00532F99"/>
    <w:rsid w:val="005332EC"/>
    <w:rsid w:val="005339DB"/>
    <w:rsid w:val="00533FD2"/>
    <w:rsid w:val="00534E33"/>
    <w:rsid w:val="00536216"/>
    <w:rsid w:val="00536CE7"/>
    <w:rsid w:val="00536D9D"/>
    <w:rsid w:val="0053757E"/>
    <w:rsid w:val="005457D2"/>
    <w:rsid w:val="005476F5"/>
    <w:rsid w:val="00547D32"/>
    <w:rsid w:val="00547DC9"/>
    <w:rsid w:val="0055487A"/>
    <w:rsid w:val="00555054"/>
    <w:rsid w:val="00555922"/>
    <w:rsid w:val="00556474"/>
    <w:rsid w:val="00557714"/>
    <w:rsid w:val="00557944"/>
    <w:rsid w:val="00557996"/>
    <w:rsid w:val="005601C9"/>
    <w:rsid w:val="00560D51"/>
    <w:rsid w:val="005623C0"/>
    <w:rsid w:val="00563088"/>
    <w:rsid w:val="005644BD"/>
    <w:rsid w:val="00564A01"/>
    <w:rsid w:val="00565E58"/>
    <w:rsid w:val="005678DE"/>
    <w:rsid w:val="00567ADD"/>
    <w:rsid w:val="00570585"/>
    <w:rsid w:val="00571C86"/>
    <w:rsid w:val="00574B3E"/>
    <w:rsid w:val="00576583"/>
    <w:rsid w:val="00577829"/>
    <w:rsid w:val="0058066B"/>
    <w:rsid w:val="00580926"/>
    <w:rsid w:val="00580C05"/>
    <w:rsid w:val="00581D2B"/>
    <w:rsid w:val="00582B25"/>
    <w:rsid w:val="005838C9"/>
    <w:rsid w:val="00583EC1"/>
    <w:rsid w:val="00583FE6"/>
    <w:rsid w:val="00585ABA"/>
    <w:rsid w:val="00586960"/>
    <w:rsid w:val="005942E8"/>
    <w:rsid w:val="0059430A"/>
    <w:rsid w:val="00594C2F"/>
    <w:rsid w:val="0059533F"/>
    <w:rsid w:val="00596C04"/>
    <w:rsid w:val="005970B7"/>
    <w:rsid w:val="00597B0E"/>
    <w:rsid w:val="005A01B6"/>
    <w:rsid w:val="005A0331"/>
    <w:rsid w:val="005A05F3"/>
    <w:rsid w:val="005A09EA"/>
    <w:rsid w:val="005A17B0"/>
    <w:rsid w:val="005A3542"/>
    <w:rsid w:val="005A370A"/>
    <w:rsid w:val="005A3FEB"/>
    <w:rsid w:val="005A73D6"/>
    <w:rsid w:val="005A7D3A"/>
    <w:rsid w:val="005A7D7C"/>
    <w:rsid w:val="005B26F4"/>
    <w:rsid w:val="005B358A"/>
    <w:rsid w:val="005B4A2B"/>
    <w:rsid w:val="005B50BA"/>
    <w:rsid w:val="005B541E"/>
    <w:rsid w:val="005B5FBA"/>
    <w:rsid w:val="005C0E74"/>
    <w:rsid w:val="005C0EE0"/>
    <w:rsid w:val="005C3EEB"/>
    <w:rsid w:val="005C7CAE"/>
    <w:rsid w:val="005C7CED"/>
    <w:rsid w:val="005D06A8"/>
    <w:rsid w:val="005D39D6"/>
    <w:rsid w:val="005D469E"/>
    <w:rsid w:val="005D4DF3"/>
    <w:rsid w:val="005D5407"/>
    <w:rsid w:val="005D60B5"/>
    <w:rsid w:val="005D6E54"/>
    <w:rsid w:val="005E02D0"/>
    <w:rsid w:val="005E07E2"/>
    <w:rsid w:val="005E1512"/>
    <w:rsid w:val="005E1875"/>
    <w:rsid w:val="005E3C5A"/>
    <w:rsid w:val="005E3EA6"/>
    <w:rsid w:val="005E42C6"/>
    <w:rsid w:val="005E4E2A"/>
    <w:rsid w:val="005E5539"/>
    <w:rsid w:val="005E5B9E"/>
    <w:rsid w:val="005F13A0"/>
    <w:rsid w:val="005F3662"/>
    <w:rsid w:val="005F5A0A"/>
    <w:rsid w:val="005F62EB"/>
    <w:rsid w:val="005F75BB"/>
    <w:rsid w:val="00601CF4"/>
    <w:rsid w:val="00602377"/>
    <w:rsid w:val="006030D2"/>
    <w:rsid w:val="00605361"/>
    <w:rsid w:val="00607375"/>
    <w:rsid w:val="00610352"/>
    <w:rsid w:val="00610BEC"/>
    <w:rsid w:val="00612210"/>
    <w:rsid w:val="0061313E"/>
    <w:rsid w:val="006140D8"/>
    <w:rsid w:val="00614E1F"/>
    <w:rsid w:val="00615712"/>
    <w:rsid w:val="0061587B"/>
    <w:rsid w:val="0061590C"/>
    <w:rsid w:val="00616B1C"/>
    <w:rsid w:val="0061795D"/>
    <w:rsid w:val="00617AC2"/>
    <w:rsid w:val="00621EAC"/>
    <w:rsid w:val="00624DB0"/>
    <w:rsid w:val="00625BE6"/>
    <w:rsid w:val="00627F81"/>
    <w:rsid w:val="00630029"/>
    <w:rsid w:val="00630446"/>
    <w:rsid w:val="0063194D"/>
    <w:rsid w:val="00631AAA"/>
    <w:rsid w:val="0063283C"/>
    <w:rsid w:val="006349DA"/>
    <w:rsid w:val="006358A6"/>
    <w:rsid w:val="00637588"/>
    <w:rsid w:val="00641EB4"/>
    <w:rsid w:val="00641F46"/>
    <w:rsid w:val="006424E6"/>
    <w:rsid w:val="00642A60"/>
    <w:rsid w:val="00643DBD"/>
    <w:rsid w:val="00647022"/>
    <w:rsid w:val="00647E09"/>
    <w:rsid w:val="00652A97"/>
    <w:rsid w:val="006540E0"/>
    <w:rsid w:val="006544BD"/>
    <w:rsid w:val="0065480D"/>
    <w:rsid w:val="00657A0C"/>
    <w:rsid w:val="00657EA5"/>
    <w:rsid w:val="0066074B"/>
    <w:rsid w:val="00661274"/>
    <w:rsid w:val="00661EC7"/>
    <w:rsid w:val="00662800"/>
    <w:rsid w:val="006636C1"/>
    <w:rsid w:val="006636DF"/>
    <w:rsid w:val="00664C99"/>
    <w:rsid w:val="00665EC9"/>
    <w:rsid w:val="006675C4"/>
    <w:rsid w:val="006718F8"/>
    <w:rsid w:val="00671990"/>
    <w:rsid w:val="00671F1D"/>
    <w:rsid w:val="006729F0"/>
    <w:rsid w:val="00672D68"/>
    <w:rsid w:val="00673DC9"/>
    <w:rsid w:val="00674215"/>
    <w:rsid w:val="00674CAE"/>
    <w:rsid w:val="00675209"/>
    <w:rsid w:val="006758F2"/>
    <w:rsid w:val="006759BB"/>
    <w:rsid w:val="006774A6"/>
    <w:rsid w:val="00677BBD"/>
    <w:rsid w:val="00680151"/>
    <w:rsid w:val="00680949"/>
    <w:rsid w:val="00680E4B"/>
    <w:rsid w:val="0068489C"/>
    <w:rsid w:val="00685702"/>
    <w:rsid w:val="00690AA8"/>
    <w:rsid w:val="00691000"/>
    <w:rsid w:val="006919BD"/>
    <w:rsid w:val="00691DA3"/>
    <w:rsid w:val="00692059"/>
    <w:rsid w:val="00694683"/>
    <w:rsid w:val="006A1D24"/>
    <w:rsid w:val="006A2639"/>
    <w:rsid w:val="006A2799"/>
    <w:rsid w:val="006A2EDB"/>
    <w:rsid w:val="006A3A7C"/>
    <w:rsid w:val="006A45C2"/>
    <w:rsid w:val="006A45F3"/>
    <w:rsid w:val="006A4C2A"/>
    <w:rsid w:val="006A518B"/>
    <w:rsid w:val="006A6965"/>
    <w:rsid w:val="006A75DE"/>
    <w:rsid w:val="006A7F59"/>
    <w:rsid w:val="006B0542"/>
    <w:rsid w:val="006B1557"/>
    <w:rsid w:val="006B294F"/>
    <w:rsid w:val="006B46E3"/>
    <w:rsid w:val="006B6329"/>
    <w:rsid w:val="006B7981"/>
    <w:rsid w:val="006B7D52"/>
    <w:rsid w:val="006C07DB"/>
    <w:rsid w:val="006C09E7"/>
    <w:rsid w:val="006C0D2E"/>
    <w:rsid w:val="006C138E"/>
    <w:rsid w:val="006C1510"/>
    <w:rsid w:val="006C1A5F"/>
    <w:rsid w:val="006C3D0B"/>
    <w:rsid w:val="006C4B3A"/>
    <w:rsid w:val="006C5635"/>
    <w:rsid w:val="006C5677"/>
    <w:rsid w:val="006C5C76"/>
    <w:rsid w:val="006C708E"/>
    <w:rsid w:val="006C7514"/>
    <w:rsid w:val="006C7AF9"/>
    <w:rsid w:val="006D0879"/>
    <w:rsid w:val="006D0B41"/>
    <w:rsid w:val="006D1AB1"/>
    <w:rsid w:val="006D1C25"/>
    <w:rsid w:val="006D2A33"/>
    <w:rsid w:val="006D2D15"/>
    <w:rsid w:val="006D3045"/>
    <w:rsid w:val="006D343C"/>
    <w:rsid w:val="006D54AB"/>
    <w:rsid w:val="006D5828"/>
    <w:rsid w:val="006D6436"/>
    <w:rsid w:val="006D78F0"/>
    <w:rsid w:val="006D7949"/>
    <w:rsid w:val="006E0BB8"/>
    <w:rsid w:val="006E0FC2"/>
    <w:rsid w:val="006E2A25"/>
    <w:rsid w:val="006E4C4F"/>
    <w:rsid w:val="006E5394"/>
    <w:rsid w:val="006E5F85"/>
    <w:rsid w:val="006E62C1"/>
    <w:rsid w:val="006E6E15"/>
    <w:rsid w:val="006E7B50"/>
    <w:rsid w:val="006F0E42"/>
    <w:rsid w:val="006F0E44"/>
    <w:rsid w:val="006F0E4E"/>
    <w:rsid w:val="006F10AF"/>
    <w:rsid w:val="006F292D"/>
    <w:rsid w:val="006F2F23"/>
    <w:rsid w:val="006F2F40"/>
    <w:rsid w:val="006F3F51"/>
    <w:rsid w:val="006F4390"/>
    <w:rsid w:val="006F4D73"/>
    <w:rsid w:val="006F6E6E"/>
    <w:rsid w:val="006F70B5"/>
    <w:rsid w:val="006F7BDE"/>
    <w:rsid w:val="00700012"/>
    <w:rsid w:val="00700123"/>
    <w:rsid w:val="00700218"/>
    <w:rsid w:val="0070298D"/>
    <w:rsid w:val="007053D4"/>
    <w:rsid w:val="007067C0"/>
    <w:rsid w:val="007071A3"/>
    <w:rsid w:val="007101C4"/>
    <w:rsid w:val="00710A01"/>
    <w:rsid w:val="00710D6D"/>
    <w:rsid w:val="00712997"/>
    <w:rsid w:val="00712AE2"/>
    <w:rsid w:val="0071442C"/>
    <w:rsid w:val="007146F3"/>
    <w:rsid w:val="00714D26"/>
    <w:rsid w:val="00715A35"/>
    <w:rsid w:val="0071706B"/>
    <w:rsid w:val="007178B3"/>
    <w:rsid w:val="007204EA"/>
    <w:rsid w:val="0072088F"/>
    <w:rsid w:val="00721F8E"/>
    <w:rsid w:val="00722120"/>
    <w:rsid w:val="00723EE3"/>
    <w:rsid w:val="0072600C"/>
    <w:rsid w:val="00727C35"/>
    <w:rsid w:val="00730757"/>
    <w:rsid w:val="00731239"/>
    <w:rsid w:val="007335DE"/>
    <w:rsid w:val="007356DF"/>
    <w:rsid w:val="007359B3"/>
    <w:rsid w:val="00736753"/>
    <w:rsid w:val="00736D5F"/>
    <w:rsid w:val="00741373"/>
    <w:rsid w:val="007430BE"/>
    <w:rsid w:val="00743560"/>
    <w:rsid w:val="00743E34"/>
    <w:rsid w:val="00744246"/>
    <w:rsid w:val="007443F9"/>
    <w:rsid w:val="0074571E"/>
    <w:rsid w:val="00746FD7"/>
    <w:rsid w:val="0074737E"/>
    <w:rsid w:val="00750655"/>
    <w:rsid w:val="00754018"/>
    <w:rsid w:val="00756B96"/>
    <w:rsid w:val="00756CDE"/>
    <w:rsid w:val="00756E06"/>
    <w:rsid w:val="00757D8E"/>
    <w:rsid w:val="0076211D"/>
    <w:rsid w:val="00762149"/>
    <w:rsid w:val="007637A2"/>
    <w:rsid w:val="00763F29"/>
    <w:rsid w:val="0076425B"/>
    <w:rsid w:val="007652B1"/>
    <w:rsid w:val="00765C17"/>
    <w:rsid w:val="00770D1D"/>
    <w:rsid w:val="00772667"/>
    <w:rsid w:val="007729E8"/>
    <w:rsid w:val="00772C18"/>
    <w:rsid w:val="00773774"/>
    <w:rsid w:val="007769BE"/>
    <w:rsid w:val="007774ED"/>
    <w:rsid w:val="007777E5"/>
    <w:rsid w:val="00777EC0"/>
    <w:rsid w:val="0078204F"/>
    <w:rsid w:val="00782AE7"/>
    <w:rsid w:val="0078460F"/>
    <w:rsid w:val="00784896"/>
    <w:rsid w:val="00785338"/>
    <w:rsid w:val="0078736F"/>
    <w:rsid w:val="007878B4"/>
    <w:rsid w:val="00787BA4"/>
    <w:rsid w:val="00787C16"/>
    <w:rsid w:val="00791646"/>
    <w:rsid w:val="007924CE"/>
    <w:rsid w:val="007936D5"/>
    <w:rsid w:val="007948C7"/>
    <w:rsid w:val="00794A59"/>
    <w:rsid w:val="00796204"/>
    <w:rsid w:val="00796B20"/>
    <w:rsid w:val="00797573"/>
    <w:rsid w:val="007A0F3F"/>
    <w:rsid w:val="007A18D9"/>
    <w:rsid w:val="007A2048"/>
    <w:rsid w:val="007A5EEA"/>
    <w:rsid w:val="007A66B1"/>
    <w:rsid w:val="007A69BB"/>
    <w:rsid w:val="007A6CD2"/>
    <w:rsid w:val="007A7041"/>
    <w:rsid w:val="007A70E2"/>
    <w:rsid w:val="007B0875"/>
    <w:rsid w:val="007B105F"/>
    <w:rsid w:val="007B1559"/>
    <w:rsid w:val="007B327B"/>
    <w:rsid w:val="007B53D8"/>
    <w:rsid w:val="007B7AC2"/>
    <w:rsid w:val="007C07BC"/>
    <w:rsid w:val="007C30F0"/>
    <w:rsid w:val="007C34A3"/>
    <w:rsid w:val="007C4B44"/>
    <w:rsid w:val="007C4EBA"/>
    <w:rsid w:val="007C5736"/>
    <w:rsid w:val="007C68FC"/>
    <w:rsid w:val="007C705E"/>
    <w:rsid w:val="007C7E46"/>
    <w:rsid w:val="007D05AE"/>
    <w:rsid w:val="007D0A42"/>
    <w:rsid w:val="007D1301"/>
    <w:rsid w:val="007D29D1"/>
    <w:rsid w:val="007D343A"/>
    <w:rsid w:val="007D38E3"/>
    <w:rsid w:val="007D3D70"/>
    <w:rsid w:val="007D4518"/>
    <w:rsid w:val="007D58D8"/>
    <w:rsid w:val="007D7130"/>
    <w:rsid w:val="007D7778"/>
    <w:rsid w:val="007E0493"/>
    <w:rsid w:val="007E1193"/>
    <w:rsid w:val="007E5DCD"/>
    <w:rsid w:val="007E6562"/>
    <w:rsid w:val="007E6801"/>
    <w:rsid w:val="007E7F52"/>
    <w:rsid w:val="007F1410"/>
    <w:rsid w:val="007F3F4E"/>
    <w:rsid w:val="007F5E8C"/>
    <w:rsid w:val="007F62FE"/>
    <w:rsid w:val="007F6C67"/>
    <w:rsid w:val="007F77D8"/>
    <w:rsid w:val="00802E32"/>
    <w:rsid w:val="00802E7E"/>
    <w:rsid w:val="008042B8"/>
    <w:rsid w:val="00805322"/>
    <w:rsid w:val="00805A2B"/>
    <w:rsid w:val="00805ECC"/>
    <w:rsid w:val="008064EB"/>
    <w:rsid w:val="0080656C"/>
    <w:rsid w:val="00806F4D"/>
    <w:rsid w:val="00807118"/>
    <w:rsid w:val="0081070D"/>
    <w:rsid w:val="00811E87"/>
    <w:rsid w:val="0081212B"/>
    <w:rsid w:val="008136F3"/>
    <w:rsid w:val="00814027"/>
    <w:rsid w:val="008201B9"/>
    <w:rsid w:val="0082029F"/>
    <w:rsid w:val="008203B9"/>
    <w:rsid w:val="008203ED"/>
    <w:rsid w:val="008213FF"/>
    <w:rsid w:val="00821DF9"/>
    <w:rsid w:val="0082249D"/>
    <w:rsid w:val="0082730D"/>
    <w:rsid w:val="00827718"/>
    <w:rsid w:val="00831D1F"/>
    <w:rsid w:val="008332F6"/>
    <w:rsid w:val="00835314"/>
    <w:rsid w:val="008362FA"/>
    <w:rsid w:val="00836E39"/>
    <w:rsid w:val="00837021"/>
    <w:rsid w:val="00840F09"/>
    <w:rsid w:val="00841144"/>
    <w:rsid w:val="00842016"/>
    <w:rsid w:val="00842C99"/>
    <w:rsid w:val="00842E4F"/>
    <w:rsid w:val="00844467"/>
    <w:rsid w:val="008460C6"/>
    <w:rsid w:val="00847201"/>
    <w:rsid w:val="008477AB"/>
    <w:rsid w:val="00850A1D"/>
    <w:rsid w:val="00850A28"/>
    <w:rsid w:val="00850C1B"/>
    <w:rsid w:val="00850C70"/>
    <w:rsid w:val="0085243E"/>
    <w:rsid w:val="00852D19"/>
    <w:rsid w:val="00853309"/>
    <w:rsid w:val="0085363D"/>
    <w:rsid w:val="0085675F"/>
    <w:rsid w:val="00856CE2"/>
    <w:rsid w:val="00857076"/>
    <w:rsid w:val="008570C9"/>
    <w:rsid w:val="00857301"/>
    <w:rsid w:val="008578BF"/>
    <w:rsid w:val="00857CB4"/>
    <w:rsid w:val="00857F2A"/>
    <w:rsid w:val="00860351"/>
    <w:rsid w:val="008612F3"/>
    <w:rsid w:val="0086163E"/>
    <w:rsid w:val="00864363"/>
    <w:rsid w:val="00864D25"/>
    <w:rsid w:val="00871F30"/>
    <w:rsid w:val="00872165"/>
    <w:rsid w:val="008728D7"/>
    <w:rsid w:val="00872E0D"/>
    <w:rsid w:val="0087390E"/>
    <w:rsid w:val="00873A4F"/>
    <w:rsid w:val="00874BE8"/>
    <w:rsid w:val="00874F6C"/>
    <w:rsid w:val="00875325"/>
    <w:rsid w:val="008764D5"/>
    <w:rsid w:val="00881B57"/>
    <w:rsid w:val="0088202A"/>
    <w:rsid w:val="00883299"/>
    <w:rsid w:val="0088390C"/>
    <w:rsid w:val="008839AF"/>
    <w:rsid w:val="00883F26"/>
    <w:rsid w:val="00884F98"/>
    <w:rsid w:val="0088577C"/>
    <w:rsid w:val="008857E9"/>
    <w:rsid w:val="008858B7"/>
    <w:rsid w:val="008871F8"/>
    <w:rsid w:val="00891E25"/>
    <w:rsid w:val="008924D0"/>
    <w:rsid w:val="00893D0E"/>
    <w:rsid w:val="00893F58"/>
    <w:rsid w:val="008948B0"/>
    <w:rsid w:val="00895451"/>
    <w:rsid w:val="008A0E22"/>
    <w:rsid w:val="008A1A2E"/>
    <w:rsid w:val="008A3A16"/>
    <w:rsid w:val="008A4C4C"/>
    <w:rsid w:val="008A65B9"/>
    <w:rsid w:val="008A6ABA"/>
    <w:rsid w:val="008A6B22"/>
    <w:rsid w:val="008A6BC1"/>
    <w:rsid w:val="008B0C2F"/>
    <w:rsid w:val="008B22F5"/>
    <w:rsid w:val="008B2C6D"/>
    <w:rsid w:val="008B418F"/>
    <w:rsid w:val="008B5887"/>
    <w:rsid w:val="008C03DC"/>
    <w:rsid w:val="008C10A9"/>
    <w:rsid w:val="008C13D3"/>
    <w:rsid w:val="008C1784"/>
    <w:rsid w:val="008C2F2C"/>
    <w:rsid w:val="008C3001"/>
    <w:rsid w:val="008C3D8D"/>
    <w:rsid w:val="008C5E1B"/>
    <w:rsid w:val="008C6480"/>
    <w:rsid w:val="008C69DA"/>
    <w:rsid w:val="008C7AC4"/>
    <w:rsid w:val="008D0017"/>
    <w:rsid w:val="008D0D72"/>
    <w:rsid w:val="008D4D2C"/>
    <w:rsid w:val="008D5392"/>
    <w:rsid w:val="008D5981"/>
    <w:rsid w:val="008D5C84"/>
    <w:rsid w:val="008D5FA4"/>
    <w:rsid w:val="008D6CEB"/>
    <w:rsid w:val="008D7F39"/>
    <w:rsid w:val="008E0156"/>
    <w:rsid w:val="008E0A28"/>
    <w:rsid w:val="008E102C"/>
    <w:rsid w:val="008E2409"/>
    <w:rsid w:val="008E342B"/>
    <w:rsid w:val="008E3B15"/>
    <w:rsid w:val="008E3FA2"/>
    <w:rsid w:val="008E4A27"/>
    <w:rsid w:val="008E4AD8"/>
    <w:rsid w:val="008E4CE4"/>
    <w:rsid w:val="008E62B1"/>
    <w:rsid w:val="008E691D"/>
    <w:rsid w:val="008F076A"/>
    <w:rsid w:val="008F08E2"/>
    <w:rsid w:val="008F1D32"/>
    <w:rsid w:val="008F32A9"/>
    <w:rsid w:val="008F465B"/>
    <w:rsid w:val="008F593A"/>
    <w:rsid w:val="008F6A74"/>
    <w:rsid w:val="008F73C4"/>
    <w:rsid w:val="008F7759"/>
    <w:rsid w:val="008F777A"/>
    <w:rsid w:val="008F79FC"/>
    <w:rsid w:val="008F7C78"/>
    <w:rsid w:val="00902398"/>
    <w:rsid w:val="009026CF"/>
    <w:rsid w:val="009037A2"/>
    <w:rsid w:val="00904B2E"/>
    <w:rsid w:val="0090674B"/>
    <w:rsid w:val="00907AEF"/>
    <w:rsid w:val="009104ED"/>
    <w:rsid w:val="009112B4"/>
    <w:rsid w:val="0091167B"/>
    <w:rsid w:val="009117D7"/>
    <w:rsid w:val="009118F0"/>
    <w:rsid w:val="00911913"/>
    <w:rsid w:val="00911D6C"/>
    <w:rsid w:val="00912DE0"/>
    <w:rsid w:val="00912E04"/>
    <w:rsid w:val="00913349"/>
    <w:rsid w:val="009158B3"/>
    <w:rsid w:val="00915B4D"/>
    <w:rsid w:val="009162A3"/>
    <w:rsid w:val="00921214"/>
    <w:rsid w:val="00922575"/>
    <w:rsid w:val="00924981"/>
    <w:rsid w:val="00925404"/>
    <w:rsid w:val="009276D1"/>
    <w:rsid w:val="00927E3A"/>
    <w:rsid w:val="0093047E"/>
    <w:rsid w:val="00931E44"/>
    <w:rsid w:val="009329AD"/>
    <w:rsid w:val="00932D31"/>
    <w:rsid w:val="009335BA"/>
    <w:rsid w:val="0093487B"/>
    <w:rsid w:val="009364D3"/>
    <w:rsid w:val="00940565"/>
    <w:rsid w:val="009408C3"/>
    <w:rsid w:val="00940DDB"/>
    <w:rsid w:val="009411FF"/>
    <w:rsid w:val="00943F1D"/>
    <w:rsid w:val="00944347"/>
    <w:rsid w:val="0094631B"/>
    <w:rsid w:val="009465BE"/>
    <w:rsid w:val="009479BE"/>
    <w:rsid w:val="00954C0B"/>
    <w:rsid w:val="00955AE0"/>
    <w:rsid w:val="0096075F"/>
    <w:rsid w:val="00960BB3"/>
    <w:rsid w:val="00960FE5"/>
    <w:rsid w:val="00961245"/>
    <w:rsid w:val="009618D0"/>
    <w:rsid w:val="009638ED"/>
    <w:rsid w:val="009643A9"/>
    <w:rsid w:val="00964C17"/>
    <w:rsid w:val="00965BD5"/>
    <w:rsid w:val="0096657C"/>
    <w:rsid w:val="00966986"/>
    <w:rsid w:val="00967920"/>
    <w:rsid w:val="0097080E"/>
    <w:rsid w:val="0097399F"/>
    <w:rsid w:val="00974A44"/>
    <w:rsid w:val="00976CA5"/>
    <w:rsid w:val="009811A1"/>
    <w:rsid w:val="00981504"/>
    <w:rsid w:val="00982BA7"/>
    <w:rsid w:val="00984025"/>
    <w:rsid w:val="00984F5F"/>
    <w:rsid w:val="0099108A"/>
    <w:rsid w:val="00993D0E"/>
    <w:rsid w:val="00993E91"/>
    <w:rsid w:val="00994772"/>
    <w:rsid w:val="00994A20"/>
    <w:rsid w:val="00995E79"/>
    <w:rsid w:val="0099619F"/>
    <w:rsid w:val="0099768A"/>
    <w:rsid w:val="009A0BB6"/>
    <w:rsid w:val="009A0C68"/>
    <w:rsid w:val="009A1186"/>
    <w:rsid w:val="009A132D"/>
    <w:rsid w:val="009A2057"/>
    <w:rsid w:val="009A20B8"/>
    <w:rsid w:val="009A22CF"/>
    <w:rsid w:val="009A2422"/>
    <w:rsid w:val="009A2E49"/>
    <w:rsid w:val="009A303E"/>
    <w:rsid w:val="009A4D94"/>
    <w:rsid w:val="009B198F"/>
    <w:rsid w:val="009B1CF6"/>
    <w:rsid w:val="009B23AE"/>
    <w:rsid w:val="009B36FB"/>
    <w:rsid w:val="009B6DAC"/>
    <w:rsid w:val="009C0920"/>
    <w:rsid w:val="009C1A55"/>
    <w:rsid w:val="009C2797"/>
    <w:rsid w:val="009C2D46"/>
    <w:rsid w:val="009C33DF"/>
    <w:rsid w:val="009C51A0"/>
    <w:rsid w:val="009C6A73"/>
    <w:rsid w:val="009C7CB4"/>
    <w:rsid w:val="009C7CBA"/>
    <w:rsid w:val="009C7CEA"/>
    <w:rsid w:val="009D1B6E"/>
    <w:rsid w:val="009D1B7F"/>
    <w:rsid w:val="009D2517"/>
    <w:rsid w:val="009D2C93"/>
    <w:rsid w:val="009D3C80"/>
    <w:rsid w:val="009D45C1"/>
    <w:rsid w:val="009D4625"/>
    <w:rsid w:val="009D4D2F"/>
    <w:rsid w:val="009D79CA"/>
    <w:rsid w:val="009E05C3"/>
    <w:rsid w:val="009E08D9"/>
    <w:rsid w:val="009E165D"/>
    <w:rsid w:val="009E35DD"/>
    <w:rsid w:val="009E562A"/>
    <w:rsid w:val="009E5810"/>
    <w:rsid w:val="009E5A4E"/>
    <w:rsid w:val="009E6435"/>
    <w:rsid w:val="009E7527"/>
    <w:rsid w:val="009F0532"/>
    <w:rsid w:val="009F2044"/>
    <w:rsid w:val="009F22F8"/>
    <w:rsid w:val="009F26A0"/>
    <w:rsid w:val="009F2E26"/>
    <w:rsid w:val="009F3F41"/>
    <w:rsid w:val="009F4BF5"/>
    <w:rsid w:val="009F611F"/>
    <w:rsid w:val="009F6AC2"/>
    <w:rsid w:val="009F7DEF"/>
    <w:rsid w:val="00A00E63"/>
    <w:rsid w:val="00A01292"/>
    <w:rsid w:val="00A017C7"/>
    <w:rsid w:val="00A02716"/>
    <w:rsid w:val="00A030B6"/>
    <w:rsid w:val="00A0375A"/>
    <w:rsid w:val="00A0386D"/>
    <w:rsid w:val="00A04487"/>
    <w:rsid w:val="00A04565"/>
    <w:rsid w:val="00A0720E"/>
    <w:rsid w:val="00A07512"/>
    <w:rsid w:val="00A07C18"/>
    <w:rsid w:val="00A07FA4"/>
    <w:rsid w:val="00A11AE2"/>
    <w:rsid w:val="00A13259"/>
    <w:rsid w:val="00A13602"/>
    <w:rsid w:val="00A1570F"/>
    <w:rsid w:val="00A17A52"/>
    <w:rsid w:val="00A20182"/>
    <w:rsid w:val="00A21BDB"/>
    <w:rsid w:val="00A21E4C"/>
    <w:rsid w:val="00A2274E"/>
    <w:rsid w:val="00A22A6F"/>
    <w:rsid w:val="00A243DE"/>
    <w:rsid w:val="00A260E0"/>
    <w:rsid w:val="00A26C0A"/>
    <w:rsid w:val="00A33F37"/>
    <w:rsid w:val="00A3418E"/>
    <w:rsid w:val="00A3467F"/>
    <w:rsid w:val="00A34A28"/>
    <w:rsid w:val="00A34BFF"/>
    <w:rsid w:val="00A41077"/>
    <w:rsid w:val="00A428B0"/>
    <w:rsid w:val="00A42901"/>
    <w:rsid w:val="00A43ECC"/>
    <w:rsid w:val="00A453CF"/>
    <w:rsid w:val="00A462EC"/>
    <w:rsid w:val="00A47EC6"/>
    <w:rsid w:val="00A507B2"/>
    <w:rsid w:val="00A532B9"/>
    <w:rsid w:val="00A55394"/>
    <w:rsid w:val="00A57CFD"/>
    <w:rsid w:val="00A601D7"/>
    <w:rsid w:val="00A635C0"/>
    <w:rsid w:val="00A63B67"/>
    <w:rsid w:val="00A65142"/>
    <w:rsid w:val="00A65493"/>
    <w:rsid w:val="00A67B1C"/>
    <w:rsid w:val="00A705BF"/>
    <w:rsid w:val="00A706D1"/>
    <w:rsid w:val="00A70E1B"/>
    <w:rsid w:val="00A71D85"/>
    <w:rsid w:val="00A73CE6"/>
    <w:rsid w:val="00A7422A"/>
    <w:rsid w:val="00A75170"/>
    <w:rsid w:val="00A751BF"/>
    <w:rsid w:val="00A75333"/>
    <w:rsid w:val="00A75EAF"/>
    <w:rsid w:val="00A770D5"/>
    <w:rsid w:val="00A812F2"/>
    <w:rsid w:val="00A81CC7"/>
    <w:rsid w:val="00A82F99"/>
    <w:rsid w:val="00A831CA"/>
    <w:rsid w:val="00A85E57"/>
    <w:rsid w:val="00A864A7"/>
    <w:rsid w:val="00A870F6"/>
    <w:rsid w:val="00A91867"/>
    <w:rsid w:val="00A92500"/>
    <w:rsid w:val="00A92884"/>
    <w:rsid w:val="00A92BA9"/>
    <w:rsid w:val="00A937E5"/>
    <w:rsid w:val="00A94E98"/>
    <w:rsid w:val="00A94F1A"/>
    <w:rsid w:val="00A9518D"/>
    <w:rsid w:val="00A9614F"/>
    <w:rsid w:val="00A97643"/>
    <w:rsid w:val="00AA095D"/>
    <w:rsid w:val="00AA25EB"/>
    <w:rsid w:val="00AA2CFA"/>
    <w:rsid w:val="00AA4F1F"/>
    <w:rsid w:val="00AA50E5"/>
    <w:rsid w:val="00AA5B60"/>
    <w:rsid w:val="00AA5C01"/>
    <w:rsid w:val="00AA666D"/>
    <w:rsid w:val="00AA6EC6"/>
    <w:rsid w:val="00AA7541"/>
    <w:rsid w:val="00AA798B"/>
    <w:rsid w:val="00AA7A93"/>
    <w:rsid w:val="00AB0168"/>
    <w:rsid w:val="00AB214E"/>
    <w:rsid w:val="00AB2B70"/>
    <w:rsid w:val="00AB3D81"/>
    <w:rsid w:val="00AB414C"/>
    <w:rsid w:val="00AB47B1"/>
    <w:rsid w:val="00AB4C9C"/>
    <w:rsid w:val="00AB69C8"/>
    <w:rsid w:val="00AC10E8"/>
    <w:rsid w:val="00AC11A5"/>
    <w:rsid w:val="00AC1428"/>
    <w:rsid w:val="00AC17B7"/>
    <w:rsid w:val="00AC4875"/>
    <w:rsid w:val="00AC5AD2"/>
    <w:rsid w:val="00AC62CE"/>
    <w:rsid w:val="00AC786F"/>
    <w:rsid w:val="00AD070C"/>
    <w:rsid w:val="00AD0892"/>
    <w:rsid w:val="00AD0F0D"/>
    <w:rsid w:val="00AD1854"/>
    <w:rsid w:val="00AD1ECE"/>
    <w:rsid w:val="00AD28C9"/>
    <w:rsid w:val="00AD2FED"/>
    <w:rsid w:val="00AD4509"/>
    <w:rsid w:val="00AD46BF"/>
    <w:rsid w:val="00AD4ECF"/>
    <w:rsid w:val="00AD55A4"/>
    <w:rsid w:val="00AD5B21"/>
    <w:rsid w:val="00AD6331"/>
    <w:rsid w:val="00AD655F"/>
    <w:rsid w:val="00AD6D6D"/>
    <w:rsid w:val="00AD7555"/>
    <w:rsid w:val="00AE17A4"/>
    <w:rsid w:val="00AE2697"/>
    <w:rsid w:val="00AE2B75"/>
    <w:rsid w:val="00AE39DA"/>
    <w:rsid w:val="00AE43F2"/>
    <w:rsid w:val="00AE5598"/>
    <w:rsid w:val="00AE6138"/>
    <w:rsid w:val="00AE6611"/>
    <w:rsid w:val="00AE6D04"/>
    <w:rsid w:val="00AE758A"/>
    <w:rsid w:val="00AE79FA"/>
    <w:rsid w:val="00AF0377"/>
    <w:rsid w:val="00AF08CE"/>
    <w:rsid w:val="00AF399C"/>
    <w:rsid w:val="00AF5AE7"/>
    <w:rsid w:val="00AF7227"/>
    <w:rsid w:val="00AF7CCF"/>
    <w:rsid w:val="00B02AD6"/>
    <w:rsid w:val="00B040C9"/>
    <w:rsid w:val="00B04559"/>
    <w:rsid w:val="00B046F6"/>
    <w:rsid w:val="00B04CCD"/>
    <w:rsid w:val="00B11569"/>
    <w:rsid w:val="00B11E50"/>
    <w:rsid w:val="00B11FF0"/>
    <w:rsid w:val="00B12816"/>
    <w:rsid w:val="00B14218"/>
    <w:rsid w:val="00B15798"/>
    <w:rsid w:val="00B16696"/>
    <w:rsid w:val="00B17A29"/>
    <w:rsid w:val="00B20B66"/>
    <w:rsid w:val="00B21910"/>
    <w:rsid w:val="00B22073"/>
    <w:rsid w:val="00B22414"/>
    <w:rsid w:val="00B235D0"/>
    <w:rsid w:val="00B241ED"/>
    <w:rsid w:val="00B24A87"/>
    <w:rsid w:val="00B25D87"/>
    <w:rsid w:val="00B271C3"/>
    <w:rsid w:val="00B27FB7"/>
    <w:rsid w:val="00B303EC"/>
    <w:rsid w:val="00B3143D"/>
    <w:rsid w:val="00B31B69"/>
    <w:rsid w:val="00B3400A"/>
    <w:rsid w:val="00B343B9"/>
    <w:rsid w:val="00B3539F"/>
    <w:rsid w:val="00B372A0"/>
    <w:rsid w:val="00B41235"/>
    <w:rsid w:val="00B41715"/>
    <w:rsid w:val="00B41F6F"/>
    <w:rsid w:val="00B420D5"/>
    <w:rsid w:val="00B4322A"/>
    <w:rsid w:val="00B46044"/>
    <w:rsid w:val="00B473DD"/>
    <w:rsid w:val="00B47FC3"/>
    <w:rsid w:val="00B5171F"/>
    <w:rsid w:val="00B51CE8"/>
    <w:rsid w:val="00B52919"/>
    <w:rsid w:val="00B52FCD"/>
    <w:rsid w:val="00B533AF"/>
    <w:rsid w:val="00B55C09"/>
    <w:rsid w:val="00B564D1"/>
    <w:rsid w:val="00B56BFA"/>
    <w:rsid w:val="00B5722B"/>
    <w:rsid w:val="00B572E0"/>
    <w:rsid w:val="00B604FA"/>
    <w:rsid w:val="00B61C7B"/>
    <w:rsid w:val="00B64B08"/>
    <w:rsid w:val="00B650ED"/>
    <w:rsid w:val="00B65FE4"/>
    <w:rsid w:val="00B6668D"/>
    <w:rsid w:val="00B70BA3"/>
    <w:rsid w:val="00B72D83"/>
    <w:rsid w:val="00B72DD4"/>
    <w:rsid w:val="00B74911"/>
    <w:rsid w:val="00B74EDA"/>
    <w:rsid w:val="00B7552C"/>
    <w:rsid w:val="00B75545"/>
    <w:rsid w:val="00B7715E"/>
    <w:rsid w:val="00B775DD"/>
    <w:rsid w:val="00B80C58"/>
    <w:rsid w:val="00B816DE"/>
    <w:rsid w:val="00B83659"/>
    <w:rsid w:val="00B85BD8"/>
    <w:rsid w:val="00B85E62"/>
    <w:rsid w:val="00B91EC6"/>
    <w:rsid w:val="00B92195"/>
    <w:rsid w:val="00B93549"/>
    <w:rsid w:val="00B93F65"/>
    <w:rsid w:val="00B9456E"/>
    <w:rsid w:val="00B95257"/>
    <w:rsid w:val="00B96C59"/>
    <w:rsid w:val="00B9793D"/>
    <w:rsid w:val="00B97B5A"/>
    <w:rsid w:val="00BA0307"/>
    <w:rsid w:val="00BA1267"/>
    <w:rsid w:val="00BA3896"/>
    <w:rsid w:val="00BA3F74"/>
    <w:rsid w:val="00BA52BA"/>
    <w:rsid w:val="00BA62B6"/>
    <w:rsid w:val="00BA63BB"/>
    <w:rsid w:val="00BB075E"/>
    <w:rsid w:val="00BB08BA"/>
    <w:rsid w:val="00BB14AE"/>
    <w:rsid w:val="00BB28D7"/>
    <w:rsid w:val="00BB3C29"/>
    <w:rsid w:val="00BB5576"/>
    <w:rsid w:val="00BB5D66"/>
    <w:rsid w:val="00BC09B1"/>
    <w:rsid w:val="00BC0E4C"/>
    <w:rsid w:val="00BC3ED9"/>
    <w:rsid w:val="00BC53AB"/>
    <w:rsid w:val="00BC54DC"/>
    <w:rsid w:val="00BC624B"/>
    <w:rsid w:val="00BC6375"/>
    <w:rsid w:val="00BC6FF6"/>
    <w:rsid w:val="00BD1962"/>
    <w:rsid w:val="00BD45F1"/>
    <w:rsid w:val="00BD488B"/>
    <w:rsid w:val="00BD7D33"/>
    <w:rsid w:val="00BE1B3A"/>
    <w:rsid w:val="00BE1FA9"/>
    <w:rsid w:val="00BE2BD6"/>
    <w:rsid w:val="00BE3523"/>
    <w:rsid w:val="00BE35C7"/>
    <w:rsid w:val="00BE36AE"/>
    <w:rsid w:val="00BE3B73"/>
    <w:rsid w:val="00BE3F06"/>
    <w:rsid w:val="00BE7FB0"/>
    <w:rsid w:val="00BF239D"/>
    <w:rsid w:val="00BF2EA9"/>
    <w:rsid w:val="00BF318F"/>
    <w:rsid w:val="00BF34AC"/>
    <w:rsid w:val="00BF38C9"/>
    <w:rsid w:val="00BF615B"/>
    <w:rsid w:val="00BF7822"/>
    <w:rsid w:val="00BF7F9A"/>
    <w:rsid w:val="00C0115A"/>
    <w:rsid w:val="00C040A0"/>
    <w:rsid w:val="00C047E6"/>
    <w:rsid w:val="00C05BD6"/>
    <w:rsid w:val="00C06424"/>
    <w:rsid w:val="00C07665"/>
    <w:rsid w:val="00C10F98"/>
    <w:rsid w:val="00C11891"/>
    <w:rsid w:val="00C1255D"/>
    <w:rsid w:val="00C15A52"/>
    <w:rsid w:val="00C16E9E"/>
    <w:rsid w:val="00C17BFB"/>
    <w:rsid w:val="00C20733"/>
    <w:rsid w:val="00C23496"/>
    <w:rsid w:val="00C241B0"/>
    <w:rsid w:val="00C25BC3"/>
    <w:rsid w:val="00C25C9A"/>
    <w:rsid w:val="00C2642C"/>
    <w:rsid w:val="00C2754F"/>
    <w:rsid w:val="00C320F9"/>
    <w:rsid w:val="00C36EFA"/>
    <w:rsid w:val="00C37DAA"/>
    <w:rsid w:val="00C40242"/>
    <w:rsid w:val="00C433A8"/>
    <w:rsid w:val="00C44012"/>
    <w:rsid w:val="00C4419B"/>
    <w:rsid w:val="00C447DF"/>
    <w:rsid w:val="00C44CEF"/>
    <w:rsid w:val="00C468D2"/>
    <w:rsid w:val="00C46A0E"/>
    <w:rsid w:val="00C46EE7"/>
    <w:rsid w:val="00C47187"/>
    <w:rsid w:val="00C47F7E"/>
    <w:rsid w:val="00C5175E"/>
    <w:rsid w:val="00C51959"/>
    <w:rsid w:val="00C51DAD"/>
    <w:rsid w:val="00C531E6"/>
    <w:rsid w:val="00C532A9"/>
    <w:rsid w:val="00C53F28"/>
    <w:rsid w:val="00C569F2"/>
    <w:rsid w:val="00C613FE"/>
    <w:rsid w:val="00C620A4"/>
    <w:rsid w:val="00C627AC"/>
    <w:rsid w:val="00C63780"/>
    <w:rsid w:val="00C63AF7"/>
    <w:rsid w:val="00C63F9B"/>
    <w:rsid w:val="00C6402E"/>
    <w:rsid w:val="00C6498F"/>
    <w:rsid w:val="00C65038"/>
    <w:rsid w:val="00C65B8C"/>
    <w:rsid w:val="00C67097"/>
    <w:rsid w:val="00C71F39"/>
    <w:rsid w:val="00C7403B"/>
    <w:rsid w:val="00C7413E"/>
    <w:rsid w:val="00C77D22"/>
    <w:rsid w:val="00C80D6A"/>
    <w:rsid w:val="00C81277"/>
    <w:rsid w:val="00C83023"/>
    <w:rsid w:val="00C8352D"/>
    <w:rsid w:val="00C844A8"/>
    <w:rsid w:val="00C8511F"/>
    <w:rsid w:val="00C856DD"/>
    <w:rsid w:val="00C900FB"/>
    <w:rsid w:val="00C905CA"/>
    <w:rsid w:val="00C92FDB"/>
    <w:rsid w:val="00C9328D"/>
    <w:rsid w:val="00C934DB"/>
    <w:rsid w:val="00C93765"/>
    <w:rsid w:val="00C94318"/>
    <w:rsid w:val="00C949F2"/>
    <w:rsid w:val="00C94F94"/>
    <w:rsid w:val="00C960C4"/>
    <w:rsid w:val="00C96124"/>
    <w:rsid w:val="00CA3054"/>
    <w:rsid w:val="00CA3320"/>
    <w:rsid w:val="00CA4619"/>
    <w:rsid w:val="00CA4B29"/>
    <w:rsid w:val="00CA5005"/>
    <w:rsid w:val="00CA51D3"/>
    <w:rsid w:val="00CA6CE8"/>
    <w:rsid w:val="00CB3D5A"/>
    <w:rsid w:val="00CB3F8B"/>
    <w:rsid w:val="00CB4664"/>
    <w:rsid w:val="00CB486D"/>
    <w:rsid w:val="00CB6203"/>
    <w:rsid w:val="00CB6E46"/>
    <w:rsid w:val="00CC00DD"/>
    <w:rsid w:val="00CC3CAE"/>
    <w:rsid w:val="00CC3F3B"/>
    <w:rsid w:val="00CC441B"/>
    <w:rsid w:val="00CC61CE"/>
    <w:rsid w:val="00CC795D"/>
    <w:rsid w:val="00CC7E0D"/>
    <w:rsid w:val="00CC7E2C"/>
    <w:rsid w:val="00CD0F34"/>
    <w:rsid w:val="00CD1F54"/>
    <w:rsid w:val="00CD4A7C"/>
    <w:rsid w:val="00CD4DC7"/>
    <w:rsid w:val="00CD6A45"/>
    <w:rsid w:val="00CD6D6C"/>
    <w:rsid w:val="00CE1CA9"/>
    <w:rsid w:val="00CE34A9"/>
    <w:rsid w:val="00CE432A"/>
    <w:rsid w:val="00CE4B0B"/>
    <w:rsid w:val="00CE6835"/>
    <w:rsid w:val="00CE74BD"/>
    <w:rsid w:val="00CE76C6"/>
    <w:rsid w:val="00CF2AE9"/>
    <w:rsid w:val="00CF56C5"/>
    <w:rsid w:val="00CF68E4"/>
    <w:rsid w:val="00D003E0"/>
    <w:rsid w:val="00D01527"/>
    <w:rsid w:val="00D0383D"/>
    <w:rsid w:val="00D04A0B"/>
    <w:rsid w:val="00D06746"/>
    <w:rsid w:val="00D07100"/>
    <w:rsid w:val="00D108C5"/>
    <w:rsid w:val="00D10CE7"/>
    <w:rsid w:val="00D117E4"/>
    <w:rsid w:val="00D119EA"/>
    <w:rsid w:val="00D12482"/>
    <w:rsid w:val="00D1288A"/>
    <w:rsid w:val="00D12BE2"/>
    <w:rsid w:val="00D14202"/>
    <w:rsid w:val="00D14DBC"/>
    <w:rsid w:val="00D158F7"/>
    <w:rsid w:val="00D15DB9"/>
    <w:rsid w:val="00D16F0D"/>
    <w:rsid w:val="00D175EE"/>
    <w:rsid w:val="00D177BB"/>
    <w:rsid w:val="00D179CD"/>
    <w:rsid w:val="00D20631"/>
    <w:rsid w:val="00D20B04"/>
    <w:rsid w:val="00D20B55"/>
    <w:rsid w:val="00D22F5B"/>
    <w:rsid w:val="00D23B29"/>
    <w:rsid w:val="00D24050"/>
    <w:rsid w:val="00D24608"/>
    <w:rsid w:val="00D248A7"/>
    <w:rsid w:val="00D2497B"/>
    <w:rsid w:val="00D260DC"/>
    <w:rsid w:val="00D26AA3"/>
    <w:rsid w:val="00D27931"/>
    <w:rsid w:val="00D34A94"/>
    <w:rsid w:val="00D34C36"/>
    <w:rsid w:val="00D34E18"/>
    <w:rsid w:val="00D3511A"/>
    <w:rsid w:val="00D37C58"/>
    <w:rsid w:val="00D37EB6"/>
    <w:rsid w:val="00D41716"/>
    <w:rsid w:val="00D4379E"/>
    <w:rsid w:val="00D4642B"/>
    <w:rsid w:val="00D464AB"/>
    <w:rsid w:val="00D479B8"/>
    <w:rsid w:val="00D47CD4"/>
    <w:rsid w:val="00D53663"/>
    <w:rsid w:val="00D56CB5"/>
    <w:rsid w:val="00D572EA"/>
    <w:rsid w:val="00D57A7B"/>
    <w:rsid w:val="00D61558"/>
    <w:rsid w:val="00D6165A"/>
    <w:rsid w:val="00D61D40"/>
    <w:rsid w:val="00D63FA5"/>
    <w:rsid w:val="00D649EA"/>
    <w:rsid w:val="00D65111"/>
    <w:rsid w:val="00D65DCB"/>
    <w:rsid w:val="00D664C1"/>
    <w:rsid w:val="00D70B33"/>
    <w:rsid w:val="00D714CF"/>
    <w:rsid w:val="00D719BF"/>
    <w:rsid w:val="00D7509A"/>
    <w:rsid w:val="00D77292"/>
    <w:rsid w:val="00D8022F"/>
    <w:rsid w:val="00D80B42"/>
    <w:rsid w:val="00D81E74"/>
    <w:rsid w:val="00D825FA"/>
    <w:rsid w:val="00D836C7"/>
    <w:rsid w:val="00D85B19"/>
    <w:rsid w:val="00D8680B"/>
    <w:rsid w:val="00D90ADB"/>
    <w:rsid w:val="00D91CAC"/>
    <w:rsid w:val="00D91F79"/>
    <w:rsid w:val="00D92F84"/>
    <w:rsid w:val="00D9377E"/>
    <w:rsid w:val="00D93FB4"/>
    <w:rsid w:val="00D94439"/>
    <w:rsid w:val="00D94E99"/>
    <w:rsid w:val="00D9533F"/>
    <w:rsid w:val="00D953A9"/>
    <w:rsid w:val="00D95EC1"/>
    <w:rsid w:val="00D97BDD"/>
    <w:rsid w:val="00D97DF9"/>
    <w:rsid w:val="00DA1634"/>
    <w:rsid w:val="00DA1C41"/>
    <w:rsid w:val="00DA2D45"/>
    <w:rsid w:val="00DA34C5"/>
    <w:rsid w:val="00DA4785"/>
    <w:rsid w:val="00DA5442"/>
    <w:rsid w:val="00DA5C95"/>
    <w:rsid w:val="00DB0F3D"/>
    <w:rsid w:val="00DB1CAE"/>
    <w:rsid w:val="00DB23E7"/>
    <w:rsid w:val="00DB33B7"/>
    <w:rsid w:val="00DB349E"/>
    <w:rsid w:val="00DB3B22"/>
    <w:rsid w:val="00DB3F8D"/>
    <w:rsid w:val="00DB4E2E"/>
    <w:rsid w:val="00DB69A8"/>
    <w:rsid w:val="00DB77EC"/>
    <w:rsid w:val="00DB7BC1"/>
    <w:rsid w:val="00DB7C6C"/>
    <w:rsid w:val="00DC162E"/>
    <w:rsid w:val="00DC28F6"/>
    <w:rsid w:val="00DC4C25"/>
    <w:rsid w:val="00DC6B4E"/>
    <w:rsid w:val="00DC78A8"/>
    <w:rsid w:val="00DD0E07"/>
    <w:rsid w:val="00DD101A"/>
    <w:rsid w:val="00DD214C"/>
    <w:rsid w:val="00DD43F0"/>
    <w:rsid w:val="00DD4A16"/>
    <w:rsid w:val="00DD5A28"/>
    <w:rsid w:val="00DD7253"/>
    <w:rsid w:val="00DD7FEC"/>
    <w:rsid w:val="00DE016D"/>
    <w:rsid w:val="00DE06BC"/>
    <w:rsid w:val="00DE0715"/>
    <w:rsid w:val="00DE3C13"/>
    <w:rsid w:val="00DE5DEF"/>
    <w:rsid w:val="00DE6251"/>
    <w:rsid w:val="00DE6DF5"/>
    <w:rsid w:val="00DE6F50"/>
    <w:rsid w:val="00DE6FDE"/>
    <w:rsid w:val="00DE72AC"/>
    <w:rsid w:val="00DE7D98"/>
    <w:rsid w:val="00DF05AD"/>
    <w:rsid w:val="00DF58A2"/>
    <w:rsid w:val="00DF67D2"/>
    <w:rsid w:val="00DF6C6E"/>
    <w:rsid w:val="00DF70DD"/>
    <w:rsid w:val="00DF7C68"/>
    <w:rsid w:val="00E03153"/>
    <w:rsid w:val="00E039D3"/>
    <w:rsid w:val="00E04A5A"/>
    <w:rsid w:val="00E04CFB"/>
    <w:rsid w:val="00E07254"/>
    <w:rsid w:val="00E103DF"/>
    <w:rsid w:val="00E12FF7"/>
    <w:rsid w:val="00E14C4D"/>
    <w:rsid w:val="00E15484"/>
    <w:rsid w:val="00E21254"/>
    <w:rsid w:val="00E21689"/>
    <w:rsid w:val="00E2245D"/>
    <w:rsid w:val="00E224CC"/>
    <w:rsid w:val="00E23C34"/>
    <w:rsid w:val="00E24197"/>
    <w:rsid w:val="00E246F3"/>
    <w:rsid w:val="00E2479D"/>
    <w:rsid w:val="00E24F7B"/>
    <w:rsid w:val="00E25E90"/>
    <w:rsid w:val="00E26561"/>
    <w:rsid w:val="00E277A3"/>
    <w:rsid w:val="00E31881"/>
    <w:rsid w:val="00E318FB"/>
    <w:rsid w:val="00E31EA8"/>
    <w:rsid w:val="00E32382"/>
    <w:rsid w:val="00E32AC4"/>
    <w:rsid w:val="00E32FF0"/>
    <w:rsid w:val="00E338F7"/>
    <w:rsid w:val="00E34A9A"/>
    <w:rsid w:val="00E37F35"/>
    <w:rsid w:val="00E4010D"/>
    <w:rsid w:val="00E405A9"/>
    <w:rsid w:val="00E42B6B"/>
    <w:rsid w:val="00E447DB"/>
    <w:rsid w:val="00E4682C"/>
    <w:rsid w:val="00E476D9"/>
    <w:rsid w:val="00E50A3F"/>
    <w:rsid w:val="00E50DB7"/>
    <w:rsid w:val="00E511F1"/>
    <w:rsid w:val="00E51236"/>
    <w:rsid w:val="00E51F7D"/>
    <w:rsid w:val="00E52DF6"/>
    <w:rsid w:val="00E531EC"/>
    <w:rsid w:val="00E55710"/>
    <w:rsid w:val="00E56016"/>
    <w:rsid w:val="00E572D8"/>
    <w:rsid w:val="00E612FC"/>
    <w:rsid w:val="00E616E4"/>
    <w:rsid w:val="00E6217B"/>
    <w:rsid w:val="00E62AD5"/>
    <w:rsid w:val="00E6439B"/>
    <w:rsid w:val="00E6477E"/>
    <w:rsid w:val="00E71913"/>
    <w:rsid w:val="00E72ED9"/>
    <w:rsid w:val="00E739BC"/>
    <w:rsid w:val="00E745D8"/>
    <w:rsid w:val="00E76B7D"/>
    <w:rsid w:val="00E8003B"/>
    <w:rsid w:val="00E82193"/>
    <w:rsid w:val="00E82260"/>
    <w:rsid w:val="00E82720"/>
    <w:rsid w:val="00E8431A"/>
    <w:rsid w:val="00E86725"/>
    <w:rsid w:val="00E868EE"/>
    <w:rsid w:val="00E87931"/>
    <w:rsid w:val="00E92AC9"/>
    <w:rsid w:val="00E92C06"/>
    <w:rsid w:val="00E93A4D"/>
    <w:rsid w:val="00E94998"/>
    <w:rsid w:val="00E95F9D"/>
    <w:rsid w:val="00EA064B"/>
    <w:rsid w:val="00EA5B00"/>
    <w:rsid w:val="00EA5B37"/>
    <w:rsid w:val="00EA5E59"/>
    <w:rsid w:val="00EA79A0"/>
    <w:rsid w:val="00EB05F3"/>
    <w:rsid w:val="00EB181E"/>
    <w:rsid w:val="00EB1F4A"/>
    <w:rsid w:val="00EB2249"/>
    <w:rsid w:val="00EB2B74"/>
    <w:rsid w:val="00EB3702"/>
    <w:rsid w:val="00EB4B8D"/>
    <w:rsid w:val="00EB57DC"/>
    <w:rsid w:val="00EB71CC"/>
    <w:rsid w:val="00EB7B92"/>
    <w:rsid w:val="00EB7F24"/>
    <w:rsid w:val="00EC002D"/>
    <w:rsid w:val="00EC0AC7"/>
    <w:rsid w:val="00EC0E05"/>
    <w:rsid w:val="00EC111B"/>
    <w:rsid w:val="00EC4D68"/>
    <w:rsid w:val="00EC58A6"/>
    <w:rsid w:val="00EC6694"/>
    <w:rsid w:val="00EC6EDF"/>
    <w:rsid w:val="00EC7E8C"/>
    <w:rsid w:val="00ED0678"/>
    <w:rsid w:val="00ED1454"/>
    <w:rsid w:val="00ED15B2"/>
    <w:rsid w:val="00ED23C4"/>
    <w:rsid w:val="00ED335C"/>
    <w:rsid w:val="00ED39BD"/>
    <w:rsid w:val="00ED3AA2"/>
    <w:rsid w:val="00ED4450"/>
    <w:rsid w:val="00ED452E"/>
    <w:rsid w:val="00ED4905"/>
    <w:rsid w:val="00ED5086"/>
    <w:rsid w:val="00ED57C3"/>
    <w:rsid w:val="00ED631A"/>
    <w:rsid w:val="00EE0CAF"/>
    <w:rsid w:val="00EE353E"/>
    <w:rsid w:val="00EE5C1B"/>
    <w:rsid w:val="00EE71B1"/>
    <w:rsid w:val="00EE752A"/>
    <w:rsid w:val="00EF167D"/>
    <w:rsid w:val="00EF2CDF"/>
    <w:rsid w:val="00EF2D14"/>
    <w:rsid w:val="00EF3351"/>
    <w:rsid w:val="00EF5DC4"/>
    <w:rsid w:val="00EF6D71"/>
    <w:rsid w:val="00F00600"/>
    <w:rsid w:val="00F00676"/>
    <w:rsid w:val="00F00EBF"/>
    <w:rsid w:val="00F01634"/>
    <w:rsid w:val="00F01C60"/>
    <w:rsid w:val="00F031DD"/>
    <w:rsid w:val="00F0384B"/>
    <w:rsid w:val="00F0447D"/>
    <w:rsid w:val="00F05662"/>
    <w:rsid w:val="00F06232"/>
    <w:rsid w:val="00F07614"/>
    <w:rsid w:val="00F10596"/>
    <w:rsid w:val="00F108DB"/>
    <w:rsid w:val="00F10DDA"/>
    <w:rsid w:val="00F113DF"/>
    <w:rsid w:val="00F16124"/>
    <w:rsid w:val="00F167FB"/>
    <w:rsid w:val="00F17EE3"/>
    <w:rsid w:val="00F202F1"/>
    <w:rsid w:val="00F20E58"/>
    <w:rsid w:val="00F215EF"/>
    <w:rsid w:val="00F24396"/>
    <w:rsid w:val="00F24479"/>
    <w:rsid w:val="00F24559"/>
    <w:rsid w:val="00F249F2"/>
    <w:rsid w:val="00F2620C"/>
    <w:rsid w:val="00F27DE1"/>
    <w:rsid w:val="00F3051E"/>
    <w:rsid w:val="00F30599"/>
    <w:rsid w:val="00F31597"/>
    <w:rsid w:val="00F32E94"/>
    <w:rsid w:val="00F34B8B"/>
    <w:rsid w:val="00F3502B"/>
    <w:rsid w:val="00F35778"/>
    <w:rsid w:val="00F35BCD"/>
    <w:rsid w:val="00F3668D"/>
    <w:rsid w:val="00F36D93"/>
    <w:rsid w:val="00F36F4B"/>
    <w:rsid w:val="00F374C7"/>
    <w:rsid w:val="00F37A4C"/>
    <w:rsid w:val="00F4074C"/>
    <w:rsid w:val="00F40D09"/>
    <w:rsid w:val="00F419A3"/>
    <w:rsid w:val="00F430BD"/>
    <w:rsid w:val="00F442F9"/>
    <w:rsid w:val="00F4538D"/>
    <w:rsid w:val="00F46B8A"/>
    <w:rsid w:val="00F53579"/>
    <w:rsid w:val="00F5374D"/>
    <w:rsid w:val="00F53A5D"/>
    <w:rsid w:val="00F54404"/>
    <w:rsid w:val="00F5557E"/>
    <w:rsid w:val="00F55FB0"/>
    <w:rsid w:val="00F561D7"/>
    <w:rsid w:val="00F5648C"/>
    <w:rsid w:val="00F57226"/>
    <w:rsid w:val="00F57552"/>
    <w:rsid w:val="00F60E64"/>
    <w:rsid w:val="00F6432D"/>
    <w:rsid w:val="00F64B16"/>
    <w:rsid w:val="00F650FE"/>
    <w:rsid w:val="00F658C2"/>
    <w:rsid w:val="00F65B94"/>
    <w:rsid w:val="00F7228B"/>
    <w:rsid w:val="00F732FB"/>
    <w:rsid w:val="00F750A4"/>
    <w:rsid w:val="00F75E4E"/>
    <w:rsid w:val="00F76D28"/>
    <w:rsid w:val="00F776D4"/>
    <w:rsid w:val="00F778CC"/>
    <w:rsid w:val="00F80755"/>
    <w:rsid w:val="00F80D15"/>
    <w:rsid w:val="00F8151E"/>
    <w:rsid w:val="00F83244"/>
    <w:rsid w:val="00F83D20"/>
    <w:rsid w:val="00F85727"/>
    <w:rsid w:val="00F86FA8"/>
    <w:rsid w:val="00F875FF"/>
    <w:rsid w:val="00F879BF"/>
    <w:rsid w:val="00F87A1A"/>
    <w:rsid w:val="00F87C8B"/>
    <w:rsid w:val="00F87F24"/>
    <w:rsid w:val="00F90A97"/>
    <w:rsid w:val="00F928D6"/>
    <w:rsid w:val="00F92D02"/>
    <w:rsid w:val="00F95C09"/>
    <w:rsid w:val="00F95E97"/>
    <w:rsid w:val="00F96FEA"/>
    <w:rsid w:val="00F97A30"/>
    <w:rsid w:val="00FA0926"/>
    <w:rsid w:val="00FA1046"/>
    <w:rsid w:val="00FA1335"/>
    <w:rsid w:val="00FA3BE6"/>
    <w:rsid w:val="00FA4883"/>
    <w:rsid w:val="00FA4EF4"/>
    <w:rsid w:val="00FA5589"/>
    <w:rsid w:val="00FA56ED"/>
    <w:rsid w:val="00FA5CB0"/>
    <w:rsid w:val="00FA6B0D"/>
    <w:rsid w:val="00FA7993"/>
    <w:rsid w:val="00FB138F"/>
    <w:rsid w:val="00FB1D8B"/>
    <w:rsid w:val="00FB2E13"/>
    <w:rsid w:val="00FB3294"/>
    <w:rsid w:val="00FB3A81"/>
    <w:rsid w:val="00FB4666"/>
    <w:rsid w:val="00FB57B4"/>
    <w:rsid w:val="00FB785A"/>
    <w:rsid w:val="00FC55D9"/>
    <w:rsid w:val="00FC69EF"/>
    <w:rsid w:val="00FD0DF5"/>
    <w:rsid w:val="00FD1F5C"/>
    <w:rsid w:val="00FD2D3E"/>
    <w:rsid w:val="00FD348F"/>
    <w:rsid w:val="00FD397B"/>
    <w:rsid w:val="00FD4F16"/>
    <w:rsid w:val="00FE031B"/>
    <w:rsid w:val="00FE129A"/>
    <w:rsid w:val="00FE198A"/>
    <w:rsid w:val="00FE45AE"/>
    <w:rsid w:val="00FE4910"/>
    <w:rsid w:val="00FE4F6F"/>
    <w:rsid w:val="00FE53F7"/>
    <w:rsid w:val="00FE567F"/>
    <w:rsid w:val="00FE730A"/>
    <w:rsid w:val="00FF17EF"/>
    <w:rsid w:val="00FF18C0"/>
    <w:rsid w:val="00FF2E57"/>
    <w:rsid w:val="00FF2FA4"/>
    <w:rsid w:val="00FF39DF"/>
    <w:rsid w:val="00FF52E3"/>
    <w:rsid w:val="00FF78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1D84B-9ABD-4050-9D13-F677ABF4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98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9B198F"/>
    <w:pPr>
      <w:keepNext/>
      <w:numPr>
        <w:numId w:val="1"/>
      </w:numPr>
      <w:outlineLvl w:val="0"/>
    </w:pPr>
    <w:rPr>
      <w:b/>
      <w:bCs/>
    </w:rPr>
  </w:style>
  <w:style w:type="paragraph" w:styleId="Ttulo2">
    <w:name w:val="heading 2"/>
    <w:basedOn w:val="Normal"/>
    <w:next w:val="Normal"/>
    <w:link w:val="Ttulo2Car"/>
    <w:qFormat/>
    <w:rsid w:val="009B198F"/>
    <w:pPr>
      <w:keepNext/>
      <w:keepLines/>
      <w:numPr>
        <w:ilvl w:val="1"/>
        <w:numId w:val="1"/>
      </w:numPr>
      <w:spacing w:before="200"/>
      <w:outlineLvl w:val="1"/>
    </w:pPr>
    <w:rPr>
      <w:rFonts w:ascii="Cambria" w:hAnsi="Cambria"/>
      <w:b/>
      <w:bCs/>
      <w:color w:val="4F81BD"/>
      <w:sz w:val="26"/>
      <w:szCs w:val="26"/>
    </w:rPr>
  </w:style>
  <w:style w:type="paragraph" w:styleId="Ttulo3">
    <w:name w:val="heading 3"/>
    <w:basedOn w:val="Normal"/>
    <w:next w:val="Normal"/>
    <w:link w:val="Ttulo3Car"/>
    <w:qFormat/>
    <w:rsid w:val="009B198F"/>
    <w:pPr>
      <w:keepNext/>
      <w:keepLines/>
      <w:numPr>
        <w:ilvl w:val="2"/>
        <w:numId w:val="1"/>
      </w:numPr>
      <w:spacing w:before="200"/>
      <w:outlineLvl w:val="2"/>
    </w:pPr>
    <w:rPr>
      <w:rFonts w:ascii="Cambria" w:hAnsi="Cambria"/>
      <w:b/>
      <w:bCs/>
      <w:color w:val="4F81BD"/>
    </w:rPr>
  </w:style>
  <w:style w:type="paragraph" w:styleId="Ttulo4">
    <w:name w:val="heading 4"/>
    <w:basedOn w:val="Normal"/>
    <w:next w:val="Normal"/>
    <w:link w:val="Ttulo4Car"/>
    <w:qFormat/>
    <w:rsid w:val="009B198F"/>
    <w:pPr>
      <w:keepNext/>
      <w:keepLines/>
      <w:numPr>
        <w:ilvl w:val="3"/>
        <w:numId w:val="1"/>
      </w:numPr>
      <w:spacing w:before="200"/>
      <w:outlineLvl w:val="3"/>
    </w:pPr>
    <w:rPr>
      <w:rFonts w:ascii="Cambria" w:hAnsi="Cambria"/>
      <w:b/>
      <w:bCs/>
      <w:i/>
      <w:iCs/>
      <w:color w:val="4F81BD"/>
    </w:rPr>
  </w:style>
  <w:style w:type="paragraph" w:styleId="Ttulo5">
    <w:name w:val="heading 5"/>
    <w:basedOn w:val="Normal"/>
    <w:next w:val="Normal"/>
    <w:link w:val="Ttulo5Car"/>
    <w:qFormat/>
    <w:rsid w:val="009B198F"/>
    <w:pPr>
      <w:keepNext/>
      <w:keepLines/>
      <w:numPr>
        <w:ilvl w:val="4"/>
        <w:numId w:val="1"/>
      </w:numPr>
      <w:spacing w:before="200"/>
      <w:outlineLvl w:val="4"/>
    </w:pPr>
    <w:rPr>
      <w:rFonts w:ascii="Cambria" w:hAnsi="Cambria"/>
      <w:color w:val="243F60"/>
    </w:rPr>
  </w:style>
  <w:style w:type="paragraph" w:styleId="Ttulo6">
    <w:name w:val="heading 6"/>
    <w:basedOn w:val="Normal"/>
    <w:next w:val="Normal"/>
    <w:link w:val="Ttulo6Car"/>
    <w:qFormat/>
    <w:rsid w:val="009B198F"/>
    <w:pPr>
      <w:keepNext/>
      <w:keepLines/>
      <w:numPr>
        <w:ilvl w:val="5"/>
        <w:numId w:val="1"/>
      </w:numPr>
      <w:spacing w:before="200"/>
      <w:outlineLvl w:val="5"/>
    </w:pPr>
    <w:rPr>
      <w:rFonts w:ascii="Cambria" w:hAnsi="Cambria"/>
      <w:i/>
      <w:iCs/>
      <w:color w:val="243F60"/>
    </w:rPr>
  </w:style>
  <w:style w:type="paragraph" w:styleId="Ttulo7">
    <w:name w:val="heading 7"/>
    <w:basedOn w:val="Normal"/>
    <w:next w:val="Normal"/>
    <w:link w:val="Ttulo7Car"/>
    <w:qFormat/>
    <w:rsid w:val="009B198F"/>
    <w:pPr>
      <w:keepNext/>
      <w:keepLines/>
      <w:numPr>
        <w:ilvl w:val="6"/>
        <w:numId w:val="1"/>
      </w:numPr>
      <w:spacing w:before="200"/>
      <w:outlineLvl w:val="6"/>
    </w:pPr>
    <w:rPr>
      <w:rFonts w:ascii="Cambria" w:hAnsi="Cambria"/>
      <w:i/>
      <w:iCs/>
      <w:color w:val="404040"/>
    </w:rPr>
  </w:style>
  <w:style w:type="paragraph" w:styleId="Ttulo8">
    <w:name w:val="heading 8"/>
    <w:basedOn w:val="Normal"/>
    <w:next w:val="Normal"/>
    <w:link w:val="Ttulo8Car"/>
    <w:qFormat/>
    <w:rsid w:val="009B198F"/>
    <w:pPr>
      <w:keepNext/>
      <w:keepLines/>
      <w:numPr>
        <w:ilvl w:val="7"/>
        <w:numId w:val="1"/>
      </w:numPr>
      <w:spacing w:before="200"/>
      <w:outlineLvl w:val="7"/>
    </w:pPr>
    <w:rPr>
      <w:rFonts w:ascii="Cambria" w:hAnsi="Cambria"/>
      <w:color w:val="404040"/>
      <w:sz w:val="20"/>
      <w:szCs w:val="20"/>
    </w:rPr>
  </w:style>
  <w:style w:type="paragraph" w:styleId="Ttulo9">
    <w:name w:val="heading 9"/>
    <w:basedOn w:val="Normal"/>
    <w:next w:val="Normal"/>
    <w:link w:val="Ttulo9Car"/>
    <w:qFormat/>
    <w:rsid w:val="009B198F"/>
    <w:pPr>
      <w:keepNext/>
      <w:keepLines/>
      <w:numPr>
        <w:ilvl w:val="8"/>
        <w:numId w:val="1"/>
      </w:numPr>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B198F"/>
    <w:rPr>
      <w:rFonts w:ascii="Times New Roman" w:eastAsia="Times New Roman" w:hAnsi="Times New Roman"/>
      <w:b/>
      <w:bCs/>
      <w:sz w:val="24"/>
      <w:szCs w:val="24"/>
      <w:lang w:val="es-ES" w:eastAsia="es-ES"/>
    </w:rPr>
  </w:style>
  <w:style w:type="character" w:customStyle="1" w:styleId="Ttulo2Car">
    <w:name w:val="Título 2 Car"/>
    <w:link w:val="Ttulo2"/>
    <w:rsid w:val="009B198F"/>
    <w:rPr>
      <w:rFonts w:ascii="Cambria" w:eastAsia="Times New Roman" w:hAnsi="Cambria"/>
      <w:b/>
      <w:bCs/>
      <w:color w:val="4F81BD"/>
      <w:sz w:val="26"/>
      <w:szCs w:val="26"/>
      <w:lang w:val="es-ES" w:eastAsia="es-ES"/>
    </w:rPr>
  </w:style>
  <w:style w:type="character" w:customStyle="1" w:styleId="Ttulo3Car">
    <w:name w:val="Título 3 Car"/>
    <w:link w:val="Ttulo3"/>
    <w:rsid w:val="009B198F"/>
    <w:rPr>
      <w:rFonts w:ascii="Cambria" w:eastAsia="Times New Roman" w:hAnsi="Cambria"/>
      <w:b/>
      <w:bCs/>
      <w:color w:val="4F81BD"/>
      <w:sz w:val="24"/>
      <w:szCs w:val="24"/>
      <w:lang w:val="es-ES" w:eastAsia="es-ES"/>
    </w:rPr>
  </w:style>
  <w:style w:type="character" w:customStyle="1" w:styleId="Ttulo4Car">
    <w:name w:val="Título 4 Car"/>
    <w:link w:val="Ttulo4"/>
    <w:rsid w:val="009B198F"/>
    <w:rPr>
      <w:rFonts w:ascii="Cambria" w:eastAsia="Times New Roman" w:hAnsi="Cambria"/>
      <w:b/>
      <w:bCs/>
      <w:i/>
      <w:iCs/>
      <w:color w:val="4F81BD"/>
      <w:sz w:val="24"/>
      <w:szCs w:val="24"/>
      <w:lang w:val="es-ES" w:eastAsia="es-ES"/>
    </w:rPr>
  </w:style>
  <w:style w:type="character" w:customStyle="1" w:styleId="Ttulo5Car">
    <w:name w:val="Título 5 Car"/>
    <w:link w:val="Ttulo5"/>
    <w:rsid w:val="009B198F"/>
    <w:rPr>
      <w:rFonts w:ascii="Cambria" w:eastAsia="Times New Roman" w:hAnsi="Cambria"/>
      <w:color w:val="243F60"/>
      <w:sz w:val="24"/>
      <w:szCs w:val="24"/>
      <w:lang w:val="es-ES" w:eastAsia="es-ES"/>
    </w:rPr>
  </w:style>
  <w:style w:type="character" w:customStyle="1" w:styleId="Ttulo6Car">
    <w:name w:val="Título 6 Car"/>
    <w:link w:val="Ttulo6"/>
    <w:rsid w:val="009B198F"/>
    <w:rPr>
      <w:rFonts w:ascii="Cambria" w:eastAsia="Times New Roman" w:hAnsi="Cambria"/>
      <w:i/>
      <w:iCs/>
      <w:color w:val="243F60"/>
      <w:sz w:val="24"/>
      <w:szCs w:val="24"/>
      <w:lang w:val="es-ES" w:eastAsia="es-ES"/>
    </w:rPr>
  </w:style>
  <w:style w:type="character" w:customStyle="1" w:styleId="Ttulo7Car">
    <w:name w:val="Título 7 Car"/>
    <w:link w:val="Ttulo7"/>
    <w:rsid w:val="009B198F"/>
    <w:rPr>
      <w:rFonts w:ascii="Cambria" w:eastAsia="Times New Roman" w:hAnsi="Cambria"/>
      <w:i/>
      <w:iCs/>
      <w:color w:val="404040"/>
      <w:sz w:val="24"/>
      <w:szCs w:val="24"/>
      <w:lang w:val="es-ES" w:eastAsia="es-ES"/>
    </w:rPr>
  </w:style>
  <w:style w:type="character" w:customStyle="1" w:styleId="Ttulo8Car">
    <w:name w:val="Título 8 Car"/>
    <w:link w:val="Ttulo8"/>
    <w:rsid w:val="009B198F"/>
    <w:rPr>
      <w:rFonts w:ascii="Cambria" w:eastAsia="Times New Roman" w:hAnsi="Cambria"/>
      <w:color w:val="404040"/>
      <w:lang w:val="es-ES" w:eastAsia="es-ES"/>
    </w:rPr>
  </w:style>
  <w:style w:type="character" w:customStyle="1" w:styleId="Ttulo9Car">
    <w:name w:val="Título 9 Car"/>
    <w:link w:val="Ttulo9"/>
    <w:rsid w:val="009B198F"/>
    <w:rPr>
      <w:rFonts w:ascii="Cambria" w:eastAsia="Times New Roman" w:hAnsi="Cambria"/>
      <w:i/>
      <w:iCs/>
      <w:color w:val="404040"/>
      <w:lang w:val="es-ES" w:eastAsia="es-ES"/>
    </w:rPr>
  </w:style>
  <w:style w:type="paragraph" w:styleId="Encabezado">
    <w:name w:val="header"/>
    <w:basedOn w:val="Normal"/>
    <w:link w:val="EncabezadoCar"/>
    <w:uiPriority w:val="99"/>
    <w:rsid w:val="009B198F"/>
    <w:pPr>
      <w:tabs>
        <w:tab w:val="center" w:pos="4252"/>
        <w:tab w:val="right" w:pos="8504"/>
      </w:tabs>
    </w:pPr>
    <w:rPr>
      <w:lang w:val="x-none" w:eastAsia="x-none"/>
    </w:rPr>
  </w:style>
  <w:style w:type="character" w:customStyle="1" w:styleId="EncabezadoCar">
    <w:name w:val="Encabezado Car"/>
    <w:link w:val="Encabezado"/>
    <w:uiPriority w:val="99"/>
    <w:rsid w:val="009B198F"/>
    <w:rPr>
      <w:rFonts w:ascii="Times New Roman" w:eastAsia="Times New Roman" w:hAnsi="Times New Roman" w:cs="Times New Roman"/>
      <w:sz w:val="24"/>
      <w:szCs w:val="24"/>
      <w:lang w:val="x-none" w:eastAsia="x-none"/>
    </w:rPr>
  </w:style>
  <w:style w:type="character" w:styleId="Nmerodepgina">
    <w:name w:val="page number"/>
    <w:basedOn w:val="Fuentedeprrafopredeter"/>
    <w:rsid w:val="009B198F"/>
  </w:style>
  <w:style w:type="paragraph" w:customStyle="1" w:styleId="ListParagraph1">
    <w:name w:val="List Paragraph1"/>
    <w:basedOn w:val="Normal"/>
    <w:rsid w:val="009B198F"/>
    <w:pPr>
      <w:ind w:left="720"/>
    </w:pPr>
  </w:style>
  <w:style w:type="paragraph" w:customStyle="1" w:styleId="Prrafodelista1">
    <w:name w:val="Párrafo de lista1"/>
    <w:basedOn w:val="Normal"/>
    <w:uiPriority w:val="34"/>
    <w:qFormat/>
    <w:rsid w:val="009B198F"/>
    <w:pPr>
      <w:ind w:left="708"/>
    </w:pPr>
    <w:rPr>
      <w:rFonts w:eastAsia="Calibri"/>
    </w:rPr>
  </w:style>
  <w:style w:type="paragraph" w:styleId="Prrafodelista">
    <w:name w:val="List Paragraph"/>
    <w:basedOn w:val="Normal"/>
    <w:uiPriority w:val="34"/>
    <w:qFormat/>
    <w:rsid w:val="009B198F"/>
    <w:pPr>
      <w:ind w:left="708"/>
    </w:pPr>
  </w:style>
  <w:style w:type="paragraph" w:styleId="Textodeglobo">
    <w:name w:val="Balloon Text"/>
    <w:basedOn w:val="Normal"/>
    <w:link w:val="TextodegloboCar"/>
    <w:uiPriority w:val="99"/>
    <w:unhideWhenUsed/>
    <w:rsid w:val="00BF318F"/>
    <w:rPr>
      <w:rFonts w:ascii="Tahoma" w:hAnsi="Tahoma" w:cs="Tahoma"/>
      <w:sz w:val="16"/>
      <w:szCs w:val="16"/>
    </w:rPr>
  </w:style>
  <w:style w:type="character" w:customStyle="1" w:styleId="TextodegloboCar">
    <w:name w:val="Texto de globo Car"/>
    <w:link w:val="Textodeglobo"/>
    <w:uiPriority w:val="99"/>
    <w:rsid w:val="00BF318F"/>
    <w:rPr>
      <w:rFonts w:ascii="Tahoma" w:eastAsia="Times New Roman" w:hAnsi="Tahoma" w:cs="Tahoma"/>
      <w:sz w:val="16"/>
      <w:szCs w:val="16"/>
      <w:lang w:val="es-ES" w:eastAsia="es-ES"/>
    </w:rPr>
  </w:style>
  <w:style w:type="paragraph" w:styleId="Textonotapie">
    <w:name w:val="footnote text"/>
    <w:aliases w:val="Texto nota pie Car Car Car Car Car Car,Texto nota pie Car Car Car Car Car Car Car,Texto nota pie Car Car Car Car Car Car Ca,ft,ft Car,ft Car Car,Texto nota pie2,ft1,ft Car Car Car1,Texto nota pie Car2,ft Car Car2,ft Car Car Car,fn"/>
    <w:basedOn w:val="Normal"/>
    <w:link w:val="TextonotapieCar"/>
    <w:rsid w:val="00BF318F"/>
    <w:rPr>
      <w:sz w:val="20"/>
      <w:szCs w:val="20"/>
    </w:rPr>
  </w:style>
  <w:style w:type="character" w:customStyle="1" w:styleId="TextonotapieCar">
    <w:name w:val="Texto nota pie Car"/>
    <w:aliases w:val="Texto nota pie Car Car Car Car Car Car Car1,Texto nota pie Car Car Car Car Car Car Car Car,Texto nota pie Car Car Car Car Car Car Ca Car,ft Car1,ft Car Car1,ft Car Car Car2,Texto nota pie2 Car,ft1 Car,ft Car Car Car1 Car,fn Car"/>
    <w:link w:val="Textonotapie"/>
    <w:uiPriority w:val="99"/>
    <w:rsid w:val="00BF318F"/>
    <w:rPr>
      <w:rFonts w:ascii="Times New Roman" w:eastAsia="Times New Roman" w:hAnsi="Times New Roman" w:cs="Times New Roman"/>
      <w:sz w:val="20"/>
      <w:szCs w:val="20"/>
      <w:lang w:val="es-ES" w:eastAsia="es-ES"/>
    </w:rPr>
  </w:style>
  <w:style w:type="character" w:styleId="Refdenotaalpie">
    <w:name w:val="footnote reference"/>
    <w:aliases w:val="ftref,16 Point,Superscript 6 Point,fr,Footnote Reference Number,Footnote Reference_LVL6,Footnote Reference_LVL61,Footnote Reference_LVL62,Footnote Reference_LVL63,Footnote Reference_LVL64,SUPERS,EN Footnote Reference,number"/>
    <w:uiPriority w:val="99"/>
    <w:rsid w:val="00BF318F"/>
    <w:rPr>
      <w:vertAlign w:val="superscript"/>
    </w:rPr>
  </w:style>
  <w:style w:type="paragraph" w:customStyle="1" w:styleId="Default">
    <w:name w:val="Default"/>
    <w:rsid w:val="00BF318F"/>
    <w:pPr>
      <w:widowControl w:val="0"/>
      <w:autoSpaceDE w:val="0"/>
      <w:autoSpaceDN w:val="0"/>
      <w:adjustRightInd w:val="0"/>
    </w:pPr>
    <w:rPr>
      <w:rFonts w:ascii="Felix Titling" w:eastAsia="Times New Roman" w:hAnsi="Felix Titling" w:cs="Felix Titling"/>
      <w:color w:val="000000"/>
      <w:sz w:val="24"/>
      <w:szCs w:val="24"/>
      <w:lang w:val="es-ES" w:eastAsia="es-ES"/>
    </w:rPr>
  </w:style>
  <w:style w:type="paragraph" w:customStyle="1" w:styleId="CM49">
    <w:name w:val="CM49"/>
    <w:basedOn w:val="Default"/>
    <w:next w:val="Default"/>
    <w:uiPriority w:val="99"/>
    <w:rsid w:val="006C7AF9"/>
    <w:pPr>
      <w:spacing w:after="105"/>
    </w:pPr>
    <w:rPr>
      <w:rFonts w:cs="Times New Roman"/>
      <w:color w:val="auto"/>
    </w:rPr>
  </w:style>
  <w:style w:type="table" w:styleId="Tablaconcuadrcula">
    <w:name w:val="Table Grid"/>
    <w:basedOn w:val="Tablanormal"/>
    <w:uiPriority w:val="59"/>
    <w:rsid w:val="001B07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01941"/>
    <w:pPr>
      <w:tabs>
        <w:tab w:val="center" w:pos="4419"/>
        <w:tab w:val="right" w:pos="8838"/>
      </w:tabs>
    </w:pPr>
  </w:style>
  <w:style w:type="character" w:customStyle="1" w:styleId="PiedepginaCar">
    <w:name w:val="Pie de página Car"/>
    <w:link w:val="Piedepgina"/>
    <w:uiPriority w:val="99"/>
    <w:rsid w:val="00001941"/>
    <w:rPr>
      <w:rFonts w:ascii="Times New Roman" w:eastAsia="Times New Roman" w:hAnsi="Times New Roman" w:cs="Times New Roman"/>
      <w:sz w:val="24"/>
      <w:szCs w:val="24"/>
      <w:lang w:val="es-ES" w:eastAsia="es-ES"/>
    </w:rPr>
  </w:style>
  <w:style w:type="character" w:styleId="Textoennegrita">
    <w:name w:val="Strong"/>
    <w:uiPriority w:val="22"/>
    <w:qFormat/>
    <w:rsid w:val="00534E33"/>
    <w:rPr>
      <w:b/>
      <w:bCs/>
    </w:rPr>
  </w:style>
  <w:style w:type="character" w:styleId="Hipervnculo">
    <w:name w:val="Hyperlink"/>
    <w:uiPriority w:val="99"/>
    <w:unhideWhenUsed/>
    <w:rsid w:val="00A34A28"/>
    <w:rPr>
      <w:color w:val="0000FF"/>
      <w:u w:val="single"/>
    </w:rPr>
  </w:style>
  <w:style w:type="character" w:styleId="Hipervnculovisitado">
    <w:name w:val="FollowedHyperlink"/>
    <w:uiPriority w:val="99"/>
    <w:semiHidden/>
    <w:unhideWhenUsed/>
    <w:rsid w:val="009F7DEF"/>
    <w:rPr>
      <w:color w:val="800080"/>
      <w:u w:val="single"/>
    </w:rPr>
  </w:style>
  <w:style w:type="paragraph" w:styleId="NormalWeb">
    <w:name w:val="Normal (Web)"/>
    <w:basedOn w:val="Normal"/>
    <w:uiPriority w:val="99"/>
    <w:unhideWhenUsed/>
    <w:rsid w:val="000520A7"/>
    <w:pPr>
      <w:spacing w:before="100" w:beforeAutospacing="1" w:after="100" w:afterAutospacing="1"/>
    </w:pPr>
    <w:rPr>
      <w:rFonts w:eastAsiaTheme="minorEastAsia"/>
      <w:lang w:val="es-GT" w:eastAsia="es-GT"/>
    </w:rPr>
  </w:style>
  <w:style w:type="paragraph" w:styleId="Sinespaciado">
    <w:name w:val="No Spacing"/>
    <w:uiPriority w:val="1"/>
    <w:qFormat/>
    <w:rsid w:val="00C7413E"/>
    <w:rPr>
      <w:rFonts w:asciiTheme="minorHAnsi" w:eastAsiaTheme="minorEastAsia" w:hAnsiTheme="minorHAnsi" w:cstheme="minorBidi"/>
      <w:sz w:val="24"/>
      <w:szCs w:val="24"/>
      <w:lang w:val="es-ES_tradnl" w:eastAsia="ja-JP"/>
    </w:rPr>
  </w:style>
  <w:style w:type="paragraph" w:styleId="TtuloTDC">
    <w:name w:val="TOC Heading"/>
    <w:basedOn w:val="Ttulo1"/>
    <w:next w:val="Normal"/>
    <w:uiPriority w:val="39"/>
    <w:unhideWhenUsed/>
    <w:qFormat/>
    <w:rsid w:val="00D61558"/>
    <w:pPr>
      <w:keepLines/>
      <w:numPr>
        <w:numId w:val="0"/>
      </w:numPr>
      <w:spacing w:before="480" w:line="276" w:lineRule="auto"/>
      <w:outlineLvl w:val="9"/>
    </w:pPr>
    <w:rPr>
      <w:rFonts w:asciiTheme="majorHAnsi" w:eastAsiaTheme="majorEastAsia" w:hAnsiTheme="majorHAnsi" w:cstheme="majorBidi"/>
      <w:color w:val="A5A5A5" w:themeColor="accent1" w:themeShade="BF"/>
      <w:sz w:val="28"/>
      <w:szCs w:val="28"/>
      <w:lang w:val="es-GT" w:eastAsia="es-GT"/>
    </w:rPr>
  </w:style>
  <w:style w:type="paragraph" w:styleId="TDC1">
    <w:name w:val="toc 1"/>
    <w:basedOn w:val="Normal"/>
    <w:next w:val="Normal"/>
    <w:autoRedefine/>
    <w:uiPriority w:val="39"/>
    <w:unhideWhenUsed/>
    <w:qFormat/>
    <w:rsid w:val="00D61558"/>
    <w:pPr>
      <w:spacing w:after="100"/>
    </w:pPr>
  </w:style>
  <w:style w:type="paragraph" w:styleId="TDC2">
    <w:name w:val="toc 2"/>
    <w:basedOn w:val="Normal"/>
    <w:next w:val="Normal"/>
    <w:autoRedefine/>
    <w:uiPriority w:val="39"/>
    <w:unhideWhenUsed/>
    <w:qFormat/>
    <w:rsid w:val="000775C1"/>
    <w:pPr>
      <w:tabs>
        <w:tab w:val="left" w:pos="880"/>
        <w:tab w:val="right" w:leader="dot" w:pos="8828"/>
      </w:tabs>
      <w:spacing w:after="100"/>
      <w:ind w:left="240"/>
    </w:pPr>
  </w:style>
  <w:style w:type="paragraph" w:styleId="TDC3">
    <w:name w:val="toc 3"/>
    <w:basedOn w:val="Normal"/>
    <w:next w:val="Normal"/>
    <w:autoRedefine/>
    <w:uiPriority w:val="39"/>
    <w:unhideWhenUsed/>
    <w:qFormat/>
    <w:rsid w:val="00D61558"/>
    <w:pPr>
      <w:spacing w:after="100"/>
      <w:ind w:left="480"/>
    </w:pPr>
  </w:style>
  <w:style w:type="character" w:styleId="Refdecomentario">
    <w:name w:val="annotation reference"/>
    <w:basedOn w:val="Fuentedeprrafopredeter"/>
    <w:uiPriority w:val="99"/>
    <w:semiHidden/>
    <w:unhideWhenUsed/>
    <w:rsid w:val="00B372A0"/>
    <w:rPr>
      <w:sz w:val="16"/>
      <w:szCs w:val="16"/>
    </w:rPr>
  </w:style>
  <w:style w:type="paragraph" w:styleId="Textocomentario">
    <w:name w:val="annotation text"/>
    <w:basedOn w:val="Normal"/>
    <w:link w:val="TextocomentarioCar"/>
    <w:uiPriority w:val="99"/>
    <w:semiHidden/>
    <w:unhideWhenUsed/>
    <w:rsid w:val="00B372A0"/>
    <w:rPr>
      <w:sz w:val="20"/>
      <w:szCs w:val="20"/>
    </w:rPr>
  </w:style>
  <w:style w:type="character" w:customStyle="1" w:styleId="TextocomentarioCar">
    <w:name w:val="Texto comentario Car"/>
    <w:basedOn w:val="Fuentedeprrafopredeter"/>
    <w:link w:val="Textocomentario"/>
    <w:uiPriority w:val="99"/>
    <w:semiHidden/>
    <w:rsid w:val="00B372A0"/>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B372A0"/>
    <w:rPr>
      <w:b/>
      <w:bCs/>
    </w:rPr>
  </w:style>
  <w:style w:type="character" w:customStyle="1" w:styleId="AsuntodelcomentarioCar">
    <w:name w:val="Asunto del comentario Car"/>
    <w:basedOn w:val="TextocomentarioCar"/>
    <w:link w:val="Asuntodelcomentario"/>
    <w:uiPriority w:val="99"/>
    <w:semiHidden/>
    <w:rsid w:val="00B372A0"/>
    <w:rPr>
      <w:rFonts w:ascii="Times New Roman" w:eastAsia="Times New Roman" w:hAnsi="Times New Roman"/>
      <w:b/>
      <w:bCs/>
      <w:lang w:val="es-ES" w:eastAsia="es-ES"/>
    </w:rPr>
  </w:style>
  <w:style w:type="paragraph" w:customStyle="1" w:styleId="Normallatin">
    <w:name w:val="Normal+(latin"/>
    <w:basedOn w:val="Textoindependiente"/>
    <w:rsid w:val="00570585"/>
  </w:style>
  <w:style w:type="paragraph" w:styleId="Textoindependiente">
    <w:name w:val="Body Text"/>
    <w:basedOn w:val="Normal"/>
    <w:link w:val="TextoindependienteCar"/>
    <w:uiPriority w:val="99"/>
    <w:semiHidden/>
    <w:unhideWhenUsed/>
    <w:rsid w:val="00570585"/>
    <w:pPr>
      <w:spacing w:after="120"/>
    </w:pPr>
  </w:style>
  <w:style w:type="character" w:customStyle="1" w:styleId="TextoindependienteCar">
    <w:name w:val="Texto independiente Car"/>
    <w:basedOn w:val="Fuentedeprrafopredeter"/>
    <w:link w:val="Textoindependiente"/>
    <w:uiPriority w:val="99"/>
    <w:semiHidden/>
    <w:rsid w:val="00570585"/>
    <w:rPr>
      <w:rFonts w:ascii="Times New Roman" w:eastAsia="Times New Roman" w:hAnsi="Times New Roman"/>
      <w:sz w:val="24"/>
      <w:szCs w:val="24"/>
      <w:lang w:val="es-ES" w:eastAsia="es-ES"/>
    </w:rPr>
  </w:style>
  <w:style w:type="paragraph" w:customStyle="1" w:styleId="Normallatin0">
    <w:name w:val="Normal +(latin"/>
    <w:basedOn w:val="Sangradetextonormal"/>
    <w:rsid w:val="00570585"/>
  </w:style>
  <w:style w:type="paragraph" w:styleId="Sangradetextonormal">
    <w:name w:val="Body Text Indent"/>
    <w:basedOn w:val="Normal"/>
    <w:link w:val="SangradetextonormalCar"/>
    <w:uiPriority w:val="99"/>
    <w:semiHidden/>
    <w:unhideWhenUsed/>
    <w:rsid w:val="00570585"/>
    <w:pPr>
      <w:spacing w:after="120"/>
      <w:ind w:left="283"/>
    </w:pPr>
  </w:style>
  <w:style w:type="character" w:customStyle="1" w:styleId="SangradetextonormalCar">
    <w:name w:val="Sangría de texto normal Car"/>
    <w:basedOn w:val="Fuentedeprrafopredeter"/>
    <w:link w:val="Sangradetextonormal"/>
    <w:uiPriority w:val="99"/>
    <w:semiHidden/>
    <w:rsid w:val="00570585"/>
    <w:rPr>
      <w:rFonts w:ascii="Times New Roman" w:eastAsia="Times New Roman" w:hAnsi="Times New Roman"/>
      <w:sz w:val="24"/>
      <w:szCs w:val="24"/>
      <w:lang w:val="es-ES" w:eastAsia="es-ES"/>
    </w:rPr>
  </w:style>
  <w:style w:type="character" w:styleId="nfasis">
    <w:name w:val="Emphasis"/>
    <w:uiPriority w:val="20"/>
    <w:qFormat/>
    <w:rsid w:val="00570585"/>
    <w:rPr>
      <w:rFonts w:cs="Times New Roman"/>
      <w:i/>
      <w:iCs/>
    </w:rPr>
  </w:style>
  <w:style w:type="paragraph" w:customStyle="1" w:styleId="bodytext">
    <w:name w:val="bodytext"/>
    <w:basedOn w:val="Normal"/>
    <w:rsid w:val="00BF34AC"/>
    <w:pPr>
      <w:spacing w:before="100" w:beforeAutospacing="1" w:after="100" w:afterAutospacing="1"/>
    </w:pPr>
    <w:rPr>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564">
      <w:bodyDiv w:val="1"/>
      <w:marLeft w:val="0"/>
      <w:marRight w:val="0"/>
      <w:marTop w:val="0"/>
      <w:marBottom w:val="0"/>
      <w:divBdr>
        <w:top w:val="none" w:sz="0" w:space="0" w:color="auto"/>
        <w:left w:val="none" w:sz="0" w:space="0" w:color="auto"/>
        <w:bottom w:val="none" w:sz="0" w:space="0" w:color="auto"/>
        <w:right w:val="none" w:sz="0" w:space="0" w:color="auto"/>
      </w:divBdr>
      <w:divsChild>
        <w:div w:id="1464498466">
          <w:marLeft w:val="274"/>
          <w:marRight w:val="0"/>
          <w:marTop w:val="0"/>
          <w:marBottom w:val="240"/>
          <w:divBdr>
            <w:top w:val="none" w:sz="0" w:space="0" w:color="auto"/>
            <w:left w:val="none" w:sz="0" w:space="0" w:color="auto"/>
            <w:bottom w:val="none" w:sz="0" w:space="0" w:color="auto"/>
            <w:right w:val="none" w:sz="0" w:space="0" w:color="auto"/>
          </w:divBdr>
        </w:div>
        <w:div w:id="1479304816">
          <w:marLeft w:val="274"/>
          <w:marRight w:val="0"/>
          <w:marTop w:val="0"/>
          <w:marBottom w:val="240"/>
          <w:divBdr>
            <w:top w:val="none" w:sz="0" w:space="0" w:color="auto"/>
            <w:left w:val="none" w:sz="0" w:space="0" w:color="auto"/>
            <w:bottom w:val="none" w:sz="0" w:space="0" w:color="auto"/>
            <w:right w:val="none" w:sz="0" w:space="0" w:color="auto"/>
          </w:divBdr>
        </w:div>
        <w:div w:id="1884439074">
          <w:marLeft w:val="274"/>
          <w:marRight w:val="0"/>
          <w:marTop w:val="0"/>
          <w:marBottom w:val="240"/>
          <w:divBdr>
            <w:top w:val="none" w:sz="0" w:space="0" w:color="auto"/>
            <w:left w:val="none" w:sz="0" w:space="0" w:color="auto"/>
            <w:bottom w:val="none" w:sz="0" w:space="0" w:color="auto"/>
            <w:right w:val="none" w:sz="0" w:space="0" w:color="auto"/>
          </w:divBdr>
        </w:div>
      </w:divsChild>
    </w:div>
    <w:div w:id="12615010">
      <w:bodyDiv w:val="1"/>
      <w:marLeft w:val="0"/>
      <w:marRight w:val="0"/>
      <w:marTop w:val="0"/>
      <w:marBottom w:val="0"/>
      <w:divBdr>
        <w:top w:val="none" w:sz="0" w:space="0" w:color="auto"/>
        <w:left w:val="none" w:sz="0" w:space="0" w:color="auto"/>
        <w:bottom w:val="none" w:sz="0" w:space="0" w:color="auto"/>
        <w:right w:val="none" w:sz="0" w:space="0" w:color="auto"/>
      </w:divBdr>
      <w:divsChild>
        <w:div w:id="874804913">
          <w:marLeft w:val="576"/>
          <w:marRight w:val="0"/>
          <w:marTop w:val="120"/>
          <w:marBottom w:val="0"/>
          <w:divBdr>
            <w:top w:val="none" w:sz="0" w:space="0" w:color="auto"/>
            <w:left w:val="none" w:sz="0" w:space="0" w:color="auto"/>
            <w:bottom w:val="none" w:sz="0" w:space="0" w:color="auto"/>
            <w:right w:val="none" w:sz="0" w:space="0" w:color="auto"/>
          </w:divBdr>
        </w:div>
      </w:divsChild>
    </w:div>
    <w:div w:id="34232750">
      <w:bodyDiv w:val="1"/>
      <w:marLeft w:val="0"/>
      <w:marRight w:val="0"/>
      <w:marTop w:val="0"/>
      <w:marBottom w:val="0"/>
      <w:divBdr>
        <w:top w:val="none" w:sz="0" w:space="0" w:color="auto"/>
        <w:left w:val="none" w:sz="0" w:space="0" w:color="auto"/>
        <w:bottom w:val="none" w:sz="0" w:space="0" w:color="auto"/>
        <w:right w:val="none" w:sz="0" w:space="0" w:color="auto"/>
      </w:divBdr>
    </w:div>
    <w:div w:id="102068754">
      <w:bodyDiv w:val="1"/>
      <w:marLeft w:val="0"/>
      <w:marRight w:val="0"/>
      <w:marTop w:val="0"/>
      <w:marBottom w:val="0"/>
      <w:divBdr>
        <w:top w:val="none" w:sz="0" w:space="0" w:color="auto"/>
        <w:left w:val="none" w:sz="0" w:space="0" w:color="auto"/>
        <w:bottom w:val="none" w:sz="0" w:space="0" w:color="auto"/>
        <w:right w:val="none" w:sz="0" w:space="0" w:color="auto"/>
      </w:divBdr>
    </w:div>
    <w:div w:id="224731212">
      <w:bodyDiv w:val="1"/>
      <w:marLeft w:val="0"/>
      <w:marRight w:val="0"/>
      <w:marTop w:val="0"/>
      <w:marBottom w:val="0"/>
      <w:divBdr>
        <w:top w:val="none" w:sz="0" w:space="0" w:color="auto"/>
        <w:left w:val="none" w:sz="0" w:space="0" w:color="auto"/>
        <w:bottom w:val="none" w:sz="0" w:space="0" w:color="auto"/>
        <w:right w:val="none" w:sz="0" w:space="0" w:color="auto"/>
      </w:divBdr>
      <w:divsChild>
        <w:div w:id="791099228">
          <w:marLeft w:val="562"/>
          <w:marRight w:val="0"/>
          <w:marTop w:val="0"/>
          <w:marBottom w:val="0"/>
          <w:divBdr>
            <w:top w:val="none" w:sz="0" w:space="0" w:color="auto"/>
            <w:left w:val="none" w:sz="0" w:space="0" w:color="auto"/>
            <w:bottom w:val="none" w:sz="0" w:space="0" w:color="auto"/>
            <w:right w:val="none" w:sz="0" w:space="0" w:color="auto"/>
          </w:divBdr>
        </w:div>
        <w:div w:id="1126898492">
          <w:marLeft w:val="562"/>
          <w:marRight w:val="0"/>
          <w:marTop w:val="0"/>
          <w:marBottom w:val="0"/>
          <w:divBdr>
            <w:top w:val="none" w:sz="0" w:space="0" w:color="auto"/>
            <w:left w:val="none" w:sz="0" w:space="0" w:color="auto"/>
            <w:bottom w:val="none" w:sz="0" w:space="0" w:color="auto"/>
            <w:right w:val="none" w:sz="0" w:space="0" w:color="auto"/>
          </w:divBdr>
        </w:div>
        <w:div w:id="1718116599">
          <w:marLeft w:val="562"/>
          <w:marRight w:val="0"/>
          <w:marTop w:val="0"/>
          <w:marBottom w:val="0"/>
          <w:divBdr>
            <w:top w:val="none" w:sz="0" w:space="0" w:color="auto"/>
            <w:left w:val="none" w:sz="0" w:space="0" w:color="auto"/>
            <w:bottom w:val="none" w:sz="0" w:space="0" w:color="auto"/>
            <w:right w:val="none" w:sz="0" w:space="0" w:color="auto"/>
          </w:divBdr>
        </w:div>
      </w:divsChild>
    </w:div>
    <w:div w:id="302665719">
      <w:bodyDiv w:val="1"/>
      <w:marLeft w:val="0"/>
      <w:marRight w:val="0"/>
      <w:marTop w:val="0"/>
      <w:marBottom w:val="0"/>
      <w:divBdr>
        <w:top w:val="none" w:sz="0" w:space="0" w:color="auto"/>
        <w:left w:val="none" w:sz="0" w:space="0" w:color="auto"/>
        <w:bottom w:val="none" w:sz="0" w:space="0" w:color="auto"/>
        <w:right w:val="none" w:sz="0" w:space="0" w:color="auto"/>
      </w:divBdr>
    </w:div>
    <w:div w:id="317077505">
      <w:bodyDiv w:val="1"/>
      <w:marLeft w:val="0"/>
      <w:marRight w:val="0"/>
      <w:marTop w:val="0"/>
      <w:marBottom w:val="0"/>
      <w:divBdr>
        <w:top w:val="none" w:sz="0" w:space="0" w:color="auto"/>
        <w:left w:val="none" w:sz="0" w:space="0" w:color="auto"/>
        <w:bottom w:val="none" w:sz="0" w:space="0" w:color="auto"/>
        <w:right w:val="none" w:sz="0" w:space="0" w:color="auto"/>
      </w:divBdr>
    </w:div>
    <w:div w:id="380253897">
      <w:bodyDiv w:val="1"/>
      <w:marLeft w:val="0"/>
      <w:marRight w:val="0"/>
      <w:marTop w:val="0"/>
      <w:marBottom w:val="0"/>
      <w:divBdr>
        <w:top w:val="none" w:sz="0" w:space="0" w:color="auto"/>
        <w:left w:val="none" w:sz="0" w:space="0" w:color="auto"/>
        <w:bottom w:val="none" w:sz="0" w:space="0" w:color="auto"/>
        <w:right w:val="none" w:sz="0" w:space="0" w:color="auto"/>
      </w:divBdr>
    </w:div>
    <w:div w:id="381290258">
      <w:bodyDiv w:val="1"/>
      <w:marLeft w:val="0"/>
      <w:marRight w:val="0"/>
      <w:marTop w:val="0"/>
      <w:marBottom w:val="0"/>
      <w:divBdr>
        <w:top w:val="none" w:sz="0" w:space="0" w:color="auto"/>
        <w:left w:val="none" w:sz="0" w:space="0" w:color="auto"/>
        <w:bottom w:val="none" w:sz="0" w:space="0" w:color="auto"/>
        <w:right w:val="none" w:sz="0" w:space="0" w:color="auto"/>
      </w:divBdr>
    </w:div>
    <w:div w:id="440341959">
      <w:bodyDiv w:val="1"/>
      <w:marLeft w:val="0"/>
      <w:marRight w:val="0"/>
      <w:marTop w:val="0"/>
      <w:marBottom w:val="0"/>
      <w:divBdr>
        <w:top w:val="none" w:sz="0" w:space="0" w:color="auto"/>
        <w:left w:val="none" w:sz="0" w:space="0" w:color="auto"/>
        <w:bottom w:val="none" w:sz="0" w:space="0" w:color="auto"/>
        <w:right w:val="none" w:sz="0" w:space="0" w:color="auto"/>
      </w:divBdr>
    </w:div>
    <w:div w:id="448089634">
      <w:bodyDiv w:val="1"/>
      <w:marLeft w:val="0"/>
      <w:marRight w:val="0"/>
      <w:marTop w:val="0"/>
      <w:marBottom w:val="0"/>
      <w:divBdr>
        <w:top w:val="none" w:sz="0" w:space="0" w:color="auto"/>
        <w:left w:val="none" w:sz="0" w:space="0" w:color="auto"/>
        <w:bottom w:val="none" w:sz="0" w:space="0" w:color="auto"/>
        <w:right w:val="none" w:sz="0" w:space="0" w:color="auto"/>
      </w:divBdr>
    </w:div>
    <w:div w:id="458572359">
      <w:bodyDiv w:val="1"/>
      <w:marLeft w:val="0"/>
      <w:marRight w:val="0"/>
      <w:marTop w:val="0"/>
      <w:marBottom w:val="0"/>
      <w:divBdr>
        <w:top w:val="none" w:sz="0" w:space="0" w:color="auto"/>
        <w:left w:val="none" w:sz="0" w:space="0" w:color="auto"/>
        <w:bottom w:val="none" w:sz="0" w:space="0" w:color="auto"/>
        <w:right w:val="none" w:sz="0" w:space="0" w:color="auto"/>
      </w:divBdr>
    </w:div>
    <w:div w:id="474034149">
      <w:bodyDiv w:val="1"/>
      <w:marLeft w:val="0"/>
      <w:marRight w:val="0"/>
      <w:marTop w:val="0"/>
      <w:marBottom w:val="0"/>
      <w:divBdr>
        <w:top w:val="none" w:sz="0" w:space="0" w:color="auto"/>
        <w:left w:val="none" w:sz="0" w:space="0" w:color="auto"/>
        <w:bottom w:val="none" w:sz="0" w:space="0" w:color="auto"/>
        <w:right w:val="none" w:sz="0" w:space="0" w:color="auto"/>
      </w:divBdr>
    </w:div>
    <w:div w:id="481119587">
      <w:bodyDiv w:val="1"/>
      <w:marLeft w:val="0"/>
      <w:marRight w:val="0"/>
      <w:marTop w:val="0"/>
      <w:marBottom w:val="0"/>
      <w:divBdr>
        <w:top w:val="none" w:sz="0" w:space="0" w:color="auto"/>
        <w:left w:val="none" w:sz="0" w:space="0" w:color="auto"/>
        <w:bottom w:val="none" w:sz="0" w:space="0" w:color="auto"/>
        <w:right w:val="none" w:sz="0" w:space="0" w:color="auto"/>
      </w:divBdr>
    </w:div>
    <w:div w:id="537472027">
      <w:bodyDiv w:val="1"/>
      <w:marLeft w:val="0"/>
      <w:marRight w:val="0"/>
      <w:marTop w:val="0"/>
      <w:marBottom w:val="0"/>
      <w:divBdr>
        <w:top w:val="none" w:sz="0" w:space="0" w:color="auto"/>
        <w:left w:val="none" w:sz="0" w:space="0" w:color="auto"/>
        <w:bottom w:val="none" w:sz="0" w:space="0" w:color="auto"/>
        <w:right w:val="none" w:sz="0" w:space="0" w:color="auto"/>
      </w:divBdr>
      <w:divsChild>
        <w:div w:id="1166701297">
          <w:marLeft w:val="0"/>
          <w:marRight w:val="0"/>
          <w:marTop w:val="0"/>
          <w:marBottom w:val="0"/>
          <w:divBdr>
            <w:top w:val="none" w:sz="0" w:space="0" w:color="auto"/>
            <w:left w:val="none" w:sz="0" w:space="0" w:color="auto"/>
            <w:bottom w:val="none" w:sz="0" w:space="0" w:color="auto"/>
            <w:right w:val="none" w:sz="0" w:space="0" w:color="auto"/>
          </w:divBdr>
          <w:divsChild>
            <w:div w:id="319886466">
              <w:marLeft w:val="0"/>
              <w:marRight w:val="0"/>
              <w:marTop w:val="0"/>
              <w:marBottom w:val="0"/>
              <w:divBdr>
                <w:top w:val="single" w:sz="24" w:space="0" w:color="FB4C1C"/>
                <w:left w:val="none" w:sz="0" w:space="0" w:color="auto"/>
                <w:bottom w:val="none" w:sz="0" w:space="0" w:color="auto"/>
                <w:right w:val="none" w:sz="0" w:space="0" w:color="auto"/>
              </w:divBdr>
              <w:divsChild>
                <w:div w:id="1064136762">
                  <w:marLeft w:val="0"/>
                  <w:marRight w:val="0"/>
                  <w:marTop w:val="100"/>
                  <w:marBottom w:val="100"/>
                  <w:divBdr>
                    <w:top w:val="none" w:sz="0" w:space="0" w:color="auto"/>
                    <w:left w:val="none" w:sz="0" w:space="0" w:color="auto"/>
                    <w:bottom w:val="none" w:sz="0" w:space="0" w:color="auto"/>
                    <w:right w:val="none" w:sz="0" w:space="0" w:color="auto"/>
                  </w:divBdr>
                  <w:divsChild>
                    <w:div w:id="1058013946">
                      <w:marLeft w:val="0"/>
                      <w:marRight w:val="0"/>
                      <w:marTop w:val="0"/>
                      <w:marBottom w:val="0"/>
                      <w:divBdr>
                        <w:top w:val="none" w:sz="0" w:space="0" w:color="auto"/>
                        <w:left w:val="none" w:sz="0" w:space="0" w:color="auto"/>
                        <w:bottom w:val="none" w:sz="0" w:space="0" w:color="auto"/>
                        <w:right w:val="none" w:sz="0" w:space="0" w:color="auto"/>
                      </w:divBdr>
                      <w:divsChild>
                        <w:div w:id="734008506">
                          <w:marLeft w:val="0"/>
                          <w:marRight w:val="0"/>
                          <w:marTop w:val="0"/>
                          <w:marBottom w:val="0"/>
                          <w:divBdr>
                            <w:top w:val="none" w:sz="0" w:space="0" w:color="auto"/>
                            <w:left w:val="none" w:sz="0" w:space="0" w:color="auto"/>
                            <w:bottom w:val="none" w:sz="0" w:space="0" w:color="auto"/>
                            <w:right w:val="none" w:sz="0" w:space="0" w:color="auto"/>
                          </w:divBdr>
                          <w:divsChild>
                            <w:div w:id="1487088080">
                              <w:marLeft w:val="0"/>
                              <w:marRight w:val="0"/>
                              <w:marTop w:val="0"/>
                              <w:marBottom w:val="0"/>
                              <w:divBdr>
                                <w:top w:val="none" w:sz="0" w:space="0" w:color="auto"/>
                                <w:left w:val="none" w:sz="0" w:space="0" w:color="auto"/>
                                <w:bottom w:val="none" w:sz="0" w:space="0" w:color="auto"/>
                                <w:right w:val="none" w:sz="0" w:space="0" w:color="auto"/>
                              </w:divBdr>
                              <w:divsChild>
                                <w:div w:id="1872643750">
                                  <w:marLeft w:val="0"/>
                                  <w:marRight w:val="0"/>
                                  <w:marTop w:val="0"/>
                                  <w:marBottom w:val="0"/>
                                  <w:divBdr>
                                    <w:top w:val="none" w:sz="0" w:space="0" w:color="auto"/>
                                    <w:left w:val="none" w:sz="0" w:space="0" w:color="auto"/>
                                    <w:bottom w:val="none" w:sz="0" w:space="0" w:color="auto"/>
                                    <w:right w:val="none" w:sz="0" w:space="0" w:color="auto"/>
                                  </w:divBdr>
                                  <w:divsChild>
                                    <w:div w:id="1102651247">
                                      <w:marLeft w:val="0"/>
                                      <w:marRight w:val="0"/>
                                      <w:marTop w:val="0"/>
                                      <w:marBottom w:val="0"/>
                                      <w:divBdr>
                                        <w:top w:val="none" w:sz="0" w:space="0" w:color="auto"/>
                                        <w:left w:val="none" w:sz="0" w:space="0" w:color="auto"/>
                                        <w:bottom w:val="none" w:sz="0" w:space="0" w:color="auto"/>
                                        <w:right w:val="none" w:sz="0" w:space="0" w:color="auto"/>
                                      </w:divBdr>
                                      <w:divsChild>
                                        <w:div w:id="1233126812">
                                          <w:marLeft w:val="0"/>
                                          <w:marRight w:val="0"/>
                                          <w:marTop w:val="0"/>
                                          <w:marBottom w:val="0"/>
                                          <w:divBdr>
                                            <w:top w:val="none" w:sz="0" w:space="0" w:color="auto"/>
                                            <w:left w:val="none" w:sz="0" w:space="0" w:color="auto"/>
                                            <w:bottom w:val="none" w:sz="0" w:space="0" w:color="auto"/>
                                            <w:right w:val="none" w:sz="0" w:space="0" w:color="auto"/>
                                          </w:divBdr>
                                          <w:divsChild>
                                            <w:div w:id="1857187229">
                                              <w:marLeft w:val="0"/>
                                              <w:marRight w:val="0"/>
                                              <w:marTop w:val="0"/>
                                              <w:marBottom w:val="0"/>
                                              <w:divBdr>
                                                <w:top w:val="none" w:sz="0" w:space="0" w:color="auto"/>
                                                <w:left w:val="none" w:sz="0" w:space="0" w:color="auto"/>
                                                <w:bottom w:val="none" w:sz="0" w:space="0" w:color="auto"/>
                                                <w:right w:val="none" w:sz="0" w:space="0" w:color="auto"/>
                                              </w:divBdr>
                                              <w:divsChild>
                                                <w:div w:id="18839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779522">
      <w:bodyDiv w:val="1"/>
      <w:marLeft w:val="0"/>
      <w:marRight w:val="0"/>
      <w:marTop w:val="0"/>
      <w:marBottom w:val="0"/>
      <w:divBdr>
        <w:top w:val="none" w:sz="0" w:space="0" w:color="auto"/>
        <w:left w:val="none" w:sz="0" w:space="0" w:color="auto"/>
        <w:bottom w:val="none" w:sz="0" w:space="0" w:color="auto"/>
        <w:right w:val="none" w:sz="0" w:space="0" w:color="auto"/>
      </w:divBdr>
    </w:div>
    <w:div w:id="678116731">
      <w:bodyDiv w:val="1"/>
      <w:marLeft w:val="0"/>
      <w:marRight w:val="0"/>
      <w:marTop w:val="0"/>
      <w:marBottom w:val="0"/>
      <w:divBdr>
        <w:top w:val="none" w:sz="0" w:space="0" w:color="auto"/>
        <w:left w:val="none" w:sz="0" w:space="0" w:color="auto"/>
        <w:bottom w:val="none" w:sz="0" w:space="0" w:color="auto"/>
        <w:right w:val="none" w:sz="0" w:space="0" w:color="auto"/>
      </w:divBdr>
    </w:div>
    <w:div w:id="694162026">
      <w:bodyDiv w:val="1"/>
      <w:marLeft w:val="0"/>
      <w:marRight w:val="0"/>
      <w:marTop w:val="0"/>
      <w:marBottom w:val="0"/>
      <w:divBdr>
        <w:top w:val="none" w:sz="0" w:space="0" w:color="auto"/>
        <w:left w:val="none" w:sz="0" w:space="0" w:color="auto"/>
        <w:bottom w:val="none" w:sz="0" w:space="0" w:color="auto"/>
        <w:right w:val="none" w:sz="0" w:space="0" w:color="auto"/>
      </w:divBdr>
    </w:div>
    <w:div w:id="711076320">
      <w:bodyDiv w:val="1"/>
      <w:marLeft w:val="0"/>
      <w:marRight w:val="0"/>
      <w:marTop w:val="0"/>
      <w:marBottom w:val="0"/>
      <w:divBdr>
        <w:top w:val="none" w:sz="0" w:space="0" w:color="auto"/>
        <w:left w:val="none" w:sz="0" w:space="0" w:color="auto"/>
        <w:bottom w:val="none" w:sz="0" w:space="0" w:color="auto"/>
        <w:right w:val="none" w:sz="0" w:space="0" w:color="auto"/>
      </w:divBdr>
    </w:div>
    <w:div w:id="807432774">
      <w:bodyDiv w:val="1"/>
      <w:marLeft w:val="0"/>
      <w:marRight w:val="0"/>
      <w:marTop w:val="0"/>
      <w:marBottom w:val="0"/>
      <w:divBdr>
        <w:top w:val="none" w:sz="0" w:space="0" w:color="auto"/>
        <w:left w:val="none" w:sz="0" w:space="0" w:color="auto"/>
        <w:bottom w:val="none" w:sz="0" w:space="0" w:color="auto"/>
        <w:right w:val="none" w:sz="0" w:space="0" w:color="auto"/>
      </w:divBdr>
    </w:div>
    <w:div w:id="870071512">
      <w:bodyDiv w:val="1"/>
      <w:marLeft w:val="0"/>
      <w:marRight w:val="0"/>
      <w:marTop w:val="0"/>
      <w:marBottom w:val="0"/>
      <w:divBdr>
        <w:top w:val="none" w:sz="0" w:space="0" w:color="auto"/>
        <w:left w:val="none" w:sz="0" w:space="0" w:color="auto"/>
        <w:bottom w:val="none" w:sz="0" w:space="0" w:color="auto"/>
        <w:right w:val="none" w:sz="0" w:space="0" w:color="auto"/>
      </w:divBdr>
    </w:div>
    <w:div w:id="911886592">
      <w:bodyDiv w:val="1"/>
      <w:marLeft w:val="0"/>
      <w:marRight w:val="0"/>
      <w:marTop w:val="0"/>
      <w:marBottom w:val="0"/>
      <w:divBdr>
        <w:top w:val="none" w:sz="0" w:space="0" w:color="auto"/>
        <w:left w:val="none" w:sz="0" w:space="0" w:color="auto"/>
        <w:bottom w:val="none" w:sz="0" w:space="0" w:color="auto"/>
        <w:right w:val="none" w:sz="0" w:space="0" w:color="auto"/>
      </w:divBdr>
    </w:div>
    <w:div w:id="912349316">
      <w:bodyDiv w:val="1"/>
      <w:marLeft w:val="0"/>
      <w:marRight w:val="0"/>
      <w:marTop w:val="0"/>
      <w:marBottom w:val="0"/>
      <w:divBdr>
        <w:top w:val="none" w:sz="0" w:space="0" w:color="auto"/>
        <w:left w:val="none" w:sz="0" w:space="0" w:color="auto"/>
        <w:bottom w:val="none" w:sz="0" w:space="0" w:color="auto"/>
        <w:right w:val="none" w:sz="0" w:space="0" w:color="auto"/>
      </w:divBdr>
    </w:div>
    <w:div w:id="993724772">
      <w:bodyDiv w:val="1"/>
      <w:marLeft w:val="0"/>
      <w:marRight w:val="0"/>
      <w:marTop w:val="0"/>
      <w:marBottom w:val="0"/>
      <w:divBdr>
        <w:top w:val="none" w:sz="0" w:space="0" w:color="auto"/>
        <w:left w:val="none" w:sz="0" w:space="0" w:color="auto"/>
        <w:bottom w:val="none" w:sz="0" w:space="0" w:color="auto"/>
        <w:right w:val="none" w:sz="0" w:space="0" w:color="auto"/>
      </w:divBdr>
    </w:div>
    <w:div w:id="993799184">
      <w:bodyDiv w:val="1"/>
      <w:marLeft w:val="0"/>
      <w:marRight w:val="0"/>
      <w:marTop w:val="0"/>
      <w:marBottom w:val="0"/>
      <w:divBdr>
        <w:top w:val="none" w:sz="0" w:space="0" w:color="auto"/>
        <w:left w:val="none" w:sz="0" w:space="0" w:color="auto"/>
        <w:bottom w:val="none" w:sz="0" w:space="0" w:color="auto"/>
        <w:right w:val="none" w:sz="0" w:space="0" w:color="auto"/>
      </w:divBdr>
    </w:div>
    <w:div w:id="1016347003">
      <w:bodyDiv w:val="1"/>
      <w:marLeft w:val="0"/>
      <w:marRight w:val="0"/>
      <w:marTop w:val="0"/>
      <w:marBottom w:val="0"/>
      <w:divBdr>
        <w:top w:val="none" w:sz="0" w:space="0" w:color="auto"/>
        <w:left w:val="none" w:sz="0" w:space="0" w:color="auto"/>
        <w:bottom w:val="none" w:sz="0" w:space="0" w:color="auto"/>
        <w:right w:val="none" w:sz="0" w:space="0" w:color="auto"/>
      </w:divBdr>
    </w:div>
    <w:div w:id="1033732043">
      <w:bodyDiv w:val="1"/>
      <w:marLeft w:val="0"/>
      <w:marRight w:val="0"/>
      <w:marTop w:val="0"/>
      <w:marBottom w:val="0"/>
      <w:divBdr>
        <w:top w:val="none" w:sz="0" w:space="0" w:color="auto"/>
        <w:left w:val="none" w:sz="0" w:space="0" w:color="auto"/>
        <w:bottom w:val="none" w:sz="0" w:space="0" w:color="auto"/>
        <w:right w:val="none" w:sz="0" w:space="0" w:color="auto"/>
      </w:divBdr>
    </w:div>
    <w:div w:id="1037467082">
      <w:bodyDiv w:val="1"/>
      <w:marLeft w:val="0"/>
      <w:marRight w:val="0"/>
      <w:marTop w:val="0"/>
      <w:marBottom w:val="0"/>
      <w:divBdr>
        <w:top w:val="none" w:sz="0" w:space="0" w:color="auto"/>
        <w:left w:val="none" w:sz="0" w:space="0" w:color="auto"/>
        <w:bottom w:val="none" w:sz="0" w:space="0" w:color="auto"/>
        <w:right w:val="none" w:sz="0" w:space="0" w:color="auto"/>
      </w:divBdr>
    </w:div>
    <w:div w:id="1072898059">
      <w:bodyDiv w:val="1"/>
      <w:marLeft w:val="0"/>
      <w:marRight w:val="0"/>
      <w:marTop w:val="0"/>
      <w:marBottom w:val="0"/>
      <w:divBdr>
        <w:top w:val="none" w:sz="0" w:space="0" w:color="auto"/>
        <w:left w:val="none" w:sz="0" w:space="0" w:color="auto"/>
        <w:bottom w:val="none" w:sz="0" w:space="0" w:color="auto"/>
        <w:right w:val="none" w:sz="0" w:space="0" w:color="auto"/>
      </w:divBdr>
    </w:div>
    <w:div w:id="1092168563">
      <w:bodyDiv w:val="1"/>
      <w:marLeft w:val="0"/>
      <w:marRight w:val="0"/>
      <w:marTop w:val="0"/>
      <w:marBottom w:val="0"/>
      <w:divBdr>
        <w:top w:val="none" w:sz="0" w:space="0" w:color="auto"/>
        <w:left w:val="none" w:sz="0" w:space="0" w:color="auto"/>
        <w:bottom w:val="none" w:sz="0" w:space="0" w:color="auto"/>
        <w:right w:val="none" w:sz="0" w:space="0" w:color="auto"/>
      </w:divBdr>
    </w:div>
    <w:div w:id="1109423471">
      <w:bodyDiv w:val="1"/>
      <w:marLeft w:val="0"/>
      <w:marRight w:val="0"/>
      <w:marTop w:val="0"/>
      <w:marBottom w:val="0"/>
      <w:divBdr>
        <w:top w:val="none" w:sz="0" w:space="0" w:color="auto"/>
        <w:left w:val="none" w:sz="0" w:space="0" w:color="auto"/>
        <w:bottom w:val="none" w:sz="0" w:space="0" w:color="auto"/>
        <w:right w:val="none" w:sz="0" w:space="0" w:color="auto"/>
      </w:divBdr>
    </w:div>
    <w:div w:id="1126579288">
      <w:bodyDiv w:val="1"/>
      <w:marLeft w:val="0"/>
      <w:marRight w:val="0"/>
      <w:marTop w:val="0"/>
      <w:marBottom w:val="0"/>
      <w:divBdr>
        <w:top w:val="none" w:sz="0" w:space="0" w:color="auto"/>
        <w:left w:val="none" w:sz="0" w:space="0" w:color="auto"/>
        <w:bottom w:val="none" w:sz="0" w:space="0" w:color="auto"/>
        <w:right w:val="none" w:sz="0" w:space="0" w:color="auto"/>
      </w:divBdr>
    </w:div>
    <w:div w:id="1141583653">
      <w:bodyDiv w:val="1"/>
      <w:marLeft w:val="0"/>
      <w:marRight w:val="0"/>
      <w:marTop w:val="0"/>
      <w:marBottom w:val="0"/>
      <w:divBdr>
        <w:top w:val="none" w:sz="0" w:space="0" w:color="auto"/>
        <w:left w:val="none" w:sz="0" w:space="0" w:color="auto"/>
        <w:bottom w:val="none" w:sz="0" w:space="0" w:color="auto"/>
        <w:right w:val="none" w:sz="0" w:space="0" w:color="auto"/>
      </w:divBdr>
    </w:div>
    <w:div w:id="1183981921">
      <w:bodyDiv w:val="1"/>
      <w:marLeft w:val="0"/>
      <w:marRight w:val="0"/>
      <w:marTop w:val="0"/>
      <w:marBottom w:val="0"/>
      <w:divBdr>
        <w:top w:val="none" w:sz="0" w:space="0" w:color="auto"/>
        <w:left w:val="none" w:sz="0" w:space="0" w:color="auto"/>
        <w:bottom w:val="none" w:sz="0" w:space="0" w:color="auto"/>
        <w:right w:val="none" w:sz="0" w:space="0" w:color="auto"/>
      </w:divBdr>
    </w:div>
    <w:div w:id="1215048107">
      <w:bodyDiv w:val="1"/>
      <w:marLeft w:val="0"/>
      <w:marRight w:val="0"/>
      <w:marTop w:val="0"/>
      <w:marBottom w:val="0"/>
      <w:divBdr>
        <w:top w:val="none" w:sz="0" w:space="0" w:color="auto"/>
        <w:left w:val="none" w:sz="0" w:space="0" w:color="auto"/>
        <w:bottom w:val="none" w:sz="0" w:space="0" w:color="auto"/>
        <w:right w:val="none" w:sz="0" w:space="0" w:color="auto"/>
      </w:divBdr>
    </w:div>
    <w:div w:id="1237477259">
      <w:bodyDiv w:val="1"/>
      <w:marLeft w:val="0"/>
      <w:marRight w:val="0"/>
      <w:marTop w:val="0"/>
      <w:marBottom w:val="0"/>
      <w:divBdr>
        <w:top w:val="none" w:sz="0" w:space="0" w:color="auto"/>
        <w:left w:val="none" w:sz="0" w:space="0" w:color="auto"/>
        <w:bottom w:val="none" w:sz="0" w:space="0" w:color="auto"/>
        <w:right w:val="none" w:sz="0" w:space="0" w:color="auto"/>
      </w:divBdr>
    </w:div>
    <w:div w:id="1257471863">
      <w:bodyDiv w:val="1"/>
      <w:marLeft w:val="0"/>
      <w:marRight w:val="0"/>
      <w:marTop w:val="0"/>
      <w:marBottom w:val="0"/>
      <w:divBdr>
        <w:top w:val="none" w:sz="0" w:space="0" w:color="auto"/>
        <w:left w:val="none" w:sz="0" w:space="0" w:color="auto"/>
        <w:bottom w:val="none" w:sz="0" w:space="0" w:color="auto"/>
        <w:right w:val="none" w:sz="0" w:space="0" w:color="auto"/>
      </w:divBdr>
    </w:div>
    <w:div w:id="1377464446">
      <w:bodyDiv w:val="1"/>
      <w:marLeft w:val="0"/>
      <w:marRight w:val="0"/>
      <w:marTop w:val="0"/>
      <w:marBottom w:val="0"/>
      <w:divBdr>
        <w:top w:val="none" w:sz="0" w:space="0" w:color="auto"/>
        <w:left w:val="none" w:sz="0" w:space="0" w:color="auto"/>
        <w:bottom w:val="none" w:sz="0" w:space="0" w:color="auto"/>
        <w:right w:val="none" w:sz="0" w:space="0" w:color="auto"/>
      </w:divBdr>
      <w:divsChild>
        <w:div w:id="427625279">
          <w:marLeft w:val="1411"/>
          <w:marRight w:val="0"/>
          <w:marTop w:val="0"/>
          <w:marBottom w:val="0"/>
          <w:divBdr>
            <w:top w:val="none" w:sz="0" w:space="0" w:color="auto"/>
            <w:left w:val="none" w:sz="0" w:space="0" w:color="auto"/>
            <w:bottom w:val="none" w:sz="0" w:space="0" w:color="auto"/>
            <w:right w:val="none" w:sz="0" w:space="0" w:color="auto"/>
          </w:divBdr>
        </w:div>
        <w:div w:id="568031031">
          <w:marLeft w:val="1411"/>
          <w:marRight w:val="0"/>
          <w:marTop w:val="0"/>
          <w:marBottom w:val="0"/>
          <w:divBdr>
            <w:top w:val="none" w:sz="0" w:space="0" w:color="auto"/>
            <w:left w:val="none" w:sz="0" w:space="0" w:color="auto"/>
            <w:bottom w:val="none" w:sz="0" w:space="0" w:color="auto"/>
            <w:right w:val="none" w:sz="0" w:space="0" w:color="auto"/>
          </w:divBdr>
        </w:div>
        <w:div w:id="1324119449">
          <w:marLeft w:val="1411"/>
          <w:marRight w:val="0"/>
          <w:marTop w:val="0"/>
          <w:marBottom w:val="0"/>
          <w:divBdr>
            <w:top w:val="none" w:sz="0" w:space="0" w:color="auto"/>
            <w:left w:val="none" w:sz="0" w:space="0" w:color="auto"/>
            <w:bottom w:val="none" w:sz="0" w:space="0" w:color="auto"/>
            <w:right w:val="none" w:sz="0" w:space="0" w:color="auto"/>
          </w:divBdr>
        </w:div>
        <w:div w:id="1373193343">
          <w:marLeft w:val="562"/>
          <w:marRight w:val="0"/>
          <w:marTop w:val="0"/>
          <w:marBottom w:val="0"/>
          <w:divBdr>
            <w:top w:val="none" w:sz="0" w:space="0" w:color="auto"/>
            <w:left w:val="none" w:sz="0" w:space="0" w:color="auto"/>
            <w:bottom w:val="none" w:sz="0" w:space="0" w:color="auto"/>
            <w:right w:val="none" w:sz="0" w:space="0" w:color="auto"/>
          </w:divBdr>
        </w:div>
        <w:div w:id="1684472485">
          <w:marLeft w:val="1411"/>
          <w:marRight w:val="0"/>
          <w:marTop w:val="0"/>
          <w:marBottom w:val="0"/>
          <w:divBdr>
            <w:top w:val="none" w:sz="0" w:space="0" w:color="auto"/>
            <w:left w:val="none" w:sz="0" w:space="0" w:color="auto"/>
            <w:bottom w:val="none" w:sz="0" w:space="0" w:color="auto"/>
            <w:right w:val="none" w:sz="0" w:space="0" w:color="auto"/>
          </w:divBdr>
        </w:div>
        <w:div w:id="1732801658">
          <w:marLeft w:val="1411"/>
          <w:marRight w:val="0"/>
          <w:marTop w:val="0"/>
          <w:marBottom w:val="0"/>
          <w:divBdr>
            <w:top w:val="none" w:sz="0" w:space="0" w:color="auto"/>
            <w:left w:val="none" w:sz="0" w:space="0" w:color="auto"/>
            <w:bottom w:val="none" w:sz="0" w:space="0" w:color="auto"/>
            <w:right w:val="none" w:sz="0" w:space="0" w:color="auto"/>
          </w:divBdr>
        </w:div>
        <w:div w:id="1783454252">
          <w:marLeft w:val="1411"/>
          <w:marRight w:val="0"/>
          <w:marTop w:val="0"/>
          <w:marBottom w:val="0"/>
          <w:divBdr>
            <w:top w:val="none" w:sz="0" w:space="0" w:color="auto"/>
            <w:left w:val="none" w:sz="0" w:space="0" w:color="auto"/>
            <w:bottom w:val="none" w:sz="0" w:space="0" w:color="auto"/>
            <w:right w:val="none" w:sz="0" w:space="0" w:color="auto"/>
          </w:divBdr>
        </w:div>
        <w:div w:id="2022313867">
          <w:marLeft w:val="562"/>
          <w:marRight w:val="0"/>
          <w:marTop w:val="0"/>
          <w:marBottom w:val="0"/>
          <w:divBdr>
            <w:top w:val="none" w:sz="0" w:space="0" w:color="auto"/>
            <w:left w:val="none" w:sz="0" w:space="0" w:color="auto"/>
            <w:bottom w:val="none" w:sz="0" w:space="0" w:color="auto"/>
            <w:right w:val="none" w:sz="0" w:space="0" w:color="auto"/>
          </w:divBdr>
        </w:div>
      </w:divsChild>
    </w:div>
    <w:div w:id="1392388646">
      <w:bodyDiv w:val="1"/>
      <w:marLeft w:val="0"/>
      <w:marRight w:val="0"/>
      <w:marTop w:val="0"/>
      <w:marBottom w:val="0"/>
      <w:divBdr>
        <w:top w:val="none" w:sz="0" w:space="0" w:color="auto"/>
        <w:left w:val="none" w:sz="0" w:space="0" w:color="auto"/>
        <w:bottom w:val="none" w:sz="0" w:space="0" w:color="auto"/>
        <w:right w:val="none" w:sz="0" w:space="0" w:color="auto"/>
      </w:divBdr>
    </w:div>
    <w:div w:id="1394700840">
      <w:bodyDiv w:val="1"/>
      <w:marLeft w:val="0"/>
      <w:marRight w:val="0"/>
      <w:marTop w:val="0"/>
      <w:marBottom w:val="0"/>
      <w:divBdr>
        <w:top w:val="none" w:sz="0" w:space="0" w:color="auto"/>
        <w:left w:val="none" w:sz="0" w:space="0" w:color="auto"/>
        <w:bottom w:val="none" w:sz="0" w:space="0" w:color="auto"/>
        <w:right w:val="none" w:sz="0" w:space="0" w:color="auto"/>
      </w:divBdr>
    </w:div>
    <w:div w:id="1498692600">
      <w:bodyDiv w:val="1"/>
      <w:marLeft w:val="0"/>
      <w:marRight w:val="0"/>
      <w:marTop w:val="0"/>
      <w:marBottom w:val="0"/>
      <w:divBdr>
        <w:top w:val="none" w:sz="0" w:space="0" w:color="auto"/>
        <w:left w:val="none" w:sz="0" w:space="0" w:color="auto"/>
        <w:bottom w:val="none" w:sz="0" w:space="0" w:color="auto"/>
        <w:right w:val="none" w:sz="0" w:space="0" w:color="auto"/>
      </w:divBdr>
    </w:div>
    <w:div w:id="1551457365">
      <w:bodyDiv w:val="1"/>
      <w:marLeft w:val="0"/>
      <w:marRight w:val="0"/>
      <w:marTop w:val="0"/>
      <w:marBottom w:val="0"/>
      <w:divBdr>
        <w:top w:val="none" w:sz="0" w:space="0" w:color="auto"/>
        <w:left w:val="none" w:sz="0" w:space="0" w:color="auto"/>
        <w:bottom w:val="none" w:sz="0" w:space="0" w:color="auto"/>
        <w:right w:val="none" w:sz="0" w:space="0" w:color="auto"/>
      </w:divBdr>
    </w:div>
    <w:div w:id="1562866229">
      <w:bodyDiv w:val="1"/>
      <w:marLeft w:val="0"/>
      <w:marRight w:val="0"/>
      <w:marTop w:val="0"/>
      <w:marBottom w:val="0"/>
      <w:divBdr>
        <w:top w:val="none" w:sz="0" w:space="0" w:color="auto"/>
        <w:left w:val="none" w:sz="0" w:space="0" w:color="auto"/>
        <w:bottom w:val="none" w:sz="0" w:space="0" w:color="auto"/>
        <w:right w:val="none" w:sz="0" w:space="0" w:color="auto"/>
      </w:divBdr>
      <w:divsChild>
        <w:div w:id="842008112">
          <w:marLeft w:val="432"/>
          <w:marRight w:val="0"/>
          <w:marTop w:val="0"/>
          <w:marBottom w:val="0"/>
          <w:divBdr>
            <w:top w:val="none" w:sz="0" w:space="0" w:color="auto"/>
            <w:left w:val="none" w:sz="0" w:space="0" w:color="auto"/>
            <w:bottom w:val="none" w:sz="0" w:space="0" w:color="auto"/>
            <w:right w:val="none" w:sz="0" w:space="0" w:color="auto"/>
          </w:divBdr>
        </w:div>
        <w:div w:id="960261310">
          <w:marLeft w:val="432"/>
          <w:marRight w:val="0"/>
          <w:marTop w:val="0"/>
          <w:marBottom w:val="0"/>
          <w:divBdr>
            <w:top w:val="none" w:sz="0" w:space="0" w:color="auto"/>
            <w:left w:val="none" w:sz="0" w:space="0" w:color="auto"/>
            <w:bottom w:val="none" w:sz="0" w:space="0" w:color="auto"/>
            <w:right w:val="none" w:sz="0" w:space="0" w:color="auto"/>
          </w:divBdr>
        </w:div>
        <w:div w:id="1004744843">
          <w:marLeft w:val="432"/>
          <w:marRight w:val="0"/>
          <w:marTop w:val="0"/>
          <w:marBottom w:val="0"/>
          <w:divBdr>
            <w:top w:val="none" w:sz="0" w:space="0" w:color="auto"/>
            <w:left w:val="none" w:sz="0" w:space="0" w:color="auto"/>
            <w:bottom w:val="none" w:sz="0" w:space="0" w:color="auto"/>
            <w:right w:val="none" w:sz="0" w:space="0" w:color="auto"/>
          </w:divBdr>
        </w:div>
        <w:div w:id="1449617494">
          <w:marLeft w:val="432"/>
          <w:marRight w:val="0"/>
          <w:marTop w:val="0"/>
          <w:marBottom w:val="0"/>
          <w:divBdr>
            <w:top w:val="none" w:sz="0" w:space="0" w:color="auto"/>
            <w:left w:val="none" w:sz="0" w:space="0" w:color="auto"/>
            <w:bottom w:val="none" w:sz="0" w:space="0" w:color="auto"/>
            <w:right w:val="none" w:sz="0" w:space="0" w:color="auto"/>
          </w:divBdr>
        </w:div>
        <w:div w:id="1642155400">
          <w:marLeft w:val="432"/>
          <w:marRight w:val="0"/>
          <w:marTop w:val="0"/>
          <w:marBottom w:val="0"/>
          <w:divBdr>
            <w:top w:val="none" w:sz="0" w:space="0" w:color="auto"/>
            <w:left w:val="none" w:sz="0" w:space="0" w:color="auto"/>
            <w:bottom w:val="none" w:sz="0" w:space="0" w:color="auto"/>
            <w:right w:val="none" w:sz="0" w:space="0" w:color="auto"/>
          </w:divBdr>
        </w:div>
      </w:divsChild>
    </w:div>
    <w:div w:id="1582059570">
      <w:bodyDiv w:val="1"/>
      <w:marLeft w:val="0"/>
      <w:marRight w:val="0"/>
      <w:marTop w:val="0"/>
      <w:marBottom w:val="0"/>
      <w:divBdr>
        <w:top w:val="none" w:sz="0" w:space="0" w:color="auto"/>
        <w:left w:val="none" w:sz="0" w:space="0" w:color="auto"/>
        <w:bottom w:val="none" w:sz="0" w:space="0" w:color="auto"/>
        <w:right w:val="none" w:sz="0" w:space="0" w:color="auto"/>
      </w:divBdr>
    </w:div>
    <w:div w:id="1585410920">
      <w:bodyDiv w:val="1"/>
      <w:marLeft w:val="0"/>
      <w:marRight w:val="0"/>
      <w:marTop w:val="0"/>
      <w:marBottom w:val="0"/>
      <w:divBdr>
        <w:top w:val="none" w:sz="0" w:space="0" w:color="auto"/>
        <w:left w:val="none" w:sz="0" w:space="0" w:color="auto"/>
        <w:bottom w:val="none" w:sz="0" w:space="0" w:color="auto"/>
        <w:right w:val="none" w:sz="0" w:space="0" w:color="auto"/>
      </w:divBdr>
    </w:div>
    <w:div w:id="1592086396">
      <w:bodyDiv w:val="1"/>
      <w:marLeft w:val="0"/>
      <w:marRight w:val="0"/>
      <w:marTop w:val="0"/>
      <w:marBottom w:val="0"/>
      <w:divBdr>
        <w:top w:val="none" w:sz="0" w:space="0" w:color="auto"/>
        <w:left w:val="none" w:sz="0" w:space="0" w:color="auto"/>
        <w:bottom w:val="none" w:sz="0" w:space="0" w:color="auto"/>
        <w:right w:val="none" w:sz="0" w:space="0" w:color="auto"/>
      </w:divBdr>
    </w:div>
    <w:div w:id="1625191141">
      <w:bodyDiv w:val="1"/>
      <w:marLeft w:val="0"/>
      <w:marRight w:val="0"/>
      <w:marTop w:val="0"/>
      <w:marBottom w:val="0"/>
      <w:divBdr>
        <w:top w:val="none" w:sz="0" w:space="0" w:color="auto"/>
        <w:left w:val="none" w:sz="0" w:space="0" w:color="auto"/>
        <w:bottom w:val="none" w:sz="0" w:space="0" w:color="auto"/>
        <w:right w:val="none" w:sz="0" w:space="0" w:color="auto"/>
      </w:divBdr>
    </w:div>
    <w:div w:id="1629509705">
      <w:bodyDiv w:val="1"/>
      <w:marLeft w:val="0"/>
      <w:marRight w:val="0"/>
      <w:marTop w:val="0"/>
      <w:marBottom w:val="0"/>
      <w:divBdr>
        <w:top w:val="none" w:sz="0" w:space="0" w:color="auto"/>
        <w:left w:val="none" w:sz="0" w:space="0" w:color="auto"/>
        <w:bottom w:val="none" w:sz="0" w:space="0" w:color="auto"/>
        <w:right w:val="none" w:sz="0" w:space="0" w:color="auto"/>
      </w:divBdr>
    </w:div>
    <w:div w:id="1723291854">
      <w:bodyDiv w:val="1"/>
      <w:marLeft w:val="0"/>
      <w:marRight w:val="0"/>
      <w:marTop w:val="0"/>
      <w:marBottom w:val="0"/>
      <w:divBdr>
        <w:top w:val="none" w:sz="0" w:space="0" w:color="auto"/>
        <w:left w:val="none" w:sz="0" w:space="0" w:color="auto"/>
        <w:bottom w:val="none" w:sz="0" w:space="0" w:color="auto"/>
        <w:right w:val="none" w:sz="0" w:space="0" w:color="auto"/>
      </w:divBdr>
    </w:div>
    <w:div w:id="1750349545">
      <w:bodyDiv w:val="1"/>
      <w:marLeft w:val="0"/>
      <w:marRight w:val="0"/>
      <w:marTop w:val="0"/>
      <w:marBottom w:val="0"/>
      <w:divBdr>
        <w:top w:val="none" w:sz="0" w:space="0" w:color="auto"/>
        <w:left w:val="none" w:sz="0" w:space="0" w:color="auto"/>
        <w:bottom w:val="none" w:sz="0" w:space="0" w:color="auto"/>
        <w:right w:val="none" w:sz="0" w:space="0" w:color="auto"/>
      </w:divBdr>
    </w:div>
    <w:div w:id="1845120844">
      <w:bodyDiv w:val="1"/>
      <w:marLeft w:val="0"/>
      <w:marRight w:val="0"/>
      <w:marTop w:val="0"/>
      <w:marBottom w:val="0"/>
      <w:divBdr>
        <w:top w:val="none" w:sz="0" w:space="0" w:color="auto"/>
        <w:left w:val="none" w:sz="0" w:space="0" w:color="auto"/>
        <w:bottom w:val="none" w:sz="0" w:space="0" w:color="auto"/>
        <w:right w:val="none" w:sz="0" w:space="0" w:color="auto"/>
      </w:divBdr>
    </w:div>
    <w:div w:id="1853376834">
      <w:bodyDiv w:val="1"/>
      <w:marLeft w:val="0"/>
      <w:marRight w:val="0"/>
      <w:marTop w:val="0"/>
      <w:marBottom w:val="0"/>
      <w:divBdr>
        <w:top w:val="none" w:sz="0" w:space="0" w:color="auto"/>
        <w:left w:val="none" w:sz="0" w:space="0" w:color="auto"/>
        <w:bottom w:val="none" w:sz="0" w:space="0" w:color="auto"/>
        <w:right w:val="none" w:sz="0" w:space="0" w:color="auto"/>
      </w:divBdr>
    </w:div>
    <w:div w:id="1926306342">
      <w:bodyDiv w:val="1"/>
      <w:marLeft w:val="0"/>
      <w:marRight w:val="0"/>
      <w:marTop w:val="0"/>
      <w:marBottom w:val="0"/>
      <w:divBdr>
        <w:top w:val="none" w:sz="0" w:space="0" w:color="auto"/>
        <w:left w:val="none" w:sz="0" w:space="0" w:color="auto"/>
        <w:bottom w:val="none" w:sz="0" w:space="0" w:color="auto"/>
        <w:right w:val="none" w:sz="0" w:space="0" w:color="auto"/>
      </w:divBdr>
      <w:divsChild>
        <w:div w:id="706683369">
          <w:marLeft w:val="446"/>
          <w:marRight w:val="0"/>
          <w:marTop w:val="0"/>
          <w:marBottom w:val="0"/>
          <w:divBdr>
            <w:top w:val="none" w:sz="0" w:space="0" w:color="auto"/>
            <w:left w:val="none" w:sz="0" w:space="0" w:color="auto"/>
            <w:bottom w:val="none" w:sz="0" w:space="0" w:color="auto"/>
            <w:right w:val="none" w:sz="0" w:space="0" w:color="auto"/>
          </w:divBdr>
        </w:div>
        <w:div w:id="1413968053">
          <w:marLeft w:val="446"/>
          <w:marRight w:val="0"/>
          <w:marTop w:val="0"/>
          <w:marBottom w:val="0"/>
          <w:divBdr>
            <w:top w:val="none" w:sz="0" w:space="0" w:color="auto"/>
            <w:left w:val="none" w:sz="0" w:space="0" w:color="auto"/>
            <w:bottom w:val="none" w:sz="0" w:space="0" w:color="auto"/>
            <w:right w:val="none" w:sz="0" w:space="0" w:color="auto"/>
          </w:divBdr>
        </w:div>
        <w:div w:id="1800881046">
          <w:marLeft w:val="446"/>
          <w:marRight w:val="0"/>
          <w:marTop w:val="0"/>
          <w:marBottom w:val="0"/>
          <w:divBdr>
            <w:top w:val="none" w:sz="0" w:space="0" w:color="auto"/>
            <w:left w:val="none" w:sz="0" w:space="0" w:color="auto"/>
            <w:bottom w:val="none" w:sz="0" w:space="0" w:color="auto"/>
            <w:right w:val="none" w:sz="0" w:space="0" w:color="auto"/>
          </w:divBdr>
        </w:div>
      </w:divsChild>
    </w:div>
    <w:div w:id="1926647794">
      <w:bodyDiv w:val="1"/>
      <w:marLeft w:val="0"/>
      <w:marRight w:val="0"/>
      <w:marTop w:val="0"/>
      <w:marBottom w:val="0"/>
      <w:divBdr>
        <w:top w:val="none" w:sz="0" w:space="0" w:color="auto"/>
        <w:left w:val="none" w:sz="0" w:space="0" w:color="auto"/>
        <w:bottom w:val="none" w:sz="0" w:space="0" w:color="auto"/>
        <w:right w:val="none" w:sz="0" w:space="0" w:color="auto"/>
      </w:divBdr>
    </w:div>
    <w:div w:id="1927500358">
      <w:bodyDiv w:val="1"/>
      <w:marLeft w:val="0"/>
      <w:marRight w:val="0"/>
      <w:marTop w:val="0"/>
      <w:marBottom w:val="0"/>
      <w:divBdr>
        <w:top w:val="none" w:sz="0" w:space="0" w:color="auto"/>
        <w:left w:val="none" w:sz="0" w:space="0" w:color="auto"/>
        <w:bottom w:val="none" w:sz="0" w:space="0" w:color="auto"/>
        <w:right w:val="none" w:sz="0" w:space="0" w:color="auto"/>
      </w:divBdr>
      <w:divsChild>
        <w:div w:id="111636357">
          <w:marLeft w:val="446"/>
          <w:marRight w:val="0"/>
          <w:marTop w:val="0"/>
          <w:marBottom w:val="0"/>
          <w:divBdr>
            <w:top w:val="none" w:sz="0" w:space="0" w:color="auto"/>
            <w:left w:val="none" w:sz="0" w:space="0" w:color="auto"/>
            <w:bottom w:val="none" w:sz="0" w:space="0" w:color="auto"/>
            <w:right w:val="none" w:sz="0" w:space="0" w:color="auto"/>
          </w:divBdr>
        </w:div>
        <w:div w:id="265116485">
          <w:marLeft w:val="446"/>
          <w:marRight w:val="0"/>
          <w:marTop w:val="0"/>
          <w:marBottom w:val="0"/>
          <w:divBdr>
            <w:top w:val="none" w:sz="0" w:space="0" w:color="auto"/>
            <w:left w:val="none" w:sz="0" w:space="0" w:color="auto"/>
            <w:bottom w:val="none" w:sz="0" w:space="0" w:color="auto"/>
            <w:right w:val="none" w:sz="0" w:space="0" w:color="auto"/>
          </w:divBdr>
        </w:div>
        <w:div w:id="1220169965">
          <w:marLeft w:val="446"/>
          <w:marRight w:val="0"/>
          <w:marTop w:val="0"/>
          <w:marBottom w:val="0"/>
          <w:divBdr>
            <w:top w:val="none" w:sz="0" w:space="0" w:color="auto"/>
            <w:left w:val="none" w:sz="0" w:space="0" w:color="auto"/>
            <w:bottom w:val="none" w:sz="0" w:space="0" w:color="auto"/>
            <w:right w:val="none" w:sz="0" w:space="0" w:color="auto"/>
          </w:divBdr>
        </w:div>
        <w:div w:id="1231111033">
          <w:marLeft w:val="446"/>
          <w:marRight w:val="0"/>
          <w:marTop w:val="0"/>
          <w:marBottom w:val="0"/>
          <w:divBdr>
            <w:top w:val="none" w:sz="0" w:space="0" w:color="auto"/>
            <w:left w:val="none" w:sz="0" w:space="0" w:color="auto"/>
            <w:bottom w:val="none" w:sz="0" w:space="0" w:color="auto"/>
            <w:right w:val="none" w:sz="0" w:space="0" w:color="auto"/>
          </w:divBdr>
        </w:div>
        <w:div w:id="1743327666">
          <w:marLeft w:val="446"/>
          <w:marRight w:val="0"/>
          <w:marTop w:val="0"/>
          <w:marBottom w:val="0"/>
          <w:divBdr>
            <w:top w:val="none" w:sz="0" w:space="0" w:color="auto"/>
            <w:left w:val="none" w:sz="0" w:space="0" w:color="auto"/>
            <w:bottom w:val="none" w:sz="0" w:space="0" w:color="auto"/>
            <w:right w:val="none" w:sz="0" w:space="0" w:color="auto"/>
          </w:divBdr>
        </w:div>
      </w:divsChild>
    </w:div>
    <w:div w:id="1940601479">
      <w:bodyDiv w:val="1"/>
      <w:marLeft w:val="0"/>
      <w:marRight w:val="0"/>
      <w:marTop w:val="0"/>
      <w:marBottom w:val="0"/>
      <w:divBdr>
        <w:top w:val="none" w:sz="0" w:space="0" w:color="auto"/>
        <w:left w:val="none" w:sz="0" w:space="0" w:color="auto"/>
        <w:bottom w:val="none" w:sz="0" w:space="0" w:color="auto"/>
        <w:right w:val="none" w:sz="0" w:space="0" w:color="auto"/>
      </w:divBdr>
      <w:divsChild>
        <w:div w:id="393697833">
          <w:marLeft w:val="850"/>
          <w:marRight w:val="0"/>
          <w:marTop w:val="96"/>
          <w:marBottom w:val="0"/>
          <w:divBdr>
            <w:top w:val="none" w:sz="0" w:space="0" w:color="auto"/>
            <w:left w:val="none" w:sz="0" w:space="0" w:color="auto"/>
            <w:bottom w:val="none" w:sz="0" w:space="0" w:color="auto"/>
            <w:right w:val="none" w:sz="0" w:space="0" w:color="auto"/>
          </w:divBdr>
        </w:div>
        <w:div w:id="996568741">
          <w:marLeft w:val="850"/>
          <w:marRight w:val="0"/>
          <w:marTop w:val="96"/>
          <w:marBottom w:val="0"/>
          <w:divBdr>
            <w:top w:val="none" w:sz="0" w:space="0" w:color="auto"/>
            <w:left w:val="none" w:sz="0" w:space="0" w:color="auto"/>
            <w:bottom w:val="none" w:sz="0" w:space="0" w:color="auto"/>
            <w:right w:val="none" w:sz="0" w:space="0" w:color="auto"/>
          </w:divBdr>
        </w:div>
        <w:div w:id="1347247584">
          <w:marLeft w:val="850"/>
          <w:marRight w:val="0"/>
          <w:marTop w:val="96"/>
          <w:marBottom w:val="0"/>
          <w:divBdr>
            <w:top w:val="none" w:sz="0" w:space="0" w:color="auto"/>
            <w:left w:val="none" w:sz="0" w:space="0" w:color="auto"/>
            <w:bottom w:val="none" w:sz="0" w:space="0" w:color="auto"/>
            <w:right w:val="none" w:sz="0" w:space="0" w:color="auto"/>
          </w:divBdr>
        </w:div>
        <w:div w:id="1514804994">
          <w:marLeft w:val="850"/>
          <w:marRight w:val="0"/>
          <w:marTop w:val="96"/>
          <w:marBottom w:val="0"/>
          <w:divBdr>
            <w:top w:val="none" w:sz="0" w:space="0" w:color="auto"/>
            <w:left w:val="none" w:sz="0" w:space="0" w:color="auto"/>
            <w:bottom w:val="none" w:sz="0" w:space="0" w:color="auto"/>
            <w:right w:val="none" w:sz="0" w:space="0" w:color="auto"/>
          </w:divBdr>
        </w:div>
        <w:div w:id="2027633872">
          <w:marLeft w:val="850"/>
          <w:marRight w:val="0"/>
          <w:marTop w:val="96"/>
          <w:marBottom w:val="0"/>
          <w:divBdr>
            <w:top w:val="none" w:sz="0" w:space="0" w:color="auto"/>
            <w:left w:val="none" w:sz="0" w:space="0" w:color="auto"/>
            <w:bottom w:val="none" w:sz="0" w:space="0" w:color="auto"/>
            <w:right w:val="none" w:sz="0" w:space="0" w:color="auto"/>
          </w:divBdr>
        </w:div>
      </w:divsChild>
    </w:div>
    <w:div w:id="1942107982">
      <w:bodyDiv w:val="1"/>
      <w:marLeft w:val="0"/>
      <w:marRight w:val="0"/>
      <w:marTop w:val="0"/>
      <w:marBottom w:val="0"/>
      <w:divBdr>
        <w:top w:val="none" w:sz="0" w:space="0" w:color="auto"/>
        <w:left w:val="none" w:sz="0" w:space="0" w:color="auto"/>
        <w:bottom w:val="none" w:sz="0" w:space="0" w:color="auto"/>
        <w:right w:val="none" w:sz="0" w:space="0" w:color="auto"/>
      </w:divBdr>
    </w:div>
    <w:div w:id="2052849951">
      <w:bodyDiv w:val="1"/>
      <w:marLeft w:val="0"/>
      <w:marRight w:val="0"/>
      <w:marTop w:val="0"/>
      <w:marBottom w:val="0"/>
      <w:divBdr>
        <w:top w:val="none" w:sz="0" w:space="0" w:color="auto"/>
        <w:left w:val="none" w:sz="0" w:space="0" w:color="auto"/>
        <w:bottom w:val="none" w:sz="0" w:space="0" w:color="auto"/>
        <w:right w:val="none" w:sz="0" w:space="0" w:color="auto"/>
      </w:divBdr>
    </w:div>
    <w:div w:id="20733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7.xml"/><Relationship Id="rId39" Type="http://schemas.openxmlformats.org/officeDocument/2006/relationships/image" Target="media/image15.emf"/><Relationship Id="rId21" Type="http://schemas.openxmlformats.org/officeDocument/2006/relationships/chart" Target="charts/chart14.xml"/><Relationship Id="rId34" Type="http://schemas.openxmlformats.org/officeDocument/2006/relationships/image" Target="media/image10.emf"/><Relationship Id="rId42" Type="http://schemas.openxmlformats.org/officeDocument/2006/relationships/image" Target="media/image18.emf"/><Relationship Id="rId47" Type="http://schemas.openxmlformats.org/officeDocument/2006/relationships/image" Target="media/image23.emf"/><Relationship Id="rId50" Type="http://schemas.openxmlformats.org/officeDocument/2006/relationships/image" Target="media/image26.e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2.emf"/><Relationship Id="rId33" Type="http://schemas.openxmlformats.org/officeDocument/2006/relationships/image" Target="media/image9.emf"/><Relationship Id="rId38" Type="http://schemas.openxmlformats.org/officeDocument/2006/relationships/image" Target="media/image14.emf"/><Relationship Id="rId46" Type="http://schemas.openxmlformats.org/officeDocument/2006/relationships/image" Target="media/image22.emf"/><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image" Target="media/image5.emf"/><Relationship Id="rId41" Type="http://schemas.openxmlformats.org/officeDocument/2006/relationships/image" Target="media/image17.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1.emf"/><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image" Target="media/image16.emf"/><Relationship Id="rId45" Type="http://schemas.openxmlformats.org/officeDocument/2006/relationships/image" Target="media/image21.e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image" Target="media/image4.emf"/><Relationship Id="rId36" Type="http://schemas.openxmlformats.org/officeDocument/2006/relationships/image" Target="media/image12.emf"/><Relationship Id="rId49" Type="http://schemas.openxmlformats.org/officeDocument/2006/relationships/image" Target="media/image25.emf"/><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image" Target="media/image7.emf"/><Relationship Id="rId44" Type="http://schemas.openxmlformats.org/officeDocument/2006/relationships/image" Target="media/image20.e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image" Target="media/image11.emf"/><Relationship Id="rId43" Type="http://schemas.openxmlformats.org/officeDocument/2006/relationships/image" Target="media/image19.emf"/><Relationship Id="rId48" Type="http://schemas.openxmlformats.org/officeDocument/2006/relationships/image" Target="media/image24.emf"/><Relationship Id="rId8" Type="http://schemas.openxmlformats.org/officeDocument/2006/relationships/chart" Target="charts/chart1.xml"/><Relationship Id="rId51" Type="http://schemas.openxmlformats.org/officeDocument/2006/relationships/image" Target="media/image27.e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Informe%20SESAN\Cuadros%20y%20graficas%20informe%20311217.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Informe%20SESAN\Cuadros%20y%20graficas%20informe%20311218.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oleObject" Target="file:///C:\Informe%20SESAN\Cuadros%20y%20graficas%20informe%2031121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Gr&#225;fico%20en%20Microsoft%20Word"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deefoper18\Desktop\Cuadros%20y%20graficas%20del%20informe%20de%20fin%20de%20a&#241;o%20al%20%20311218.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deefoper18\Downloads\pim04.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Informe%20SESAN\Cuadros%20y%20graficas%20informe%20311218.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Informe%20SESAN\Cuadros%20y%20graficas%20informe%20311218.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deefoper18\Desktop\Cuadros%20y%20graficas%20del%20informe%20de%20fin%20de%20a&#241;o%20al%20%20311218.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Gr&#225;fico%20en%20Microsoft%20Word"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80811898512686E-2"/>
          <c:y val="0.11854466467553626"/>
          <c:w val="0.86756955380577427"/>
          <c:h val="0.6005642742932995"/>
        </c:manualLayout>
      </c:layout>
      <c:barChart>
        <c:barDir val="col"/>
        <c:grouping val="stacked"/>
        <c:varyColors val="0"/>
        <c:ser>
          <c:idx val="0"/>
          <c:order val="0"/>
          <c:spPr>
            <a:solidFill>
              <a:schemeClr val="accent1"/>
            </a:solidFill>
            <a:ln w="12700">
              <a:noFill/>
            </a:ln>
            <a:effectLst>
              <a:innerShdw blurRad="63500" dist="50800" dir="16200000">
                <a:schemeClr val="accent2">
                  <a:alpha val="50000"/>
                </a:schemeClr>
              </a:innerShdw>
            </a:effectLst>
            <a:scene3d>
              <a:camera prst="orthographicFront"/>
              <a:lightRig rig="threePt" dir="t"/>
            </a:scene3d>
            <a:sp3d>
              <a:bevelT/>
            </a:sp3d>
          </c:spPr>
          <c:invertIfNegative val="0"/>
          <c:dPt>
            <c:idx val="8"/>
            <c:invertIfNegative val="0"/>
            <c:bubble3D val="0"/>
            <c:extLst>
              <c:ext xmlns:c16="http://schemas.microsoft.com/office/drawing/2014/chart" uri="{C3380CC4-5D6E-409C-BE32-E72D297353CC}">
                <c16:uniqueId val="{00000000-F07E-4AF8-BAC5-74740B847B09}"/>
              </c:ext>
            </c:extLst>
          </c:dPt>
          <c:dPt>
            <c:idx val="11"/>
            <c:invertIfNegative val="0"/>
            <c:bubble3D val="0"/>
            <c:spPr>
              <a:solidFill>
                <a:srgbClr val="002060"/>
              </a:solidFill>
              <a:ln w="12700">
                <a:noFill/>
              </a:ln>
              <a:effectLst>
                <a:innerShdw blurRad="63500" dist="50800" dir="16200000">
                  <a:schemeClr val="accent2">
                    <a:alpha val="50000"/>
                  </a:schemeClr>
                </a:innerShdw>
              </a:effectLst>
              <a:scene3d>
                <a:camera prst="orthographicFront"/>
                <a:lightRig rig="threePt" dir="t"/>
              </a:scene3d>
              <a:sp3d>
                <a:bevelT/>
              </a:sp3d>
            </c:spPr>
            <c:extLst>
              <c:ext xmlns:c16="http://schemas.microsoft.com/office/drawing/2014/chart" uri="{C3380CC4-5D6E-409C-BE32-E72D297353CC}">
                <c16:uniqueId val="{00000002-F07E-4AF8-BAC5-74740B847B09}"/>
              </c:ext>
            </c:extLst>
          </c:dPt>
          <c:dPt>
            <c:idx val="12"/>
            <c:invertIfNegative val="0"/>
            <c:bubble3D val="0"/>
            <c:spPr>
              <a:solidFill>
                <a:schemeClr val="tx2"/>
              </a:solidFill>
              <a:ln w="12700">
                <a:noFill/>
              </a:ln>
              <a:effectLst>
                <a:innerShdw blurRad="63500" dist="50800" dir="16200000">
                  <a:schemeClr val="accent2">
                    <a:alpha val="50000"/>
                  </a:schemeClr>
                </a:innerShdw>
              </a:effectLst>
              <a:scene3d>
                <a:camera prst="orthographicFront"/>
                <a:lightRig rig="threePt" dir="t"/>
              </a:scene3d>
              <a:sp3d>
                <a:bevelT/>
              </a:sp3d>
            </c:spPr>
            <c:extLst>
              <c:ext xmlns:c16="http://schemas.microsoft.com/office/drawing/2014/chart" uri="{C3380CC4-5D6E-409C-BE32-E72D297353CC}">
                <c16:uniqueId val="{00000004-F07E-4AF8-BAC5-74740B847B09}"/>
              </c:ext>
            </c:extLst>
          </c:dPt>
          <c:dLbls>
            <c:dLbl>
              <c:idx val="0"/>
              <c:layout>
                <c:manualLayout>
                  <c:x val="0"/>
                  <c:y val="-0.245370325646995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07E-4AF8-BAC5-74740B847B09}"/>
                </c:ext>
              </c:extLst>
            </c:dLbl>
            <c:dLbl>
              <c:idx val="1"/>
              <c:layout>
                <c:manualLayout>
                  <c:x val="2.076186772060323E-17"/>
                  <c:y val="-5.0517419986146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07E-4AF8-BAC5-74740B847B09}"/>
                </c:ext>
              </c:extLst>
            </c:dLbl>
            <c:dLbl>
              <c:idx val="2"/>
              <c:layout>
                <c:manualLayout>
                  <c:x val="0"/>
                  <c:y val="-0.220111615653922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07E-4AF8-BAC5-74740B847B09}"/>
                </c:ext>
              </c:extLst>
            </c:dLbl>
            <c:dLbl>
              <c:idx val="3"/>
              <c:layout>
                <c:manualLayout>
                  <c:x val="0"/>
                  <c:y val="-0.303104519916876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07E-4AF8-BAC5-74740B847B09}"/>
                </c:ext>
              </c:extLst>
            </c:dLbl>
            <c:dLbl>
              <c:idx val="4"/>
              <c:layout>
                <c:manualLayout>
                  <c:x val="0"/>
                  <c:y val="-0.22732838993765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07E-4AF8-BAC5-74740B847B09}"/>
                </c:ext>
              </c:extLst>
            </c:dLbl>
            <c:dLbl>
              <c:idx val="5"/>
              <c:layout>
                <c:manualLayout>
                  <c:x val="0"/>
                  <c:y val="-0.270629035640068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07E-4AF8-BAC5-74740B847B09}"/>
                </c:ext>
              </c:extLst>
            </c:dLbl>
            <c:dLbl>
              <c:idx val="6"/>
              <c:layout>
                <c:manualLayout>
                  <c:x val="0"/>
                  <c:y val="-0.306712907058743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07E-4AF8-BAC5-74740B847B09}"/>
                </c:ext>
              </c:extLst>
            </c:dLbl>
            <c:dLbl>
              <c:idx val="7"/>
              <c:layout>
                <c:manualLayout>
                  <c:x val="8.3047470882412919E-17"/>
                  <c:y val="-0.303104519916876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07E-4AF8-BAC5-74740B847B09}"/>
                </c:ext>
              </c:extLst>
            </c:dLbl>
            <c:dLbl>
              <c:idx val="8"/>
              <c:layout>
                <c:manualLayout>
                  <c:x val="4.5299143774845422E-3"/>
                  <c:y val="-0.234545164221392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7E-4AF8-BAC5-74740B847B09}"/>
                </c:ext>
              </c:extLst>
            </c:dLbl>
            <c:dLbl>
              <c:idx val="9"/>
              <c:layout>
                <c:manualLayout>
                  <c:x val="0"/>
                  <c:y val="-0.209286454228319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07E-4AF8-BAC5-74740B847B09}"/>
                </c:ext>
              </c:extLst>
            </c:dLbl>
            <c:dLbl>
              <c:idx val="10"/>
              <c:layout>
                <c:manualLayout>
                  <c:x val="4.5299143774845422E-3"/>
                  <c:y val="-0.227328389937657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07E-4AF8-BAC5-74740B847B09}"/>
                </c:ext>
              </c:extLst>
            </c:dLbl>
            <c:dLbl>
              <c:idx val="11"/>
              <c:layout>
                <c:manualLayout>
                  <c:x val="0"/>
                  <c:y val="-0.270629035640068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07E-4AF8-BAC5-74740B847B09}"/>
                </c:ext>
              </c:extLst>
            </c:dLbl>
            <c:spPr>
              <a:noFill/>
              <a:ln>
                <a:noFill/>
              </a:ln>
              <a:effectLst/>
            </c:spPr>
            <c:txPr>
              <a:bodyPr/>
              <a:lstStyle/>
              <a:p>
                <a:pPr>
                  <a:defRPr sz="800" b="1">
                    <a:solidFill>
                      <a:sysClr val="windowText" lastClr="00000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'PIB Nacional'!$B$9:$B$20</c:f>
              <c:strCache>
                <c:ptCount val="12"/>
                <c:pt idx="0">
                  <c:v>2008</c:v>
                </c:pt>
                <c:pt idx="1">
                  <c:v>2009</c:v>
                </c:pt>
                <c:pt idx="2">
                  <c:v>2010</c:v>
                </c:pt>
                <c:pt idx="3">
                  <c:v>2011</c:v>
                </c:pt>
                <c:pt idx="4">
                  <c:v>2012</c:v>
                </c:pt>
                <c:pt idx="5">
                  <c:v>2013</c:v>
                </c:pt>
                <c:pt idx="6">
                  <c:v>2014</c:v>
                </c:pt>
                <c:pt idx="7">
                  <c:v>2015</c:v>
                </c:pt>
                <c:pt idx="8">
                  <c:v>2016</c:v>
                </c:pt>
                <c:pt idx="9">
                  <c:v>2017 p/</c:v>
                </c:pt>
                <c:pt idx="10">
                  <c:v>2018 p/</c:v>
                </c:pt>
                <c:pt idx="11">
                  <c:v>2019 py </c:v>
                </c:pt>
              </c:strCache>
            </c:strRef>
          </c:cat>
          <c:val>
            <c:numRef>
              <c:f>'PIB Nacional'!$D$9:$D$20</c:f>
              <c:numCache>
                <c:formatCode>_(* #,##0.0_);_(* \(#,##0.0\);_(* "-"??_);_(@_)</c:formatCode>
                <c:ptCount val="12"/>
                <c:pt idx="0">
                  <c:v>3.2810798155511236</c:v>
                </c:pt>
                <c:pt idx="1">
                  <c:v>0.52604301774603357</c:v>
                </c:pt>
                <c:pt idx="2">
                  <c:v>2.8694877371278551</c:v>
                </c:pt>
                <c:pt idx="3">
                  <c:v>4.1620489461922716</c:v>
                </c:pt>
                <c:pt idx="4">
                  <c:v>2.9698574268847437</c:v>
                </c:pt>
                <c:pt idx="5">
                  <c:v>3.6975855779096634</c:v>
                </c:pt>
                <c:pt idx="6">
                  <c:v>4.174169136581753</c:v>
                </c:pt>
                <c:pt idx="7">
                  <c:v>4.1400443582547837</c:v>
                </c:pt>
                <c:pt idx="8">
                  <c:v>3.0924825576909001</c:v>
                </c:pt>
                <c:pt idx="9">
                  <c:v>2.7603384836662173</c:v>
                </c:pt>
                <c:pt idx="10">
                  <c:v>2.9980041800682358</c:v>
                </c:pt>
                <c:pt idx="11">
                  <c:v>3.4</c:v>
                </c:pt>
              </c:numCache>
            </c:numRef>
          </c:val>
          <c:extLst>
            <c:ext xmlns:c16="http://schemas.microsoft.com/office/drawing/2014/chart" uri="{C3380CC4-5D6E-409C-BE32-E72D297353CC}">
              <c16:uniqueId val="{0000000F-F07E-4AF8-BAC5-74740B847B09}"/>
            </c:ext>
          </c:extLst>
        </c:ser>
        <c:dLbls>
          <c:showLegendKey val="0"/>
          <c:showVal val="0"/>
          <c:showCatName val="0"/>
          <c:showSerName val="0"/>
          <c:showPercent val="0"/>
          <c:showBubbleSize val="0"/>
        </c:dLbls>
        <c:gapWidth val="21"/>
        <c:overlap val="-61"/>
        <c:axId val="111812608"/>
        <c:axId val="111814144"/>
      </c:barChart>
      <c:catAx>
        <c:axId val="111812608"/>
        <c:scaling>
          <c:orientation val="minMax"/>
        </c:scaling>
        <c:delete val="0"/>
        <c:axPos val="b"/>
        <c:numFmt formatCode="0" sourceLinked="0"/>
        <c:majorTickMark val="none"/>
        <c:minorTickMark val="none"/>
        <c:tickLblPos val="nextTo"/>
        <c:spPr>
          <a:ln w="12700"/>
          <a:effectLst>
            <a:softEdge rad="12700"/>
          </a:effectLst>
        </c:spPr>
        <c:txPr>
          <a:bodyPr/>
          <a:lstStyle/>
          <a:p>
            <a:pPr>
              <a:defRPr sz="900"/>
            </a:pPr>
            <a:endParaRPr lang="es-GT"/>
          </a:p>
        </c:txPr>
        <c:crossAx val="111814144"/>
        <c:crosses val="autoZero"/>
        <c:auto val="1"/>
        <c:lblAlgn val="ctr"/>
        <c:lblOffset val="100"/>
        <c:noMultiLvlLbl val="0"/>
      </c:catAx>
      <c:valAx>
        <c:axId val="111814144"/>
        <c:scaling>
          <c:orientation val="minMax"/>
        </c:scaling>
        <c:delete val="0"/>
        <c:axPos val="l"/>
        <c:title>
          <c:tx>
            <c:rich>
              <a:bodyPr rot="0" vert="horz"/>
              <a:lstStyle/>
              <a:p>
                <a:pPr>
                  <a:defRPr/>
                </a:pPr>
                <a:r>
                  <a:rPr lang="es-GT"/>
                  <a:t>Porcentaje</a:t>
                </a:r>
              </a:p>
            </c:rich>
          </c:tx>
          <c:layout>
            <c:manualLayout>
              <c:xMode val="edge"/>
              <c:yMode val="edge"/>
              <c:x val="1.4466071741032371E-2"/>
              <c:y val="3.6667209702235491E-2"/>
            </c:manualLayout>
          </c:layout>
          <c:overlay val="0"/>
        </c:title>
        <c:numFmt formatCode="#,##0.0" sourceLinked="0"/>
        <c:majorTickMark val="none"/>
        <c:minorTickMark val="none"/>
        <c:tickLblPos val="nextTo"/>
        <c:crossAx val="111812608"/>
        <c:crossesAt val="1"/>
        <c:crossBetween val="between"/>
      </c:valAx>
      <c:spPr>
        <a:noFill/>
        <a:ln>
          <a:noFill/>
        </a:ln>
        <a:effectLst>
          <a:glow rad="101600">
            <a:schemeClr val="accent5">
              <a:satMod val="175000"/>
              <a:alpha val="40000"/>
            </a:schemeClr>
          </a:glow>
          <a:innerShdw blurRad="63500" dist="50800" dir="16200000">
            <a:prstClr val="black">
              <a:alpha val="50000"/>
            </a:prstClr>
          </a:innerShdw>
        </a:effectLst>
        <a:scene3d>
          <a:camera prst="orthographicFront"/>
          <a:lightRig rig="threePt" dir="t"/>
        </a:scene3d>
        <a:sp3d>
          <a:bevelT/>
        </a:sp3d>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s-GT"/>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32046124307309"/>
          <c:y val="0.11060465489352032"/>
          <c:w val="0.86230692275720999"/>
          <c:h val="0.74889581077408396"/>
        </c:manualLayout>
      </c:layout>
      <c:lineChart>
        <c:grouping val="standard"/>
        <c:varyColors val="0"/>
        <c:ser>
          <c:idx val="0"/>
          <c:order val="0"/>
          <c:tx>
            <c:strRef>
              <c:f>'graf carga tributaria al 31dic'!$B$7</c:f>
              <c:strCache>
                <c:ptCount val="1"/>
                <c:pt idx="0">
                  <c:v>Carga Tributaria</c:v>
                </c:pt>
              </c:strCache>
            </c:strRef>
          </c:tx>
          <c:spPr>
            <a:ln w="38100">
              <a:solidFill>
                <a:schemeClr val="tx2">
                  <a:lumMod val="50000"/>
                </a:schemeClr>
              </a:solidFill>
            </a:ln>
          </c:spPr>
          <c:marker>
            <c:spPr>
              <a:solidFill>
                <a:schemeClr val="tx2">
                  <a:lumMod val="50000"/>
                </a:schemeClr>
              </a:solidFill>
            </c:spPr>
          </c:marker>
          <c:dLbls>
            <c:dLbl>
              <c:idx val="0"/>
              <c:layout>
                <c:manualLayout>
                  <c:x val="-3.9111111111111152E-2"/>
                  <c:y val="4.30107526881720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10-4242-8A18-DF25129DB27D}"/>
                </c:ext>
              </c:extLst>
            </c:dLbl>
            <c:dLbl>
              <c:idx val="1"/>
              <c:layout>
                <c:manualLayout>
                  <c:x val="-3.0222222222222251E-2"/>
                  <c:y val="-4.07470288624787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10-4242-8A18-DF25129DB27D}"/>
                </c:ext>
              </c:extLst>
            </c:dLbl>
            <c:dLbl>
              <c:idx val="2"/>
              <c:layout>
                <c:manualLayout>
                  <c:x val="-3.7333333333333406E-2"/>
                  <c:y val="3.39558573853989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10-4242-8A18-DF25129DB27D}"/>
                </c:ext>
              </c:extLst>
            </c:dLbl>
            <c:dLbl>
              <c:idx val="3"/>
              <c:layout>
                <c:manualLayout>
                  <c:x val="-5.1929838358220199E-4"/>
                  <c:y val="-2.7164864154289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10-4242-8A18-DF25129DB27D}"/>
                </c:ext>
              </c:extLst>
            </c:dLbl>
            <c:dLbl>
              <c:idx val="4"/>
              <c:layout>
                <c:manualLayout>
                  <c:x val="-2.311111111111111E-2"/>
                  <c:y val="3.84831267908149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10-4242-8A18-DF25129DB27D}"/>
                </c:ext>
              </c:extLst>
            </c:dLbl>
            <c:dLbl>
              <c:idx val="5"/>
              <c:layout>
                <c:manualLayout>
                  <c:x val="-5.8260507698709947E-2"/>
                  <c:y val="-3.62195812110922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810-4242-8A18-DF25129DB27D}"/>
                </c:ext>
              </c:extLst>
            </c:dLbl>
            <c:dLbl>
              <c:idx val="6"/>
              <c:layout>
                <c:manualLayout>
                  <c:x val="-4.4444444444444502E-2"/>
                  <c:y val="4.07470288624787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10-4242-8A18-DF25129DB27D}"/>
                </c:ext>
              </c:extLst>
            </c:dLbl>
            <c:dLbl>
              <c:idx val="7"/>
              <c:layout>
                <c:manualLayout>
                  <c:x val="-4.1614648356221404E-2"/>
                  <c:y val="-4.7538378585529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810-4242-8A18-DF25129DB27D}"/>
                </c:ext>
              </c:extLst>
            </c:dLbl>
            <c:dLbl>
              <c:idx val="8"/>
              <c:layout>
                <c:manualLayout>
                  <c:x val="-3.5668799826987917E-2"/>
                  <c:y val="4.75382003395586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810-4242-8A18-DF25129DB27D}"/>
                </c:ext>
              </c:extLst>
            </c:dLbl>
            <c:dLbl>
              <c:idx val="9"/>
              <c:layout>
                <c:manualLayout>
                  <c:x val="-2.2012510608458602E-2"/>
                  <c:y val="-3.39558573853989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810-4242-8A18-DF25129DB27D}"/>
                </c:ext>
              </c:extLst>
            </c:dLbl>
            <c:dLbl>
              <c:idx val="10"/>
              <c:layout>
                <c:manualLayout>
                  <c:x val="-3.3777777777777997E-2"/>
                  <c:y val="-3.62195812110922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810-4242-8A18-DF25129DB27D}"/>
                </c:ext>
              </c:extLst>
            </c:dLbl>
            <c:dLbl>
              <c:idx val="11"/>
              <c:layout>
                <c:manualLayout>
                  <c:x val="-2.1333333333333392E-2"/>
                  <c:y val="3.3955857385399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810-4242-8A18-DF25129DB27D}"/>
                </c:ext>
              </c:extLst>
            </c:dLbl>
            <c:dLbl>
              <c:idx val="12"/>
              <c:layout>
                <c:manualLayout>
                  <c:x val="-3.3250207813800055E-3"/>
                  <c:y val="-2.49009620826259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810-4242-8A18-DF25129DB27D}"/>
                </c:ext>
              </c:extLst>
            </c:dLbl>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 carga tributaria al 31dic'!$D$3:$Q$3</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'graf carga tributaria al 31dic'!$D$7:$Q$7</c:f>
              <c:numCache>
                <c:formatCode>0.0%</c:formatCode>
                <c:ptCount val="14"/>
                <c:pt idx="0">
                  <c:v>0.11221378521534557</c:v>
                </c:pt>
                <c:pt idx="1">
                  <c:v>0.11851104065945253</c:v>
                </c:pt>
                <c:pt idx="2">
                  <c:v>0.12050474292518228</c:v>
                </c:pt>
                <c:pt idx="3">
                  <c:v>0.11274538958544503</c:v>
                </c:pt>
                <c:pt idx="4">
                  <c:v>0.10329604425687723</c:v>
                </c:pt>
                <c:pt idx="5">
                  <c:v>0.10439101115705084</c:v>
                </c:pt>
                <c:pt idx="6">
                  <c:v>0.10860079291757997</c:v>
                </c:pt>
                <c:pt idx="7">
                  <c:v>0.10848070129792285</c:v>
                </c:pt>
                <c:pt idx="8">
                  <c:v>0.10951500711726866</c:v>
                </c:pt>
                <c:pt idx="9">
                  <c:v>0.10813039512772525</c:v>
                </c:pt>
                <c:pt idx="10">
                  <c:v>0.10188047462578184</c:v>
                </c:pt>
                <c:pt idx="11">
                  <c:v>0.10354016071429457</c:v>
                </c:pt>
                <c:pt idx="12">
                  <c:v>0.10226381089220747</c:v>
                </c:pt>
                <c:pt idx="13">
                  <c:v>9.9740343702427389E-2</c:v>
                </c:pt>
              </c:numCache>
            </c:numRef>
          </c:val>
          <c:smooth val="1"/>
          <c:extLst>
            <c:ext xmlns:c16="http://schemas.microsoft.com/office/drawing/2014/chart" uri="{C3380CC4-5D6E-409C-BE32-E72D297353CC}">
              <c16:uniqueId val="{0000000D-B810-4242-8A18-DF25129DB27D}"/>
            </c:ext>
          </c:extLst>
        </c:ser>
        <c:dLbls>
          <c:showLegendKey val="0"/>
          <c:showVal val="0"/>
          <c:showCatName val="0"/>
          <c:showSerName val="0"/>
          <c:showPercent val="0"/>
          <c:showBubbleSize val="0"/>
        </c:dLbls>
        <c:marker val="1"/>
        <c:smooth val="0"/>
        <c:axId val="111857664"/>
        <c:axId val="111859200"/>
      </c:lineChart>
      <c:catAx>
        <c:axId val="111857664"/>
        <c:scaling>
          <c:orientation val="minMax"/>
        </c:scaling>
        <c:delete val="0"/>
        <c:axPos val="b"/>
        <c:numFmt formatCode="General" sourceLinked="1"/>
        <c:majorTickMark val="out"/>
        <c:minorTickMark val="none"/>
        <c:tickLblPos val="nextTo"/>
        <c:txPr>
          <a:bodyPr rot="-5400000" vert="horz"/>
          <a:lstStyle/>
          <a:p>
            <a:pPr>
              <a:defRPr sz="900"/>
            </a:pPr>
            <a:endParaRPr lang="es-GT"/>
          </a:p>
        </c:txPr>
        <c:crossAx val="111859200"/>
        <c:crosses val="autoZero"/>
        <c:auto val="1"/>
        <c:lblAlgn val="ctr"/>
        <c:lblOffset val="100"/>
        <c:noMultiLvlLbl val="0"/>
      </c:catAx>
      <c:valAx>
        <c:axId val="111859200"/>
        <c:scaling>
          <c:orientation val="minMax"/>
          <c:min val="6.0000000000000032E-2"/>
        </c:scaling>
        <c:delete val="0"/>
        <c:axPos val="l"/>
        <c:title>
          <c:tx>
            <c:rich>
              <a:bodyPr rot="-5400000" vert="horz"/>
              <a:lstStyle/>
              <a:p>
                <a:pPr>
                  <a:defRPr/>
                </a:pPr>
                <a:r>
                  <a:rPr lang="en-US"/>
                  <a:t>Carga Tributaria</a:t>
                </a:r>
              </a:p>
            </c:rich>
          </c:tx>
          <c:layout>
            <c:manualLayout>
              <c:xMode val="edge"/>
              <c:yMode val="edge"/>
              <c:x val="1.3451478565179361E-2"/>
              <c:y val="0.41850246647861788"/>
            </c:manualLayout>
          </c:layout>
          <c:overlay val="0"/>
        </c:title>
        <c:numFmt formatCode="0.0%" sourceLinked="1"/>
        <c:majorTickMark val="out"/>
        <c:minorTickMark val="none"/>
        <c:tickLblPos val="nextTo"/>
        <c:crossAx val="11185766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s-G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88407699037624E-2"/>
          <c:y val="9.0143790849673208E-2"/>
          <c:w val="0.89745603674540686"/>
          <c:h val="0.75556019462688495"/>
        </c:manualLayout>
      </c:layout>
      <c:barChart>
        <c:barDir val="col"/>
        <c:grouping val="clustered"/>
        <c:varyColors val="0"/>
        <c:ser>
          <c:idx val="0"/>
          <c:order val="0"/>
          <c:tx>
            <c:strRef>
              <c:f>Deuda!$C$28</c:f>
              <c:strCache>
                <c:ptCount val="1"/>
                <c:pt idx="0">
                  <c:v>Saldo de la Deuda Publica, como Porcentaje del PIB, 2008 -2017</c:v>
                </c:pt>
              </c:strCache>
            </c:strRef>
          </c:tx>
          <c:invertIfNegative val="0"/>
          <c:dLbls>
            <c:spPr>
              <a:noFill/>
              <a:ln>
                <a:noFill/>
              </a:ln>
              <a:effectLst/>
            </c:spPr>
            <c:txPr>
              <a:bodyPr/>
              <a:lstStyle/>
              <a:p>
                <a:pPr>
                  <a:defRPr sz="700" b="1"/>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Deuda!$B$29:$B$39</c:f>
              <c:strCache>
                <c:ptCount val="11"/>
                <c:pt idx="0">
                  <c:v>2008</c:v>
                </c:pt>
                <c:pt idx="1">
                  <c:v>2009</c:v>
                </c:pt>
                <c:pt idx="2">
                  <c:v>2010</c:v>
                </c:pt>
                <c:pt idx="3">
                  <c:v>2011</c:v>
                </c:pt>
                <c:pt idx="4">
                  <c:v>2012</c:v>
                </c:pt>
                <c:pt idx="5">
                  <c:v>2013</c:v>
                </c:pt>
                <c:pt idx="6">
                  <c:v>2014</c:v>
                </c:pt>
                <c:pt idx="7">
                  <c:v>2015</c:v>
                </c:pt>
                <c:pt idx="8">
                  <c:v>2016</c:v>
                </c:pt>
                <c:pt idx="9">
                  <c:v>2017</c:v>
                </c:pt>
                <c:pt idx="10">
                  <c:v>2018*</c:v>
                </c:pt>
              </c:strCache>
            </c:strRef>
          </c:cat>
          <c:val>
            <c:numRef>
              <c:f>Deuda!$C$29:$C$39</c:f>
              <c:numCache>
                <c:formatCode>General</c:formatCode>
                <c:ptCount val="11"/>
                <c:pt idx="0">
                  <c:v>20.399999999999999</c:v>
                </c:pt>
                <c:pt idx="1">
                  <c:v>23.3</c:v>
                </c:pt>
                <c:pt idx="2">
                  <c:v>24.4</c:v>
                </c:pt>
                <c:pt idx="3">
                  <c:v>23.9</c:v>
                </c:pt>
                <c:pt idx="4">
                  <c:v>24.6</c:v>
                </c:pt>
                <c:pt idx="5">
                  <c:v>24.8</c:v>
                </c:pt>
                <c:pt idx="6">
                  <c:v>24.4</c:v>
                </c:pt>
                <c:pt idx="7">
                  <c:v>24.3</c:v>
                </c:pt>
                <c:pt idx="8">
                  <c:v>24.1</c:v>
                </c:pt>
                <c:pt idx="9">
                  <c:v>23.8</c:v>
                </c:pt>
                <c:pt idx="10">
                  <c:v>24.8</c:v>
                </c:pt>
              </c:numCache>
            </c:numRef>
          </c:val>
          <c:extLst>
            <c:ext xmlns:c16="http://schemas.microsoft.com/office/drawing/2014/chart" uri="{C3380CC4-5D6E-409C-BE32-E72D297353CC}">
              <c16:uniqueId val="{00000000-7073-4186-93CF-1C8E4EFA52A7}"/>
            </c:ext>
          </c:extLst>
        </c:ser>
        <c:dLbls>
          <c:showLegendKey val="0"/>
          <c:showVal val="0"/>
          <c:showCatName val="0"/>
          <c:showSerName val="0"/>
          <c:showPercent val="0"/>
          <c:showBubbleSize val="0"/>
        </c:dLbls>
        <c:gapWidth val="150"/>
        <c:axId val="112416256"/>
        <c:axId val="112417792"/>
      </c:barChart>
      <c:catAx>
        <c:axId val="112416256"/>
        <c:scaling>
          <c:orientation val="minMax"/>
        </c:scaling>
        <c:delete val="0"/>
        <c:axPos val="b"/>
        <c:numFmt formatCode="General" sourceLinked="1"/>
        <c:majorTickMark val="out"/>
        <c:minorTickMark val="none"/>
        <c:tickLblPos val="nextTo"/>
        <c:crossAx val="112417792"/>
        <c:crosses val="autoZero"/>
        <c:auto val="1"/>
        <c:lblAlgn val="ctr"/>
        <c:lblOffset val="100"/>
        <c:noMultiLvlLbl val="0"/>
      </c:catAx>
      <c:valAx>
        <c:axId val="112417792"/>
        <c:scaling>
          <c:orientation val="minMax"/>
        </c:scaling>
        <c:delete val="0"/>
        <c:axPos val="l"/>
        <c:numFmt formatCode="General" sourceLinked="1"/>
        <c:majorTickMark val="out"/>
        <c:minorTickMark val="none"/>
        <c:tickLblPos val="nextTo"/>
        <c:crossAx val="112416256"/>
        <c:crosses val="autoZero"/>
        <c:crossBetween val="between"/>
        <c:minorUnit val="0.5"/>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s-G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3766225651759634"/>
          <c:y val="1.2831729367162458E-3"/>
          <c:w val="0.46079709509316347"/>
          <c:h val="0.94180473054903224"/>
        </c:manualLayout>
      </c:layout>
      <c:pieChart>
        <c:varyColors val="1"/>
        <c:ser>
          <c:idx val="0"/>
          <c:order val="0"/>
          <c:tx>
            <c:strRef>
              <c:f>'[Gráfico en Microsoft Word]Deuda'!$C$55</c:f>
              <c:strCache>
                <c:ptCount val="1"/>
              </c:strCache>
            </c:strRef>
          </c:tx>
          <c:explosion val="25"/>
          <c:dLbls>
            <c:dLbl>
              <c:idx val="1"/>
              <c:layout>
                <c:manualLayout>
                  <c:x val="0.14797980647572176"/>
                  <c:y val="2.97284769228407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64-4895-87D9-71D48DDAE245}"/>
                </c:ext>
              </c:extLst>
            </c:dLbl>
            <c:spPr>
              <a:noFill/>
              <a:ln>
                <a:noFill/>
              </a:ln>
              <a:effectLst/>
            </c:spPr>
            <c:txPr>
              <a:bodyPr/>
              <a:lstStyle/>
              <a:p>
                <a:pPr>
                  <a:defRPr sz="1200" b="1"/>
                </a:pPr>
                <a:endParaRPr lang="es-GT"/>
              </a:p>
            </c:txPr>
            <c:showLegendKey val="0"/>
            <c:showVal val="1"/>
            <c:showCatName val="0"/>
            <c:showSerName val="0"/>
            <c:showPercent val="0"/>
            <c:showBubbleSize val="0"/>
            <c:showLeaderLines val="1"/>
            <c:extLst>
              <c:ext xmlns:c15="http://schemas.microsoft.com/office/drawing/2012/chart" uri="{CE6537A1-D6FC-4f65-9D91-7224C49458BB}"/>
            </c:extLst>
          </c:dLbls>
          <c:cat>
            <c:strRef>
              <c:f>'[Gráfico en Microsoft Word]Deuda'!$B$59:$B$60</c:f>
              <c:strCache>
                <c:ptCount val="2"/>
                <c:pt idx="0">
                  <c:v>Deuda Interna</c:v>
                </c:pt>
                <c:pt idx="1">
                  <c:v>Deuda Externa</c:v>
                </c:pt>
              </c:strCache>
            </c:strRef>
          </c:cat>
          <c:val>
            <c:numRef>
              <c:f>'[Gráfico en Microsoft Word]Deuda'!$C$59:$C$60</c:f>
              <c:numCache>
                <c:formatCode>0.0</c:formatCode>
                <c:ptCount val="2"/>
                <c:pt idx="0">
                  <c:v>56.4</c:v>
                </c:pt>
                <c:pt idx="1">
                  <c:v>43.6</c:v>
                </c:pt>
              </c:numCache>
            </c:numRef>
          </c:val>
          <c:extLst>
            <c:ext xmlns:c16="http://schemas.microsoft.com/office/drawing/2014/chart" uri="{C3380CC4-5D6E-409C-BE32-E72D297353CC}">
              <c16:uniqueId val="{00000001-F364-4895-87D9-71D48DDAE24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0987993948911801"/>
          <c:y val="0.25592362358213994"/>
          <c:w val="0.34337522394193071"/>
          <c:h val="0.43063467943700012"/>
        </c:manualLayout>
      </c:layout>
      <c:overlay val="0"/>
      <c:txPr>
        <a:bodyPr/>
        <a:lstStyle/>
        <a:p>
          <a:pPr>
            <a:defRPr b="1"/>
          </a:pPr>
          <a:endParaRPr lang="es-GT"/>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7525674952772041"/>
          <c:y val="0.12881105635117207"/>
          <c:w val="0.42124883383770123"/>
          <c:h val="0.82225747708573993"/>
        </c:manualLayout>
      </c:layout>
      <c:pieChart>
        <c:varyColors val="1"/>
        <c:ser>
          <c:idx val="0"/>
          <c:order val="0"/>
          <c:tx>
            <c:strRef>
              <c:f>'[Gráfico en Microsoft Word]Deuda'!$C$66</c:f>
              <c:strCache>
                <c:ptCount val="1"/>
              </c:strCache>
            </c:strRef>
          </c:tx>
          <c:explosion val="25"/>
          <c:dLbls>
            <c:spPr>
              <a:noFill/>
              <a:ln>
                <a:noFill/>
              </a:ln>
              <a:effectLst/>
            </c:spPr>
            <c:txPr>
              <a:bodyPr/>
              <a:lstStyle/>
              <a:p>
                <a:pPr>
                  <a:defRPr sz="1200" b="1"/>
                </a:pPr>
                <a:endParaRPr lang="es-GT"/>
              </a:p>
            </c:txPr>
            <c:showLegendKey val="0"/>
            <c:showVal val="1"/>
            <c:showCatName val="0"/>
            <c:showSerName val="0"/>
            <c:showPercent val="0"/>
            <c:showBubbleSize val="0"/>
            <c:showLeaderLines val="1"/>
            <c:extLst>
              <c:ext xmlns:c15="http://schemas.microsoft.com/office/drawing/2012/chart" uri="{CE6537A1-D6FC-4f65-9D91-7224C49458BB}"/>
            </c:extLst>
          </c:dLbls>
          <c:cat>
            <c:strRef>
              <c:f>'[Gráfico en Microsoft Word]Deuda'!$B$67:$B$68</c:f>
              <c:strCache>
                <c:ptCount val="2"/>
                <c:pt idx="0">
                  <c:v>Tasa Fija </c:v>
                </c:pt>
                <c:pt idx="1">
                  <c:v>Tasa Variable</c:v>
                </c:pt>
              </c:strCache>
            </c:strRef>
          </c:cat>
          <c:val>
            <c:numRef>
              <c:f>'[Gráfico en Microsoft Word]Deuda'!$C$67:$C$68</c:f>
              <c:numCache>
                <c:formatCode>General</c:formatCode>
                <c:ptCount val="2"/>
                <c:pt idx="0">
                  <c:v>75.599999999999994</c:v>
                </c:pt>
                <c:pt idx="1">
                  <c:v>24.4</c:v>
                </c:pt>
              </c:numCache>
            </c:numRef>
          </c:val>
          <c:extLst>
            <c:ext xmlns:c16="http://schemas.microsoft.com/office/drawing/2014/chart" uri="{C3380CC4-5D6E-409C-BE32-E72D297353CC}">
              <c16:uniqueId val="{00000000-F38F-4F5C-A1B7-E5ED0C54B828}"/>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b="1"/>
          </a:pPr>
          <a:endParaRPr lang="es-GT"/>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3.3443092340730132E-2"/>
          <c:y val="8.9906724611601888E-2"/>
          <c:w val="0.60533333333333328"/>
          <c:h val="0.84715883530252789"/>
        </c:manualLayout>
      </c:layout>
      <c:pieChart>
        <c:varyColors val="1"/>
        <c:ser>
          <c:idx val="0"/>
          <c:order val="0"/>
          <c:tx>
            <c:strRef>
              <c:f>'[Gráfico en Microsoft Word]Deuda'!$C$74</c:f>
              <c:strCache>
                <c:ptCount val="1"/>
              </c:strCache>
            </c:strRef>
          </c:tx>
          <c:explosion val="25"/>
          <c:dLbls>
            <c:spPr>
              <a:noFill/>
              <a:ln>
                <a:noFill/>
              </a:ln>
              <a:effectLst/>
            </c:spPr>
            <c:txPr>
              <a:bodyPr/>
              <a:lstStyle/>
              <a:p>
                <a:pPr>
                  <a:defRPr sz="1200" b="1"/>
                </a:pPr>
                <a:endParaRPr lang="es-GT"/>
              </a:p>
            </c:txPr>
            <c:showLegendKey val="0"/>
            <c:showVal val="1"/>
            <c:showCatName val="0"/>
            <c:showSerName val="0"/>
            <c:showPercent val="0"/>
            <c:showBubbleSize val="0"/>
            <c:showLeaderLines val="1"/>
            <c:extLst>
              <c:ext xmlns:c15="http://schemas.microsoft.com/office/drawing/2012/chart" uri="{CE6537A1-D6FC-4f65-9D91-7224C49458BB}"/>
            </c:extLst>
          </c:dLbls>
          <c:cat>
            <c:strRef>
              <c:f>'[Gráfico en Microsoft Word]Deuda'!$A$75:$A$76</c:f>
              <c:strCache>
                <c:ptCount val="2"/>
                <c:pt idx="0">
                  <c:v>En Quetzales</c:v>
                </c:pt>
                <c:pt idx="1">
                  <c:v>En Moneda Extranjera</c:v>
                </c:pt>
              </c:strCache>
            </c:strRef>
          </c:cat>
          <c:val>
            <c:numRef>
              <c:f>'[Gráfico en Microsoft Word]Deuda'!$C$75:$C$76</c:f>
              <c:numCache>
                <c:formatCode>0.0%</c:formatCode>
                <c:ptCount val="2"/>
                <c:pt idx="0">
                  <c:v>0.52050258662133975</c:v>
                </c:pt>
                <c:pt idx="1">
                  <c:v>0.47949741337866025</c:v>
                </c:pt>
              </c:numCache>
            </c:numRef>
          </c:val>
          <c:extLst>
            <c:ext xmlns:c16="http://schemas.microsoft.com/office/drawing/2014/chart" uri="{C3380CC4-5D6E-409C-BE32-E72D297353CC}">
              <c16:uniqueId val="{00000000-0620-4C30-B3ED-71B8F0FE5AE8}"/>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050" b="1"/>
          </a:pPr>
          <a:endParaRPr lang="es-GT"/>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Hoja2!$E$4</c:f>
              <c:strCache>
                <c:ptCount val="1"/>
                <c:pt idx="0">
                  <c:v>% del PIB</c:v>
                </c:pt>
              </c:strCache>
            </c:strRef>
          </c:tx>
          <c:spPr>
            <a:solidFill>
              <a:schemeClr val="accent1"/>
            </a:solidFill>
          </c:spPr>
          <c:invertIfNegative val="0"/>
          <c:dPt>
            <c:idx val="0"/>
            <c:invertIfNegative val="0"/>
            <c:bubble3D val="0"/>
            <c:spPr>
              <a:solidFill>
                <a:schemeClr val="accent1"/>
              </a:solidFill>
            </c:spPr>
            <c:extLst>
              <c:ext xmlns:c16="http://schemas.microsoft.com/office/drawing/2014/chart" uri="{C3380CC4-5D6E-409C-BE32-E72D297353CC}">
                <c16:uniqueId val="{00000001-9A99-4A6A-83DD-B69E0A053866}"/>
              </c:ext>
            </c:extLst>
          </c:dPt>
          <c:dPt>
            <c:idx val="1"/>
            <c:invertIfNegative val="0"/>
            <c:bubble3D val="0"/>
            <c:extLst>
              <c:ext xmlns:c16="http://schemas.microsoft.com/office/drawing/2014/chart" uri="{C3380CC4-5D6E-409C-BE32-E72D297353CC}">
                <c16:uniqueId val="{00000002-9A99-4A6A-83DD-B69E0A053866}"/>
              </c:ext>
            </c:extLst>
          </c:dPt>
          <c:dPt>
            <c:idx val="2"/>
            <c:invertIfNegative val="0"/>
            <c:bubble3D val="0"/>
            <c:extLst>
              <c:ext xmlns:c16="http://schemas.microsoft.com/office/drawing/2014/chart" uri="{C3380CC4-5D6E-409C-BE32-E72D297353CC}">
                <c16:uniqueId val="{00000003-9A99-4A6A-83DD-B69E0A053866}"/>
              </c:ext>
            </c:extLst>
          </c:dPt>
          <c:dPt>
            <c:idx val="3"/>
            <c:invertIfNegative val="0"/>
            <c:bubble3D val="0"/>
            <c:extLst>
              <c:ext xmlns:c16="http://schemas.microsoft.com/office/drawing/2014/chart" uri="{C3380CC4-5D6E-409C-BE32-E72D297353CC}">
                <c16:uniqueId val="{00000004-9A99-4A6A-83DD-B69E0A053866}"/>
              </c:ext>
            </c:extLst>
          </c:dPt>
          <c:dPt>
            <c:idx val="4"/>
            <c:invertIfNegative val="0"/>
            <c:bubble3D val="0"/>
            <c:extLst>
              <c:ext xmlns:c16="http://schemas.microsoft.com/office/drawing/2014/chart" uri="{C3380CC4-5D6E-409C-BE32-E72D297353CC}">
                <c16:uniqueId val="{00000005-9A99-4A6A-83DD-B69E0A053866}"/>
              </c:ext>
            </c:extLst>
          </c:dPt>
          <c:dPt>
            <c:idx val="5"/>
            <c:invertIfNegative val="0"/>
            <c:bubble3D val="0"/>
            <c:extLst>
              <c:ext xmlns:c16="http://schemas.microsoft.com/office/drawing/2014/chart" uri="{C3380CC4-5D6E-409C-BE32-E72D297353CC}">
                <c16:uniqueId val="{00000006-9A99-4A6A-83DD-B69E0A053866}"/>
              </c:ext>
            </c:extLst>
          </c:dPt>
          <c:dPt>
            <c:idx val="6"/>
            <c:invertIfNegative val="0"/>
            <c:bubble3D val="0"/>
            <c:extLst>
              <c:ext xmlns:c16="http://schemas.microsoft.com/office/drawing/2014/chart" uri="{C3380CC4-5D6E-409C-BE32-E72D297353CC}">
                <c16:uniqueId val="{00000007-9A99-4A6A-83DD-B69E0A053866}"/>
              </c:ext>
            </c:extLst>
          </c:dPt>
          <c:dPt>
            <c:idx val="7"/>
            <c:invertIfNegative val="0"/>
            <c:bubble3D val="0"/>
            <c:extLst>
              <c:ext xmlns:c16="http://schemas.microsoft.com/office/drawing/2014/chart" uri="{C3380CC4-5D6E-409C-BE32-E72D297353CC}">
                <c16:uniqueId val="{00000008-9A99-4A6A-83DD-B69E0A053866}"/>
              </c:ext>
            </c:extLst>
          </c:dPt>
          <c:dLbls>
            <c:spPr>
              <a:noFill/>
              <a:ln>
                <a:noFill/>
              </a:ln>
              <a:effectLst/>
            </c:spPr>
            <c:txPr>
              <a:bodyPr/>
              <a:lstStyle/>
              <a:p>
                <a:pPr>
                  <a:defRPr sz="700">
                    <a:solidFill>
                      <a:schemeClr val="tx1"/>
                    </a:solidFill>
                  </a:defRPr>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Hoja2!$D$5:$D$15</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Hoja2!$E$5:$E$15</c:f>
              <c:numCache>
                <c:formatCode>0.0%</c:formatCode>
                <c:ptCount val="11"/>
                <c:pt idx="0">
                  <c:v>0.13639502846428264</c:v>
                </c:pt>
                <c:pt idx="1">
                  <c:v>0.14192720341855256</c:v>
                </c:pt>
                <c:pt idx="2">
                  <c:v>0.14526069337537156</c:v>
                </c:pt>
                <c:pt idx="3">
                  <c:v>0.14422992892995798</c:v>
                </c:pt>
                <c:pt idx="4">
                  <c:v>0.14014780364336507</c:v>
                </c:pt>
                <c:pt idx="5">
                  <c:v>0.13771985076354704</c:v>
                </c:pt>
                <c:pt idx="6">
                  <c:v>0.13394622287253816</c:v>
                </c:pt>
                <c:pt idx="7">
                  <c:v>0.12269556842717404</c:v>
                </c:pt>
                <c:pt idx="8">
                  <c:v>0.12088132170381136</c:v>
                </c:pt>
                <c:pt idx="9">
                  <c:v>0.12107420491391324</c:v>
                </c:pt>
                <c:pt idx="10">
                  <c:v>0.12326177692733328</c:v>
                </c:pt>
              </c:numCache>
            </c:numRef>
          </c:val>
          <c:extLst>
            <c:ext xmlns:c16="http://schemas.microsoft.com/office/drawing/2014/chart" uri="{C3380CC4-5D6E-409C-BE32-E72D297353CC}">
              <c16:uniqueId val="{00000009-9A99-4A6A-83DD-B69E0A053866}"/>
            </c:ext>
          </c:extLst>
        </c:ser>
        <c:dLbls>
          <c:showLegendKey val="0"/>
          <c:showVal val="0"/>
          <c:showCatName val="0"/>
          <c:showSerName val="0"/>
          <c:showPercent val="0"/>
          <c:showBubbleSize val="0"/>
        </c:dLbls>
        <c:gapWidth val="25"/>
        <c:axId val="2657664"/>
        <c:axId val="104400000"/>
      </c:barChart>
      <c:catAx>
        <c:axId val="2657664"/>
        <c:scaling>
          <c:orientation val="minMax"/>
        </c:scaling>
        <c:delete val="0"/>
        <c:axPos val="b"/>
        <c:numFmt formatCode="General" sourceLinked="1"/>
        <c:majorTickMark val="out"/>
        <c:minorTickMark val="none"/>
        <c:tickLblPos val="nextTo"/>
        <c:crossAx val="104400000"/>
        <c:crosses val="autoZero"/>
        <c:auto val="1"/>
        <c:lblAlgn val="ctr"/>
        <c:lblOffset val="100"/>
        <c:noMultiLvlLbl val="0"/>
      </c:catAx>
      <c:valAx>
        <c:axId val="104400000"/>
        <c:scaling>
          <c:orientation val="minMax"/>
        </c:scaling>
        <c:delete val="0"/>
        <c:axPos val="l"/>
        <c:numFmt formatCode="0.0%" sourceLinked="1"/>
        <c:majorTickMark val="out"/>
        <c:minorTickMark val="none"/>
        <c:tickLblPos val="nextTo"/>
        <c:crossAx val="2657664"/>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'[Cuadros cierre 2018.xlsx]Hoja2'!$G$32</c:f>
              <c:strCache>
                <c:ptCount val="1"/>
                <c:pt idx="0">
                  <c:v>% de Ejec</c:v>
                </c:pt>
              </c:strCache>
            </c:strRef>
          </c:tx>
          <c:spPr>
            <a:solidFill>
              <a:schemeClr val="accent1"/>
            </a:solidFill>
          </c:spPr>
          <c:invertIfNegative val="0"/>
          <c:dPt>
            <c:idx val="0"/>
            <c:invertIfNegative val="0"/>
            <c:bubble3D val="0"/>
            <c:spPr>
              <a:solidFill>
                <a:schemeClr val="accent1"/>
              </a:solidFill>
            </c:spPr>
            <c:extLst>
              <c:ext xmlns:c16="http://schemas.microsoft.com/office/drawing/2014/chart" uri="{C3380CC4-5D6E-409C-BE32-E72D297353CC}">
                <c16:uniqueId val="{00000001-48C2-4F08-B97A-8BE24A2595EB}"/>
              </c:ext>
            </c:extLst>
          </c:dPt>
          <c:dPt>
            <c:idx val="1"/>
            <c:invertIfNegative val="0"/>
            <c:bubble3D val="0"/>
            <c:extLst>
              <c:ext xmlns:c16="http://schemas.microsoft.com/office/drawing/2014/chart" uri="{C3380CC4-5D6E-409C-BE32-E72D297353CC}">
                <c16:uniqueId val="{00000002-48C2-4F08-B97A-8BE24A2595EB}"/>
              </c:ext>
            </c:extLst>
          </c:dPt>
          <c:dPt>
            <c:idx val="2"/>
            <c:invertIfNegative val="0"/>
            <c:bubble3D val="0"/>
            <c:extLst>
              <c:ext xmlns:c16="http://schemas.microsoft.com/office/drawing/2014/chart" uri="{C3380CC4-5D6E-409C-BE32-E72D297353CC}">
                <c16:uniqueId val="{00000003-48C2-4F08-B97A-8BE24A2595EB}"/>
              </c:ext>
            </c:extLst>
          </c:dPt>
          <c:dPt>
            <c:idx val="3"/>
            <c:invertIfNegative val="0"/>
            <c:bubble3D val="0"/>
            <c:extLst>
              <c:ext xmlns:c16="http://schemas.microsoft.com/office/drawing/2014/chart" uri="{C3380CC4-5D6E-409C-BE32-E72D297353CC}">
                <c16:uniqueId val="{00000004-48C2-4F08-B97A-8BE24A2595EB}"/>
              </c:ext>
            </c:extLst>
          </c:dPt>
          <c:dPt>
            <c:idx val="8"/>
            <c:invertIfNegative val="0"/>
            <c:bubble3D val="0"/>
            <c:extLst>
              <c:ext xmlns:c16="http://schemas.microsoft.com/office/drawing/2014/chart" uri="{C3380CC4-5D6E-409C-BE32-E72D297353CC}">
                <c16:uniqueId val="{00000005-48C2-4F08-B97A-8BE24A2595EB}"/>
              </c:ext>
            </c:extLst>
          </c:dPt>
          <c:dPt>
            <c:idx val="9"/>
            <c:invertIfNegative val="0"/>
            <c:bubble3D val="0"/>
            <c:extLst>
              <c:ext xmlns:c16="http://schemas.microsoft.com/office/drawing/2014/chart" uri="{C3380CC4-5D6E-409C-BE32-E72D297353CC}">
                <c16:uniqueId val="{00000006-48C2-4F08-B97A-8BE24A2595EB}"/>
              </c:ext>
            </c:extLst>
          </c:dPt>
          <c:dPt>
            <c:idx val="10"/>
            <c:invertIfNegative val="0"/>
            <c:bubble3D val="0"/>
            <c:extLst>
              <c:ext xmlns:c16="http://schemas.microsoft.com/office/drawing/2014/chart" uri="{C3380CC4-5D6E-409C-BE32-E72D297353CC}">
                <c16:uniqueId val="{00000007-48C2-4F08-B97A-8BE24A2595EB}"/>
              </c:ext>
            </c:extLst>
          </c:dPt>
          <c:dLbls>
            <c:spPr>
              <a:noFill/>
              <a:ln>
                <a:noFill/>
              </a:ln>
              <a:effectLst/>
            </c:spPr>
            <c:txPr>
              <a:bodyPr/>
              <a:lstStyle/>
              <a:p>
                <a:pPr>
                  <a:defRPr sz="800">
                    <a:solidFill>
                      <a:schemeClr val="tx1"/>
                    </a:solidFill>
                  </a:defRPr>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'[Cuadros cierre 2018.xlsx]Hoja2'!$B$33:$B$43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'[Cuadros cierre 2018.xlsx]Hoja2'!$G$33:$G$43</c:f>
              <c:numCache>
                <c:formatCode>0.0%</c:formatCode>
                <c:ptCount val="11"/>
                <c:pt idx="0">
                  <c:v>0.97100400013480181</c:v>
                </c:pt>
                <c:pt idx="1">
                  <c:v>0.91670054123711997</c:v>
                </c:pt>
                <c:pt idx="2">
                  <c:v>0.92913056812002626</c:v>
                </c:pt>
                <c:pt idx="3">
                  <c:v>0.93989184934042602</c:v>
                </c:pt>
                <c:pt idx="4">
                  <c:v>0.96127386255162028</c:v>
                </c:pt>
                <c:pt idx="5">
                  <c:v>0.90368701970863785</c:v>
                </c:pt>
                <c:pt idx="6">
                  <c:v>0.91946188193788991</c:v>
                </c:pt>
                <c:pt idx="7">
                  <c:v>0.88382828330416796</c:v>
                </c:pt>
                <c:pt idx="8">
                  <c:v>0.92079526198855721</c:v>
                </c:pt>
                <c:pt idx="9">
                  <c:v>0.9174855765156813</c:v>
                </c:pt>
                <c:pt idx="10">
                  <c:v>0.96030535561856489</c:v>
                </c:pt>
              </c:numCache>
            </c:numRef>
          </c:val>
          <c:extLst>
            <c:ext xmlns:c16="http://schemas.microsoft.com/office/drawing/2014/chart" uri="{C3380CC4-5D6E-409C-BE32-E72D297353CC}">
              <c16:uniqueId val="{00000008-48C2-4F08-B97A-8BE24A2595EB}"/>
            </c:ext>
          </c:extLst>
        </c:ser>
        <c:dLbls>
          <c:showLegendKey val="0"/>
          <c:showVal val="0"/>
          <c:showCatName val="0"/>
          <c:showSerName val="0"/>
          <c:showPercent val="0"/>
          <c:showBubbleSize val="0"/>
        </c:dLbls>
        <c:gapWidth val="17"/>
        <c:overlap val="-25"/>
        <c:axId val="113080960"/>
        <c:axId val="113082752"/>
      </c:barChart>
      <c:lineChart>
        <c:grouping val="standard"/>
        <c:varyColors val="0"/>
        <c:ser>
          <c:idx val="1"/>
          <c:order val="1"/>
          <c:tx>
            <c:strRef>
              <c:f>'[Cuadros cierre 2018.xlsx]Hoja2'!$H$32</c:f>
              <c:strCache>
                <c:ptCount val="1"/>
                <c:pt idx="0">
                  <c:v>Promedio</c:v>
                </c:pt>
              </c:strCache>
            </c:strRef>
          </c:tx>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9-48C2-4F08-B97A-8BE24A2595EB}"/>
                </c:ext>
              </c:extLst>
            </c:dLbl>
            <c:dLbl>
              <c:idx val="1"/>
              <c:delete val="1"/>
              <c:extLst>
                <c:ext xmlns:c15="http://schemas.microsoft.com/office/drawing/2012/chart" uri="{CE6537A1-D6FC-4f65-9D91-7224C49458BB}"/>
                <c:ext xmlns:c16="http://schemas.microsoft.com/office/drawing/2014/chart" uri="{C3380CC4-5D6E-409C-BE32-E72D297353CC}">
                  <c16:uniqueId val="{0000000A-48C2-4F08-B97A-8BE24A2595EB}"/>
                </c:ext>
              </c:extLst>
            </c:dLbl>
            <c:dLbl>
              <c:idx val="2"/>
              <c:delete val="1"/>
              <c:extLst>
                <c:ext xmlns:c15="http://schemas.microsoft.com/office/drawing/2012/chart" uri="{CE6537A1-D6FC-4f65-9D91-7224C49458BB}"/>
                <c:ext xmlns:c16="http://schemas.microsoft.com/office/drawing/2014/chart" uri="{C3380CC4-5D6E-409C-BE32-E72D297353CC}">
                  <c16:uniqueId val="{0000000B-48C2-4F08-B97A-8BE24A2595EB}"/>
                </c:ext>
              </c:extLst>
            </c:dLbl>
            <c:dLbl>
              <c:idx val="3"/>
              <c:delete val="1"/>
              <c:extLst>
                <c:ext xmlns:c15="http://schemas.microsoft.com/office/drawing/2012/chart" uri="{CE6537A1-D6FC-4f65-9D91-7224C49458BB}"/>
                <c:ext xmlns:c16="http://schemas.microsoft.com/office/drawing/2014/chart" uri="{C3380CC4-5D6E-409C-BE32-E72D297353CC}">
                  <c16:uniqueId val="{0000000C-48C2-4F08-B97A-8BE24A2595EB}"/>
                </c:ext>
              </c:extLst>
            </c:dLbl>
            <c:dLbl>
              <c:idx val="4"/>
              <c:delete val="1"/>
              <c:extLst>
                <c:ext xmlns:c15="http://schemas.microsoft.com/office/drawing/2012/chart" uri="{CE6537A1-D6FC-4f65-9D91-7224C49458BB}"/>
                <c:ext xmlns:c16="http://schemas.microsoft.com/office/drawing/2014/chart" uri="{C3380CC4-5D6E-409C-BE32-E72D297353CC}">
                  <c16:uniqueId val="{0000000D-48C2-4F08-B97A-8BE24A2595EB}"/>
                </c:ext>
              </c:extLst>
            </c:dLbl>
            <c:dLbl>
              <c:idx val="5"/>
              <c:delete val="1"/>
              <c:extLst>
                <c:ext xmlns:c15="http://schemas.microsoft.com/office/drawing/2012/chart" uri="{CE6537A1-D6FC-4f65-9D91-7224C49458BB}"/>
                <c:ext xmlns:c16="http://schemas.microsoft.com/office/drawing/2014/chart" uri="{C3380CC4-5D6E-409C-BE32-E72D297353CC}">
                  <c16:uniqueId val="{0000000E-48C2-4F08-B97A-8BE24A2595EB}"/>
                </c:ext>
              </c:extLst>
            </c:dLbl>
            <c:dLbl>
              <c:idx val="6"/>
              <c:delete val="1"/>
              <c:extLst>
                <c:ext xmlns:c15="http://schemas.microsoft.com/office/drawing/2012/chart" uri="{CE6537A1-D6FC-4f65-9D91-7224C49458BB}"/>
                <c:ext xmlns:c16="http://schemas.microsoft.com/office/drawing/2014/chart" uri="{C3380CC4-5D6E-409C-BE32-E72D297353CC}">
                  <c16:uniqueId val="{0000000F-48C2-4F08-B97A-8BE24A2595EB}"/>
                </c:ext>
              </c:extLst>
            </c:dLbl>
            <c:dLbl>
              <c:idx val="7"/>
              <c:delete val="1"/>
              <c:extLst>
                <c:ext xmlns:c15="http://schemas.microsoft.com/office/drawing/2012/chart" uri="{CE6537A1-D6FC-4f65-9D91-7224C49458BB}"/>
                <c:ext xmlns:c16="http://schemas.microsoft.com/office/drawing/2014/chart" uri="{C3380CC4-5D6E-409C-BE32-E72D297353CC}">
                  <c16:uniqueId val="{00000010-48C2-4F08-B97A-8BE24A2595EB}"/>
                </c:ext>
              </c:extLst>
            </c:dLbl>
            <c:dLbl>
              <c:idx val="8"/>
              <c:delete val="1"/>
              <c:extLst>
                <c:ext xmlns:c15="http://schemas.microsoft.com/office/drawing/2012/chart" uri="{CE6537A1-D6FC-4f65-9D91-7224C49458BB}"/>
                <c:ext xmlns:c16="http://schemas.microsoft.com/office/drawing/2014/chart" uri="{C3380CC4-5D6E-409C-BE32-E72D297353CC}">
                  <c16:uniqueId val="{00000011-48C2-4F08-B97A-8BE24A2595EB}"/>
                </c:ext>
              </c:extLst>
            </c:dLbl>
            <c:dLbl>
              <c:idx val="9"/>
              <c:delete val="1"/>
              <c:extLst>
                <c:ext xmlns:c15="http://schemas.microsoft.com/office/drawing/2012/chart" uri="{CE6537A1-D6FC-4f65-9D91-7224C49458BB}"/>
                <c:ext xmlns:c16="http://schemas.microsoft.com/office/drawing/2014/chart" uri="{C3380CC4-5D6E-409C-BE32-E72D297353CC}">
                  <c16:uniqueId val="{00000012-48C2-4F08-B97A-8BE24A2595EB}"/>
                </c:ext>
              </c:extLst>
            </c:dLbl>
            <c:dLbl>
              <c:idx val="10"/>
              <c:layout>
                <c:manualLayout>
                  <c:x val="-0.11388910761154854"/>
                  <c:y val="-3.2407407407407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8C2-4F08-B97A-8BE24A2595EB}"/>
                </c:ext>
              </c:extLst>
            </c:dLbl>
            <c:spPr>
              <a:noFill/>
              <a:ln>
                <a:noFill/>
              </a:ln>
              <a:effectLst/>
            </c:spPr>
            <c:txPr>
              <a:bodyPr/>
              <a:lstStyle/>
              <a:p>
                <a:pPr>
                  <a:defRPr sz="900">
                    <a:solidFill>
                      <a:srgbClr val="FF000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'[Cuadros cierre 2018.xlsx]Hoja2'!$B$33:$B$43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'[Cuadros cierre 2018.xlsx]Hoja2'!$H$33:$H$43</c:f>
              <c:numCache>
                <c:formatCode>0.0%</c:formatCode>
                <c:ptCount val="11"/>
                <c:pt idx="0">
                  <c:v>0.92941492731431763</c:v>
                </c:pt>
                <c:pt idx="1">
                  <c:v>0.92941492731431763</c:v>
                </c:pt>
                <c:pt idx="2">
                  <c:v>0.92941492731431763</c:v>
                </c:pt>
                <c:pt idx="3">
                  <c:v>0.92941492731431763</c:v>
                </c:pt>
                <c:pt idx="4">
                  <c:v>0.92941492731431763</c:v>
                </c:pt>
                <c:pt idx="5">
                  <c:v>0.92941492731431763</c:v>
                </c:pt>
                <c:pt idx="6">
                  <c:v>0.92941492731431763</c:v>
                </c:pt>
                <c:pt idx="7">
                  <c:v>0.92941492731431763</c:v>
                </c:pt>
                <c:pt idx="8">
                  <c:v>0.92941492731431763</c:v>
                </c:pt>
                <c:pt idx="9">
                  <c:v>0.92941492731431763</c:v>
                </c:pt>
                <c:pt idx="10">
                  <c:v>0.92941492731431763</c:v>
                </c:pt>
              </c:numCache>
            </c:numRef>
          </c:val>
          <c:smooth val="0"/>
          <c:extLst>
            <c:ext xmlns:c16="http://schemas.microsoft.com/office/drawing/2014/chart" uri="{C3380CC4-5D6E-409C-BE32-E72D297353CC}">
              <c16:uniqueId val="{00000014-48C2-4F08-B97A-8BE24A2595EB}"/>
            </c:ext>
          </c:extLst>
        </c:ser>
        <c:dLbls>
          <c:showLegendKey val="0"/>
          <c:showVal val="0"/>
          <c:showCatName val="0"/>
          <c:showSerName val="0"/>
          <c:showPercent val="0"/>
          <c:showBubbleSize val="0"/>
        </c:dLbls>
        <c:marker val="1"/>
        <c:smooth val="0"/>
        <c:axId val="113080960"/>
        <c:axId val="113082752"/>
      </c:lineChart>
      <c:catAx>
        <c:axId val="113080960"/>
        <c:scaling>
          <c:orientation val="minMax"/>
        </c:scaling>
        <c:delete val="0"/>
        <c:axPos val="b"/>
        <c:numFmt formatCode="General" sourceLinked="1"/>
        <c:majorTickMark val="none"/>
        <c:minorTickMark val="none"/>
        <c:tickLblPos val="nextTo"/>
        <c:crossAx val="113082752"/>
        <c:crosses val="autoZero"/>
        <c:auto val="1"/>
        <c:lblAlgn val="ctr"/>
        <c:lblOffset val="100"/>
        <c:noMultiLvlLbl val="0"/>
      </c:catAx>
      <c:valAx>
        <c:axId val="113082752"/>
        <c:scaling>
          <c:orientation val="minMax"/>
        </c:scaling>
        <c:delete val="0"/>
        <c:axPos val="l"/>
        <c:numFmt formatCode="0.0%" sourceLinked="1"/>
        <c:majorTickMark val="none"/>
        <c:minorTickMark val="none"/>
        <c:tickLblPos val="nextTo"/>
        <c:spPr>
          <a:ln w="9525">
            <a:noFill/>
          </a:ln>
        </c:spPr>
        <c:crossAx val="113080960"/>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9732658681973498E-2"/>
          <c:y val="6.9357107271313292E-2"/>
          <c:w val="0.8788769717032886"/>
          <c:h val="0.82171664550607959"/>
        </c:manualLayout>
      </c:layout>
      <c:lineChart>
        <c:grouping val="standard"/>
        <c:varyColors val="0"/>
        <c:ser>
          <c:idx val="0"/>
          <c:order val="0"/>
          <c:tx>
            <c:strRef>
              <c:f>'[Gráfico en Microsoft Word]Hoja1 (3)'!$C$4</c:f>
              <c:strCache>
                <c:ptCount val="1"/>
                <c:pt idx="0">
                  <c:v>Déficit</c:v>
                </c:pt>
              </c:strCache>
            </c:strRef>
          </c:tx>
          <c:marker>
            <c:symbol val="none"/>
          </c:marker>
          <c:dLbls>
            <c:spPr>
              <a:noFill/>
              <a:ln>
                <a:noFill/>
              </a:ln>
              <a:effectLst/>
            </c:spPr>
            <c:txPr>
              <a:bodyPr/>
              <a:lstStyle/>
              <a:p>
                <a:pPr>
                  <a:defRPr b="1"/>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 en Microsoft Word]Hoja1 (3)'!$B$5:$B$23</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'[Gráfico en Microsoft Word]Hoja1 (3)'!$C$5:$C$23</c:f>
              <c:numCache>
                <c:formatCode>0.0</c:formatCode>
                <c:ptCount val="19"/>
                <c:pt idx="0">
                  <c:v>2</c:v>
                </c:pt>
                <c:pt idx="1">
                  <c:v>2.1</c:v>
                </c:pt>
                <c:pt idx="2">
                  <c:v>1.1000000000000001</c:v>
                </c:pt>
                <c:pt idx="3">
                  <c:v>2.6</c:v>
                </c:pt>
                <c:pt idx="4">
                  <c:v>1.1000000000000001</c:v>
                </c:pt>
                <c:pt idx="5">
                  <c:v>1.7</c:v>
                </c:pt>
                <c:pt idx="6">
                  <c:v>1.9</c:v>
                </c:pt>
                <c:pt idx="7">
                  <c:v>1.4</c:v>
                </c:pt>
                <c:pt idx="8">
                  <c:v>1.6</c:v>
                </c:pt>
                <c:pt idx="9">
                  <c:v>3.1</c:v>
                </c:pt>
                <c:pt idx="10">
                  <c:v>3.3</c:v>
                </c:pt>
                <c:pt idx="11">
                  <c:v>2.8</c:v>
                </c:pt>
                <c:pt idx="12">
                  <c:v>2.4</c:v>
                </c:pt>
                <c:pt idx="13">
                  <c:v>2.1</c:v>
                </c:pt>
                <c:pt idx="14">
                  <c:v>1.9</c:v>
                </c:pt>
                <c:pt idx="15">
                  <c:v>1.4</c:v>
                </c:pt>
                <c:pt idx="16">
                  <c:v>1.1000000000000001</c:v>
                </c:pt>
                <c:pt idx="17">
                  <c:v>1.3</c:v>
                </c:pt>
                <c:pt idx="18">
                  <c:v>1.8</c:v>
                </c:pt>
              </c:numCache>
            </c:numRef>
          </c:val>
          <c:smooth val="0"/>
          <c:extLst>
            <c:ext xmlns:c16="http://schemas.microsoft.com/office/drawing/2014/chart" uri="{C3380CC4-5D6E-409C-BE32-E72D297353CC}">
              <c16:uniqueId val="{00000000-6AFD-488C-8A5E-EA19E0BF5E8C}"/>
            </c:ext>
          </c:extLst>
        </c:ser>
        <c:ser>
          <c:idx val="1"/>
          <c:order val="1"/>
          <c:tx>
            <c:strRef>
              <c:f>'[Gráfico en Microsoft Word]Hoja1 (3)'!$D$4</c:f>
              <c:strCache>
                <c:ptCount val="1"/>
                <c:pt idx="0">
                  <c:v>Promedio 1.9%</c:v>
                </c:pt>
              </c:strCache>
            </c:strRef>
          </c:tx>
          <c:marker>
            <c:symbol val="none"/>
          </c:marker>
          <c:cat>
            <c:strRef>
              <c:f>'[Gráfico en Microsoft Word]Hoja1 (3)'!$B$5:$B$23</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'[Gráfico en Microsoft Word]Hoja1 (3)'!$D$5:$D$23</c:f>
              <c:numCache>
                <c:formatCode>0.0</c:formatCode>
                <c:ptCount val="19"/>
                <c:pt idx="0">
                  <c:v>1.9</c:v>
                </c:pt>
                <c:pt idx="1">
                  <c:v>1.9</c:v>
                </c:pt>
                <c:pt idx="2">
                  <c:v>1.9</c:v>
                </c:pt>
                <c:pt idx="3">
                  <c:v>1.9</c:v>
                </c:pt>
                <c:pt idx="4">
                  <c:v>1.9</c:v>
                </c:pt>
                <c:pt idx="5">
                  <c:v>1.9</c:v>
                </c:pt>
                <c:pt idx="6">
                  <c:v>1.9</c:v>
                </c:pt>
                <c:pt idx="7">
                  <c:v>1.9</c:v>
                </c:pt>
                <c:pt idx="8">
                  <c:v>1.9</c:v>
                </c:pt>
                <c:pt idx="9">
                  <c:v>1.9</c:v>
                </c:pt>
                <c:pt idx="10">
                  <c:v>1.9</c:v>
                </c:pt>
                <c:pt idx="11">
                  <c:v>1.9</c:v>
                </c:pt>
                <c:pt idx="12">
                  <c:v>1.9</c:v>
                </c:pt>
                <c:pt idx="13">
                  <c:v>1.9</c:v>
                </c:pt>
                <c:pt idx="14">
                  <c:v>1.9</c:v>
                </c:pt>
                <c:pt idx="15">
                  <c:v>1.9</c:v>
                </c:pt>
                <c:pt idx="16">
                  <c:v>1.9</c:v>
                </c:pt>
                <c:pt idx="17">
                  <c:v>1.9</c:v>
                </c:pt>
                <c:pt idx="18">
                  <c:v>1.9</c:v>
                </c:pt>
              </c:numCache>
            </c:numRef>
          </c:val>
          <c:smooth val="0"/>
          <c:extLst>
            <c:ext xmlns:c16="http://schemas.microsoft.com/office/drawing/2014/chart" uri="{C3380CC4-5D6E-409C-BE32-E72D297353CC}">
              <c16:uniqueId val="{00000001-6AFD-488C-8A5E-EA19E0BF5E8C}"/>
            </c:ext>
          </c:extLst>
        </c:ser>
        <c:dLbls>
          <c:showLegendKey val="0"/>
          <c:showVal val="0"/>
          <c:showCatName val="0"/>
          <c:showSerName val="0"/>
          <c:showPercent val="0"/>
          <c:showBubbleSize val="0"/>
        </c:dLbls>
        <c:smooth val="0"/>
        <c:axId val="115352704"/>
        <c:axId val="115354240"/>
      </c:lineChart>
      <c:catAx>
        <c:axId val="115352704"/>
        <c:scaling>
          <c:orientation val="minMax"/>
        </c:scaling>
        <c:delete val="0"/>
        <c:axPos val="b"/>
        <c:numFmt formatCode="General" sourceLinked="0"/>
        <c:majorTickMark val="out"/>
        <c:minorTickMark val="none"/>
        <c:tickLblPos val="nextTo"/>
        <c:txPr>
          <a:bodyPr/>
          <a:lstStyle/>
          <a:p>
            <a:pPr>
              <a:defRPr sz="700" b="1"/>
            </a:pPr>
            <a:endParaRPr lang="es-GT"/>
          </a:p>
        </c:txPr>
        <c:crossAx val="115354240"/>
        <c:crosses val="autoZero"/>
        <c:auto val="1"/>
        <c:lblAlgn val="ctr"/>
        <c:lblOffset val="100"/>
        <c:noMultiLvlLbl val="0"/>
      </c:catAx>
      <c:valAx>
        <c:axId val="115354240"/>
        <c:scaling>
          <c:orientation val="minMax"/>
        </c:scaling>
        <c:delete val="0"/>
        <c:axPos val="l"/>
        <c:numFmt formatCode="0.0" sourceLinked="1"/>
        <c:majorTickMark val="out"/>
        <c:minorTickMark val="none"/>
        <c:tickLblPos val="nextTo"/>
        <c:crossAx val="115352704"/>
        <c:crosses val="autoZero"/>
        <c:crossBetween val="between"/>
      </c:valAx>
    </c:plotArea>
    <c:legend>
      <c:legendPos val="r"/>
      <c:legendEntry>
        <c:idx val="0"/>
        <c:delete val="1"/>
      </c:legendEntry>
      <c:layout>
        <c:manualLayout>
          <c:xMode val="edge"/>
          <c:yMode val="edge"/>
          <c:x val="0.66824945934221369"/>
          <c:y val="0.23264231124393769"/>
          <c:w val="0.22455308177611652"/>
          <c:h val="9.4743397058984491E-2"/>
        </c:manualLayout>
      </c:layout>
      <c:overlay val="0"/>
      <c:txPr>
        <a:bodyPr/>
        <a:lstStyle/>
        <a:p>
          <a:pPr>
            <a:defRPr b="1"/>
          </a:pPr>
          <a:endParaRPr lang="es-GT"/>
        </a:p>
      </c:txPr>
    </c:legend>
    <c:plotVisOnly val="1"/>
    <c:dispBlanksAs val="gap"/>
    <c:showDLblsOverMax val="0"/>
  </c:chart>
  <c:txPr>
    <a:bodyPr/>
    <a:lstStyle/>
    <a:p>
      <a:pPr>
        <a:defRPr sz="900">
          <a:latin typeface="Times New Roman" pitchFamily="18" charset="0"/>
          <a:cs typeface="Times New Roman" pitchFamily="18" charset="0"/>
        </a:defRPr>
      </a:pPr>
      <a:endParaRPr lang="es-G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724181717336907E-2"/>
          <c:y val="3.788821821675474E-2"/>
          <c:w val="0.93097348090922594"/>
          <c:h val="0.91571647645167953"/>
        </c:manualLayout>
      </c:layout>
      <c:lineChart>
        <c:grouping val="standard"/>
        <c:varyColors val="0"/>
        <c:ser>
          <c:idx val="0"/>
          <c:order val="0"/>
          <c:tx>
            <c:strRef>
              <c:f>ICAE!$B$3</c:f>
              <c:strCache>
                <c:ptCount val="1"/>
              </c:strCache>
            </c:strRef>
          </c:tx>
          <c:marker>
            <c:symbol val="none"/>
          </c:marker>
          <c:dLbls>
            <c:dLbl>
              <c:idx val="0"/>
              <c:layout>
                <c:manualLayout>
                  <c:x val="-1.5819801048358888E-2"/>
                  <c:y val="-2.7034912468648926E-2"/>
                </c:manualLayout>
              </c:layout>
              <c:dLblPos val="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4B78-4545-8711-683A465B459E}"/>
                </c:ext>
              </c:extLst>
            </c:dLbl>
            <c:dLbl>
              <c:idx val="2"/>
              <c:delete val="1"/>
              <c:extLst>
                <c:ext xmlns:c15="http://schemas.microsoft.com/office/drawing/2012/chart" uri="{CE6537A1-D6FC-4f65-9D91-7224C49458BB}"/>
                <c:ext xmlns:c16="http://schemas.microsoft.com/office/drawing/2014/chart" uri="{C3380CC4-5D6E-409C-BE32-E72D297353CC}">
                  <c16:uniqueId val="{00000001-4B78-4545-8711-683A465B459E}"/>
                </c:ext>
              </c:extLst>
            </c:dLbl>
            <c:dLbl>
              <c:idx val="4"/>
              <c:delete val="1"/>
              <c:extLst>
                <c:ext xmlns:c15="http://schemas.microsoft.com/office/drawing/2012/chart" uri="{CE6537A1-D6FC-4f65-9D91-7224C49458BB}"/>
                <c:ext xmlns:c16="http://schemas.microsoft.com/office/drawing/2014/chart" uri="{C3380CC4-5D6E-409C-BE32-E72D297353CC}">
                  <c16:uniqueId val="{00000002-4B78-4545-8711-683A465B459E}"/>
                </c:ext>
              </c:extLst>
            </c:dLbl>
            <c:dLbl>
              <c:idx val="8"/>
              <c:delete val="1"/>
              <c:extLst>
                <c:ext xmlns:c15="http://schemas.microsoft.com/office/drawing/2012/chart" uri="{CE6537A1-D6FC-4f65-9D91-7224C49458BB}"/>
                <c:ext xmlns:c16="http://schemas.microsoft.com/office/drawing/2014/chart" uri="{C3380CC4-5D6E-409C-BE32-E72D297353CC}">
                  <c16:uniqueId val="{00000003-4B78-4545-8711-683A465B459E}"/>
                </c:ext>
              </c:extLst>
            </c:dLbl>
            <c:dLbl>
              <c:idx val="9"/>
              <c:layout>
                <c:manualLayout>
                  <c:x val="-3.1160165382011811E-2"/>
                  <c:y val="-2.7034912468648926E-2"/>
                </c:manualLayout>
              </c:layout>
              <c:dLblPos val="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4B78-4545-8711-683A465B459E}"/>
                </c:ext>
              </c:extLst>
            </c:dLbl>
            <c:dLbl>
              <c:idx val="11"/>
              <c:delete val="1"/>
              <c:extLst>
                <c:ext xmlns:c15="http://schemas.microsoft.com/office/drawing/2012/chart" uri="{CE6537A1-D6FC-4f65-9D91-7224C49458BB}"/>
                <c:ext xmlns:c16="http://schemas.microsoft.com/office/drawing/2014/chart" uri="{C3380CC4-5D6E-409C-BE32-E72D297353CC}">
                  <c16:uniqueId val="{00000005-4B78-4545-8711-683A465B459E}"/>
                </c:ext>
              </c:extLst>
            </c:dLbl>
            <c:dLbl>
              <c:idx val="13"/>
              <c:delete val="1"/>
              <c:extLst>
                <c:ext xmlns:c15="http://schemas.microsoft.com/office/drawing/2012/chart" uri="{CE6537A1-D6FC-4f65-9D91-7224C49458BB}"/>
                <c:ext xmlns:c16="http://schemas.microsoft.com/office/drawing/2014/chart" uri="{C3380CC4-5D6E-409C-BE32-E72D297353CC}">
                  <c16:uniqueId val="{00000006-4B78-4545-8711-683A465B459E}"/>
                </c:ext>
              </c:extLst>
            </c:dLbl>
            <c:dLbl>
              <c:idx val="15"/>
              <c:layout>
                <c:manualLayout>
                  <c:x val="-3.7088763137197556E-2"/>
                  <c:y val="-4.7869244404712671E-2"/>
                </c:manualLayout>
              </c:layout>
              <c:dLblPos val="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4B78-4545-8711-683A465B459E}"/>
                </c:ext>
              </c:extLst>
            </c:dLbl>
            <c:dLbl>
              <c:idx val="16"/>
              <c:delete val="1"/>
              <c:extLst>
                <c:ext xmlns:c15="http://schemas.microsoft.com/office/drawing/2012/chart" uri="{CE6537A1-D6FC-4f65-9D91-7224C49458BB}"/>
                <c:ext xmlns:c16="http://schemas.microsoft.com/office/drawing/2014/chart" uri="{C3380CC4-5D6E-409C-BE32-E72D297353CC}">
                  <c16:uniqueId val="{00000008-4B78-4545-8711-683A465B459E}"/>
                </c:ext>
              </c:extLst>
            </c:dLbl>
            <c:dLbl>
              <c:idx val="17"/>
              <c:delete val="1"/>
              <c:extLst>
                <c:ext xmlns:c15="http://schemas.microsoft.com/office/drawing/2012/chart" uri="{CE6537A1-D6FC-4f65-9D91-7224C49458BB}"/>
                <c:ext xmlns:c16="http://schemas.microsoft.com/office/drawing/2014/chart" uri="{C3380CC4-5D6E-409C-BE32-E72D297353CC}">
                  <c16:uniqueId val="{00000009-4B78-4545-8711-683A465B459E}"/>
                </c:ext>
              </c:extLst>
            </c:dLbl>
            <c:dLbl>
              <c:idx val="19"/>
              <c:delete val="1"/>
              <c:extLst>
                <c:ext xmlns:c15="http://schemas.microsoft.com/office/drawing/2012/chart" uri="{CE6537A1-D6FC-4f65-9D91-7224C49458BB}"/>
                <c:ext xmlns:c16="http://schemas.microsoft.com/office/drawing/2014/chart" uri="{C3380CC4-5D6E-409C-BE32-E72D297353CC}">
                  <c16:uniqueId val="{0000000A-4B78-4545-8711-683A465B459E}"/>
                </c:ext>
              </c:extLst>
            </c:dLbl>
            <c:dLbl>
              <c:idx val="22"/>
              <c:delete val="1"/>
              <c:extLst>
                <c:ext xmlns:c15="http://schemas.microsoft.com/office/drawing/2012/chart" uri="{CE6537A1-D6FC-4f65-9D91-7224C49458BB}"/>
                <c:ext xmlns:c16="http://schemas.microsoft.com/office/drawing/2014/chart" uri="{C3380CC4-5D6E-409C-BE32-E72D297353CC}">
                  <c16:uniqueId val="{0000000B-4B78-4545-8711-683A465B459E}"/>
                </c:ext>
              </c:extLst>
            </c:dLbl>
            <c:dLbl>
              <c:idx val="24"/>
              <c:layout>
                <c:manualLayout>
                  <c:x val="-2.7644665222216352E-2"/>
                  <c:y val="-3.702243003773429E-2"/>
                </c:manualLayout>
              </c:layout>
              <c:dLblPos val="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4B78-4545-8711-683A465B459E}"/>
                </c:ext>
              </c:extLst>
            </c:dLbl>
            <c:dLbl>
              <c:idx val="25"/>
              <c:delete val="1"/>
              <c:extLst>
                <c:ext xmlns:c15="http://schemas.microsoft.com/office/drawing/2012/chart" uri="{CE6537A1-D6FC-4f65-9D91-7224C49458BB}"/>
                <c:ext xmlns:c16="http://schemas.microsoft.com/office/drawing/2014/chart" uri="{C3380CC4-5D6E-409C-BE32-E72D297353CC}">
                  <c16:uniqueId val="{0000000D-4B78-4545-8711-683A465B459E}"/>
                </c:ext>
              </c:extLst>
            </c:dLbl>
            <c:dLbl>
              <c:idx val="27"/>
              <c:delete val="1"/>
              <c:extLst>
                <c:ext xmlns:c15="http://schemas.microsoft.com/office/drawing/2012/chart" uri="{CE6537A1-D6FC-4f65-9D91-7224C49458BB}"/>
                <c:ext xmlns:c16="http://schemas.microsoft.com/office/drawing/2014/chart" uri="{C3380CC4-5D6E-409C-BE32-E72D297353CC}">
                  <c16:uniqueId val="{0000000E-4B78-4545-8711-683A465B459E}"/>
                </c:ext>
              </c:extLst>
            </c:dLbl>
            <c:dLbl>
              <c:idx val="29"/>
              <c:delete val="1"/>
              <c:extLst>
                <c:ext xmlns:c15="http://schemas.microsoft.com/office/drawing/2012/chart" uri="{CE6537A1-D6FC-4f65-9D91-7224C49458BB}"/>
                <c:ext xmlns:c16="http://schemas.microsoft.com/office/drawing/2014/chart" uri="{C3380CC4-5D6E-409C-BE32-E72D297353CC}">
                  <c16:uniqueId val="{0000000F-4B78-4545-8711-683A465B459E}"/>
                </c:ext>
              </c:extLst>
            </c:dLbl>
            <c:dLbl>
              <c:idx val="31"/>
              <c:delete val="1"/>
              <c:extLst>
                <c:ext xmlns:c15="http://schemas.microsoft.com/office/drawing/2012/chart" uri="{CE6537A1-D6FC-4f65-9D91-7224C49458BB}"/>
                <c:ext xmlns:c16="http://schemas.microsoft.com/office/drawing/2014/chart" uri="{C3380CC4-5D6E-409C-BE32-E72D297353CC}">
                  <c16:uniqueId val="{00000010-4B78-4545-8711-683A465B459E}"/>
                </c:ext>
              </c:extLst>
            </c:dLbl>
            <c:dLbl>
              <c:idx val="33"/>
              <c:delete val="1"/>
              <c:extLst>
                <c:ext xmlns:c15="http://schemas.microsoft.com/office/drawing/2012/chart" uri="{CE6537A1-D6FC-4f65-9D91-7224C49458BB}"/>
                <c:ext xmlns:c16="http://schemas.microsoft.com/office/drawing/2014/chart" uri="{C3380CC4-5D6E-409C-BE32-E72D297353CC}">
                  <c16:uniqueId val="{00000011-4B78-4545-8711-683A465B459E}"/>
                </c:ext>
              </c:extLst>
            </c:dLbl>
            <c:dLbl>
              <c:idx val="35"/>
              <c:layout>
                <c:manualLayout>
                  <c:x val="-1.8372904691671555E-3"/>
                  <c:y val="-3.956525734910165E-2"/>
                </c:manualLayout>
              </c:layout>
              <c:dLblPos val="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2-4B78-4545-8711-683A465B459E}"/>
                </c:ext>
              </c:extLst>
            </c:dLbl>
            <c:numFmt formatCode="#,##0.0" sourceLinked="0"/>
            <c:spPr>
              <a:noFill/>
              <a:ln>
                <a:noFill/>
              </a:ln>
              <a:effectLst/>
            </c:spPr>
            <c:txPr>
              <a:bodyPr/>
              <a:lstStyle/>
              <a:p>
                <a:pPr>
                  <a:defRPr sz="800"/>
                </a:pPr>
                <a:endParaRPr lang="es-GT"/>
              </a:p>
            </c:txPr>
            <c:dLblPos val="b"/>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Ref>
              <c:f>ICAE!$A$16:$A$51</c:f>
              <c:numCache>
                <c:formatCode>mmm\-yy</c:formatCode>
                <c:ptCount val="36"/>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numCache>
            </c:numRef>
          </c:cat>
          <c:val>
            <c:numRef>
              <c:f>ICAE!$B$16:$B$51</c:f>
              <c:numCache>
                <c:formatCode>0.0</c:formatCode>
                <c:ptCount val="36"/>
                <c:pt idx="0">
                  <c:v>67</c:v>
                </c:pt>
                <c:pt idx="1">
                  <c:v>60.7</c:v>
                </c:pt>
                <c:pt idx="2">
                  <c:v>61.5</c:v>
                </c:pt>
                <c:pt idx="3">
                  <c:v>62.5</c:v>
                </c:pt>
                <c:pt idx="4">
                  <c:v>61.7</c:v>
                </c:pt>
                <c:pt idx="5">
                  <c:v>50.9</c:v>
                </c:pt>
                <c:pt idx="6">
                  <c:v>45</c:v>
                </c:pt>
                <c:pt idx="7">
                  <c:v>37.5</c:v>
                </c:pt>
                <c:pt idx="8">
                  <c:v>38.9</c:v>
                </c:pt>
                <c:pt idx="9">
                  <c:v>45.1</c:v>
                </c:pt>
                <c:pt idx="10">
                  <c:v>43.5</c:v>
                </c:pt>
                <c:pt idx="11">
                  <c:v>57</c:v>
                </c:pt>
                <c:pt idx="12">
                  <c:v>58.04</c:v>
                </c:pt>
                <c:pt idx="13">
                  <c:v>55</c:v>
                </c:pt>
                <c:pt idx="14">
                  <c:v>50</c:v>
                </c:pt>
                <c:pt idx="15">
                  <c:v>54.17</c:v>
                </c:pt>
                <c:pt idx="16">
                  <c:v>53.58</c:v>
                </c:pt>
                <c:pt idx="17">
                  <c:v>50</c:v>
                </c:pt>
                <c:pt idx="18">
                  <c:v>46.67</c:v>
                </c:pt>
                <c:pt idx="19">
                  <c:v>44.45</c:v>
                </c:pt>
                <c:pt idx="20">
                  <c:v>25</c:v>
                </c:pt>
                <c:pt idx="21">
                  <c:v>20.84</c:v>
                </c:pt>
                <c:pt idx="22">
                  <c:v>30.15</c:v>
                </c:pt>
                <c:pt idx="23">
                  <c:v>33.340000000000003</c:v>
                </c:pt>
                <c:pt idx="24" formatCode="General">
                  <c:v>49.22</c:v>
                </c:pt>
                <c:pt idx="25" formatCode="General">
                  <c:v>46.83</c:v>
                </c:pt>
                <c:pt idx="26" formatCode="General">
                  <c:v>47.31</c:v>
                </c:pt>
                <c:pt idx="27" formatCode="General">
                  <c:v>42.88</c:v>
                </c:pt>
                <c:pt idx="28" formatCode="General">
                  <c:v>41.25</c:v>
                </c:pt>
                <c:pt idx="29" formatCode="General">
                  <c:v>44.28</c:v>
                </c:pt>
                <c:pt idx="30" formatCode="General">
                  <c:v>39.58</c:v>
                </c:pt>
                <c:pt idx="31" formatCode="General">
                  <c:v>44.17</c:v>
                </c:pt>
                <c:pt idx="32" formatCode="General">
                  <c:v>44</c:v>
                </c:pt>
                <c:pt idx="33" formatCode="General">
                  <c:v>44.82</c:v>
                </c:pt>
                <c:pt idx="34" formatCode="General">
                  <c:v>45.27</c:v>
                </c:pt>
                <c:pt idx="35" formatCode="General">
                  <c:v>48.81</c:v>
                </c:pt>
              </c:numCache>
            </c:numRef>
          </c:val>
          <c:smooth val="0"/>
          <c:extLst>
            <c:ext xmlns:c16="http://schemas.microsoft.com/office/drawing/2014/chart" uri="{C3380CC4-5D6E-409C-BE32-E72D297353CC}">
              <c16:uniqueId val="{00000013-4B78-4545-8711-683A465B459E}"/>
            </c:ext>
          </c:extLst>
        </c:ser>
        <c:ser>
          <c:idx val="1"/>
          <c:order val="1"/>
          <c:tx>
            <c:strRef>
              <c:f>ICAE!$C$3</c:f>
              <c:strCache>
                <c:ptCount val="1"/>
              </c:strCache>
            </c:strRef>
          </c:tx>
          <c:marker>
            <c:symbol val="none"/>
          </c:marker>
          <c:cat>
            <c:numRef>
              <c:f>ICAE!$A$16:$A$51</c:f>
              <c:numCache>
                <c:formatCode>mmm\-yy</c:formatCode>
                <c:ptCount val="36"/>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numCache>
            </c:numRef>
          </c:cat>
          <c:val>
            <c:numRef>
              <c:f>ICAE!$C$4:$C$51</c:f>
              <c:numCache>
                <c:formatCode>General</c:formatCode>
                <c:ptCount val="48"/>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pt idx="32">
                  <c:v>50</c:v>
                </c:pt>
                <c:pt idx="33">
                  <c:v>50</c:v>
                </c:pt>
                <c:pt idx="34">
                  <c:v>50</c:v>
                </c:pt>
                <c:pt idx="35">
                  <c:v>50</c:v>
                </c:pt>
                <c:pt idx="36">
                  <c:v>50</c:v>
                </c:pt>
                <c:pt idx="37">
                  <c:v>50</c:v>
                </c:pt>
                <c:pt idx="38">
                  <c:v>50</c:v>
                </c:pt>
                <c:pt idx="39">
                  <c:v>50</c:v>
                </c:pt>
                <c:pt idx="40">
                  <c:v>50</c:v>
                </c:pt>
                <c:pt idx="41">
                  <c:v>50</c:v>
                </c:pt>
                <c:pt idx="42">
                  <c:v>50</c:v>
                </c:pt>
                <c:pt idx="43">
                  <c:v>50</c:v>
                </c:pt>
                <c:pt idx="44">
                  <c:v>50</c:v>
                </c:pt>
                <c:pt idx="45">
                  <c:v>50</c:v>
                </c:pt>
                <c:pt idx="46">
                  <c:v>50</c:v>
                </c:pt>
                <c:pt idx="47">
                  <c:v>50</c:v>
                </c:pt>
              </c:numCache>
            </c:numRef>
          </c:val>
          <c:smooth val="0"/>
          <c:extLst>
            <c:ext xmlns:c16="http://schemas.microsoft.com/office/drawing/2014/chart" uri="{C3380CC4-5D6E-409C-BE32-E72D297353CC}">
              <c16:uniqueId val="{00000014-4B78-4545-8711-683A465B459E}"/>
            </c:ext>
          </c:extLst>
        </c:ser>
        <c:dLbls>
          <c:showLegendKey val="0"/>
          <c:showVal val="0"/>
          <c:showCatName val="0"/>
          <c:showSerName val="0"/>
          <c:showPercent val="0"/>
          <c:showBubbleSize val="0"/>
        </c:dLbls>
        <c:smooth val="0"/>
        <c:axId val="104506880"/>
        <c:axId val="104508416"/>
      </c:lineChart>
      <c:dateAx>
        <c:axId val="104506880"/>
        <c:scaling>
          <c:orientation val="minMax"/>
        </c:scaling>
        <c:delete val="0"/>
        <c:axPos val="b"/>
        <c:numFmt formatCode="mmm\-yy" sourceLinked="1"/>
        <c:majorTickMark val="out"/>
        <c:minorTickMark val="none"/>
        <c:tickLblPos val="nextTo"/>
        <c:txPr>
          <a:bodyPr rot="-5400000" vert="horz"/>
          <a:lstStyle/>
          <a:p>
            <a:pPr>
              <a:defRPr/>
            </a:pPr>
            <a:endParaRPr lang="es-GT"/>
          </a:p>
        </c:txPr>
        <c:crossAx val="104508416"/>
        <c:crosses val="autoZero"/>
        <c:auto val="1"/>
        <c:lblOffset val="100"/>
        <c:baseTimeUnit val="months"/>
      </c:dateAx>
      <c:valAx>
        <c:axId val="104508416"/>
        <c:scaling>
          <c:orientation val="minMax"/>
          <c:max val="80"/>
        </c:scaling>
        <c:delete val="0"/>
        <c:axPos val="l"/>
        <c:numFmt formatCode="0.0" sourceLinked="1"/>
        <c:majorTickMark val="out"/>
        <c:minorTickMark val="none"/>
        <c:tickLblPos val="nextTo"/>
        <c:crossAx val="104506880"/>
        <c:crosses val="autoZero"/>
        <c:crossBetween val="between"/>
        <c:majorUnit val="15"/>
      </c:valAx>
    </c:plotArea>
    <c:plotVisOnly val="1"/>
    <c:dispBlanksAs val="gap"/>
    <c:showDLblsOverMax val="0"/>
  </c:chart>
  <c:spPr>
    <a:ln>
      <a:noFill/>
    </a:ln>
  </c:spPr>
  <c:txPr>
    <a:bodyPr/>
    <a:lstStyle/>
    <a:p>
      <a:pPr>
        <a:defRPr sz="900">
          <a:latin typeface="Times New Roman" pitchFamily="18" charset="0"/>
          <a:cs typeface="Times New Roman" pitchFamily="18" charset="0"/>
        </a:defRPr>
      </a:pPr>
      <a:endParaRPr lang="es-G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35634717849931"/>
          <c:y val="0.16517272590341092"/>
          <c:w val="0.77413831989125459"/>
          <c:h val="0.56910284110525799"/>
        </c:manualLayout>
      </c:layout>
      <c:lineChart>
        <c:grouping val="standard"/>
        <c:varyColors val="0"/>
        <c:ser>
          <c:idx val="0"/>
          <c:order val="0"/>
          <c:tx>
            <c:strRef>
              <c:f>'[Gráfico en Microsoft Word]Inflación'!$D$3:$D$4</c:f>
              <c:strCache>
                <c:ptCount val="1"/>
                <c:pt idx="0">
                  <c:v>Inflación total</c:v>
                </c:pt>
              </c:strCache>
            </c:strRef>
          </c:tx>
          <c:marker>
            <c:symbol val="none"/>
          </c:marker>
          <c:dLbls>
            <c:dLbl>
              <c:idx val="8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2A-44CB-B630-5E175D9F7AF0}"/>
                </c:ext>
              </c:extLst>
            </c:dLbl>
            <c:spPr>
              <a:noFill/>
              <a:ln>
                <a:noFill/>
              </a:ln>
              <a:effectLst/>
            </c:spPr>
            <c:txPr>
              <a:bodyPr/>
              <a:lstStyle/>
              <a:p>
                <a:pPr>
                  <a:defRPr sz="800"/>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'[Gráfico en Microsoft Word]Inflación'!$C$5:$C$88</c:f>
              <c:strCache>
                <c:ptCount val="84"/>
                <c:pt idx="0">
                  <c:v>ene-12</c:v>
                </c:pt>
                <c:pt idx="1">
                  <c:v>feb</c:v>
                </c:pt>
                <c:pt idx="2">
                  <c:v>mar</c:v>
                </c:pt>
                <c:pt idx="3">
                  <c:v>abr</c:v>
                </c:pt>
                <c:pt idx="4">
                  <c:v>may</c:v>
                </c:pt>
                <c:pt idx="5">
                  <c:v>jun</c:v>
                </c:pt>
                <c:pt idx="6">
                  <c:v>jul</c:v>
                </c:pt>
                <c:pt idx="7">
                  <c:v>ago</c:v>
                </c:pt>
                <c:pt idx="8">
                  <c:v>sep</c:v>
                </c:pt>
                <c:pt idx="9">
                  <c:v>oct</c:v>
                </c:pt>
                <c:pt idx="10">
                  <c:v>nov</c:v>
                </c:pt>
                <c:pt idx="11">
                  <c:v>dic</c:v>
                </c:pt>
                <c:pt idx="12">
                  <c:v>ene-13</c:v>
                </c:pt>
                <c:pt idx="13">
                  <c:v>feb</c:v>
                </c:pt>
                <c:pt idx="14">
                  <c:v>mar</c:v>
                </c:pt>
                <c:pt idx="15">
                  <c:v>abr</c:v>
                </c:pt>
                <c:pt idx="16">
                  <c:v>may</c:v>
                </c:pt>
                <c:pt idx="17">
                  <c:v>jun</c:v>
                </c:pt>
                <c:pt idx="18">
                  <c:v>jul</c:v>
                </c:pt>
                <c:pt idx="19">
                  <c:v>ago</c:v>
                </c:pt>
                <c:pt idx="20">
                  <c:v>sep</c:v>
                </c:pt>
                <c:pt idx="21">
                  <c:v>oct</c:v>
                </c:pt>
                <c:pt idx="22">
                  <c:v>nov</c:v>
                </c:pt>
                <c:pt idx="23">
                  <c:v>dic</c:v>
                </c:pt>
                <c:pt idx="24">
                  <c:v>ene-14</c:v>
                </c:pt>
                <c:pt idx="25">
                  <c:v>feb</c:v>
                </c:pt>
                <c:pt idx="26">
                  <c:v>mar</c:v>
                </c:pt>
                <c:pt idx="27">
                  <c:v>abr</c:v>
                </c:pt>
                <c:pt idx="28">
                  <c:v>may</c:v>
                </c:pt>
                <c:pt idx="29">
                  <c:v>jun</c:v>
                </c:pt>
                <c:pt idx="30">
                  <c:v>jul</c:v>
                </c:pt>
                <c:pt idx="31">
                  <c:v>ago</c:v>
                </c:pt>
                <c:pt idx="32">
                  <c:v>sep</c:v>
                </c:pt>
                <c:pt idx="33">
                  <c:v>oct</c:v>
                </c:pt>
                <c:pt idx="34">
                  <c:v>nov</c:v>
                </c:pt>
                <c:pt idx="35">
                  <c:v>dic</c:v>
                </c:pt>
                <c:pt idx="36">
                  <c:v>ene-15</c:v>
                </c:pt>
                <c:pt idx="37">
                  <c:v>feb</c:v>
                </c:pt>
                <c:pt idx="38">
                  <c:v>mar</c:v>
                </c:pt>
                <c:pt idx="39">
                  <c:v>abr</c:v>
                </c:pt>
                <c:pt idx="40">
                  <c:v>may</c:v>
                </c:pt>
                <c:pt idx="41">
                  <c:v>jun</c:v>
                </c:pt>
                <c:pt idx="42">
                  <c:v>jul</c:v>
                </c:pt>
                <c:pt idx="43">
                  <c:v>ago</c:v>
                </c:pt>
                <c:pt idx="44">
                  <c:v>sep</c:v>
                </c:pt>
                <c:pt idx="45">
                  <c:v>oct</c:v>
                </c:pt>
                <c:pt idx="46">
                  <c:v>nov</c:v>
                </c:pt>
                <c:pt idx="47">
                  <c:v>dic</c:v>
                </c:pt>
                <c:pt idx="48">
                  <c:v>ene-16</c:v>
                </c:pt>
                <c:pt idx="49">
                  <c:v>feb</c:v>
                </c:pt>
                <c:pt idx="50">
                  <c:v>mar</c:v>
                </c:pt>
                <c:pt idx="51">
                  <c:v>abr</c:v>
                </c:pt>
                <c:pt idx="52">
                  <c:v>may</c:v>
                </c:pt>
                <c:pt idx="53">
                  <c:v>jun</c:v>
                </c:pt>
                <c:pt idx="54">
                  <c:v>jul</c:v>
                </c:pt>
                <c:pt idx="55">
                  <c:v>ago</c:v>
                </c:pt>
                <c:pt idx="56">
                  <c:v>sep</c:v>
                </c:pt>
                <c:pt idx="57">
                  <c:v>oct</c:v>
                </c:pt>
                <c:pt idx="58">
                  <c:v>nov</c:v>
                </c:pt>
                <c:pt idx="59">
                  <c:v>dic</c:v>
                </c:pt>
                <c:pt idx="60">
                  <c:v>ene-17</c:v>
                </c:pt>
                <c:pt idx="61">
                  <c:v>feb</c:v>
                </c:pt>
                <c:pt idx="62">
                  <c:v>mar</c:v>
                </c:pt>
                <c:pt idx="63">
                  <c:v>abr</c:v>
                </c:pt>
                <c:pt idx="64">
                  <c:v>may</c:v>
                </c:pt>
                <c:pt idx="65">
                  <c:v>jun</c:v>
                </c:pt>
                <c:pt idx="66">
                  <c:v>jul</c:v>
                </c:pt>
                <c:pt idx="67">
                  <c:v>ago</c:v>
                </c:pt>
                <c:pt idx="68">
                  <c:v>sep</c:v>
                </c:pt>
                <c:pt idx="69">
                  <c:v>oct</c:v>
                </c:pt>
                <c:pt idx="70">
                  <c:v>nov</c:v>
                </c:pt>
                <c:pt idx="71">
                  <c:v>dic</c:v>
                </c:pt>
                <c:pt idx="72">
                  <c:v>ene-18</c:v>
                </c:pt>
                <c:pt idx="73">
                  <c:v>feb</c:v>
                </c:pt>
                <c:pt idx="74">
                  <c:v>mar</c:v>
                </c:pt>
                <c:pt idx="75">
                  <c:v>abr</c:v>
                </c:pt>
                <c:pt idx="76">
                  <c:v>may</c:v>
                </c:pt>
                <c:pt idx="77">
                  <c:v>jun</c:v>
                </c:pt>
                <c:pt idx="78">
                  <c:v>jul</c:v>
                </c:pt>
                <c:pt idx="79">
                  <c:v>ago</c:v>
                </c:pt>
                <c:pt idx="80">
                  <c:v>sep</c:v>
                </c:pt>
                <c:pt idx="81">
                  <c:v>oct</c:v>
                </c:pt>
                <c:pt idx="82">
                  <c:v>nov</c:v>
                </c:pt>
                <c:pt idx="83">
                  <c:v>dic</c:v>
                </c:pt>
              </c:strCache>
            </c:strRef>
          </c:cat>
          <c:val>
            <c:numRef>
              <c:f>'[Gráfico en Microsoft Word]Inflación'!$D$5:$D$88</c:f>
              <c:numCache>
                <c:formatCode>0.00</c:formatCode>
                <c:ptCount val="84"/>
                <c:pt idx="0">
                  <c:v>5.44</c:v>
                </c:pt>
                <c:pt idx="1">
                  <c:v>5.17</c:v>
                </c:pt>
                <c:pt idx="2">
                  <c:v>4.55</c:v>
                </c:pt>
                <c:pt idx="3">
                  <c:v>4.2699999999999996</c:v>
                </c:pt>
                <c:pt idx="4">
                  <c:v>3.9</c:v>
                </c:pt>
                <c:pt idx="5">
                  <c:v>3.47</c:v>
                </c:pt>
                <c:pt idx="6">
                  <c:v>2.86</c:v>
                </c:pt>
                <c:pt idx="7">
                  <c:v>2.71</c:v>
                </c:pt>
                <c:pt idx="8">
                  <c:v>3.28</c:v>
                </c:pt>
                <c:pt idx="9">
                  <c:v>3.35</c:v>
                </c:pt>
                <c:pt idx="10">
                  <c:v>3.11</c:v>
                </c:pt>
                <c:pt idx="11">
                  <c:v>3.45</c:v>
                </c:pt>
                <c:pt idx="12">
                  <c:v>3.86</c:v>
                </c:pt>
                <c:pt idx="13">
                  <c:v>4.18</c:v>
                </c:pt>
                <c:pt idx="14">
                  <c:v>4.34</c:v>
                </c:pt>
                <c:pt idx="15">
                  <c:v>4.13</c:v>
                </c:pt>
                <c:pt idx="16">
                  <c:v>4.2699999999999996</c:v>
                </c:pt>
                <c:pt idx="17">
                  <c:v>4.79</c:v>
                </c:pt>
                <c:pt idx="18">
                  <c:v>4.74</c:v>
                </c:pt>
                <c:pt idx="19">
                  <c:v>4.42</c:v>
                </c:pt>
                <c:pt idx="20">
                  <c:v>4.21</c:v>
                </c:pt>
                <c:pt idx="21">
                  <c:v>4.1500000000000004</c:v>
                </c:pt>
                <c:pt idx="22">
                  <c:v>4.63</c:v>
                </c:pt>
                <c:pt idx="23">
                  <c:v>4.3899999999999997</c:v>
                </c:pt>
                <c:pt idx="24">
                  <c:v>4.1399999999999997</c:v>
                </c:pt>
                <c:pt idx="25">
                  <c:v>3.5</c:v>
                </c:pt>
                <c:pt idx="26">
                  <c:v>3.25</c:v>
                </c:pt>
                <c:pt idx="27">
                  <c:v>3.27</c:v>
                </c:pt>
                <c:pt idx="28">
                  <c:v>3.22</c:v>
                </c:pt>
                <c:pt idx="29">
                  <c:v>3.13</c:v>
                </c:pt>
                <c:pt idx="30">
                  <c:v>3.41</c:v>
                </c:pt>
                <c:pt idx="31">
                  <c:v>3.7</c:v>
                </c:pt>
                <c:pt idx="32">
                  <c:v>3.45</c:v>
                </c:pt>
                <c:pt idx="33">
                  <c:v>3.64</c:v>
                </c:pt>
                <c:pt idx="34">
                  <c:v>3.38</c:v>
                </c:pt>
                <c:pt idx="35">
                  <c:v>2.95</c:v>
                </c:pt>
                <c:pt idx="36">
                  <c:v>2.3199999999999998</c:v>
                </c:pt>
                <c:pt idx="37">
                  <c:v>2.44</c:v>
                </c:pt>
                <c:pt idx="38">
                  <c:v>2.4300000000000002</c:v>
                </c:pt>
                <c:pt idx="39">
                  <c:v>2.58</c:v>
                </c:pt>
                <c:pt idx="40">
                  <c:v>2.5499999999999998</c:v>
                </c:pt>
                <c:pt idx="41">
                  <c:v>2.39</c:v>
                </c:pt>
                <c:pt idx="42">
                  <c:v>2.3199999999999998</c:v>
                </c:pt>
                <c:pt idx="43">
                  <c:v>1.96</c:v>
                </c:pt>
                <c:pt idx="44">
                  <c:v>1.88</c:v>
                </c:pt>
                <c:pt idx="45">
                  <c:v>2.23</c:v>
                </c:pt>
                <c:pt idx="46">
                  <c:v>2.5099999999999998</c:v>
                </c:pt>
                <c:pt idx="47">
                  <c:v>3.07</c:v>
                </c:pt>
                <c:pt idx="48">
                  <c:v>4.38</c:v>
                </c:pt>
                <c:pt idx="49">
                  <c:v>4.2699999999999996</c:v>
                </c:pt>
                <c:pt idx="50">
                  <c:v>4.26</c:v>
                </c:pt>
                <c:pt idx="51">
                  <c:v>4.09</c:v>
                </c:pt>
                <c:pt idx="52">
                  <c:v>4.3600000000000003</c:v>
                </c:pt>
                <c:pt idx="53">
                  <c:v>4.43</c:v>
                </c:pt>
                <c:pt idx="54">
                  <c:v>4.62</c:v>
                </c:pt>
                <c:pt idx="55">
                  <c:v>4.74</c:v>
                </c:pt>
                <c:pt idx="56">
                  <c:v>4.5599999999999996</c:v>
                </c:pt>
                <c:pt idx="57">
                  <c:v>4.76</c:v>
                </c:pt>
                <c:pt idx="58">
                  <c:v>4.67</c:v>
                </c:pt>
                <c:pt idx="59">
                  <c:v>4.2300000000000004</c:v>
                </c:pt>
                <c:pt idx="60">
                  <c:v>3.83</c:v>
                </c:pt>
                <c:pt idx="61">
                  <c:v>3.96</c:v>
                </c:pt>
                <c:pt idx="62">
                  <c:v>4</c:v>
                </c:pt>
                <c:pt idx="63">
                  <c:v>4.09</c:v>
                </c:pt>
                <c:pt idx="64">
                  <c:v>3.93</c:v>
                </c:pt>
                <c:pt idx="65">
                  <c:v>4.3600000000000003</c:v>
                </c:pt>
                <c:pt idx="66">
                  <c:v>5.22</c:v>
                </c:pt>
                <c:pt idx="67">
                  <c:v>4.72</c:v>
                </c:pt>
                <c:pt idx="68">
                  <c:v>4.3600000000000003</c:v>
                </c:pt>
                <c:pt idx="69">
                  <c:v>4.2</c:v>
                </c:pt>
                <c:pt idx="70">
                  <c:v>4.6900000000000004</c:v>
                </c:pt>
                <c:pt idx="71">
                  <c:v>5.68</c:v>
                </c:pt>
                <c:pt idx="72">
                  <c:v>4.71</c:v>
                </c:pt>
                <c:pt idx="73">
                  <c:v>4.1500000000000004</c:v>
                </c:pt>
                <c:pt idx="74">
                  <c:v>4.1399999999999997</c:v>
                </c:pt>
                <c:pt idx="75">
                  <c:v>3.92</c:v>
                </c:pt>
                <c:pt idx="76">
                  <c:v>4.09</c:v>
                </c:pt>
                <c:pt idx="77">
                  <c:v>3.79</c:v>
                </c:pt>
                <c:pt idx="78">
                  <c:v>2.61</c:v>
                </c:pt>
                <c:pt idx="79">
                  <c:v>3.36</c:v>
                </c:pt>
                <c:pt idx="80">
                  <c:v>4.55</c:v>
                </c:pt>
                <c:pt idx="81">
                  <c:v>4.34</c:v>
                </c:pt>
                <c:pt idx="82">
                  <c:v>3.15</c:v>
                </c:pt>
                <c:pt idx="83">
                  <c:v>2.31</c:v>
                </c:pt>
              </c:numCache>
            </c:numRef>
          </c:val>
          <c:smooth val="0"/>
          <c:extLst>
            <c:ext xmlns:c16="http://schemas.microsoft.com/office/drawing/2014/chart" uri="{C3380CC4-5D6E-409C-BE32-E72D297353CC}">
              <c16:uniqueId val="{00000001-2C2A-44CB-B630-5E175D9F7AF0}"/>
            </c:ext>
          </c:extLst>
        </c:ser>
        <c:ser>
          <c:idx val="1"/>
          <c:order val="1"/>
          <c:tx>
            <c:strRef>
              <c:f>'[Gráfico en Microsoft Word]Inflación'!$E$3:$E$4</c:f>
              <c:strCache>
                <c:ptCount val="1"/>
                <c:pt idx="0">
                  <c:v>Inflación subyacente</c:v>
                </c:pt>
              </c:strCache>
            </c:strRef>
          </c:tx>
          <c:marker>
            <c:symbol val="none"/>
          </c:marker>
          <c:cat>
            <c:strRef>
              <c:f>'[Gráfico en Microsoft Word]Inflación'!$C$5:$C$88</c:f>
              <c:strCache>
                <c:ptCount val="84"/>
                <c:pt idx="0">
                  <c:v>ene-12</c:v>
                </c:pt>
                <c:pt idx="1">
                  <c:v>feb</c:v>
                </c:pt>
                <c:pt idx="2">
                  <c:v>mar</c:v>
                </c:pt>
                <c:pt idx="3">
                  <c:v>abr</c:v>
                </c:pt>
                <c:pt idx="4">
                  <c:v>may</c:v>
                </c:pt>
                <c:pt idx="5">
                  <c:v>jun</c:v>
                </c:pt>
                <c:pt idx="6">
                  <c:v>jul</c:v>
                </c:pt>
                <c:pt idx="7">
                  <c:v>ago</c:v>
                </c:pt>
                <c:pt idx="8">
                  <c:v>sep</c:v>
                </c:pt>
                <c:pt idx="9">
                  <c:v>oct</c:v>
                </c:pt>
                <c:pt idx="10">
                  <c:v>nov</c:v>
                </c:pt>
                <c:pt idx="11">
                  <c:v>dic</c:v>
                </c:pt>
                <c:pt idx="12">
                  <c:v>ene-13</c:v>
                </c:pt>
                <c:pt idx="13">
                  <c:v>feb</c:v>
                </c:pt>
                <c:pt idx="14">
                  <c:v>mar</c:v>
                </c:pt>
                <c:pt idx="15">
                  <c:v>abr</c:v>
                </c:pt>
                <c:pt idx="16">
                  <c:v>may</c:v>
                </c:pt>
                <c:pt idx="17">
                  <c:v>jun</c:v>
                </c:pt>
                <c:pt idx="18">
                  <c:v>jul</c:v>
                </c:pt>
                <c:pt idx="19">
                  <c:v>ago</c:v>
                </c:pt>
                <c:pt idx="20">
                  <c:v>sep</c:v>
                </c:pt>
                <c:pt idx="21">
                  <c:v>oct</c:v>
                </c:pt>
                <c:pt idx="22">
                  <c:v>nov</c:v>
                </c:pt>
                <c:pt idx="23">
                  <c:v>dic</c:v>
                </c:pt>
                <c:pt idx="24">
                  <c:v>ene-14</c:v>
                </c:pt>
                <c:pt idx="25">
                  <c:v>feb</c:v>
                </c:pt>
                <c:pt idx="26">
                  <c:v>mar</c:v>
                </c:pt>
                <c:pt idx="27">
                  <c:v>abr</c:v>
                </c:pt>
                <c:pt idx="28">
                  <c:v>may</c:v>
                </c:pt>
                <c:pt idx="29">
                  <c:v>jun</c:v>
                </c:pt>
                <c:pt idx="30">
                  <c:v>jul</c:v>
                </c:pt>
                <c:pt idx="31">
                  <c:v>ago</c:v>
                </c:pt>
                <c:pt idx="32">
                  <c:v>sep</c:v>
                </c:pt>
                <c:pt idx="33">
                  <c:v>oct</c:v>
                </c:pt>
                <c:pt idx="34">
                  <c:v>nov</c:v>
                </c:pt>
                <c:pt idx="35">
                  <c:v>dic</c:v>
                </c:pt>
                <c:pt idx="36">
                  <c:v>ene-15</c:v>
                </c:pt>
                <c:pt idx="37">
                  <c:v>feb</c:v>
                </c:pt>
                <c:pt idx="38">
                  <c:v>mar</c:v>
                </c:pt>
                <c:pt idx="39">
                  <c:v>abr</c:v>
                </c:pt>
                <c:pt idx="40">
                  <c:v>may</c:v>
                </c:pt>
                <c:pt idx="41">
                  <c:v>jun</c:v>
                </c:pt>
                <c:pt idx="42">
                  <c:v>jul</c:v>
                </c:pt>
                <c:pt idx="43">
                  <c:v>ago</c:v>
                </c:pt>
                <c:pt idx="44">
                  <c:v>sep</c:v>
                </c:pt>
                <c:pt idx="45">
                  <c:v>oct</c:v>
                </c:pt>
                <c:pt idx="46">
                  <c:v>nov</c:v>
                </c:pt>
                <c:pt idx="47">
                  <c:v>dic</c:v>
                </c:pt>
                <c:pt idx="48">
                  <c:v>ene-16</c:v>
                </c:pt>
                <c:pt idx="49">
                  <c:v>feb</c:v>
                </c:pt>
                <c:pt idx="50">
                  <c:v>mar</c:v>
                </c:pt>
                <c:pt idx="51">
                  <c:v>abr</c:v>
                </c:pt>
                <c:pt idx="52">
                  <c:v>may</c:v>
                </c:pt>
                <c:pt idx="53">
                  <c:v>jun</c:v>
                </c:pt>
                <c:pt idx="54">
                  <c:v>jul</c:v>
                </c:pt>
                <c:pt idx="55">
                  <c:v>ago</c:v>
                </c:pt>
                <c:pt idx="56">
                  <c:v>sep</c:v>
                </c:pt>
                <c:pt idx="57">
                  <c:v>oct</c:v>
                </c:pt>
                <c:pt idx="58">
                  <c:v>nov</c:v>
                </c:pt>
                <c:pt idx="59">
                  <c:v>dic</c:v>
                </c:pt>
                <c:pt idx="60">
                  <c:v>ene-17</c:v>
                </c:pt>
                <c:pt idx="61">
                  <c:v>feb</c:v>
                </c:pt>
                <c:pt idx="62">
                  <c:v>mar</c:v>
                </c:pt>
                <c:pt idx="63">
                  <c:v>abr</c:v>
                </c:pt>
                <c:pt idx="64">
                  <c:v>may</c:v>
                </c:pt>
                <c:pt idx="65">
                  <c:v>jun</c:v>
                </c:pt>
                <c:pt idx="66">
                  <c:v>jul</c:v>
                </c:pt>
                <c:pt idx="67">
                  <c:v>ago</c:v>
                </c:pt>
                <c:pt idx="68">
                  <c:v>sep</c:v>
                </c:pt>
                <c:pt idx="69">
                  <c:v>oct</c:v>
                </c:pt>
                <c:pt idx="70">
                  <c:v>nov</c:v>
                </c:pt>
                <c:pt idx="71">
                  <c:v>dic</c:v>
                </c:pt>
                <c:pt idx="72">
                  <c:v>ene-18</c:v>
                </c:pt>
                <c:pt idx="73">
                  <c:v>feb</c:v>
                </c:pt>
                <c:pt idx="74">
                  <c:v>mar</c:v>
                </c:pt>
                <c:pt idx="75">
                  <c:v>abr</c:v>
                </c:pt>
                <c:pt idx="76">
                  <c:v>may</c:v>
                </c:pt>
                <c:pt idx="77">
                  <c:v>jun</c:v>
                </c:pt>
                <c:pt idx="78">
                  <c:v>jul</c:v>
                </c:pt>
                <c:pt idx="79">
                  <c:v>ago</c:v>
                </c:pt>
                <c:pt idx="80">
                  <c:v>sep</c:v>
                </c:pt>
                <c:pt idx="81">
                  <c:v>oct</c:v>
                </c:pt>
                <c:pt idx="82">
                  <c:v>nov</c:v>
                </c:pt>
                <c:pt idx="83">
                  <c:v>dic</c:v>
                </c:pt>
              </c:strCache>
            </c:strRef>
          </c:cat>
          <c:val>
            <c:numRef>
              <c:f>'[Gráfico en Microsoft Word]Inflación'!$E$5:$E$88</c:f>
              <c:numCache>
                <c:formatCode>0.00</c:formatCode>
                <c:ptCount val="84"/>
                <c:pt idx="0">
                  <c:v>4.6399999999999997</c:v>
                </c:pt>
                <c:pt idx="1">
                  <c:v>4.4000000000000004</c:v>
                </c:pt>
                <c:pt idx="2">
                  <c:v>4.25</c:v>
                </c:pt>
                <c:pt idx="3">
                  <c:v>4.1100000000000003</c:v>
                </c:pt>
                <c:pt idx="4">
                  <c:v>3.98</c:v>
                </c:pt>
                <c:pt idx="5">
                  <c:v>3.85</c:v>
                </c:pt>
                <c:pt idx="6">
                  <c:v>3.56</c:v>
                </c:pt>
                <c:pt idx="7">
                  <c:v>3.53</c:v>
                </c:pt>
                <c:pt idx="8">
                  <c:v>3.66</c:v>
                </c:pt>
                <c:pt idx="9">
                  <c:v>3.74</c:v>
                </c:pt>
                <c:pt idx="10">
                  <c:v>3.73</c:v>
                </c:pt>
                <c:pt idx="11">
                  <c:v>3.73</c:v>
                </c:pt>
                <c:pt idx="12">
                  <c:v>3.84</c:v>
                </c:pt>
                <c:pt idx="13">
                  <c:v>4</c:v>
                </c:pt>
                <c:pt idx="14">
                  <c:v>4</c:v>
                </c:pt>
                <c:pt idx="15">
                  <c:v>3.9</c:v>
                </c:pt>
                <c:pt idx="16">
                  <c:v>3.95</c:v>
                </c:pt>
                <c:pt idx="17">
                  <c:v>4.04</c:v>
                </c:pt>
                <c:pt idx="18">
                  <c:v>3.94</c:v>
                </c:pt>
                <c:pt idx="19">
                  <c:v>3.71</c:v>
                </c:pt>
                <c:pt idx="20">
                  <c:v>3.54</c:v>
                </c:pt>
                <c:pt idx="21">
                  <c:v>3.46</c:v>
                </c:pt>
                <c:pt idx="22">
                  <c:v>3.56</c:v>
                </c:pt>
                <c:pt idx="23">
                  <c:v>3.49</c:v>
                </c:pt>
                <c:pt idx="24">
                  <c:v>3.35</c:v>
                </c:pt>
                <c:pt idx="25">
                  <c:v>3.12</c:v>
                </c:pt>
                <c:pt idx="26">
                  <c:v>3.06</c:v>
                </c:pt>
                <c:pt idx="27">
                  <c:v>3.08</c:v>
                </c:pt>
                <c:pt idx="28">
                  <c:v>3.02</c:v>
                </c:pt>
                <c:pt idx="29">
                  <c:v>2.94</c:v>
                </c:pt>
                <c:pt idx="30">
                  <c:v>3.04</c:v>
                </c:pt>
                <c:pt idx="31">
                  <c:v>3.23</c:v>
                </c:pt>
                <c:pt idx="32">
                  <c:v>3.28</c:v>
                </c:pt>
                <c:pt idx="33">
                  <c:v>3.32</c:v>
                </c:pt>
                <c:pt idx="34">
                  <c:v>3.2</c:v>
                </c:pt>
                <c:pt idx="35">
                  <c:v>3.25</c:v>
                </c:pt>
                <c:pt idx="36">
                  <c:v>3.23</c:v>
                </c:pt>
                <c:pt idx="37">
                  <c:v>3.26</c:v>
                </c:pt>
                <c:pt idx="38">
                  <c:v>3.19</c:v>
                </c:pt>
                <c:pt idx="39">
                  <c:v>3.18</c:v>
                </c:pt>
                <c:pt idx="40">
                  <c:v>3.21</c:v>
                </c:pt>
                <c:pt idx="41">
                  <c:v>3.23</c:v>
                </c:pt>
                <c:pt idx="42">
                  <c:v>3.27</c:v>
                </c:pt>
                <c:pt idx="43">
                  <c:v>3.2</c:v>
                </c:pt>
                <c:pt idx="44">
                  <c:v>3.1</c:v>
                </c:pt>
                <c:pt idx="45">
                  <c:v>3.11</c:v>
                </c:pt>
                <c:pt idx="46">
                  <c:v>3.13</c:v>
                </c:pt>
                <c:pt idx="47">
                  <c:v>3.15</c:v>
                </c:pt>
                <c:pt idx="48">
                  <c:v>3.17</c:v>
                </c:pt>
                <c:pt idx="49">
                  <c:v>3.2</c:v>
                </c:pt>
                <c:pt idx="50">
                  <c:v>3.24</c:v>
                </c:pt>
                <c:pt idx="51">
                  <c:v>3.18</c:v>
                </c:pt>
                <c:pt idx="52">
                  <c:v>3.26</c:v>
                </c:pt>
                <c:pt idx="53">
                  <c:v>3.18</c:v>
                </c:pt>
                <c:pt idx="54">
                  <c:v>3.15</c:v>
                </c:pt>
                <c:pt idx="55">
                  <c:v>3.03</c:v>
                </c:pt>
                <c:pt idx="56">
                  <c:v>2.94</c:v>
                </c:pt>
                <c:pt idx="57">
                  <c:v>3</c:v>
                </c:pt>
                <c:pt idx="58">
                  <c:v>3.06</c:v>
                </c:pt>
                <c:pt idx="59">
                  <c:v>3.05</c:v>
                </c:pt>
                <c:pt idx="60">
                  <c:v>3.16</c:v>
                </c:pt>
                <c:pt idx="61">
                  <c:v>3.1</c:v>
                </c:pt>
                <c:pt idx="62">
                  <c:v>3.08</c:v>
                </c:pt>
                <c:pt idx="63">
                  <c:v>3.03</c:v>
                </c:pt>
                <c:pt idx="64">
                  <c:v>2.87</c:v>
                </c:pt>
                <c:pt idx="65">
                  <c:v>2.94</c:v>
                </c:pt>
                <c:pt idx="66">
                  <c:v>2.92</c:v>
                </c:pt>
                <c:pt idx="67">
                  <c:v>2.76</c:v>
                </c:pt>
                <c:pt idx="68">
                  <c:v>2.84</c:v>
                </c:pt>
                <c:pt idx="69">
                  <c:v>2.9</c:v>
                </c:pt>
                <c:pt idx="70">
                  <c:v>2.94</c:v>
                </c:pt>
                <c:pt idx="71">
                  <c:v>2.96</c:v>
                </c:pt>
                <c:pt idx="72">
                  <c:v>2.66</c:v>
                </c:pt>
                <c:pt idx="73">
                  <c:v>2.57</c:v>
                </c:pt>
                <c:pt idx="74">
                  <c:v>2.62</c:v>
                </c:pt>
                <c:pt idx="75">
                  <c:v>2.58</c:v>
                </c:pt>
                <c:pt idx="76">
                  <c:v>2.61</c:v>
                </c:pt>
                <c:pt idx="77">
                  <c:v>2.6</c:v>
                </c:pt>
                <c:pt idx="78">
                  <c:v>2.57</c:v>
                </c:pt>
                <c:pt idx="79">
                  <c:v>2.79</c:v>
                </c:pt>
                <c:pt idx="80">
                  <c:v>2.87</c:v>
                </c:pt>
                <c:pt idx="81">
                  <c:v>2.9</c:v>
                </c:pt>
                <c:pt idx="82">
                  <c:v>2.92</c:v>
                </c:pt>
                <c:pt idx="83">
                  <c:v>2.95</c:v>
                </c:pt>
              </c:numCache>
            </c:numRef>
          </c:val>
          <c:smooth val="0"/>
          <c:extLst>
            <c:ext xmlns:c16="http://schemas.microsoft.com/office/drawing/2014/chart" uri="{C3380CC4-5D6E-409C-BE32-E72D297353CC}">
              <c16:uniqueId val="{00000002-2C2A-44CB-B630-5E175D9F7AF0}"/>
            </c:ext>
          </c:extLst>
        </c:ser>
        <c:ser>
          <c:idx val="2"/>
          <c:order val="2"/>
          <c:marker>
            <c:symbol val="none"/>
          </c:marker>
          <c:dLbls>
            <c:dLbl>
              <c:idx val="8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2A-44CB-B630-5E175D9F7AF0}"/>
                </c:ext>
              </c:extLst>
            </c:dLbl>
            <c:spPr>
              <a:noFill/>
              <a:ln>
                <a:noFill/>
              </a:ln>
              <a:effectLst/>
            </c:spPr>
            <c:txPr>
              <a:bodyPr/>
              <a:lstStyle/>
              <a:p>
                <a:pPr>
                  <a:defRPr sz="800"/>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'[Gráfico en Microsoft Word]Inflación'!$C$5:$C$88</c:f>
              <c:strCache>
                <c:ptCount val="84"/>
                <c:pt idx="0">
                  <c:v>ene-12</c:v>
                </c:pt>
                <c:pt idx="1">
                  <c:v>feb</c:v>
                </c:pt>
                <c:pt idx="2">
                  <c:v>mar</c:v>
                </c:pt>
                <c:pt idx="3">
                  <c:v>abr</c:v>
                </c:pt>
                <c:pt idx="4">
                  <c:v>may</c:v>
                </c:pt>
                <c:pt idx="5">
                  <c:v>jun</c:v>
                </c:pt>
                <c:pt idx="6">
                  <c:v>jul</c:v>
                </c:pt>
                <c:pt idx="7">
                  <c:v>ago</c:v>
                </c:pt>
                <c:pt idx="8">
                  <c:v>sep</c:v>
                </c:pt>
                <c:pt idx="9">
                  <c:v>oct</c:v>
                </c:pt>
                <c:pt idx="10">
                  <c:v>nov</c:v>
                </c:pt>
                <c:pt idx="11">
                  <c:v>dic</c:v>
                </c:pt>
                <c:pt idx="12">
                  <c:v>ene-13</c:v>
                </c:pt>
                <c:pt idx="13">
                  <c:v>feb</c:v>
                </c:pt>
                <c:pt idx="14">
                  <c:v>mar</c:v>
                </c:pt>
                <c:pt idx="15">
                  <c:v>abr</c:v>
                </c:pt>
                <c:pt idx="16">
                  <c:v>may</c:v>
                </c:pt>
                <c:pt idx="17">
                  <c:v>jun</c:v>
                </c:pt>
                <c:pt idx="18">
                  <c:v>jul</c:v>
                </c:pt>
                <c:pt idx="19">
                  <c:v>ago</c:v>
                </c:pt>
                <c:pt idx="20">
                  <c:v>sep</c:v>
                </c:pt>
                <c:pt idx="21">
                  <c:v>oct</c:v>
                </c:pt>
                <c:pt idx="22">
                  <c:v>nov</c:v>
                </c:pt>
                <c:pt idx="23">
                  <c:v>dic</c:v>
                </c:pt>
                <c:pt idx="24">
                  <c:v>ene-14</c:v>
                </c:pt>
                <c:pt idx="25">
                  <c:v>feb</c:v>
                </c:pt>
                <c:pt idx="26">
                  <c:v>mar</c:v>
                </c:pt>
                <c:pt idx="27">
                  <c:v>abr</c:v>
                </c:pt>
                <c:pt idx="28">
                  <c:v>may</c:v>
                </c:pt>
                <c:pt idx="29">
                  <c:v>jun</c:v>
                </c:pt>
                <c:pt idx="30">
                  <c:v>jul</c:v>
                </c:pt>
                <c:pt idx="31">
                  <c:v>ago</c:v>
                </c:pt>
                <c:pt idx="32">
                  <c:v>sep</c:v>
                </c:pt>
                <c:pt idx="33">
                  <c:v>oct</c:v>
                </c:pt>
                <c:pt idx="34">
                  <c:v>nov</c:v>
                </c:pt>
                <c:pt idx="35">
                  <c:v>dic</c:v>
                </c:pt>
                <c:pt idx="36">
                  <c:v>ene-15</c:v>
                </c:pt>
                <c:pt idx="37">
                  <c:v>feb</c:v>
                </c:pt>
                <c:pt idx="38">
                  <c:v>mar</c:v>
                </c:pt>
                <c:pt idx="39">
                  <c:v>abr</c:v>
                </c:pt>
                <c:pt idx="40">
                  <c:v>may</c:v>
                </c:pt>
                <c:pt idx="41">
                  <c:v>jun</c:v>
                </c:pt>
                <c:pt idx="42">
                  <c:v>jul</c:v>
                </c:pt>
                <c:pt idx="43">
                  <c:v>ago</c:v>
                </c:pt>
                <c:pt idx="44">
                  <c:v>sep</c:v>
                </c:pt>
                <c:pt idx="45">
                  <c:v>oct</c:v>
                </c:pt>
                <c:pt idx="46">
                  <c:v>nov</c:v>
                </c:pt>
                <c:pt idx="47">
                  <c:v>dic</c:v>
                </c:pt>
                <c:pt idx="48">
                  <c:v>ene-16</c:v>
                </c:pt>
                <c:pt idx="49">
                  <c:v>feb</c:v>
                </c:pt>
                <c:pt idx="50">
                  <c:v>mar</c:v>
                </c:pt>
                <c:pt idx="51">
                  <c:v>abr</c:v>
                </c:pt>
                <c:pt idx="52">
                  <c:v>may</c:v>
                </c:pt>
                <c:pt idx="53">
                  <c:v>jun</c:v>
                </c:pt>
                <c:pt idx="54">
                  <c:v>jul</c:v>
                </c:pt>
                <c:pt idx="55">
                  <c:v>ago</c:v>
                </c:pt>
                <c:pt idx="56">
                  <c:v>sep</c:v>
                </c:pt>
                <c:pt idx="57">
                  <c:v>oct</c:v>
                </c:pt>
                <c:pt idx="58">
                  <c:v>nov</c:v>
                </c:pt>
                <c:pt idx="59">
                  <c:v>dic</c:v>
                </c:pt>
                <c:pt idx="60">
                  <c:v>ene-17</c:v>
                </c:pt>
                <c:pt idx="61">
                  <c:v>feb</c:v>
                </c:pt>
                <c:pt idx="62">
                  <c:v>mar</c:v>
                </c:pt>
                <c:pt idx="63">
                  <c:v>abr</c:v>
                </c:pt>
                <c:pt idx="64">
                  <c:v>may</c:v>
                </c:pt>
                <c:pt idx="65">
                  <c:v>jun</c:v>
                </c:pt>
                <c:pt idx="66">
                  <c:v>jul</c:v>
                </c:pt>
                <c:pt idx="67">
                  <c:v>ago</c:v>
                </c:pt>
                <c:pt idx="68">
                  <c:v>sep</c:v>
                </c:pt>
                <c:pt idx="69">
                  <c:v>oct</c:v>
                </c:pt>
                <c:pt idx="70">
                  <c:v>nov</c:v>
                </c:pt>
                <c:pt idx="71">
                  <c:v>dic</c:v>
                </c:pt>
                <c:pt idx="72">
                  <c:v>ene-18</c:v>
                </c:pt>
                <c:pt idx="73">
                  <c:v>feb</c:v>
                </c:pt>
                <c:pt idx="74">
                  <c:v>mar</c:v>
                </c:pt>
                <c:pt idx="75">
                  <c:v>abr</c:v>
                </c:pt>
                <c:pt idx="76">
                  <c:v>may</c:v>
                </c:pt>
                <c:pt idx="77">
                  <c:v>jun</c:v>
                </c:pt>
                <c:pt idx="78">
                  <c:v>jul</c:v>
                </c:pt>
                <c:pt idx="79">
                  <c:v>ago</c:v>
                </c:pt>
                <c:pt idx="80">
                  <c:v>sep</c:v>
                </c:pt>
                <c:pt idx="81">
                  <c:v>oct</c:v>
                </c:pt>
                <c:pt idx="82">
                  <c:v>nov</c:v>
                </c:pt>
                <c:pt idx="83">
                  <c:v>dic</c:v>
                </c:pt>
              </c:strCache>
            </c:strRef>
          </c:cat>
          <c:val>
            <c:numRef>
              <c:f>'[Gráfico en Microsoft Word]Inflación'!$F$5:$F$88</c:f>
              <c:numCache>
                <c:formatCode>0.00</c:formatCode>
                <c:ptCount val="84"/>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pt idx="31">
                  <c:v>3</c:v>
                </c:pt>
                <c:pt idx="32">
                  <c:v>3</c:v>
                </c:pt>
                <c:pt idx="33">
                  <c:v>3</c:v>
                </c:pt>
                <c:pt idx="34">
                  <c:v>3</c:v>
                </c:pt>
                <c:pt idx="35">
                  <c:v>3</c:v>
                </c:pt>
                <c:pt idx="36">
                  <c:v>3</c:v>
                </c:pt>
                <c:pt idx="37">
                  <c:v>3</c:v>
                </c:pt>
                <c:pt idx="38">
                  <c:v>3</c:v>
                </c:pt>
                <c:pt idx="39">
                  <c:v>3</c:v>
                </c:pt>
                <c:pt idx="40">
                  <c:v>3</c:v>
                </c:pt>
                <c:pt idx="41">
                  <c:v>3</c:v>
                </c:pt>
                <c:pt idx="42">
                  <c:v>3</c:v>
                </c:pt>
                <c:pt idx="43">
                  <c:v>3</c:v>
                </c:pt>
                <c:pt idx="44">
                  <c:v>3</c:v>
                </c:pt>
                <c:pt idx="45">
                  <c:v>3</c:v>
                </c:pt>
                <c:pt idx="46">
                  <c:v>3</c:v>
                </c:pt>
                <c:pt idx="47">
                  <c:v>3</c:v>
                </c:pt>
                <c:pt idx="48">
                  <c:v>3</c:v>
                </c:pt>
                <c:pt idx="49">
                  <c:v>3</c:v>
                </c:pt>
                <c:pt idx="50">
                  <c:v>3</c:v>
                </c:pt>
                <c:pt idx="51">
                  <c:v>3</c:v>
                </c:pt>
                <c:pt idx="52">
                  <c:v>3</c:v>
                </c:pt>
                <c:pt idx="53">
                  <c:v>3</c:v>
                </c:pt>
                <c:pt idx="54">
                  <c:v>3</c:v>
                </c:pt>
                <c:pt idx="55">
                  <c:v>3</c:v>
                </c:pt>
                <c:pt idx="56">
                  <c:v>3</c:v>
                </c:pt>
                <c:pt idx="57">
                  <c:v>3</c:v>
                </c:pt>
                <c:pt idx="58">
                  <c:v>3</c:v>
                </c:pt>
                <c:pt idx="59">
                  <c:v>3</c:v>
                </c:pt>
                <c:pt idx="60">
                  <c:v>3</c:v>
                </c:pt>
                <c:pt idx="61">
                  <c:v>3</c:v>
                </c:pt>
                <c:pt idx="62">
                  <c:v>3</c:v>
                </c:pt>
                <c:pt idx="63">
                  <c:v>3</c:v>
                </c:pt>
                <c:pt idx="64">
                  <c:v>3</c:v>
                </c:pt>
                <c:pt idx="65">
                  <c:v>3</c:v>
                </c:pt>
                <c:pt idx="66">
                  <c:v>3</c:v>
                </c:pt>
                <c:pt idx="67">
                  <c:v>3</c:v>
                </c:pt>
                <c:pt idx="68">
                  <c:v>3</c:v>
                </c:pt>
                <c:pt idx="69">
                  <c:v>3</c:v>
                </c:pt>
                <c:pt idx="70">
                  <c:v>3</c:v>
                </c:pt>
                <c:pt idx="71">
                  <c:v>3</c:v>
                </c:pt>
                <c:pt idx="72">
                  <c:v>3</c:v>
                </c:pt>
                <c:pt idx="73">
                  <c:v>3</c:v>
                </c:pt>
                <c:pt idx="74">
                  <c:v>3</c:v>
                </c:pt>
                <c:pt idx="75">
                  <c:v>3</c:v>
                </c:pt>
                <c:pt idx="76">
                  <c:v>3</c:v>
                </c:pt>
                <c:pt idx="77">
                  <c:v>3</c:v>
                </c:pt>
                <c:pt idx="78">
                  <c:v>3</c:v>
                </c:pt>
                <c:pt idx="79">
                  <c:v>3</c:v>
                </c:pt>
                <c:pt idx="80">
                  <c:v>3</c:v>
                </c:pt>
                <c:pt idx="81">
                  <c:v>3</c:v>
                </c:pt>
                <c:pt idx="82">
                  <c:v>3</c:v>
                </c:pt>
                <c:pt idx="83">
                  <c:v>3</c:v>
                </c:pt>
              </c:numCache>
            </c:numRef>
          </c:val>
          <c:smooth val="0"/>
          <c:extLst>
            <c:ext xmlns:c16="http://schemas.microsoft.com/office/drawing/2014/chart" uri="{C3380CC4-5D6E-409C-BE32-E72D297353CC}">
              <c16:uniqueId val="{00000004-2C2A-44CB-B630-5E175D9F7AF0}"/>
            </c:ext>
          </c:extLst>
        </c:ser>
        <c:ser>
          <c:idx val="3"/>
          <c:order val="3"/>
          <c:marker>
            <c:symbol val="none"/>
          </c:marker>
          <c:cat>
            <c:strRef>
              <c:f>'[Gráfico en Microsoft Word]Inflación'!$C$5:$C$88</c:f>
              <c:strCache>
                <c:ptCount val="84"/>
                <c:pt idx="0">
                  <c:v>ene-12</c:v>
                </c:pt>
                <c:pt idx="1">
                  <c:v>feb</c:v>
                </c:pt>
                <c:pt idx="2">
                  <c:v>mar</c:v>
                </c:pt>
                <c:pt idx="3">
                  <c:v>abr</c:v>
                </c:pt>
                <c:pt idx="4">
                  <c:v>may</c:v>
                </c:pt>
                <c:pt idx="5">
                  <c:v>jun</c:v>
                </c:pt>
                <c:pt idx="6">
                  <c:v>jul</c:v>
                </c:pt>
                <c:pt idx="7">
                  <c:v>ago</c:v>
                </c:pt>
                <c:pt idx="8">
                  <c:v>sep</c:v>
                </c:pt>
                <c:pt idx="9">
                  <c:v>oct</c:v>
                </c:pt>
                <c:pt idx="10">
                  <c:v>nov</c:v>
                </c:pt>
                <c:pt idx="11">
                  <c:v>dic</c:v>
                </c:pt>
                <c:pt idx="12">
                  <c:v>ene-13</c:v>
                </c:pt>
                <c:pt idx="13">
                  <c:v>feb</c:v>
                </c:pt>
                <c:pt idx="14">
                  <c:v>mar</c:v>
                </c:pt>
                <c:pt idx="15">
                  <c:v>abr</c:v>
                </c:pt>
                <c:pt idx="16">
                  <c:v>may</c:v>
                </c:pt>
                <c:pt idx="17">
                  <c:v>jun</c:v>
                </c:pt>
                <c:pt idx="18">
                  <c:v>jul</c:v>
                </c:pt>
                <c:pt idx="19">
                  <c:v>ago</c:v>
                </c:pt>
                <c:pt idx="20">
                  <c:v>sep</c:v>
                </c:pt>
                <c:pt idx="21">
                  <c:v>oct</c:v>
                </c:pt>
                <c:pt idx="22">
                  <c:v>nov</c:v>
                </c:pt>
                <c:pt idx="23">
                  <c:v>dic</c:v>
                </c:pt>
                <c:pt idx="24">
                  <c:v>ene-14</c:v>
                </c:pt>
                <c:pt idx="25">
                  <c:v>feb</c:v>
                </c:pt>
                <c:pt idx="26">
                  <c:v>mar</c:v>
                </c:pt>
                <c:pt idx="27">
                  <c:v>abr</c:v>
                </c:pt>
                <c:pt idx="28">
                  <c:v>may</c:v>
                </c:pt>
                <c:pt idx="29">
                  <c:v>jun</c:v>
                </c:pt>
                <c:pt idx="30">
                  <c:v>jul</c:v>
                </c:pt>
                <c:pt idx="31">
                  <c:v>ago</c:v>
                </c:pt>
                <c:pt idx="32">
                  <c:v>sep</c:v>
                </c:pt>
                <c:pt idx="33">
                  <c:v>oct</c:v>
                </c:pt>
                <c:pt idx="34">
                  <c:v>nov</c:v>
                </c:pt>
                <c:pt idx="35">
                  <c:v>dic</c:v>
                </c:pt>
                <c:pt idx="36">
                  <c:v>ene-15</c:v>
                </c:pt>
                <c:pt idx="37">
                  <c:v>feb</c:v>
                </c:pt>
                <c:pt idx="38">
                  <c:v>mar</c:v>
                </c:pt>
                <c:pt idx="39">
                  <c:v>abr</c:v>
                </c:pt>
                <c:pt idx="40">
                  <c:v>may</c:v>
                </c:pt>
                <c:pt idx="41">
                  <c:v>jun</c:v>
                </c:pt>
                <c:pt idx="42">
                  <c:v>jul</c:v>
                </c:pt>
                <c:pt idx="43">
                  <c:v>ago</c:v>
                </c:pt>
                <c:pt idx="44">
                  <c:v>sep</c:v>
                </c:pt>
                <c:pt idx="45">
                  <c:v>oct</c:v>
                </c:pt>
                <c:pt idx="46">
                  <c:v>nov</c:v>
                </c:pt>
                <c:pt idx="47">
                  <c:v>dic</c:v>
                </c:pt>
                <c:pt idx="48">
                  <c:v>ene-16</c:v>
                </c:pt>
                <c:pt idx="49">
                  <c:v>feb</c:v>
                </c:pt>
                <c:pt idx="50">
                  <c:v>mar</c:v>
                </c:pt>
                <c:pt idx="51">
                  <c:v>abr</c:v>
                </c:pt>
                <c:pt idx="52">
                  <c:v>may</c:v>
                </c:pt>
                <c:pt idx="53">
                  <c:v>jun</c:v>
                </c:pt>
                <c:pt idx="54">
                  <c:v>jul</c:v>
                </c:pt>
                <c:pt idx="55">
                  <c:v>ago</c:v>
                </c:pt>
                <c:pt idx="56">
                  <c:v>sep</c:v>
                </c:pt>
                <c:pt idx="57">
                  <c:v>oct</c:v>
                </c:pt>
                <c:pt idx="58">
                  <c:v>nov</c:v>
                </c:pt>
                <c:pt idx="59">
                  <c:v>dic</c:v>
                </c:pt>
                <c:pt idx="60">
                  <c:v>ene-17</c:v>
                </c:pt>
                <c:pt idx="61">
                  <c:v>feb</c:v>
                </c:pt>
                <c:pt idx="62">
                  <c:v>mar</c:v>
                </c:pt>
                <c:pt idx="63">
                  <c:v>abr</c:v>
                </c:pt>
                <c:pt idx="64">
                  <c:v>may</c:v>
                </c:pt>
                <c:pt idx="65">
                  <c:v>jun</c:v>
                </c:pt>
                <c:pt idx="66">
                  <c:v>jul</c:v>
                </c:pt>
                <c:pt idx="67">
                  <c:v>ago</c:v>
                </c:pt>
                <c:pt idx="68">
                  <c:v>sep</c:v>
                </c:pt>
                <c:pt idx="69">
                  <c:v>oct</c:v>
                </c:pt>
                <c:pt idx="70">
                  <c:v>nov</c:v>
                </c:pt>
                <c:pt idx="71">
                  <c:v>dic</c:v>
                </c:pt>
                <c:pt idx="72">
                  <c:v>ene-18</c:v>
                </c:pt>
                <c:pt idx="73">
                  <c:v>feb</c:v>
                </c:pt>
                <c:pt idx="74">
                  <c:v>mar</c:v>
                </c:pt>
                <c:pt idx="75">
                  <c:v>abr</c:v>
                </c:pt>
                <c:pt idx="76">
                  <c:v>may</c:v>
                </c:pt>
                <c:pt idx="77">
                  <c:v>jun</c:v>
                </c:pt>
                <c:pt idx="78">
                  <c:v>jul</c:v>
                </c:pt>
                <c:pt idx="79">
                  <c:v>ago</c:v>
                </c:pt>
                <c:pt idx="80">
                  <c:v>sep</c:v>
                </c:pt>
                <c:pt idx="81">
                  <c:v>oct</c:v>
                </c:pt>
                <c:pt idx="82">
                  <c:v>nov</c:v>
                </c:pt>
                <c:pt idx="83">
                  <c:v>dic</c:v>
                </c:pt>
              </c:strCache>
            </c:strRef>
          </c:cat>
          <c:val>
            <c:numRef>
              <c:f>'[Gráfico en Microsoft Word]Inflación'!$G$5:$G$88</c:f>
              <c:numCache>
                <c:formatCode>0.00</c:formatCode>
                <c:ptCount val="84"/>
                <c:pt idx="0">
                  <c:v>5</c:v>
                </c:pt>
                <c:pt idx="1">
                  <c:v>5</c:v>
                </c:pt>
                <c:pt idx="2">
                  <c:v>5</c:v>
                </c:pt>
                <c:pt idx="3">
                  <c:v>5</c:v>
                </c:pt>
                <c:pt idx="4">
                  <c:v>5</c:v>
                </c:pt>
                <c:pt idx="5">
                  <c:v>5</c:v>
                </c:pt>
                <c:pt idx="6">
                  <c:v>5</c:v>
                </c:pt>
                <c:pt idx="7">
                  <c:v>5</c:v>
                </c:pt>
                <c:pt idx="8">
                  <c:v>5</c:v>
                </c:pt>
                <c:pt idx="9">
                  <c:v>5</c:v>
                </c:pt>
                <c:pt idx="10">
                  <c:v>5</c:v>
                </c:pt>
                <c:pt idx="11">
                  <c:v>5</c:v>
                </c:pt>
                <c:pt idx="12">
                  <c:v>5</c:v>
                </c:pt>
                <c:pt idx="13">
                  <c:v>5</c:v>
                </c:pt>
                <c:pt idx="14">
                  <c:v>5</c:v>
                </c:pt>
                <c:pt idx="15">
                  <c:v>5</c:v>
                </c:pt>
                <c:pt idx="16">
                  <c:v>5</c:v>
                </c:pt>
                <c:pt idx="17">
                  <c:v>5</c:v>
                </c:pt>
                <c:pt idx="18">
                  <c:v>5</c:v>
                </c:pt>
                <c:pt idx="19">
                  <c:v>5</c:v>
                </c:pt>
                <c:pt idx="20">
                  <c:v>5</c:v>
                </c:pt>
                <c:pt idx="21">
                  <c:v>5</c:v>
                </c:pt>
                <c:pt idx="22">
                  <c:v>5</c:v>
                </c:pt>
                <c:pt idx="23">
                  <c:v>5</c:v>
                </c:pt>
                <c:pt idx="24">
                  <c:v>5</c:v>
                </c:pt>
                <c:pt idx="25">
                  <c:v>5</c:v>
                </c:pt>
                <c:pt idx="26">
                  <c:v>5</c:v>
                </c:pt>
                <c:pt idx="27">
                  <c:v>5</c:v>
                </c:pt>
                <c:pt idx="28">
                  <c:v>5</c:v>
                </c:pt>
                <c:pt idx="29">
                  <c:v>5</c:v>
                </c:pt>
                <c:pt idx="30">
                  <c:v>5</c:v>
                </c:pt>
                <c:pt idx="31">
                  <c:v>5</c:v>
                </c:pt>
                <c:pt idx="32">
                  <c:v>5</c:v>
                </c:pt>
                <c:pt idx="33">
                  <c:v>5</c:v>
                </c:pt>
                <c:pt idx="34">
                  <c:v>5</c:v>
                </c:pt>
                <c:pt idx="35">
                  <c:v>5</c:v>
                </c:pt>
                <c:pt idx="36">
                  <c:v>5</c:v>
                </c:pt>
                <c:pt idx="37">
                  <c:v>5</c:v>
                </c:pt>
                <c:pt idx="38">
                  <c:v>5</c:v>
                </c:pt>
                <c:pt idx="39">
                  <c:v>5</c:v>
                </c:pt>
                <c:pt idx="40">
                  <c:v>5</c:v>
                </c:pt>
                <c:pt idx="41">
                  <c:v>5</c:v>
                </c:pt>
                <c:pt idx="42">
                  <c:v>5</c:v>
                </c:pt>
                <c:pt idx="43">
                  <c:v>5</c:v>
                </c:pt>
                <c:pt idx="44">
                  <c:v>5</c:v>
                </c:pt>
                <c:pt idx="45">
                  <c:v>5</c:v>
                </c:pt>
                <c:pt idx="46">
                  <c:v>5</c:v>
                </c:pt>
                <c:pt idx="47">
                  <c:v>5</c:v>
                </c:pt>
                <c:pt idx="48">
                  <c:v>5</c:v>
                </c:pt>
                <c:pt idx="49">
                  <c:v>5</c:v>
                </c:pt>
                <c:pt idx="50">
                  <c:v>5</c:v>
                </c:pt>
                <c:pt idx="51">
                  <c:v>5</c:v>
                </c:pt>
                <c:pt idx="52">
                  <c:v>5</c:v>
                </c:pt>
                <c:pt idx="53">
                  <c:v>5</c:v>
                </c:pt>
                <c:pt idx="54">
                  <c:v>5</c:v>
                </c:pt>
                <c:pt idx="55">
                  <c:v>5</c:v>
                </c:pt>
                <c:pt idx="56">
                  <c:v>5</c:v>
                </c:pt>
                <c:pt idx="57">
                  <c:v>5</c:v>
                </c:pt>
                <c:pt idx="58">
                  <c:v>5</c:v>
                </c:pt>
                <c:pt idx="59">
                  <c:v>5</c:v>
                </c:pt>
                <c:pt idx="60">
                  <c:v>5</c:v>
                </c:pt>
                <c:pt idx="61">
                  <c:v>5</c:v>
                </c:pt>
                <c:pt idx="62">
                  <c:v>5</c:v>
                </c:pt>
                <c:pt idx="63">
                  <c:v>5</c:v>
                </c:pt>
                <c:pt idx="64">
                  <c:v>5</c:v>
                </c:pt>
                <c:pt idx="65">
                  <c:v>5</c:v>
                </c:pt>
                <c:pt idx="66">
                  <c:v>5</c:v>
                </c:pt>
                <c:pt idx="67">
                  <c:v>5</c:v>
                </c:pt>
                <c:pt idx="68">
                  <c:v>5</c:v>
                </c:pt>
                <c:pt idx="69">
                  <c:v>5</c:v>
                </c:pt>
                <c:pt idx="70">
                  <c:v>5</c:v>
                </c:pt>
                <c:pt idx="71">
                  <c:v>5</c:v>
                </c:pt>
                <c:pt idx="72">
                  <c:v>5</c:v>
                </c:pt>
                <c:pt idx="73">
                  <c:v>5</c:v>
                </c:pt>
                <c:pt idx="74">
                  <c:v>5</c:v>
                </c:pt>
                <c:pt idx="75">
                  <c:v>5</c:v>
                </c:pt>
                <c:pt idx="76">
                  <c:v>5</c:v>
                </c:pt>
                <c:pt idx="77">
                  <c:v>5</c:v>
                </c:pt>
                <c:pt idx="78">
                  <c:v>5</c:v>
                </c:pt>
                <c:pt idx="79">
                  <c:v>5</c:v>
                </c:pt>
                <c:pt idx="80">
                  <c:v>5</c:v>
                </c:pt>
                <c:pt idx="81">
                  <c:v>5</c:v>
                </c:pt>
                <c:pt idx="82">
                  <c:v>5</c:v>
                </c:pt>
                <c:pt idx="83">
                  <c:v>5</c:v>
                </c:pt>
              </c:numCache>
            </c:numRef>
          </c:val>
          <c:smooth val="0"/>
          <c:extLst>
            <c:ext xmlns:c16="http://schemas.microsoft.com/office/drawing/2014/chart" uri="{C3380CC4-5D6E-409C-BE32-E72D297353CC}">
              <c16:uniqueId val="{00000005-2C2A-44CB-B630-5E175D9F7AF0}"/>
            </c:ext>
          </c:extLst>
        </c:ser>
        <c:dLbls>
          <c:showLegendKey val="0"/>
          <c:showVal val="0"/>
          <c:showCatName val="0"/>
          <c:showSerName val="0"/>
          <c:showPercent val="0"/>
          <c:showBubbleSize val="0"/>
        </c:dLbls>
        <c:smooth val="0"/>
        <c:axId val="104563840"/>
        <c:axId val="104565376"/>
      </c:lineChart>
      <c:catAx>
        <c:axId val="104563840"/>
        <c:scaling>
          <c:orientation val="minMax"/>
        </c:scaling>
        <c:delete val="0"/>
        <c:axPos val="b"/>
        <c:numFmt formatCode="General" sourceLinked="0"/>
        <c:majorTickMark val="out"/>
        <c:minorTickMark val="none"/>
        <c:tickLblPos val="nextTo"/>
        <c:txPr>
          <a:bodyPr rot="-5400000" vert="horz"/>
          <a:lstStyle/>
          <a:p>
            <a:pPr>
              <a:defRPr lang="es-GT"/>
            </a:pPr>
            <a:endParaRPr lang="es-GT"/>
          </a:p>
        </c:txPr>
        <c:crossAx val="104565376"/>
        <c:crosses val="autoZero"/>
        <c:auto val="1"/>
        <c:lblAlgn val="ctr"/>
        <c:lblOffset val="100"/>
        <c:noMultiLvlLbl val="0"/>
      </c:catAx>
      <c:valAx>
        <c:axId val="104565376"/>
        <c:scaling>
          <c:orientation val="minMax"/>
        </c:scaling>
        <c:delete val="0"/>
        <c:axPos val="l"/>
        <c:majorGridlines>
          <c:spPr>
            <a:ln>
              <a:noFill/>
            </a:ln>
          </c:spPr>
        </c:majorGridlines>
        <c:title>
          <c:tx>
            <c:rich>
              <a:bodyPr rot="0" vert="horz"/>
              <a:lstStyle/>
              <a:p>
                <a:pPr>
                  <a:defRPr lang="es-GT"/>
                </a:pPr>
                <a:r>
                  <a:rPr lang="es-GT"/>
                  <a:t>Porcentajes</a:t>
                </a:r>
              </a:p>
            </c:rich>
          </c:tx>
          <c:layout>
            <c:manualLayout>
              <c:xMode val="edge"/>
              <c:yMode val="edge"/>
              <c:x val="4.6295092800811809E-2"/>
              <c:y val="9.8589133644539237E-2"/>
            </c:manualLayout>
          </c:layout>
          <c:overlay val="0"/>
        </c:title>
        <c:numFmt formatCode="#,##0.0" sourceLinked="0"/>
        <c:majorTickMark val="out"/>
        <c:minorTickMark val="none"/>
        <c:tickLblPos val="nextTo"/>
        <c:txPr>
          <a:bodyPr/>
          <a:lstStyle/>
          <a:p>
            <a:pPr>
              <a:defRPr lang="es-GT"/>
            </a:pPr>
            <a:endParaRPr lang="es-GT"/>
          </a:p>
        </c:txPr>
        <c:crossAx val="104563840"/>
        <c:crosses val="autoZero"/>
        <c:crossBetween val="between"/>
      </c:valAx>
    </c:plotArea>
    <c:legend>
      <c:legendPos val="b"/>
      <c:legendEntry>
        <c:idx val="2"/>
        <c:delete val="1"/>
      </c:legendEntry>
      <c:legendEntry>
        <c:idx val="3"/>
        <c:delete val="1"/>
      </c:legendEntry>
      <c:layout>
        <c:manualLayout>
          <c:xMode val="edge"/>
          <c:yMode val="edge"/>
          <c:x val="0.24774103605965539"/>
          <c:y val="0.90215338181737181"/>
          <c:w val="0.50909330730942159"/>
          <c:h val="5.9986468275623962E-2"/>
        </c:manualLayout>
      </c:layout>
      <c:overlay val="0"/>
      <c:txPr>
        <a:bodyPr/>
        <a:lstStyle/>
        <a:p>
          <a:pPr>
            <a:defRPr lang="es-GT"/>
          </a:pPr>
          <a:endParaRPr lang="es-GT"/>
        </a:p>
      </c:txPr>
    </c:legend>
    <c:plotVisOnly val="1"/>
    <c:dispBlanksAs val="gap"/>
    <c:showDLblsOverMax val="0"/>
  </c:chart>
  <c:spPr>
    <a:ln w="19050">
      <a:solidFill>
        <a:schemeClr val="bg1"/>
      </a:solidFill>
    </a:ln>
    <a:effectLst/>
  </c:spPr>
  <c:txPr>
    <a:bodyPr/>
    <a:lstStyle/>
    <a:p>
      <a:pPr>
        <a:defRPr>
          <a:latin typeface="Times New Roman" pitchFamily="18" charset="0"/>
          <a:cs typeface="Times New Roman" pitchFamily="18" charset="0"/>
        </a:defRPr>
      </a:pPr>
      <a:endParaRPr lang="es-GT"/>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spPr>
            <a:solidFill>
              <a:schemeClr val="tx2"/>
            </a:solidFill>
          </c:spPr>
          <c:invertIfNegative val="0"/>
          <c:dLbls>
            <c:numFmt formatCode="#,##0.0" sourceLinked="0"/>
            <c:spPr>
              <a:noFill/>
              <a:ln>
                <a:noFill/>
              </a:ln>
              <a:effectLst/>
            </c:spPr>
            <c:txPr>
              <a:bodyPr/>
              <a:lstStyle/>
              <a:p>
                <a:pPr>
                  <a:defRPr sz="700" b="1" i="0" u="none" strike="noStrike" baseline="0">
                    <a:solidFill>
                      <a:srgbClr val="000000"/>
                    </a:solidFill>
                    <a:latin typeface="Calibri"/>
                    <a:ea typeface="Calibri"/>
                    <a:cs typeface="Calibri"/>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'\Informe SESAN\[remfam2010_2019.xls]excel'!$B$10:$J$10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'Gráfica 4 remesas'!$B$12:$J$12</c:f>
              <c:numCache>
                <c:formatCode>_(* #,##0.00_);_(* \(#,##0.00\);_(* "-"??_);_(@_)</c:formatCode>
                <c:ptCount val="9"/>
                <c:pt idx="0">
                  <c:v>4126.7840999999999</c:v>
                </c:pt>
                <c:pt idx="1">
                  <c:v>4378.0320000000002</c:v>
                </c:pt>
                <c:pt idx="2">
                  <c:v>4782.7287000000006</c:v>
                </c:pt>
                <c:pt idx="3">
                  <c:v>5105.1890000000012</c:v>
                </c:pt>
                <c:pt idx="4">
                  <c:v>5544.0975999999991</c:v>
                </c:pt>
                <c:pt idx="5">
                  <c:v>6284.9778422000009</c:v>
                </c:pt>
                <c:pt idx="6">
                  <c:v>7159.9676000000018</c:v>
                </c:pt>
                <c:pt idx="7">
                  <c:v>8192.213099999999</c:v>
                </c:pt>
                <c:pt idx="8">
                  <c:v>9287.7706999999991</c:v>
                </c:pt>
              </c:numCache>
            </c:numRef>
          </c:val>
          <c:extLst>
            <c:ext xmlns:c16="http://schemas.microsoft.com/office/drawing/2014/chart" uri="{C3380CC4-5D6E-409C-BE32-E72D297353CC}">
              <c16:uniqueId val="{00000000-E377-449C-9DEA-1D964F5BD12B}"/>
            </c:ext>
          </c:extLst>
        </c:ser>
        <c:dLbls>
          <c:showLegendKey val="0"/>
          <c:showVal val="0"/>
          <c:showCatName val="0"/>
          <c:showSerName val="0"/>
          <c:showPercent val="0"/>
          <c:showBubbleSize val="0"/>
        </c:dLbls>
        <c:gapWidth val="150"/>
        <c:axId val="111030656"/>
        <c:axId val="111032192"/>
      </c:barChart>
      <c:catAx>
        <c:axId val="11103065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s-GT"/>
          </a:p>
        </c:txPr>
        <c:crossAx val="111032192"/>
        <c:crosses val="autoZero"/>
        <c:auto val="1"/>
        <c:lblAlgn val="ctr"/>
        <c:lblOffset val="100"/>
        <c:noMultiLvlLbl val="0"/>
      </c:catAx>
      <c:valAx>
        <c:axId val="111032192"/>
        <c:scaling>
          <c:orientation val="minMax"/>
        </c:scaling>
        <c:delete val="0"/>
        <c:axPos val="l"/>
        <c:numFmt formatCode="_(* #,##0.00_);_(* \(#,##0.00\);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s-GT"/>
          </a:p>
        </c:txPr>
        <c:crossAx val="111030656"/>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s-G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spPr>
            <a:solidFill>
              <a:schemeClr val="tx2"/>
            </a:solidFill>
          </c:spPr>
          <c:invertIfNegative val="0"/>
          <c:dLbls>
            <c:spPr>
              <a:noFill/>
              <a:ln>
                <a:noFill/>
              </a:ln>
              <a:effectLst/>
            </c:spPr>
            <c:txPr>
              <a:bodyPr/>
              <a:lstStyle/>
              <a:p>
                <a:pPr>
                  <a:defRPr sz="700" b="1">
                    <a:latin typeface="Times New Roman" pitchFamily="18" charset="0"/>
                    <a:cs typeface="Times New Roman"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[pim04.xls]pim04!$B$36:$B$44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[pim04.xls]pim04!$C$36:$C$44</c:f>
              <c:numCache>
                <c:formatCode>#,##0.0</c:formatCode>
                <c:ptCount val="9"/>
                <c:pt idx="0">
                  <c:v>5953.8</c:v>
                </c:pt>
                <c:pt idx="1">
                  <c:v>6187.9</c:v>
                </c:pt>
                <c:pt idx="2">
                  <c:v>6693.8</c:v>
                </c:pt>
                <c:pt idx="3">
                  <c:v>7272.6</c:v>
                </c:pt>
                <c:pt idx="4">
                  <c:v>7333.4</c:v>
                </c:pt>
                <c:pt idx="5">
                  <c:v>7751.2</c:v>
                </c:pt>
                <c:pt idx="6">
                  <c:v>9160.4</c:v>
                </c:pt>
                <c:pt idx="7">
                  <c:v>11769.5</c:v>
                </c:pt>
                <c:pt idx="8">
                  <c:v>12755.6</c:v>
                </c:pt>
              </c:numCache>
            </c:numRef>
          </c:val>
          <c:extLst>
            <c:ext xmlns:c16="http://schemas.microsoft.com/office/drawing/2014/chart" uri="{C3380CC4-5D6E-409C-BE32-E72D297353CC}">
              <c16:uniqueId val="{00000000-47DC-410E-8014-4AF52696DB22}"/>
            </c:ext>
          </c:extLst>
        </c:ser>
        <c:dLbls>
          <c:showLegendKey val="0"/>
          <c:showVal val="0"/>
          <c:showCatName val="0"/>
          <c:showSerName val="0"/>
          <c:showPercent val="0"/>
          <c:showBubbleSize val="0"/>
        </c:dLbls>
        <c:gapWidth val="150"/>
        <c:axId val="111060480"/>
        <c:axId val="111062016"/>
      </c:barChart>
      <c:catAx>
        <c:axId val="111060480"/>
        <c:scaling>
          <c:orientation val="minMax"/>
        </c:scaling>
        <c:delete val="0"/>
        <c:axPos val="b"/>
        <c:numFmt formatCode="General" sourceLinked="1"/>
        <c:majorTickMark val="out"/>
        <c:minorTickMark val="none"/>
        <c:tickLblPos val="nextTo"/>
        <c:crossAx val="111062016"/>
        <c:crosses val="autoZero"/>
        <c:auto val="1"/>
        <c:lblAlgn val="ctr"/>
        <c:lblOffset val="100"/>
        <c:noMultiLvlLbl val="0"/>
      </c:catAx>
      <c:valAx>
        <c:axId val="111062016"/>
        <c:scaling>
          <c:orientation val="minMax"/>
        </c:scaling>
        <c:delete val="0"/>
        <c:axPos val="l"/>
        <c:numFmt formatCode="#,##0.0" sourceLinked="1"/>
        <c:majorTickMark val="out"/>
        <c:minorTickMark val="none"/>
        <c:tickLblPos val="nextTo"/>
        <c:crossAx val="111060480"/>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757037037037119E-2"/>
          <c:y val="2.1528333333333333E-2"/>
          <c:w val="0.87767808641975309"/>
          <c:h val="0.81530583333333395"/>
        </c:manualLayout>
      </c:layout>
      <c:lineChart>
        <c:grouping val="standard"/>
        <c:varyColors val="0"/>
        <c:ser>
          <c:idx val="0"/>
          <c:order val="0"/>
          <c:spPr>
            <a:ln w="25400"/>
          </c:spPr>
          <c:marker>
            <c:symbol val="none"/>
          </c:marker>
          <c:dLbls>
            <c:dLbl>
              <c:idx val="0"/>
              <c:layout>
                <c:manualLayout>
                  <c:x val="-1.9598765432098767E-2"/>
                  <c:y val="2.2655453618756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61-4ECD-B1E9-72CE141C461F}"/>
                </c:ext>
              </c:extLst>
            </c:dLbl>
            <c:dLbl>
              <c:idx val="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61-4ECD-B1E9-72CE141C461F}"/>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61-4ECD-B1E9-72CE141C461F}"/>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61-4ECD-B1E9-72CE141C461F}"/>
                </c:ext>
              </c:extLst>
            </c:dLbl>
            <c:dLbl>
              <c:idx val="20"/>
              <c:layout>
                <c:manualLayout>
                  <c:x val="-2.5478395061728415E-2"/>
                  <c:y val="2.91284403669724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61-4ECD-B1E9-72CE141C461F}"/>
                </c:ext>
              </c:extLst>
            </c:dLbl>
            <c:dLbl>
              <c:idx val="38"/>
              <c:layout>
                <c:manualLayout>
                  <c:x val="-7.8395061728395062E-3"/>
                  <c:y val="3.88379204892966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61-4ECD-B1E9-72CE141C461F}"/>
                </c:ext>
              </c:extLst>
            </c:dLbl>
            <c:dLbl>
              <c:idx val="44"/>
              <c:layout>
                <c:manualLayout>
                  <c:x val="-2.3518518518518518E-2"/>
                  <c:y val="-4.2074413863404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961-4ECD-B1E9-72CE141C461F}"/>
                </c:ext>
              </c:extLst>
            </c:dLbl>
            <c:dLbl>
              <c:idx val="53"/>
              <c:layout>
                <c:manualLayout>
                  <c:x val="-7.8395061728395114E-3"/>
                  <c:y val="-3.8837920489296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61-4ECD-B1E9-72CE141C461F}"/>
                </c:ext>
              </c:extLst>
            </c:dLbl>
            <c:dLbl>
              <c:idx val="63"/>
              <c:layout>
                <c:manualLayout>
                  <c:x val="-2.3731944444444444E-2"/>
                  <c:y val="-3.64836901121304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961-4ECD-B1E9-72CE141C461F}"/>
                </c:ext>
              </c:extLst>
            </c:dLbl>
            <c:dLbl>
              <c:idx val="69"/>
              <c:layout>
                <c:manualLayout>
                  <c:x val="-2.7438271604938291E-2"/>
                  <c:y val="2.91284403669724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961-4ECD-B1E9-72CE141C461F}"/>
                </c:ext>
              </c:extLst>
            </c:dLbl>
            <c:dLbl>
              <c:idx val="8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961-4ECD-B1E9-72CE141C461F}"/>
                </c:ext>
              </c:extLst>
            </c:dLbl>
            <c:dLbl>
              <c:idx val="92"/>
              <c:layout>
                <c:manualLayout>
                  <c:x val="0"/>
                  <c:y val="-1.29459734964322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961-4ECD-B1E9-72CE141C461F}"/>
                </c:ext>
              </c:extLst>
            </c:dLbl>
            <c:dLbl>
              <c:idx val="114"/>
              <c:layout>
                <c:manualLayout>
                  <c:x val="5.8796296296296296E-3"/>
                  <c:y val="-9.7094801223242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961-4ECD-B1E9-72CE141C461F}"/>
                </c:ext>
              </c:extLst>
            </c:dLbl>
            <c:dLbl>
              <c:idx val="119"/>
              <c:layout>
                <c:manualLayout>
                  <c:x val="7.768290231591229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961-4ECD-B1E9-72CE141C461F}"/>
                </c:ext>
              </c:extLst>
            </c:dLbl>
            <c:numFmt formatCode="#,##0.00" sourceLinked="0"/>
            <c:spPr>
              <a:noFill/>
              <a:ln>
                <a:noFill/>
              </a:ln>
              <a:effectLst/>
            </c:spPr>
            <c:txPr>
              <a:bodyPr/>
              <a:lstStyle/>
              <a:p>
                <a:pPr>
                  <a:defRPr sz="800">
                    <a:latin typeface="Times New Roman" pitchFamily="18" charset="0"/>
                    <a:cs typeface="Times New Roman" pitchFamily="18" charset="0"/>
                  </a:defRPr>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'Tasa de Interes'!$B$6:$B$137</c:f>
              <c:numCache>
                <c:formatCode>mmm\-yy</c:formatCode>
                <c:ptCount val="13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pt idx="92">
                  <c:v>42248</c:v>
                </c:pt>
                <c:pt idx="93">
                  <c:v>42278</c:v>
                </c:pt>
                <c:pt idx="94">
                  <c:v>42309</c:v>
                </c:pt>
                <c:pt idx="95">
                  <c:v>42339</c:v>
                </c:pt>
                <c:pt idx="96">
                  <c:v>42370</c:v>
                </c:pt>
                <c:pt idx="97">
                  <c:v>42401</c:v>
                </c:pt>
                <c:pt idx="98">
                  <c:v>42430</c:v>
                </c:pt>
                <c:pt idx="99">
                  <c:v>42461</c:v>
                </c:pt>
                <c:pt idx="100">
                  <c:v>42491</c:v>
                </c:pt>
                <c:pt idx="101">
                  <c:v>42522</c:v>
                </c:pt>
                <c:pt idx="102">
                  <c:v>42552</c:v>
                </c:pt>
                <c:pt idx="103">
                  <c:v>42583</c:v>
                </c:pt>
                <c:pt idx="104">
                  <c:v>42614</c:v>
                </c:pt>
                <c:pt idx="105">
                  <c:v>42644</c:v>
                </c:pt>
                <c:pt idx="106">
                  <c:v>42675</c:v>
                </c:pt>
                <c:pt idx="107">
                  <c:v>42705</c:v>
                </c:pt>
                <c:pt idx="108">
                  <c:v>42736</c:v>
                </c:pt>
                <c:pt idx="109">
                  <c:v>42767</c:v>
                </c:pt>
                <c:pt idx="110">
                  <c:v>42795</c:v>
                </c:pt>
                <c:pt idx="111">
                  <c:v>42826</c:v>
                </c:pt>
                <c:pt idx="112">
                  <c:v>42856</c:v>
                </c:pt>
                <c:pt idx="113">
                  <c:v>42887</c:v>
                </c:pt>
                <c:pt idx="114">
                  <c:v>42917</c:v>
                </c:pt>
                <c:pt idx="115">
                  <c:v>42948</c:v>
                </c:pt>
                <c:pt idx="116">
                  <c:v>42979</c:v>
                </c:pt>
                <c:pt idx="117">
                  <c:v>43009</c:v>
                </c:pt>
                <c:pt idx="118">
                  <c:v>43040</c:v>
                </c:pt>
                <c:pt idx="119">
                  <c:v>43070</c:v>
                </c:pt>
                <c:pt idx="120">
                  <c:v>43101</c:v>
                </c:pt>
                <c:pt idx="121">
                  <c:v>43132</c:v>
                </c:pt>
                <c:pt idx="122">
                  <c:v>43160</c:v>
                </c:pt>
                <c:pt idx="123">
                  <c:v>43191</c:v>
                </c:pt>
                <c:pt idx="124">
                  <c:v>43221</c:v>
                </c:pt>
                <c:pt idx="125">
                  <c:v>43252</c:v>
                </c:pt>
                <c:pt idx="126">
                  <c:v>43282</c:v>
                </c:pt>
                <c:pt idx="127">
                  <c:v>43313</c:v>
                </c:pt>
                <c:pt idx="128">
                  <c:v>43344</c:v>
                </c:pt>
                <c:pt idx="129">
                  <c:v>43374</c:v>
                </c:pt>
                <c:pt idx="130">
                  <c:v>43405</c:v>
                </c:pt>
                <c:pt idx="131">
                  <c:v>43435</c:v>
                </c:pt>
              </c:numCache>
            </c:numRef>
          </c:cat>
          <c:val>
            <c:numRef>
              <c:f>'Tasa de Interes'!$C$6:$C$137</c:f>
              <c:numCache>
                <c:formatCode>0.00</c:formatCode>
                <c:ptCount val="132"/>
                <c:pt idx="0">
                  <c:v>6.5</c:v>
                </c:pt>
                <c:pt idx="1">
                  <c:v>6.5</c:v>
                </c:pt>
                <c:pt idx="2">
                  <c:v>6.75</c:v>
                </c:pt>
                <c:pt idx="3">
                  <c:v>6.75</c:v>
                </c:pt>
                <c:pt idx="4">
                  <c:v>6.75</c:v>
                </c:pt>
                <c:pt idx="5">
                  <c:v>6.75</c:v>
                </c:pt>
                <c:pt idx="6">
                  <c:v>7.25</c:v>
                </c:pt>
                <c:pt idx="7">
                  <c:v>7.25</c:v>
                </c:pt>
                <c:pt idx="8">
                  <c:v>7.25</c:v>
                </c:pt>
                <c:pt idx="9">
                  <c:v>7.25</c:v>
                </c:pt>
                <c:pt idx="10">
                  <c:v>7.25</c:v>
                </c:pt>
                <c:pt idx="11">
                  <c:v>7.25</c:v>
                </c:pt>
                <c:pt idx="12">
                  <c:v>7</c:v>
                </c:pt>
                <c:pt idx="13">
                  <c:v>6.5</c:v>
                </c:pt>
                <c:pt idx="14">
                  <c:v>6.25</c:v>
                </c:pt>
                <c:pt idx="15">
                  <c:v>5.75</c:v>
                </c:pt>
                <c:pt idx="16">
                  <c:v>5.75</c:v>
                </c:pt>
                <c:pt idx="17">
                  <c:v>5.25</c:v>
                </c:pt>
                <c:pt idx="18">
                  <c:v>4.75</c:v>
                </c:pt>
                <c:pt idx="19">
                  <c:v>4.75</c:v>
                </c:pt>
                <c:pt idx="20">
                  <c:v>4.5</c:v>
                </c:pt>
                <c:pt idx="21">
                  <c:v>4.5</c:v>
                </c:pt>
                <c:pt idx="22">
                  <c:v>4.5</c:v>
                </c:pt>
                <c:pt idx="23">
                  <c:v>4.5</c:v>
                </c:pt>
                <c:pt idx="24">
                  <c:v>4.5</c:v>
                </c:pt>
                <c:pt idx="25">
                  <c:v>4.5</c:v>
                </c:pt>
                <c:pt idx="26">
                  <c:v>4.5</c:v>
                </c:pt>
                <c:pt idx="27">
                  <c:v>4.5</c:v>
                </c:pt>
                <c:pt idx="28">
                  <c:v>4.5</c:v>
                </c:pt>
                <c:pt idx="29">
                  <c:v>4.5</c:v>
                </c:pt>
                <c:pt idx="30">
                  <c:v>4.5</c:v>
                </c:pt>
                <c:pt idx="31">
                  <c:v>4.5</c:v>
                </c:pt>
                <c:pt idx="32">
                  <c:v>4.5</c:v>
                </c:pt>
                <c:pt idx="33">
                  <c:v>4.5</c:v>
                </c:pt>
                <c:pt idx="34">
                  <c:v>4.5</c:v>
                </c:pt>
                <c:pt idx="35">
                  <c:v>4.5</c:v>
                </c:pt>
                <c:pt idx="36">
                  <c:v>4.5</c:v>
                </c:pt>
                <c:pt idx="37">
                  <c:v>4.5</c:v>
                </c:pt>
                <c:pt idx="38">
                  <c:v>4.75</c:v>
                </c:pt>
                <c:pt idx="39">
                  <c:v>4.75</c:v>
                </c:pt>
                <c:pt idx="40">
                  <c:v>4.75</c:v>
                </c:pt>
                <c:pt idx="41">
                  <c:v>4.75</c:v>
                </c:pt>
                <c:pt idx="42">
                  <c:v>5</c:v>
                </c:pt>
                <c:pt idx="43">
                  <c:v>5</c:v>
                </c:pt>
                <c:pt idx="44">
                  <c:v>5.5</c:v>
                </c:pt>
                <c:pt idx="45">
                  <c:v>5.5</c:v>
                </c:pt>
                <c:pt idx="46">
                  <c:v>5.5</c:v>
                </c:pt>
                <c:pt idx="47">
                  <c:v>5.5</c:v>
                </c:pt>
                <c:pt idx="48">
                  <c:v>5.5</c:v>
                </c:pt>
                <c:pt idx="49">
                  <c:v>5.5</c:v>
                </c:pt>
                <c:pt idx="50">
                  <c:v>5.5</c:v>
                </c:pt>
                <c:pt idx="51">
                  <c:v>5.5</c:v>
                </c:pt>
                <c:pt idx="52">
                  <c:v>5.5</c:v>
                </c:pt>
                <c:pt idx="53">
                  <c:v>5</c:v>
                </c:pt>
                <c:pt idx="54">
                  <c:v>5</c:v>
                </c:pt>
                <c:pt idx="55">
                  <c:v>5</c:v>
                </c:pt>
                <c:pt idx="56">
                  <c:v>5</c:v>
                </c:pt>
                <c:pt idx="57">
                  <c:v>5</c:v>
                </c:pt>
                <c:pt idx="58">
                  <c:v>5</c:v>
                </c:pt>
                <c:pt idx="59">
                  <c:v>5</c:v>
                </c:pt>
                <c:pt idx="60">
                  <c:v>5</c:v>
                </c:pt>
                <c:pt idx="61">
                  <c:v>5</c:v>
                </c:pt>
                <c:pt idx="62">
                  <c:v>5</c:v>
                </c:pt>
                <c:pt idx="63">
                  <c:v>5.25</c:v>
                </c:pt>
                <c:pt idx="64">
                  <c:v>5.25</c:v>
                </c:pt>
                <c:pt idx="65">
                  <c:v>5.25</c:v>
                </c:pt>
                <c:pt idx="66">
                  <c:v>5.25</c:v>
                </c:pt>
                <c:pt idx="67">
                  <c:v>5.25</c:v>
                </c:pt>
                <c:pt idx="68">
                  <c:v>5.25</c:v>
                </c:pt>
                <c:pt idx="69">
                  <c:v>5</c:v>
                </c:pt>
                <c:pt idx="70">
                  <c:v>5</c:v>
                </c:pt>
                <c:pt idx="71">
                  <c:v>5</c:v>
                </c:pt>
                <c:pt idx="72">
                  <c:v>5</c:v>
                </c:pt>
                <c:pt idx="73">
                  <c:v>5</c:v>
                </c:pt>
                <c:pt idx="74">
                  <c:v>5</c:v>
                </c:pt>
                <c:pt idx="75" formatCode="General">
                  <c:v>5</c:v>
                </c:pt>
                <c:pt idx="76" formatCode="General">
                  <c:v>4.75</c:v>
                </c:pt>
                <c:pt idx="77" formatCode="General">
                  <c:v>4.75</c:v>
                </c:pt>
                <c:pt idx="78" formatCode="General">
                  <c:v>4.75</c:v>
                </c:pt>
                <c:pt idx="79" formatCode="General">
                  <c:v>4.5</c:v>
                </c:pt>
                <c:pt idx="80" formatCode="General">
                  <c:v>4.5</c:v>
                </c:pt>
                <c:pt idx="81" formatCode="General">
                  <c:v>4.5</c:v>
                </c:pt>
                <c:pt idx="82" formatCode="General">
                  <c:v>4</c:v>
                </c:pt>
                <c:pt idx="83" formatCode="General">
                  <c:v>4</c:v>
                </c:pt>
                <c:pt idx="84" formatCode="General">
                  <c:v>4</c:v>
                </c:pt>
                <c:pt idx="85" formatCode="General">
                  <c:v>4</c:v>
                </c:pt>
                <c:pt idx="86" formatCode="General">
                  <c:v>4</c:v>
                </c:pt>
                <c:pt idx="87" formatCode="General">
                  <c:v>4</c:v>
                </c:pt>
                <c:pt idx="88" formatCode="General">
                  <c:v>3.5</c:v>
                </c:pt>
                <c:pt idx="89" formatCode="General">
                  <c:v>3.5</c:v>
                </c:pt>
                <c:pt idx="90" formatCode="General">
                  <c:v>3.5</c:v>
                </c:pt>
                <c:pt idx="91" formatCode="General">
                  <c:v>3.25</c:v>
                </c:pt>
                <c:pt idx="92" formatCode="General">
                  <c:v>3.25</c:v>
                </c:pt>
                <c:pt idx="93" formatCode="General">
                  <c:v>3.25</c:v>
                </c:pt>
                <c:pt idx="94" formatCode="General">
                  <c:v>3</c:v>
                </c:pt>
                <c:pt idx="95" formatCode="General">
                  <c:v>3</c:v>
                </c:pt>
                <c:pt idx="96" formatCode="General">
                  <c:v>3</c:v>
                </c:pt>
                <c:pt idx="97" formatCode="General">
                  <c:v>3</c:v>
                </c:pt>
                <c:pt idx="98" formatCode="General">
                  <c:v>3</c:v>
                </c:pt>
                <c:pt idx="99" formatCode="General">
                  <c:v>3</c:v>
                </c:pt>
                <c:pt idx="100" formatCode="General">
                  <c:v>3</c:v>
                </c:pt>
                <c:pt idx="101" formatCode="General">
                  <c:v>3</c:v>
                </c:pt>
                <c:pt idx="102" formatCode="General">
                  <c:v>3</c:v>
                </c:pt>
                <c:pt idx="103" formatCode="General">
                  <c:v>3</c:v>
                </c:pt>
                <c:pt idx="104" formatCode="General">
                  <c:v>3</c:v>
                </c:pt>
                <c:pt idx="105" formatCode="General">
                  <c:v>3</c:v>
                </c:pt>
                <c:pt idx="106" formatCode="General">
                  <c:v>3</c:v>
                </c:pt>
                <c:pt idx="107" formatCode="General">
                  <c:v>3</c:v>
                </c:pt>
                <c:pt idx="108" formatCode="General">
                  <c:v>3</c:v>
                </c:pt>
                <c:pt idx="109" formatCode="General">
                  <c:v>3</c:v>
                </c:pt>
                <c:pt idx="110" formatCode="General">
                  <c:v>3</c:v>
                </c:pt>
                <c:pt idx="111" formatCode="General">
                  <c:v>3</c:v>
                </c:pt>
                <c:pt idx="112" formatCode="General">
                  <c:v>3</c:v>
                </c:pt>
                <c:pt idx="113" formatCode="General">
                  <c:v>3</c:v>
                </c:pt>
                <c:pt idx="114" formatCode="General">
                  <c:v>3</c:v>
                </c:pt>
                <c:pt idx="115" formatCode="General">
                  <c:v>3</c:v>
                </c:pt>
                <c:pt idx="116" formatCode="General">
                  <c:v>3</c:v>
                </c:pt>
                <c:pt idx="117" formatCode="General">
                  <c:v>2.75</c:v>
                </c:pt>
                <c:pt idx="118" formatCode="General">
                  <c:v>2.75</c:v>
                </c:pt>
                <c:pt idx="119" formatCode="General">
                  <c:v>2.75</c:v>
                </c:pt>
                <c:pt idx="120" formatCode="General">
                  <c:v>2.75</c:v>
                </c:pt>
                <c:pt idx="121" formatCode="General">
                  <c:v>2.75</c:v>
                </c:pt>
                <c:pt idx="122" formatCode="General">
                  <c:v>2.75</c:v>
                </c:pt>
                <c:pt idx="123" formatCode="General">
                  <c:v>2.75</c:v>
                </c:pt>
                <c:pt idx="124" formatCode="General">
                  <c:v>2.75</c:v>
                </c:pt>
                <c:pt idx="125" formatCode="General">
                  <c:v>2.75</c:v>
                </c:pt>
                <c:pt idx="126" formatCode="General">
                  <c:v>2.75</c:v>
                </c:pt>
                <c:pt idx="127" formatCode="General">
                  <c:v>2.75</c:v>
                </c:pt>
                <c:pt idx="128" formatCode="General">
                  <c:v>2.75</c:v>
                </c:pt>
                <c:pt idx="129" formatCode="General">
                  <c:v>2.75</c:v>
                </c:pt>
                <c:pt idx="130" formatCode="General">
                  <c:v>2.75</c:v>
                </c:pt>
                <c:pt idx="131" formatCode="General">
                  <c:v>2.75</c:v>
                </c:pt>
              </c:numCache>
            </c:numRef>
          </c:val>
          <c:smooth val="1"/>
          <c:extLst>
            <c:ext xmlns:c16="http://schemas.microsoft.com/office/drawing/2014/chart" uri="{C3380CC4-5D6E-409C-BE32-E72D297353CC}">
              <c16:uniqueId val="{0000000E-F961-4ECD-B1E9-72CE141C461F}"/>
            </c:ext>
          </c:extLst>
        </c:ser>
        <c:dLbls>
          <c:showLegendKey val="0"/>
          <c:showVal val="1"/>
          <c:showCatName val="0"/>
          <c:showSerName val="0"/>
          <c:showPercent val="0"/>
          <c:showBubbleSize val="0"/>
        </c:dLbls>
        <c:smooth val="0"/>
        <c:axId val="111086976"/>
        <c:axId val="111092864"/>
      </c:lineChart>
      <c:dateAx>
        <c:axId val="111086976"/>
        <c:scaling>
          <c:orientation val="minMax"/>
        </c:scaling>
        <c:delete val="0"/>
        <c:axPos val="b"/>
        <c:numFmt formatCode="mmm\-yy" sourceLinked="1"/>
        <c:majorTickMark val="out"/>
        <c:minorTickMark val="none"/>
        <c:tickLblPos val="nextTo"/>
        <c:txPr>
          <a:bodyPr rot="-5400000" vert="horz"/>
          <a:lstStyle/>
          <a:p>
            <a:pPr>
              <a:defRPr lang="es-GT" sz="800">
                <a:latin typeface="Times New Roman" pitchFamily="18" charset="0"/>
                <a:cs typeface="Times New Roman" pitchFamily="18" charset="0"/>
              </a:defRPr>
            </a:pPr>
            <a:endParaRPr lang="es-GT"/>
          </a:p>
        </c:txPr>
        <c:crossAx val="111092864"/>
        <c:crosses val="autoZero"/>
        <c:auto val="1"/>
        <c:lblOffset val="100"/>
        <c:baseTimeUnit val="months"/>
        <c:majorUnit val="3"/>
        <c:majorTimeUnit val="months"/>
        <c:minorUnit val="3"/>
      </c:dateAx>
      <c:valAx>
        <c:axId val="111092864"/>
        <c:scaling>
          <c:orientation val="minMax"/>
        </c:scaling>
        <c:delete val="0"/>
        <c:axPos val="l"/>
        <c:numFmt formatCode="0.00" sourceLinked="1"/>
        <c:majorTickMark val="out"/>
        <c:minorTickMark val="none"/>
        <c:tickLblPos val="nextTo"/>
        <c:txPr>
          <a:bodyPr/>
          <a:lstStyle/>
          <a:p>
            <a:pPr>
              <a:defRPr lang="es-GT" sz="900">
                <a:latin typeface="Times New Roman" pitchFamily="18" charset="0"/>
                <a:cs typeface="Times New Roman" pitchFamily="18" charset="0"/>
              </a:defRPr>
            </a:pPr>
            <a:endParaRPr lang="es-GT"/>
          </a:p>
        </c:txPr>
        <c:crossAx val="111086976"/>
        <c:crosses val="autoZero"/>
        <c:crossBetween val="between"/>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35-4B4B-BBB6-B836082CE732}"/>
                </c:ext>
              </c:extLst>
            </c:dLbl>
            <c:dLbl>
              <c:idx val="90"/>
              <c:layout>
                <c:manualLayout>
                  <c:x val="-1.4475269578150372E-2"/>
                  <c:y val="6.06717157424334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35-4B4B-BBB6-B836082CE732}"/>
                </c:ext>
              </c:extLst>
            </c:dLbl>
            <c:dLbl>
              <c:idx val="107"/>
              <c:layout>
                <c:manualLayout>
                  <c:x val="-1.1794527849322936E-16"/>
                  <c:y val="-1.7334775926409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35-4B4B-BBB6-B836082CE732}"/>
                </c:ext>
              </c:extLst>
            </c:dLbl>
            <c:spPr>
              <a:noFill/>
              <a:ln>
                <a:noFill/>
              </a:ln>
              <a:effectLst/>
            </c:spPr>
            <c:txPr>
              <a:bodyPr/>
              <a:lstStyle/>
              <a:p>
                <a:pPr>
                  <a:defRPr sz="800">
                    <a:latin typeface="Times New Roman" pitchFamily="18" charset="0"/>
                    <a:cs typeface="Times New Roman" pitchFamily="18" charset="0"/>
                  </a:defRPr>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'tipo de cambio '!$B$27:$B$134</c:f>
              <c:numCache>
                <c:formatCode>mmm\-yy</c:formatCode>
                <c:ptCount val="108"/>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pt idx="96">
                  <c:v>43101</c:v>
                </c:pt>
                <c:pt idx="97">
                  <c:v>43132</c:v>
                </c:pt>
                <c:pt idx="98">
                  <c:v>43160</c:v>
                </c:pt>
                <c:pt idx="99">
                  <c:v>43191</c:v>
                </c:pt>
                <c:pt idx="100">
                  <c:v>43221</c:v>
                </c:pt>
                <c:pt idx="101">
                  <c:v>43252</c:v>
                </c:pt>
                <c:pt idx="102">
                  <c:v>43282</c:v>
                </c:pt>
                <c:pt idx="103">
                  <c:v>43313</c:v>
                </c:pt>
                <c:pt idx="104">
                  <c:v>43344</c:v>
                </c:pt>
                <c:pt idx="105">
                  <c:v>43374</c:v>
                </c:pt>
                <c:pt idx="106">
                  <c:v>43405</c:v>
                </c:pt>
                <c:pt idx="107">
                  <c:v>43435</c:v>
                </c:pt>
              </c:numCache>
            </c:numRef>
          </c:cat>
          <c:val>
            <c:numRef>
              <c:f>'tipo de cambio '!$C$27:$C$134</c:f>
              <c:numCache>
                <c:formatCode>0.00</c:formatCode>
                <c:ptCount val="108"/>
                <c:pt idx="0">
                  <c:v>8.3563405085440845</c:v>
                </c:pt>
                <c:pt idx="1">
                  <c:v>8.1361262190342583</c:v>
                </c:pt>
                <c:pt idx="2">
                  <c:v>8.0103276904942504</c:v>
                </c:pt>
                <c:pt idx="3">
                  <c:v>7.9928449678823039</c:v>
                </c:pt>
                <c:pt idx="4">
                  <c:v>7.9879061949656069</c:v>
                </c:pt>
                <c:pt idx="5">
                  <c:v>7.998232545050775</c:v>
                </c:pt>
                <c:pt idx="6">
                  <c:v>7.9928722644768317</c:v>
                </c:pt>
                <c:pt idx="7">
                  <c:v>8.0027188003323708</c:v>
                </c:pt>
                <c:pt idx="8">
                  <c:v>8.0662812335430072</c:v>
                </c:pt>
                <c:pt idx="9">
                  <c:v>8.0445928590314288</c:v>
                </c:pt>
                <c:pt idx="10">
                  <c:v>7.9917860671898957</c:v>
                </c:pt>
                <c:pt idx="11">
                  <c:v>7.9644301855353854</c:v>
                </c:pt>
                <c:pt idx="12">
                  <c:v>7.9393789159906074</c:v>
                </c:pt>
                <c:pt idx="13">
                  <c:v>7.7936763178312587</c:v>
                </c:pt>
                <c:pt idx="14">
                  <c:v>7.6911755581721719</c:v>
                </c:pt>
                <c:pt idx="15">
                  <c:v>7.6033358616996631</c:v>
                </c:pt>
                <c:pt idx="16">
                  <c:v>7.6475691703619599</c:v>
                </c:pt>
                <c:pt idx="17">
                  <c:v>7.7763413607187584</c:v>
                </c:pt>
                <c:pt idx="18">
                  <c:v>7.7444513189947068</c:v>
                </c:pt>
                <c:pt idx="19">
                  <c:v>7.814848411557044</c:v>
                </c:pt>
                <c:pt idx="20">
                  <c:v>7.8399072397037912</c:v>
                </c:pt>
                <c:pt idx="21">
                  <c:v>7.8299174515732988</c:v>
                </c:pt>
                <c:pt idx="22">
                  <c:v>7.8008942040115947</c:v>
                </c:pt>
                <c:pt idx="23">
                  <c:v>7.7856076542219848</c:v>
                </c:pt>
                <c:pt idx="24">
                  <c:v>7.7961150438286015</c:v>
                </c:pt>
                <c:pt idx="25">
                  <c:v>7.7717156914712424</c:v>
                </c:pt>
                <c:pt idx="26">
                  <c:v>7.7114080377043663</c:v>
                </c:pt>
                <c:pt idx="27">
                  <c:v>7.7361698654414432</c:v>
                </c:pt>
                <c:pt idx="28">
                  <c:v>7.7713813450451523</c:v>
                </c:pt>
                <c:pt idx="29">
                  <c:v>7.8366949562429706</c:v>
                </c:pt>
                <c:pt idx="30">
                  <c:v>7.8116238113454335</c:v>
                </c:pt>
                <c:pt idx="31">
                  <c:v>7.8730184642662957</c:v>
                </c:pt>
                <c:pt idx="32">
                  <c:v>7.9600809529215901</c:v>
                </c:pt>
                <c:pt idx="33">
                  <c:v>7.8591272112229635</c:v>
                </c:pt>
                <c:pt idx="34">
                  <c:v>7.8577571624899534</c:v>
                </c:pt>
                <c:pt idx="35">
                  <c:v>7.8760996804198387</c:v>
                </c:pt>
                <c:pt idx="36">
                  <c:v>7.8676223145967352</c:v>
                </c:pt>
                <c:pt idx="37">
                  <c:v>7.8144026695091791</c:v>
                </c:pt>
                <c:pt idx="38">
                  <c:v>7.796449289985194</c:v>
                </c:pt>
                <c:pt idx="39">
                  <c:v>7.7833198003135866</c:v>
                </c:pt>
                <c:pt idx="40">
                  <c:v>7.7759057149550967</c:v>
                </c:pt>
                <c:pt idx="41">
                  <c:v>7.8050829379452455</c:v>
                </c:pt>
                <c:pt idx="42">
                  <c:v>7.8101543267547084</c:v>
                </c:pt>
                <c:pt idx="43">
                  <c:v>7.8872658086161449</c:v>
                </c:pt>
                <c:pt idx="44">
                  <c:v>7.9287701658764824</c:v>
                </c:pt>
                <c:pt idx="45">
                  <c:v>7.9452553613637473</c:v>
                </c:pt>
                <c:pt idx="46">
                  <c:v>7.8807803315772027</c:v>
                </c:pt>
                <c:pt idx="47">
                  <c:v>7.8470375175462435</c:v>
                </c:pt>
                <c:pt idx="48">
                  <c:v>7.8320838751031925</c:v>
                </c:pt>
                <c:pt idx="49">
                  <c:v>7.7452676742437232</c:v>
                </c:pt>
                <c:pt idx="50">
                  <c:v>7.716182521911791</c:v>
                </c:pt>
                <c:pt idx="51">
                  <c:v>7.7358942457094715</c:v>
                </c:pt>
                <c:pt idx="52">
                  <c:v>7.7238409151556899</c:v>
                </c:pt>
                <c:pt idx="53">
                  <c:v>7.794062106829351</c:v>
                </c:pt>
                <c:pt idx="54">
                  <c:v>7.7608612600678732</c:v>
                </c:pt>
                <c:pt idx="55">
                  <c:v>7.7919629649641315</c:v>
                </c:pt>
                <c:pt idx="56">
                  <c:v>7.7074095500672923</c:v>
                </c:pt>
                <c:pt idx="57">
                  <c:v>7.6263306051233331</c:v>
                </c:pt>
                <c:pt idx="58">
                  <c:v>7.6028563856662057</c:v>
                </c:pt>
                <c:pt idx="59">
                  <c:v>7.6081653145049968</c:v>
                </c:pt>
                <c:pt idx="60">
                  <c:v>7.6262052394466791</c:v>
                </c:pt>
                <c:pt idx="61">
                  <c:v>7.6279381066262442</c:v>
                </c:pt>
                <c:pt idx="62">
                  <c:v>7.6119953593981231</c:v>
                </c:pt>
                <c:pt idx="63">
                  <c:v>7.6911660585174326</c:v>
                </c:pt>
                <c:pt idx="64">
                  <c:v>7.6641498560319503</c:v>
                </c:pt>
                <c:pt idx="65">
                  <c:v>7.6322503878986696</c:v>
                </c:pt>
                <c:pt idx="66">
                  <c:v>7.6319384831389447</c:v>
                </c:pt>
                <c:pt idx="67">
                  <c:v>7.6324245517760358</c:v>
                </c:pt>
                <c:pt idx="68">
                  <c:v>7.673106284735578</c:v>
                </c:pt>
                <c:pt idx="69">
                  <c:v>7.6631081921590933</c:v>
                </c:pt>
                <c:pt idx="70">
                  <c:v>7.6253395894756046</c:v>
                </c:pt>
                <c:pt idx="71">
                  <c:v>7.5988045101869481</c:v>
                </c:pt>
                <c:pt idx="72">
                  <c:v>7.6329725883384123</c:v>
                </c:pt>
                <c:pt idx="73">
                  <c:v>7.6478810999684388</c:v>
                </c:pt>
                <c:pt idx="74">
                  <c:v>7.700474534516867</c:v>
                </c:pt>
                <c:pt idx="75">
                  <c:v>7.7148038979384106</c:v>
                </c:pt>
                <c:pt idx="76">
                  <c:v>7.6298602603550076</c:v>
                </c:pt>
                <c:pt idx="77">
                  <c:v>7.6243942616742704</c:v>
                </c:pt>
                <c:pt idx="78">
                  <c:v>7.5793320893025617</c:v>
                </c:pt>
                <c:pt idx="79">
                  <c:v>7.5175072133740928</c:v>
                </c:pt>
                <c:pt idx="80">
                  <c:v>7.5067242537140029</c:v>
                </c:pt>
                <c:pt idx="81">
                  <c:v>7.4790989328577018</c:v>
                </c:pt>
                <c:pt idx="82">
                  <c:v>7.4871738948605904</c:v>
                </c:pt>
                <c:pt idx="83">
                  <c:v>7.4869670540945377</c:v>
                </c:pt>
                <c:pt idx="84">
                  <c:v>7.4989221892102798</c:v>
                </c:pt>
                <c:pt idx="85">
                  <c:v>7.3861050975818427</c:v>
                </c:pt>
                <c:pt idx="86">
                  <c:v>7.34063</c:v>
                </c:pt>
                <c:pt idx="87">
                  <c:v>7.3209246234449914</c:v>
                </c:pt>
                <c:pt idx="88">
                  <c:v>7.3227859561962889</c:v>
                </c:pt>
                <c:pt idx="89">
                  <c:v>7.324765934062933</c:v>
                </c:pt>
                <c:pt idx="90">
                  <c:v>7.2821760166483491</c:v>
                </c:pt>
                <c:pt idx="91">
                  <c:v>7.2567996715469407</c:v>
                </c:pt>
                <c:pt idx="92">
                  <c:v>7.2866172843636399</c:v>
                </c:pt>
                <c:pt idx="93">
                  <c:v>7.32408950415142</c:v>
                </c:pt>
                <c:pt idx="94">
                  <c:v>7.3119034597787502</c:v>
                </c:pt>
                <c:pt idx="95">
                  <c:v>7.3228799999999996</c:v>
                </c:pt>
                <c:pt idx="96">
                  <c:v>7.3250900000000003</c:v>
                </c:pt>
                <c:pt idx="97">
                  <c:v>7.3437000000000001</c:v>
                </c:pt>
                <c:pt idx="98">
                  <c:v>7.3760000000000003</c:v>
                </c:pt>
                <c:pt idx="99">
                  <c:v>7.3854699999999998</c:v>
                </c:pt>
                <c:pt idx="100">
                  <c:v>7.4281600000000001</c:v>
                </c:pt>
                <c:pt idx="101">
                  <c:v>7.46997</c:v>
                </c:pt>
                <c:pt idx="102">
                  <c:v>7.4656900000000004</c:v>
                </c:pt>
                <c:pt idx="103">
                  <c:v>7.49099</c:v>
                </c:pt>
                <c:pt idx="104">
                  <c:v>7.6479100000000004</c:v>
                </c:pt>
                <c:pt idx="105">
                  <c:v>7.70871</c:v>
                </c:pt>
                <c:pt idx="106">
                  <c:v>7.67943</c:v>
                </c:pt>
                <c:pt idx="107">
                  <c:v>7.71333</c:v>
                </c:pt>
              </c:numCache>
            </c:numRef>
          </c:val>
          <c:smooth val="0"/>
          <c:extLst>
            <c:ext xmlns:c16="http://schemas.microsoft.com/office/drawing/2014/chart" uri="{C3380CC4-5D6E-409C-BE32-E72D297353CC}">
              <c16:uniqueId val="{00000003-4035-4B4B-BBB6-B836082CE732}"/>
            </c:ext>
          </c:extLst>
        </c:ser>
        <c:dLbls>
          <c:showLegendKey val="0"/>
          <c:showVal val="0"/>
          <c:showCatName val="0"/>
          <c:showSerName val="0"/>
          <c:showPercent val="0"/>
          <c:showBubbleSize val="0"/>
        </c:dLbls>
        <c:smooth val="0"/>
        <c:axId val="111113344"/>
        <c:axId val="111114880"/>
      </c:lineChart>
      <c:dateAx>
        <c:axId val="111113344"/>
        <c:scaling>
          <c:orientation val="minMax"/>
        </c:scaling>
        <c:delete val="0"/>
        <c:axPos val="b"/>
        <c:numFmt formatCode="mmm\-yy" sourceLinked="1"/>
        <c:majorTickMark val="out"/>
        <c:minorTickMark val="none"/>
        <c:tickLblPos val="nextTo"/>
        <c:txPr>
          <a:bodyPr/>
          <a:lstStyle/>
          <a:p>
            <a:pPr>
              <a:defRPr>
                <a:latin typeface="Times New Roman" pitchFamily="18" charset="0"/>
                <a:cs typeface="Times New Roman" pitchFamily="18" charset="0"/>
              </a:defRPr>
            </a:pPr>
            <a:endParaRPr lang="es-GT"/>
          </a:p>
        </c:txPr>
        <c:crossAx val="111114880"/>
        <c:crosses val="autoZero"/>
        <c:auto val="1"/>
        <c:lblOffset val="100"/>
        <c:baseTimeUnit val="months"/>
      </c:dateAx>
      <c:valAx>
        <c:axId val="111114880"/>
        <c:scaling>
          <c:orientation val="minMax"/>
        </c:scaling>
        <c:delete val="0"/>
        <c:axPos val="l"/>
        <c:numFmt formatCode="0.00" sourceLinked="1"/>
        <c:majorTickMark val="out"/>
        <c:minorTickMark val="none"/>
        <c:tickLblPos val="nextTo"/>
        <c:txPr>
          <a:bodyPr/>
          <a:lstStyle/>
          <a:p>
            <a:pPr>
              <a:defRPr sz="900">
                <a:latin typeface="Times New Roman" pitchFamily="18" charset="0"/>
                <a:cs typeface="Times New Roman" pitchFamily="18" charset="0"/>
              </a:defRPr>
            </a:pPr>
            <a:endParaRPr lang="es-GT"/>
          </a:p>
        </c:txPr>
        <c:crossAx val="111113344"/>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'Gráfica 8 Resultado Presupuest'!$C$6</c:f>
              <c:strCache>
                <c:ptCount val="1"/>
                <c:pt idx="0">
                  <c:v>Resultado Presupuestario</c:v>
                </c:pt>
              </c:strCache>
            </c:strRef>
          </c:tx>
          <c:spPr>
            <a:solidFill>
              <a:schemeClr val="accent1">
                <a:lumMod val="75000"/>
              </a:schemeClr>
            </a:solidFill>
            <a:ln>
              <a:noFill/>
            </a:ln>
            <a:effectLst/>
            <a:scene3d>
              <a:camera prst="orthographicFront"/>
              <a:lightRig rig="threePt" dir="t"/>
            </a:scene3d>
            <a:sp3d>
              <a:bevelT/>
              <a:bevelB/>
            </a:sp3d>
          </c:spPr>
          <c:invertIfNegative val="0"/>
          <c:dLbls>
            <c:dLbl>
              <c:idx val="0"/>
              <c:layout>
                <c:manualLayout>
                  <c:x val="0"/>
                  <c:y val="-4.6296296296296294E-2"/>
                </c:manualLayout>
              </c:layout>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4BDA-42B7-9CE5-2D085FD40D56}"/>
                </c:ext>
              </c:extLst>
            </c:dLbl>
            <c:dLbl>
              <c:idx val="1"/>
              <c:layout>
                <c:manualLayout>
                  <c:x val="0"/>
                  <c:y val="-3.7037037037037125E-2"/>
                </c:manualLayout>
              </c:layout>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4BDA-42B7-9CE5-2D085FD40D56}"/>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GT"/>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8 Resultado Presupuest'!$B$7:$B$14</c:f>
              <c:strCache>
                <c:ptCount val="8"/>
                <c:pt idx="0">
                  <c:v>2011</c:v>
                </c:pt>
                <c:pt idx="1">
                  <c:v>2012</c:v>
                </c:pt>
                <c:pt idx="2">
                  <c:v>2013</c:v>
                </c:pt>
                <c:pt idx="3">
                  <c:v>2014</c:v>
                </c:pt>
                <c:pt idx="4">
                  <c:v>2015</c:v>
                </c:pt>
                <c:pt idx="5">
                  <c:v>2016</c:v>
                </c:pt>
                <c:pt idx="6">
                  <c:v>2017</c:v>
                </c:pt>
                <c:pt idx="7">
                  <c:v>2018*</c:v>
                </c:pt>
              </c:strCache>
            </c:strRef>
          </c:cat>
          <c:val>
            <c:numRef>
              <c:f>'Gráfica 8 Resultado Presupuest'!$C$7:$C$14</c:f>
              <c:numCache>
                <c:formatCode>_(* #,##0.0_);_(* \(#,##0.0\);_(* "-"??_);_(@_)</c:formatCode>
                <c:ptCount val="8"/>
                <c:pt idx="0">
                  <c:v>10356.984241560007</c:v>
                </c:pt>
                <c:pt idx="1">
                  <c:v>9445.7465251699905</c:v>
                </c:pt>
                <c:pt idx="2">
                  <c:v>9009.7867992600004</c:v>
                </c:pt>
                <c:pt idx="3">
                  <c:v>8594.4001190099953</c:v>
                </c:pt>
                <c:pt idx="4">
                  <c:v>7007.4932463399964</c:v>
                </c:pt>
                <c:pt idx="5">
                  <c:v>5572.6654719899961</c:v>
                </c:pt>
                <c:pt idx="6">
                  <c:v>7287.7273662600019</c:v>
                </c:pt>
                <c:pt idx="7">
                  <c:v>10375.9</c:v>
                </c:pt>
              </c:numCache>
            </c:numRef>
          </c:val>
          <c:extLst>
            <c:ext xmlns:c16="http://schemas.microsoft.com/office/drawing/2014/chart" uri="{C3380CC4-5D6E-409C-BE32-E72D297353CC}">
              <c16:uniqueId val="{00000002-4BDA-42B7-9CE5-2D085FD40D56}"/>
            </c:ext>
          </c:extLst>
        </c:ser>
        <c:dLbls>
          <c:showLegendKey val="0"/>
          <c:showVal val="0"/>
          <c:showCatName val="0"/>
          <c:showSerName val="0"/>
          <c:showPercent val="0"/>
          <c:showBubbleSize val="0"/>
        </c:dLbls>
        <c:gapWidth val="50"/>
        <c:axId val="111172608"/>
        <c:axId val="111172224"/>
      </c:barChart>
      <c:lineChart>
        <c:grouping val="standard"/>
        <c:varyColors val="0"/>
        <c:ser>
          <c:idx val="1"/>
          <c:order val="1"/>
          <c:tx>
            <c:strRef>
              <c:f>'Gráfica 8 Resultado Presupuest'!$D$6</c:f>
              <c:strCache>
                <c:ptCount val="1"/>
                <c:pt idx="0">
                  <c:v>% del PIB</c:v>
                </c:pt>
              </c:strCache>
            </c:strRef>
          </c:tx>
          <c:spPr>
            <a:ln w="38100" cap="rnd">
              <a:solidFill>
                <a:srgbClr val="FF0000"/>
              </a:solidFill>
              <a:round/>
            </a:ln>
            <a:effectLst/>
          </c:spPr>
          <c:marker>
            <c:symbol val="diamond"/>
            <c:size val="4"/>
            <c:spPr>
              <a:solidFill>
                <a:schemeClr val="bg1"/>
              </a:solidFill>
            </c:spPr>
          </c:marker>
          <c:dLbls>
            <c:dLbl>
              <c:idx val="7"/>
              <c:spPr/>
              <c:txPr>
                <a:bodyPr/>
                <a:lstStyle/>
                <a:p>
                  <a:pPr>
                    <a:defRPr sz="700" b="1">
                      <a:solidFill>
                        <a:schemeClr val="bg1"/>
                      </a:solidFill>
                    </a:defRPr>
                  </a:pPr>
                  <a:endParaRPr lang="es-GT"/>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DA-42B7-9CE5-2D085FD40D56}"/>
                </c:ext>
              </c:extLst>
            </c:dLbl>
            <c:spPr>
              <a:noFill/>
              <a:ln>
                <a:noFill/>
              </a:ln>
              <a:effectLst/>
            </c:spPr>
            <c:txPr>
              <a:bodyPr/>
              <a:lstStyle/>
              <a:p>
                <a:pPr>
                  <a:defRPr sz="900"/>
                </a:pPr>
                <a:endParaRPr lang="es-GT"/>
              </a:p>
            </c:txPr>
            <c:dLblPos val="t"/>
            <c:showLegendKey val="0"/>
            <c:showVal val="0"/>
            <c:showCatName val="0"/>
            <c:showSerName val="0"/>
            <c:showPercent val="0"/>
            <c:showBubbleSize val="0"/>
            <c:extLst>
              <c:ext xmlns:c15="http://schemas.microsoft.com/office/drawing/2012/chart" uri="{CE6537A1-D6FC-4f65-9D91-7224C49458BB}">
                <c15:showLeaderLines val="0"/>
              </c:ext>
            </c:extLst>
          </c:dLbls>
          <c:cat>
            <c:numRef>
              <c:f>'Gráfica 8 Resultado Presupuest'!$B$7:$B$13</c:f>
              <c:numCache>
                <c:formatCode>General</c:formatCode>
                <c:ptCount val="7"/>
                <c:pt idx="0">
                  <c:v>2011</c:v>
                </c:pt>
                <c:pt idx="1">
                  <c:v>2012</c:v>
                </c:pt>
                <c:pt idx="2">
                  <c:v>2013</c:v>
                </c:pt>
                <c:pt idx="3">
                  <c:v>2014</c:v>
                </c:pt>
                <c:pt idx="4">
                  <c:v>2015</c:v>
                </c:pt>
                <c:pt idx="5">
                  <c:v>2016</c:v>
                </c:pt>
                <c:pt idx="6">
                  <c:v>2017</c:v>
                </c:pt>
              </c:numCache>
            </c:numRef>
          </c:cat>
          <c:val>
            <c:numRef>
              <c:f>'Gráfica 8 Resultado Presupuest'!$D$7:$D$14</c:f>
              <c:numCache>
                <c:formatCode>0.0%</c:formatCode>
                <c:ptCount val="8"/>
                <c:pt idx="0">
                  <c:v>2.7915526742452276E-2</c:v>
                </c:pt>
                <c:pt idx="1">
                  <c:v>2.3930063677996952E-2</c:v>
                </c:pt>
                <c:pt idx="2">
                  <c:v>2.1294813938388227E-2</c:v>
                </c:pt>
                <c:pt idx="3">
                  <c:v>1.8928195397121206E-2</c:v>
                </c:pt>
                <c:pt idx="4">
                  <c:v>1.4355845868508434E-2</c:v>
                </c:pt>
                <c:pt idx="5">
                  <c:v>1.0663472099444704E-2</c:v>
                </c:pt>
                <c:pt idx="6">
                  <c:v>1.3147798412354778E-2</c:v>
                </c:pt>
                <c:pt idx="7">
                  <c:v>1.7999999999999999E-2</c:v>
                </c:pt>
              </c:numCache>
            </c:numRef>
          </c:val>
          <c:smooth val="1"/>
          <c:extLst>
            <c:ext xmlns:c16="http://schemas.microsoft.com/office/drawing/2014/chart" uri="{C3380CC4-5D6E-409C-BE32-E72D297353CC}">
              <c16:uniqueId val="{00000004-4BDA-42B7-9CE5-2D085FD40D56}"/>
            </c:ext>
          </c:extLst>
        </c:ser>
        <c:dLbls>
          <c:showLegendKey val="0"/>
          <c:showVal val="0"/>
          <c:showCatName val="0"/>
          <c:showSerName val="0"/>
          <c:showPercent val="0"/>
          <c:showBubbleSize val="0"/>
        </c:dLbls>
        <c:marker val="1"/>
        <c:smooth val="0"/>
        <c:axId val="111185920"/>
        <c:axId val="111179648"/>
      </c:lineChart>
      <c:catAx>
        <c:axId val="1111726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GT"/>
          </a:p>
        </c:txPr>
        <c:crossAx val="111172224"/>
        <c:crosses val="autoZero"/>
        <c:auto val="1"/>
        <c:lblAlgn val="ctr"/>
        <c:lblOffset val="100"/>
        <c:noMultiLvlLbl val="0"/>
      </c:catAx>
      <c:valAx>
        <c:axId val="111172224"/>
        <c:scaling>
          <c:orientation val="minMax"/>
        </c:scaling>
        <c:delete val="0"/>
        <c:axPos val="l"/>
        <c:title>
          <c:tx>
            <c:rich>
              <a:bodyPr rot="-5400000" vert="horz"/>
              <a:lstStyle/>
              <a:p>
                <a:pPr>
                  <a:defRPr sz="800"/>
                </a:pPr>
                <a:r>
                  <a:rPr lang="en-US" sz="800"/>
                  <a:t>Millones de Quetzales</a:t>
                </a:r>
              </a:p>
            </c:rich>
          </c:tx>
          <c:layout>
            <c:manualLayout>
              <c:xMode val="edge"/>
              <c:yMode val="edge"/>
              <c:x val="1.1734137340408802E-2"/>
              <c:y val="0.26653798483522895"/>
            </c:manualLayout>
          </c:layout>
          <c:overlay val="0"/>
        </c:title>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GT"/>
          </a:p>
        </c:txPr>
        <c:crossAx val="111172608"/>
        <c:crosses val="autoZero"/>
        <c:crossBetween val="between"/>
      </c:valAx>
      <c:valAx>
        <c:axId val="111179648"/>
        <c:scaling>
          <c:orientation val="minMax"/>
        </c:scaling>
        <c:delete val="0"/>
        <c:axPos val="r"/>
        <c:title>
          <c:tx>
            <c:rich>
              <a:bodyPr rot="5400000" vert="horz"/>
              <a:lstStyle/>
              <a:p>
                <a:pPr>
                  <a:defRPr sz="800"/>
                </a:pPr>
                <a:r>
                  <a:rPr lang="en-US" sz="800"/>
                  <a:t>Porcentaje del PIB</a:t>
                </a:r>
              </a:p>
            </c:rich>
          </c:tx>
          <c:layout>
            <c:manualLayout>
              <c:xMode val="edge"/>
              <c:yMode val="edge"/>
              <c:x val="0.95126803523050008"/>
              <c:y val="0.31948928258967635"/>
            </c:manualLayout>
          </c:layout>
          <c:overlay val="0"/>
        </c:title>
        <c:numFmt formatCode="0.0%" sourceLinked="1"/>
        <c:majorTickMark val="out"/>
        <c:minorTickMark val="none"/>
        <c:tickLblPos val="high"/>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GT"/>
          </a:p>
        </c:txPr>
        <c:crossAx val="111185920"/>
        <c:crosses val="max"/>
        <c:crossBetween val="between"/>
      </c:valAx>
      <c:catAx>
        <c:axId val="111185920"/>
        <c:scaling>
          <c:orientation val="minMax"/>
        </c:scaling>
        <c:delete val="1"/>
        <c:axPos val="b"/>
        <c:numFmt formatCode="General" sourceLinked="1"/>
        <c:majorTickMark val="out"/>
        <c:minorTickMark val="none"/>
        <c:tickLblPos val="nextTo"/>
        <c:crossAx val="111179648"/>
        <c:crosses val="autoZero"/>
        <c:auto val="1"/>
        <c:lblAlgn val="ctr"/>
        <c:lblOffset val="100"/>
        <c:noMultiLvlLbl val="0"/>
      </c:catAx>
      <c:spPr>
        <a:noFill/>
        <a:ln>
          <a:noFill/>
        </a:ln>
        <a:effectLst/>
      </c:spPr>
    </c:plotArea>
    <c:legend>
      <c:legendPos val="b"/>
      <c:overlay val="0"/>
      <c:spPr>
        <a:solidFill>
          <a:sysClr val="window" lastClr="FFFFFF"/>
        </a:solid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'[Gráfico en Microsoft Word]grafica tributarios al 31 Dic'!$B$7</c:f>
              <c:strCache>
                <c:ptCount val="1"/>
                <c:pt idx="0">
                  <c:v>Acumulado al 31 de diciembre</c:v>
                </c:pt>
              </c:strCache>
            </c:strRef>
          </c:tx>
          <c:spPr>
            <a:solidFill>
              <a:schemeClr val="tx2">
                <a:lumMod val="60000"/>
                <a:lumOff val="40000"/>
              </a:schemeClr>
            </a:solidFill>
            <a:scene3d>
              <a:camera prst="orthographicFront"/>
              <a:lightRig rig="threePt" dir="t">
                <a:rot lat="0" lon="0" rev="1200000"/>
              </a:lightRig>
            </a:scene3d>
            <a:sp3d prstMaterial="metal">
              <a:bevelT w="63500" h="25400"/>
            </a:sp3d>
          </c:spPr>
          <c:invertIfNegative val="0"/>
          <c:dPt>
            <c:idx val="6"/>
            <c:invertIfNegative val="0"/>
            <c:bubble3D val="0"/>
            <c:spPr>
              <a:solidFill>
                <a:schemeClr val="tx2">
                  <a:lumMod val="60000"/>
                  <a:lumOff val="40000"/>
                </a:schemeClr>
              </a:solidFill>
              <a:scene3d>
                <a:camera prst="orthographicFront"/>
                <a:lightRig rig="threePt" dir="t">
                  <a:rot lat="0" lon="0" rev="1200000"/>
                </a:lightRig>
              </a:scene3d>
              <a:sp3d prstMaterial="metal">
                <a:bevelT w="63500" h="25400"/>
              </a:sp3d>
            </c:spPr>
            <c:extLst>
              <c:ext xmlns:c16="http://schemas.microsoft.com/office/drawing/2014/chart" uri="{C3380CC4-5D6E-409C-BE32-E72D297353CC}">
                <c16:uniqueId val="{00000001-C182-47CD-91FC-7F579A0A8547}"/>
              </c:ext>
            </c:extLst>
          </c:dPt>
          <c:dPt>
            <c:idx val="7"/>
            <c:invertIfNegative val="0"/>
            <c:bubble3D val="0"/>
            <c:spPr>
              <a:solidFill>
                <a:schemeClr val="tx2">
                  <a:lumMod val="60000"/>
                  <a:lumOff val="40000"/>
                </a:schemeClr>
              </a:solidFill>
              <a:scene3d>
                <a:camera prst="orthographicFront"/>
                <a:lightRig rig="threePt" dir="t">
                  <a:rot lat="0" lon="0" rev="1200000"/>
                </a:lightRig>
              </a:scene3d>
              <a:sp3d prstMaterial="metal">
                <a:bevelT w="63500" h="25400"/>
              </a:sp3d>
            </c:spPr>
            <c:extLst>
              <c:ext xmlns:c16="http://schemas.microsoft.com/office/drawing/2014/chart" uri="{C3380CC4-5D6E-409C-BE32-E72D297353CC}">
                <c16:uniqueId val="{00000003-C182-47CD-91FC-7F579A0A8547}"/>
              </c:ext>
            </c:extLst>
          </c:dPt>
          <c:dPt>
            <c:idx val="8"/>
            <c:invertIfNegative val="0"/>
            <c:bubble3D val="0"/>
            <c:spPr>
              <a:solidFill>
                <a:schemeClr val="tx2">
                  <a:lumMod val="60000"/>
                  <a:lumOff val="40000"/>
                </a:schemeClr>
              </a:solidFill>
              <a:scene3d>
                <a:camera prst="orthographicFront"/>
                <a:lightRig rig="threePt" dir="t">
                  <a:rot lat="0" lon="0" rev="1200000"/>
                </a:lightRig>
              </a:scene3d>
              <a:sp3d prstMaterial="metal">
                <a:bevelT w="63500" h="25400"/>
              </a:sp3d>
            </c:spPr>
            <c:extLst>
              <c:ext xmlns:c16="http://schemas.microsoft.com/office/drawing/2014/chart" uri="{C3380CC4-5D6E-409C-BE32-E72D297353CC}">
                <c16:uniqueId val="{00000005-C182-47CD-91FC-7F579A0A8547}"/>
              </c:ext>
            </c:extLst>
          </c:dPt>
          <c:dPt>
            <c:idx val="9"/>
            <c:invertIfNegative val="0"/>
            <c:bubble3D val="0"/>
            <c:spPr>
              <a:solidFill>
                <a:schemeClr val="tx2">
                  <a:lumMod val="50000"/>
                </a:schemeClr>
              </a:solidFill>
              <a:scene3d>
                <a:camera prst="orthographicFront"/>
                <a:lightRig rig="threePt" dir="t">
                  <a:rot lat="0" lon="0" rev="1200000"/>
                </a:lightRig>
              </a:scene3d>
              <a:sp3d prstMaterial="metal">
                <a:bevelT w="63500" h="25400"/>
              </a:sp3d>
            </c:spPr>
            <c:extLst>
              <c:ext xmlns:c16="http://schemas.microsoft.com/office/drawing/2014/chart" uri="{C3380CC4-5D6E-409C-BE32-E72D297353CC}">
                <c16:uniqueId val="{00000007-C182-47CD-91FC-7F579A0A8547}"/>
              </c:ext>
            </c:extLst>
          </c:dPt>
          <c:dLbls>
            <c:numFmt formatCode="#,##0.0" sourceLinked="0"/>
            <c:spPr>
              <a:noFill/>
              <a:ln>
                <a:noFill/>
              </a:ln>
              <a:effectLst/>
            </c:spPr>
            <c:txPr>
              <a:bodyPr/>
              <a:lstStyle/>
              <a:p>
                <a:pPr>
                  <a:defRPr sz="700" b="1">
                    <a:latin typeface="Times New Roman" pitchFamily="18" charset="0"/>
                    <a:cs typeface="Times New Roman"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'[Gráfico en Microsoft Word]grafica tributarios al 31 Dic'!$C$6:$L$6</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'[Gráfico en Microsoft Word]grafica tributarios al 31 Dic'!$C$7:$L$7</c:f>
              <c:numCache>
                <c:formatCode>_(* #,##0.0_);_(* \(#,##0.0\);_(* "-"??_);_(@_)</c:formatCode>
                <c:ptCount val="10"/>
                <c:pt idx="0">
                  <c:v>31811.731543240006</c:v>
                </c:pt>
                <c:pt idx="1">
                  <c:v>34771.956835739998</c:v>
                </c:pt>
                <c:pt idx="2">
                  <c:v>40292.15394162001</c:v>
                </c:pt>
                <c:pt idx="3">
                  <c:v>42819.827858420002</c:v>
                </c:pt>
                <c:pt idx="4">
                  <c:v>46335.547626800006</c:v>
                </c:pt>
                <c:pt idx="5">
                  <c:v>49096.908672850004</c:v>
                </c:pt>
                <c:pt idx="6">
                  <c:v>49730.732999869986</c:v>
                </c:pt>
                <c:pt idx="7">
                  <c:v>54109.456394309993</c:v>
                </c:pt>
                <c:pt idx="8">
                  <c:v>56684.07362535</c:v>
                </c:pt>
                <c:pt idx="9">
                  <c:v>58835.5919698</c:v>
                </c:pt>
              </c:numCache>
            </c:numRef>
          </c:val>
          <c:extLst>
            <c:ext xmlns:c16="http://schemas.microsoft.com/office/drawing/2014/chart" uri="{C3380CC4-5D6E-409C-BE32-E72D297353CC}">
              <c16:uniqueId val="{00000008-C182-47CD-91FC-7F579A0A8547}"/>
            </c:ext>
          </c:extLst>
        </c:ser>
        <c:ser>
          <c:idx val="1"/>
          <c:order val="1"/>
          <c:tx>
            <c:strRef>
              <c:f>'grafica tributarios al 30 junio'!#REF!</c:f>
              <c:strCache>
                <c:ptCount val="1"/>
                <c:pt idx="0">
                  <c:v>#REF!</c:v>
                </c:pt>
              </c:strCache>
            </c:strRef>
          </c:tx>
          <c:spPr>
            <a:solidFill>
              <a:schemeClr val="accent3">
                <a:lumMod val="75000"/>
              </a:schemeClr>
            </a:solidFill>
          </c:spPr>
          <c:invertIfNegative val="0"/>
          <c:dLbls>
            <c:delete val="1"/>
          </c:dLbls>
          <c:cat>
            <c:numRef>
              <c:f>'[Gráfico en Microsoft Word]grafica tributarios al 31 Dic'!$C$6:$L$6</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'grafica tributarios al 30 junio'!#REF!</c:f>
              <c:numCache>
                <c:formatCode>General</c:formatCode>
                <c:ptCount val="1"/>
                <c:pt idx="0">
                  <c:v>1</c:v>
                </c:pt>
              </c:numCache>
            </c:numRef>
          </c:val>
          <c:extLst>
            <c:ext xmlns:c16="http://schemas.microsoft.com/office/drawing/2014/chart" uri="{C3380CC4-5D6E-409C-BE32-E72D297353CC}">
              <c16:uniqueId val="{00000009-C182-47CD-91FC-7F579A0A8547}"/>
            </c:ext>
          </c:extLst>
        </c:ser>
        <c:dLbls>
          <c:showLegendKey val="0"/>
          <c:showVal val="1"/>
          <c:showCatName val="0"/>
          <c:showSerName val="0"/>
          <c:showPercent val="0"/>
          <c:showBubbleSize val="0"/>
        </c:dLbls>
        <c:gapWidth val="29"/>
        <c:overlap val="100"/>
        <c:axId val="111199360"/>
        <c:axId val="111200896"/>
      </c:barChart>
      <c:catAx>
        <c:axId val="111199360"/>
        <c:scaling>
          <c:orientation val="minMax"/>
        </c:scaling>
        <c:delete val="0"/>
        <c:axPos val="b"/>
        <c:numFmt formatCode="General" sourceLinked="1"/>
        <c:majorTickMark val="none"/>
        <c:minorTickMark val="none"/>
        <c:tickLblPos val="nextTo"/>
        <c:txPr>
          <a:bodyPr/>
          <a:lstStyle/>
          <a:p>
            <a:pPr>
              <a:defRPr sz="1100" b="1">
                <a:latin typeface="Times New Roman" pitchFamily="18" charset="0"/>
                <a:cs typeface="Times New Roman" pitchFamily="18" charset="0"/>
              </a:defRPr>
            </a:pPr>
            <a:endParaRPr lang="es-GT"/>
          </a:p>
        </c:txPr>
        <c:crossAx val="111200896"/>
        <c:crosses val="autoZero"/>
        <c:auto val="1"/>
        <c:lblAlgn val="ctr"/>
        <c:lblOffset val="100"/>
        <c:noMultiLvlLbl val="0"/>
      </c:catAx>
      <c:valAx>
        <c:axId val="111200896"/>
        <c:scaling>
          <c:orientation val="minMax"/>
        </c:scaling>
        <c:delete val="0"/>
        <c:axPos val="l"/>
        <c:title>
          <c:tx>
            <c:rich>
              <a:bodyPr rot="-5400000" vert="horz"/>
              <a:lstStyle/>
              <a:p>
                <a:pPr>
                  <a:defRPr sz="1050" b="1">
                    <a:latin typeface="Times New Roman" pitchFamily="18" charset="0"/>
                    <a:cs typeface="Times New Roman" pitchFamily="18" charset="0"/>
                  </a:defRPr>
                </a:pPr>
                <a:r>
                  <a:rPr lang="en-US" sz="1050" b="1">
                    <a:latin typeface="Times New Roman" pitchFamily="18" charset="0"/>
                    <a:cs typeface="Times New Roman" pitchFamily="18" charset="0"/>
                  </a:rPr>
                  <a:t>Millones de Quetzales</a:t>
                </a:r>
              </a:p>
            </c:rich>
          </c:tx>
          <c:layout>
            <c:manualLayout>
              <c:xMode val="edge"/>
              <c:yMode val="edge"/>
              <c:x val="9.9476206357217642E-3"/>
              <c:y val="0.17652896557786735"/>
            </c:manualLayout>
          </c:layout>
          <c:overlay val="0"/>
        </c:title>
        <c:numFmt formatCode="#,##0" sourceLinked="0"/>
        <c:majorTickMark val="none"/>
        <c:minorTickMark val="none"/>
        <c:tickLblPos val="nextTo"/>
        <c:txPr>
          <a:bodyPr/>
          <a:lstStyle/>
          <a:p>
            <a:pPr>
              <a:defRPr sz="900" b="1">
                <a:latin typeface="Times New Roman" pitchFamily="18" charset="0"/>
                <a:cs typeface="Times New Roman" pitchFamily="18" charset="0"/>
              </a:defRPr>
            </a:pPr>
            <a:endParaRPr lang="es-GT"/>
          </a:p>
        </c:txPr>
        <c:crossAx val="111199360"/>
        <c:crosses val="autoZero"/>
        <c:crossBetween val="between"/>
      </c:valAx>
    </c:plotArea>
    <c:legend>
      <c:legendPos val="b"/>
      <c:legendEntry>
        <c:idx val="1"/>
        <c:delete val="1"/>
      </c:legendEntry>
      <c:overlay val="0"/>
      <c:txPr>
        <a:bodyPr/>
        <a:lstStyle/>
        <a:p>
          <a:pPr>
            <a:defRPr sz="1200" b="1" i="0">
              <a:latin typeface="Times New Roman" pitchFamily="18" charset="0"/>
              <a:cs typeface="Times New Roman" pitchFamily="18" charset="0"/>
            </a:defRPr>
          </a:pPr>
          <a:endParaRPr lang="es-GT"/>
        </a:p>
      </c:txPr>
    </c:legend>
    <c:plotVisOnly val="1"/>
    <c:dispBlanksAs val="gap"/>
    <c:showDLblsOverMax val="0"/>
  </c:chart>
  <c:spPr>
    <a:solidFill>
      <a:schemeClr val="bg1"/>
    </a:solidFill>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0.04993</cdr:x>
      <cdr:y>0.8148</cdr:y>
    </cdr:from>
    <cdr:to>
      <cdr:x>0.26667</cdr:x>
      <cdr:y>0.9418</cdr:y>
    </cdr:to>
    <cdr:sp macro="" textlink="">
      <cdr:nvSpPr>
        <cdr:cNvPr id="2" name="1 CuadroTexto"/>
        <cdr:cNvSpPr txBox="1"/>
      </cdr:nvSpPr>
      <cdr:spPr>
        <a:xfrm xmlns:a="http://schemas.openxmlformats.org/drawingml/2006/main">
          <a:off x="356687" y="3647671"/>
          <a:ext cx="1548337" cy="5685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GT" sz="1000">
              <a:latin typeface="Times New Roman" pitchFamily="18" charset="0"/>
              <a:ea typeface="+mn-ea"/>
              <a:cs typeface="Times New Roman" pitchFamily="18" charset="0"/>
            </a:rPr>
            <a:t>   p/preliminar</a:t>
          </a:r>
        </a:p>
        <a:p xmlns:a="http://schemas.openxmlformats.org/drawingml/2006/main">
          <a:r>
            <a:rPr lang="es-GT" sz="1000">
              <a:latin typeface="Times New Roman" pitchFamily="18" charset="0"/>
              <a:ea typeface="+mn-ea"/>
              <a:cs typeface="Times New Roman" pitchFamily="18" charset="0"/>
            </a:rPr>
            <a:t>py/proyección media</a:t>
          </a:r>
        </a:p>
      </cdr:txBody>
    </cdr:sp>
  </cdr:relSizeAnchor>
  <cdr:relSizeAnchor xmlns:cdr="http://schemas.openxmlformats.org/drawingml/2006/chartDrawing">
    <cdr:from>
      <cdr:x>0.04968</cdr:x>
      <cdr:y>0.89438</cdr:y>
    </cdr:from>
    <cdr:to>
      <cdr:x>0.36372</cdr:x>
      <cdr:y>0.94415</cdr:y>
    </cdr:to>
    <cdr:sp macro="" textlink="">
      <cdr:nvSpPr>
        <cdr:cNvPr id="3" name="2 CuadroTexto"/>
        <cdr:cNvSpPr txBox="1"/>
      </cdr:nvSpPr>
      <cdr:spPr>
        <a:xfrm xmlns:a="http://schemas.openxmlformats.org/drawingml/2006/main">
          <a:off x="354878" y="4003910"/>
          <a:ext cx="2243423" cy="2228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GT" sz="1000">
              <a:latin typeface="Times New Roman" pitchFamily="18" charset="0"/>
              <a:cs typeface="Times New Roman" pitchFamily="18" charset="0"/>
            </a:rPr>
            <a:t>Fuente: Banco de Guatemala</a:t>
          </a:r>
        </a:p>
      </cdr:txBody>
    </cdr:sp>
  </cdr:relSizeAnchor>
  <cdr:relSizeAnchor xmlns:cdr="http://schemas.openxmlformats.org/drawingml/2006/chartDrawing">
    <cdr:from>
      <cdr:x>0.85889</cdr:x>
      <cdr:y>0.33602</cdr:y>
    </cdr:from>
    <cdr:to>
      <cdr:x>1</cdr:x>
      <cdr:y>0.4445</cdr:y>
    </cdr:to>
    <cdr:sp macro="" textlink="">
      <cdr:nvSpPr>
        <cdr:cNvPr id="4" name="3 CuadroTexto"/>
        <cdr:cNvSpPr txBox="1"/>
      </cdr:nvSpPr>
      <cdr:spPr>
        <a:xfrm xmlns:a="http://schemas.openxmlformats.org/drawingml/2006/main">
          <a:off x="5565600" y="1209675"/>
          <a:ext cx="914400" cy="3905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GT" sz="1100"/>
        </a:p>
      </cdr:txBody>
    </cdr:sp>
  </cdr:relSizeAnchor>
</c:userShapes>
</file>

<file path=word/drawings/drawing2.xml><?xml version="1.0" encoding="utf-8"?>
<c:userShapes xmlns:c="http://schemas.openxmlformats.org/drawingml/2006/chart">
  <cdr:relSizeAnchor xmlns:cdr="http://schemas.openxmlformats.org/drawingml/2006/chartDrawing">
    <cdr:from>
      <cdr:x>0.30945</cdr:x>
      <cdr:y>0.26715</cdr:y>
    </cdr:from>
    <cdr:to>
      <cdr:x>0.57011</cdr:x>
      <cdr:y>0.31716</cdr:y>
    </cdr:to>
    <cdr:sp macro="" textlink="">
      <cdr:nvSpPr>
        <cdr:cNvPr id="4" name="3 CuadroTexto"/>
        <cdr:cNvSpPr txBox="1"/>
      </cdr:nvSpPr>
      <cdr:spPr>
        <a:xfrm xmlns:a="http://schemas.openxmlformats.org/drawingml/2006/main">
          <a:off x="2385996" y="1363930"/>
          <a:ext cx="2009793" cy="2553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GT" sz="800" b="1">
              <a:latin typeface="Times New Roman" pitchFamily="18" charset="0"/>
              <a:cs typeface="Times New Roman" pitchFamily="18" charset="0"/>
            </a:rPr>
            <a:t>Meta</a:t>
          </a:r>
          <a:r>
            <a:rPr lang="es-GT" sz="800" b="1" baseline="0">
              <a:latin typeface="Times New Roman" pitchFamily="18" charset="0"/>
              <a:cs typeface="Times New Roman" pitchFamily="18" charset="0"/>
            </a:rPr>
            <a:t> de inflacion 4.0% +/1 1 p.p.</a:t>
          </a:r>
          <a:endParaRPr lang="es-GT" sz="8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pel">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pel">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6470-2B81-4574-849F-45F072A8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15537</Words>
  <Characters>85454</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Desempeño Reciente de la Política Fiscal y Situación Macroeconómica al 31 de diciembre 2018</vt:lpstr>
    </vt:vector>
  </TitlesOfParts>
  <Company>Microsoft</Company>
  <LinksUpToDate>false</LinksUpToDate>
  <CharactersWithSpaces>100790</CharactersWithSpaces>
  <SharedDoc>false</SharedDoc>
  <HLinks>
    <vt:vector size="36" baseType="variant">
      <vt:variant>
        <vt:i4>5505078</vt:i4>
      </vt:variant>
      <vt:variant>
        <vt:i4>15</vt:i4>
      </vt:variant>
      <vt:variant>
        <vt:i4>0</vt:i4>
      </vt:variant>
      <vt:variant>
        <vt:i4>5</vt:i4>
      </vt:variant>
      <vt:variant>
        <vt:lpwstr>http://portal.sat.gob.gt/sitio/index.php/leyes/doc_details/2683-acuerdodedirectorionumero08-2011face.html</vt:lpwstr>
      </vt:variant>
      <vt:variant>
        <vt:lpwstr/>
      </vt:variant>
      <vt:variant>
        <vt:i4>1114202</vt:i4>
      </vt:variant>
      <vt:variant>
        <vt:i4>12</vt:i4>
      </vt:variant>
      <vt:variant>
        <vt:i4>0</vt:i4>
      </vt:variant>
      <vt:variant>
        <vt:i4>5</vt:i4>
      </vt:variant>
      <vt:variant>
        <vt:lpwstr>http://www.sgp.gob.gt/PaginaWeb/Acuerdos/2011/presidencia/AG-168-2011.pdf</vt:lpwstr>
      </vt:variant>
      <vt:variant>
        <vt:lpwstr/>
      </vt:variant>
      <vt:variant>
        <vt:i4>4653175</vt:i4>
      </vt:variant>
      <vt:variant>
        <vt:i4>9</vt:i4>
      </vt:variant>
      <vt:variant>
        <vt:i4>0</vt:i4>
      </vt:variant>
      <vt:variant>
        <vt:i4>5</vt:i4>
      </vt:variant>
      <vt:variant>
        <vt:lpwstr>http://www.sgp.gob.gt/PaginaWeb/PEsp/AG2011_Esp.htm</vt:lpwstr>
      </vt:variant>
      <vt:variant>
        <vt:lpwstr/>
      </vt:variant>
      <vt:variant>
        <vt:i4>3801144</vt:i4>
      </vt:variant>
      <vt:variant>
        <vt:i4>6</vt:i4>
      </vt:variant>
      <vt:variant>
        <vt:i4>0</vt:i4>
      </vt:variant>
      <vt:variant>
        <vt:i4>5</vt:i4>
      </vt:variant>
      <vt:variant>
        <vt:lpwstr>http://200.12.63.122/archivos/acuerdos/2010/CCLXXXVIII0790300050053201017022010.pdf</vt:lpwstr>
      </vt:variant>
      <vt:variant>
        <vt:lpwstr/>
      </vt:variant>
      <vt:variant>
        <vt:i4>6422584</vt:i4>
      </vt:variant>
      <vt:variant>
        <vt:i4>3</vt:i4>
      </vt:variant>
      <vt:variant>
        <vt:i4>0</vt:i4>
      </vt:variant>
      <vt:variant>
        <vt:i4>5</vt:i4>
      </vt:variant>
      <vt:variant>
        <vt:lpwstr>http://www.oj.gob.gt/es/QueEsOJ/EstructuraOJ/UnidadesAdministrativas/CentroAnalisisDocumentacionJudicial/cds/CDs leyes/2008/pdfs/decretos/D003-2008.pdf</vt:lpwstr>
      </vt:variant>
      <vt:variant>
        <vt:lpwstr/>
      </vt:variant>
      <vt:variant>
        <vt:i4>7667743</vt:i4>
      </vt:variant>
      <vt:variant>
        <vt:i4>0</vt:i4>
      </vt:variant>
      <vt:variant>
        <vt:i4>0</vt:i4>
      </vt:variant>
      <vt:variant>
        <vt:i4>5</vt:i4>
      </vt:variant>
      <vt:variant>
        <vt:lpwstr>http://www.minfin.gob.gt/2011-07-05-18-17-00/proyectospresupuesto/files.html?folder=2012\multianual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Desempeño Reciente de la Política Fiscal y Situación Macroeconómica al 31 de diciembre 2018</dc:title>
  <dc:creator>Saul Enrique De León Meneses</dc:creator>
  <cp:lastModifiedBy>Myriam Adelaida Galvez García</cp:lastModifiedBy>
  <cp:revision>2</cp:revision>
  <cp:lastPrinted>2019-03-30T01:02:00Z</cp:lastPrinted>
  <dcterms:created xsi:type="dcterms:W3CDTF">2019-03-30T01:38:00Z</dcterms:created>
  <dcterms:modified xsi:type="dcterms:W3CDTF">2019-03-30T01:38:00Z</dcterms:modified>
</cp:coreProperties>
</file>