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5A" w:rsidRPr="00D901C3" w:rsidRDefault="0092424C" w:rsidP="00D628B2">
      <w:pPr>
        <w:pStyle w:val="Sinespaciado"/>
        <w:pBdr>
          <w:top w:val="single" w:sz="12" w:space="1" w:color="auto"/>
          <w:left w:val="single" w:sz="12" w:space="4" w:color="auto"/>
          <w:bottom w:val="single" w:sz="12" w:space="1" w:color="auto"/>
          <w:right w:val="single" w:sz="12" w:space="4" w:color="auto"/>
        </w:pBdr>
        <w:shd w:val="clear" w:color="auto" w:fill="8DB3E2" w:themeFill="text2" w:themeFillTint="66"/>
        <w:jc w:val="center"/>
        <w:rPr>
          <w:rFonts w:ascii="Times New Roman" w:hAnsi="Times New Roman" w:cs="Times New Roman"/>
          <w:b/>
          <w:color w:val="000000" w:themeColor="text1"/>
        </w:rPr>
      </w:pPr>
      <w:r>
        <w:rPr>
          <w:rFonts w:ascii="Times New Roman" w:hAnsi="Times New Roman" w:cs="Times New Roman"/>
          <w:b/>
          <w:color w:val="000000" w:themeColor="text1"/>
          <w:lang w:val="es-MX"/>
        </w:rPr>
        <w:t>Aumento importante en el déficit fiscal</w:t>
      </w:r>
    </w:p>
    <w:p w:rsidR="00AE3079" w:rsidRPr="001C620C" w:rsidRDefault="00AE3079" w:rsidP="00AE3079">
      <w:pPr>
        <w:pStyle w:val="Sinespaciado"/>
        <w:jc w:val="center"/>
        <w:rPr>
          <w:rFonts w:ascii="Times New Roman" w:hAnsi="Times New Roman" w:cs="Times New Roman"/>
          <w:b/>
        </w:rPr>
      </w:pPr>
    </w:p>
    <w:p w:rsidR="004D1837" w:rsidRDefault="004D1837" w:rsidP="00AE3079">
      <w:pPr>
        <w:pStyle w:val="Sinespaciado"/>
        <w:jc w:val="center"/>
        <w:rPr>
          <w:rFonts w:ascii="Times New Roman" w:hAnsi="Times New Roman" w:cs="Times New Roman"/>
          <w:b/>
          <w:lang w:val="es-MX"/>
        </w:rPr>
        <w:sectPr w:rsidR="004D1837" w:rsidSect="00213F7F">
          <w:headerReference w:type="default" r:id="rId8"/>
          <w:type w:val="continuous"/>
          <w:pgSz w:w="12240" w:h="15840"/>
          <w:pgMar w:top="1417" w:right="1701" w:bottom="1417" w:left="1701" w:header="708" w:footer="708" w:gutter="0"/>
          <w:cols w:space="708"/>
          <w:docGrid w:linePitch="360"/>
        </w:sectPr>
      </w:pPr>
    </w:p>
    <w:p w:rsidR="0002384A" w:rsidRDefault="00E61CD5" w:rsidP="006E35C9">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00A7715A" w:rsidRPr="00F92177">
        <w:rPr>
          <w:rFonts w:ascii="Times New Roman" w:hAnsi="Times New Roman" w:cs="Times New Roman"/>
          <w:lang w:val="es-MX"/>
        </w:rPr>
        <w:t>l resultado pr</w:t>
      </w:r>
      <w:r w:rsidR="00651BD9">
        <w:rPr>
          <w:rFonts w:ascii="Times New Roman" w:hAnsi="Times New Roman" w:cs="Times New Roman"/>
          <w:lang w:val="es-MX"/>
        </w:rPr>
        <w:t>es</w:t>
      </w:r>
      <w:r w:rsidR="00622102">
        <w:rPr>
          <w:rFonts w:ascii="Times New Roman" w:hAnsi="Times New Roman" w:cs="Times New Roman"/>
          <w:lang w:val="es-MX"/>
        </w:rPr>
        <w:t>upuestario del gobierno muestra</w:t>
      </w:r>
      <w:r w:rsidR="00651BD9">
        <w:rPr>
          <w:rFonts w:ascii="Times New Roman" w:hAnsi="Times New Roman" w:cs="Times New Roman"/>
          <w:lang w:val="es-MX"/>
        </w:rPr>
        <w:t xml:space="preserve"> </w:t>
      </w:r>
      <w:r w:rsidR="00C37431">
        <w:rPr>
          <w:rFonts w:ascii="Times New Roman" w:hAnsi="Times New Roman" w:cs="Times New Roman"/>
          <w:lang w:val="es-MX"/>
        </w:rPr>
        <w:t>un déficit</w:t>
      </w:r>
      <w:r w:rsidR="00A7715A" w:rsidRPr="00F92177">
        <w:rPr>
          <w:rFonts w:ascii="Times New Roman" w:hAnsi="Times New Roman" w:cs="Times New Roman"/>
          <w:lang w:val="es-MX"/>
        </w:rPr>
        <w:t xml:space="preserve"> </w:t>
      </w:r>
      <w:r w:rsidR="009B155E" w:rsidRPr="00F92177">
        <w:rPr>
          <w:rFonts w:ascii="Times New Roman" w:hAnsi="Times New Roman" w:cs="Times New Roman"/>
          <w:lang w:val="es-MX"/>
        </w:rPr>
        <w:t>fiscal</w:t>
      </w:r>
      <w:r>
        <w:rPr>
          <w:rFonts w:ascii="Times New Roman" w:hAnsi="Times New Roman" w:cs="Times New Roman"/>
          <w:lang w:val="es-MX"/>
        </w:rPr>
        <w:t xml:space="preserve"> que</w:t>
      </w:r>
      <w:r w:rsidR="0002384A">
        <w:rPr>
          <w:rFonts w:ascii="Times New Roman" w:hAnsi="Times New Roman" w:cs="Times New Roman"/>
          <w:lang w:val="es-MX"/>
        </w:rPr>
        <w:t xml:space="preserve"> se sitúa al 3</w:t>
      </w:r>
      <w:r w:rsidR="002B4EE0">
        <w:rPr>
          <w:rFonts w:ascii="Times New Roman" w:hAnsi="Times New Roman" w:cs="Times New Roman"/>
          <w:lang w:val="es-MX"/>
        </w:rPr>
        <w:t>1 de octu</w:t>
      </w:r>
      <w:r w:rsidR="00D56309">
        <w:rPr>
          <w:rFonts w:ascii="Times New Roman" w:hAnsi="Times New Roman" w:cs="Times New Roman"/>
          <w:lang w:val="es-MX"/>
        </w:rPr>
        <w:t>bre</w:t>
      </w:r>
      <w:r w:rsidR="00B5021B">
        <w:rPr>
          <w:rFonts w:ascii="Times New Roman" w:hAnsi="Times New Roman" w:cs="Times New Roman"/>
          <w:lang w:val="es-MX"/>
        </w:rPr>
        <w:t xml:space="preserve"> de 201</w:t>
      </w:r>
      <w:r w:rsidR="006E35C9">
        <w:rPr>
          <w:rFonts w:ascii="Times New Roman" w:hAnsi="Times New Roman" w:cs="Times New Roman"/>
          <w:lang w:val="es-MX"/>
        </w:rPr>
        <w:t>9</w:t>
      </w:r>
      <w:r>
        <w:rPr>
          <w:rFonts w:ascii="Times New Roman" w:hAnsi="Times New Roman" w:cs="Times New Roman"/>
          <w:lang w:val="es-MX"/>
        </w:rPr>
        <w:t xml:space="preserve"> </w:t>
      </w:r>
      <w:r w:rsidR="000F3836">
        <w:rPr>
          <w:rFonts w:ascii="Times New Roman" w:hAnsi="Times New Roman" w:cs="Times New Roman"/>
          <w:lang w:val="es-MX"/>
        </w:rPr>
        <w:t>en</w:t>
      </w:r>
      <w:r w:rsidR="009B155E" w:rsidRPr="00F92177">
        <w:rPr>
          <w:rFonts w:ascii="Times New Roman" w:hAnsi="Times New Roman" w:cs="Times New Roman"/>
          <w:lang w:val="es-MX"/>
        </w:rPr>
        <w:t xml:space="preserve"> </w:t>
      </w:r>
      <w:r w:rsidR="00A7715A" w:rsidRPr="00F92177">
        <w:rPr>
          <w:rFonts w:ascii="Times New Roman" w:hAnsi="Times New Roman" w:cs="Times New Roman"/>
          <w:lang w:val="es-MX"/>
        </w:rPr>
        <w:t>Q</w:t>
      </w:r>
      <w:r w:rsidR="00AD5948">
        <w:rPr>
          <w:rFonts w:ascii="Times New Roman" w:hAnsi="Times New Roman" w:cs="Times New Roman"/>
          <w:lang w:val="es-MX"/>
        </w:rPr>
        <w:t>7</w:t>
      </w:r>
      <w:r w:rsidR="0002384A">
        <w:rPr>
          <w:rFonts w:ascii="Times New Roman" w:hAnsi="Times New Roman" w:cs="Times New Roman"/>
          <w:lang w:val="es-MX"/>
        </w:rPr>
        <w:t>,</w:t>
      </w:r>
      <w:r w:rsidR="00AD5948">
        <w:rPr>
          <w:rFonts w:ascii="Times New Roman" w:hAnsi="Times New Roman" w:cs="Times New Roman"/>
          <w:lang w:val="es-MX"/>
        </w:rPr>
        <w:t>3</w:t>
      </w:r>
      <w:r w:rsidR="002B4EE0">
        <w:rPr>
          <w:rFonts w:ascii="Times New Roman" w:hAnsi="Times New Roman" w:cs="Times New Roman"/>
          <w:lang w:val="es-MX"/>
        </w:rPr>
        <w:t>64</w:t>
      </w:r>
      <w:r w:rsidR="00622102">
        <w:rPr>
          <w:rFonts w:ascii="Times New Roman" w:hAnsi="Times New Roman" w:cs="Times New Roman"/>
          <w:lang w:val="es-MX"/>
        </w:rPr>
        <w:t>.</w:t>
      </w:r>
      <w:r w:rsidR="002B4EE0">
        <w:rPr>
          <w:rFonts w:ascii="Times New Roman" w:hAnsi="Times New Roman" w:cs="Times New Roman"/>
          <w:lang w:val="es-MX"/>
        </w:rPr>
        <w:t>1</w:t>
      </w:r>
      <w:r w:rsidR="00A7715A" w:rsidRPr="00F92177">
        <w:rPr>
          <w:rFonts w:ascii="Times New Roman" w:hAnsi="Times New Roman" w:cs="Times New Roman"/>
          <w:lang w:val="es-MX"/>
        </w:rPr>
        <w:t xml:space="preserve"> millones</w:t>
      </w:r>
      <w:r w:rsidR="00651BD9">
        <w:rPr>
          <w:rFonts w:ascii="Times New Roman" w:hAnsi="Times New Roman" w:cs="Times New Roman"/>
          <w:lang w:val="es-MX"/>
        </w:rPr>
        <w:t>.</w:t>
      </w:r>
      <w:r w:rsidR="00F5116D">
        <w:rPr>
          <w:rFonts w:ascii="Times New Roman" w:hAnsi="Times New Roman" w:cs="Times New Roman"/>
          <w:lang w:val="es-MX"/>
        </w:rPr>
        <w:t xml:space="preserve"> </w:t>
      </w:r>
      <w:r w:rsidR="00AD5948">
        <w:rPr>
          <w:rFonts w:ascii="Times New Roman" w:hAnsi="Times New Roman" w:cs="Times New Roman"/>
          <w:lang w:val="es-MX"/>
        </w:rPr>
        <w:t>Este déficit es equivalente al 1</w:t>
      </w:r>
      <w:r w:rsidR="00F5116D">
        <w:rPr>
          <w:rFonts w:ascii="Times New Roman" w:hAnsi="Times New Roman" w:cs="Times New Roman"/>
          <w:lang w:val="es-MX"/>
        </w:rPr>
        <w:t>.</w:t>
      </w:r>
      <w:r w:rsidR="002B4EE0">
        <w:rPr>
          <w:rFonts w:ascii="Times New Roman" w:hAnsi="Times New Roman" w:cs="Times New Roman"/>
          <w:lang w:val="es-MX"/>
        </w:rPr>
        <w:t>2</w:t>
      </w:r>
      <w:r w:rsidR="00F5116D">
        <w:rPr>
          <w:rFonts w:ascii="Times New Roman" w:hAnsi="Times New Roman" w:cs="Times New Roman"/>
          <w:lang w:val="es-MX"/>
        </w:rPr>
        <w:t>% del PIB</w:t>
      </w:r>
      <w:r w:rsidR="002B4EE0">
        <w:rPr>
          <w:rFonts w:ascii="Times New Roman" w:hAnsi="Times New Roman" w:cs="Times New Roman"/>
          <w:lang w:val="es-MX"/>
        </w:rPr>
        <w:t>, una décima menos que el reportado en el cierre de septiembre</w:t>
      </w:r>
      <w:r w:rsidR="00B250A0">
        <w:rPr>
          <w:rFonts w:ascii="Times New Roman" w:hAnsi="Times New Roman" w:cs="Times New Roman"/>
          <w:lang w:val="es-MX"/>
        </w:rPr>
        <w:t>. A pesar que en los años anteriores también se reportó déficit fiscal a la misma fecha, es</w:t>
      </w:r>
      <w:r w:rsidR="00AD5948">
        <w:rPr>
          <w:rFonts w:ascii="Times New Roman" w:hAnsi="Times New Roman" w:cs="Times New Roman"/>
          <w:lang w:val="es-MX"/>
        </w:rPr>
        <w:t xml:space="preserve">tos han sido </w:t>
      </w:r>
      <w:r w:rsidR="00B250A0">
        <w:rPr>
          <w:rFonts w:ascii="Times New Roman" w:hAnsi="Times New Roman" w:cs="Times New Roman"/>
          <w:lang w:val="es-MX"/>
        </w:rPr>
        <w:t>menor</w:t>
      </w:r>
      <w:r w:rsidR="00232BE3">
        <w:rPr>
          <w:rFonts w:ascii="Times New Roman" w:hAnsi="Times New Roman" w:cs="Times New Roman"/>
          <w:lang w:val="es-MX"/>
        </w:rPr>
        <w:t>es</w:t>
      </w:r>
      <w:r w:rsidR="00B250A0">
        <w:rPr>
          <w:rFonts w:ascii="Times New Roman" w:hAnsi="Times New Roman" w:cs="Times New Roman"/>
          <w:lang w:val="es-MX"/>
        </w:rPr>
        <w:t xml:space="preserve"> al reportado </w:t>
      </w:r>
      <w:r w:rsidR="002B4EE0">
        <w:rPr>
          <w:rFonts w:ascii="Times New Roman" w:hAnsi="Times New Roman" w:cs="Times New Roman"/>
          <w:lang w:val="es-MX"/>
        </w:rPr>
        <w:t>en el presente año</w:t>
      </w:r>
      <w:r w:rsidR="00B250A0">
        <w:rPr>
          <w:rFonts w:ascii="Times New Roman" w:hAnsi="Times New Roman" w:cs="Times New Roman"/>
          <w:lang w:val="es-MX"/>
        </w:rPr>
        <w:t>.</w:t>
      </w:r>
      <w:r w:rsidR="00042B59">
        <w:rPr>
          <w:rFonts w:ascii="Times New Roman" w:hAnsi="Times New Roman" w:cs="Times New Roman"/>
          <w:lang w:val="es-MX"/>
        </w:rPr>
        <w:t xml:space="preserve"> </w:t>
      </w:r>
    </w:p>
    <w:p w:rsidR="00D57B61" w:rsidRDefault="00D57B61" w:rsidP="006E35C9">
      <w:pPr>
        <w:pStyle w:val="Sinespaciado"/>
        <w:jc w:val="both"/>
        <w:rPr>
          <w:rFonts w:ascii="Times New Roman" w:hAnsi="Times New Roman" w:cs="Times New Roman"/>
          <w:lang w:val="es-MX"/>
        </w:rPr>
      </w:pPr>
    </w:p>
    <w:p w:rsidR="00D57B61" w:rsidRDefault="00E651BB" w:rsidP="00465937">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007F4573">
        <w:rPr>
          <w:rFonts w:ascii="Times New Roman" w:hAnsi="Times New Roman" w:cs="Times New Roman"/>
          <w:lang w:val="es-MX"/>
        </w:rPr>
        <w:t>l déficit</w:t>
      </w:r>
      <w:r>
        <w:rPr>
          <w:rFonts w:ascii="Times New Roman" w:hAnsi="Times New Roman" w:cs="Times New Roman"/>
          <w:lang w:val="es-MX"/>
        </w:rPr>
        <w:t xml:space="preserve"> fiscal</w:t>
      </w:r>
      <w:r w:rsidR="00B250A0">
        <w:rPr>
          <w:rFonts w:ascii="Times New Roman" w:hAnsi="Times New Roman" w:cs="Times New Roman"/>
          <w:lang w:val="es-MX"/>
        </w:rPr>
        <w:t xml:space="preserve"> es</w:t>
      </w:r>
      <w:r w:rsidR="00232BE3">
        <w:rPr>
          <w:rFonts w:ascii="Times New Roman" w:hAnsi="Times New Roman" w:cs="Times New Roman"/>
          <w:lang w:val="es-MX"/>
        </w:rPr>
        <w:t>tá</w:t>
      </w:r>
      <w:r w:rsidR="00B250A0">
        <w:rPr>
          <w:rFonts w:ascii="Times New Roman" w:hAnsi="Times New Roman" w:cs="Times New Roman"/>
          <w:lang w:val="es-MX"/>
        </w:rPr>
        <w:t xml:space="preserve"> </w:t>
      </w:r>
      <w:r>
        <w:rPr>
          <w:rFonts w:ascii="Times New Roman" w:hAnsi="Times New Roman" w:cs="Times New Roman"/>
          <w:lang w:val="es-MX"/>
        </w:rPr>
        <w:t>explica</w:t>
      </w:r>
      <w:r w:rsidR="00B250A0">
        <w:rPr>
          <w:rFonts w:ascii="Times New Roman" w:hAnsi="Times New Roman" w:cs="Times New Roman"/>
          <w:lang w:val="es-MX"/>
        </w:rPr>
        <w:t>do</w:t>
      </w:r>
      <w:r>
        <w:rPr>
          <w:rFonts w:ascii="Times New Roman" w:hAnsi="Times New Roman" w:cs="Times New Roman"/>
          <w:lang w:val="es-MX"/>
        </w:rPr>
        <w:t xml:space="preserve"> por un desempeño</w:t>
      </w:r>
      <w:r w:rsidR="002238D2">
        <w:rPr>
          <w:rFonts w:ascii="Times New Roman" w:hAnsi="Times New Roman" w:cs="Times New Roman"/>
          <w:lang w:val="es-MX"/>
        </w:rPr>
        <w:t xml:space="preserve"> </w:t>
      </w:r>
      <w:r w:rsidR="0092424C">
        <w:rPr>
          <w:rFonts w:ascii="Times New Roman" w:hAnsi="Times New Roman" w:cs="Times New Roman"/>
          <w:lang w:val="es-MX"/>
        </w:rPr>
        <w:t>moderado en la recaudación tributaria, aunque con crecimiento positivo, mientras</w:t>
      </w:r>
      <w:r w:rsidR="00465937">
        <w:rPr>
          <w:rFonts w:ascii="Times New Roman" w:hAnsi="Times New Roman" w:cs="Times New Roman"/>
          <w:lang w:val="es-MX"/>
        </w:rPr>
        <w:t xml:space="preserve"> el</w:t>
      </w:r>
      <w:r w:rsidR="007F4573">
        <w:rPr>
          <w:rFonts w:ascii="Times New Roman" w:hAnsi="Times New Roman" w:cs="Times New Roman"/>
          <w:lang w:val="es-MX"/>
        </w:rPr>
        <w:t xml:space="preserve"> </w:t>
      </w:r>
      <w:r w:rsidR="00E61CD5">
        <w:rPr>
          <w:rFonts w:ascii="Times New Roman" w:hAnsi="Times New Roman" w:cs="Times New Roman"/>
          <w:lang w:val="es-MX"/>
        </w:rPr>
        <w:t>gasto público</w:t>
      </w:r>
      <w:r w:rsidR="002238D2">
        <w:rPr>
          <w:rFonts w:ascii="Times New Roman" w:hAnsi="Times New Roman" w:cs="Times New Roman"/>
          <w:lang w:val="es-MX"/>
        </w:rPr>
        <w:t xml:space="preserve"> se </w:t>
      </w:r>
      <w:r w:rsidR="00634FC0">
        <w:rPr>
          <w:rFonts w:ascii="Times New Roman" w:hAnsi="Times New Roman" w:cs="Times New Roman"/>
          <w:lang w:val="es-MX"/>
        </w:rPr>
        <w:t>m</w:t>
      </w:r>
      <w:r w:rsidR="007F4573">
        <w:rPr>
          <w:rFonts w:ascii="Times New Roman" w:hAnsi="Times New Roman" w:cs="Times New Roman"/>
          <w:lang w:val="es-MX"/>
        </w:rPr>
        <w:t>uestra</w:t>
      </w:r>
      <w:r w:rsidR="000F3836">
        <w:rPr>
          <w:rFonts w:ascii="Times New Roman" w:hAnsi="Times New Roman" w:cs="Times New Roman"/>
          <w:lang w:val="es-MX"/>
        </w:rPr>
        <w:t xml:space="preserve"> </w:t>
      </w:r>
      <w:r w:rsidR="00465937">
        <w:rPr>
          <w:rFonts w:ascii="Times New Roman" w:hAnsi="Times New Roman" w:cs="Times New Roman"/>
          <w:lang w:val="es-MX"/>
        </w:rPr>
        <w:t xml:space="preserve">bastante </w:t>
      </w:r>
      <w:r w:rsidR="00B037C0">
        <w:rPr>
          <w:rFonts w:ascii="Times New Roman" w:hAnsi="Times New Roman" w:cs="Times New Roman"/>
          <w:lang w:val="es-MX"/>
        </w:rPr>
        <w:t>dinámico</w:t>
      </w:r>
      <w:r w:rsidR="002B4EE0">
        <w:rPr>
          <w:rFonts w:ascii="Times New Roman" w:hAnsi="Times New Roman" w:cs="Times New Roman"/>
          <w:lang w:val="es-MX"/>
        </w:rPr>
        <w:t xml:space="preserve">, creciendo más que lo reportado en septiembre, </w:t>
      </w:r>
      <w:r w:rsidR="002D7D4C">
        <w:rPr>
          <w:rFonts w:ascii="Times New Roman" w:hAnsi="Times New Roman" w:cs="Times New Roman"/>
          <w:lang w:val="es-MX"/>
        </w:rPr>
        <w:t xml:space="preserve">por </w:t>
      </w:r>
      <w:r w:rsidR="002B4EE0">
        <w:rPr>
          <w:rFonts w:ascii="Times New Roman" w:hAnsi="Times New Roman" w:cs="Times New Roman"/>
          <w:lang w:val="es-MX"/>
        </w:rPr>
        <w:t>lo cual</w:t>
      </w:r>
      <w:r w:rsidR="002D7D4C">
        <w:rPr>
          <w:rFonts w:ascii="Times New Roman" w:hAnsi="Times New Roman" w:cs="Times New Roman"/>
          <w:lang w:val="es-MX"/>
        </w:rPr>
        <w:t xml:space="preserve"> se espera que </w:t>
      </w:r>
      <w:r w:rsidR="002B4EE0">
        <w:rPr>
          <w:rFonts w:ascii="Times New Roman" w:hAnsi="Times New Roman" w:cs="Times New Roman"/>
          <w:lang w:val="es-MX"/>
        </w:rPr>
        <w:t xml:space="preserve">el proceso </w:t>
      </w:r>
      <w:r w:rsidR="00465937">
        <w:rPr>
          <w:rFonts w:ascii="Times New Roman" w:hAnsi="Times New Roman" w:cs="Times New Roman"/>
          <w:lang w:val="es-MX"/>
        </w:rPr>
        <w:t>de desaceleración</w:t>
      </w:r>
      <w:r w:rsidR="00D57B61">
        <w:rPr>
          <w:rFonts w:ascii="Times New Roman" w:hAnsi="Times New Roman" w:cs="Times New Roman"/>
          <w:lang w:val="es-MX"/>
        </w:rPr>
        <w:t xml:space="preserve"> </w:t>
      </w:r>
      <w:r w:rsidR="002B4EE0">
        <w:rPr>
          <w:rFonts w:ascii="Times New Roman" w:hAnsi="Times New Roman" w:cs="Times New Roman"/>
          <w:lang w:val="es-MX"/>
        </w:rPr>
        <w:t>gradual se</w:t>
      </w:r>
      <w:r w:rsidR="002D7D4C">
        <w:rPr>
          <w:rFonts w:ascii="Times New Roman" w:hAnsi="Times New Roman" w:cs="Times New Roman"/>
          <w:lang w:val="es-MX"/>
        </w:rPr>
        <w:t>a</w:t>
      </w:r>
      <w:r w:rsidR="002B4EE0">
        <w:rPr>
          <w:rFonts w:ascii="Times New Roman" w:hAnsi="Times New Roman" w:cs="Times New Roman"/>
          <w:lang w:val="es-MX"/>
        </w:rPr>
        <w:t xml:space="preserve"> evidente en los últimos meses del año. </w:t>
      </w:r>
    </w:p>
    <w:p w:rsidR="00D57B61" w:rsidRDefault="00D57B61" w:rsidP="00465937">
      <w:pPr>
        <w:pStyle w:val="Sinespaciado"/>
        <w:jc w:val="both"/>
        <w:rPr>
          <w:rFonts w:ascii="Times New Roman" w:hAnsi="Times New Roman" w:cs="Times New Roman"/>
          <w:lang w:val="es-MX"/>
        </w:rPr>
      </w:pPr>
    </w:p>
    <w:p w:rsidR="005D6A2E" w:rsidRDefault="00B037C0" w:rsidP="00465937">
      <w:pPr>
        <w:pStyle w:val="Sinespaciado"/>
        <w:jc w:val="both"/>
        <w:rPr>
          <w:rFonts w:ascii="Times New Roman" w:hAnsi="Times New Roman" w:cs="Times New Roman"/>
          <w:b/>
          <w:lang w:val="es-MX"/>
        </w:rPr>
        <w:sectPr w:rsidR="005D6A2E" w:rsidSect="005D6A2E">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t xml:space="preserve">  </w:t>
      </w:r>
      <w:r w:rsidR="00B47DBA">
        <w:rPr>
          <w:rFonts w:ascii="Times New Roman" w:hAnsi="Times New Roman" w:cs="Times New Roman"/>
          <w:lang w:val="es-MX"/>
        </w:rPr>
        <w:t xml:space="preserve"> </w:t>
      </w:r>
    </w:p>
    <w:p w:rsidR="005D6A2E" w:rsidRDefault="005D6A2E" w:rsidP="00A7715A">
      <w:pPr>
        <w:pStyle w:val="Sinespaciado"/>
        <w:jc w:val="center"/>
        <w:rPr>
          <w:rFonts w:ascii="Times New Roman" w:hAnsi="Times New Roman" w:cs="Times New Roman"/>
          <w:b/>
          <w:lang w:val="es-MX"/>
        </w:rPr>
      </w:pPr>
    </w:p>
    <w:p w:rsidR="00A7715A" w:rsidRPr="00C1022E" w:rsidRDefault="00A7715A" w:rsidP="00A7715A">
      <w:pPr>
        <w:pStyle w:val="Sinespaciado"/>
        <w:jc w:val="center"/>
        <w:rPr>
          <w:rFonts w:ascii="Times New Roman" w:hAnsi="Times New Roman" w:cs="Times New Roman"/>
          <w:b/>
          <w:lang w:val="es-MX"/>
        </w:rPr>
      </w:pPr>
      <w:r w:rsidRPr="00C1022E">
        <w:rPr>
          <w:rFonts w:ascii="Times New Roman" w:hAnsi="Times New Roman" w:cs="Times New Roman"/>
          <w:b/>
          <w:lang w:val="es-MX"/>
        </w:rPr>
        <w:t>Resultado Presupuestario</w:t>
      </w:r>
    </w:p>
    <w:p w:rsidR="00A7715A" w:rsidRDefault="00A7715A" w:rsidP="00A7715A">
      <w:pPr>
        <w:pStyle w:val="Sinespaciado"/>
        <w:jc w:val="center"/>
        <w:rPr>
          <w:rFonts w:ascii="Times New Roman" w:hAnsi="Times New Roman" w:cs="Times New Roman"/>
          <w:sz w:val="18"/>
          <w:lang w:val="es-MX"/>
        </w:rPr>
      </w:pPr>
      <w:r w:rsidRPr="00C1022E">
        <w:rPr>
          <w:rFonts w:ascii="Times New Roman" w:hAnsi="Times New Roman" w:cs="Times New Roman"/>
          <w:sz w:val="18"/>
          <w:lang w:val="es-MX"/>
        </w:rPr>
        <w:t xml:space="preserve">Al </w:t>
      </w:r>
      <w:r w:rsidR="0002384A">
        <w:rPr>
          <w:rFonts w:ascii="Times New Roman" w:hAnsi="Times New Roman" w:cs="Times New Roman"/>
          <w:sz w:val="18"/>
          <w:lang w:val="es-MX"/>
        </w:rPr>
        <w:t>3</w:t>
      </w:r>
      <w:r w:rsidR="006E3303">
        <w:rPr>
          <w:rFonts w:ascii="Times New Roman" w:hAnsi="Times New Roman" w:cs="Times New Roman"/>
          <w:sz w:val="18"/>
          <w:lang w:val="es-MX"/>
        </w:rPr>
        <w:t>1</w:t>
      </w:r>
      <w:r w:rsidRPr="00C1022E">
        <w:rPr>
          <w:rFonts w:ascii="Times New Roman" w:hAnsi="Times New Roman" w:cs="Times New Roman"/>
          <w:sz w:val="18"/>
          <w:lang w:val="es-MX"/>
        </w:rPr>
        <w:t xml:space="preserve"> de</w:t>
      </w:r>
      <w:r w:rsidR="00C603F3">
        <w:rPr>
          <w:rFonts w:ascii="Times New Roman" w:hAnsi="Times New Roman" w:cs="Times New Roman"/>
          <w:sz w:val="18"/>
          <w:lang w:val="es-MX"/>
        </w:rPr>
        <w:t xml:space="preserve"> octubr</w:t>
      </w:r>
      <w:r w:rsidR="00942034">
        <w:rPr>
          <w:rFonts w:ascii="Times New Roman" w:hAnsi="Times New Roman" w:cs="Times New Roman"/>
          <w:sz w:val="18"/>
          <w:lang w:val="es-MX"/>
        </w:rPr>
        <w:t>e</w:t>
      </w:r>
      <w:r w:rsidR="001C620C">
        <w:rPr>
          <w:rFonts w:ascii="Times New Roman" w:hAnsi="Times New Roman" w:cs="Times New Roman"/>
          <w:sz w:val="18"/>
          <w:lang w:val="es-MX"/>
        </w:rPr>
        <w:t xml:space="preserve"> </w:t>
      </w:r>
      <w:r w:rsidRPr="00C1022E">
        <w:rPr>
          <w:rFonts w:ascii="Times New Roman" w:hAnsi="Times New Roman" w:cs="Times New Roman"/>
          <w:sz w:val="18"/>
          <w:lang w:val="es-MX"/>
        </w:rPr>
        <w:t xml:space="preserve">de </w:t>
      </w:r>
      <w:r w:rsidR="001C620C">
        <w:rPr>
          <w:rFonts w:ascii="Times New Roman" w:hAnsi="Times New Roman" w:cs="Times New Roman"/>
          <w:sz w:val="18"/>
          <w:lang w:val="es-MX"/>
        </w:rPr>
        <w:t>c</w:t>
      </w:r>
      <w:r w:rsidRPr="00C1022E">
        <w:rPr>
          <w:rFonts w:ascii="Times New Roman" w:hAnsi="Times New Roman" w:cs="Times New Roman"/>
          <w:sz w:val="18"/>
          <w:lang w:val="es-MX"/>
        </w:rPr>
        <w:t xml:space="preserve">ada </w:t>
      </w:r>
      <w:r w:rsidR="001C620C">
        <w:rPr>
          <w:rFonts w:ascii="Times New Roman" w:hAnsi="Times New Roman" w:cs="Times New Roman"/>
          <w:sz w:val="18"/>
          <w:lang w:val="es-MX"/>
        </w:rPr>
        <w:t>a</w:t>
      </w:r>
      <w:r w:rsidRPr="00C1022E">
        <w:rPr>
          <w:rFonts w:ascii="Times New Roman" w:hAnsi="Times New Roman" w:cs="Times New Roman"/>
          <w:sz w:val="18"/>
          <w:lang w:val="es-MX"/>
        </w:rPr>
        <w:t>ño</w:t>
      </w:r>
    </w:p>
    <w:p w:rsidR="0002384A" w:rsidRPr="002B4EE0" w:rsidRDefault="002B4EE0" w:rsidP="00A7715A">
      <w:pPr>
        <w:pStyle w:val="Sinespaciado"/>
        <w:jc w:val="center"/>
        <w:rPr>
          <w:noProof/>
          <w:lang w:val="es-MX" w:eastAsia="es-GT"/>
        </w:rPr>
      </w:pPr>
      <w:r>
        <w:rPr>
          <w:noProof/>
          <w:lang w:eastAsia="es-GT"/>
        </w:rPr>
        <w:drawing>
          <wp:inline distT="0" distB="0" distL="0" distR="0" wp14:anchorId="4A98DBB4" wp14:editId="7FC88C89">
            <wp:extent cx="5612130" cy="2114550"/>
            <wp:effectExtent l="0" t="0" r="7620" b="0"/>
            <wp:docPr id="1" name="Chart 1">
              <a:extLst xmlns:a="http://schemas.openxmlformats.org/drawingml/2006/main">
                <a:ext uri="{FF2B5EF4-FFF2-40B4-BE49-F238E27FC236}">
                  <a16:creationId xmlns:a16="http://schemas.microsoft.com/office/drawing/2014/main" id="{00000000-0008-0000-1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18B" w:rsidRDefault="00AC218B" w:rsidP="006E35C9">
      <w:pPr>
        <w:pStyle w:val="Sinespaciado"/>
        <w:jc w:val="both"/>
        <w:rPr>
          <w:noProof/>
          <w:lang w:eastAsia="es-GT"/>
        </w:rPr>
      </w:pPr>
    </w:p>
    <w:p w:rsidR="00153937" w:rsidRDefault="00402D20" w:rsidP="006E35C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sidR="00440207">
        <w:rPr>
          <w:rFonts w:ascii="Times New Roman" w:hAnsi="Times New Roman" w:cs="Times New Roman"/>
          <w:sz w:val="16"/>
        </w:rPr>
        <w:t xml:space="preserve">y Política </w:t>
      </w:r>
      <w:r w:rsidR="00FF28D2">
        <w:rPr>
          <w:rFonts w:ascii="Times New Roman" w:hAnsi="Times New Roman" w:cs="Times New Roman"/>
          <w:sz w:val="16"/>
        </w:rPr>
        <w:t>F</w:t>
      </w:r>
      <w:r w:rsidR="00440207">
        <w:rPr>
          <w:rFonts w:ascii="Times New Roman" w:hAnsi="Times New Roman" w:cs="Times New Roman"/>
          <w:sz w:val="16"/>
        </w:rPr>
        <w:t>iscal</w:t>
      </w:r>
    </w:p>
    <w:p w:rsidR="00A22B03" w:rsidRDefault="00A22B03" w:rsidP="006E35C9">
      <w:pPr>
        <w:pStyle w:val="Sinespaciado"/>
        <w:jc w:val="both"/>
        <w:rPr>
          <w:rFonts w:ascii="Times New Roman" w:hAnsi="Times New Roman" w:cs="Times New Roman"/>
          <w:sz w:val="16"/>
        </w:rPr>
      </w:pPr>
    </w:p>
    <w:p w:rsidR="0037694A" w:rsidRPr="00F062BF" w:rsidRDefault="0037694A" w:rsidP="0037694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37694A" w:rsidRPr="00F062BF" w:rsidSect="00E16925">
          <w:headerReference w:type="default" r:id="rId10"/>
          <w:footerReference w:type="default" r:id="rId11"/>
          <w:type w:val="continuous"/>
          <w:pgSz w:w="12240" w:h="15840" w:code="1"/>
          <w:pgMar w:top="1418" w:right="1418" w:bottom="1418" w:left="1418" w:header="709" w:footer="709" w:gutter="0"/>
          <w:cols w:space="708"/>
          <w:docGrid w:linePitch="360"/>
        </w:sectPr>
      </w:pPr>
      <w:r w:rsidRPr="00F062BF">
        <w:rPr>
          <w:rFonts w:ascii="Times New Roman" w:hAnsi="Times New Roman" w:cs="Times New Roman"/>
          <w:b/>
          <w:lang w:val="es-MX"/>
        </w:rPr>
        <w:t>La meta de presupuesto de octubre se superó</w:t>
      </w:r>
    </w:p>
    <w:p w:rsidR="0037694A" w:rsidRPr="003E2823" w:rsidRDefault="0037694A" w:rsidP="0037694A">
      <w:pPr>
        <w:pStyle w:val="Sinespaciado"/>
        <w:rPr>
          <w:rFonts w:ascii="Times New Roman" w:hAnsi="Times New Roman" w:cs="Times New Roman"/>
          <w:b/>
          <w:color w:val="FF0000"/>
          <w:sz w:val="8"/>
          <w:lang w:val="es-MX"/>
        </w:rPr>
      </w:pPr>
    </w:p>
    <w:p w:rsidR="0037694A" w:rsidRPr="003E2823" w:rsidRDefault="0037694A" w:rsidP="0037694A">
      <w:pPr>
        <w:pStyle w:val="Sinespaciado"/>
        <w:jc w:val="center"/>
        <w:rPr>
          <w:rFonts w:ascii="Times New Roman" w:hAnsi="Times New Roman" w:cs="Times New Roman"/>
          <w:b/>
          <w:color w:val="FF0000"/>
          <w:sz w:val="24"/>
          <w:lang w:val="es-MX"/>
        </w:rPr>
      </w:pPr>
    </w:p>
    <w:p w:rsidR="0037694A" w:rsidRPr="003E2823" w:rsidRDefault="0037694A" w:rsidP="0037694A">
      <w:pPr>
        <w:pStyle w:val="Sinespaciado"/>
        <w:jc w:val="center"/>
        <w:rPr>
          <w:rFonts w:ascii="Times New Roman" w:hAnsi="Times New Roman" w:cs="Times New Roman"/>
          <w:b/>
          <w:color w:val="FF0000"/>
          <w:sz w:val="20"/>
          <w:lang w:val="es-MX"/>
        </w:rPr>
        <w:sectPr w:rsidR="0037694A" w:rsidRPr="003E2823" w:rsidSect="004E358C">
          <w:type w:val="continuous"/>
          <w:pgSz w:w="12240" w:h="15840"/>
          <w:pgMar w:top="1417" w:right="1701" w:bottom="1417" w:left="1701" w:header="708" w:footer="708" w:gutter="0"/>
          <w:cols w:space="708"/>
          <w:docGrid w:linePitch="360"/>
        </w:sectPr>
      </w:pPr>
    </w:p>
    <w:p w:rsidR="0037694A" w:rsidRPr="0080575C" w:rsidRDefault="0037694A" w:rsidP="0037694A">
      <w:pPr>
        <w:spacing w:after="0" w:line="240" w:lineRule="auto"/>
        <w:jc w:val="both"/>
        <w:rPr>
          <w:rFonts w:ascii="Times New Roman" w:hAnsi="Times New Roman" w:cs="Times New Roman"/>
          <w:lang w:val="es-US"/>
        </w:rPr>
      </w:pPr>
      <w:r w:rsidRPr="0080575C">
        <w:rPr>
          <w:rFonts w:ascii="Times New Roman" w:hAnsi="Times New Roman" w:cs="Times New Roman"/>
          <w:lang w:val="es-US"/>
        </w:rPr>
        <w:lastRenderedPageBreak/>
        <w:t>La recaudación tributaria observada en octubre superó la meta de presupuesto, impuestos que contribuyeron con este resultado son el ISR el IVA doméstico.</w:t>
      </w:r>
    </w:p>
    <w:p w:rsidR="0037694A" w:rsidRPr="0080575C" w:rsidRDefault="0037694A" w:rsidP="0037694A">
      <w:pPr>
        <w:spacing w:after="0" w:line="240" w:lineRule="auto"/>
        <w:jc w:val="both"/>
        <w:rPr>
          <w:rFonts w:ascii="Times New Roman" w:hAnsi="Times New Roman" w:cs="Times New Roman"/>
          <w:lang w:val="es-US"/>
        </w:rPr>
      </w:pPr>
    </w:p>
    <w:p w:rsidR="0037694A" w:rsidRDefault="0037694A" w:rsidP="0037694A">
      <w:pPr>
        <w:spacing w:after="0" w:line="240" w:lineRule="auto"/>
        <w:jc w:val="both"/>
        <w:rPr>
          <w:rFonts w:ascii="Times New Roman" w:hAnsi="Times New Roman" w:cs="Times New Roman"/>
          <w:lang w:val="es-US"/>
        </w:rPr>
      </w:pPr>
      <w:r w:rsidRPr="0080575C">
        <w:rPr>
          <w:rFonts w:ascii="Times New Roman" w:hAnsi="Times New Roman" w:cs="Times New Roman"/>
          <w:lang w:val="es-US"/>
        </w:rPr>
        <w:t>De manera acumulada la recaudación tributaria genera una brecha negativa de Q1,69</w:t>
      </w:r>
      <w:r>
        <w:rPr>
          <w:rFonts w:ascii="Times New Roman" w:hAnsi="Times New Roman" w:cs="Times New Roman"/>
          <w:lang w:val="es-US"/>
        </w:rPr>
        <w:t xml:space="preserve">9.7 </w:t>
      </w:r>
      <w:r w:rsidRPr="0080575C">
        <w:rPr>
          <w:rFonts w:ascii="Times New Roman" w:hAnsi="Times New Roman" w:cs="Times New Roman"/>
          <w:lang w:val="es-US"/>
        </w:rPr>
        <w:t>millones monto menor al observado en septiembre (Q1,794.5 millones), los principales impuestos que contribuyen con esta brecha son el ISR el ISO y el IVA total entre otros, la recaudación acumulada a octubre muestra un crecimiento interanual de 5.7%, el cual se encuentra soportado por impuestos como el ISR e IVA total principalmente.</w:t>
      </w:r>
    </w:p>
    <w:p w:rsidR="00F919C0" w:rsidRDefault="00F919C0" w:rsidP="0037694A">
      <w:pPr>
        <w:spacing w:after="0" w:line="240" w:lineRule="auto"/>
        <w:jc w:val="both"/>
        <w:rPr>
          <w:rFonts w:ascii="Times New Roman" w:hAnsi="Times New Roman" w:cs="Times New Roman"/>
          <w:lang w:val="es-US"/>
        </w:rPr>
      </w:pPr>
    </w:p>
    <w:p w:rsidR="0037694A" w:rsidRPr="00BE6ED6" w:rsidRDefault="0037694A" w:rsidP="0037694A">
      <w:pPr>
        <w:spacing w:after="0" w:line="240" w:lineRule="auto"/>
        <w:jc w:val="center"/>
        <w:rPr>
          <w:rFonts w:ascii="Times New Roman" w:eastAsiaTheme="minorEastAsia" w:hAnsi="Times New Roman" w:cs="Times New Roman"/>
          <w:b/>
          <w:szCs w:val="24"/>
          <w:lang w:val="es-MX" w:eastAsia="es-ES"/>
        </w:rPr>
      </w:pPr>
      <w:r>
        <w:rPr>
          <w:rFonts w:ascii="Times New Roman" w:eastAsiaTheme="minorEastAsia" w:hAnsi="Times New Roman" w:cs="Times New Roman"/>
          <w:b/>
          <w:sz w:val="24"/>
          <w:szCs w:val="24"/>
          <w:lang w:val="es-MX" w:eastAsia="es-ES"/>
        </w:rPr>
        <w:lastRenderedPageBreak/>
        <w:t xml:space="preserve">Brecha de recaudación tributaria </w:t>
      </w:r>
      <w:r w:rsidRPr="00BE6ED6">
        <w:rPr>
          <w:rFonts w:ascii="Times New Roman" w:eastAsiaTheme="minorEastAsia" w:hAnsi="Times New Roman" w:cs="Times New Roman"/>
          <w:b/>
          <w:szCs w:val="24"/>
          <w:lang w:val="es-MX" w:eastAsia="es-ES"/>
        </w:rPr>
        <w:t xml:space="preserve">acumulada a </w:t>
      </w:r>
      <w:r>
        <w:rPr>
          <w:rFonts w:ascii="Times New Roman" w:eastAsiaTheme="minorEastAsia" w:hAnsi="Times New Roman" w:cs="Times New Roman"/>
          <w:b/>
          <w:szCs w:val="24"/>
          <w:lang w:val="es-MX" w:eastAsia="es-ES"/>
        </w:rPr>
        <w:t>octubre</w:t>
      </w:r>
    </w:p>
    <w:p w:rsidR="0037694A" w:rsidRPr="00BE6ED6" w:rsidRDefault="0037694A" w:rsidP="0037694A">
      <w:pPr>
        <w:spacing w:after="0" w:line="240" w:lineRule="auto"/>
        <w:jc w:val="center"/>
        <w:rPr>
          <w:rFonts w:ascii="Times New Roman" w:eastAsiaTheme="minorEastAsia" w:hAnsi="Times New Roman" w:cs="Times New Roman"/>
          <w:sz w:val="20"/>
          <w:szCs w:val="24"/>
          <w:lang w:val="es-MX" w:eastAsia="es-ES"/>
        </w:rPr>
      </w:pPr>
      <w:r w:rsidRPr="00BE6ED6">
        <w:rPr>
          <w:rFonts w:ascii="Times New Roman" w:eastAsiaTheme="minorEastAsia" w:hAnsi="Times New Roman" w:cs="Times New Roman"/>
          <w:sz w:val="20"/>
          <w:szCs w:val="24"/>
          <w:lang w:val="es-MX" w:eastAsia="es-ES"/>
        </w:rPr>
        <w:t>En millones de quetzales</w:t>
      </w:r>
    </w:p>
    <w:p w:rsidR="0037694A" w:rsidRDefault="0037694A" w:rsidP="0037694A">
      <w:pPr>
        <w:spacing w:after="0" w:line="240" w:lineRule="auto"/>
        <w:jc w:val="both"/>
        <w:rPr>
          <w:rFonts w:ascii="Times New Roman" w:hAnsi="Times New Roman" w:cs="Times New Roman"/>
          <w:lang w:val="es-US"/>
        </w:rPr>
      </w:pPr>
    </w:p>
    <w:p w:rsidR="0037694A" w:rsidRDefault="0037694A" w:rsidP="0037694A">
      <w:pPr>
        <w:spacing w:after="0" w:line="240" w:lineRule="auto"/>
        <w:jc w:val="both"/>
        <w:rPr>
          <w:rFonts w:ascii="Times New Roman" w:hAnsi="Times New Roman" w:cs="Times New Roman"/>
          <w:lang w:val="es-US"/>
        </w:rPr>
      </w:pPr>
      <w:r>
        <w:rPr>
          <w:rFonts w:ascii="Times New Roman" w:hAnsi="Times New Roman" w:cs="Times New Roman"/>
          <w:noProof/>
          <w:lang w:eastAsia="es-GT"/>
        </w:rPr>
        <w:drawing>
          <wp:inline distT="0" distB="0" distL="0" distR="0" wp14:anchorId="04045C1F" wp14:editId="364EC56A">
            <wp:extent cx="2581275" cy="1981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694A" w:rsidRPr="0082427E" w:rsidRDefault="0037694A" w:rsidP="0037694A">
      <w:pPr>
        <w:jc w:val="both"/>
        <w:rPr>
          <w:rFonts w:ascii="Times New Roman" w:hAnsi="Times New Roman" w:cs="Times New Roman"/>
          <w:sz w:val="14"/>
          <w:lang w:val="es-MX"/>
        </w:rPr>
      </w:pPr>
      <w:r w:rsidRPr="0082427E">
        <w:rPr>
          <w:rFonts w:ascii="Times New Roman" w:hAnsi="Times New Roman" w:cs="Times New Roman"/>
          <w:sz w:val="14"/>
          <w:lang w:val="es-MX"/>
        </w:rPr>
        <w:t>Fuente: Dirección de Análisis y Política Fiscal</w:t>
      </w:r>
    </w:p>
    <w:p w:rsidR="0037694A" w:rsidRDefault="0037694A" w:rsidP="0037694A">
      <w:pPr>
        <w:spacing w:after="0" w:line="240" w:lineRule="auto"/>
        <w:jc w:val="both"/>
        <w:rPr>
          <w:rFonts w:ascii="Times New Roman" w:hAnsi="Times New Roman" w:cs="Times New Roman"/>
          <w:lang w:val="es-US"/>
        </w:rPr>
      </w:pPr>
      <w:r w:rsidRPr="0080575C">
        <w:rPr>
          <w:rFonts w:ascii="Times New Roman" w:hAnsi="Times New Roman" w:cs="Times New Roman"/>
          <w:lang w:val="es-US"/>
        </w:rPr>
        <w:lastRenderedPageBreak/>
        <w:t>Los impuestos asociados al comercio exterior generan una brecha negativa de Q598 millones res</w:t>
      </w:r>
      <w:r>
        <w:rPr>
          <w:rFonts w:ascii="Times New Roman" w:hAnsi="Times New Roman" w:cs="Times New Roman"/>
          <w:lang w:val="es-US"/>
        </w:rPr>
        <w:t>pecto a la meta de presupuesto.</w:t>
      </w:r>
    </w:p>
    <w:p w:rsidR="0037694A" w:rsidRDefault="0037694A" w:rsidP="0037694A">
      <w:pPr>
        <w:spacing w:after="0" w:line="240" w:lineRule="auto"/>
        <w:jc w:val="both"/>
        <w:rPr>
          <w:rFonts w:ascii="Times New Roman" w:hAnsi="Times New Roman" w:cs="Times New Roman"/>
          <w:lang w:val="es-US"/>
        </w:rPr>
      </w:pPr>
    </w:p>
    <w:p w:rsidR="0037694A" w:rsidRPr="00FD160E" w:rsidRDefault="0037694A" w:rsidP="0037694A">
      <w:pPr>
        <w:spacing w:after="0" w:line="240" w:lineRule="auto"/>
        <w:jc w:val="both"/>
        <w:rPr>
          <w:rFonts w:ascii="Times New Roman" w:hAnsi="Times New Roman" w:cs="Times New Roman"/>
          <w:b/>
          <w:lang w:val="es-US"/>
        </w:rPr>
      </w:pPr>
      <w:r w:rsidRPr="00FD160E">
        <w:rPr>
          <w:rFonts w:ascii="Times New Roman" w:hAnsi="Times New Roman" w:cs="Times New Roman"/>
          <w:b/>
          <w:lang w:val="es-US"/>
        </w:rPr>
        <w:t>Impuesto al valor agregado</w:t>
      </w:r>
    </w:p>
    <w:p w:rsidR="0037694A" w:rsidRPr="00FD160E" w:rsidRDefault="0037694A" w:rsidP="0037694A">
      <w:pPr>
        <w:spacing w:after="0" w:line="240" w:lineRule="auto"/>
        <w:rPr>
          <w:rFonts w:ascii="Times New Roman" w:hAnsi="Times New Roman" w:cs="Times New Roman"/>
          <w:b/>
          <w:lang w:val="es-US"/>
        </w:rPr>
      </w:pPr>
    </w:p>
    <w:p w:rsidR="0037694A" w:rsidRDefault="0037694A" w:rsidP="0037694A">
      <w:pPr>
        <w:spacing w:after="0" w:line="240" w:lineRule="auto"/>
        <w:jc w:val="both"/>
        <w:rPr>
          <w:rFonts w:ascii="Times New Roman" w:hAnsi="Times New Roman" w:cs="Times New Roman"/>
          <w:lang w:val="es-US"/>
        </w:rPr>
      </w:pPr>
      <w:r>
        <w:rPr>
          <w:rFonts w:ascii="Times New Roman" w:hAnsi="Times New Roman" w:cs="Times New Roman"/>
          <w:lang w:val="es-US"/>
        </w:rPr>
        <w:t>Este impuesto de manera mensual generó una brecha positiva de Q3.4 millones, El IVA asociado al comercio interno genero brecha positiva de Q51.9 millones y el IVA de importaciones dejó de recaudar Q48.5 millones. El IVA total de manera acumulada genera una brecha negativa de Q1,462.7 millones, con relación al año anterior se observa un crecimiento de 7.0%.</w:t>
      </w:r>
    </w:p>
    <w:p w:rsidR="0037694A" w:rsidRDefault="0037694A" w:rsidP="0037694A">
      <w:pPr>
        <w:spacing w:after="0" w:line="240" w:lineRule="auto"/>
        <w:jc w:val="both"/>
        <w:rPr>
          <w:rFonts w:ascii="Times New Roman" w:hAnsi="Times New Roman" w:cs="Times New Roman"/>
          <w:lang w:val="es-US"/>
        </w:rPr>
      </w:pPr>
    </w:p>
    <w:p w:rsidR="0037694A" w:rsidRPr="00E21384" w:rsidRDefault="0037694A" w:rsidP="0037694A">
      <w:pPr>
        <w:spacing w:after="0" w:line="240" w:lineRule="auto"/>
        <w:rPr>
          <w:rFonts w:ascii="Times New Roman" w:hAnsi="Times New Roman" w:cs="Times New Roman"/>
          <w:b/>
          <w:lang w:val="es-US"/>
        </w:rPr>
      </w:pPr>
      <w:r w:rsidRPr="00E21384">
        <w:rPr>
          <w:rFonts w:ascii="Times New Roman" w:hAnsi="Times New Roman" w:cs="Times New Roman"/>
          <w:b/>
          <w:lang w:val="es-US"/>
        </w:rPr>
        <w:t>Impuesto a la Renta</w:t>
      </w:r>
    </w:p>
    <w:p w:rsidR="0037694A" w:rsidRPr="00E21384" w:rsidRDefault="0037694A" w:rsidP="0037694A">
      <w:pPr>
        <w:spacing w:after="0" w:line="240" w:lineRule="auto"/>
        <w:rPr>
          <w:rFonts w:ascii="Times New Roman" w:hAnsi="Times New Roman" w:cs="Times New Roman"/>
          <w:b/>
          <w:lang w:val="es-US"/>
        </w:rPr>
      </w:pPr>
    </w:p>
    <w:p w:rsidR="0037694A" w:rsidRDefault="0037694A" w:rsidP="0037694A">
      <w:pPr>
        <w:spacing w:after="0" w:line="240" w:lineRule="auto"/>
        <w:jc w:val="both"/>
        <w:rPr>
          <w:rFonts w:ascii="Times New Roman" w:hAnsi="Times New Roman" w:cs="Times New Roman"/>
          <w:lang w:val="es-US"/>
        </w:rPr>
      </w:pPr>
      <w:r>
        <w:rPr>
          <w:rFonts w:ascii="Times New Roman" w:hAnsi="Times New Roman" w:cs="Times New Roman"/>
          <w:lang w:val="es-US"/>
        </w:rPr>
        <w:t>En octubre superó lo programado en presupuesto por Q115.8 millones, de manera acumulada este impuesto genera una brecha negativa de Q121.4 millones, con relación a lo observado en 2018 se tiene un crecimiento de 4.3%.</w:t>
      </w:r>
    </w:p>
    <w:p w:rsidR="0037694A" w:rsidRDefault="0037694A" w:rsidP="0037694A">
      <w:pPr>
        <w:spacing w:after="0" w:line="240" w:lineRule="auto"/>
        <w:jc w:val="both"/>
        <w:rPr>
          <w:rFonts w:ascii="Times New Roman" w:hAnsi="Times New Roman" w:cs="Times New Roman"/>
          <w:lang w:val="es-US"/>
        </w:rPr>
      </w:pPr>
    </w:p>
    <w:p w:rsidR="0037694A" w:rsidRPr="00AB2A3D" w:rsidRDefault="0037694A" w:rsidP="0037694A">
      <w:pPr>
        <w:spacing w:after="0" w:line="240" w:lineRule="auto"/>
        <w:jc w:val="both"/>
        <w:rPr>
          <w:rFonts w:ascii="Times New Roman" w:hAnsi="Times New Roman" w:cs="Times New Roman"/>
          <w:b/>
          <w:lang w:val="es-US"/>
        </w:rPr>
      </w:pPr>
      <w:r w:rsidRPr="00AB2A3D">
        <w:rPr>
          <w:rFonts w:ascii="Times New Roman" w:hAnsi="Times New Roman" w:cs="Times New Roman"/>
          <w:b/>
          <w:lang w:val="es-US"/>
        </w:rPr>
        <w:t>Resto de impuestos</w:t>
      </w:r>
    </w:p>
    <w:p w:rsidR="0037694A" w:rsidRDefault="0037694A" w:rsidP="0037694A">
      <w:pPr>
        <w:spacing w:after="0" w:line="240" w:lineRule="auto"/>
        <w:jc w:val="both"/>
        <w:rPr>
          <w:rFonts w:ascii="Times New Roman" w:hAnsi="Times New Roman" w:cs="Times New Roman"/>
          <w:lang w:val="es-US"/>
        </w:rPr>
      </w:pPr>
    </w:p>
    <w:p w:rsidR="00F919C0" w:rsidRDefault="0037694A" w:rsidP="0037694A">
      <w:pPr>
        <w:spacing w:after="0" w:line="240" w:lineRule="auto"/>
        <w:jc w:val="both"/>
        <w:rPr>
          <w:rFonts w:ascii="Times New Roman" w:hAnsi="Times New Roman" w:cs="Times New Roman"/>
          <w:lang w:val="es-US"/>
        </w:rPr>
      </w:pPr>
      <w:r>
        <w:rPr>
          <w:rFonts w:ascii="Times New Roman" w:hAnsi="Times New Roman" w:cs="Times New Roman"/>
          <w:lang w:val="es-US"/>
        </w:rPr>
        <w:t xml:space="preserve">Del resto de impuestos destaca el cumplimiento respecto a meta de presupuesto del impuesto a los derivados de petróleo, </w:t>
      </w:r>
    </w:p>
    <w:p w:rsidR="0080496D" w:rsidRDefault="0080496D" w:rsidP="0037694A">
      <w:pPr>
        <w:spacing w:after="0" w:line="240" w:lineRule="auto"/>
        <w:jc w:val="both"/>
        <w:rPr>
          <w:rFonts w:ascii="Times New Roman" w:hAnsi="Times New Roman" w:cs="Times New Roman"/>
          <w:lang w:val="es-US"/>
        </w:rPr>
      </w:pPr>
    </w:p>
    <w:p w:rsidR="0037694A" w:rsidRDefault="0037694A" w:rsidP="0037694A">
      <w:pPr>
        <w:spacing w:after="0" w:line="240" w:lineRule="auto"/>
        <w:jc w:val="both"/>
        <w:rPr>
          <w:rFonts w:ascii="Times New Roman" w:hAnsi="Times New Roman" w:cs="Times New Roman"/>
          <w:lang w:val="es-US"/>
        </w:rPr>
      </w:pPr>
      <w:r>
        <w:rPr>
          <w:rFonts w:ascii="Times New Roman" w:hAnsi="Times New Roman" w:cs="Times New Roman"/>
          <w:lang w:val="es-US"/>
        </w:rPr>
        <w:t>bebidas, tabacos, cemento, las regalías e hidrocarburos compartibles no alcanzaron la meta de presupuesto.</w:t>
      </w:r>
    </w:p>
    <w:p w:rsidR="0037694A" w:rsidRDefault="0037694A"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37694A" w:rsidRPr="00EF29BC" w:rsidRDefault="0037694A" w:rsidP="0037694A">
      <w:pPr>
        <w:spacing w:after="0" w:line="240" w:lineRule="auto"/>
        <w:jc w:val="center"/>
        <w:rPr>
          <w:rFonts w:ascii="Times New Roman" w:hAnsi="Times New Roman" w:cs="Times New Roman"/>
          <w:b/>
          <w:lang w:val="es-US"/>
        </w:rPr>
      </w:pPr>
      <w:r>
        <w:rPr>
          <w:rFonts w:ascii="Times New Roman" w:hAnsi="Times New Roman" w:cs="Times New Roman"/>
          <w:b/>
          <w:lang w:val="es-US"/>
        </w:rPr>
        <w:lastRenderedPageBreak/>
        <w:t>Brechas de r</w:t>
      </w:r>
      <w:r w:rsidRPr="00EF29BC">
        <w:rPr>
          <w:rFonts w:ascii="Times New Roman" w:hAnsi="Times New Roman" w:cs="Times New Roman"/>
          <w:b/>
          <w:lang w:val="es-US"/>
        </w:rPr>
        <w:t xml:space="preserve">ecaudación tributaria </w:t>
      </w:r>
      <w:r>
        <w:rPr>
          <w:rFonts w:ascii="Times New Roman" w:hAnsi="Times New Roman" w:cs="Times New Roman"/>
          <w:b/>
          <w:lang w:val="es-US"/>
        </w:rPr>
        <w:t>n</w:t>
      </w:r>
      <w:r w:rsidRPr="00EF29BC">
        <w:rPr>
          <w:rFonts w:ascii="Times New Roman" w:hAnsi="Times New Roman" w:cs="Times New Roman"/>
          <w:b/>
          <w:lang w:val="es-US"/>
        </w:rPr>
        <w:t>eta</w:t>
      </w:r>
    </w:p>
    <w:p w:rsidR="0037694A" w:rsidRPr="00EF29BC" w:rsidRDefault="0037694A" w:rsidP="0037694A">
      <w:pPr>
        <w:spacing w:after="0" w:line="240" w:lineRule="auto"/>
        <w:jc w:val="center"/>
        <w:rPr>
          <w:rFonts w:ascii="Times New Roman" w:hAnsi="Times New Roman" w:cs="Times New Roman"/>
          <w:b/>
          <w:lang w:val="es-US"/>
        </w:rPr>
      </w:pPr>
      <w:r w:rsidRPr="00EF29BC">
        <w:rPr>
          <w:rFonts w:ascii="Times New Roman" w:hAnsi="Times New Roman" w:cs="Times New Roman"/>
          <w:b/>
          <w:lang w:val="es-US"/>
        </w:rPr>
        <w:t>Millones de quetzales</w:t>
      </w:r>
    </w:p>
    <w:p w:rsidR="0037694A" w:rsidRDefault="0037694A" w:rsidP="0037694A">
      <w:pPr>
        <w:spacing w:after="0" w:line="240" w:lineRule="auto"/>
        <w:jc w:val="both"/>
        <w:rPr>
          <w:rFonts w:ascii="Times New Roman" w:hAnsi="Times New Roman" w:cs="Times New Roman"/>
          <w:noProof/>
          <w:lang w:eastAsia="es-GT"/>
        </w:rPr>
      </w:pPr>
      <w:r w:rsidRPr="003209B9">
        <w:rPr>
          <w:rFonts w:ascii="Times New Roman" w:hAnsi="Times New Roman" w:cs="Times New Roman"/>
          <w:noProof/>
          <w:lang w:eastAsia="es-GT"/>
        </w:rPr>
        <w:drawing>
          <wp:inline distT="0" distB="0" distL="0" distR="0" wp14:anchorId="06F8372C" wp14:editId="7B694748">
            <wp:extent cx="2734945" cy="3395207"/>
            <wp:effectExtent l="0" t="0" r="8255"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694A" w:rsidRDefault="0037694A"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80496D" w:rsidRDefault="0080496D" w:rsidP="0037694A">
      <w:pPr>
        <w:spacing w:after="0" w:line="240" w:lineRule="auto"/>
        <w:jc w:val="both"/>
        <w:rPr>
          <w:rFonts w:ascii="Times New Roman" w:hAnsi="Times New Roman" w:cs="Times New Roman"/>
          <w:lang w:val="es-US"/>
        </w:rPr>
      </w:pPr>
    </w:p>
    <w:p w:rsidR="0037694A" w:rsidRDefault="0037694A" w:rsidP="0037694A">
      <w:pPr>
        <w:pStyle w:val="Sinespaciado"/>
        <w:jc w:val="both"/>
        <w:rPr>
          <w:rFonts w:ascii="Times New Roman" w:hAnsi="Times New Roman" w:cs="Times New Roman"/>
          <w:sz w:val="16"/>
        </w:rPr>
        <w:sectPr w:rsidR="0037694A" w:rsidSect="0037694A">
          <w:type w:val="continuous"/>
          <w:pgSz w:w="12240" w:h="15840"/>
          <w:pgMar w:top="1417" w:right="1701" w:bottom="1417" w:left="1701" w:header="708" w:footer="708" w:gutter="0"/>
          <w:cols w:num="2" w:space="708"/>
          <w:docGrid w:linePitch="360"/>
        </w:sectPr>
      </w:pPr>
      <w:r w:rsidRPr="004A574E">
        <w:rPr>
          <w:rFonts w:ascii="Times New Roman" w:hAnsi="Times New Roman" w:cs="Times New Roman"/>
          <w:sz w:val="16"/>
          <w:lang w:val="es-US"/>
        </w:rPr>
        <w:t>Fuente: Dirección de Análisis y Política Fiscal.</w:t>
      </w:r>
    </w:p>
    <w:p w:rsidR="00777E5C" w:rsidRDefault="00777E5C" w:rsidP="006E35C9">
      <w:pPr>
        <w:pStyle w:val="Sinespaciado"/>
        <w:jc w:val="both"/>
        <w:rPr>
          <w:rFonts w:ascii="Times New Roman" w:hAnsi="Times New Roman" w:cs="Times New Roman"/>
          <w:sz w:val="16"/>
        </w:rPr>
      </w:pPr>
    </w:p>
    <w:p w:rsidR="00213F7F" w:rsidRPr="00D628B2" w:rsidRDefault="006E439F" w:rsidP="00D628B2">
      <w:pPr>
        <w:pStyle w:val="Sinespaciado"/>
        <w:pBdr>
          <w:top w:val="single" w:sz="12" w:space="1" w:color="auto"/>
          <w:left w:val="single" w:sz="12" w:space="4" w:color="auto"/>
          <w:bottom w:val="single" w:sz="12" w:space="1" w:color="auto"/>
          <w:right w:val="single" w:sz="12" w:space="4" w:color="auto"/>
        </w:pBdr>
        <w:shd w:val="clear" w:color="auto" w:fill="8DB3E2" w:themeFill="text2" w:themeFillTint="66"/>
        <w:jc w:val="center"/>
        <w:rPr>
          <w:rFonts w:ascii="Times New Roman" w:hAnsi="Times New Roman" w:cs="Times New Roman"/>
          <w:b/>
          <w:color w:val="000000" w:themeColor="text1"/>
          <w:lang w:val="es-MX"/>
        </w:rPr>
      </w:pPr>
      <w:r>
        <w:rPr>
          <w:rFonts w:ascii="Times New Roman" w:hAnsi="Times New Roman" w:cs="Times New Roman"/>
          <w:b/>
          <w:color w:val="000000" w:themeColor="text1"/>
          <w:lang w:val="es-MX"/>
        </w:rPr>
        <w:t>R</w:t>
      </w:r>
      <w:r w:rsidR="002E671B">
        <w:rPr>
          <w:rFonts w:ascii="Times New Roman" w:hAnsi="Times New Roman" w:cs="Times New Roman"/>
          <w:b/>
          <w:color w:val="000000" w:themeColor="text1"/>
          <w:lang w:val="es-MX"/>
        </w:rPr>
        <w:t>e</w:t>
      </w:r>
      <w:r w:rsidR="002B4EE0">
        <w:rPr>
          <w:rFonts w:ascii="Times New Roman" w:hAnsi="Times New Roman" w:cs="Times New Roman"/>
          <w:b/>
          <w:color w:val="000000" w:themeColor="text1"/>
          <w:lang w:val="es-MX"/>
        </w:rPr>
        <w:t>punta el</w:t>
      </w:r>
      <w:r w:rsidR="002E671B">
        <w:rPr>
          <w:rFonts w:ascii="Times New Roman" w:hAnsi="Times New Roman" w:cs="Times New Roman"/>
          <w:b/>
          <w:color w:val="000000" w:themeColor="text1"/>
          <w:lang w:val="es-MX"/>
        </w:rPr>
        <w:t xml:space="preserve"> crecimiento interanual</w:t>
      </w:r>
      <w:r w:rsidR="00C603F3">
        <w:rPr>
          <w:rFonts w:ascii="Times New Roman" w:hAnsi="Times New Roman" w:cs="Times New Roman"/>
          <w:b/>
          <w:color w:val="000000" w:themeColor="text1"/>
          <w:lang w:val="es-MX"/>
        </w:rPr>
        <w:t xml:space="preserve"> del gasto total</w:t>
      </w:r>
    </w:p>
    <w:p w:rsidR="00A7715A" w:rsidRPr="004D1837" w:rsidRDefault="00A7715A" w:rsidP="004D1837">
      <w:pPr>
        <w:pStyle w:val="Sinespaciado"/>
        <w:jc w:val="both"/>
        <w:rPr>
          <w:rFonts w:ascii="Times New Roman" w:hAnsi="Times New Roman" w:cs="Times New Roman"/>
          <w:b/>
          <w:lang w:val="es-MX"/>
        </w:rPr>
      </w:pPr>
    </w:p>
    <w:p w:rsidR="004D1837" w:rsidRPr="004D1837" w:rsidRDefault="004D1837" w:rsidP="004D1837">
      <w:pPr>
        <w:pStyle w:val="Sinespaciado"/>
        <w:jc w:val="both"/>
        <w:rPr>
          <w:rFonts w:ascii="Times New Roman" w:hAnsi="Times New Roman" w:cs="Times New Roman"/>
          <w:b/>
          <w:lang w:val="es-MX"/>
        </w:rPr>
        <w:sectPr w:rsidR="004D1837" w:rsidRPr="004D1837" w:rsidSect="00213F7F">
          <w:type w:val="continuous"/>
          <w:pgSz w:w="12240" w:h="15840"/>
          <w:pgMar w:top="1417" w:right="1701" w:bottom="1417" w:left="1701" w:header="708" w:footer="708" w:gutter="0"/>
          <w:cols w:space="708"/>
          <w:docGrid w:linePitch="360"/>
        </w:sectPr>
      </w:pPr>
    </w:p>
    <w:p w:rsidR="00EA0C0C" w:rsidRPr="00EA0C0C" w:rsidRDefault="00021747" w:rsidP="00EA0C0C">
      <w:pPr>
        <w:pStyle w:val="Sinespaciado"/>
        <w:jc w:val="both"/>
        <w:rPr>
          <w:rFonts w:ascii="Times New Roman" w:hAnsi="Times New Roman" w:cs="Times New Roman"/>
          <w:lang w:val="es-MX"/>
        </w:rPr>
      </w:pPr>
      <w:r>
        <w:rPr>
          <w:rFonts w:ascii="Times New Roman" w:hAnsi="Times New Roman" w:cs="Times New Roman"/>
          <w:lang w:val="es-MX"/>
        </w:rPr>
        <w:lastRenderedPageBreak/>
        <w:t>Durante el 2019, el gasto público</w:t>
      </w:r>
      <w:r w:rsidR="00EF6F92">
        <w:rPr>
          <w:rFonts w:ascii="Times New Roman" w:hAnsi="Times New Roman" w:cs="Times New Roman"/>
          <w:lang w:val="es-MX"/>
        </w:rPr>
        <w:t xml:space="preserve"> que excluye las </w:t>
      </w:r>
      <w:r>
        <w:rPr>
          <w:rFonts w:ascii="Times New Roman" w:hAnsi="Times New Roman" w:cs="Times New Roman"/>
          <w:lang w:val="es-MX"/>
        </w:rPr>
        <w:t>amo</w:t>
      </w:r>
      <w:r w:rsidR="00EF6F92">
        <w:rPr>
          <w:rFonts w:ascii="Times New Roman" w:hAnsi="Times New Roman" w:cs="Times New Roman"/>
          <w:lang w:val="es-MX"/>
        </w:rPr>
        <w:t>rtizaciones de la deuda pública</w:t>
      </w:r>
      <w:r>
        <w:rPr>
          <w:rFonts w:ascii="Times New Roman" w:hAnsi="Times New Roman" w:cs="Times New Roman"/>
          <w:lang w:val="es-MX"/>
        </w:rPr>
        <w:t xml:space="preserve"> ha reportado crecimientos interanuales</w:t>
      </w:r>
      <w:r w:rsidR="00EF6F92">
        <w:rPr>
          <w:rFonts w:ascii="Times New Roman" w:hAnsi="Times New Roman" w:cs="Times New Roman"/>
          <w:lang w:val="es-MX"/>
        </w:rPr>
        <w:t xml:space="preserve"> importantes, siendo de 20.7</w:t>
      </w:r>
      <w:r w:rsidR="002D7D4C">
        <w:rPr>
          <w:rFonts w:ascii="Times New Roman" w:hAnsi="Times New Roman" w:cs="Times New Roman"/>
          <w:lang w:val="es-MX"/>
        </w:rPr>
        <w:t xml:space="preserve">% en enero y abril, </w:t>
      </w:r>
      <w:r w:rsidR="002D7D4C">
        <w:rPr>
          <w:rFonts w:ascii="Times New Roman" w:hAnsi="Times New Roman" w:cs="Times New Roman"/>
          <w:lang w:val="es-MX"/>
        </w:rPr>
        <w:lastRenderedPageBreak/>
        <w:t>a partir de este último mes</w:t>
      </w:r>
      <w:r w:rsidR="00777E5C">
        <w:rPr>
          <w:rFonts w:ascii="Times New Roman" w:hAnsi="Times New Roman" w:cs="Times New Roman"/>
          <w:lang w:val="es-MX"/>
        </w:rPr>
        <w:t xml:space="preserve"> </w:t>
      </w:r>
      <w:r w:rsidR="00EF6F92">
        <w:rPr>
          <w:rFonts w:ascii="Times New Roman" w:hAnsi="Times New Roman" w:cs="Times New Roman"/>
          <w:lang w:val="es-MX"/>
        </w:rPr>
        <w:t xml:space="preserve">se </w:t>
      </w:r>
      <w:r w:rsidR="00320F15">
        <w:rPr>
          <w:rFonts w:ascii="Times New Roman" w:hAnsi="Times New Roman" w:cs="Times New Roman"/>
          <w:lang w:val="es-MX"/>
        </w:rPr>
        <w:t>ha observado una desaceleración gradual</w:t>
      </w:r>
      <w:r w:rsidR="00777E5C">
        <w:rPr>
          <w:rFonts w:ascii="Times New Roman" w:hAnsi="Times New Roman" w:cs="Times New Roman"/>
          <w:lang w:val="es-MX"/>
        </w:rPr>
        <w:t>,</w:t>
      </w:r>
      <w:r w:rsidR="00320F15">
        <w:rPr>
          <w:rFonts w:ascii="Times New Roman" w:hAnsi="Times New Roman" w:cs="Times New Roman"/>
          <w:lang w:val="es-MX"/>
        </w:rPr>
        <w:t xml:space="preserve"> </w:t>
      </w:r>
      <w:r w:rsidR="00EF6F92">
        <w:rPr>
          <w:rFonts w:ascii="Times New Roman" w:hAnsi="Times New Roman" w:cs="Times New Roman"/>
          <w:lang w:val="es-MX"/>
        </w:rPr>
        <w:t>en la cual agosto</w:t>
      </w:r>
      <w:r w:rsidR="00777E5C">
        <w:rPr>
          <w:rFonts w:ascii="Times New Roman" w:hAnsi="Times New Roman" w:cs="Times New Roman"/>
          <w:lang w:val="es-MX"/>
        </w:rPr>
        <w:t xml:space="preserve"> y octubre reportaron</w:t>
      </w:r>
      <w:r w:rsidR="00EF6F92">
        <w:rPr>
          <w:rFonts w:ascii="Times New Roman" w:hAnsi="Times New Roman" w:cs="Times New Roman"/>
          <w:lang w:val="es-MX"/>
        </w:rPr>
        <w:t xml:space="preserve"> </w:t>
      </w:r>
      <w:r w:rsidR="00777E5C">
        <w:rPr>
          <w:rFonts w:ascii="Times New Roman" w:hAnsi="Times New Roman" w:cs="Times New Roman"/>
          <w:lang w:val="es-MX"/>
        </w:rPr>
        <w:t>el menor crecimiento interanual siendo de</w:t>
      </w:r>
      <w:r w:rsidR="00EF6F92">
        <w:rPr>
          <w:rFonts w:ascii="Times New Roman" w:hAnsi="Times New Roman" w:cs="Times New Roman"/>
          <w:lang w:val="es-MX"/>
        </w:rPr>
        <w:t xml:space="preserve"> </w:t>
      </w:r>
      <w:r w:rsidR="00533D9C">
        <w:rPr>
          <w:rFonts w:ascii="Times New Roman" w:hAnsi="Times New Roman" w:cs="Times New Roman"/>
          <w:lang w:val="es-MX"/>
        </w:rPr>
        <w:t>1</w:t>
      </w:r>
      <w:r w:rsidR="00EF6F92">
        <w:rPr>
          <w:rFonts w:ascii="Times New Roman" w:hAnsi="Times New Roman" w:cs="Times New Roman"/>
          <w:lang w:val="es-MX"/>
        </w:rPr>
        <w:t xml:space="preserve">3.1%, en </w:t>
      </w:r>
      <w:r w:rsidR="00777E5C">
        <w:rPr>
          <w:rFonts w:ascii="Times New Roman" w:hAnsi="Times New Roman" w:cs="Times New Roman"/>
          <w:lang w:val="es-MX"/>
        </w:rPr>
        <w:t>octu</w:t>
      </w:r>
      <w:r w:rsidR="00EF6F92">
        <w:rPr>
          <w:rFonts w:ascii="Times New Roman" w:hAnsi="Times New Roman" w:cs="Times New Roman"/>
          <w:lang w:val="es-MX"/>
        </w:rPr>
        <w:t>bre</w:t>
      </w:r>
      <w:r w:rsidR="00777E5C">
        <w:rPr>
          <w:rFonts w:ascii="Times New Roman" w:hAnsi="Times New Roman" w:cs="Times New Roman"/>
          <w:lang w:val="es-MX"/>
        </w:rPr>
        <w:t xml:space="preserve"> se </w:t>
      </w:r>
      <w:r w:rsidR="00777E5C">
        <w:rPr>
          <w:rFonts w:ascii="Times New Roman" w:hAnsi="Times New Roman" w:cs="Times New Roman"/>
          <w:lang w:val="es-MX"/>
        </w:rPr>
        <w:lastRenderedPageBreak/>
        <w:t>observa que el gasto disminuyo</w:t>
      </w:r>
      <w:r w:rsidR="00EF6F92">
        <w:rPr>
          <w:rFonts w:ascii="Times New Roman" w:hAnsi="Times New Roman" w:cs="Times New Roman"/>
          <w:lang w:val="es-MX"/>
        </w:rPr>
        <w:t xml:space="preserve"> una d</w:t>
      </w:r>
      <w:r w:rsidR="001B4740">
        <w:rPr>
          <w:rFonts w:ascii="Times New Roman" w:hAnsi="Times New Roman" w:cs="Times New Roman"/>
          <w:lang w:val="es-MX"/>
        </w:rPr>
        <w:t xml:space="preserve">écima </w:t>
      </w:r>
      <w:r w:rsidR="00777E5C">
        <w:rPr>
          <w:rFonts w:ascii="Times New Roman" w:hAnsi="Times New Roman" w:cs="Times New Roman"/>
          <w:lang w:val="es-MX"/>
        </w:rPr>
        <w:t xml:space="preserve">respecto a septiembre, cuando fue de </w:t>
      </w:r>
      <w:r w:rsidR="001B4740">
        <w:rPr>
          <w:rFonts w:ascii="Times New Roman" w:hAnsi="Times New Roman" w:cs="Times New Roman"/>
          <w:lang w:val="es-MX"/>
        </w:rPr>
        <w:t xml:space="preserve">13.2%. </w:t>
      </w:r>
    </w:p>
    <w:p w:rsidR="00F919C0" w:rsidRDefault="00F919C0">
      <w:pPr>
        <w:rPr>
          <w:rFonts w:ascii="Times New Roman" w:hAnsi="Times New Roman" w:cs="Times New Roman"/>
          <w:b/>
          <w:lang w:val="es-MX"/>
        </w:rPr>
      </w:pPr>
    </w:p>
    <w:p w:rsidR="00F0482E" w:rsidRPr="009D459C" w:rsidRDefault="00F0482E" w:rsidP="00A74987">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F0482E" w:rsidRDefault="00777E5C" w:rsidP="00F0482E">
      <w:pPr>
        <w:pStyle w:val="Sinespaciado"/>
        <w:jc w:val="center"/>
        <w:rPr>
          <w:rFonts w:ascii="Times New Roman" w:hAnsi="Times New Roman" w:cs="Times New Roman"/>
          <w:sz w:val="18"/>
          <w:lang w:val="es-MX"/>
        </w:rPr>
      </w:pPr>
      <w:r>
        <w:rPr>
          <w:rFonts w:ascii="Times New Roman" w:hAnsi="Times New Roman" w:cs="Times New Roman"/>
          <w:noProof/>
          <w:sz w:val="18"/>
          <w:lang w:eastAsia="es-GT"/>
        </w:rPr>
        <w:drawing>
          <wp:anchor distT="0" distB="0" distL="114300" distR="114300" simplePos="0" relativeHeight="251695104" behindDoc="0" locked="0" layoutInCell="1" allowOverlap="1">
            <wp:simplePos x="0" y="0"/>
            <wp:positionH relativeFrom="column">
              <wp:posOffset>-252095</wp:posOffset>
            </wp:positionH>
            <wp:positionV relativeFrom="paragraph">
              <wp:posOffset>160655</wp:posOffset>
            </wp:positionV>
            <wp:extent cx="2962275" cy="20535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43" t="3825" r="3439" b="2314"/>
                    <a:stretch/>
                  </pic:blipFill>
                  <pic:spPr bwMode="auto">
                    <a:xfrm>
                      <a:off x="0" y="0"/>
                      <a:ext cx="2962275" cy="205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82E" w:rsidRPr="009D459C">
        <w:rPr>
          <w:rFonts w:ascii="Times New Roman" w:hAnsi="Times New Roman" w:cs="Times New Roman"/>
          <w:sz w:val="18"/>
          <w:lang w:val="es-MX"/>
        </w:rPr>
        <w:t>Variación Interanual</w:t>
      </w:r>
      <w:r w:rsidR="002C6E42">
        <w:rPr>
          <w:rFonts w:ascii="Times New Roman" w:hAnsi="Times New Roman" w:cs="Times New Roman"/>
          <w:sz w:val="18"/>
          <w:lang w:val="es-MX"/>
        </w:rPr>
        <w:t>*</w:t>
      </w:r>
    </w:p>
    <w:p w:rsidR="002E671B" w:rsidRPr="00D56309" w:rsidRDefault="002C6E42" w:rsidP="002C6E42">
      <w:pPr>
        <w:pStyle w:val="Sinespaciado"/>
        <w:rPr>
          <w:rFonts w:ascii="Times New Roman" w:hAnsi="Times New Roman" w:cs="Times New Roman"/>
          <w:sz w:val="16"/>
          <w:lang w:val="es-MX"/>
        </w:rPr>
      </w:pPr>
      <w:r w:rsidRPr="00D56309">
        <w:rPr>
          <w:rFonts w:ascii="Times New Roman" w:hAnsi="Times New Roman" w:cs="Times New Roman"/>
          <w:sz w:val="16"/>
          <w:lang w:val="es-MX"/>
        </w:rPr>
        <w:t>*No incluye amortizaciones</w:t>
      </w:r>
      <w:r w:rsidR="00021747" w:rsidRPr="00D56309">
        <w:rPr>
          <w:rFonts w:ascii="Times New Roman" w:hAnsi="Times New Roman" w:cs="Times New Roman"/>
          <w:sz w:val="16"/>
          <w:lang w:val="es-MX"/>
        </w:rPr>
        <w:t xml:space="preserve"> de la deuda pública</w:t>
      </w:r>
    </w:p>
    <w:p w:rsidR="00FF28D2" w:rsidRPr="00FF28D2" w:rsidRDefault="00FF28D2" w:rsidP="00FF28D2">
      <w:pPr>
        <w:spacing w:after="0" w:line="240" w:lineRule="auto"/>
        <w:jc w:val="both"/>
        <w:rPr>
          <w:rFonts w:ascii="Times New Roman" w:hAnsi="Times New Roman" w:cs="Times New Roman"/>
          <w:sz w:val="16"/>
        </w:rPr>
      </w:pPr>
      <w:r w:rsidRPr="00FF28D2">
        <w:rPr>
          <w:rFonts w:ascii="Times New Roman" w:hAnsi="Times New Roman" w:cs="Times New Roman"/>
          <w:sz w:val="16"/>
        </w:rPr>
        <w:t>Fuente: Dirección de Análisis y Política Fiscal</w:t>
      </w:r>
    </w:p>
    <w:p w:rsidR="009D6ABF" w:rsidRDefault="009D6ABF" w:rsidP="00F92177">
      <w:pPr>
        <w:pStyle w:val="Sinespaciado"/>
        <w:jc w:val="both"/>
        <w:rPr>
          <w:rFonts w:ascii="Times New Roman" w:hAnsi="Times New Roman" w:cs="Times New Roman"/>
          <w:lang w:val="es-MX"/>
        </w:rPr>
      </w:pPr>
    </w:p>
    <w:p w:rsidR="00EA255B" w:rsidRDefault="007404D3" w:rsidP="00EA255B">
      <w:pPr>
        <w:pStyle w:val="Sinespaciado"/>
        <w:jc w:val="both"/>
        <w:rPr>
          <w:rFonts w:ascii="Times New Roman" w:hAnsi="Times New Roman" w:cs="Times New Roman"/>
          <w:lang w:val="es-MX"/>
        </w:rPr>
      </w:pPr>
      <w:r>
        <w:rPr>
          <w:rFonts w:ascii="Times New Roman" w:hAnsi="Times New Roman" w:cs="Times New Roman"/>
          <w:lang w:val="es-MX"/>
        </w:rPr>
        <w:t>A ni</w:t>
      </w:r>
      <w:r w:rsidR="0011147B">
        <w:rPr>
          <w:rFonts w:ascii="Times New Roman" w:hAnsi="Times New Roman" w:cs="Times New Roman"/>
          <w:lang w:val="es-MX"/>
        </w:rPr>
        <w:t>vel de rubro de cuenta económico</w:t>
      </w:r>
      <w:r>
        <w:rPr>
          <w:rFonts w:ascii="Times New Roman" w:hAnsi="Times New Roman" w:cs="Times New Roman"/>
          <w:lang w:val="es-MX"/>
        </w:rPr>
        <w:t xml:space="preserve"> se puede visualizar que el gasto</w:t>
      </w:r>
      <w:r w:rsidR="00E54D90">
        <w:rPr>
          <w:rFonts w:ascii="Times New Roman" w:hAnsi="Times New Roman" w:cs="Times New Roman"/>
          <w:lang w:val="es-MX"/>
        </w:rPr>
        <w:t xml:space="preserve"> correspondiente a las r</w:t>
      </w:r>
      <w:r w:rsidR="0011147B">
        <w:rPr>
          <w:rFonts w:ascii="Times New Roman" w:hAnsi="Times New Roman" w:cs="Times New Roman"/>
          <w:lang w:val="es-MX"/>
        </w:rPr>
        <w:t>emuneraciones</w:t>
      </w:r>
      <w:r w:rsidR="00E54D90">
        <w:rPr>
          <w:rFonts w:ascii="Times New Roman" w:hAnsi="Times New Roman" w:cs="Times New Roman"/>
          <w:lang w:val="es-MX"/>
        </w:rPr>
        <w:t xml:space="preserve"> representa el 32.0% del gasto total acumulado, sie</w:t>
      </w:r>
      <w:r w:rsidR="002D7D4C">
        <w:rPr>
          <w:rFonts w:ascii="Times New Roman" w:hAnsi="Times New Roman" w:cs="Times New Roman"/>
          <w:lang w:val="es-MX"/>
        </w:rPr>
        <w:t>ndo el rubro más significativo,</w:t>
      </w:r>
      <w:r w:rsidR="00E54D90">
        <w:rPr>
          <w:rFonts w:ascii="Times New Roman" w:hAnsi="Times New Roman" w:cs="Times New Roman"/>
          <w:lang w:val="es-MX"/>
        </w:rPr>
        <w:t xml:space="preserve"> el cual reporta un crecimiento interanual de 11.1%. El rubro que le sigue son las </w:t>
      </w:r>
      <w:r w:rsidR="00925F48">
        <w:rPr>
          <w:rFonts w:ascii="Times New Roman" w:hAnsi="Times New Roman" w:cs="Times New Roman"/>
          <w:lang w:val="es-MX"/>
        </w:rPr>
        <w:t>transferencias corrientes</w:t>
      </w:r>
      <w:r w:rsidR="00E54D90">
        <w:rPr>
          <w:rFonts w:ascii="Times New Roman" w:hAnsi="Times New Roman" w:cs="Times New Roman"/>
          <w:lang w:val="es-MX"/>
        </w:rPr>
        <w:t>, las cuales representan el 19.3%</w:t>
      </w:r>
      <w:r w:rsidR="002D7D4C">
        <w:rPr>
          <w:rFonts w:ascii="Times New Roman" w:hAnsi="Times New Roman" w:cs="Times New Roman"/>
          <w:lang w:val="es-MX"/>
        </w:rPr>
        <w:t xml:space="preserve"> del gasto</w:t>
      </w:r>
      <w:r w:rsidR="00E54D90">
        <w:rPr>
          <w:rFonts w:ascii="Times New Roman" w:hAnsi="Times New Roman" w:cs="Times New Roman"/>
          <w:lang w:val="es-MX"/>
        </w:rPr>
        <w:t xml:space="preserve"> y reportan un crecimiento interanual de 8.9% </w:t>
      </w:r>
      <w:r w:rsidR="00707470">
        <w:rPr>
          <w:rFonts w:ascii="Times New Roman" w:hAnsi="Times New Roman" w:cs="Times New Roman"/>
          <w:lang w:val="es-MX"/>
        </w:rPr>
        <w:t>y las transferencias</w:t>
      </w:r>
      <w:r w:rsidR="00EA255B">
        <w:rPr>
          <w:rFonts w:ascii="Times New Roman" w:hAnsi="Times New Roman" w:cs="Times New Roman"/>
          <w:lang w:val="es-MX"/>
        </w:rPr>
        <w:t xml:space="preserve"> </w:t>
      </w:r>
      <w:r w:rsidR="00707470">
        <w:rPr>
          <w:rFonts w:ascii="Times New Roman" w:hAnsi="Times New Roman" w:cs="Times New Roman"/>
          <w:lang w:val="es-MX"/>
        </w:rPr>
        <w:t>de capital</w:t>
      </w:r>
      <w:r w:rsidR="00996071">
        <w:rPr>
          <w:rFonts w:ascii="Times New Roman" w:hAnsi="Times New Roman" w:cs="Times New Roman"/>
          <w:lang w:val="es-MX"/>
        </w:rPr>
        <w:t>, las cuales representan el 14.3% del gasto y reportan un crecimiento de 21.8%.</w:t>
      </w:r>
    </w:p>
    <w:p w:rsidR="00996071" w:rsidRDefault="00996071" w:rsidP="00EA255B">
      <w:pPr>
        <w:pStyle w:val="Sinespaciado"/>
        <w:jc w:val="both"/>
        <w:rPr>
          <w:rFonts w:ascii="Times New Roman" w:hAnsi="Times New Roman" w:cs="Times New Roman"/>
          <w:lang w:val="es-MX"/>
        </w:rPr>
      </w:pPr>
    </w:p>
    <w:p w:rsidR="001077A3" w:rsidRDefault="00C07F10" w:rsidP="00F92177">
      <w:pPr>
        <w:pStyle w:val="Sinespaciado"/>
        <w:jc w:val="both"/>
        <w:rPr>
          <w:rFonts w:ascii="Times New Roman" w:hAnsi="Times New Roman" w:cs="Times New Roman"/>
          <w:lang w:val="es-MX"/>
        </w:rPr>
      </w:pPr>
      <w:r>
        <w:rPr>
          <w:rFonts w:ascii="Times New Roman" w:hAnsi="Times New Roman" w:cs="Times New Roman"/>
          <w:lang w:val="es-MX"/>
        </w:rPr>
        <w:t>El rubro de bienes y servicios</w:t>
      </w:r>
      <w:r w:rsidR="00EA255B">
        <w:rPr>
          <w:rFonts w:ascii="Times New Roman" w:hAnsi="Times New Roman" w:cs="Times New Roman"/>
          <w:lang w:val="es-MX"/>
        </w:rPr>
        <w:t xml:space="preserve"> venia reportando caídas en los meses previos, en el presente mes reporta un crecimiento de </w:t>
      </w:r>
      <w:r w:rsidR="00996071">
        <w:rPr>
          <w:rFonts w:ascii="Times New Roman" w:hAnsi="Times New Roman" w:cs="Times New Roman"/>
          <w:lang w:val="es-MX"/>
        </w:rPr>
        <w:t>3</w:t>
      </w:r>
      <w:r w:rsidR="00EA255B">
        <w:rPr>
          <w:rFonts w:ascii="Times New Roman" w:hAnsi="Times New Roman" w:cs="Times New Roman"/>
          <w:lang w:val="es-MX"/>
        </w:rPr>
        <w:t>.</w:t>
      </w:r>
      <w:r w:rsidR="00996071">
        <w:rPr>
          <w:rFonts w:ascii="Times New Roman" w:hAnsi="Times New Roman" w:cs="Times New Roman"/>
          <w:lang w:val="es-MX"/>
        </w:rPr>
        <w:t>1</w:t>
      </w:r>
      <w:r w:rsidR="00EA255B">
        <w:rPr>
          <w:rFonts w:ascii="Times New Roman" w:hAnsi="Times New Roman" w:cs="Times New Roman"/>
          <w:lang w:val="es-MX"/>
        </w:rPr>
        <w:t xml:space="preserve">%. </w:t>
      </w:r>
    </w:p>
    <w:p w:rsidR="001077A3" w:rsidRDefault="001077A3" w:rsidP="00F92177">
      <w:pPr>
        <w:pStyle w:val="Sinespaciado"/>
        <w:jc w:val="both"/>
        <w:rPr>
          <w:rFonts w:ascii="Times New Roman" w:hAnsi="Times New Roman" w:cs="Times New Roman"/>
          <w:lang w:val="es-MX"/>
        </w:rPr>
      </w:pPr>
    </w:p>
    <w:p w:rsidR="00996071" w:rsidRDefault="00996071" w:rsidP="00F92177">
      <w:pPr>
        <w:pStyle w:val="Sinespaciado"/>
        <w:jc w:val="both"/>
        <w:rPr>
          <w:rFonts w:ascii="Times New Roman" w:hAnsi="Times New Roman" w:cs="Times New Roman"/>
          <w:lang w:val="es-MX"/>
        </w:rPr>
      </w:pPr>
      <w:r w:rsidRPr="00996071">
        <w:rPr>
          <w:rFonts w:ascii="Times New Roman" w:hAnsi="Times New Roman" w:cs="Times New Roman"/>
          <w:lang w:val="es-MX"/>
        </w:rPr>
        <w:t>A e</w:t>
      </w:r>
      <w:r w:rsidR="002D7D4C">
        <w:rPr>
          <w:rFonts w:ascii="Times New Roman" w:hAnsi="Times New Roman" w:cs="Times New Roman"/>
          <w:lang w:val="es-MX"/>
        </w:rPr>
        <w:t>xcepción de algunos rubros cuya ejecución no es representativa</w:t>
      </w:r>
      <w:r w:rsidRPr="00996071">
        <w:rPr>
          <w:rFonts w:ascii="Times New Roman" w:hAnsi="Times New Roman" w:cs="Times New Roman"/>
          <w:lang w:val="es-MX"/>
        </w:rPr>
        <w:t>, la mayoría de los rubros importantes reportan crecimientos interanuales de dos dígitos</w:t>
      </w:r>
      <w:r w:rsidR="002D7D4C">
        <w:rPr>
          <w:rFonts w:ascii="Times New Roman" w:hAnsi="Times New Roman" w:cs="Times New Roman"/>
          <w:lang w:val="es-MX"/>
        </w:rPr>
        <w:t>.</w:t>
      </w:r>
    </w:p>
    <w:p w:rsidR="00996071" w:rsidRDefault="00996071" w:rsidP="00F92177">
      <w:pPr>
        <w:pStyle w:val="Sinespaciado"/>
        <w:jc w:val="both"/>
        <w:rPr>
          <w:rFonts w:ascii="Times New Roman" w:hAnsi="Times New Roman" w:cs="Times New Roman"/>
          <w:lang w:val="es-MX"/>
        </w:rPr>
      </w:pPr>
    </w:p>
    <w:p w:rsidR="00EA255B" w:rsidRDefault="00EA255B" w:rsidP="00F92177">
      <w:pPr>
        <w:pStyle w:val="Sinespaciado"/>
        <w:jc w:val="both"/>
        <w:rPr>
          <w:rFonts w:ascii="Times New Roman" w:hAnsi="Times New Roman" w:cs="Times New Roman"/>
          <w:lang w:val="es-MX"/>
        </w:rPr>
      </w:pPr>
      <w:r>
        <w:rPr>
          <w:rFonts w:ascii="Times New Roman" w:hAnsi="Times New Roman" w:cs="Times New Roman"/>
          <w:lang w:val="es-MX"/>
        </w:rPr>
        <w:t xml:space="preserve">Los rubros que presentan caídas son: los impuestos pagados por dependencias del </w:t>
      </w:r>
      <w:r>
        <w:rPr>
          <w:rFonts w:ascii="Times New Roman" w:hAnsi="Times New Roman" w:cs="Times New Roman"/>
          <w:lang w:val="es-MX"/>
        </w:rPr>
        <w:lastRenderedPageBreak/>
        <w:t>Estado (-14.0%), los descuentos y bonificaciones (</w:t>
      </w:r>
      <w:r w:rsidR="003D289B">
        <w:rPr>
          <w:rFonts w:ascii="Times New Roman" w:hAnsi="Times New Roman" w:cs="Times New Roman"/>
          <w:lang w:val="es-MX"/>
        </w:rPr>
        <w:t>-21.0%), las transferencias corrientes al sector externo (-</w:t>
      </w:r>
      <w:r w:rsidR="00996071">
        <w:rPr>
          <w:rFonts w:ascii="Times New Roman" w:hAnsi="Times New Roman" w:cs="Times New Roman"/>
          <w:lang w:val="es-MX"/>
        </w:rPr>
        <w:t>42</w:t>
      </w:r>
      <w:r w:rsidR="003D289B">
        <w:rPr>
          <w:rFonts w:ascii="Times New Roman" w:hAnsi="Times New Roman" w:cs="Times New Roman"/>
          <w:lang w:val="es-MX"/>
        </w:rPr>
        <w:t>.</w:t>
      </w:r>
      <w:r w:rsidR="00996071">
        <w:rPr>
          <w:rFonts w:ascii="Times New Roman" w:hAnsi="Times New Roman" w:cs="Times New Roman"/>
          <w:lang w:val="es-MX"/>
        </w:rPr>
        <w:t>5</w:t>
      </w:r>
      <w:r w:rsidR="003D289B">
        <w:rPr>
          <w:rFonts w:ascii="Times New Roman" w:hAnsi="Times New Roman" w:cs="Times New Roman"/>
          <w:lang w:val="es-MX"/>
        </w:rPr>
        <w:t>%) y de lado del gasto de capital, la inversión financiera (-</w:t>
      </w:r>
      <w:r w:rsidR="00996071">
        <w:rPr>
          <w:rFonts w:ascii="Times New Roman" w:hAnsi="Times New Roman" w:cs="Times New Roman"/>
          <w:lang w:val="es-MX"/>
        </w:rPr>
        <w:t>59</w:t>
      </w:r>
      <w:r w:rsidR="003D289B">
        <w:rPr>
          <w:rFonts w:ascii="Times New Roman" w:hAnsi="Times New Roman" w:cs="Times New Roman"/>
          <w:lang w:val="es-MX"/>
        </w:rPr>
        <w:t>.</w:t>
      </w:r>
      <w:r w:rsidR="00996071">
        <w:rPr>
          <w:rFonts w:ascii="Times New Roman" w:hAnsi="Times New Roman" w:cs="Times New Roman"/>
          <w:lang w:val="es-MX"/>
        </w:rPr>
        <w:t>4</w:t>
      </w:r>
      <w:r w:rsidR="003D289B">
        <w:rPr>
          <w:rFonts w:ascii="Times New Roman" w:hAnsi="Times New Roman" w:cs="Times New Roman"/>
          <w:lang w:val="es-MX"/>
        </w:rPr>
        <w:t xml:space="preserve">%), aunque es importante destacar </w:t>
      </w:r>
      <w:r w:rsidR="001077A3">
        <w:rPr>
          <w:rFonts w:ascii="Times New Roman" w:hAnsi="Times New Roman" w:cs="Times New Roman"/>
          <w:lang w:val="es-MX"/>
        </w:rPr>
        <w:t>que estos</w:t>
      </w:r>
      <w:r w:rsidR="003D289B">
        <w:rPr>
          <w:rFonts w:ascii="Times New Roman" w:hAnsi="Times New Roman" w:cs="Times New Roman"/>
          <w:lang w:val="es-MX"/>
        </w:rPr>
        <w:t xml:space="preserve"> rubros representan únicamente el 0.2% del gasto total</w:t>
      </w:r>
      <w:r w:rsidR="00996071">
        <w:rPr>
          <w:rFonts w:ascii="Times New Roman" w:hAnsi="Times New Roman" w:cs="Times New Roman"/>
          <w:lang w:val="es-MX"/>
        </w:rPr>
        <w:t>, lo cual es equivalente a Q131.5 millones</w:t>
      </w:r>
      <w:r w:rsidR="003D289B">
        <w:rPr>
          <w:rFonts w:ascii="Times New Roman" w:hAnsi="Times New Roman" w:cs="Times New Roman"/>
          <w:lang w:val="es-MX"/>
        </w:rPr>
        <w:t xml:space="preserve">.    </w:t>
      </w:r>
    </w:p>
    <w:p w:rsidR="00EA255B" w:rsidRDefault="00EA255B" w:rsidP="00F92177">
      <w:pPr>
        <w:pStyle w:val="Sinespaciado"/>
        <w:jc w:val="both"/>
        <w:rPr>
          <w:rFonts w:ascii="Times New Roman" w:hAnsi="Times New Roman" w:cs="Times New Roman"/>
          <w:lang w:val="es-MX"/>
        </w:rPr>
      </w:pPr>
    </w:p>
    <w:p w:rsidR="00412A2D" w:rsidRDefault="00060BF0" w:rsidP="00F92177">
      <w:pPr>
        <w:pStyle w:val="Sinespaciado"/>
        <w:jc w:val="both"/>
        <w:rPr>
          <w:rFonts w:ascii="Times New Roman" w:hAnsi="Times New Roman" w:cs="Times New Roman"/>
          <w:lang w:val="es-MX"/>
        </w:rPr>
      </w:pPr>
      <w:r w:rsidRPr="00C82F2F">
        <w:rPr>
          <w:rFonts w:ascii="Times New Roman" w:hAnsi="Times New Roman" w:cs="Times New Roman"/>
          <w:lang w:val="es-MX"/>
        </w:rPr>
        <w:t>En lo referente</w:t>
      </w:r>
      <w:r w:rsidR="00265282" w:rsidRPr="00C82F2F">
        <w:rPr>
          <w:rFonts w:ascii="Times New Roman" w:hAnsi="Times New Roman" w:cs="Times New Roman"/>
          <w:lang w:val="es-MX"/>
        </w:rPr>
        <w:t xml:space="preserve"> a las transferencias de capital, </w:t>
      </w:r>
      <w:r w:rsidR="001F07F2" w:rsidRPr="00C82F2F">
        <w:rPr>
          <w:rFonts w:ascii="Times New Roman" w:hAnsi="Times New Roman" w:cs="Times New Roman"/>
          <w:lang w:val="es-MX"/>
        </w:rPr>
        <w:t xml:space="preserve">se reporta </w:t>
      </w:r>
      <w:r w:rsidR="001D6A43" w:rsidRPr="00C82F2F">
        <w:rPr>
          <w:rFonts w:ascii="Times New Roman" w:hAnsi="Times New Roman" w:cs="Times New Roman"/>
          <w:lang w:val="es-MX"/>
        </w:rPr>
        <w:t xml:space="preserve">avance en la </w:t>
      </w:r>
      <w:r w:rsidR="00265282" w:rsidRPr="00C82F2F">
        <w:rPr>
          <w:rFonts w:ascii="Times New Roman" w:hAnsi="Times New Roman" w:cs="Times New Roman"/>
          <w:lang w:val="es-MX"/>
        </w:rPr>
        <w:t xml:space="preserve">ejecución del aporte a los Consejos de </w:t>
      </w:r>
      <w:r w:rsidR="001D6A43" w:rsidRPr="00C82F2F">
        <w:rPr>
          <w:rFonts w:ascii="Times New Roman" w:hAnsi="Times New Roman" w:cs="Times New Roman"/>
          <w:lang w:val="es-MX"/>
        </w:rPr>
        <w:t xml:space="preserve">Desarrollo Urbano y Rural, a </w:t>
      </w:r>
      <w:r w:rsidR="00412A2D">
        <w:rPr>
          <w:rFonts w:ascii="Times New Roman" w:hAnsi="Times New Roman" w:cs="Times New Roman"/>
          <w:lang w:val="es-MX"/>
        </w:rPr>
        <w:t>octu</w:t>
      </w:r>
      <w:r w:rsidR="00607FA3" w:rsidRPr="00C82F2F">
        <w:rPr>
          <w:rFonts w:ascii="Times New Roman" w:hAnsi="Times New Roman" w:cs="Times New Roman"/>
          <w:lang w:val="es-MX"/>
        </w:rPr>
        <w:t>bre</w:t>
      </w:r>
      <w:r w:rsidR="00265282" w:rsidRPr="00C82F2F">
        <w:rPr>
          <w:rFonts w:ascii="Times New Roman" w:hAnsi="Times New Roman" w:cs="Times New Roman"/>
          <w:lang w:val="es-MX"/>
        </w:rPr>
        <w:t xml:space="preserve"> reporta</w:t>
      </w:r>
      <w:r w:rsidR="00607FA3" w:rsidRPr="00C82F2F">
        <w:rPr>
          <w:rFonts w:ascii="Times New Roman" w:hAnsi="Times New Roman" w:cs="Times New Roman"/>
          <w:lang w:val="es-MX"/>
        </w:rPr>
        <w:t>n</w:t>
      </w:r>
      <w:r w:rsidR="00265282" w:rsidRPr="00C82F2F">
        <w:rPr>
          <w:rFonts w:ascii="Times New Roman" w:hAnsi="Times New Roman" w:cs="Times New Roman"/>
          <w:lang w:val="es-MX"/>
        </w:rPr>
        <w:t xml:space="preserve"> una ejecución de Q</w:t>
      </w:r>
      <w:r w:rsidR="00412A2D">
        <w:rPr>
          <w:rFonts w:ascii="Times New Roman" w:hAnsi="Times New Roman" w:cs="Times New Roman"/>
          <w:lang w:val="es-MX"/>
        </w:rPr>
        <w:t>1,288</w:t>
      </w:r>
      <w:r w:rsidR="001F07F2" w:rsidRPr="00C82F2F">
        <w:rPr>
          <w:rFonts w:ascii="Times New Roman" w:hAnsi="Times New Roman" w:cs="Times New Roman"/>
          <w:lang w:val="es-MX"/>
        </w:rPr>
        <w:t>.</w:t>
      </w:r>
      <w:r w:rsidR="00607FA3" w:rsidRPr="00C82F2F">
        <w:rPr>
          <w:rFonts w:ascii="Times New Roman" w:hAnsi="Times New Roman" w:cs="Times New Roman"/>
          <w:lang w:val="es-MX"/>
        </w:rPr>
        <w:t>9</w:t>
      </w:r>
      <w:r w:rsidR="00265282" w:rsidRPr="00C82F2F">
        <w:rPr>
          <w:rFonts w:ascii="Times New Roman" w:hAnsi="Times New Roman" w:cs="Times New Roman"/>
          <w:lang w:val="es-MX"/>
        </w:rPr>
        <w:t xml:space="preserve"> millones, con un grado de ejecución de </w:t>
      </w:r>
      <w:r w:rsidR="00412A2D">
        <w:rPr>
          <w:rFonts w:ascii="Times New Roman" w:hAnsi="Times New Roman" w:cs="Times New Roman"/>
          <w:lang w:val="es-MX"/>
        </w:rPr>
        <w:t>48</w:t>
      </w:r>
      <w:r w:rsidR="00607FA3" w:rsidRPr="00C82F2F">
        <w:rPr>
          <w:rFonts w:ascii="Times New Roman" w:hAnsi="Times New Roman" w:cs="Times New Roman"/>
          <w:lang w:val="es-MX"/>
        </w:rPr>
        <w:t>.</w:t>
      </w:r>
      <w:r w:rsidR="00412A2D">
        <w:rPr>
          <w:rFonts w:ascii="Times New Roman" w:hAnsi="Times New Roman" w:cs="Times New Roman"/>
          <w:lang w:val="es-MX"/>
        </w:rPr>
        <w:t>4</w:t>
      </w:r>
      <w:r w:rsidR="00265282" w:rsidRPr="00C82F2F">
        <w:rPr>
          <w:rFonts w:ascii="Times New Roman" w:hAnsi="Times New Roman" w:cs="Times New Roman"/>
          <w:lang w:val="es-MX"/>
        </w:rPr>
        <w:t xml:space="preserve">%. </w:t>
      </w:r>
      <w:r w:rsidR="00607FA3" w:rsidRPr="00C82F2F">
        <w:rPr>
          <w:rFonts w:ascii="Times New Roman" w:hAnsi="Times New Roman" w:cs="Times New Roman"/>
          <w:lang w:val="es-MX"/>
        </w:rPr>
        <w:t>En</w:t>
      </w:r>
      <w:r w:rsidR="00412A2D">
        <w:rPr>
          <w:rFonts w:ascii="Times New Roman" w:hAnsi="Times New Roman" w:cs="Times New Roman"/>
          <w:lang w:val="es-MX"/>
        </w:rPr>
        <w:t xml:space="preserve"> octubre por concepto del aporte se devengaron Q309 millones, siendo el mes que reporta la mayor ejecución. </w:t>
      </w:r>
    </w:p>
    <w:p w:rsidR="00412A2D" w:rsidRDefault="00412A2D" w:rsidP="00F92177">
      <w:pPr>
        <w:pStyle w:val="Sinespaciado"/>
        <w:jc w:val="both"/>
        <w:rPr>
          <w:rFonts w:ascii="Times New Roman" w:hAnsi="Times New Roman" w:cs="Times New Roman"/>
          <w:lang w:val="es-MX"/>
        </w:rPr>
      </w:pPr>
    </w:p>
    <w:p w:rsidR="001F07F2" w:rsidRDefault="001F07F2" w:rsidP="00F92177">
      <w:pPr>
        <w:pStyle w:val="Sinespaciado"/>
        <w:jc w:val="both"/>
        <w:rPr>
          <w:rFonts w:ascii="Times New Roman" w:hAnsi="Times New Roman" w:cs="Times New Roman"/>
          <w:lang w:val="es-MX"/>
        </w:rPr>
      </w:pPr>
      <w:r>
        <w:rPr>
          <w:rFonts w:ascii="Times New Roman" w:hAnsi="Times New Roman" w:cs="Times New Roman"/>
          <w:lang w:val="es-MX"/>
        </w:rPr>
        <w:t xml:space="preserve">Este nivel de ejecución es </w:t>
      </w:r>
      <w:r w:rsidR="00265282">
        <w:rPr>
          <w:rFonts w:ascii="Times New Roman" w:hAnsi="Times New Roman" w:cs="Times New Roman"/>
          <w:lang w:val="es-MX"/>
        </w:rPr>
        <w:t>superior al observado en igual fecha de</w:t>
      </w:r>
      <w:r w:rsidR="001D6A43">
        <w:rPr>
          <w:rFonts w:ascii="Times New Roman" w:hAnsi="Times New Roman" w:cs="Times New Roman"/>
          <w:lang w:val="es-MX"/>
        </w:rPr>
        <w:t xml:space="preserve"> 2018, 2017 y 2015</w:t>
      </w:r>
      <w:r w:rsidR="00265282">
        <w:rPr>
          <w:rFonts w:ascii="Times New Roman" w:hAnsi="Times New Roman" w:cs="Times New Roman"/>
          <w:lang w:val="es-MX"/>
        </w:rPr>
        <w:t>,</w:t>
      </w:r>
      <w:r>
        <w:rPr>
          <w:rFonts w:ascii="Times New Roman" w:hAnsi="Times New Roman" w:cs="Times New Roman"/>
          <w:lang w:val="es-MX"/>
        </w:rPr>
        <w:t xml:space="preserve"> no obstante,</w:t>
      </w:r>
      <w:r w:rsidR="00412A2D">
        <w:rPr>
          <w:rFonts w:ascii="Times New Roman" w:hAnsi="Times New Roman" w:cs="Times New Roman"/>
          <w:lang w:val="es-MX"/>
        </w:rPr>
        <w:t xml:space="preserve"> este nivel de ejecución</w:t>
      </w:r>
      <w:r>
        <w:rPr>
          <w:rFonts w:ascii="Times New Roman" w:hAnsi="Times New Roman" w:cs="Times New Roman"/>
          <w:lang w:val="es-MX"/>
        </w:rPr>
        <w:t xml:space="preserve"> se considera</w:t>
      </w:r>
      <w:r w:rsidR="00883500">
        <w:rPr>
          <w:rFonts w:ascii="Times New Roman" w:hAnsi="Times New Roman" w:cs="Times New Roman"/>
          <w:lang w:val="es-MX"/>
        </w:rPr>
        <w:t xml:space="preserve"> poco dinámica</w:t>
      </w:r>
      <w:r>
        <w:rPr>
          <w:rFonts w:ascii="Times New Roman" w:hAnsi="Times New Roman" w:cs="Times New Roman"/>
          <w:lang w:val="es-MX"/>
        </w:rPr>
        <w:t xml:space="preserve">, </w:t>
      </w:r>
      <w:r w:rsidR="00607FA3">
        <w:rPr>
          <w:rFonts w:ascii="Times New Roman" w:hAnsi="Times New Roman" w:cs="Times New Roman"/>
          <w:lang w:val="es-MX"/>
        </w:rPr>
        <w:t xml:space="preserve">por ello, </w:t>
      </w:r>
      <w:r w:rsidR="00412A2D">
        <w:rPr>
          <w:rFonts w:ascii="Times New Roman" w:hAnsi="Times New Roman" w:cs="Times New Roman"/>
          <w:lang w:val="es-MX"/>
        </w:rPr>
        <w:t xml:space="preserve">al cierre del año </w:t>
      </w:r>
      <w:r w:rsidR="00607FA3">
        <w:rPr>
          <w:rFonts w:ascii="Times New Roman" w:hAnsi="Times New Roman" w:cs="Times New Roman"/>
          <w:lang w:val="es-MX"/>
        </w:rPr>
        <w:t xml:space="preserve">se espera que </w:t>
      </w:r>
      <w:r>
        <w:rPr>
          <w:rFonts w:ascii="Times New Roman" w:hAnsi="Times New Roman" w:cs="Times New Roman"/>
          <w:lang w:val="es-MX"/>
        </w:rPr>
        <w:t>la ejecución de los Consejos de Desarrollo se</w:t>
      </w:r>
      <w:r w:rsidR="00607FA3">
        <w:rPr>
          <w:rFonts w:ascii="Times New Roman" w:hAnsi="Times New Roman" w:cs="Times New Roman"/>
          <w:lang w:val="es-MX"/>
        </w:rPr>
        <w:t>a</w:t>
      </w:r>
      <w:r>
        <w:rPr>
          <w:rFonts w:ascii="Times New Roman" w:hAnsi="Times New Roman" w:cs="Times New Roman"/>
          <w:lang w:val="es-MX"/>
        </w:rPr>
        <w:t xml:space="preserve"> </w:t>
      </w:r>
      <w:r w:rsidR="00883500">
        <w:rPr>
          <w:rFonts w:ascii="Times New Roman" w:hAnsi="Times New Roman" w:cs="Times New Roman"/>
          <w:lang w:val="es-MX"/>
        </w:rPr>
        <w:t>moderada</w:t>
      </w:r>
      <w:r w:rsidR="001E7B21">
        <w:rPr>
          <w:rFonts w:ascii="Times New Roman" w:hAnsi="Times New Roman" w:cs="Times New Roman"/>
          <w:lang w:val="es-MX"/>
        </w:rPr>
        <w:t xml:space="preserve">. </w:t>
      </w:r>
    </w:p>
    <w:p w:rsidR="001F07F2" w:rsidRDefault="001F07F2" w:rsidP="00F92177">
      <w:pPr>
        <w:pStyle w:val="Sinespaciado"/>
        <w:jc w:val="both"/>
        <w:rPr>
          <w:rFonts w:ascii="Times New Roman" w:hAnsi="Times New Roman" w:cs="Times New Roman"/>
          <w:lang w:val="es-MX"/>
        </w:rPr>
      </w:pPr>
    </w:p>
    <w:p w:rsidR="00CA1DD5" w:rsidRPr="00FC1C67" w:rsidRDefault="00CA1DD5" w:rsidP="00CA1DD5">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t xml:space="preserve">Ejecución </w:t>
      </w:r>
      <w:r>
        <w:rPr>
          <w:rFonts w:ascii="Times New Roman" w:hAnsi="Times New Roman" w:cs="Times New Roman"/>
          <w:b/>
          <w:lang w:val="es-MX"/>
        </w:rPr>
        <w:t>de los Consejos de Desarrollo</w:t>
      </w:r>
    </w:p>
    <w:p w:rsidR="00CA1DD5" w:rsidRDefault="00CA1DD5" w:rsidP="00CA1DD5">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w:t>
      </w:r>
      <w:r w:rsidR="00412A2D">
        <w:rPr>
          <w:rFonts w:ascii="Times New Roman" w:hAnsi="Times New Roman" w:cs="Times New Roman"/>
          <w:sz w:val="18"/>
          <w:szCs w:val="18"/>
          <w:lang w:val="es-MX"/>
        </w:rPr>
        <w:t>1</w:t>
      </w:r>
      <w:r w:rsidRPr="00FC1C67">
        <w:rPr>
          <w:rFonts w:ascii="Times New Roman" w:hAnsi="Times New Roman" w:cs="Times New Roman"/>
          <w:sz w:val="18"/>
          <w:szCs w:val="18"/>
          <w:lang w:val="es-MX"/>
        </w:rPr>
        <w:t xml:space="preserve"> de </w:t>
      </w:r>
      <w:r w:rsidR="00412A2D">
        <w:rPr>
          <w:rFonts w:ascii="Times New Roman" w:hAnsi="Times New Roman" w:cs="Times New Roman"/>
          <w:sz w:val="18"/>
          <w:szCs w:val="18"/>
          <w:lang w:val="es-MX"/>
        </w:rPr>
        <w:t>octub</w:t>
      </w:r>
      <w:r w:rsidR="008D6CD9">
        <w:rPr>
          <w:rFonts w:ascii="Times New Roman" w:hAnsi="Times New Roman" w:cs="Times New Roman"/>
          <w:sz w:val="18"/>
          <w:szCs w:val="18"/>
          <w:lang w:val="es-MX"/>
        </w:rPr>
        <w:t>re</w:t>
      </w:r>
      <w:r w:rsidRPr="00FC1C67">
        <w:rPr>
          <w:rFonts w:ascii="Times New Roman" w:hAnsi="Times New Roman" w:cs="Times New Roman"/>
          <w:sz w:val="18"/>
          <w:szCs w:val="18"/>
          <w:lang w:val="es-MX"/>
        </w:rPr>
        <w:t xml:space="preserve"> de</w:t>
      </w:r>
      <w:r w:rsidR="007955C1">
        <w:rPr>
          <w:rFonts w:ascii="Times New Roman" w:hAnsi="Times New Roman" w:cs="Times New Roman"/>
          <w:sz w:val="18"/>
          <w:szCs w:val="18"/>
          <w:lang w:val="es-MX"/>
        </w:rPr>
        <w:t xml:space="preserve"> cada año</w:t>
      </w:r>
    </w:p>
    <w:p w:rsidR="00CA1DD5" w:rsidRDefault="00412A2D" w:rsidP="00CA1DD5">
      <w:pPr>
        <w:spacing w:after="0" w:line="240" w:lineRule="aut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697152" behindDoc="0" locked="0" layoutInCell="1" allowOverlap="1">
            <wp:simplePos x="0" y="0"/>
            <wp:positionH relativeFrom="column">
              <wp:posOffset>-233680</wp:posOffset>
            </wp:positionH>
            <wp:positionV relativeFrom="paragraph">
              <wp:posOffset>205105</wp:posOffset>
            </wp:positionV>
            <wp:extent cx="3289300" cy="20828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57" t="11251" r="7736" b="3320"/>
                    <a:stretch/>
                  </pic:blipFill>
                  <pic:spPr bwMode="auto">
                    <a:xfrm>
                      <a:off x="0" y="0"/>
                      <a:ext cx="3289300"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DD5">
        <w:rPr>
          <w:rFonts w:ascii="Times New Roman" w:hAnsi="Times New Roman" w:cs="Times New Roman"/>
          <w:sz w:val="18"/>
          <w:szCs w:val="18"/>
          <w:lang w:val="es-MX"/>
        </w:rPr>
        <w:t>Millones de quetzales y porcentajes</w:t>
      </w:r>
    </w:p>
    <w:p w:rsidR="00851851" w:rsidRDefault="00851851" w:rsidP="00851851">
      <w:pPr>
        <w:spacing w:after="0" w:line="240" w:lineRule="auto"/>
        <w:rPr>
          <w:rFonts w:ascii="Times New Roman" w:hAnsi="Times New Roman" w:cs="Times New Roman"/>
          <w:sz w:val="18"/>
          <w:szCs w:val="18"/>
          <w:lang w:val="es-MX"/>
        </w:rPr>
      </w:pPr>
      <w:r>
        <w:rPr>
          <w:rFonts w:ascii="Times New Roman" w:hAnsi="Times New Roman" w:cs="Times New Roman"/>
          <w:sz w:val="18"/>
          <w:szCs w:val="18"/>
          <w:lang w:val="es-MX"/>
        </w:rPr>
        <w:t xml:space="preserve"> </w:t>
      </w:r>
    </w:p>
    <w:p w:rsidR="00CA1DD5" w:rsidRPr="00FC1C67" w:rsidRDefault="00851851" w:rsidP="00851851">
      <w:pPr>
        <w:spacing w:after="0" w:line="240" w:lineRule="auto"/>
        <w:rPr>
          <w:rFonts w:ascii="Times New Roman" w:hAnsi="Times New Roman" w:cs="Times New Roman"/>
          <w:sz w:val="18"/>
          <w:szCs w:val="18"/>
          <w:lang w:val="es-MX"/>
        </w:rPr>
      </w:pPr>
      <w:r w:rsidRPr="00851851">
        <w:rPr>
          <w:rFonts w:ascii="Times New Roman" w:hAnsi="Times New Roman" w:cs="Times New Roman"/>
          <w:sz w:val="16"/>
          <w:szCs w:val="18"/>
          <w:lang w:val="es-MX"/>
        </w:rPr>
        <w:t>Fuente: Dirección de Análisis y Política Fiscal</w:t>
      </w:r>
    </w:p>
    <w:p w:rsidR="00CA1DD5" w:rsidRDefault="00CA1DD5" w:rsidP="00F92177">
      <w:pPr>
        <w:pStyle w:val="Sinespaciado"/>
        <w:jc w:val="both"/>
        <w:rPr>
          <w:rFonts w:ascii="Times New Roman" w:hAnsi="Times New Roman" w:cs="Times New Roman"/>
          <w:lang w:val="es-MX"/>
        </w:rPr>
      </w:pPr>
    </w:p>
    <w:p w:rsidR="00A36182" w:rsidRDefault="006A08A7" w:rsidP="009A0590">
      <w:pPr>
        <w:pStyle w:val="Sinespaciado"/>
        <w:jc w:val="both"/>
        <w:rPr>
          <w:rFonts w:ascii="Times New Roman" w:hAnsi="Times New Roman" w:cs="Times New Roman"/>
          <w:lang w:val="es-MX"/>
        </w:rPr>
      </w:pPr>
      <w:r w:rsidRPr="006A08A7">
        <w:rPr>
          <w:rFonts w:ascii="Times New Roman" w:hAnsi="Times New Roman" w:cs="Times New Roman"/>
          <w:lang w:val="es-MX"/>
        </w:rPr>
        <w:t xml:space="preserve">Es importante resaltar </w:t>
      </w:r>
      <w:r w:rsidR="006220B2">
        <w:rPr>
          <w:rFonts w:ascii="Times New Roman" w:hAnsi="Times New Roman" w:cs="Times New Roman"/>
          <w:lang w:val="es-MX"/>
        </w:rPr>
        <w:t>el</w:t>
      </w:r>
      <w:r w:rsidR="0078119C">
        <w:rPr>
          <w:rFonts w:ascii="Times New Roman" w:hAnsi="Times New Roman" w:cs="Times New Roman"/>
          <w:lang w:val="es-MX"/>
        </w:rPr>
        <w:t xml:space="preserve"> crecimiento de l</w:t>
      </w:r>
      <w:r w:rsidRPr="006A08A7">
        <w:rPr>
          <w:rFonts w:ascii="Times New Roman" w:hAnsi="Times New Roman" w:cs="Times New Roman"/>
          <w:lang w:val="es-MX"/>
        </w:rPr>
        <w:t xml:space="preserve">a inversión real directa, la cual </w:t>
      </w:r>
      <w:r w:rsidR="006220B2">
        <w:rPr>
          <w:rFonts w:ascii="Times New Roman" w:hAnsi="Times New Roman" w:cs="Times New Roman"/>
          <w:lang w:val="es-MX"/>
        </w:rPr>
        <w:t xml:space="preserve">reporta un </w:t>
      </w:r>
      <w:r w:rsidR="006220B2">
        <w:rPr>
          <w:rFonts w:ascii="Times New Roman" w:hAnsi="Times New Roman" w:cs="Times New Roman"/>
          <w:lang w:val="es-MX"/>
        </w:rPr>
        <w:lastRenderedPageBreak/>
        <w:t xml:space="preserve">crecimiento de </w:t>
      </w:r>
      <w:r w:rsidR="0078119C">
        <w:rPr>
          <w:rFonts w:ascii="Times New Roman" w:hAnsi="Times New Roman" w:cs="Times New Roman"/>
          <w:lang w:val="es-MX"/>
        </w:rPr>
        <w:t>34</w:t>
      </w:r>
      <w:r w:rsidR="006220B2">
        <w:rPr>
          <w:rFonts w:ascii="Times New Roman" w:hAnsi="Times New Roman" w:cs="Times New Roman"/>
          <w:lang w:val="es-MX"/>
        </w:rPr>
        <w:t>.</w:t>
      </w:r>
      <w:r w:rsidR="0078119C">
        <w:rPr>
          <w:rFonts w:ascii="Times New Roman" w:hAnsi="Times New Roman" w:cs="Times New Roman"/>
          <w:lang w:val="es-MX"/>
        </w:rPr>
        <w:t>9</w:t>
      </w:r>
      <w:r w:rsidR="006220B2">
        <w:rPr>
          <w:rFonts w:ascii="Times New Roman" w:hAnsi="Times New Roman" w:cs="Times New Roman"/>
          <w:lang w:val="es-MX"/>
        </w:rPr>
        <w:t>%,</w:t>
      </w:r>
      <w:r w:rsidR="0078119C">
        <w:rPr>
          <w:rFonts w:ascii="Times New Roman" w:hAnsi="Times New Roman" w:cs="Times New Roman"/>
          <w:lang w:val="es-MX"/>
        </w:rPr>
        <w:t xml:space="preserve"> por este rubro se han ejecutado Q3,436.7 millones, ejecutándose Q889.2 millones más respecto al año anterior.</w:t>
      </w:r>
    </w:p>
    <w:p w:rsidR="0078119C" w:rsidRDefault="0078119C" w:rsidP="009A0590">
      <w:pPr>
        <w:pStyle w:val="Sinespaciado"/>
        <w:jc w:val="both"/>
        <w:rPr>
          <w:rFonts w:ascii="Times New Roman" w:hAnsi="Times New Roman" w:cs="Times New Roman"/>
          <w:lang w:val="es-MX"/>
        </w:rPr>
      </w:pPr>
    </w:p>
    <w:p w:rsidR="003D289B" w:rsidRDefault="003D289B" w:rsidP="003D289B">
      <w:pPr>
        <w:pStyle w:val="Sinespaciado"/>
        <w:jc w:val="both"/>
        <w:rPr>
          <w:rFonts w:ascii="Times New Roman" w:hAnsi="Times New Roman" w:cs="Times New Roman"/>
          <w:lang w:val="es-MX"/>
        </w:rPr>
      </w:pPr>
      <w:r w:rsidRPr="006220B2">
        <w:rPr>
          <w:rFonts w:ascii="Times New Roman" w:hAnsi="Times New Roman" w:cs="Times New Roman"/>
          <w:lang w:val="es-MX"/>
        </w:rPr>
        <w:t xml:space="preserve">Respecto a la ejecución total del gasto, la cual incluye amortizaciones de la </w:t>
      </w:r>
      <w:r w:rsidR="003F609E">
        <w:rPr>
          <w:rFonts w:ascii="Times New Roman" w:hAnsi="Times New Roman" w:cs="Times New Roman"/>
          <w:lang w:val="es-MX"/>
        </w:rPr>
        <w:t>deuda pública, al mes de octu</w:t>
      </w:r>
      <w:r w:rsidRPr="006220B2">
        <w:rPr>
          <w:rFonts w:ascii="Times New Roman" w:hAnsi="Times New Roman" w:cs="Times New Roman"/>
          <w:lang w:val="es-MX"/>
        </w:rPr>
        <w:t>bre se situó en Q</w:t>
      </w:r>
      <w:r w:rsidR="003F609E">
        <w:rPr>
          <w:rFonts w:ascii="Times New Roman" w:hAnsi="Times New Roman" w:cs="Times New Roman"/>
          <w:lang w:val="es-MX"/>
        </w:rPr>
        <w:t>66</w:t>
      </w:r>
      <w:r w:rsidRPr="006220B2">
        <w:rPr>
          <w:rFonts w:ascii="Times New Roman" w:hAnsi="Times New Roman" w:cs="Times New Roman"/>
          <w:lang w:val="es-MX"/>
        </w:rPr>
        <w:t>,</w:t>
      </w:r>
      <w:r w:rsidR="003F609E">
        <w:rPr>
          <w:rFonts w:ascii="Times New Roman" w:hAnsi="Times New Roman" w:cs="Times New Roman"/>
          <w:lang w:val="es-MX"/>
        </w:rPr>
        <w:t>2</w:t>
      </w:r>
      <w:r w:rsidRPr="006220B2">
        <w:rPr>
          <w:rFonts w:ascii="Times New Roman" w:hAnsi="Times New Roman" w:cs="Times New Roman"/>
          <w:lang w:val="es-MX"/>
        </w:rPr>
        <w:t>1</w:t>
      </w:r>
      <w:r w:rsidR="003F609E">
        <w:rPr>
          <w:rFonts w:ascii="Times New Roman" w:hAnsi="Times New Roman" w:cs="Times New Roman"/>
          <w:lang w:val="es-MX"/>
        </w:rPr>
        <w:t>2.5</w:t>
      </w:r>
      <w:r w:rsidRPr="006220B2">
        <w:rPr>
          <w:rFonts w:ascii="Times New Roman" w:hAnsi="Times New Roman" w:cs="Times New Roman"/>
          <w:lang w:val="es-MX"/>
        </w:rPr>
        <w:t xml:space="preserve"> millones, con un grado de ejecución de 7</w:t>
      </w:r>
      <w:r w:rsidR="003F609E">
        <w:rPr>
          <w:rFonts w:ascii="Times New Roman" w:hAnsi="Times New Roman" w:cs="Times New Roman"/>
          <w:lang w:val="es-MX"/>
        </w:rPr>
        <w:t>5.0</w:t>
      </w:r>
      <w:r w:rsidRPr="006220B2">
        <w:rPr>
          <w:rFonts w:ascii="Times New Roman" w:hAnsi="Times New Roman" w:cs="Times New Roman"/>
          <w:lang w:val="es-MX"/>
        </w:rPr>
        <w:t>%, este nivel se encuentra por arriba de la ejecución promedio de los últimos 5 años (</w:t>
      </w:r>
      <w:r w:rsidR="003F609E">
        <w:rPr>
          <w:rFonts w:ascii="Times New Roman" w:hAnsi="Times New Roman" w:cs="Times New Roman"/>
          <w:lang w:val="es-MX"/>
        </w:rPr>
        <w:t>7</w:t>
      </w:r>
      <w:r w:rsidRPr="006220B2">
        <w:rPr>
          <w:rFonts w:ascii="Times New Roman" w:hAnsi="Times New Roman" w:cs="Times New Roman"/>
          <w:lang w:val="es-MX"/>
        </w:rPr>
        <w:t>2</w:t>
      </w:r>
      <w:r w:rsidR="003F609E">
        <w:rPr>
          <w:rFonts w:ascii="Times New Roman" w:hAnsi="Times New Roman" w:cs="Times New Roman"/>
          <w:lang w:val="es-MX"/>
        </w:rPr>
        <w:t>.4</w:t>
      </w:r>
      <w:r w:rsidRPr="006220B2">
        <w:rPr>
          <w:rFonts w:ascii="Times New Roman" w:hAnsi="Times New Roman" w:cs="Times New Roman"/>
          <w:lang w:val="es-MX"/>
        </w:rPr>
        <w:t>%)</w:t>
      </w:r>
      <w:r w:rsidR="003F609E">
        <w:rPr>
          <w:rFonts w:ascii="Times New Roman" w:hAnsi="Times New Roman" w:cs="Times New Roman"/>
          <w:lang w:val="es-MX"/>
        </w:rPr>
        <w:t xml:space="preserve"> en 2.6%</w:t>
      </w:r>
      <w:r w:rsidRPr="006220B2">
        <w:rPr>
          <w:rFonts w:ascii="Times New Roman" w:hAnsi="Times New Roman" w:cs="Times New Roman"/>
          <w:lang w:val="es-MX"/>
        </w:rPr>
        <w:t xml:space="preserve"> y es superior a la reportada en los </w:t>
      </w:r>
      <w:r w:rsidR="003F609E">
        <w:rPr>
          <w:rFonts w:ascii="Times New Roman" w:hAnsi="Times New Roman" w:cs="Times New Roman"/>
          <w:lang w:val="es-MX"/>
        </w:rPr>
        <w:t>5</w:t>
      </w:r>
      <w:r w:rsidRPr="006220B2">
        <w:rPr>
          <w:rFonts w:ascii="Times New Roman" w:hAnsi="Times New Roman" w:cs="Times New Roman"/>
          <w:lang w:val="es-MX"/>
        </w:rPr>
        <w:t xml:space="preserve"> años anteriores.</w:t>
      </w:r>
      <w:r>
        <w:rPr>
          <w:rFonts w:ascii="Times New Roman" w:hAnsi="Times New Roman" w:cs="Times New Roman"/>
          <w:lang w:val="es-MX"/>
        </w:rPr>
        <w:t xml:space="preserve">  </w:t>
      </w:r>
    </w:p>
    <w:p w:rsidR="003D289B" w:rsidRDefault="003D289B" w:rsidP="009A0590">
      <w:pPr>
        <w:pStyle w:val="Sinespaciado"/>
        <w:jc w:val="both"/>
        <w:rPr>
          <w:rFonts w:ascii="Times New Roman" w:hAnsi="Times New Roman" w:cs="Times New Roman"/>
          <w:lang w:val="es-MX"/>
        </w:rPr>
      </w:pPr>
    </w:p>
    <w:p w:rsidR="00ED5E91" w:rsidRDefault="00056315" w:rsidP="00F92177">
      <w:pPr>
        <w:pStyle w:val="Sinespaciado"/>
        <w:jc w:val="both"/>
        <w:rPr>
          <w:rFonts w:ascii="Times New Roman" w:hAnsi="Times New Roman" w:cs="Times New Roman"/>
        </w:rPr>
      </w:pPr>
      <w:r>
        <w:rPr>
          <w:rFonts w:ascii="Times New Roman" w:hAnsi="Times New Roman" w:cs="Times New Roman"/>
        </w:rPr>
        <w:t xml:space="preserve">A nivel del gasto público por entidades, </w:t>
      </w:r>
      <w:r w:rsidR="007A21A5">
        <w:rPr>
          <w:rFonts w:ascii="Times New Roman" w:hAnsi="Times New Roman" w:cs="Times New Roman"/>
        </w:rPr>
        <w:t>muestran</w:t>
      </w:r>
      <w:r>
        <w:rPr>
          <w:rFonts w:ascii="Times New Roman" w:hAnsi="Times New Roman" w:cs="Times New Roman"/>
        </w:rPr>
        <w:t xml:space="preserve"> el </w:t>
      </w:r>
      <w:r w:rsidR="007A21A5">
        <w:rPr>
          <w:rFonts w:ascii="Times New Roman" w:hAnsi="Times New Roman" w:cs="Times New Roman"/>
        </w:rPr>
        <w:t>mayor</w:t>
      </w:r>
      <w:r w:rsidR="00CC71E8">
        <w:rPr>
          <w:rFonts w:ascii="Times New Roman" w:hAnsi="Times New Roman" w:cs="Times New Roman"/>
        </w:rPr>
        <w:t xml:space="preserve"> </w:t>
      </w:r>
      <w:r>
        <w:rPr>
          <w:rFonts w:ascii="Times New Roman" w:hAnsi="Times New Roman" w:cs="Times New Roman"/>
        </w:rPr>
        <w:t xml:space="preserve">nivel de </w:t>
      </w:r>
      <w:r w:rsidR="002A4BC3">
        <w:rPr>
          <w:rFonts w:ascii="Times New Roman" w:hAnsi="Times New Roman" w:cs="Times New Roman"/>
        </w:rPr>
        <w:t>ejecución</w:t>
      </w:r>
      <w:r w:rsidR="00985486">
        <w:rPr>
          <w:rFonts w:ascii="Times New Roman" w:hAnsi="Times New Roman" w:cs="Times New Roman"/>
        </w:rPr>
        <w:t xml:space="preserve"> </w:t>
      </w:r>
      <w:r w:rsidR="003F609E">
        <w:rPr>
          <w:rFonts w:ascii="Times New Roman" w:hAnsi="Times New Roman" w:cs="Times New Roman"/>
        </w:rPr>
        <w:t xml:space="preserve">la Presidencia (80.3%), </w:t>
      </w:r>
      <w:r w:rsidR="003F609E" w:rsidRPr="003F609E">
        <w:rPr>
          <w:rFonts w:ascii="Times New Roman" w:hAnsi="Times New Roman" w:cs="Times New Roman"/>
        </w:rPr>
        <w:t>Servicio de la Deuda Pública (78.8%)</w:t>
      </w:r>
      <w:r w:rsidR="003F609E">
        <w:rPr>
          <w:rFonts w:ascii="Times New Roman" w:hAnsi="Times New Roman" w:cs="Times New Roman"/>
        </w:rPr>
        <w:t>, Obligaciones del Estado (77</w:t>
      </w:r>
      <w:r w:rsidR="0011621A">
        <w:rPr>
          <w:rFonts w:ascii="Times New Roman" w:hAnsi="Times New Roman" w:cs="Times New Roman"/>
        </w:rPr>
        <w:t>.</w:t>
      </w:r>
      <w:r w:rsidR="003F609E">
        <w:rPr>
          <w:rFonts w:ascii="Times New Roman" w:hAnsi="Times New Roman" w:cs="Times New Roman"/>
        </w:rPr>
        <w:t>7</w:t>
      </w:r>
      <w:r w:rsidR="00FE479F">
        <w:rPr>
          <w:rFonts w:ascii="Times New Roman" w:hAnsi="Times New Roman" w:cs="Times New Roman"/>
        </w:rPr>
        <w:t>%)</w:t>
      </w:r>
      <w:r w:rsidR="003F609E">
        <w:rPr>
          <w:rFonts w:ascii="Times New Roman" w:hAnsi="Times New Roman" w:cs="Times New Roman"/>
        </w:rPr>
        <w:t>, Educación (77.5%)</w:t>
      </w:r>
      <w:r w:rsidR="00FE479F">
        <w:rPr>
          <w:rFonts w:ascii="Times New Roman" w:hAnsi="Times New Roman" w:cs="Times New Roman"/>
        </w:rPr>
        <w:t xml:space="preserve"> y</w:t>
      </w:r>
      <w:r w:rsidR="003F609E">
        <w:rPr>
          <w:rFonts w:ascii="Times New Roman" w:hAnsi="Times New Roman" w:cs="Times New Roman"/>
        </w:rPr>
        <w:t xml:space="preserve"> la PGN (75.1%), siendo su </w:t>
      </w:r>
      <w:r w:rsidR="0011621A">
        <w:rPr>
          <w:rFonts w:ascii="Times New Roman" w:hAnsi="Times New Roman" w:cs="Times New Roman"/>
        </w:rPr>
        <w:t xml:space="preserve">ejecución </w:t>
      </w:r>
      <w:r w:rsidR="00F43E83">
        <w:rPr>
          <w:rFonts w:ascii="Times New Roman" w:hAnsi="Times New Roman" w:cs="Times New Roman"/>
        </w:rPr>
        <w:t xml:space="preserve">superior a la </w:t>
      </w:r>
      <w:r w:rsidR="00FE479F">
        <w:rPr>
          <w:rFonts w:ascii="Times New Roman" w:hAnsi="Times New Roman" w:cs="Times New Roman"/>
        </w:rPr>
        <w:t>ejecución institucional total (</w:t>
      </w:r>
      <w:r w:rsidR="003F609E">
        <w:rPr>
          <w:rFonts w:ascii="Times New Roman" w:hAnsi="Times New Roman" w:cs="Times New Roman"/>
        </w:rPr>
        <w:t>75</w:t>
      </w:r>
      <w:r w:rsidR="00F43E83">
        <w:rPr>
          <w:rFonts w:ascii="Times New Roman" w:hAnsi="Times New Roman" w:cs="Times New Roman"/>
        </w:rPr>
        <w:t>.</w:t>
      </w:r>
      <w:r w:rsidR="003F609E">
        <w:rPr>
          <w:rFonts w:ascii="Times New Roman" w:hAnsi="Times New Roman" w:cs="Times New Roman"/>
        </w:rPr>
        <w:t>0</w:t>
      </w:r>
      <w:r w:rsidR="00F43E83">
        <w:rPr>
          <w:rFonts w:ascii="Times New Roman" w:hAnsi="Times New Roman" w:cs="Times New Roman"/>
        </w:rPr>
        <w:t xml:space="preserve">%). </w:t>
      </w:r>
      <w:r>
        <w:rPr>
          <w:rFonts w:ascii="Times New Roman" w:hAnsi="Times New Roman" w:cs="Times New Roman"/>
        </w:rPr>
        <w:t xml:space="preserve"> </w:t>
      </w:r>
      <w:r w:rsidR="002A4BC3">
        <w:rPr>
          <w:rFonts w:ascii="Times New Roman" w:hAnsi="Times New Roman" w:cs="Times New Roman"/>
        </w:rPr>
        <w:t xml:space="preserve"> </w:t>
      </w:r>
      <w:r w:rsidR="00180810">
        <w:rPr>
          <w:rFonts w:ascii="Times New Roman" w:hAnsi="Times New Roman" w:cs="Times New Roman"/>
        </w:rPr>
        <w:t xml:space="preserve"> </w:t>
      </w:r>
      <w:r w:rsidR="00CC71E8">
        <w:rPr>
          <w:rFonts w:ascii="Times New Roman" w:hAnsi="Times New Roman" w:cs="Times New Roman"/>
        </w:rPr>
        <w:t xml:space="preserve"> </w:t>
      </w:r>
    </w:p>
    <w:p w:rsidR="00ED5E91" w:rsidRDefault="00ED5E91" w:rsidP="00F92177">
      <w:pPr>
        <w:pStyle w:val="Sinespaciado"/>
        <w:jc w:val="both"/>
        <w:rPr>
          <w:rFonts w:ascii="Times New Roman" w:hAnsi="Times New Roman" w:cs="Times New Roman"/>
        </w:rPr>
      </w:pPr>
    </w:p>
    <w:p w:rsidR="0011621A" w:rsidRDefault="00CC71E8" w:rsidP="00F92177">
      <w:pPr>
        <w:pStyle w:val="Sinespaciado"/>
        <w:jc w:val="both"/>
        <w:rPr>
          <w:rFonts w:ascii="Times New Roman" w:hAnsi="Times New Roman" w:cs="Times New Roman"/>
        </w:rPr>
      </w:pPr>
      <w:r>
        <w:rPr>
          <w:rFonts w:ascii="Times New Roman" w:hAnsi="Times New Roman" w:cs="Times New Roman"/>
        </w:rPr>
        <w:t>Por su parte</w:t>
      </w:r>
      <w:r w:rsidR="004471AC">
        <w:rPr>
          <w:rFonts w:ascii="Times New Roman" w:hAnsi="Times New Roman" w:cs="Times New Roman"/>
        </w:rPr>
        <w:t>,</w:t>
      </w:r>
      <w:r>
        <w:rPr>
          <w:rFonts w:ascii="Times New Roman" w:hAnsi="Times New Roman" w:cs="Times New Roman"/>
        </w:rPr>
        <w:t xml:space="preserve"> </w:t>
      </w:r>
      <w:r w:rsidR="0011621A">
        <w:rPr>
          <w:rFonts w:ascii="Times New Roman" w:hAnsi="Times New Roman" w:cs="Times New Roman"/>
        </w:rPr>
        <w:t>las entidades que se encuentran</w:t>
      </w:r>
      <w:r w:rsidR="007B0A12">
        <w:rPr>
          <w:rFonts w:ascii="Times New Roman" w:hAnsi="Times New Roman" w:cs="Times New Roman"/>
        </w:rPr>
        <w:t xml:space="preserve"> a la cola de la ejecución son </w:t>
      </w:r>
      <w:r w:rsidR="0011621A">
        <w:rPr>
          <w:rFonts w:ascii="Times New Roman" w:hAnsi="Times New Roman" w:cs="Times New Roman"/>
        </w:rPr>
        <w:t>Cultura y Deportes (</w:t>
      </w:r>
      <w:r w:rsidR="007B0A12">
        <w:rPr>
          <w:rFonts w:ascii="Times New Roman" w:hAnsi="Times New Roman" w:cs="Times New Roman"/>
        </w:rPr>
        <w:t>5</w:t>
      </w:r>
      <w:r w:rsidR="003F609E">
        <w:rPr>
          <w:rFonts w:ascii="Times New Roman" w:hAnsi="Times New Roman" w:cs="Times New Roman"/>
        </w:rPr>
        <w:t>7</w:t>
      </w:r>
      <w:r w:rsidR="0011621A">
        <w:rPr>
          <w:rFonts w:ascii="Times New Roman" w:hAnsi="Times New Roman" w:cs="Times New Roman"/>
        </w:rPr>
        <w:t>.</w:t>
      </w:r>
      <w:r w:rsidR="003F609E">
        <w:rPr>
          <w:rFonts w:ascii="Times New Roman" w:hAnsi="Times New Roman" w:cs="Times New Roman"/>
        </w:rPr>
        <w:t>0</w:t>
      </w:r>
      <w:r w:rsidR="0011621A">
        <w:rPr>
          <w:rFonts w:ascii="Times New Roman" w:hAnsi="Times New Roman" w:cs="Times New Roman"/>
        </w:rPr>
        <w:t>%)</w:t>
      </w:r>
      <w:r w:rsidR="007B0A12">
        <w:rPr>
          <w:rFonts w:ascii="Times New Roman" w:hAnsi="Times New Roman" w:cs="Times New Roman"/>
        </w:rPr>
        <w:t>,</w:t>
      </w:r>
      <w:r w:rsidR="007B0A12" w:rsidRPr="007B0A12">
        <w:rPr>
          <w:rFonts w:ascii="Times New Roman" w:hAnsi="Times New Roman" w:cs="Times New Roman"/>
        </w:rPr>
        <w:t xml:space="preserve"> </w:t>
      </w:r>
      <w:r w:rsidR="007B0A12">
        <w:rPr>
          <w:rFonts w:ascii="Times New Roman" w:hAnsi="Times New Roman" w:cs="Times New Roman"/>
        </w:rPr>
        <w:t>Desarrollo Social (</w:t>
      </w:r>
      <w:r w:rsidR="003F609E">
        <w:rPr>
          <w:rFonts w:ascii="Times New Roman" w:hAnsi="Times New Roman" w:cs="Times New Roman"/>
        </w:rPr>
        <w:t>60</w:t>
      </w:r>
      <w:r w:rsidR="007B0A12">
        <w:rPr>
          <w:rFonts w:ascii="Times New Roman" w:hAnsi="Times New Roman" w:cs="Times New Roman"/>
        </w:rPr>
        <w:t>.9%),</w:t>
      </w:r>
      <w:r w:rsidR="007D1984">
        <w:rPr>
          <w:rFonts w:ascii="Times New Roman" w:hAnsi="Times New Roman" w:cs="Times New Roman"/>
        </w:rPr>
        <w:t xml:space="preserve"> </w:t>
      </w:r>
      <w:r w:rsidR="007B0A12">
        <w:rPr>
          <w:rFonts w:ascii="Times New Roman" w:hAnsi="Times New Roman" w:cs="Times New Roman"/>
        </w:rPr>
        <w:t>Ambiente y Recursos Naturales (</w:t>
      </w:r>
      <w:r w:rsidR="007D1984">
        <w:rPr>
          <w:rFonts w:ascii="Times New Roman" w:hAnsi="Times New Roman" w:cs="Times New Roman"/>
        </w:rPr>
        <w:t>61</w:t>
      </w:r>
      <w:r w:rsidR="007B0A12">
        <w:rPr>
          <w:rFonts w:ascii="Times New Roman" w:hAnsi="Times New Roman" w:cs="Times New Roman"/>
        </w:rPr>
        <w:t>.</w:t>
      </w:r>
      <w:r w:rsidR="007D1984">
        <w:rPr>
          <w:rFonts w:ascii="Times New Roman" w:hAnsi="Times New Roman" w:cs="Times New Roman"/>
        </w:rPr>
        <w:t>3</w:t>
      </w:r>
      <w:r w:rsidR="007B0A12">
        <w:rPr>
          <w:rFonts w:ascii="Times New Roman" w:hAnsi="Times New Roman" w:cs="Times New Roman"/>
        </w:rPr>
        <w:t>%)</w:t>
      </w:r>
      <w:r w:rsidR="007D1984">
        <w:rPr>
          <w:rFonts w:ascii="Times New Roman" w:hAnsi="Times New Roman" w:cs="Times New Roman"/>
        </w:rPr>
        <w:t xml:space="preserve"> y Finanzas Públicas (63.8%)</w:t>
      </w:r>
      <w:r w:rsidR="007B0A12" w:rsidRPr="007D1984">
        <w:rPr>
          <w:rFonts w:ascii="Times New Roman" w:hAnsi="Times New Roman" w:cs="Times New Roman"/>
        </w:rPr>
        <w:t>.</w:t>
      </w:r>
      <w:r w:rsidR="007B0A12">
        <w:rPr>
          <w:rFonts w:ascii="Times New Roman" w:hAnsi="Times New Roman" w:cs="Times New Roman"/>
        </w:rPr>
        <w:t xml:space="preserve"> </w:t>
      </w:r>
      <w:r w:rsidR="0011621A">
        <w:rPr>
          <w:rFonts w:ascii="Times New Roman" w:hAnsi="Times New Roman" w:cs="Times New Roman"/>
        </w:rPr>
        <w:t xml:space="preserve"> </w:t>
      </w:r>
    </w:p>
    <w:p w:rsidR="0011621A" w:rsidRDefault="0011621A" w:rsidP="00F92177">
      <w:pPr>
        <w:pStyle w:val="Sinespaciado"/>
        <w:jc w:val="both"/>
        <w:rPr>
          <w:rFonts w:ascii="Times New Roman" w:hAnsi="Times New Roman" w:cs="Times New Roman"/>
        </w:rPr>
      </w:pPr>
    </w:p>
    <w:p w:rsidR="00BD7DFE" w:rsidRDefault="00C35555" w:rsidP="00F92177">
      <w:pPr>
        <w:pStyle w:val="Sinespaciado"/>
        <w:jc w:val="both"/>
        <w:rPr>
          <w:rFonts w:ascii="Times New Roman" w:hAnsi="Times New Roman" w:cs="Times New Roman"/>
        </w:rPr>
      </w:pPr>
      <w:r>
        <w:rPr>
          <w:rFonts w:ascii="Times New Roman" w:hAnsi="Times New Roman" w:cs="Times New Roman"/>
        </w:rPr>
        <w:t xml:space="preserve">Todas las entidades reportan avances en su ejecución respecto al año previo, </w:t>
      </w:r>
      <w:r w:rsidR="00BD7DFE">
        <w:rPr>
          <w:rFonts w:ascii="Times New Roman" w:hAnsi="Times New Roman" w:cs="Times New Roman"/>
        </w:rPr>
        <w:t xml:space="preserve">a excepción del Ministerio de Gobernación, el cual muestra un retroceso del </w:t>
      </w:r>
      <w:r w:rsidR="007D1984">
        <w:rPr>
          <w:rFonts w:ascii="Times New Roman" w:hAnsi="Times New Roman" w:cs="Times New Roman"/>
        </w:rPr>
        <w:t>4</w:t>
      </w:r>
      <w:r w:rsidR="00BD7DFE">
        <w:rPr>
          <w:rFonts w:ascii="Times New Roman" w:hAnsi="Times New Roman" w:cs="Times New Roman"/>
        </w:rPr>
        <w:t>.</w:t>
      </w:r>
      <w:r w:rsidR="007D1984">
        <w:rPr>
          <w:rFonts w:ascii="Times New Roman" w:hAnsi="Times New Roman" w:cs="Times New Roman"/>
        </w:rPr>
        <w:t>2</w:t>
      </w:r>
      <w:r w:rsidR="00BD7DFE">
        <w:rPr>
          <w:rFonts w:ascii="Times New Roman" w:hAnsi="Times New Roman" w:cs="Times New Roman"/>
        </w:rPr>
        <w:t>% respecto al año previo</w:t>
      </w:r>
      <w:r w:rsidR="007D1984">
        <w:rPr>
          <w:rFonts w:ascii="Times New Roman" w:hAnsi="Times New Roman" w:cs="Times New Roman"/>
        </w:rPr>
        <w:t>, es decir, dicho Ministerio ha ejecutado Q156.3 millones menos</w:t>
      </w:r>
      <w:r w:rsidR="00BD7DFE">
        <w:rPr>
          <w:rFonts w:ascii="Times New Roman" w:hAnsi="Times New Roman" w:cs="Times New Roman"/>
        </w:rPr>
        <w:t xml:space="preserve">. </w:t>
      </w:r>
    </w:p>
    <w:p w:rsidR="00BD7DFE" w:rsidRDefault="00BD7DFE" w:rsidP="00F92177">
      <w:pPr>
        <w:pStyle w:val="Sinespaciado"/>
        <w:jc w:val="both"/>
        <w:rPr>
          <w:rFonts w:ascii="Times New Roman" w:hAnsi="Times New Roman" w:cs="Times New Roman"/>
        </w:rPr>
      </w:pPr>
    </w:p>
    <w:p w:rsidR="002D7D4C" w:rsidRDefault="00BD7DFE" w:rsidP="00F92177">
      <w:pPr>
        <w:pStyle w:val="Sinespaciado"/>
        <w:jc w:val="both"/>
        <w:rPr>
          <w:rFonts w:ascii="Times New Roman" w:hAnsi="Times New Roman" w:cs="Times New Roman"/>
        </w:rPr>
      </w:pPr>
      <w:r>
        <w:rPr>
          <w:rFonts w:ascii="Times New Roman" w:hAnsi="Times New Roman" w:cs="Times New Roman"/>
        </w:rPr>
        <w:t>En cuanto a crecimiento interanual, r</w:t>
      </w:r>
      <w:r w:rsidR="00C35555">
        <w:rPr>
          <w:rFonts w:ascii="Times New Roman" w:hAnsi="Times New Roman" w:cs="Times New Roman"/>
        </w:rPr>
        <w:t xml:space="preserve">esalta el caso del Ministerio de Comunicaciones con el mayor crecimiento siendo de </w:t>
      </w:r>
      <w:r w:rsidR="002D7D4C">
        <w:rPr>
          <w:rFonts w:ascii="Times New Roman" w:hAnsi="Times New Roman" w:cs="Times New Roman"/>
        </w:rPr>
        <w:t>24</w:t>
      </w:r>
      <w:r>
        <w:rPr>
          <w:rFonts w:ascii="Times New Roman" w:hAnsi="Times New Roman" w:cs="Times New Roman"/>
        </w:rPr>
        <w:t>.</w:t>
      </w:r>
      <w:r w:rsidR="002D7D4C">
        <w:rPr>
          <w:rFonts w:ascii="Times New Roman" w:hAnsi="Times New Roman" w:cs="Times New Roman"/>
        </w:rPr>
        <w:t>6</w:t>
      </w:r>
      <w:r w:rsidR="000C3ABA">
        <w:rPr>
          <w:rFonts w:ascii="Times New Roman" w:hAnsi="Times New Roman" w:cs="Times New Roman"/>
        </w:rPr>
        <w:t>%,</w:t>
      </w:r>
      <w:r w:rsidR="002D7D4C">
        <w:rPr>
          <w:rFonts w:ascii="Times New Roman" w:hAnsi="Times New Roman" w:cs="Times New Roman"/>
        </w:rPr>
        <w:t xml:space="preserve"> igual al reportado por el M</w:t>
      </w:r>
      <w:r w:rsidR="000C3ABA">
        <w:rPr>
          <w:rFonts w:ascii="Times New Roman" w:hAnsi="Times New Roman" w:cs="Times New Roman"/>
        </w:rPr>
        <w:t>inisterio de Sa</w:t>
      </w:r>
      <w:r w:rsidR="002D7D4C">
        <w:rPr>
          <w:rFonts w:ascii="Times New Roman" w:hAnsi="Times New Roman" w:cs="Times New Roman"/>
        </w:rPr>
        <w:t xml:space="preserve">lud Pública y Asistencia Social. </w:t>
      </w:r>
      <w:r w:rsidR="000C3ABA">
        <w:rPr>
          <w:rFonts w:ascii="Times New Roman" w:hAnsi="Times New Roman" w:cs="Times New Roman"/>
        </w:rPr>
        <w:t xml:space="preserve"> </w:t>
      </w:r>
    </w:p>
    <w:p w:rsidR="002D7D4C" w:rsidRDefault="002D7D4C" w:rsidP="00F92177">
      <w:pPr>
        <w:pStyle w:val="Sinespaciado"/>
        <w:jc w:val="both"/>
        <w:rPr>
          <w:rFonts w:ascii="Times New Roman" w:hAnsi="Times New Roman" w:cs="Times New Roman"/>
        </w:rPr>
      </w:pPr>
    </w:p>
    <w:p w:rsidR="00C35555" w:rsidRDefault="002D7D4C" w:rsidP="00F92177">
      <w:pPr>
        <w:pStyle w:val="Sinespaciado"/>
        <w:jc w:val="both"/>
        <w:rPr>
          <w:rFonts w:ascii="Times New Roman" w:hAnsi="Times New Roman" w:cs="Times New Roman"/>
        </w:rPr>
      </w:pPr>
      <w:r>
        <w:rPr>
          <w:rFonts w:ascii="Times New Roman" w:hAnsi="Times New Roman" w:cs="Times New Roman"/>
        </w:rPr>
        <w:t xml:space="preserve">En el caso del Ministerio de Comunicaciones, empezó el año reportando crecimientos interanuales bastante elevados, pero conforme ha avanzado el año, este se ha ido moderando. </w:t>
      </w:r>
    </w:p>
    <w:p w:rsidR="007D1984" w:rsidRDefault="007D1984" w:rsidP="00F92177">
      <w:pPr>
        <w:pStyle w:val="Sinespaciado"/>
        <w:jc w:val="both"/>
        <w:rPr>
          <w:rFonts w:ascii="Times New Roman" w:hAnsi="Times New Roman" w:cs="Times New Roman"/>
        </w:rPr>
      </w:pPr>
    </w:p>
    <w:p w:rsidR="00FC1C67" w:rsidRPr="00FC1C67" w:rsidRDefault="00FC1C67" w:rsidP="00FC1C67">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lastRenderedPageBreak/>
        <w:t>Grado de Ejecución por Entidad</w:t>
      </w:r>
    </w:p>
    <w:p w:rsidR="00FC1C67" w:rsidRPr="00FC1C67" w:rsidRDefault="00727A41" w:rsidP="00FC1C67">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w:t>
      </w:r>
      <w:r w:rsidR="007D1984">
        <w:rPr>
          <w:rFonts w:ascii="Times New Roman" w:hAnsi="Times New Roman" w:cs="Times New Roman"/>
          <w:sz w:val="18"/>
          <w:szCs w:val="18"/>
          <w:lang w:val="es-MX"/>
        </w:rPr>
        <w:t>1</w:t>
      </w:r>
      <w:r w:rsidR="00FC1C67" w:rsidRPr="00FC1C67">
        <w:rPr>
          <w:rFonts w:ascii="Times New Roman" w:hAnsi="Times New Roman" w:cs="Times New Roman"/>
          <w:sz w:val="18"/>
          <w:szCs w:val="18"/>
          <w:lang w:val="es-MX"/>
        </w:rPr>
        <w:t xml:space="preserve"> de </w:t>
      </w:r>
      <w:r w:rsidR="007D1984">
        <w:rPr>
          <w:rFonts w:ascii="Times New Roman" w:hAnsi="Times New Roman" w:cs="Times New Roman"/>
          <w:sz w:val="18"/>
          <w:szCs w:val="18"/>
          <w:lang w:val="es-MX"/>
        </w:rPr>
        <w:t>octu</w:t>
      </w:r>
      <w:r w:rsidR="008E2872">
        <w:rPr>
          <w:rFonts w:ascii="Times New Roman" w:hAnsi="Times New Roman" w:cs="Times New Roman"/>
          <w:sz w:val="18"/>
          <w:szCs w:val="18"/>
          <w:lang w:val="es-MX"/>
        </w:rPr>
        <w:t>bre</w:t>
      </w:r>
      <w:r w:rsidR="00FC1C67" w:rsidRPr="00FC1C67">
        <w:rPr>
          <w:rFonts w:ascii="Times New Roman" w:hAnsi="Times New Roman" w:cs="Times New Roman"/>
          <w:sz w:val="18"/>
          <w:szCs w:val="18"/>
          <w:lang w:val="es-MX"/>
        </w:rPr>
        <w:t xml:space="preserve"> de</w:t>
      </w:r>
      <w:r w:rsidR="00FC1C67">
        <w:rPr>
          <w:rFonts w:ascii="Times New Roman" w:hAnsi="Times New Roman" w:cs="Times New Roman"/>
          <w:sz w:val="18"/>
          <w:szCs w:val="18"/>
          <w:lang w:val="es-MX"/>
        </w:rPr>
        <w:t>l</w:t>
      </w:r>
      <w:r w:rsidR="00FC1C67" w:rsidRPr="00FC1C67">
        <w:rPr>
          <w:rFonts w:ascii="Times New Roman" w:hAnsi="Times New Roman" w:cs="Times New Roman"/>
          <w:sz w:val="18"/>
          <w:szCs w:val="18"/>
          <w:lang w:val="es-MX"/>
        </w:rPr>
        <w:t xml:space="preserve"> 2019</w:t>
      </w:r>
    </w:p>
    <w:p w:rsidR="00FC1C67" w:rsidRDefault="00F919C0" w:rsidP="00FC1C67">
      <w:pPr>
        <w:spacing w:after="0" w:line="240" w:lineRule="aut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698176" behindDoc="0" locked="0" layoutInCell="1" allowOverlap="1" wp14:anchorId="4ABC29B0" wp14:editId="2F98255F">
            <wp:simplePos x="0" y="0"/>
            <wp:positionH relativeFrom="column">
              <wp:posOffset>-110490</wp:posOffset>
            </wp:positionH>
            <wp:positionV relativeFrom="paragraph">
              <wp:posOffset>212090</wp:posOffset>
            </wp:positionV>
            <wp:extent cx="3001010" cy="3038475"/>
            <wp:effectExtent l="0" t="0" r="889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13016" b="3020"/>
                    <a:stretch/>
                  </pic:blipFill>
                  <pic:spPr bwMode="auto">
                    <a:xfrm>
                      <a:off x="0" y="0"/>
                      <a:ext cx="3001010" cy="303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C67" w:rsidRPr="00FC1C67">
        <w:rPr>
          <w:rFonts w:ascii="Times New Roman" w:hAnsi="Times New Roman" w:cs="Times New Roman"/>
          <w:sz w:val="18"/>
          <w:szCs w:val="18"/>
          <w:lang w:val="es-MX"/>
        </w:rPr>
        <w:t>Millones de quetzales</w:t>
      </w:r>
    </w:p>
    <w:p w:rsidR="007477E6" w:rsidRDefault="007477E6" w:rsidP="00401DB9">
      <w:pPr>
        <w:spacing w:after="0" w:line="240" w:lineRule="auto"/>
        <w:jc w:val="both"/>
        <w:rPr>
          <w:rFonts w:ascii="Times New Roman" w:hAnsi="Times New Roman" w:cs="Times New Roman"/>
          <w:sz w:val="16"/>
        </w:rPr>
      </w:pPr>
    </w:p>
    <w:p w:rsidR="00401DB9" w:rsidRPr="00401DB9" w:rsidRDefault="00401DB9" w:rsidP="00401DB9">
      <w:pPr>
        <w:spacing w:after="0" w:line="240" w:lineRule="auto"/>
        <w:jc w:val="both"/>
        <w:rPr>
          <w:rFonts w:ascii="Times New Roman" w:hAnsi="Times New Roman" w:cs="Times New Roman"/>
          <w:sz w:val="16"/>
        </w:rPr>
      </w:pPr>
      <w:r w:rsidRPr="00401DB9">
        <w:rPr>
          <w:rFonts w:ascii="Times New Roman" w:hAnsi="Times New Roman" w:cs="Times New Roman"/>
          <w:sz w:val="16"/>
        </w:rPr>
        <w:t>Fuente: Dirección de Análisis y Política Fiscal</w:t>
      </w:r>
    </w:p>
    <w:p w:rsidR="00FC1C67" w:rsidRPr="00401DB9" w:rsidRDefault="00FC1C67" w:rsidP="00180810">
      <w:pPr>
        <w:pStyle w:val="Sinespaciado"/>
        <w:jc w:val="center"/>
        <w:rPr>
          <w:rFonts w:ascii="Times New Roman" w:hAnsi="Times New Roman" w:cs="Times New Roman"/>
          <w:b/>
        </w:rPr>
      </w:pPr>
    </w:p>
    <w:p w:rsidR="005747C1" w:rsidRDefault="005134F8" w:rsidP="00C74885">
      <w:pPr>
        <w:pStyle w:val="Sinespaciado"/>
        <w:jc w:val="both"/>
        <w:rPr>
          <w:rFonts w:ascii="Times New Roman" w:hAnsi="Times New Roman" w:cs="Times New Roman"/>
          <w:lang w:val="es-MX"/>
        </w:rPr>
      </w:pPr>
      <w:r>
        <w:rPr>
          <w:rFonts w:ascii="Times New Roman" w:hAnsi="Times New Roman" w:cs="Times New Roman"/>
          <w:lang w:val="es-MX"/>
        </w:rPr>
        <w:t>En r</w:t>
      </w:r>
      <w:r w:rsidRPr="00C74885">
        <w:rPr>
          <w:rFonts w:ascii="Times New Roman" w:hAnsi="Times New Roman" w:cs="Times New Roman"/>
          <w:lang w:val="es-MX"/>
        </w:rPr>
        <w:t>elación</w:t>
      </w:r>
      <w:r w:rsidR="00C74885" w:rsidRPr="00C74885">
        <w:rPr>
          <w:rFonts w:ascii="Times New Roman" w:hAnsi="Times New Roman" w:cs="Times New Roman"/>
          <w:lang w:val="es-MX"/>
        </w:rPr>
        <w:t xml:space="preserve"> a</w:t>
      </w:r>
      <w:r w:rsidR="00C74885">
        <w:rPr>
          <w:rFonts w:ascii="Times New Roman" w:hAnsi="Times New Roman" w:cs="Times New Roman"/>
          <w:lang w:val="es-MX"/>
        </w:rPr>
        <w:t xml:space="preserve"> </w:t>
      </w:r>
      <w:r w:rsidR="00C74885" w:rsidRPr="00C74885">
        <w:rPr>
          <w:rFonts w:ascii="Times New Roman" w:hAnsi="Times New Roman" w:cs="Times New Roman"/>
          <w:lang w:val="es-MX"/>
        </w:rPr>
        <w:t>l</w:t>
      </w:r>
      <w:r w:rsidR="00C74885">
        <w:rPr>
          <w:rFonts w:ascii="Times New Roman" w:hAnsi="Times New Roman" w:cs="Times New Roman"/>
          <w:lang w:val="es-MX"/>
        </w:rPr>
        <w:t>a ejecución del</w:t>
      </w:r>
      <w:r w:rsidR="00C74885" w:rsidRPr="00C74885">
        <w:rPr>
          <w:rFonts w:ascii="Times New Roman" w:hAnsi="Times New Roman" w:cs="Times New Roman"/>
          <w:lang w:val="es-MX"/>
        </w:rPr>
        <w:t xml:space="preserve"> gasto social, </w:t>
      </w:r>
      <w:r w:rsidR="00C74885">
        <w:rPr>
          <w:rFonts w:ascii="Times New Roman" w:hAnsi="Times New Roman" w:cs="Times New Roman"/>
          <w:lang w:val="es-MX"/>
        </w:rPr>
        <w:t>que considera únicamente</w:t>
      </w:r>
      <w:r w:rsidR="00A9744D">
        <w:rPr>
          <w:rFonts w:ascii="Times New Roman" w:hAnsi="Times New Roman" w:cs="Times New Roman"/>
          <w:lang w:val="es-MX"/>
        </w:rPr>
        <w:t xml:space="preserve"> los sectores de</w:t>
      </w:r>
      <w:r w:rsidR="00C74885">
        <w:rPr>
          <w:rFonts w:ascii="Times New Roman" w:hAnsi="Times New Roman" w:cs="Times New Roman"/>
          <w:lang w:val="es-MX"/>
        </w:rPr>
        <w:t xml:space="preserve"> salud, educación y vivienda, </w:t>
      </w:r>
      <w:r w:rsidR="00ED5E91">
        <w:rPr>
          <w:rFonts w:ascii="Times New Roman" w:hAnsi="Times New Roman" w:cs="Times New Roman"/>
          <w:lang w:val="es-MX"/>
        </w:rPr>
        <w:t xml:space="preserve">se </w:t>
      </w:r>
      <w:r w:rsidR="00DA5682">
        <w:rPr>
          <w:rFonts w:ascii="Times New Roman" w:hAnsi="Times New Roman" w:cs="Times New Roman"/>
          <w:lang w:val="es-MX"/>
        </w:rPr>
        <w:t xml:space="preserve">reporta una ejecución de </w:t>
      </w:r>
      <w:r w:rsidR="00DB0B9E">
        <w:rPr>
          <w:rFonts w:ascii="Times New Roman" w:hAnsi="Times New Roman" w:cs="Times New Roman"/>
          <w:lang w:val="es-MX"/>
        </w:rPr>
        <w:t>73</w:t>
      </w:r>
      <w:r w:rsidR="00DA5682">
        <w:rPr>
          <w:rFonts w:ascii="Times New Roman" w:hAnsi="Times New Roman" w:cs="Times New Roman"/>
          <w:lang w:val="es-MX"/>
        </w:rPr>
        <w:t>.</w:t>
      </w:r>
      <w:r w:rsidR="00DB0B9E">
        <w:rPr>
          <w:rFonts w:ascii="Times New Roman" w:hAnsi="Times New Roman" w:cs="Times New Roman"/>
          <w:lang w:val="es-MX"/>
        </w:rPr>
        <w:t>5</w:t>
      </w:r>
      <w:r w:rsidR="005A3AE7">
        <w:rPr>
          <w:rFonts w:ascii="Times New Roman" w:hAnsi="Times New Roman" w:cs="Times New Roman"/>
          <w:lang w:val="es-MX"/>
        </w:rPr>
        <w:t xml:space="preserve">%, </w:t>
      </w:r>
      <w:r w:rsidR="00A9744D">
        <w:rPr>
          <w:rFonts w:ascii="Times New Roman" w:hAnsi="Times New Roman" w:cs="Times New Roman"/>
          <w:lang w:val="es-MX"/>
        </w:rPr>
        <w:t>e</w:t>
      </w:r>
      <w:r w:rsidR="00DB0B9E">
        <w:rPr>
          <w:rFonts w:ascii="Times New Roman" w:hAnsi="Times New Roman" w:cs="Times New Roman"/>
          <w:lang w:val="es-MX"/>
        </w:rPr>
        <w:t>l sector educación lidera con una</w:t>
      </w:r>
      <w:r w:rsidR="005A3AE7">
        <w:rPr>
          <w:rFonts w:ascii="Times New Roman" w:hAnsi="Times New Roman" w:cs="Times New Roman"/>
          <w:lang w:val="es-MX"/>
        </w:rPr>
        <w:t xml:space="preserve"> ejecución </w:t>
      </w:r>
      <w:r w:rsidR="00DB0B9E">
        <w:rPr>
          <w:rFonts w:ascii="Times New Roman" w:hAnsi="Times New Roman" w:cs="Times New Roman"/>
          <w:lang w:val="es-MX"/>
        </w:rPr>
        <w:t>de</w:t>
      </w:r>
      <w:r w:rsidR="005A3AE7">
        <w:rPr>
          <w:rFonts w:ascii="Times New Roman" w:hAnsi="Times New Roman" w:cs="Times New Roman"/>
          <w:lang w:val="es-MX"/>
        </w:rPr>
        <w:t xml:space="preserve"> </w:t>
      </w:r>
      <w:r w:rsidR="00DB0B9E">
        <w:rPr>
          <w:rFonts w:ascii="Times New Roman" w:hAnsi="Times New Roman" w:cs="Times New Roman"/>
          <w:lang w:val="es-MX"/>
        </w:rPr>
        <w:t>76</w:t>
      </w:r>
      <w:r w:rsidR="005A3AE7">
        <w:rPr>
          <w:rFonts w:ascii="Times New Roman" w:hAnsi="Times New Roman" w:cs="Times New Roman"/>
          <w:lang w:val="es-MX"/>
        </w:rPr>
        <w:t>.</w:t>
      </w:r>
      <w:r w:rsidR="00DB0B9E">
        <w:rPr>
          <w:rFonts w:ascii="Times New Roman" w:hAnsi="Times New Roman" w:cs="Times New Roman"/>
          <w:lang w:val="es-MX"/>
        </w:rPr>
        <w:t>4</w:t>
      </w:r>
      <w:r w:rsidR="005A3AE7">
        <w:rPr>
          <w:rFonts w:ascii="Times New Roman" w:hAnsi="Times New Roman" w:cs="Times New Roman"/>
          <w:lang w:val="es-MX"/>
        </w:rPr>
        <w:t>%,</w:t>
      </w:r>
      <w:r w:rsidR="005747C1">
        <w:rPr>
          <w:rFonts w:ascii="Times New Roman" w:hAnsi="Times New Roman" w:cs="Times New Roman"/>
          <w:lang w:val="es-MX"/>
        </w:rPr>
        <w:t xml:space="preserve"> seguido por el sector vivienda con </w:t>
      </w:r>
      <w:r w:rsidR="00DB0B9E">
        <w:rPr>
          <w:rFonts w:ascii="Times New Roman" w:hAnsi="Times New Roman" w:cs="Times New Roman"/>
          <w:lang w:val="es-MX"/>
        </w:rPr>
        <w:t>69</w:t>
      </w:r>
      <w:r w:rsidR="005747C1">
        <w:rPr>
          <w:rFonts w:ascii="Times New Roman" w:hAnsi="Times New Roman" w:cs="Times New Roman"/>
          <w:lang w:val="es-MX"/>
        </w:rPr>
        <w:t>.</w:t>
      </w:r>
      <w:r w:rsidR="00DB0B9E">
        <w:rPr>
          <w:rFonts w:ascii="Times New Roman" w:hAnsi="Times New Roman" w:cs="Times New Roman"/>
          <w:lang w:val="es-MX"/>
        </w:rPr>
        <w:t>7</w:t>
      </w:r>
      <w:r w:rsidR="005747C1">
        <w:rPr>
          <w:rFonts w:ascii="Times New Roman" w:hAnsi="Times New Roman" w:cs="Times New Roman"/>
          <w:lang w:val="es-MX"/>
        </w:rPr>
        <w:t>% y la salud p</w:t>
      </w:r>
      <w:r w:rsidR="00DB0B9E">
        <w:rPr>
          <w:rFonts w:ascii="Times New Roman" w:hAnsi="Times New Roman" w:cs="Times New Roman"/>
          <w:lang w:val="es-MX"/>
        </w:rPr>
        <w:t>ública y asistencia social con 68</w:t>
      </w:r>
      <w:r w:rsidR="005747C1">
        <w:rPr>
          <w:rFonts w:ascii="Times New Roman" w:hAnsi="Times New Roman" w:cs="Times New Roman"/>
          <w:lang w:val="es-MX"/>
        </w:rPr>
        <w:t>.</w:t>
      </w:r>
      <w:r w:rsidR="00DB0B9E">
        <w:rPr>
          <w:rFonts w:ascii="Times New Roman" w:hAnsi="Times New Roman" w:cs="Times New Roman"/>
          <w:lang w:val="es-MX"/>
        </w:rPr>
        <w:t>9</w:t>
      </w:r>
      <w:r w:rsidR="005747C1">
        <w:rPr>
          <w:rFonts w:ascii="Times New Roman" w:hAnsi="Times New Roman" w:cs="Times New Roman"/>
          <w:lang w:val="es-MX"/>
        </w:rPr>
        <w:t xml:space="preserve">%. </w:t>
      </w:r>
    </w:p>
    <w:p w:rsidR="005747C1" w:rsidRDefault="005747C1" w:rsidP="00C74885">
      <w:pPr>
        <w:pStyle w:val="Sinespaciado"/>
        <w:jc w:val="both"/>
        <w:rPr>
          <w:rFonts w:ascii="Times New Roman" w:hAnsi="Times New Roman" w:cs="Times New Roman"/>
          <w:lang w:val="es-MX"/>
        </w:rPr>
      </w:pPr>
    </w:p>
    <w:p w:rsidR="00DB0B9E" w:rsidRDefault="00DB0B9E" w:rsidP="00C74885">
      <w:pPr>
        <w:pStyle w:val="Sinespaciado"/>
        <w:jc w:val="both"/>
        <w:rPr>
          <w:rFonts w:ascii="Times New Roman" w:hAnsi="Times New Roman" w:cs="Times New Roman"/>
          <w:lang w:val="es-MX"/>
        </w:rPr>
      </w:pPr>
      <w:r>
        <w:rPr>
          <w:rFonts w:ascii="Times New Roman" w:hAnsi="Times New Roman" w:cs="Times New Roman"/>
          <w:lang w:val="es-MX"/>
        </w:rPr>
        <w:t xml:space="preserve">En el caso del sector educación, el rubro de la educación universitaria o superior reporta un nivel de ejecución de 88.5%, seguido por los servicios auxiliares de la educación con 79.8% y la educación preprimaria y primaria con 77.5%, siendo el rubro del sector que cuenta con el mayor presupuesto asignado. </w:t>
      </w:r>
      <w:r w:rsidR="00D31424">
        <w:rPr>
          <w:rFonts w:ascii="Times New Roman" w:hAnsi="Times New Roman" w:cs="Times New Roman"/>
          <w:lang w:val="es-MX"/>
        </w:rPr>
        <w:t xml:space="preserve">Respecto al año previo, se reporta un crecimiento de 13.9%. </w:t>
      </w:r>
    </w:p>
    <w:p w:rsidR="00DB0B9E" w:rsidRDefault="00DB0B9E" w:rsidP="00C74885">
      <w:pPr>
        <w:pStyle w:val="Sinespaciado"/>
        <w:jc w:val="both"/>
        <w:rPr>
          <w:rFonts w:ascii="Times New Roman" w:hAnsi="Times New Roman" w:cs="Times New Roman"/>
          <w:lang w:val="es-MX"/>
        </w:rPr>
      </w:pPr>
    </w:p>
    <w:p w:rsidR="00DB0B9E" w:rsidRDefault="005747C1" w:rsidP="005747C1">
      <w:pPr>
        <w:pStyle w:val="Sinespaciado"/>
        <w:jc w:val="both"/>
        <w:rPr>
          <w:rFonts w:ascii="Times New Roman" w:hAnsi="Times New Roman" w:cs="Times New Roman"/>
          <w:lang w:val="es-MX"/>
        </w:rPr>
      </w:pPr>
      <w:r>
        <w:rPr>
          <w:rFonts w:ascii="Times New Roman" w:hAnsi="Times New Roman" w:cs="Times New Roman"/>
          <w:lang w:val="es-MX"/>
        </w:rPr>
        <w:t xml:space="preserve">En el caso del sector vivienda, durante el año ha sufrido </w:t>
      </w:r>
      <w:r w:rsidR="00DB0B9E">
        <w:rPr>
          <w:rFonts w:ascii="Times New Roman" w:hAnsi="Times New Roman" w:cs="Times New Roman"/>
          <w:lang w:val="es-MX"/>
        </w:rPr>
        <w:t>recortes</w:t>
      </w:r>
      <w:r>
        <w:rPr>
          <w:rFonts w:ascii="Times New Roman" w:hAnsi="Times New Roman" w:cs="Times New Roman"/>
          <w:lang w:val="es-MX"/>
        </w:rPr>
        <w:t xml:space="preserve"> en el presupuesto</w:t>
      </w:r>
      <w:r w:rsidR="00DB0B9E">
        <w:rPr>
          <w:rFonts w:ascii="Times New Roman" w:hAnsi="Times New Roman" w:cs="Times New Roman"/>
          <w:lang w:val="es-MX"/>
        </w:rPr>
        <w:t xml:space="preserve"> por Q249.9 millones, de esa cuenta reporta u</w:t>
      </w:r>
      <w:r w:rsidR="00D31424">
        <w:rPr>
          <w:rFonts w:ascii="Times New Roman" w:hAnsi="Times New Roman" w:cs="Times New Roman"/>
          <w:lang w:val="es-MX"/>
        </w:rPr>
        <w:t xml:space="preserve">n </w:t>
      </w:r>
      <w:r w:rsidR="00D31424">
        <w:rPr>
          <w:rFonts w:ascii="Times New Roman" w:hAnsi="Times New Roman" w:cs="Times New Roman"/>
          <w:lang w:val="es-MX"/>
        </w:rPr>
        <w:lastRenderedPageBreak/>
        <w:t xml:space="preserve">nivel de ejecución superior al rubro de salud pública y seguridad interna. La ejecución acumulada de la vivienda es de Q250.7 millones, reportando un crecimiento interanual de 153% respecto a lo reportado en 2018.  </w:t>
      </w:r>
    </w:p>
    <w:p w:rsidR="00DB0B9E" w:rsidRDefault="00DB0B9E" w:rsidP="005747C1">
      <w:pPr>
        <w:pStyle w:val="Sinespaciado"/>
        <w:jc w:val="both"/>
        <w:rPr>
          <w:rFonts w:ascii="Times New Roman" w:hAnsi="Times New Roman" w:cs="Times New Roman"/>
          <w:lang w:val="es-MX"/>
        </w:rPr>
      </w:pPr>
    </w:p>
    <w:p w:rsidR="00D31424" w:rsidRDefault="00D31424" w:rsidP="00043889">
      <w:pPr>
        <w:pStyle w:val="Sinespaciado"/>
        <w:jc w:val="both"/>
        <w:rPr>
          <w:rFonts w:ascii="Times New Roman" w:hAnsi="Times New Roman" w:cs="Times New Roman"/>
          <w:lang w:val="es-MX"/>
        </w:rPr>
      </w:pPr>
      <w:r>
        <w:rPr>
          <w:rFonts w:ascii="Times New Roman" w:hAnsi="Times New Roman" w:cs="Times New Roman"/>
          <w:lang w:val="es-MX"/>
        </w:rPr>
        <w:t xml:space="preserve">En lo que respecta al rubro de salud y asistencia social, el rubro más importante correspondiente a los servicios de salud reporta una ejecución de 71.4%. El rubro </w:t>
      </w:r>
      <w:r w:rsidR="001674F6">
        <w:rPr>
          <w:rFonts w:ascii="Times New Roman" w:hAnsi="Times New Roman" w:cs="Times New Roman"/>
          <w:lang w:val="es-MX"/>
        </w:rPr>
        <w:t xml:space="preserve">total de la salud reporta un crecimiento interanual de 24.2%. </w:t>
      </w:r>
      <w:r>
        <w:rPr>
          <w:rFonts w:ascii="Times New Roman" w:hAnsi="Times New Roman" w:cs="Times New Roman"/>
          <w:lang w:val="es-MX"/>
        </w:rPr>
        <w:t xml:space="preserve"> </w:t>
      </w:r>
    </w:p>
    <w:p w:rsidR="00D31424" w:rsidRDefault="00D31424" w:rsidP="00043889">
      <w:pPr>
        <w:pStyle w:val="Sinespaciado"/>
        <w:jc w:val="both"/>
        <w:rPr>
          <w:rFonts w:ascii="Times New Roman" w:hAnsi="Times New Roman" w:cs="Times New Roman"/>
          <w:lang w:val="es-MX"/>
        </w:rPr>
      </w:pPr>
    </w:p>
    <w:p w:rsidR="00043889" w:rsidRDefault="00043889" w:rsidP="00043889">
      <w:pPr>
        <w:pStyle w:val="Sinespaciado"/>
        <w:jc w:val="both"/>
        <w:rPr>
          <w:rFonts w:ascii="Times New Roman" w:hAnsi="Times New Roman" w:cs="Times New Roman"/>
          <w:lang w:val="es-MX"/>
        </w:rPr>
      </w:pPr>
      <w:r w:rsidRPr="004E01B5">
        <w:rPr>
          <w:rFonts w:ascii="Times New Roman" w:hAnsi="Times New Roman" w:cs="Times New Roman"/>
          <w:lang w:val="es-MX"/>
        </w:rPr>
        <w:t>Al analizar la ejecución del gasto social respecto a lo</w:t>
      </w:r>
      <w:r>
        <w:rPr>
          <w:rFonts w:ascii="Times New Roman" w:hAnsi="Times New Roman" w:cs="Times New Roman"/>
          <w:lang w:val="es-MX"/>
        </w:rPr>
        <w:t xml:space="preserve"> observado</w:t>
      </w:r>
      <w:r w:rsidR="00BA73D9">
        <w:rPr>
          <w:rFonts w:ascii="Times New Roman" w:hAnsi="Times New Roman" w:cs="Times New Roman"/>
          <w:lang w:val="es-MX"/>
        </w:rPr>
        <w:t xml:space="preserve"> </w:t>
      </w:r>
      <w:r w:rsidR="001674F6">
        <w:rPr>
          <w:rFonts w:ascii="Times New Roman" w:hAnsi="Times New Roman" w:cs="Times New Roman"/>
          <w:lang w:val="es-MX"/>
        </w:rPr>
        <w:t>en el año</w:t>
      </w:r>
      <w:r>
        <w:rPr>
          <w:rFonts w:ascii="Times New Roman" w:hAnsi="Times New Roman" w:cs="Times New Roman"/>
          <w:lang w:val="es-MX"/>
        </w:rPr>
        <w:t xml:space="preserve"> previo, se observa</w:t>
      </w:r>
      <w:r w:rsidR="001674F6">
        <w:rPr>
          <w:rFonts w:ascii="Times New Roman" w:hAnsi="Times New Roman" w:cs="Times New Roman"/>
          <w:lang w:val="es-MX"/>
        </w:rPr>
        <w:t xml:space="preserve"> que los </w:t>
      </w:r>
      <w:r w:rsidR="001F396F">
        <w:rPr>
          <w:rFonts w:ascii="Times New Roman" w:hAnsi="Times New Roman" w:cs="Times New Roman"/>
          <w:lang w:val="es-MX"/>
        </w:rPr>
        <w:t xml:space="preserve">tres </w:t>
      </w:r>
      <w:r w:rsidR="001674F6">
        <w:rPr>
          <w:rFonts w:ascii="Times New Roman" w:hAnsi="Times New Roman" w:cs="Times New Roman"/>
          <w:lang w:val="es-MX"/>
        </w:rPr>
        <w:t>rubros que lo conforman reportan a</w:t>
      </w:r>
      <w:r>
        <w:rPr>
          <w:rFonts w:ascii="Times New Roman" w:hAnsi="Times New Roman" w:cs="Times New Roman"/>
          <w:lang w:val="es-MX"/>
        </w:rPr>
        <w:t>vance</w:t>
      </w:r>
      <w:r w:rsidR="001674F6">
        <w:rPr>
          <w:rFonts w:ascii="Times New Roman" w:hAnsi="Times New Roman" w:cs="Times New Roman"/>
          <w:lang w:val="es-MX"/>
        </w:rPr>
        <w:t>s</w:t>
      </w:r>
      <w:r>
        <w:rPr>
          <w:rFonts w:ascii="Times New Roman" w:hAnsi="Times New Roman" w:cs="Times New Roman"/>
          <w:lang w:val="es-MX"/>
        </w:rPr>
        <w:t xml:space="preserve"> importante</w:t>
      </w:r>
      <w:r w:rsidR="001674F6">
        <w:rPr>
          <w:rFonts w:ascii="Times New Roman" w:hAnsi="Times New Roman" w:cs="Times New Roman"/>
          <w:lang w:val="es-MX"/>
        </w:rPr>
        <w:t>s</w:t>
      </w:r>
      <w:r>
        <w:rPr>
          <w:rFonts w:ascii="Times New Roman" w:hAnsi="Times New Roman" w:cs="Times New Roman"/>
          <w:lang w:val="es-MX"/>
        </w:rPr>
        <w:t xml:space="preserve"> en 2019, el crecimiento interanual </w:t>
      </w:r>
      <w:r w:rsidR="00ED1492">
        <w:rPr>
          <w:rFonts w:ascii="Times New Roman" w:hAnsi="Times New Roman" w:cs="Times New Roman"/>
          <w:lang w:val="es-MX"/>
        </w:rPr>
        <w:t xml:space="preserve">es </w:t>
      </w:r>
      <w:r>
        <w:rPr>
          <w:rFonts w:ascii="Times New Roman" w:hAnsi="Times New Roman" w:cs="Times New Roman"/>
          <w:lang w:val="es-MX"/>
        </w:rPr>
        <w:t xml:space="preserve">de </w:t>
      </w:r>
      <w:r w:rsidR="001674F6">
        <w:rPr>
          <w:rFonts w:ascii="Times New Roman" w:hAnsi="Times New Roman" w:cs="Times New Roman"/>
          <w:lang w:val="es-MX"/>
        </w:rPr>
        <w:t>17</w:t>
      </w:r>
      <w:r>
        <w:rPr>
          <w:rFonts w:ascii="Times New Roman" w:hAnsi="Times New Roman" w:cs="Times New Roman"/>
          <w:lang w:val="es-MX"/>
        </w:rPr>
        <w:t>.</w:t>
      </w:r>
      <w:r w:rsidR="001674F6">
        <w:rPr>
          <w:rFonts w:ascii="Times New Roman" w:hAnsi="Times New Roman" w:cs="Times New Roman"/>
          <w:lang w:val="es-MX"/>
        </w:rPr>
        <w:t>9</w:t>
      </w:r>
      <w:r>
        <w:rPr>
          <w:rFonts w:ascii="Times New Roman" w:hAnsi="Times New Roman" w:cs="Times New Roman"/>
          <w:lang w:val="es-MX"/>
        </w:rPr>
        <w:t>%</w:t>
      </w:r>
      <w:r w:rsidR="001674F6">
        <w:rPr>
          <w:rFonts w:ascii="Times New Roman" w:hAnsi="Times New Roman" w:cs="Times New Roman"/>
          <w:lang w:val="es-MX"/>
        </w:rPr>
        <w:t>.</w:t>
      </w:r>
      <w:r>
        <w:rPr>
          <w:rFonts w:ascii="Times New Roman" w:hAnsi="Times New Roman" w:cs="Times New Roman"/>
          <w:lang w:val="es-MX"/>
        </w:rPr>
        <w:t xml:space="preserve"> </w:t>
      </w:r>
    </w:p>
    <w:p w:rsidR="00043889" w:rsidRDefault="00043889" w:rsidP="00EA6227">
      <w:pPr>
        <w:pStyle w:val="Sinespaciado"/>
        <w:jc w:val="both"/>
        <w:rPr>
          <w:rFonts w:ascii="Times New Roman" w:hAnsi="Times New Roman" w:cs="Times New Roman"/>
          <w:lang w:val="es-MX"/>
        </w:rPr>
      </w:pPr>
    </w:p>
    <w:p w:rsidR="00EA6227" w:rsidRDefault="00EA6227" w:rsidP="00EA6227">
      <w:pPr>
        <w:pStyle w:val="Sinespaciado"/>
        <w:jc w:val="both"/>
        <w:rPr>
          <w:rFonts w:ascii="Times New Roman" w:hAnsi="Times New Roman" w:cs="Times New Roman"/>
          <w:lang w:val="es-MX"/>
        </w:rPr>
      </w:pPr>
      <w:r>
        <w:rPr>
          <w:rFonts w:ascii="Times New Roman" w:hAnsi="Times New Roman" w:cs="Times New Roman"/>
          <w:lang w:val="es-MX"/>
        </w:rPr>
        <w:t xml:space="preserve">Al incluir en el gasto social </w:t>
      </w:r>
      <w:r w:rsidR="001F396F">
        <w:rPr>
          <w:rFonts w:ascii="Times New Roman" w:hAnsi="Times New Roman" w:cs="Times New Roman"/>
          <w:lang w:val="es-MX"/>
        </w:rPr>
        <w:t>a</w:t>
      </w:r>
      <w:r w:rsidR="001674F6">
        <w:rPr>
          <w:rFonts w:ascii="Times New Roman" w:hAnsi="Times New Roman" w:cs="Times New Roman"/>
          <w:lang w:val="es-MX"/>
        </w:rPr>
        <w:t xml:space="preserve"> </w:t>
      </w:r>
      <w:r>
        <w:rPr>
          <w:rFonts w:ascii="Times New Roman" w:hAnsi="Times New Roman" w:cs="Times New Roman"/>
          <w:lang w:val="es-MX"/>
        </w:rPr>
        <w:t xml:space="preserve">los sectores que son parte de los compromisos asumidos por los </w:t>
      </w:r>
      <w:r w:rsidR="001674F6">
        <w:rPr>
          <w:rFonts w:ascii="Times New Roman" w:hAnsi="Times New Roman" w:cs="Times New Roman"/>
          <w:lang w:val="es-MX"/>
        </w:rPr>
        <w:t xml:space="preserve">Acuerdos de Paz, la ejecución aumenta dos décimas </w:t>
      </w:r>
      <w:r>
        <w:rPr>
          <w:rFonts w:ascii="Times New Roman" w:hAnsi="Times New Roman" w:cs="Times New Roman"/>
          <w:lang w:val="es-MX"/>
        </w:rPr>
        <w:t xml:space="preserve">hasta ubicarse en </w:t>
      </w:r>
      <w:r w:rsidR="001674F6">
        <w:rPr>
          <w:rFonts w:ascii="Times New Roman" w:hAnsi="Times New Roman" w:cs="Times New Roman"/>
          <w:lang w:val="es-MX"/>
        </w:rPr>
        <w:t>73</w:t>
      </w:r>
      <w:r>
        <w:rPr>
          <w:rFonts w:ascii="Times New Roman" w:hAnsi="Times New Roman" w:cs="Times New Roman"/>
          <w:lang w:val="es-MX"/>
        </w:rPr>
        <w:t>.</w:t>
      </w:r>
      <w:r w:rsidR="001674F6">
        <w:rPr>
          <w:rFonts w:ascii="Times New Roman" w:hAnsi="Times New Roman" w:cs="Times New Roman"/>
          <w:lang w:val="es-MX"/>
        </w:rPr>
        <w:t>7</w:t>
      </w:r>
      <w:r>
        <w:rPr>
          <w:rFonts w:ascii="Times New Roman" w:hAnsi="Times New Roman" w:cs="Times New Roman"/>
          <w:lang w:val="es-MX"/>
        </w:rPr>
        <w:t xml:space="preserve">%. </w:t>
      </w:r>
    </w:p>
    <w:p w:rsidR="00EA6227" w:rsidRDefault="00EA6227" w:rsidP="00EA6227">
      <w:pPr>
        <w:pStyle w:val="Sinespaciado"/>
        <w:jc w:val="both"/>
        <w:rPr>
          <w:rFonts w:ascii="Times New Roman" w:hAnsi="Times New Roman" w:cs="Times New Roman"/>
          <w:lang w:val="es-MX"/>
        </w:rPr>
      </w:pPr>
    </w:p>
    <w:p w:rsidR="00EA6227" w:rsidRDefault="00EA6227" w:rsidP="00EA6227">
      <w:pPr>
        <w:pStyle w:val="Sinespaciado"/>
        <w:jc w:val="both"/>
        <w:rPr>
          <w:rFonts w:ascii="Times New Roman" w:hAnsi="Times New Roman" w:cs="Times New Roman"/>
          <w:lang w:val="es-MX"/>
        </w:rPr>
      </w:pPr>
      <w:r>
        <w:rPr>
          <w:rFonts w:ascii="Times New Roman" w:hAnsi="Times New Roman" w:cs="Times New Roman"/>
          <w:lang w:val="es-MX"/>
        </w:rPr>
        <w:t xml:space="preserve">Los aportes dados al Organismo Judicial y a Corte de Constitucionalidad muestran el mayor dinamismo del gasto social con </w:t>
      </w:r>
      <w:r w:rsidR="001674F6">
        <w:rPr>
          <w:rFonts w:ascii="Times New Roman" w:hAnsi="Times New Roman" w:cs="Times New Roman"/>
          <w:lang w:val="es-MX"/>
        </w:rPr>
        <w:t>99</w:t>
      </w:r>
      <w:r>
        <w:rPr>
          <w:rFonts w:ascii="Times New Roman" w:hAnsi="Times New Roman" w:cs="Times New Roman"/>
          <w:lang w:val="es-MX"/>
        </w:rPr>
        <w:t>.</w:t>
      </w:r>
      <w:r w:rsidR="00ED1492">
        <w:rPr>
          <w:rFonts w:ascii="Times New Roman" w:hAnsi="Times New Roman" w:cs="Times New Roman"/>
          <w:lang w:val="es-MX"/>
        </w:rPr>
        <w:t>0</w:t>
      </w:r>
      <w:r>
        <w:rPr>
          <w:rFonts w:ascii="Times New Roman" w:hAnsi="Times New Roman" w:cs="Times New Roman"/>
          <w:lang w:val="es-MX"/>
        </w:rPr>
        <w:t>%</w:t>
      </w:r>
      <w:r w:rsidR="001F396F">
        <w:rPr>
          <w:rFonts w:ascii="Times New Roman" w:hAnsi="Times New Roman" w:cs="Times New Roman"/>
          <w:lang w:val="es-MX"/>
        </w:rPr>
        <w:t xml:space="preserve"> de ejecución</w:t>
      </w:r>
      <w:r>
        <w:rPr>
          <w:rFonts w:ascii="Times New Roman" w:hAnsi="Times New Roman" w:cs="Times New Roman"/>
          <w:lang w:val="es-MX"/>
        </w:rPr>
        <w:t xml:space="preserve">, </w:t>
      </w:r>
      <w:r w:rsidR="00ED1492">
        <w:rPr>
          <w:rFonts w:ascii="Times New Roman" w:hAnsi="Times New Roman" w:cs="Times New Roman"/>
          <w:lang w:val="es-MX"/>
        </w:rPr>
        <w:t>quedando pendiente transferirles</w:t>
      </w:r>
      <w:r w:rsidR="001674F6">
        <w:rPr>
          <w:rFonts w:ascii="Times New Roman" w:hAnsi="Times New Roman" w:cs="Times New Roman"/>
          <w:lang w:val="es-MX"/>
        </w:rPr>
        <w:t xml:space="preserve"> </w:t>
      </w:r>
      <w:r w:rsidR="001674F6">
        <w:rPr>
          <w:rFonts w:ascii="Times New Roman" w:hAnsi="Times New Roman" w:cs="Times New Roman"/>
          <w:lang w:val="es-MX"/>
        </w:rPr>
        <w:lastRenderedPageBreak/>
        <w:t>alrededor de</w:t>
      </w:r>
      <w:r w:rsidR="00ED1492">
        <w:rPr>
          <w:rFonts w:ascii="Times New Roman" w:hAnsi="Times New Roman" w:cs="Times New Roman"/>
          <w:lang w:val="es-MX"/>
        </w:rPr>
        <w:t xml:space="preserve"> Q</w:t>
      </w:r>
      <w:r w:rsidR="001674F6">
        <w:rPr>
          <w:rFonts w:ascii="Times New Roman" w:hAnsi="Times New Roman" w:cs="Times New Roman"/>
          <w:lang w:val="es-MX"/>
        </w:rPr>
        <w:t>23</w:t>
      </w:r>
      <w:r w:rsidR="001F396F">
        <w:rPr>
          <w:rFonts w:ascii="Times New Roman" w:hAnsi="Times New Roman" w:cs="Times New Roman"/>
          <w:lang w:val="es-MX"/>
        </w:rPr>
        <w:t xml:space="preserve"> millones de acuerdo a su</w:t>
      </w:r>
      <w:r w:rsidR="00ED1492">
        <w:rPr>
          <w:rFonts w:ascii="Times New Roman" w:hAnsi="Times New Roman" w:cs="Times New Roman"/>
          <w:lang w:val="es-MX"/>
        </w:rPr>
        <w:t xml:space="preserve"> presupuesto. P</w:t>
      </w:r>
      <w:r>
        <w:rPr>
          <w:rFonts w:ascii="Times New Roman" w:hAnsi="Times New Roman" w:cs="Times New Roman"/>
          <w:lang w:val="es-MX"/>
        </w:rPr>
        <w:t xml:space="preserve">or su parte, el aporte del Ministerio Público muestra un grado de ejecución de </w:t>
      </w:r>
      <w:r w:rsidR="001674F6">
        <w:rPr>
          <w:rFonts w:ascii="Times New Roman" w:hAnsi="Times New Roman" w:cs="Times New Roman"/>
          <w:lang w:val="es-MX"/>
        </w:rPr>
        <w:t>76</w:t>
      </w:r>
      <w:r>
        <w:rPr>
          <w:rFonts w:ascii="Times New Roman" w:hAnsi="Times New Roman" w:cs="Times New Roman"/>
          <w:lang w:val="es-MX"/>
        </w:rPr>
        <w:t>.</w:t>
      </w:r>
      <w:r w:rsidR="001674F6">
        <w:rPr>
          <w:rFonts w:ascii="Times New Roman" w:hAnsi="Times New Roman" w:cs="Times New Roman"/>
          <w:lang w:val="es-MX"/>
        </w:rPr>
        <w:t>8</w:t>
      </w:r>
      <w:r>
        <w:rPr>
          <w:rFonts w:ascii="Times New Roman" w:hAnsi="Times New Roman" w:cs="Times New Roman"/>
          <w:lang w:val="es-MX"/>
        </w:rPr>
        <w:t xml:space="preserve">% y el sector de seguridad interna se ubica en </w:t>
      </w:r>
      <w:r w:rsidR="001674F6">
        <w:rPr>
          <w:rFonts w:ascii="Times New Roman" w:hAnsi="Times New Roman" w:cs="Times New Roman"/>
          <w:lang w:val="es-MX"/>
        </w:rPr>
        <w:t>64</w:t>
      </w:r>
      <w:r>
        <w:rPr>
          <w:rFonts w:ascii="Times New Roman" w:hAnsi="Times New Roman" w:cs="Times New Roman"/>
          <w:lang w:val="es-MX"/>
        </w:rPr>
        <w:t>.</w:t>
      </w:r>
      <w:r w:rsidR="001674F6">
        <w:rPr>
          <w:rFonts w:ascii="Times New Roman" w:hAnsi="Times New Roman" w:cs="Times New Roman"/>
          <w:lang w:val="es-MX"/>
        </w:rPr>
        <w:t>7</w:t>
      </w:r>
      <w:r>
        <w:rPr>
          <w:rFonts w:ascii="Times New Roman" w:hAnsi="Times New Roman" w:cs="Times New Roman"/>
          <w:lang w:val="es-MX"/>
        </w:rPr>
        <w:t>%</w:t>
      </w:r>
      <w:r w:rsidR="001674F6">
        <w:rPr>
          <w:rFonts w:ascii="Times New Roman" w:hAnsi="Times New Roman" w:cs="Times New Roman"/>
          <w:lang w:val="es-MX"/>
        </w:rPr>
        <w:t>, siendo el rubro que reporta la menor ejecución del gasto social, en línea con el crecimiento interanual negativo que reporta el Ministerio de Gobernación</w:t>
      </w:r>
      <w:r>
        <w:rPr>
          <w:rFonts w:ascii="Times New Roman" w:hAnsi="Times New Roman" w:cs="Times New Roman"/>
          <w:lang w:val="es-MX"/>
        </w:rPr>
        <w:t xml:space="preserve">. </w:t>
      </w:r>
    </w:p>
    <w:p w:rsidR="00ED1492" w:rsidRDefault="00ED1492" w:rsidP="00EA6227">
      <w:pPr>
        <w:pStyle w:val="Sinespaciado"/>
        <w:jc w:val="both"/>
        <w:rPr>
          <w:rFonts w:ascii="Times New Roman" w:hAnsi="Times New Roman" w:cs="Times New Roman"/>
          <w:lang w:val="es-MX"/>
        </w:rPr>
      </w:pPr>
    </w:p>
    <w:p w:rsidR="00ED1492" w:rsidRDefault="00916E93" w:rsidP="00EA6227">
      <w:pPr>
        <w:pStyle w:val="Sinespaciado"/>
        <w:jc w:val="both"/>
        <w:rPr>
          <w:rFonts w:ascii="Times New Roman" w:hAnsi="Times New Roman" w:cs="Times New Roman"/>
          <w:lang w:val="es-MX"/>
        </w:rPr>
      </w:pPr>
      <w:r>
        <w:rPr>
          <w:rFonts w:ascii="Times New Roman" w:hAnsi="Times New Roman" w:cs="Times New Roman"/>
          <w:lang w:val="es-MX"/>
        </w:rPr>
        <w:t>El gasto social total re</w:t>
      </w:r>
      <w:r w:rsidR="000D6B57">
        <w:rPr>
          <w:rFonts w:ascii="Times New Roman" w:hAnsi="Times New Roman" w:cs="Times New Roman"/>
          <w:lang w:val="es-MX"/>
        </w:rPr>
        <w:t xml:space="preserve">porta un crecimiento de 13.7% respecto al 2018. </w:t>
      </w:r>
      <w:r>
        <w:rPr>
          <w:rFonts w:ascii="Times New Roman" w:hAnsi="Times New Roman" w:cs="Times New Roman"/>
          <w:lang w:val="es-MX"/>
        </w:rPr>
        <w:t xml:space="preserve"> </w:t>
      </w:r>
    </w:p>
    <w:p w:rsidR="00DB0B9E" w:rsidRDefault="00DB0B9E" w:rsidP="00EA6227">
      <w:pPr>
        <w:pStyle w:val="Sinespaciado"/>
        <w:jc w:val="both"/>
        <w:rPr>
          <w:rFonts w:ascii="Times New Roman" w:hAnsi="Times New Roman" w:cs="Times New Roman"/>
          <w:b/>
          <w:lang w:val="es-MX"/>
        </w:rPr>
      </w:pPr>
    </w:p>
    <w:p w:rsidR="00EA6227" w:rsidRDefault="00EA6227" w:rsidP="00EA6227">
      <w:pPr>
        <w:pStyle w:val="Sinespaciado"/>
        <w:jc w:val="center"/>
        <w:rPr>
          <w:rFonts w:ascii="Times New Roman" w:hAnsi="Times New Roman" w:cs="Times New Roman"/>
          <w:b/>
          <w:lang w:val="es-MX"/>
        </w:rPr>
      </w:pPr>
      <w:r w:rsidRPr="002A1B95">
        <w:rPr>
          <w:rFonts w:ascii="Times New Roman" w:hAnsi="Times New Roman" w:cs="Times New Roman"/>
          <w:b/>
          <w:lang w:val="es-MX"/>
        </w:rPr>
        <w:t xml:space="preserve">Ejecución </w:t>
      </w:r>
      <w:r>
        <w:rPr>
          <w:rFonts w:ascii="Times New Roman" w:hAnsi="Times New Roman" w:cs="Times New Roman"/>
          <w:b/>
          <w:lang w:val="es-MX"/>
        </w:rPr>
        <w:t xml:space="preserve">del Gasto Social </w:t>
      </w:r>
    </w:p>
    <w:p w:rsidR="00EA6227" w:rsidRPr="009D459C" w:rsidRDefault="00EA6227" w:rsidP="00EA622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 xml:space="preserve">Al 31 de </w:t>
      </w:r>
      <w:r w:rsidR="00DB0B9E">
        <w:rPr>
          <w:rFonts w:ascii="Times New Roman" w:hAnsi="Times New Roman" w:cs="Times New Roman"/>
          <w:sz w:val="18"/>
          <w:szCs w:val="18"/>
          <w:lang w:val="es-MX"/>
        </w:rPr>
        <w:t>octubre</w:t>
      </w:r>
      <w:r>
        <w:rPr>
          <w:rFonts w:ascii="Times New Roman" w:hAnsi="Times New Roman" w:cs="Times New Roman"/>
          <w:sz w:val="18"/>
          <w:szCs w:val="18"/>
          <w:lang w:val="es-MX"/>
        </w:rPr>
        <w:t xml:space="preserve"> del 2019</w:t>
      </w:r>
    </w:p>
    <w:p w:rsidR="00ED1492" w:rsidRDefault="00EA6227" w:rsidP="00ED1492">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DB0B9E" w:rsidRDefault="000D6B57" w:rsidP="00ED1492">
      <w:pPr>
        <w:pStyle w:val="Sinespaciado"/>
        <w:rPr>
          <w:rFonts w:ascii="Times New Roman" w:hAnsi="Times New Roman" w:cs="Times New Roman"/>
          <w:sz w:val="16"/>
        </w:rPr>
      </w:pPr>
      <w:r w:rsidRPr="00DB0B9E">
        <w:rPr>
          <w:noProof/>
          <w:lang w:eastAsia="es-GT"/>
        </w:rPr>
        <w:drawing>
          <wp:anchor distT="0" distB="0" distL="114300" distR="114300" simplePos="0" relativeHeight="251699200" behindDoc="0" locked="0" layoutInCell="1" allowOverlap="1">
            <wp:simplePos x="0" y="0"/>
            <wp:positionH relativeFrom="column">
              <wp:posOffset>-329409</wp:posOffset>
            </wp:positionH>
            <wp:positionV relativeFrom="paragraph">
              <wp:posOffset>102019</wp:posOffset>
            </wp:positionV>
            <wp:extent cx="3383280" cy="154368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328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7" w:rsidRPr="00ED1492" w:rsidRDefault="00EA6227" w:rsidP="00ED1492">
      <w:pPr>
        <w:pStyle w:val="Sinespaciado"/>
        <w:rPr>
          <w:rFonts w:ascii="Times New Roman" w:hAnsi="Times New Roman" w:cs="Times New Roman"/>
          <w:sz w:val="18"/>
          <w:szCs w:val="18"/>
          <w:lang w:val="es-MX"/>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996071" w:rsidRDefault="00996071" w:rsidP="00EA6227">
      <w:pPr>
        <w:pStyle w:val="Sinespaciado"/>
        <w:jc w:val="both"/>
        <w:rPr>
          <w:rFonts w:ascii="Times New Roman" w:hAnsi="Times New Roman" w:cs="Times New Roman"/>
          <w:sz w:val="16"/>
        </w:rPr>
      </w:pPr>
    </w:p>
    <w:p w:rsidR="004E01B5" w:rsidRPr="004E01B5" w:rsidRDefault="004E01B5" w:rsidP="004E01B5">
      <w:pPr>
        <w:pStyle w:val="Sinespaciado"/>
        <w:jc w:val="both"/>
        <w:rPr>
          <w:rFonts w:ascii="Times New Roman" w:hAnsi="Times New Roman" w:cs="Times New Roman"/>
          <w:lang w:val="es-MX"/>
        </w:rPr>
      </w:pPr>
    </w:p>
    <w:p w:rsidR="004E01B5" w:rsidRDefault="004E01B5" w:rsidP="004E01B5">
      <w:pPr>
        <w:pStyle w:val="Sinespaciado"/>
        <w:pBdr>
          <w:top w:val="single" w:sz="12" w:space="1" w:color="auto"/>
          <w:left w:val="single" w:sz="12" w:space="4" w:color="auto"/>
          <w:bottom w:val="single" w:sz="12" w:space="1" w:color="auto"/>
          <w:right w:val="single" w:sz="12" w:space="4" w:color="auto"/>
        </w:pBdr>
        <w:shd w:val="clear" w:color="auto" w:fill="8DB3E2" w:themeFill="text2" w:themeFillTint="66"/>
        <w:rPr>
          <w:rFonts w:ascii="Times New Roman" w:hAnsi="Times New Roman" w:cs="Times New Roman"/>
          <w:b/>
          <w:color w:val="000000" w:themeColor="text1"/>
          <w:lang w:val="es-MX"/>
        </w:rPr>
        <w:sectPr w:rsidR="004E01B5" w:rsidSect="005D6A2E">
          <w:type w:val="continuous"/>
          <w:pgSz w:w="12240" w:h="15840"/>
          <w:pgMar w:top="1417" w:right="1701" w:bottom="1417" w:left="1701" w:header="708" w:footer="708" w:gutter="0"/>
          <w:cols w:num="2" w:space="708"/>
          <w:docGrid w:linePitch="360"/>
        </w:sectPr>
      </w:pPr>
    </w:p>
    <w:p w:rsidR="00516433" w:rsidRPr="003104D2" w:rsidRDefault="005050AE" w:rsidP="00950C2C">
      <w:pPr>
        <w:pStyle w:val="Sinespaciado"/>
        <w:pBdr>
          <w:top w:val="single" w:sz="12" w:space="1" w:color="auto"/>
          <w:left w:val="single" w:sz="12" w:space="4" w:color="auto"/>
          <w:bottom w:val="single" w:sz="12" w:space="1" w:color="auto"/>
          <w:right w:val="single" w:sz="12" w:space="4" w:color="auto"/>
        </w:pBdr>
        <w:shd w:val="clear" w:color="auto" w:fill="8DB3E2" w:themeFill="text2" w:themeFillTint="66"/>
        <w:jc w:val="center"/>
        <w:rPr>
          <w:rFonts w:ascii="Times New Roman" w:hAnsi="Times New Roman" w:cs="Times New Roman"/>
          <w:b/>
          <w:lang w:val="es-MX"/>
        </w:rPr>
        <w:sectPr w:rsidR="00516433" w:rsidRPr="003104D2" w:rsidSect="00516433">
          <w:type w:val="continuous"/>
          <w:pgSz w:w="12240" w:h="15840"/>
          <w:pgMar w:top="1417" w:right="1701" w:bottom="1417" w:left="1701" w:header="708" w:footer="708" w:gutter="0"/>
          <w:cols w:space="708"/>
          <w:docGrid w:linePitch="360"/>
        </w:sectPr>
      </w:pPr>
      <w:r>
        <w:rPr>
          <w:rFonts w:ascii="Times New Roman" w:hAnsi="Times New Roman" w:cs="Times New Roman"/>
          <w:b/>
          <w:color w:val="000000" w:themeColor="text1"/>
          <w:lang w:val="es-MX"/>
        </w:rPr>
        <w:lastRenderedPageBreak/>
        <w:t>Aún pendientes de colocar Q17</w:t>
      </w:r>
      <w:r w:rsidR="007F5739">
        <w:rPr>
          <w:rFonts w:ascii="Times New Roman" w:hAnsi="Times New Roman" w:cs="Times New Roman"/>
          <w:b/>
          <w:color w:val="000000" w:themeColor="text1"/>
          <w:lang w:val="es-MX"/>
        </w:rPr>
        <w:t>6</w:t>
      </w:r>
      <w:r w:rsidR="00070108">
        <w:rPr>
          <w:rFonts w:ascii="Times New Roman" w:hAnsi="Times New Roman" w:cs="Times New Roman"/>
          <w:b/>
          <w:color w:val="000000" w:themeColor="text1"/>
          <w:lang w:val="es-MX"/>
        </w:rPr>
        <w:t xml:space="preserve"> millones de B</w:t>
      </w:r>
      <w:r>
        <w:rPr>
          <w:rFonts w:ascii="Times New Roman" w:hAnsi="Times New Roman" w:cs="Times New Roman"/>
          <w:b/>
          <w:color w:val="000000" w:themeColor="text1"/>
          <w:lang w:val="es-MX"/>
        </w:rPr>
        <w:t xml:space="preserve">onos del </w:t>
      </w:r>
      <w:r w:rsidR="00070108">
        <w:rPr>
          <w:rFonts w:ascii="Times New Roman" w:hAnsi="Times New Roman" w:cs="Times New Roman"/>
          <w:b/>
          <w:color w:val="000000" w:themeColor="text1"/>
          <w:lang w:val="es-MX"/>
        </w:rPr>
        <w:t>T</w:t>
      </w:r>
      <w:r>
        <w:rPr>
          <w:rFonts w:ascii="Times New Roman" w:hAnsi="Times New Roman" w:cs="Times New Roman"/>
          <w:b/>
          <w:color w:val="000000" w:themeColor="text1"/>
          <w:lang w:val="es-MX"/>
        </w:rPr>
        <w:t>esoro</w:t>
      </w:r>
    </w:p>
    <w:p w:rsidR="007209DD" w:rsidRDefault="007209DD" w:rsidP="00AE3079">
      <w:pPr>
        <w:pStyle w:val="Sinespaciado"/>
        <w:jc w:val="center"/>
        <w:rPr>
          <w:rFonts w:ascii="Times New Roman" w:hAnsi="Times New Roman" w:cs="Times New Roman"/>
          <w:b/>
        </w:rPr>
      </w:pPr>
    </w:p>
    <w:p w:rsidR="00516433" w:rsidRDefault="00516433" w:rsidP="002E5DD8">
      <w:pPr>
        <w:pStyle w:val="Sinespaciado"/>
        <w:jc w:val="both"/>
        <w:rPr>
          <w:rFonts w:ascii="Times New Roman" w:hAnsi="Times New Roman" w:cs="Times New Roman"/>
        </w:rPr>
        <w:sectPr w:rsidR="00516433" w:rsidSect="005D6A2E">
          <w:type w:val="continuous"/>
          <w:pgSz w:w="12240" w:h="15840"/>
          <w:pgMar w:top="1417" w:right="1701" w:bottom="1417" w:left="1701" w:header="708" w:footer="708" w:gutter="0"/>
          <w:cols w:num="2" w:space="708"/>
          <w:docGrid w:linePitch="360"/>
        </w:sectPr>
      </w:pPr>
    </w:p>
    <w:p w:rsidR="00467893" w:rsidRDefault="007209DD" w:rsidP="002E5DD8">
      <w:pPr>
        <w:pStyle w:val="Sinespaciado"/>
        <w:jc w:val="both"/>
        <w:rPr>
          <w:rFonts w:ascii="Times New Roman" w:hAnsi="Times New Roman" w:cs="Times New Roman"/>
        </w:rPr>
      </w:pPr>
      <w:r>
        <w:rPr>
          <w:rFonts w:ascii="Times New Roman" w:hAnsi="Times New Roman" w:cs="Times New Roman"/>
        </w:rPr>
        <w:lastRenderedPageBreak/>
        <w:t>En cuanto al financiamiento</w:t>
      </w:r>
      <w:r w:rsidR="00420C6B">
        <w:rPr>
          <w:rFonts w:ascii="Times New Roman" w:hAnsi="Times New Roman" w:cs="Times New Roman"/>
        </w:rPr>
        <w:t xml:space="preserve"> del déficit de presupuesto</w:t>
      </w:r>
      <w:r w:rsidR="007F5739">
        <w:rPr>
          <w:rFonts w:ascii="Times New Roman" w:hAnsi="Times New Roman" w:cs="Times New Roman"/>
        </w:rPr>
        <w:t>, al cierre de octubre</w:t>
      </w:r>
      <w:r w:rsidR="00814CEE">
        <w:rPr>
          <w:rFonts w:ascii="Times New Roman" w:hAnsi="Times New Roman" w:cs="Times New Roman"/>
        </w:rPr>
        <w:t xml:space="preserve"> 2019</w:t>
      </w:r>
      <w:r>
        <w:rPr>
          <w:rFonts w:ascii="Times New Roman" w:hAnsi="Times New Roman" w:cs="Times New Roman"/>
        </w:rPr>
        <w:t xml:space="preserve"> se </w:t>
      </w:r>
      <w:r w:rsidR="00420C6B">
        <w:rPr>
          <w:rFonts w:ascii="Times New Roman" w:hAnsi="Times New Roman" w:cs="Times New Roman"/>
        </w:rPr>
        <w:t xml:space="preserve">obtuvo un flujo </w:t>
      </w:r>
      <w:r w:rsidR="00B477C8">
        <w:rPr>
          <w:rFonts w:ascii="Times New Roman" w:hAnsi="Times New Roman" w:cs="Times New Roman"/>
        </w:rPr>
        <w:t>posi</w:t>
      </w:r>
      <w:r w:rsidR="00420C6B">
        <w:rPr>
          <w:rFonts w:ascii="Times New Roman" w:hAnsi="Times New Roman" w:cs="Times New Roman"/>
        </w:rPr>
        <w:t xml:space="preserve">tivo en el endeudamiento externo </w:t>
      </w:r>
      <w:r w:rsidR="001B197F">
        <w:rPr>
          <w:rFonts w:ascii="Times New Roman" w:hAnsi="Times New Roman" w:cs="Times New Roman"/>
        </w:rPr>
        <w:t>neto por el equivalente a Q</w:t>
      </w:r>
      <w:r w:rsidR="007F5739">
        <w:rPr>
          <w:rFonts w:ascii="Times New Roman" w:hAnsi="Times New Roman" w:cs="Times New Roman"/>
        </w:rPr>
        <w:t>6</w:t>
      </w:r>
      <w:r w:rsidR="00B477C8">
        <w:rPr>
          <w:rFonts w:ascii="Times New Roman" w:hAnsi="Times New Roman" w:cs="Times New Roman"/>
        </w:rPr>
        <w:t>,</w:t>
      </w:r>
      <w:r w:rsidR="007F5739">
        <w:rPr>
          <w:rFonts w:ascii="Times New Roman" w:hAnsi="Times New Roman" w:cs="Times New Roman"/>
        </w:rPr>
        <w:t>80</w:t>
      </w:r>
      <w:r w:rsidR="00467893">
        <w:rPr>
          <w:rFonts w:ascii="Times New Roman" w:hAnsi="Times New Roman" w:cs="Times New Roman"/>
        </w:rPr>
        <w:t>1</w:t>
      </w:r>
      <w:r w:rsidR="007F5739">
        <w:rPr>
          <w:rFonts w:ascii="Times New Roman" w:hAnsi="Times New Roman" w:cs="Times New Roman"/>
        </w:rPr>
        <w:t>.1</w:t>
      </w:r>
      <w:r w:rsidR="001E26C2">
        <w:rPr>
          <w:rFonts w:ascii="Times New Roman" w:hAnsi="Times New Roman" w:cs="Times New Roman"/>
        </w:rPr>
        <w:t xml:space="preserve"> millones</w:t>
      </w:r>
      <w:r w:rsidR="00F72165">
        <w:rPr>
          <w:rFonts w:ascii="Times New Roman" w:hAnsi="Times New Roman" w:cs="Times New Roman"/>
        </w:rPr>
        <w:t xml:space="preserve">, debido </w:t>
      </w:r>
      <w:r w:rsidR="00950C2C">
        <w:rPr>
          <w:rFonts w:ascii="Times New Roman" w:hAnsi="Times New Roman" w:cs="Times New Roman"/>
        </w:rPr>
        <w:t>a la colocación del Eurobono</w:t>
      </w:r>
      <w:r w:rsidR="00467893">
        <w:rPr>
          <w:rFonts w:ascii="Times New Roman" w:hAnsi="Times New Roman" w:cs="Times New Roman"/>
        </w:rPr>
        <w:t xml:space="preserve"> por US$1,200 millones</w:t>
      </w:r>
      <w:r w:rsidR="00950C2C">
        <w:rPr>
          <w:rFonts w:ascii="Times New Roman" w:hAnsi="Times New Roman" w:cs="Times New Roman"/>
        </w:rPr>
        <w:t>.</w:t>
      </w:r>
    </w:p>
    <w:p w:rsidR="00467893" w:rsidRDefault="00467893" w:rsidP="002E5DD8">
      <w:pPr>
        <w:pStyle w:val="Sinespaciado"/>
        <w:jc w:val="both"/>
        <w:rPr>
          <w:rFonts w:ascii="Times New Roman" w:hAnsi="Times New Roman" w:cs="Times New Roman"/>
        </w:rPr>
      </w:pPr>
    </w:p>
    <w:p w:rsidR="00467893" w:rsidRDefault="00BA73D9" w:rsidP="002E5DD8">
      <w:pPr>
        <w:pStyle w:val="Sinespaciado"/>
        <w:jc w:val="both"/>
        <w:rPr>
          <w:rFonts w:ascii="Times New Roman" w:hAnsi="Times New Roman" w:cs="Times New Roman"/>
        </w:rPr>
      </w:pPr>
      <w:r>
        <w:rPr>
          <w:rFonts w:ascii="Times New Roman" w:hAnsi="Times New Roman" w:cs="Times New Roman"/>
        </w:rPr>
        <w:t>L</w:t>
      </w:r>
      <w:r w:rsidR="00B477C8">
        <w:rPr>
          <w:rFonts w:ascii="Times New Roman" w:hAnsi="Times New Roman" w:cs="Times New Roman"/>
        </w:rPr>
        <w:t>os préstamos netos reflejan un valor negativo</w:t>
      </w:r>
      <w:r w:rsidR="007F5739">
        <w:rPr>
          <w:rFonts w:ascii="Times New Roman" w:hAnsi="Times New Roman" w:cs="Times New Roman"/>
        </w:rPr>
        <w:t xml:space="preserve"> de Q2</w:t>
      </w:r>
      <w:r w:rsidR="00950C2C">
        <w:rPr>
          <w:rFonts w:ascii="Times New Roman" w:hAnsi="Times New Roman" w:cs="Times New Roman"/>
        </w:rPr>
        <w:t>,</w:t>
      </w:r>
      <w:r w:rsidR="007F5739">
        <w:rPr>
          <w:rFonts w:ascii="Times New Roman" w:hAnsi="Times New Roman" w:cs="Times New Roman"/>
        </w:rPr>
        <w:t>466</w:t>
      </w:r>
      <w:r w:rsidR="00950C2C">
        <w:rPr>
          <w:rFonts w:ascii="Times New Roman" w:hAnsi="Times New Roman" w:cs="Times New Roman"/>
        </w:rPr>
        <w:t>.</w:t>
      </w:r>
      <w:r w:rsidR="007F5739">
        <w:rPr>
          <w:rFonts w:ascii="Times New Roman" w:hAnsi="Times New Roman" w:cs="Times New Roman"/>
        </w:rPr>
        <w:t>2</w:t>
      </w:r>
      <w:r w:rsidR="00950C2C">
        <w:rPr>
          <w:rFonts w:ascii="Times New Roman" w:hAnsi="Times New Roman" w:cs="Times New Roman"/>
        </w:rPr>
        <w:t xml:space="preserve"> millones</w:t>
      </w:r>
      <w:r w:rsidR="00B477C8">
        <w:rPr>
          <w:rFonts w:ascii="Times New Roman" w:hAnsi="Times New Roman" w:cs="Times New Roman"/>
        </w:rPr>
        <w:t>, derivado que l</w:t>
      </w:r>
      <w:r w:rsidR="00F72165">
        <w:rPr>
          <w:rFonts w:ascii="Times New Roman" w:hAnsi="Times New Roman" w:cs="Times New Roman"/>
        </w:rPr>
        <w:t xml:space="preserve">as amortizaciones superan los desembolsos. </w:t>
      </w:r>
    </w:p>
    <w:p w:rsidR="00467893" w:rsidRDefault="00467893" w:rsidP="002E5DD8">
      <w:pPr>
        <w:pStyle w:val="Sinespaciado"/>
        <w:jc w:val="both"/>
        <w:rPr>
          <w:rFonts w:ascii="Times New Roman" w:hAnsi="Times New Roman" w:cs="Times New Roman"/>
        </w:rPr>
      </w:pPr>
    </w:p>
    <w:p w:rsidR="00B30B89" w:rsidRDefault="001E26C2" w:rsidP="002E5DD8">
      <w:pPr>
        <w:pStyle w:val="Sinespaciado"/>
        <w:jc w:val="both"/>
        <w:rPr>
          <w:rFonts w:ascii="Times New Roman" w:hAnsi="Times New Roman" w:cs="Times New Roman"/>
        </w:rPr>
      </w:pPr>
      <w:r>
        <w:rPr>
          <w:rFonts w:ascii="Times New Roman" w:hAnsi="Times New Roman" w:cs="Times New Roman"/>
        </w:rPr>
        <w:t xml:space="preserve">Asimismo, </w:t>
      </w:r>
      <w:r w:rsidR="00814CEE">
        <w:rPr>
          <w:rFonts w:ascii="Times New Roman" w:hAnsi="Times New Roman" w:cs="Times New Roman"/>
        </w:rPr>
        <w:t xml:space="preserve">la colocación de Bonos del </w:t>
      </w:r>
      <w:r w:rsidR="0086270F">
        <w:rPr>
          <w:rFonts w:ascii="Times New Roman" w:hAnsi="Times New Roman" w:cs="Times New Roman"/>
        </w:rPr>
        <w:t>Tesoro en el mercado interno</w:t>
      </w:r>
      <w:r w:rsidR="00467893">
        <w:rPr>
          <w:rFonts w:ascii="Times New Roman" w:hAnsi="Times New Roman" w:cs="Times New Roman"/>
        </w:rPr>
        <w:t xml:space="preserve"> y externo</w:t>
      </w:r>
      <w:r w:rsidR="00F72165">
        <w:rPr>
          <w:rFonts w:ascii="Times New Roman" w:hAnsi="Times New Roman" w:cs="Times New Roman"/>
        </w:rPr>
        <w:t xml:space="preserve"> </w:t>
      </w:r>
      <w:r w:rsidR="009263BB">
        <w:rPr>
          <w:rFonts w:ascii="Times New Roman" w:hAnsi="Times New Roman" w:cs="Times New Roman"/>
        </w:rPr>
        <w:t>ha</w:t>
      </w:r>
      <w:r w:rsidR="00467893">
        <w:rPr>
          <w:rFonts w:ascii="Times New Roman" w:hAnsi="Times New Roman" w:cs="Times New Roman"/>
        </w:rPr>
        <w:t>n</w:t>
      </w:r>
      <w:r w:rsidR="009263BB">
        <w:rPr>
          <w:rFonts w:ascii="Times New Roman" w:hAnsi="Times New Roman" w:cs="Times New Roman"/>
        </w:rPr>
        <w:t xml:space="preserve"> tenido una </w:t>
      </w:r>
      <w:r w:rsidR="007F5739">
        <w:rPr>
          <w:rFonts w:ascii="Times New Roman" w:hAnsi="Times New Roman" w:cs="Times New Roman"/>
        </w:rPr>
        <w:t xml:space="preserve">alta </w:t>
      </w:r>
      <w:r w:rsidR="00814CEE">
        <w:rPr>
          <w:rFonts w:ascii="Times New Roman" w:hAnsi="Times New Roman" w:cs="Times New Roman"/>
        </w:rPr>
        <w:lastRenderedPageBreak/>
        <w:t>demanda</w:t>
      </w:r>
      <w:r w:rsidR="009263BB">
        <w:rPr>
          <w:rFonts w:ascii="Times New Roman" w:hAnsi="Times New Roman" w:cs="Times New Roman"/>
        </w:rPr>
        <w:t>,</w:t>
      </w:r>
      <w:r w:rsidR="007F5739">
        <w:rPr>
          <w:rFonts w:ascii="Times New Roman" w:hAnsi="Times New Roman" w:cs="Times New Roman"/>
        </w:rPr>
        <w:t xml:space="preserve"> a la fecha se han</w:t>
      </w:r>
      <w:r w:rsidR="009263BB">
        <w:rPr>
          <w:rFonts w:ascii="Times New Roman" w:hAnsi="Times New Roman" w:cs="Times New Roman"/>
        </w:rPr>
        <w:t xml:space="preserve"> adjudic</w:t>
      </w:r>
      <w:r w:rsidR="007F5739">
        <w:rPr>
          <w:rFonts w:ascii="Times New Roman" w:hAnsi="Times New Roman" w:cs="Times New Roman"/>
        </w:rPr>
        <w:t>a</w:t>
      </w:r>
      <w:r w:rsidR="009263BB">
        <w:rPr>
          <w:rFonts w:ascii="Times New Roman" w:hAnsi="Times New Roman" w:cs="Times New Roman"/>
        </w:rPr>
        <w:t>d</w:t>
      </w:r>
      <w:r w:rsidR="007F5739">
        <w:rPr>
          <w:rFonts w:ascii="Times New Roman" w:hAnsi="Times New Roman" w:cs="Times New Roman"/>
        </w:rPr>
        <w:t>o</w:t>
      </w:r>
      <w:r w:rsidR="009263BB">
        <w:rPr>
          <w:rFonts w:ascii="Times New Roman" w:hAnsi="Times New Roman" w:cs="Times New Roman"/>
        </w:rPr>
        <w:t xml:space="preserve"> Q</w:t>
      </w:r>
      <w:r w:rsidR="00467893">
        <w:rPr>
          <w:rFonts w:ascii="Times New Roman" w:hAnsi="Times New Roman" w:cs="Times New Roman"/>
        </w:rPr>
        <w:t>18</w:t>
      </w:r>
      <w:r w:rsidR="009263BB">
        <w:rPr>
          <w:rFonts w:ascii="Times New Roman" w:hAnsi="Times New Roman" w:cs="Times New Roman"/>
        </w:rPr>
        <w:t>,</w:t>
      </w:r>
      <w:r w:rsidR="00950C2C">
        <w:rPr>
          <w:rFonts w:ascii="Times New Roman" w:hAnsi="Times New Roman" w:cs="Times New Roman"/>
        </w:rPr>
        <w:t>2</w:t>
      </w:r>
      <w:r w:rsidR="007F5739">
        <w:rPr>
          <w:rFonts w:ascii="Times New Roman" w:hAnsi="Times New Roman" w:cs="Times New Roman"/>
        </w:rPr>
        <w:t>4</w:t>
      </w:r>
      <w:r w:rsidR="00950C2C">
        <w:rPr>
          <w:rFonts w:ascii="Times New Roman" w:hAnsi="Times New Roman" w:cs="Times New Roman"/>
        </w:rPr>
        <w:t>2</w:t>
      </w:r>
      <w:r w:rsidR="00814CEE">
        <w:rPr>
          <w:rFonts w:ascii="Times New Roman" w:hAnsi="Times New Roman" w:cs="Times New Roman"/>
        </w:rPr>
        <w:t xml:space="preserve"> millones</w:t>
      </w:r>
      <w:r w:rsidR="00B477C8">
        <w:rPr>
          <w:rFonts w:ascii="Times New Roman" w:hAnsi="Times New Roman" w:cs="Times New Roman"/>
        </w:rPr>
        <w:t xml:space="preserve">. </w:t>
      </w:r>
    </w:p>
    <w:p w:rsidR="00467893" w:rsidRDefault="00467893" w:rsidP="00B477C8">
      <w:pPr>
        <w:pStyle w:val="Sinespaciado"/>
        <w:jc w:val="both"/>
        <w:rPr>
          <w:rFonts w:ascii="Times New Roman" w:hAnsi="Times New Roman" w:cs="Times New Roman"/>
        </w:rPr>
      </w:pPr>
    </w:p>
    <w:p w:rsidR="00DB7BFA" w:rsidRDefault="00B477C8" w:rsidP="00B477C8">
      <w:pPr>
        <w:pStyle w:val="Sinespaciado"/>
        <w:jc w:val="both"/>
        <w:rPr>
          <w:rFonts w:ascii="Times New Roman" w:hAnsi="Times New Roman" w:cs="Times New Roman"/>
        </w:rPr>
      </w:pPr>
      <w:r>
        <w:rPr>
          <w:rFonts w:ascii="Times New Roman" w:hAnsi="Times New Roman" w:cs="Times New Roman"/>
        </w:rPr>
        <w:t>Derivado de lo anterior</w:t>
      </w:r>
      <w:r w:rsidR="006C4BB8">
        <w:rPr>
          <w:rFonts w:ascii="Times New Roman" w:hAnsi="Times New Roman" w:cs="Times New Roman"/>
        </w:rPr>
        <w:t xml:space="preserve">, aún está pendiente de colocarse, conforme lo autorizado por el </w:t>
      </w:r>
      <w:r w:rsidR="00F72165">
        <w:rPr>
          <w:rFonts w:ascii="Times New Roman" w:hAnsi="Times New Roman" w:cs="Times New Roman"/>
        </w:rPr>
        <w:t>Decreto 25-2018</w:t>
      </w:r>
      <w:r w:rsidR="006C4BB8">
        <w:rPr>
          <w:rFonts w:ascii="Times New Roman" w:hAnsi="Times New Roman" w:cs="Times New Roman"/>
        </w:rPr>
        <w:t>, l</w:t>
      </w:r>
      <w:r w:rsidR="009263BB">
        <w:rPr>
          <w:rFonts w:ascii="Times New Roman" w:hAnsi="Times New Roman" w:cs="Times New Roman"/>
        </w:rPr>
        <w:t>a cantidad de Q</w:t>
      </w:r>
      <w:r w:rsidR="00467893">
        <w:rPr>
          <w:rFonts w:ascii="Times New Roman" w:hAnsi="Times New Roman" w:cs="Times New Roman"/>
        </w:rPr>
        <w:t>1</w:t>
      </w:r>
      <w:r w:rsidR="007F5739">
        <w:rPr>
          <w:rFonts w:ascii="Times New Roman" w:hAnsi="Times New Roman" w:cs="Times New Roman"/>
        </w:rPr>
        <w:t>76</w:t>
      </w:r>
      <w:r w:rsidR="00F72165">
        <w:rPr>
          <w:rFonts w:ascii="Times New Roman" w:hAnsi="Times New Roman" w:cs="Times New Roman"/>
        </w:rPr>
        <w:t xml:space="preserve"> millones, es decir, el </w:t>
      </w:r>
      <w:r w:rsidR="00467893">
        <w:rPr>
          <w:rFonts w:ascii="Times New Roman" w:hAnsi="Times New Roman" w:cs="Times New Roman"/>
        </w:rPr>
        <w:t>1</w:t>
      </w:r>
      <w:r w:rsidR="006C4BB8">
        <w:rPr>
          <w:rFonts w:ascii="Times New Roman" w:hAnsi="Times New Roman" w:cs="Times New Roman"/>
        </w:rPr>
        <w:t>% del tot</w:t>
      </w:r>
      <w:r w:rsidR="00950C2C">
        <w:rPr>
          <w:rFonts w:ascii="Times New Roman" w:hAnsi="Times New Roman" w:cs="Times New Roman"/>
        </w:rPr>
        <w:t xml:space="preserve">al de la emisión </w:t>
      </w:r>
      <w:r w:rsidR="007F5739">
        <w:rPr>
          <w:rFonts w:ascii="Times New Roman" w:hAnsi="Times New Roman" w:cs="Times New Roman"/>
        </w:rPr>
        <w:t xml:space="preserve">aprobada </w:t>
      </w:r>
      <w:r w:rsidR="00950C2C">
        <w:rPr>
          <w:rFonts w:ascii="Times New Roman" w:hAnsi="Times New Roman" w:cs="Times New Roman"/>
        </w:rPr>
        <w:t xml:space="preserve">para este año. </w:t>
      </w:r>
    </w:p>
    <w:p w:rsidR="00F83CC4" w:rsidRDefault="00F83CC4" w:rsidP="00283E14">
      <w:pPr>
        <w:pStyle w:val="Sinespaciado"/>
        <w:jc w:val="center"/>
        <w:rPr>
          <w:rFonts w:ascii="Times New Roman" w:hAnsi="Times New Roman" w:cs="Times New Roman"/>
          <w:b/>
        </w:rPr>
      </w:pPr>
    </w:p>
    <w:p w:rsidR="00F83CC4" w:rsidRDefault="00F83CC4" w:rsidP="006C4BB8">
      <w:pPr>
        <w:pStyle w:val="Sinespaciado"/>
        <w:jc w:val="center"/>
        <w:rPr>
          <w:rFonts w:ascii="Times New Roman" w:hAnsi="Times New Roman" w:cs="Times New Roman"/>
          <w:b/>
        </w:rPr>
      </w:pPr>
    </w:p>
    <w:p w:rsidR="00F919C0" w:rsidRDefault="00F919C0">
      <w:pPr>
        <w:rPr>
          <w:rFonts w:ascii="Times New Roman" w:hAnsi="Times New Roman" w:cs="Times New Roman"/>
          <w:b/>
        </w:rPr>
      </w:pPr>
      <w:r>
        <w:rPr>
          <w:rFonts w:ascii="Times New Roman" w:hAnsi="Times New Roman" w:cs="Times New Roman"/>
          <w:b/>
        </w:rPr>
        <w:br w:type="page"/>
      </w:r>
    </w:p>
    <w:p w:rsidR="00F83CC4" w:rsidRDefault="006C4BB8" w:rsidP="006C4BB8">
      <w:pPr>
        <w:pStyle w:val="Sinespaciado"/>
        <w:jc w:val="center"/>
        <w:rPr>
          <w:rFonts w:ascii="Times New Roman" w:hAnsi="Times New Roman" w:cs="Times New Roman"/>
          <w:b/>
        </w:rPr>
      </w:pPr>
      <w:r w:rsidRPr="006C4BB8">
        <w:rPr>
          <w:rFonts w:ascii="Times New Roman" w:hAnsi="Times New Roman" w:cs="Times New Roman"/>
          <w:b/>
        </w:rPr>
        <w:lastRenderedPageBreak/>
        <w:t>Colocación de Bonos del Tesoro</w:t>
      </w:r>
    </w:p>
    <w:p w:rsidR="006C4BB8" w:rsidRPr="006C4BB8" w:rsidRDefault="00CF3115" w:rsidP="006C4BB8">
      <w:pPr>
        <w:pStyle w:val="Sinespaciado"/>
        <w:jc w:val="center"/>
        <w:rPr>
          <w:rFonts w:ascii="Times New Roman" w:hAnsi="Times New Roman" w:cs="Times New Roman"/>
          <w:sz w:val="18"/>
        </w:rPr>
      </w:pPr>
      <w:r>
        <w:rPr>
          <w:rFonts w:ascii="Times New Roman" w:hAnsi="Times New Roman" w:cs="Times New Roman"/>
          <w:sz w:val="18"/>
        </w:rPr>
        <w:t xml:space="preserve">A </w:t>
      </w:r>
      <w:r w:rsidR="007F5739">
        <w:rPr>
          <w:rFonts w:ascii="Times New Roman" w:hAnsi="Times New Roman" w:cs="Times New Roman"/>
          <w:sz w:val="18"/>
        </w:rPr>
        <w:t>octubre</w:t>
      </w:r>
      <w:r w:rsidR="009263BB">
        <w:rPr>
          <w:rFonts w:ascii="Times New Roman" w:hAnsi="Times New Roman" w:cs="Times New Roman"/>
          <w:sz w:val="18"/>
        </w:rPr>
        <w:t xml:space="preserve"> </w:t>
      </w:r>
      <w:r w:rsidR="006C4BB8" w:rsidRPr="006C4BB8">
        <w:rPr>
          <w:rFonts w:ascii="Times New Roman" w:hAnsi="Times New Roman" w:cs="Times New Roman"/>
          <w:sz w:val="18"/>
        </w:rPr>
        <w:t>2019</w:t>
      </w:r>
    </w:p>
    <w:p w:rsidR="00F83CC4" w:rsidRDefault="006C4BB8" w:rsidP="00F83CC4">
      <w:pPr>
        <w:pStyle w:val="Sinespaciado"/>
        <w:jc w:val="center"/>
        <w:rPr>
          <w:rFonts w:ascii="Times New Roman" w:hAnsi="Times New Roman" w:cs="Times New Roman"/>
          <w:sz w:val="18"/>
        </w:rPr>
      </w:pPr>
      <w:r w:rsidRPr="006C4BB8">
        <w:rPr>
          <w:rFonts w:ascii="Times New Roman" w:hAnsi="Times New Roman" w:cs="Times New Roman"/>
          <w:sz w:val="18"/>
        </w:rPr>
        <w:t>Millones de quetzales y porcentajes</w:t>
      </w:r>
    </w:p>
    <w:p w:rsidR="00F83CC4" w:rsidRDefault="00F83CC4" w:rsidP="00F83CC4">
      <w:pPr>
        <w:pStyle w:val="Sinespaciado"/>
        <w:jc w:val="center"/>
        <w:rPr>
          <w:rFonts w:ascii="Times New Roman" w:hAnsi="Times New Roman" w:cs="Times New Roman"/>
          <w:sz w:val="18"/>
        </w:rPr>
      </w:pPr>
      <w:r>
        <w:rPr>
          <w:rFonts w:ascii="Times New Roman" w:hAnsi="Times New Roman" w:cs="Times New Roman"/>
          <w:noProof/>
          <w:lang w:eastAsia="es-GT"/>
        </w:rPr>
        <w:drawing>
          <wp:inline distT="0" distB="0" distL="0" distR="0" wp14:anchorId="6945BB41" wp14:editId="332D89C0">
            <wp:extent cx="2712818" cy="191910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1713" cy="1925393"/>
                    </a:xfrm>
                    <a:prstGeom prst="rect">
                      <a:avLst/>
                    </a:prstGeom>
                    <a:noFill/>
                  </pic:spPr>
                </pic:pic>
              </a:graphicData>
            </a:graphic>
          </wp:inline>
        </w:drawing>
      </w:r>
    </w:p>
    <w:p w:rsidR="00F83CC4" w:rsidRDefault="00F83CC4" w:rsidP="00F83CC4">
      <w:pPr>
        <w:pStyle w:val="Sinespaciado"/>
        <w:jc w:val="center"/>
        <w:rPr>
          <w:rFonts w:ascii="Times New Roman" w:hAnsi="Times New Roman" w:cs="Times New Roman"/>
        </w:rPr>
      </w:pPr>
    </w:p>
    <w:p w:rsidR="006C4BB8" w:rsidRDefault="006C4BB8" w:rsidP="00F83CC4">
      <w:pPr>
        <w:pStyle w:val="Sinespaciado"/>
        <w:jc w:val="center"/>
        <w:rPr>
          <w:rFonts w:ascii="Times New Roman" w:hAnsi="Times New Roman" w:cs="Times New Roman"/>
        </w:rPr>
      </w:pPr>
    </w:p>
    <w:p w:rsidR="00F83CC4" w:rsidRDefault="00F83CC4" w:rsidP="00F83CC4">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83CC4" w:rsidSect="00F83CC4">
          <w:headerReference w:type="default" r:id="rId19"/>
          <w:footerReference w:type="default" r:id="rId20"/>
          <w:type w:val="continuous"/>
          <w:pgSz w:w="12240" w:h="15840" w:code="1"/>
          <w:pgMar w:top="1418" w:right="1418" w:bottom="1418" w:left="1418" w:header="709" w:footer="709" w:gutter="0"/>
          <w:cols w:num="2" w:space="708"/>
          <w:docGrid w:linePitch="360"/>
        </w:sectPr>
      </w:pPr>
    </w:p>
    <w:p w:rsidR="00F83CC4" w:rsidRPr="00823719" w:rsidRDefault="00F83CC4" w:rsidP="00F83CC4">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83CC4" w:rsidRPr="00823719" w:rsidSect="00FA3B81">
          <w:type w:val="continuous"/>
          <w:pgSz w:w="12240" w:h="15840" w:code="1"/>
          <w:pgMar w:top="1418" w:right="1418" w:bottom="1418" w:left="1418" w:header="709" w:footer="709" w:gutter="0"/>
          <w:cols w:space="708"/>
          <w:docGrid w:linePitch="360"/>
        </w:sectPr>
      </w:pPr>
      <w:r w:rsidRPr="00823719">
        <w:rPr>
          <w:rFonts w:ascii="Times New Roman" w:hAnsi="Times New Roman" w:cs="Times New Roman"/>
          <w:b/>
          <w:lang w:val="es-MX"/>
        </w:rPr>
        <w:lastRenderedPageBreak/>
        <w:t>Ambientes macroeconómicos (externo e interno)</w:t>
      </w:r>
    </w:p>
    <w:p w:rsidR="00F83CC4" w:rsidRPr="003E2823" w:rsidRDefault="00F83CC4" w:rsidP="00F83CC4">
      <w:pPr>
        <w:pStyle w:val="Sinespaciado"/>
        <w:rPr>
          <w:rFonts w:ascii="Times New Roman" w:hAnsi="Times New Roman" w:cs="Times New Roman"/>
          <w:b/>
          <w:color w:val="FF0000"/>
          <w:sz w:val="18"/>
          <w:lang w:val="es-MX"/>
        </w:rPr>
      </w:pPr>
    </w:p>
    <w:p w:rsidR="00F83CC4" w:rsidRPr="003E2823" w:rsidRDefault="00F83CC4" w:rsidP="00F83CC4">
      <w:pPr>
        <w:pStyle w:val="Sinespaciado"/>
        <w:rPr>
          <w:rFonts w:ascii="Times New Roman" w:hAnsi="Times New Roman" w:cs="Times New Roman"/>
          <w:b/>
          <w:color w:val="FF0000"/>
          <w:sz w:val="28"/>
          <w:lang w:val="es-MX"/>
        </w:rPr>
        <w:sectPr w:rsidR="00F83CC4" w:rsidRPr="003E2823" w:rsidSect="004E358C">
          <w:type w:val="continuous"/>
          <w:pgSz w:w="12240" w:h="15840"/>
          <w:pgMar w:top="1417" w:right="1701" w:bottom="1417" w:left="1701" w:header="708" w:footer="708" w:gutter="0"/>
          <w:cols w:space="708"/>
          <w:docGrid w:linePitch="360"/>
        </w:sectPr>
      </w:pPr>
    </w:p>
    <w:p w:rsidR="00F83CC4" w:rsidRDefault="00F83CC4" w:rsidP="00F83CC4">
      <w:pPr>
        <w:pStyle w:val="Sinespaciado"/>
        <w:jc w:val="both"/>
        <w:rPr>
          <w:rFonts w:ascii="Times New Roman" w:hAnsi="Times New Roman" w:cs="Times New Roman"/>
          <w:lang w:val="es-MX"/>
        </w:rPr>
      </w:pPr>
      <w:r w:rsidRPr="00823719">
        <w:rPr>
          <w:rFonts w:ascii="Times New Roman" w:hAnsi="Times New Roman" w:cs="Times New Roman"/>
          <w:lang w:val="es-MX"/>
        </w:rPr>
        <w:lastRenderedPageBreak/>
        <w:t xml:space="preserve">Entre lo más relevante acontecido en octubre, se destaca el resultado del informe denominado Libro Beige de la Reserva Federal, en donde se destaca que la economía de Estados Unidos se expandió a un ritmo entre leve y modesto en el último trimestre. Dicho documento, que proporciona una evaluación de la economía detallada por los doce bancos centrales regionales estadounidenses con información recopilada antes del 7 de octubre, ha alertado de un enfriamiento de las previsiones económicas por el mantenimiento de las tensiones comerciales.  Algunos distritos informaron que las empresas manufactureras estaban reduciendo sus registros por falta de nuevos pedidos, en línea con los datos aportados en las últimas semanas por sucesivos informes del índice de gerentes de compras (PMI). </w:t>
      </w:r>
    </w:p>
    <w:p w:rsidR="00F83CC4" w:rsidRPr="00823719" w:rsidRDefault="00F83CC4" w:rsidP="00F83CC4">
      <w:pPr>
        <w:pStyle w:val="Sinespaciado"/>
        <w:jc w:val="both"/>
        <w:rPr>
          <w:rFonts w:ascii="Times New Roman" w:hAnsi="Times New Roman" w:cs="Times New Roman"/>
        </w:rPr>
      </w:pPr>
    </w:p>
    <w:p w:rsidR="00F83CC4" w:rsidRPr="00E83EB4" w:rsidRDefault="00F83CC4" w:rsidP="00F83CC4">
      <w:pPr>
        <w:pStyle w:val="Sinespaciado"/>
        <w:jc w:val="both"/>
        <w:rPr>
          <w:rFonts w:ascii="Times New Roman" w:hAnsi="Times New Roman" w:cs="Times New Roman"/>
          <w:color w:val="FF0000"/>
        </w:rPr>
      </w:pPr>
      <w:r w:rsidRPr="00E83EB4">
        <w:rPr>
          <w:rFonts w:ascii="Times New Roman" w:hAnsi="Times New Roman" w:cs="Times New Roman"/>
        </w:rPr>
        <w:t>El Fondo Monetario Internacional (FMI) rebajó sus previsiones de crecimiento para Latinoamérica</w:t>
      </w:r>
      <w:r>
        <w:rPr>
          <w:rFonts w:ascii="Times New Roman" w:hAnsi="Times New Roman" w:cs="Times New Roman"/>
        </w:rPr>
        <w:t xml:space="preserve"> hasta el 0.2</w:t>
      </w:r>
      <w:r w:rsidRPr="00E83EB4">
        <w:rPr>
          <w:rFonts w:ascii="Times New Roman" w:hAnsi="Times New Roman" w:cs="Times New Roman"/>
        </w:rPr>
        <w:t xml:space="preserve">% para este año, 4 décimas por debajo de lo pronosticado en julio, y para el 2020 se ubicará en </w:t>
      </w:r>
      <w:r>
        <w:rPr>
          <w:rFonts w:ascii="Times New Roman" w:hAnsi="Times New Roman" w:cs="Times New Roman"/>
        </w:rPr>
        <w:t>1.8</w:t>
      </w:r>
      <w:r w:rsidRPr="00E83EB4">
        <w:rPr>
          <w:rFonts w:ascii="Times New Roman" w:hAnsi="Times New Roman" w:cs="Times New Roman"/>
        </w:rPr>
        <w:t xml:space="preserve">%, cinco décimas menos de lo pronosticado en julio. </w:t>
      </w:r>
      <w:r>
        <w:rPr>
          <w:rFonts w:ascii="Times New Roman" w:hAnsi="Times New Roman" w:cs="Times New Roman"/>
        </w:rPr>
        <w:t>P</w:t>
      </w:r>
      <w:r w:rsidRPr="00E83EB4">
        <w:rPr>
          <w:rFonts w:ascii="Times New Roman" w:hAnsi="Times New Roman" w:cs="Times New Roman"/>
        </w:rPr>
        <w:t>ara el FMI esta revisión a la baja se debe a la evolución de Brasil, donde las interrupciones en el suministro minero lastraron la actividad del país en la primera</w:t>
      </w:r>
      <w:r>
        <w:rPr>
          <w:rFonts w:ascii="Times New Roman" w:hAnsi="Times New Roman" w:cs="Times New Roman"/>
        </w:rPr>
        <w:t xml:space="preserve"> mitad del año; a la evolución </w:t>
      </w:r>
      <w:r w:rsidRPr="00E83EB4">
        <w:rPr>
          <w:rFonts w:ascii="Times New Roman" w:hAnsi="Times New Roman" w:cs="Times New Roman"/>
        </w:rPr>
        <w:lastRenderedPageBreak/>
        <w:t>de México, donde la inversión sigue débil y el consumo privado se ha desacelerado por la incertidumbre política, la menor confianza y</w:t>
      </w:r>
      <w:r>
        <w:rPr>
          <w:rFonts w:ascii="Times New Roman" w:hAnsi="Times New Roman" w:cs="Times New Roman"/>
        </w:rPr>
        <w:t xml:space="preserve"> los mayores costes de la deuda.</w:t>
      </w:r>
      <w:r w:rsidRPr="00E83EB4">
        <w:rPr>
          <w:rFonts w:ascii="Times New Roman" w:hAnsi="Times New Roman" w:cs="Times New Roman"/>
        </w:rPr>
        <w:t xml:space="preserve">  </w:t>
      </w:r>
      <w:r>
        <w:rPr>
          <w:rFonts w:ascii="Times New Roman" w:hAnsi="Times New Roman" w:cs="Times New Roman"/>
        </w:rPr>
        <w:t xml:space="preserve">Así mismo, </w:t>
      </w:r>
      <w:r w:rsidRPr="00E83EB4">
        <w:rPr>
          <w:rFonts w:ascii="Times New Roman" w:hAnsi="Times New Roman" w:cs="Times New Roman"/>
        </w:rPr>
        <w:t xml:space="preserve">el FMI espera </w:t>
      </w:r>
      <w:r>
        <w:rPr>
          <w:rFonts w:ascii="Times New Roman" w:hAnsi="Times New Roman" w:cs="Times New Roman"/>
        </w:rPr>
        <w:t>que la economía de Argentina</w:t>
      </w:r>
      <w:r w:rsidRPr="00E83EB4">
        <w:rPr>
          <w:rFonts w:ascii="Times New Roman" w:hAnsi="Times New Roman" w:cs="Times New Roman"/>
        </w:rPr>
        <w:t xml:space="preserve"> siga contrayéndose este año, debido a una menor confianza, una mayor inestabilidad política y condiciones de finan</w:t>
      </w:r>
      <w:r>
        <w:rPr>
          <w:rFonts w:ascii="Times New Roman" w:hAnsi="Times New Roman" w:cs="Times New Roman"/>
        </w:rPr>
        <w:t>ciamiento externo más estrictas.</w:t>
      </w:r>
    </w:p>
    <w:p w:rsidR="00F83CC4" w:rsidRPr="00823719" w:rsidRDefault="00F83CC4" w:rsidP="00F83CC4">
      <w:pPr>
        <w:spacing w:after="0" w:line="240" w:lineRule="auto"/>
        <w:jc w:val="both"/>
        <w:rPr>
          <w:rFonts w:ascii="Times New Roman" w:hAnsi="Times New Roman" w:cs="Times New Roman"/>
          <w:color w:val="FF0000"/>
        </w:rPr>
      </w:pPr>
    </w:p>
    <w:p w:rsidR="00F83CC4" w:rsidRDefault="00F83CC4" w:rsidP="00F83CC4">
      <w:pPr>
        <w:spacing w:after="0" w:line="240" w:lineRule="auto"/>
        <w:jc w:val="both"/>
        <w:rPr>
          <w:rFonts w:ascii="Times New Roman" w:hAnsi="Times New Roman" w:cs="Times New Roman"/>
        </w:rPr>
      </w:pPr>
      <w:r w:rsidRPr="009F1C07">
        <w:rPr>
          <w:rFonts w:ascii="Times New Roman" w:hAnsi="Times New Roman" w:cs="Times New Roman"/>
        </w:rPr>
        <w:t xml:space="preserve">El Banco Central Europeo (BCE) decidió mantener el tipo de interés al que presta a los bancos semanalmente en 0% y la tasa de depósitos en -0.50%; también confirmó que reiniciará las compras de deuda el 1 de noviembre a un ritmo mensual de 20,000 millones de euros, hasta que inicie a elevar los tipos de interés.  Así mismo, afirmó que los últimos datos económicos disponibles indican un debilitamiento económico más prolongado de la economía de la zona euro.  </w:t>
      </w:r>
    </w:p>
    <w:p w:rsidR="00F83CC4" w:rsidRPr="009F1C07" w:rsidRDefault="00F83CC4" w:rsidP="00F83CC4">
      <w:pPr>
        <w:spacing w:after="0" w:line="240" w:lineRule="auto"/>
        <w:jc w:val="both"/>
        <w:rPr>
          <w:rFonts w:ascii="Times New Roman" w:hAnsi="Times New Roman" w:cs="Times New Roman"/>
        </w:rPr>
      </w:pPr>
    </w:p>
    <w:p w:rsidR="00F83CC4" w:rsidRDefault="00F83CC4" w:rsidP="00F83CC4">
      <w:pPr>
        <w:spacing w:after="0" w:line="240" w:lineRule="auto"/>
        <w:jc w:val="both"/>
        <w:rPr>
          <w:rFonts w:ascii="Times New Roman" w:hAnsi="Times New Roman" w:cs="Times New Roman"/>
          <w:lang w:val="es-MX"/>
        </w:rPr>
      </w:pPr>
      <w:r w:rsidRPr="009C5F4E">
        <w:rPr>
          <w:rFonts w:ascii="Times New Roman" w:hAnsi="Times New Roman" w:cs="Times New Roman"/>
          <w:lang w:val="es-MX"/>
        </w:rPr>
        <w:t xml:space="preserve">La economía de China creció 6% en el tercer trimestre del año, inferior al 6.2% del trimestre pasado, de acuerdo a la primera estimación realizada por la Oficina Nacional de Estadísticas. Esta desaceleración está marcada por el impacto de la guerra comercial con Estados Unidos que ya dura un año y medio y </w:t>
      </w:r>
      <w:r w:rsidRPr="009C5F4E">
        <w:rPr>
          <w:rFonts w:ascii="Times New Roman" w:hAnsi="Times New Roman" w:cs="Times New Roman"/>
          <w:lang w:val="es-MX"/>
        </w:rPr>
        <w:lastRenderedPageBreak/>
        <w:t>que ha desacelerado progresivamente la economía resultando en pérdidas de decimas con cada dato publicado desde 2018. De acuerdo al informe</w:t>
      </w:r>
      <w:r>
        <w:rPr>
          <w:rFonts w:ascii="Times New Roman" w:hAnsi="Times New Roman" w:cs="Times New Roman"/>
          <w:lang w:val="es-MX"/>
        </w:rPr>
        <w:t xml:space="preserve"> de la oficina</w:t>
      </w:r>
      <w:r w:rsidRPr="009C5F4E">
        <w:rPr>
          <w:rFonts w:ascii="Times New Roman" w:hAnsi="Times New Roman" w:cs="Times New Roman"/>
          <w:lang w:val="es-MX"/>
        </w:rPr>
        <w:t xml:space="preserve">, aun así, el país se mantiene en la senda de cumplir con el objetivo de crecimiento anual marcado por el gobierno, fijado entre el 6.0% y el 6.5%, y de doblar su tamaño en 2020 con respecto a una década atrás.  </w:t>
      </w:r>
    </w:p>
    <w:p w:rsidR="00F83CC4" w:rsidRDefault="00F83CC4" w:rsidP="00F83CC4">
      <w:pPr>
        <w:pStyle w:val="Sinespaciado"/>
        <w:jc w:val="both"/>
        <w:rPr>
          <w:rFonts w:ascii="Times New Roman" w:hAnsi="Times New Roman" w:cs="Times New Roman"/>
          <w:lang w:val="es-MX"/>
        </w:rPr>
      </w:pPr>
    </w:p>
    <w:p w:rsidR="00F83CC4" w:rsidRPr="00A67992" w:rsidRDefault="00F83CC4" w:rsidP="00F83CC4">
      <w:pPr>
        <w:pStyle w:val="Sinespaciado"/>
        <w:jc w:val="both"/>
        <w:rPr>
          <w:rFonts w:ascii="Times New Roman" w:hAnsi="Times New Roman" w:cs="Times New Roman"/>
        </w:rPr>
      </w:pPr>
      <w:r w:rsidRPr="00E82591">
        <w:rPr>
          <w:rFonts w:ascii="Times New Roman" w:hAnsi="Times New Roman" w:cs="Times New Roman"/>
        </w:rPr>
        <w:t xml:space="preserve">El Banco Mundial señaló que las remesas hacia los países de ingresos bajos y medianos, entre los cuales podemos encontrar a América Latina, alcanzarán este año los US$ 551 mil millones, un aumento del 4.7% con respecto a 2018. De acuerdo al banco, este total supera las ayudas oficiales y podría ser mayor que las inversiones extranjeras directas a los países de medios y bajos ingresos.   Al concluir el 2019, América Latina y el Caribe registrarán el mayor crecimiento de las remesas en todo el mundo, un 7.8%, gracias a la continua fortaleza de </w:t>
      </w:r>
      <w:r w:rsidRPr="00A67992">
        <w:rPr>
          <w:rFonts w:ascii="Times New Roman" w:hAnsi="Times New Roman" w:cs="Times New Roman"/>
        </w:rPr>
        <w:t>la economía de Estados Unidos y el bajo desempleo; México, junto a China, Filipinas, la India y Egipto, será uno de los principales receptores de este incremento, y Haití se incluye entre los cinco primeros receptores entre los países de economías más pequeñas. Se proyecta que el total de estos flujos alcance los US$ 597 mil millones en 2021.</w:t>
      </w:r>
    </w:p>
    <w:p w:rsidR="00F83CC4" w:rsidRPr="00A67992" w:rsidRDefault="00F83CC4" w:rsidP="00F83CC4">
      <w:pPr>
        <w:spacing w:after="0" w:line="240" w:lineRule="auto"/>
        <w:jc w:val="both"/>
        <w:rPr>
          <w:rFonts w:ascii="Times New Roman" w:hAnsi="Times New Roman" w:cs="Times New Roman"/>
          <w:lang w:val="es-MX"/>
        </w:rPr>
      </w:pPr>
    </w:p>
    <w:p w:rsidR="00F83CC4" w:rsidRPr="00A67992" w:rsidRDefault="00F83CC4" w:rsidP="00F83CC4">
      <w:pPr>
        <w:spacing w:after="0" w:line="240" w:lineRule="auto"/>
        <w:jc w:val="both"/>
        <w:rPr>
          <w:rFonts w:ascii="Times New Roman" w:hAnsi="Times New Roman" w:cs="Times New Roman"/>
          <w:lang w:val="es-MX"/>
        </w:rPr>
      </w:pPr>
      <w:r w:rsidRPr="00A67992">
        <w:rPr>
          <w:rFonts w:ascii="Times New Roman" w:hAnsi="Times New Roman" w:cs="Times New Roman"/>
          <w:lang w:val="es-MX"/>
        </w:rPr>
        <w:t>El comportamiento de los principales indicadores del ciclo económico a nivel internacional, monitoreados en el modelo de alertas tempranas indica que en octubre 2019 se aprecia un escenario interanual un tanto pesimista, principalmente en el ingreso por exportaciones y la inversión interna que continúa reflejando la debilidad de la demanda global y el aumento de los costos atribuido a los aranceles impuestos. Así mismo, los resultados evidencian que el consumo, la producción de Estados Unidos y Europa, las exportaciones y el comercio continúan en desaceleración.</w:t>
      </w:r>
    </w:p>
    <w:p w:rsidR="00F83CC4" w:rsidRDefault="00F83CC4" w:rsidP="00F83CC4">
      <w:pPr>
        <w:spacing w:after="0" w:line="240" w:lineRule="auto"/>
        <w:jc w:val="both"/>
        <w:rPr>
          <w:rFonts w:ascii="Times New Roman" w:hAnsi="Times New Roman" w:cs="Times New Roman"/>
          <w:lang w:val="es-MX"/>
        </w:rPr>
      </w:pPr>
    </w:p>
    <w:p w:rsidR="0080496D" w:rsidRDefault="0080496D" w:rsidP="00F83CC4">
      <w:pPr>
        <w:spacing w:after="0" w:line="240" w:lineRule="auto"/>
        <w:jc w:val="both"/>
        <w:rPr>
          <w:rFonts w:ascii="Times New Roman" w:hAnsi="Times New Roman" w:cs="Times New Roman"/>
          <w:lang w:val="es-MX"/>
        </w:rPr>
      </w:pPr>
    </w:p>
    <w:p w:rsidR="00F83CC4" w:rsidRPr="00A67992" w:rsidRDefault="00F83CC4" w:rsidP="00F83CC4">
      <w:pPr>
        <w:pStyle w:val="Sinespaciado"/>
        <w:ind w:right="-188"/>
        <w:jc w:val="center"/>
        <w:rPr>
          <w:rFonts w:ascii="Times New Roman" w:hAnsi="Times New Roman" w:cs="Times New Roman"/>
          <w:b/>
        </w:rPr>
      </w:pPr>
      <w:r w:rsidRPr="00A67992">
        <w:rPr>
          <w:rFonts w:ascii="Times New Roman" w:hAnsi="Times New Roman" w:cs="Times New Roman"/>
          <w:b/>
        </w:rPr>
        <w:lastRenderedPageBreak/>
        <w:t>Indicadores de Alertas Tempranas</w:t>
      </w:r>
    </w:p>
    <w:p w:rsidR="00F83CC4" w:rsidRPr="00A67992" w:rsidRDefault="00F83CC4" w:rsidP="00F83CC4">
      <w:pPr>
        <w:pStyle w:val="Sinespaciado"/>
        <w:ind w:right="-188"/>
        <w:jc w:val="center"/>
        <w:rPr>
          <w:rFonts w:ascii="Times New Roman" w:hAnsi="Times New Roman" w:cs="Times New Roman"/>
          <w:sz w:val="18"/>
        </w:rPr>
      </w:pPr>
      <w:r w:rsidRPr="00A67992">
        <w:rPr>
          <w:rFonts w:ascii="Times New Roman" w:hAnsi="Times New Roman" w:cs="Times New Roman"/>
          <w:sz w:val="18"/>
        </w:rPr>
        <w:t>Ciclo Económico Internacional</w:t>
      </w:r>
    </w:p>
    <w:p w:rsidR="00F83CC4" w:rsidRPr="00A67992" w:rsidRDefault="00F83CC4" w:rsidP="00F83CC4">
      <w:pPr>
        <w:pStyle w:val="Sinespaciado"/>
        <w:ind w:right="-188"/>
        <w:jc w:val="center"/>
        <w:rPr>
          <w:rFonts w:ascii="Times New Roman" w:hAnsi="Times New Roman" w:cs="Times New Roman"/>
          <w:sz w:val="18"/>
        </w:rPr>
      </w:pPr>
      <w:r w:rsidRPr="00A67992">
        <w:rPr>
          <w:rFonts w:ascii="Times New Roman" w:hAnsi="Times New Roman" w:cs="Times New Roman"/>
          <w:sz w:val="18"/>
        </w:rPr>
        <w:t>Octubre 2018 - 2019</w:t>
      </w:r>
    </w:p>
    <w:p w:rsidR="00F83CC4" w:rsidRPr="00A67992" w:rsidRDefault="00F83CC4" w:rsidP="00F83CC4">
      <w:pPr>
        <w:pStyle w:val="Sinespaciado"/>
        <w:ind w:right="-188"/>
        <w:jc w:val="both"/>
        <w:rPr>
          <w:rFonts w:ascii="Times New Roman" w:hAnsi="Times New Roman" w:cs="Times New Roman"/>
        </w:rPr>
      </w:pPr>
      <w:r w:rsidRPr="00A67992">
        <w:rPr>
          <w:rFonts w:ascii="Times New Roman" w:hAnsi="Times New Roman" w:cs="Times New Roman"/>
          <w:noProof/>
          <w:lang w:eastAsia="es-GT"/>
        </w:rPr>
        <w:drawing>
          <wp:inline distT="0" distB="0" distL="0" distR="0" wp14:anchorId="2BD8679A" wp14:editId="280B4AD9">
            <wp:extent cx="2670175" cy="192055"/>
            <wp:effectExtent l="0" t="0" r="0" b="0"/>
            <wp:docPr id="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1022" cy="196431"/>
                    </a:xfrm>
                    <a:prstGeom prst="rect">
                      <a:avLst/>
                    </a:prstGeom>
                    <a:noFill/>
                    <a:ln>
                      <a:noFill/>
                    </a:ln>
                  </pic:spPr>
                </pic:pic>
              </a:graphicData>
            </a:graphic>
          </wp:inline>
        </w:drawing>
      </w:r>
    </w:p>
    <w:p w:rsidR="00F83CC4" w:rsidRPr="00A67992" w:rsidRDefault="00F83CC4" w:rsidP="00F83CC4">
      <w:pPr>
        <w:pStyle w:val="Sinespaciado"/>
        <w:ind w:right="-188"/>
        <w:jc w:val="center"/>
        <w:rPr>
          <w:rFonts w:ascii="Times New Roman" w:hAnsi="Times New Roman" w:cs="Times New Roman"/>
          <w:b/>
        </w:rPr>
      </w:pPr>
      <w:r w:rsidRPr="00661E2A">
        <w:rPr>
          <w:rFonts w:ascii="Times New Roman" w:hAnsi="Times New Roman" w:cs="Times New Roman"/>
          <w:b/>
          <w:sz w:val="20"/>
        </w:rPr>
        <w:t>Octubre 2018</w:t>
      </w:r>
    </w:p>
    <w:p w:rsidR="00F83CC4" w:rsidRPr="00A67992" w:rsidRDefault="00F83CC4" w:rsidP="00F83CC4">
      <w:pPr>
        <w:pStyle w:val="Sinespaciado"/>
        <w:ind w:right="-188"/>
        <w:jc w:val="both"/>
        <w:rPr>
          <w:rFonts w:ascii="Times New Roman" w:hAnsi="Times New Roman" w:cs="Times New Roman"/>
        </w:rPr>
      </w:pPr>
      <w:r w:rsidRPr="00A67992">
        <w:rPr>
          <w:noProof/>
          <w:lang w:eastAsia="es-GT"/>
        </w:rPr>
        <w:drawing>
          <wp:inline distT="0" distB="0" distL="0" distR="0" wp14:anchorId="544340BF" wp14:editId="3317B807">
            <wp:extent cx="2670175" cy="1066077"/>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0175" cy="1066077"/>
                    </a:xfrm>
                    <a:prstGeom prst="rect">
                      <a:avLst/>
                    </a:prstGeom>
                    <a:noFill/>
                    <a:ln>
                      <a:noFill/>
                    </a:ln>
                  </pic:spPr>
                </pic:pic>
              </a:graphicData>
            </a:graphic>
          </wp:inline>
        </w:drawing>
      </w:r>
    </w:p>
    <w:p w:rsidR="00F83CC4" w:rsidRPr="00661E2A" w:rsidRDefault="00F83CC4" w:rsidP="00F83CC4">
      <w:pPr>
        <w:pStyle w:val="Sinespaciado"/>
        <w:ind w:right="-188"/>
        <w:jc w:val="center"/>
        <w:rPr>
          <w:rFonts w:ascii="Times New Roman" w:hAnsi="Times New Roman" w:cs="Times New Roman"/>
          <w:b/>
          <w:sz w:val="20"/>
        </w:rPr>
      </w:pPr>
      <w:r w:rsidRPr="00661E2A">
        <w:rPr>
          <w:rFonts w:ascii="Times New Roman" w:hAnsi="Times New Roman" w:cs="Times New Roman"/>
          <w:b/>
          <w:sz w:val="20"/>
        </w:rPr>
        <w:t>Octubre 2019*</w:t>
      </w:r>
    </w:p>
    <w:p w:rsidR="00F83CC4" w:rsidRPr="00A67992" w:rsidRDefault="00F83CC4" w:rsidP="00F83CC4">
      <w:pPr>
        <w:pStyle w:val="Sinespaciado"/>
        <w:ind w:right="-188"/>
        <w:jc w:val="both"/>
        <w:rPr>
          <w:rFonts w:ascii="Times New Roman" w:hAnsi="Times New Roman" w:cs="Times New Roman"/>
        </w:rPr>
      </w:pPr>
      <w:r w:rsidRPr="00A67992">
        <w:rPr>
          <w:noProof/>
          <w:lang w:eastAsia="es-GT"/>
        </w:rPr>
        <w:drawing>
          <wp:inline distT="0" distB="0" distL="0" distR="0" wp14:anchorId="2FFBB9D0" wp14:editId="67142F29">
            <wp:extent cx="2670175" cy="1066077"/>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0175" cy="1066077"/>
                    </a:xfrm>
                    <a:prstGeom prst="rect">
                      <a:avLst/>
                    </a:prstGeom>
                    <a:noFill/>
                    <a:ln>
                      <a:noFill/>
                    </a:ln>
                  </pic:spPr>
                </pic:pic>
              </a:graphicData>
            </a:graphic>
          </wp:inline>
        </w:drawing>
      </w:r>
    </w:p>
    <w:p w:rsidR="00F83CC4" w:rsidRPr="00A67992" w:rsidRDefault="00F83CC4" w:rsidP="00F83CC4">
      <w:pPr>
        <w:pStyle w:val="Sinespaciado"/>
        <w:ind w:right="-188"/>
        <w:jc w:val="both"/>
        <w:rPr>
          <w:rFonts w:ascii="Times New Roman" w:hAnsi="Times New Roman" w:cs="Times New Roman"/>
          <w:sz w:val="18"/>
        </w:rPr>
      </w:pPr>
      <w:r w:rsidRPr="00A67992">
        <w:rPr>
          <w:rFonts w:ascii="Times New Roman" w:hAnsi="Times New Roman" w:cs="Times New Roman"/>
          <w:sz w:val="18"/>
        </w:rPr>
        <w:t>Fuente: DAPF /Ministerio de Finanzas Públicas.</w:t>
      </w:r>
    </w:p>
    <w:p w:rsidR="00F83CC4" w:rsidRPr="00A67992" w:rsidRDefault="00F83CC4" w:rsidP="00F83CC4">
      <w:pPr>
        <w:pStyle w:val="Sinespaciado"/>
        <w:ind w:right="-188"/>
        <w:jc w:val="both"/>
        <w:rPr>
          <w:rFonts w:ascii="Times New Roman" w:hAnsi="Times New Roman" w:cs="Times New Roman"/>
          <w:sz w:val="18"/>
        </w:rPr>
      </w:pPr>
      <w:r w:rsidRPr="00A67992">
        <w:rPr>
          <w:rFonts w:ascii="Times New Roman" w:hAnsi="Times New Roman" w:cs="Times New Roman"/>
          <w:sz w:val="18"/>
        </w:rPr>
        <w:t>*Estimado.</w:t>
      </w:r>
    </w:p>
    <w:p w:rsidR="00F83CC4" w:rsidRPr="00A67992" w:rsidRDefault="00F83CC4" w:rsidP="00F83CC4">
      <w:pPr>
        <w:pStyle w:val="Sinespaciado"/>
        <w:jc w:val="both"/>
        <w:rPr>
          <w:rFonts w:ascii="Times New Roman" w:eastAsia="Times New Roman" w:hAnsi="Times New Roman" w:cs="Times New Roman"/>
          <w:sz w:val="18"/>
          <w:lang w:val="es-MX"/>
        </w:rPr>
      </w:pPr>
    </w:p>
    <w:p w:rsidR="00F83CC4" w:rsidRPr="00A67992" w:rsidRDefault="00F83CC4" w:rsidP="00F83CC4">
      <w:pPr>
        <w:pStyle w:val="Sinespaciado"/>
        <w:jc w:val="both"/>
        <w:rPr>
          <w:rFonts w:ascii="Times New Roman" w:eastAsia="Times New Roman" w:hAnsi="Times New Roman" w:cs="Times New Roman"/>
          <w:lang w:val="es-MX"/>
        </w:rPr>
      </w:pPr>
      <w:r w:rsidRPr="00A67992">
        <w:rPr>
          <w:rFonts w:ascii="Times New Roman" w:eastAsia="Times New Roman" w:hAnsi="Times New Roman" w:cs="Times New Roman"/>
          <w:lang w:val="es-MX"/>
        </w:rPr>
        <w:t xml:space="preserve">En el entorno interno, la percepción sobre la situación económica actual y el ambiente para los negocios aumentó, el nivel del Índice de Confianza de la Actividad Económica se situó en 52.92 puntos, superior en 12.40% con respecto al registrado el mes anterior y también superior en 18.07% respecto al registrado en septiembre 2018.   Así mismo, se espera un ritmo inflacionario de 3.50% para octubre, 3.81% para noviembre y 3.94% para diciembre 2019; en un horizonte de 12 y 24 meses se esperaría un ritmo de 4.18% y 4.22% respectivamente.  </w:t>
      </w:r>
    </w:p>
    <w:p w:rsidR="00F83CC4" w:rsidRPr="00A67992" w:rsidRDefault="00F83CC4" w:rsidP="00F83CC4">
      <w:pPr>
        <w:pStyle w:val="Sinespaciado"/>
        <w:jc w:val="both"/>
        <w:rPr>
          <w:rFonts w:ascii="Times New Roman" w:eastAsia="Times New Roman" w:hAnsi="Times New Roman" w:cs="Times New Roman"/>
          <w:lang w:val="es-MX"/>
        </w:rPr>
      </w:pPr>
    </w:p>
    <w:p w:rsidR="00F83CC4" w:rsidRPr="00A67992" w:rsidRDefault="00F83CC4" w:rsidP="00F83CC4">
      <w:pPr>
        <w:pStyle w:val="Sinespaciado"/>
        <w:jc w:val="both"/>
        <w:rPr>
          <w:rFonts w:ascii="Times New Roman" w:eastAsia="Times New Roman" w:hAnsi="Times New Roman" w:cs="Times New Roman"/>
          <w:lang w:val="es-MX"/>
        </w:rPr>
      </w:pPr>
      <w:r w:rsidRPr="00A67992">
        <w:rPr>
          <w:rFonts w:ascii="Times New Roman" w:eastAsia="Times New Roman" w:hAnsi="Times New Roman" w:cs="Times New Roman"/>
          <w:lang w:val="es-MX"/>
        </w:rPr>
        <w:t>La actividad económica medida a través del IMAE muestra que existió un crecimiento de 4.2% en septiembre 2019, menor al 3.6% del año anterior; el resultado, de acuerdo a la más reciente publicación del Banco de Guatemala, estuvo impulsado por el desempeño positivo de las actividades económicas como Comercio al por mayor y menor, Servicios privados y Transporte, almacenamiento y comunicaciones.</w:t>
      </w:r>
    </w:p>
    <w:p w:rsidR="00F83CC4" w:rsidRPr="00A67992" w:rsidRDefault="00F83CC4" w:rsidP="00F83CC4">
      <w:pPr>
        <w:pStyle w:val="Sinespaciado"/>
        <w:jc w:val="both"/>
        <w:rPr>
          <w:rFonts w:ascii="Times New Roman" w:hAnsi="Times New Roman" w:cs="Times New Roman"/>
          <w:lang w:val="es-MX"/>
        </w:rPr>
      </w:pPr>
    </w:p>
    <w:p w:rsidR="00F83CC4" w:rsidRPr="00A67992" w:rsidRDefault="00F83CC4" w:rsidP="00F83CC4">
      <w:pPr>
        <w:pStyle w:val="Sinespaciado"/>
        <w:jc w:val="both"/>
        <w:rPr>
          <w:rFonts w:ascii="Times New Roman" w:hAnsi="Times New Roman" w:cs="Times New Roman"/>
        </w:rPr>
      </w:pPr>
      <w:r w:rsidRPr="00A67992">
        <w:rPr>
          <w:rFonts w:ascii="Times New Roman" w:hAnsi="Times New Roman" w:cs="Times New Roman"/>
        </w:rPr>
        <w:lastRenderedPageBreak/>
        <w:t>El comportamiento de los principales indicadores del ciclo económico analizados en el modelo de alertas tempranas en octubre 2019 es más favorable que el escenario del año anterior.  A pesar de ello, los ingresos del Fisco se encuentran en desaceleración, es decir, el crecimiento promedio anual en el 2019, es menor que el del año anterior.</w:t>
      </w:r>
    </w:p>
    <w:p w:rsidR="00F83CC4" w:rsidRDefault="00F83CC4" w:rsidP="00F83CC4">
      <w:pPr>
        <w:pStyle w:val="Sinespaciado"/>
        <w:jc w:val="both"/>
        <w:rPr>
          <w:rFonts w:ascii="Times New Roman" w:hAnsi="Times New Roman" w:cs="Times New Roman"/>
        </w:rPr>
      </w:pPr>
      <w:r w:rsidRPr="00A67992">
        <w:rPr>
          <w:rFonts w:ascii="Times New Roman" w:hAnsi="Times New Roman" w:cs="Times New Roman"/>
        </w:rPr>
        <w:t xml:space="preserve"> </w:t>
      </w:r>
    </w:p>
    <w:p w:rsidR="00F83CC4" w:rsidRPr="00A67992" w:rsidRDefault="00F83CC4" w:rsidP="00F83CC4">
      <w:pPr>
        <w:pStyle w:val="Sinespaciado"/>
        <w:ind w:right="-188"/>
        <w:jc w:val="center"/>
        <w:rPr>
          <w:rFonts w:ascii="Times New Roman" w:hAnsi="Times New Roman" w:cs="Times New Roman"/>
          <w:b/>
          <w:sz w:val="24"/>
        </w:rPr>
      </w:pPr>
      <w:r w:rsidRPr="00A67992">
        <w:rPr>
          <w:rFonts w:ascii="Times New Roman" w:hAnsi="Times New Roman" w:cs="Times New Roman"/>
          <w:b/>
          <w:sz w:val="24"/>
        </w:rPr>
        <w:t>Indicadores de Alertas Tempranas</w:t>
      </w:r>
    </w:p>
    <w:p w:rsidR="00F83CC4" w:rsidRPr="00A67992" w:rsidRDefault="00F83CC4" w:rsidP="00F83CC4">
      <w:pPr>
        <w:pStyle w:val="Sinespaciado"/>
        <w:ind w:right="-188"/>
        <w:jc w:val="center"/>
        <w:rPr>
          <w:rFonts w:ascii="Times New Roman" w:hAnsi="Times New Roman" w:cs="Times New Roman"/>
          <w:sz w:val="18"/>
        </w:rPr>
      </w:pPr>
      <w:r w:rsidRPr="00A67992">
        <w:rPr>
          <w:rFonts w:ascii="Times New Roman" w:hAnsi="Times New Roman" w:cs="Times New Roman"/>
          <w:sz w:val="18"/>
        </w:rPr>
        <w:t>Ciclo Económico Nacional</w:t>
      </w:r>
    </w:p>
    <w:p w:rsidR="00F83CC4" w:rsidRPr="00A67992" w:rsidRDefault="00F83CC4" w:rsidP="00F83CC4">
      <w:pPr>
        <w:pStyle w:val="Sinespaciado"/>
        <w:ind w:right="-188"/>
        <w:jc w:val="center"/>
        <w:rPr>
          <w:rFonts w:ascii="Times New Roman" w:hAnsi="Times New Roman" w:cs="Times New Roman"/>
          <w:sz w:val="18"/>
        </w:rPr>
      </w:pPr>
      <w:r w:rsidRPr="00A67992">
        <w:rPr>
          <w:rFonts w:ascii="Times New Roman" w:hAnsi="Times New Roman" w:cs="Times New Roman"/>
          <w:sz w:val="18"/>
        </w:rPr>
        <w:t>Octubre 2018 - 2019</w:t>
      </w:r>
    </w:p>
    <w:p w:rsidR="00F83CC4" w:rsidRPr="00A67992" w:rsidRDefault="00F83CC4" w:rsidP="00F83CC4">
      <w:pPr>
        <w:pStyle w:val="Sinespaciado"/>
        <w:ind w:right="-188"/>
        <w:jc w:val="both"/>
        <w:rPr>
          <w:rFonts w:ascii="Times New Roman" w:hAnsi="Times New Roman" w:cs="Times New Roman"/>
        </w:rPr>
      </w:pPr>
      <w:r w:rsidRPr="00A67992">
        <w:rPr>
          <w:rFonts w:ascii="Times New Roman" w:hAnsi="Times New Roman" w:cs="Times New Roman"/>
          <w:noProof/>
          <w:lang w:eastAsia="es-GT"/>
        </w:rPr>
        <w:drawing>
          <wp:inline distT="0" distB="0" distL="0" distR="0" wp14:anchorId="0C62267E" wp14:editId="2C6B6726">
            <wp:extent cx="2670175" cy="192501"/>
            <wp:effectExtent l="0" t="0" r="0" b="0"/>
            <wp:docPr id="16"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0451" cy="204056"/>
                    </a:xfrm>
                    <a:prstGeom prst="rect">
                      <a:avLst/>
                    </a:prstGeom>
                    <a:noFill/>
                    <a:ln>
                      <a:noFill/>
                    </a:ln>
                  </pic:spPr>
                </pic:pic>
              </a:graphicData>
            </a:graphic>
          </wp:inline>
        </w:drawing>
      </w:r>
    </w:p>
    <w:p w:rsidR="00F83CC4" w:rsidRPr="00A67992" w:rsidRDefault="00F83CC4" w:rsidP="00F83CC4">
      <w:pPr>
        <w:pStyle w:val="Sinespaciado"/>
        <w:ind w:right="-188"/>
        <w:jc w:val="center"/>
        <w:rPr>
          <w:rFonts w:ascii="Times New Roman" w:hAnsi="Times New Roman" w:cs="Times New Roman"/>
          <w:b/>
          <w:sz w:val="20"/>
        </w:rPr>
      </w:pPr>
      <w:r w:rsidRPr="00A67992">
        <w:rPr>
          <w:rFonts w:ascii="Times New Roman" w:hAnsi="Times New Roman" w:cs="Times New Roman"/>
          <w:b/>
          <w:sz w:val="20"/>
        </w:rPr>
        <w:t>Octubre 2018</w:t>
      </w:r>
    </w:p>
    <w:p w:rsidR="00F83CC4" w:rsidRPr="00A67992" w:rsidRDefault="00F83CC4" w:rsidP="00F83CC4">
      <w:pPr>
        <w:pStyle w:val="Sinespaciado"/>
        <w:ind w:right="-188"/>
        <w:jc w:val="both"/>
        <w:rPr>
          <w:rFonts w:ascii="Times New Roman" w:hAnsi="Times New Roman" w:cs="Times New Roman"/>
        </w:rPr>
      </w:pPr>
      <w:bookmarkStart w:id="0" w:name="_GoBack"/>
      <w:r w:rsidRPr="00A67992">
        <w:rPr>
          <w:noProof/>
          <w:lang w:eastAsia="es-GT"/>
        </w:rPr>
        <w:lastRenderedPageBreak/>
        <w:drawing>
          <wp:inline distT="0" distB="0" distL="0" distR="0" wp14:anchorId="2F60D933" wp14:editId="31793C71">
            <wp:extent cx="2668905" cy="1304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1944" cy="1306411"/>
                    </a:xfrm>
                    <a:prstGeom prst="rect">
                      <a:avLst/>
                    </a:prstGeom>
                    <a:noFill/>
                    <a:ln>
                      <a:noFill/>
                    </a:ln>
                  </pic:spPr>
                </pic:pic>
              </a:graphicData>
            </a:graphic>
          </wp:inline>
        </w:drawing>
      </w:r>
      <w:bookmarkEnd w:id="0"/>
    </w:p>
    <w:p w:rsidR="00F83CC4" w:rsidRPr="00A67992" w:rsidRDefault="00F83CC4" w:rsidP="00F83CC4">
      <w:pPr>
        <w:pStyle w:val="Sinespaciado"/>
        <w:ind w:right="-188"/>
        <w:jc w:val="center"/>
        <w:rPr>
          <w:rFonts w:ascii="Times New Roman" w:hAnsi="Times New Roman" w:cs="Times New Roman"/>
          <w:b/>
          <w:sz w:val="20"/>
        </w:rPr>
      </w:pPr>
      <w:r w:rsidRPr="00A67992">
        <w:rPr>
          <w:rFonts w:ascii="Times New Roman" w:hAnsi="Times New Roman" w:cs="Times New Roman"/>
          <w:b/>
          <w:sz w:val="20"/>
        </w:rPr>
        <w:t>Octubre 2019*</w:t>
      </w:r>
    </w:p>
    <w:p w:rsidR="00F83CC4" w:rsidRPr="00A67992" w:rsidRDefault="00F83CC4" w:rsidP="00F83CC4">
      <w:pPr>
        <w:pStyle w:val="Sinespaciado"/>
        <w:ind w:right="-188"/>
        <w:jc w:val="both"/>
        <w:rPr>
          <w:rFonts w:ascii="Times New Roman" w:hAnsi="Times New Roman" w:cs="Times New Roman"/>
        </w:rPr>
      </w:pPr>
      <w:r w:rsidRPr="00A67992">
        <w:rPr>
          <w:noProof/>
          <w:lang w:eastAsia="es-GT"/>
        </w:rPr>
        <w:drawing>
          <wp:inline distT="0" distB="0" distL="0" distR="0" wp14:anchorId="13107666" wp14:editId="799AD522">
            <wp:extent cx="2668905" cy="1352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2385" cy="1354314"/>
                    </a:xfrm>
                    <a:prstGeom prst="rect">
                      <a:avLst/>
                    </a:prstGeom>
                    <a:noFill/>
                    <a:ln>
                      <a:noFill/>
                    </a:ln>
                  </pic:spPr>
                </pic:pic>
              </a:graphicData>
            </a:graphic>
          </wp:inline>
        </w:drawing>
      </w:r>
    </w:p>
    <w:p w:rsidR="00F83CC4" w:rsidRPr="00A67992" w:rsidRDefault="00F83CC4" w:rsidP="00F83CC4">
      <w:pPr>
        <w:pStyle w:val="Sinespaciado"/>
        <w:ind w:right="-188"/>
        <w:jc w:val="both"/>
        <w:rPr>
          <w:rFonts w:ascii="Times New Roman" w:hAnsi="Times New Roman" w:cs="Times New Roman"/>
          <w:sz w:val="16"/>
        </w:rPr>
      </w:pPr>
      <w:r w:rsidRPr="00A67992">
        <w:rPr>
          <w:rFonts w:ascii="Times New Roman" w:hAnsi="Times New Roman" w:cs="Times New Roman"/>
          <w:sz w:val="16"/>
        </w:rPr>
        <w:t>Fuente: DAPF /Ministerio de Finanzas Públicas.</w:t>
      </w:r>
    </w:p>
    <w:p w:rsidR="00F83CC4" w:rsidRDefault="00F83CC4" w:rsidP="00F83CC4">
      <w:pPr>
        <w:pStyle w:val="Sinespaciado"/>
        <w:ind w:right="-188"/>
        <w:jc w:val="both"/>
        <w:rPr>
          <w:rFonts w:ascii="Times New Roman" w:hAnsi="Times New Roman" w:cs="Times New Roman"/>
          <w:sz w:val="16"/>
        </w:rPr>
      </w:pPr>
      <w:r w:rsidRPr="00A67992">
        <w:rPr>
          <w:rFonts w:ascii="Times New Roman" w:hAnsi="Times New Roman" w:cs="Times New Roman"/>
          <w:sz w:val="16"/>
        </w:rPr>
        <w:t>*Estimado</w:t>
      </w:r>
    </w:p>
    <w:p w:rsidR="00F83CC4" w:rsidRDefault="00F83CC4" w:rsidP="00F83CC4">
      <w:pPr>
        <w:pStyle w:val="Sinespaciado"/>
        <w:ind w:right="-188"/>
        <w:jc w:val="both"/>
        <w:rPr>
          <w:rFonts w:ascii="Times New Roman" w:hAnsi="Times New Roman" w:cs="Times New Roman"/>
          <w:sz w:val="16"/>
        </w:rPr>
      </w:pPr>
    </w:p>
    <w:p w:rsidR="006264E5" w:rsidRPr="00A67992" w:rsidRDefault="006264E5" w:rsidP="00F83CC4">
      <w:pPr>
        <w:pStyle w:val="Sinespaciado"/>
        <w:ind w:right="-188"/>
        <w:jc w:val="both"/>
        <w:rPr>
          <w:rFonts w:ascii="Times New Roman" w:hAnsi="Times New Roman" w:cs="Times New Roman"/>
          <w:sz w:val="16"/>
        </w:rPr>
        <w:sectPr w:rsidR="006264E5" w:rsidRPr="00A67992" w:rsidSect="00040C99">
          <w:headerReference w:type="default" r:id="rId26"/>
          <w:type w:val="continuous"/>
          <w:pgSz w:w="12240" w:h="15840" w:code="1"/>
          <w:pgMar w:top="1418" w:right="1467" w:bottom="1418" w:left="1560" w:header="709" w:footer="709" w:gutter="0"/>
          <w:cols w:num="2" w:space="802"/>
          <w:docGrid w:linePitch="360"/>
        </w:sectPr>
      </w:pPr>
    </w:p>
    <w:p w:rsidR="00F83CC4" w:rsidRDefault="00F83CC4" w:rsidP="00F83CC4">
      <w:pPr>
        <w:spacing w:after="0" w:line="240" w:lineRule="auto"/>
        <w:rPr>
          <w:rFonts w:ascii="Times New Roman" w:hAnsi="Times New Roman" w:cs="Times New Roman"/>
          <w:noProof/>
          <w:color w:val="FF0000"/>
          <w:sz w:val="16"/>
          <w:lang w:eastAsia="es-GT"/>
        </w:rPr>
      </w:pPr>
    </w:p>
    <w:p w:rsidR="00F83CC4" w:rsidRDefault="00F83CC4" w:rsidP="00F83CC4">
      <w:pPr>
        <w:spacing w:after="0" w:line="240" w:lineRule="auto"/>
        <w:rPr>
          <w:rFonts w:ascii="Times New Roman" w:hAnsi="Times New Roman" w:cs="Times New Roman"/>
          <w:noProof/>
          <w:color w:val="FF0000"/>
          <w:sz w:val="16"/>
          <w:lang w:eastAsia="es-GT"/>
        </w:rPr>
      </w:pPr>
    </w:p>
    <w:p w:rsidR="00F83CC4" w:rsidRDefault="00F83CC4" w:rsidP="00F83CC4">
      <w:pPr>
        <w:spacing w:after="0" w:line="240" w:lineRule="auto"/>
        <w:jc w:val="center"/>
        <w:rPr>
          <w:rFonts w:ascii="Times New Roman" w:hAnsi="Times New Roman" w:cs="Times New Roman"/>
          <w:b/>
          <w:noProof/>
          <w:sz w:val="24"/>
          <w:lang w:eastAsia="es-GT"/>
        </w:rPr>
        <w:sectPr w:rsidR="00F83CC4" w:rsidSect="00CC186F">
          <w:type w:val="continuous"/>
          <w:pgSz w:w="12240" w:h="15840"/>
          <w:pgMar w:top="1417" w:right="1701" w:bottom="1417" w:left="1701" w:header="708" w:footer="708" w:gutter="0"/>
          <w:cols w:num="2" w:space="708"/>
          <w:docGrid w:linePitch="360"/>
        </w:sectPr>
      </w:pPr>
    </w:p>
    <w:p w:rsidR="00F83CC4" w:rsidRPr="00F062BF" w:rsidRDefault="00F83CC4" w:rsidP="00F83CC4">
      <w:pPr>
        <w:spacing w:after="0" w:line="240" w:lineRule="auto"/>
        <w:jc w:val="center"/>
        <w:rPr>
          <w:rFonts w:ascii="Times New Roman" w:hAnsi="Times New Roman" w:cs="Times New Roman"/>
          <w:b/>
          <w:noProof/>
          <w:sz w:val="24"/>
          <w:lang w:eastAsia="es-GT"/>
        </w:rPr>
      </w:pPr>
      <w:r w:rsidRPr="00F062BF">
        <w:rPr>
          <w:rFonts w:ascii="Times New Roman" w:hAnsi="Times New Roman" w:cs="Times New Roman"/>
          <w:b/>
          <w:noProof/>
          <w:sz w:val="24"/>
          <w:lang w:eastAsia="es-GT"/>
        </w:rPr>
        <w:lastRenderedPageBreak/>
        <w:t>Principales indicadores Macroeconómicos de la región</w:t>
      </w:r>
    </w:p>
    <w:p w:rsidR="00F83CC4" w:rsidRPr="00F062BF" w:rsidRDefault="00F83CC4" w:rsidP="00F83CC4">
      <w:pPr>
        <w:spacing w:after="0" w:line="240" w:lineRule="auto"/>
        <w:jc w:val="center"/>
        <w:rPr>
          <w:rFonts w:ascii="Times New Roman" w:hAnsi="Times New Roman" w:cs="Times New Roman"/>
          <w:noProof/>
          <w:sz w:val="18"/>
          <w:lang w:eastAsia="es-GT"/>
        </w:rPr>
      </w:pPr>
      <w:r w:rsidRPr="00F062BF">
        <w:rPr>
          <w:rFonts w:ascii="Times New Roman" w:hAnsi="Times New Roman" w:cs="Times New Roman"/>
          <w:noProof/>
          <w:sz w:val="18"/>
          <w:lang w:eastAsia="es-GT"/>
        </w:rPr>
        <w:t>Millones de US$ y variación interanual</w:t>
      </w:r>
    </w:p>
    <w:p w:rsidR="00F83CC4" w:rsidRDefault="00F83CC4" w:rsidP="006264E5">
      <w:pPr>
        <w:spacing w:after="0" w:line="240" w:lineRule="auto"/>
        <w:jc w:val="center"/>
        <w:rPr>
          <w:rFonts w:ascii="Times New Roman" w:hAnsi="Times New Roman" w:cs="Times New Roman"/>
          <w:noProof/>
          <w:color w:val="FF0000"/>
          <w:sz w:val="16"/>
          <w:lang w:eastAsia="es-GT"/>
        </w:rPr>
      </w:pPr>
      <w:r w:rsidRPr="00F062BF">
        <w:rPr>
          <w:noProof/>
          <w:lang w:eastAsia="es-GT"/>
        </w:rPr>
        <w:drawing>
          <wp:inline distT="0" distB="0" distL="0" distR="0" wp14:anchorId="68B43196" wp14:editId="63DF3B68">
            <wp:extent cx="5116830" cy="2524125"/>
            <wp:effectExtent l="0" t="0" r="7620" b="952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5503" cy="2528403"/>
                    </a:xfrm>
                    <a:prstGeom prst="rect">
                      <a:avLst/>
                    </a:prstGeom>
                    <a:noFill/>
                    <a:ln>
                      <a:noFill/>
                    </a:ln>
                  </pic:spPr>
                </pic:pic>
              </a:graphicData>
            </a:graphic>
          </wp:inline>
        </w:drawing>
      </w:r>
    </w:p>
    <w:p w:rsidR="00F919C0" w:rsidRDefault="00F919C0" w:rsidP="006264E5">
      <w:pPr>
        <w:spacing w:after="0" w:line="240" w:lineRule="auto"/>
        <w:jc w:val="center"/>
        <w:rPr>
          <w:rFonts w:ascii="Times New Roman" w:hAnsi="Times New Roman" w:cs="Times New Roman"/>
          <w:noProof/>
          <w:color w:val="FF0000"/>
          <w:sz w:val="16"/>
          <w:lang w:eastAsia="es-GT"/>
        </w:rPr>
      </w:pPr>
    </w:p>
    <w:p w:rsidR="00F83CC4" w:rsidRDefault="00F83CC4" w:rsidP="00F83CC4">
      <w:pPr>
        <w:spacing w:after="0" w:line="240" w:lineRule="auto"/>
        <w:rPr>
          <w:rFonts w:ascii="Times New Roman" w:hAnsi="Times New Roman" w:cs="Times New Roman"/>
          <w:noProof/>
          <w:sz w:val="16"/>
          <w:lang w:eastAsia="es-GT"/>
        </w:rPr>
      </w:pPr>
      <w:r w:rsidRPr="00F062BF">
        <w:rPr>
          <w:rFonts w:ascii="Times New Roman" w:hAnsi="Times New Roman" w:cs="Times New Roman"/>
          <w:noProof/>
          <w:sz w:val="16"/>
          <w:lang w:eastAsia="es-GT"/>
        </w:rPr>
        <w:t>Fuente: Banco Central de cada país, Consejo Monetario Centroamericano.</w:t>
      </w:r>
    </w:p>
    <w:p w:rsidR="00F83CC4" w:rsidRDefault="00F83CC4" w:rsidP="00F83CC4">
      <w:pPr>
        <w:spacing w:after="0" w:line="240" w:lineRule="auto"/>
        <w:rPr>
          <w:rFonts w:ascii="Times New Roman" w:hAnsi="Times New Roman" w:cs="Times New Roman"/>
          <w:noProof/>
          <w:sz w:val="16"/>
          <w:lang w:eastAsia="es-GT"/>
        </w:rPr>
        <w:sectPr w:rsidR="00F83CC4" w:rsidSect="00F83CC4">
          <w:type w:val="continuous"/>
          <w:pgSz w:w="12240" w:h="15840"/>
          <w:pgMar w:top="1417" w:right="1701" w:bottom="1417" w:left="1701" w:header="708" w:footer="708" w:gutter="0"/>
          <w:cols w:space="708"/>
          <w:docGrid w:linePitch="360"/>
        </w:sectPr>
      </w:pPr>
    </w:p>
    <w:p w:rsidR="00F83CC4" w:rsidRDefault="00F83CC4" w:rsidP="00F83CC4">
      <w:pPr>
        <w:spacing w:after="0" w:line="240" w:lineRule="auto"/>
        <w:rPr>
          <w:rFonts w:ascii="Times New Roman" w:hAnsi="Times New Roman" w:cs="Times New Roman"/>
          <w:noProof/>
          <w:sz w:val="16"/>
          <w:lang w:eastAsia="es-GT"/>
        </w:rPr>
      </w:pPr>
    </w:p>
    <w:p w:rsidR="00F83CC4" w:rsidRDefault="00F83CC4" w:rsidP="00F83CC4">
      <w:pPr>
        <w:spacing w:after="0" w:line="240" w:lineRule="auto"/>
        <w:rPr>
          <w:rFonts w:ascii="Times New Roman" w:hAnsi="Times New Roman" w:cs="Times New Roman"/>
          <w:noProof/>
          <w:sz w:val="16"/>
          <w:lang w:eastAsia="es-GT"/>
        </w:rPr>
      </w:pPr>
    </w:p>
    <w:p w:rsidR="00467893" w:rsidRPr="00552A0C" w:rsidRDefault="00467893" w:rsidP="00552A0C">
      <w:pPr>
        <w:spacing w:after="0" w:line="240" w:lineRule="auto"/>
        <w:jc w:val="both"/>
        <w:rPr>
          <w:rFonts w:ascii="Times New Roman" w:hAnsi="Times New Roman" w:cs="Times New Roman"/>
          <w:b/>
          <w:color w:val="000000" w:themeColor="text1"/>
          <w:lang w:val="es-MX"/>
        </w:rPr>
        <w:sectPr w:rsidR="00467893" w:rsidRPr="00552A0C" w:rsidSect="00CC186F">
          <w:type w:val="continuous"/>
          <w:pgSz w:w="12240" w:h="15840"/>
          <w:pgMar w:top="1417" w:right="1701" w:bottom="1417" w:left="1701" w:header="708" w:footer="708" w:gutter="0"/>
          <w:cols w:num="2" w:space="708"/>
          <w:docGrid w:linePitch="360"/>
        </w:sectPr>
      </w:pPr>
    </w:p>
    <w:p w:rsidR="0090234E" w:rsidRDefault="0090234E" w:rsidP="002E5DD8">
      <w:pPr>
        <w:pStyle w:val="Sinespaciado"/>
        <w:jc w:val="both"/>
        <w:rPr>
          <w:rFonts w:ascii="Times New Roman" w:hAnsi="Times New Roman" w:cs="Times New Roman"/>
        </w:rPr>
      </w:pPr>
    </w:p>
    <w:p w:rsidR="00A3798C" w:rsidRDefault="00A3798C" w:rsidP="00A3798C">
      <w:pPr>
        <w:pStyle w:val="Sinespaciado"/>
        <w:jc w:val="both"/>
        <w:rPr>
          <w:rFonts w:ascii="Times New Roman" w:hAnsi="Times New Roman" w:cs="Times New Roman"/>
        </w:rPr>
        <w:sectPr w:rsidR="00A3798C" w:rsidSect="00A3798C">
          <w:type w:val="continuous"/>
          <w:pgSz w:w="12240" w:h="15840"/>
          <w:pgMar w:top="1417" w:right="1701" w:bottom="1417" w:left="1701" w:header="708" w:footer="708" w:gutter="0"/>
          <w:cols w:space="708"/>
          <w:docGrid w:linePitch="360"/>
        </w:sectPr>
      </w:pPr>
    </w:p>
    <w:p w:rsidR="00A3798C" w:rsidRDefault="00A3798C" w:rsidP="00A3798C">
      <w:pPr>
        <w:pStyle w:val="Sinespaciado"/>
        <w:jc w:val="both"/>
        <w:rPr>
          <w:rFonts w:ascii="Times New Roman" w:hAnsi="Times New Roman" w:cs="Times New Roman"/>
        </w:rPr>
      </w:pPr>
    </w:p>
    <w:p w:rsidR="003F2682" w:rsidRDefault="003F2682" w:rsidP="003F2682">
      <w:pPr>
        <w:pStyle w:val="Sinespaciado"/>
        <w:jc w:val="both"/>
        <w:rPr>
          <w:rFonts w:ascii="Times New Roman" w:hAnsi="Times New Roman" w:cs="Times New Roman"/>
        </w:rPr>
        <w:sectPr w:rsidR="003F2682"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p>
    <w:p w:rsidR="00A3798C" w:rsidRPr="009D6ABF" w:rsidRDefault="00777E5C" w:rsidP="001E29FE">
      <w:pPr>
        <w:jc w:val="center"/>
        <w:rPr>
          <w:rFonts w:ascii="Times New Roman" w:hAnsi="Times New Roman" w:cs="Times New Roman"/>
          <w:b/>
          <w:sz w:val="24"/>
          <w:lang w:val="es-MX"/>
        </w:rPr>
      </w:pPr>
      <w:r w:rsidRPr="00777E5C">
        <w:rPr>
          <w:noProof/>
          <w:lang w:eastAsia="es-GT"/>
        </w:rPr>
        <w:lastRenderedPageBreak/>
        <w:drawing>
          <wp:anchor distT="0" distB="0" distL="114300" distR="114300" simplePos="0" relativeHeight="251696128" behindDoc="0" locked="0" layoutInCell="1" allowOverlap="1">
            <wp:simplePos x="0" y="0"/>
            <wp:positionH relativeFrom="column">
              <wp:posOffset>-424815</wp:posOffset>
            </wp:positionH>
            <wp:positionV relativeFrom="paragraph">
              <wp:posOffset>379526</wp:posOffset>
            </wp:positionV>
            <wp:extent cx="6736715" cy="5382895"/>
            <wp:effectExtent l="0" t="0" r="698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36715" cy="538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739">
        <w:rPr>
          <w:rFonts w:ascii="Times New Roman" w:hAnsi="Times New Roman" w:cs="Times New Roman"/>
          <w:b/>
          <w:sz w:val="24"/>
          <w:lang w:val="es-MX"/>
        </w:rPr>
        <w:t>A</w:t>
      </w:r>
      <w:r w:rsidR="001E29FE" w:rsidRPr="009D6ABF">
        <w:rPr>
          <w:rFonts w:ascii="Times New Roman" w:hAnsi="Times New Roman" w:cs="Times New Roman"/>
          <w:b/>
          <w:sz w:val="24"/>
          <w:lang w:val="es-MX"/>
        </w:rPr>
        <w:t>nexo</w:t>
      </w:r>
    </w:p>
    <w:p w:rsidR="001E29FE" w:rsidRDefault="001E29FE" w:rsidP="00A3798C">
      <w:pPr>
        <w:rPr>
          <w:lang w:val="es-MX"/>
        </w:rPr>
      </w:pPr>
    </w:p>
    <w:p w:rsidR="00A3798C" w:rsidRDefault="00A3798C" w:rsidP="00A3798C">
      <w:pPr>
        <w:rPr>
          <w:lang w:val="es-MX"/>
        </w:rPr>
      </w:pPr>
    </w:p>
    <w:p w:rsidR="00A3798C" w:rsidRDefault="00A3798C" w:rsidP="004F33E6">
      <w:pPr>
        <w:rPr>
          <w:lang w:val="es-MX"/>
        </w:rPr>
        <w:sectPr w:rsidR="00A3798C" w:rsidSect="001E29FE">
          <w:type w:val="continuous"/>
          <w:pgSz w:w="12240" w:h="15840"/>
          <w:pgMar w:top="1417" w:right="1701" w:bottom="1417" w:left="1701" w:header="708" w:footer="708" w:gutter="0"/>
          <w:cols w:space="708"/>
          <w:docGrid w:linePitch="360"/>
        </w:sectPr>
      </w:pPr>
    </w:p>
    <w:p w:rsidR="00A3798C" w:rsidRPr="006B54A8" w:rsidRDefault="00A3798C" w:rsidP="00647236">
      <w:pPr>
        <w:rPr>
          <w:lang w:val="es-MX"/>
        </w:rPr>
      </w:pPr>
    </w:p>
    <w:sectPr w:rsidR="00A3798C" w:rsidRPr="006B54A8" w:rsidSect="001E29F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FD" w:rsidRDefault="00A60CFD" w:rsidP="00A6098E">
      <w:pPr>
        <w:spacing w:after="0" w:line="240" w:lineRule="auto"/>
      </w:pPr>
      <w:r>
        <w:separator/>
      </w:r>
    </w:p>
  </w:endnote>
  <w:endnote w:type="continuationSeparator" w:id="0">
    <w:p w:rsidR="00A60CFD" w:rsidRDefault="00A60CFD"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Content>
      <w:p w:rsidR="0037694A" w:rsidRDefault="0037694A">
        <w:pPr>
          <w:pStyle w:val="Piedepgina"/>
          <w:jc w:val="right"/>
          <w:rPr>
            <w:lang w:val="es-ES"/>
          </w:rPr>
        </w:pPr>
      </w:p>
      <w:p w:rsidR="0037694A" w:rsidRDefault="0037694A"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2576" behindDoc="0" locked="0" layoutInCell="1" allowOverlap="1" wp14:anchorId="4C0DB8A0" wp14:editId="4570BE79">
                  <wp:simplePos x="0" y="0"/>
                  <wp:positionH relativeFrom="column">
                    <wp:posOffset>1776669</wp:posOffset>
                  </wp:positionH>
                  <wp:positionV relativeFrom="paragraph">
                    <wp:posOffset>70516</wp:posOffset>
                  </wp:positionV>
                  <wp:extent cx="5155565" cy="45719"/>
                  <wp:effectExtent l="38100" t="38100" r="64135" b="88265"/>
                  <wp:wrapNone/>
                  <wp:docPr id="21"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12183" id="8 Rectángulo" o:spid="_x0000_s1026" style="position:absolute;margin-left:139.9pt;margin-top:5.55pt;width:405.95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BkA7M9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37694A" w:rsidRDefault="0037694A">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C5DB7" w:rsidRPr="001C5DB7">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37694A" w:rsidRDefault="0037694A" w:rsidP="007D4651">
    <w:pPr>
      <w:pStyle w:val="Piedepgina"/>
      <w:tabs>
        <w:tab w:val="clear" w:pos="4419"/>
        <w:tab w:val="clear" w:pos="8838"/>
        <w:tab w:val="left" w:pos="5777"/>
      </w:tabs>
    </w:pPr>
  </w:p>
  <w:p w:rsidR="0037694A" w:rsidRDefault="003769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21593579"/>
      <w:docPartObj>
        <w:docPartGallery w:val="Page Numbers (Bottom of Page)"/>
        <w:docPartUnique/>
      </w:docPartObj>
    </w:sdtPr>
    <w:sdtEndPr/>
    <w:sdtContent>
      <w:p w:rsidR="00F83CC4" w:rsidRDefault="00F83CC4">
        <w:pPr>
          <w:pStyle w:val="Piedepgina"/>
          <w:jc w:val="right"/>
          <w:rPr>
            <w:lang w:val="es-ES"/>
          </w:rPr>
        </w:pPr>
      </w:p>
      <w:p w:rsidR="00F83CC4" w:rsidRDefault="00F83CC4"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6432" behindDoc="0" locked="0" layoutInCell="1" allowOverlap="1" wp14:anchorId="5E64FA04" wp14:editId="62D84A03">
                  <wp:simplePos x="0" y="0"/>
                  <wp:positionH relativeFrom="column">
                    <wp:posOffset>1759602</wp:posOffset>
                  </wp:positionH>
                  <wp:positionV relativeFrom="paragraph">
                    <wp:posOffset>70485</wp:posOffset>
                  </wp:positionV>
                  <wp:extent cx="5155565" cy="45719"/>
                  <wp:effectExtent l="38100" t="38100" r="64135" b="88265"/>
                  <wp:wrapNone/>
                  <wp:docPr id="3"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FFD34" id="26 Rectángulo" o:spid="_x0000_s1026" style="position:absolute;margin-left:138.55pt;margin-top:5.55pt;width:405.95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ytPQMAAKY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83CC4" w:rsidRDefault="00F83CC4">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C5DB7" w:rsidRPr="001C5DB7">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F83CC4" w:rsidRDefault="00F83CC4" w:rsidP="007D4651">
    <w:pPr>
      <w:pStyle w:val="Piedepgina"/>
      <w:tabs>
        <w:tab w:val="clear" w:pos="4419"/>
        <w:tab w:val="clear" w:pos="8838"/>
        <w:tab w:val="left" w:pos="5777"/>
      </w:tabs>
    </w:pPr>
  </w:p>
  <w:p w:rsidR="00F83CC4" w:rsidRDefault="00F83CC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4E4F0D" w:rsidRDefault="004E4F0D">
        <w:pPr>
          <w:pStyle w:val="Piedepgina"/>
          <w:jc w:val="right"/>
          <w:rPr>
            <w:lang w:val="es-ES"/>
          </w:rPr>
        </w:pPr>
      </w:p>
      <w:p w:rsidR="004E4F0D" w:rsidRDefault="004E4F0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634EB318" wp14:editId="5D398625">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rgbClr val="4F81BD"/>
                              </a:gs>
                              <a:gs pos="72900">
                                <a:srgbClr val="EEECE1">
                                  <a:lumMod val="90000"/>
                                </a:srgbClr>
                              </a:gs>
                              <a:gs pos="24000">
                                <a:srgbClr val="EEECE1"/>
                              </a:gs>
                              <a:gs pos="0">
                                <a:srgbClr val="4F81BD"/>
                              </a:gs>
                              <a:gs pos="50000">
                                <a:srgbClr val="4F81BD"/>
                              </a:gs>
                              <a:gs pos="100000">
                                <a:srgbClr val="4F81BD"/>
                              </a:gs>
                            </a:gsLst>
                            <a:lin ang="0" scaled="1"/>
                          </a:gra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47358" id="26 Rectángulo" o:spid="_x0000_s1026" style="position:absolute;margin-left:138.55pt;margin-top:5.55pt;width:405.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" fillcolor="#4f81bd" stroked="f" strokeweight="2pt">
                  <v:fill color2="#4f81bd"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E4F0D" w:rsidRDefault="004E4F0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C5DB7" w:rsidRPr="001C5DB7">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4E4F0D" w:rsidRDefault="004E4F0D" w:rsidP="007D4651">
    <w:pPr>
      <w:pStyle w:val="Piedepgina"/>
      <w:tabs>
        <w:tab w:val="clear" w:pos="4419"/>
        <w:tab w:val="clear" w:pos="8838"/>
        <w:tab w:val="left" w:pos="5777"/>
      </w:tabs>
    </w:pPr>
  </w:p>
  <w:p w:rsidR="004E4F0D" w:rsidRDefault="004E4F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FD" w:rsidRDefault="00A60CFD" w:rsidP="00A6098E">
      <w:pPr>
        <w:spacing w:after="0" w:line="240" w:lineRule="auto"/>
      </w:pPr>
      <w:r>
        <w:separator/>
      </w:r>
    </w:p>
  </w:footnote>
  <w:footnote w:type="continuationSeparator" w:id="0">
    <w:p w:rsidR="00A60CFD" w:rsidRDefault="00A60CFD"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4" w:rsidRPr="007D4651" w:rsidRDefault="001E3164" w:rsidP="001E3164">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4384" behindDoc="1" locked="0" layoutInCell="1" allowOverlap="1" wp14:anchorId="6AFA124E" wp14:editId="169D26D6">
          <wp:simplePos x="0" y="0"/>
          <wp:positionH relativeFrom="column">
            <wp:posOffset>-670560</wp:posOffset>
          </wp:positionH>
          <wp:positionV relativeFrom="paragraph">
            <wp:posOffset>-449580</wp:posOffset>
          </wp:positionV>
          <wp:extent cx="1697990" cy="914400"/>
          <wp:effectExtent l="0" t="0" r="0" b="0"/>
          <wp:wrapSquare wrapText="bothSides"/>
          <wp:docPr id="19"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E3164" w:rsidRDefault="006E3303" w:rsidP="006E330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w:t>
    </w:r>
    <w:r w:rsidR="00942034">
      <w:rPr>
        <w:rFonts w:ascii="Times New Roman" w:hAnsi="Times New Roman" w:cs="Times New Roman"/>
        <w:color w:val="1F497D" w:themeColor="text2"/>
        <w:lang w:val="es-MX"/>
      </w:rPr>
      <w:t>re</w:t>
    </w:r>
    <w:r w:rsidR="001E3164">
      <w:rPr>
        <w:rFonts w:ascii="Times New Roman" w:hAnsi="Times New Roman" w:cs="Times New Roman"/>
        <w:color w:val="1F497D" w:themeColor="text2"/>
        <w:lang w:val="es-MX"/>
      </w:rPr>
      <w:t xml:space="preserve"> 2019</w:t>
    </w:r>
  </w:p>
  <w:p w:rsidR="001E3164" w:rsidRPr="004A73AA" w:rsidRDefault="001E3164" w:rsidP="001E3164">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25E793D2" wp14:editId="401E9BFB">
              <wp:simplePos x="0" y="0"/>
              <wp:positionH relativeFrom="column">
                <wp:posOffset>929640</wp:posOffset>
              </wp:positionH>
              <wp:positionV relativeFrom="paragraph">
                <wp:posOffset>2540</wp:posOffset>
              </wp:positionV>
              <wp:extent cx="5155565" cy="45085"/>
              <wp:effectExtent l="38100" t="38100" r="64135" b="88265"/>
              <wp:wrapNone/>
              <wp:docPr id="18" name="1 Rectángulo"/>
              <wp:cNvGraphicFramePr/>
              <a:graphic xmlns:a="http://schemas.openxmlformats.org/drawingml/2006/main">
                <a:graphicData uri="http://schemas.microsoft.com/office/word/2010/wordprocessingShape">
                  <wps:wsp>
                    <wps:cNvSpPr/>
                    <wps:spPr>
                      <a:xfrm>
                        <a:off x="0" y="0"/>
                        <a:ext cx="5155565" cy="45085"/>
                      </a:xfrm>
                      <a:prstGeom prst="rect">
                        <a:avLst/>
                      </a:prstGeom>
                      <a:gradFill>
                        <a:gsLst>
                          <a:gs pos="32502">
                            <a:srgbClr val="4F81BD"/>
                          </a:gs>
                          <a:gs pos="72900">
                            <a:srgbClr val="EEECE1">
                              <a:lumMod val="90000"/>
                            </a:srgbClr>
                          </a:gs>
                          <a:gs pos="24000">
                            <a:srgbClr val="EEECE1"/>
                          </a:gs>
                          <a:gs pos="0">
                            <a:srgbClr val="4F81BD"/>
                          </a:gs>
                          <a:gs pos="50000">
                            <a:srgbClr val="4F81BD"/>
                          </a:gs>
                          <a:gs pos="100000">
                            <a:srgbClr val="4F81BD"/>
                          </a:gs>
                        </a:gsLst>
                        <a:lin ang="0" scaled="1"/>
                      </a:gra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9693B" id="1 Rectángulo" o:spid="_x0000_s1026" style="position:absolute;margin-left:73.2pt;margin-top:.2pt;width:405.95pt;height: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" fillcolor="#4f81bd" stroked="f" strokeweight="2pt">
              <v:fill color2="#4f81bd" angle="90" colors="0 #4f81bd;15729f #eeece1;21301f #4f81bd;.5 #4f81bd;47776f #ddd9c3;1 #4f81bd" focus="100%" type="gradient"/>
              <v:shadow on="t" color="black" opacity="26214f" origin="-.5,-.5" offset=".74836mm,.74836mm"/>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4A" w:rsidRPr="007D4651" w:rsidRDefault="0037694A"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3600" behindDoc="1" locked="0" layoutInCell="1" allowOverlap="1" wp14:anchorId="4EB4EEFC" wp14:editId="0E41090D">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37694A" w:rsidRDefault="0037694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 2017</w:t>
    </w:r>
  </w:p>
  <w:p w:rsidR="0037694A" w:rsidRDefault="0037694A"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74624" behindDoc="0" locked="0" layoutInCell="1" allowOverlap="1" wp14:anchorId="7004E07B" wp14:editId="0624C7B2">
              <wp:simplePos x="0" y="0"/>
              <wp:positionH relativeFrom="column">
                <wp:posOffset>1065751</wp:posOffset>
              </wp:positionH>
              <wp:positionV relativeFrom="paragraph">
                <wp:posOffset>26670</wp:posOffset>
              </wp:positionV>
              <wp:extent cx="5634990" cy="45085"/>
              <wp:effectExtent l="38100" t="38100" r="60960" b="88265"/>
              <wp:wrapNone/>
              <wp:docPr id="6"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973B7" id="19 Rectángulo redondeado" o:spid="_x0000_s1026" style="position:absolute;margin-left:83.9pt;margin-top:2.1pt;width:443.7pt;height:3.55pt;flip:y;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37694A" w:rsidRDefault="0037694A"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37694A" w:rsidRPr="00E16925" w:rsidRDefault="0037694A"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C4" w:rsidRPr="007D4651" w:rsidRDefault="00F83CC4"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8480" behindDoc="1" locked="0" layoutInCell="1" allowOverlap="1" wp14:anchorId="16D606D5" wp14:editId="2BD0E0DD">
          <wp:simplePos x="0" y="0"/>
          <wp:positionH relativeFrom="column">
            <wp:posOffset>-93997</wp:posOffset>
          </wp:positionH>
          <wp:positionV relativeFrom="paragraph">
            <wp:posOffset>-177800</wp:posOffset>
          </wp:positionV>
          <wp:extent cx="1697990" cy="914400"/>
          <wp:effectExtent l="0" t="0" r="0" b="0"/>
          <wp:wrapNone/>
          <wp:docPr id="22" name="Imagen 2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83CC4" w:rsidRDefault="00F83CC4"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 2019</w:t>
    </w:r>
  </w:p>
  <w:p w:rsidR="00F83CC4" w:rsidRPr="004A73AA" w:rsidRDefault="00F83CC4"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74F3CB4" wp14:editId="05D884A2">
              <wp:simplePos x="0" y="0"/>
              <wp:positionH relativeFrom="column">
                <wp:posOffset>1711308</wp:posOffset>
              </wp:positionH>
              <wp:positionV relativeFrom="paragraph">
                <wp:posOffset>12065</wp:posOffset>
              </wp:positionV>
              <wp:extent cx="5155894" cy="45719"/>
              <wp:effectExtent l="38100" t="38100" r="64135" b="88265"/>
              <wp:wrapNone/>
              <wp:docPr id="2"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E80EB" id="1 Rectángulo" o:spid="_x0000_s1026" style="position:absolute;margin-left:134.75pt;margin-top:.95pt;width:406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DbPAMAAKU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83CC4" w:rsidRPr="004A73AA" w:rsidRDefault="00F83CC4"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F83CC4" w:rsidRPr="007452E2" w:rsidRDefault="00F83CC4"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C4" w:rsidRPr="007D4651" w:rsidRDefault="00F83CC4"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1E9C37C6" wp14:editId="6A1462DF">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83CC4" w:rsidRDefault="00F83CC4"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2019</w:t>
    </w:r>
  </w:p>
  <w:p w:rsidR="00F83CC4" w:rsidRDefault="00F83CC4"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2B21EAD7" wp14:editId="4F3B0E2D">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04206" id="20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83CC4" w:rsidRDefault="00F83CC4"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F83CC4" w:rsidRPr="00E16925" w:rsidRDefault="00F83CC4"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0D" w:rsidRPr="007D4651" w:rsidRDefault="004E4F0D"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4E927426" wp14:editId="637EC1D9">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E4F0D" w:rsidRDefault="007F5739"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1C04D4">
      <w:rPr>
        <w:rFonts w:ascii="Times New Roman" w:hAnsi="Times New Roman" w:cs="Times New Roman"/>
        <w:color w:val="1F497D" w:themeColor="text2"/>
        <w:lang w:val="es-MX"/>
      </w:rPr>
      <w:t>bre</w:t>
    </w:r>
    <w:r w:rsidR="001E3164">
      <w:rPr>
        <w:rFonts w:ascii="Times New Roman" w:hAnsi="Times New Roman" w:cs="Times New Roman"/>
        <w:color w:val="1F497D" w:themeColor="text2"/>
        <w:lang w:val="es-MX"/>
      </w:rPr>
      <w:t xml:space="preserve"> </w:t>
    </w:r>
    <w:r w:rsidR="004E4F0D">
      <w:rPr>
        <w:rFonts w:ascii="Times New Roman" w:hAnsi="Times New Roman" w:cs="Times New Roman"/>
        <w:color w:val="1F497D" w:themeColor="text2"/>
        <w:lang w:val="es-MX"/>
      </w:rPr>
      <w:t>201</w:t>
    </w:r>
    <w:r w:rsidR="001E3164">
      <w:rPr>
        <w:rFonts w:ascii="Times New Roman" w:hAnsi="Times New Roman" w:cs="Times New Roman"/>
        <w:color w:val="1F497D" w:themeColor="text2"/>
        <w:lang w:val="es-MX"/>
      </w:rPr>
      <w:t>9</w:t>
    </w:r>
  </w:p>
  <w:p w:rsidR="004E4F0D" w:rsidRPr="004A73AA" w:rsidRDefault="004E4F0D"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660288" behindDoc="0" locked="0" layoutInCell="1" allowOverlap="1" wp14:anchorId="10DF9F31" wp14:editId="6DEAC9DA">
              <wp:simplePos x="0" y="0"/>
              <wp:positionH relativeFrom="column">
                <wp:posOffset>1711308</wp:posOffset>
              </wp:positionH>
              <wp:positionV relativeFrom="paragraph">
                <wp:posOffset>12065</wp:posOffset>
              </wp:positionV>
              <wp:extent cx="5155894" cy="45719"/>
              <wp:effectExtent l="38100" t="38100" r="64135" b="88265"/>
              <wp:wrapNone/>
              <wp:docPr id="12"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rgbClr val="4F81BD"/>
                          </a:gs>
                          <a:gs pos="72900">
                            <a:srgbClr val="EEECE1">
                              <a:lumMod val="90000"/>
                            </a:srgbClr>
                          </a:gs>
                          <a:gs pos="24000">
                            <a:srgbClr val="EEECE1"/>
                          </a:gs>
                          <a:gs pos="0">
                            <a:srgbClr val="4F81BD"/>
                          </a:gs>
                          <a:gs pos="50000">
                            <a:srgbClr val="4F81BD"/>
                          </a:gs>
                          <a:gs pos="100000">
                            <a:srgbClr val="4F81BD"/>
                          </a:gs>
                        </a:gsLst>
                        <a:lin ang="0" scaled="1"/>
                      </a:gra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2F5C8" id="1 Rectángulo" o:spid="_x0000_s1026" style="position:absolute;margin-left:134.75pt;margin-top:.95pt;width:406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" fillcolor="#4f81bd" stroked="f" strokeweight="2pt">
              <v:fill color2="#4f81bd" angle="90" colors="0 #4f81bd;15729f #eeece1;21301f #4f81bd;.5 #4f81bd;47776f #ddd9c3;1 #4f81bd" focus="100%" type="gradient"/>
              <v:shadow on="t" color="black" opacity="26214f" origin="-.5,-.5" offset=".74836mm,.74836mm"/>
            </v:rect>
          </w:pict>
        </mc:Fallback>
      </mc:AlternateContent>
    </w:r>
  </w:p>
  <w:p w:rsidR="004E4F0D" w:rsidRPr="004A73AA" w:rsidRDefault="004E4F0D"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4E4F0D" w:rsidRPr="007452E2" w:rsidRDefault="004E4F0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533023B1"/>
    <w:multiLevelType w:val="hybridMultilevel"/>
    <w:tmpl w:val="F36C08C2"/>
    <w:lvl w:ilvl="0" w:tplc="100A0019">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7F97"/>
    <w:rsid w:val="00014EF9"/>
    <w:rsid w:val="00021747"/>
    <w:rsid w:val="000218E4"/>
    <w:rsid w:val="0002384A"/>
    <w:rsid w:val="00025529"/>
    <w:rsid w:val="00042B59"/>
    <w:rsid w:val="00043889"/>
    <w:rsid w:val="00052B6B"/>
    <w:rsid w:val="00053E23"/>
    <w:rsid w:val="00056315"/>
    <w:rsid w:val="00057FA9"/>
    <w:rsid w:val="00060BF0"/>
    <w:rsid w:val="000615FB"/>
    <w:rsid w:val="00064896"/>
    <w:rsid w:val="0006628E"/>
    <w:rsid w:val="00070108"/>
    <w:rsid w:val="00074947"/>
    <w:rsid w:val="00075145"/>
    <w:rsid w:val="00095021"/>
    <w:rsid w:val="000A67DE"/>
    <w:rsid w:val="000C3ABA"/>
    <w:rsid w:val="000D6B57"/>
    <w:rsid w:val="000E5FB5"/>
    <w:rsid w:val="000E6020"/>
    <w:rsid w:val="000E65B1"/>
    <w:rsid w:val="000F1D4E"/>
    <w:rsid w:val="000F3836"/>
    <w:rsid w:val="001074C5"/>
    <w:rsid w:val="001077A3"/>
    <w:rsid w:val="0011147B"/>
    <w:rsid w:val="0011621A"/>
    <w:rsid w:val="00121DB5"/>
    <w:rsid w:val="001304C1"/>
    <w:rsid w:val="001465C2"/>
    <w:rsid w:val="00147046"/>
    <w:rsid w:val="00153937"/>
    <w:rsid w:val="001674F6"/>
    <w:rsid w:val="0017537F"/>
    <w:rsid w:val="0017625F"/>
    <w:rsid w:val="00180810"/>
    <w:rsid w:val="001A16F1"/>
    <w:rsid w:val="001A45FD"/>
    <w:rsid w:val="001A69FB"/>
    <w:rsid w:val="001B197F"/>
    <w:rsid w:val="001B4740"/>
    <w:rsid w:val="001C04D4"/>
    <w:rsid w:val="001C18D9"/>
    <w:rsid w:val="001C5DB7"/>
    <w:rsid w:val="001C620C"/>
    <w:rsid w:val="001D6A43"/>
    <w:rsid w:val="001E26C2"/>
    <w:rsid w:val="001E29FE"/>
    <w:rsid w:val="001E3164"/>
    <w:rsid w:val="001E7B21"/>
    <w:rsid w:val="001F07F2"/>
    <w:rsid w:val="001F396F"/>
    <w:rsid w:val="001F6B3A"/>
    <w:rsid w:val="002001E6"/>
    <w:rsid w:val="00203253"/>
    <w:rsid w:val="00213C09"/>
    <w:rsid w:val="00213F7F"/>
    <w:rsid w:val="002175F6"/>
    <w:rsid w:val="002238D2"/>
    <w:rsid w:val="00226E91"/>
    <w:rsid w:val="00232BE3"/>
    <w:rsid w:val="0023606E"/>
    <w:rsid w:val="00250CF5"/>
    <w:rsid w:val="00250FFF"/>
    <w:rsid w:val="00254173"/>
    <w:rsid w:val="002555D9"/>
    <w:rsid w:val="002648CE"/>
    <w:rsid w:val="00265282"/>
    <w:rsid w:val="002771D7"/>
    <w:rsid w:val="00280FEF"/>
    <w:rsid w:val="00283E14"/>
    <w:rsid w:val="002A1B95"/>
    <w:rsid w:val="002A4BC3"/>
    <w:rsid w:val="002B2F8F"/>
    <w:rsid w:val="002B4EE0"/>
    <w:rsid w:val="002B6302"/>
    <w:rsid w:val="002C56BD"/>
    <w:rsid w:val="002C6E42"/>
    <w:rsid w:val="002D109D"/>
    <w:rsid w:val="002D269C"/>
    <w:rsid w:val="002D4B85"/>
    <w:rsid w:val="002D56D4"/>
    <w:rsid w:val="002D7D4C"/>
    <w:rsid w:val="002E3DAA"/>
    <w:rsid w:val="002E5DD8"/>
    <w:rsid w:val="002E647E"/>
    <w:rsid w:val="002E671B"/>
    <w:rsid w:val="002F0572"/>
    <w:rsid w:val="002F3681"/>
    <w:rsid w:val="003104D2"/>
    <w:rsid w:val="0032050A"/>
    <w:rsid w:val="00320F15"/>
    <w:rsid w:val="00324554"/>
    <w:rsid w:val="00340DF7"/>
    <w:rsid w:val="003517C9"/>
    <w:rsid w:val="003527FC"/>
    <w:rsid w:val="00360DC1"/>
    <w:rsid w:val="00364A5F"/>
    <w:rsid w:val="00364BE6"/>
    <w:rsid w:val="0037694A"/>
    <w:rsid w:val="0038487E"/>
    <w:rsid w:val="003A02CF"/>
    <w:rsid w:val="003A2318"/>
    <w:rsid w:val="003B5B32"/>
    <w:rsid w:val="003C0B21"/>
    <w:rsid w:val="003C1E22"/>
    <w:rsid w:val="003D0A2F"/>
    <w:rsid w:val="003D289B"/>
    <w:rsid w:val="003E0E9E"/>
    <w:rsid w:val="003E4AE1"/>
    <w:rsid w:val="003E7920"/>
    <w:rsid w:val="003F2682"/>
    <w:rsid w:val="003F5CC7"/>
    <w:rsid w:val="003F609E"/>
    <w:rsid w:val="00401DB9"/>
    <w:rsid w:val="00402D20"/>
    <w:rsid w:val="00410213"/>
    <w:rsid w:val="00412A2D"/>
    <w:rsid w:val="00415FEB"/>
    <w:rsid w:val="00420C6B"/>
    <w:rsid w:val="00432456"/>
    <w:rsid w:val="00434261"/>
    <w:rsid w:val="00440207"/>
    <w:rsid w:val="00440D94"/>
    <w:rsid w:val="004471AC"/>
    <w:rsid w:val="004569F8"/>
    <w:rsid w:val="00465937"/>
    <w:rsid w:val="00467893"/>
    <w:rsid w:val="00473074"/>
    <w:rsid w:val="00480FEE"/>
    <w:rsid w:val="00482DC2"/>
    <w:rsid w:val="00484C26"/>
    <w:rsid w:val="004A2CAB"/>
    <w:rsid w:val="004A7194"/>
    <w:rsid w:val="004B422F"/>
    <w:rsid w:val="004C3723"/>
    <w:rsid w:val="004C3E4D"/>
    <w:rsid w:val="004C4325"/>
    <w:rsid w:val="004C507B"/>
    <w:rsid w:val="004D1837"/>
    <w:rsid w:val="004D2C8C"/>
    <w:rsid w:val="004E01B5"/>
    <w:rsid w:val="004E298E"/>
    <w:rsid w:val="004E3B6F"/>
    <w:rsid w:val="004E4F0D"/>
    <w:rsid w:val="004E5DE9"/>
    <w:rsid w:val="004E7747"/>
    <w:rsid w:val="004F33E6"/>
    <w:rsid w:val="004F3641"/>
    <w:rsid w:val="005050AE"/>
    <w:rsid w:val="0050677B"/>
    <w:rsid w:val="005112AA"/>
    <w:rsid w:val="005134F8"/>
    <w:rsid w:val="0051487E"/>
    <w:rsid w:val="00516433"/>
    <w:rsid w:val="00526BFA"/>
    <w:rsid w:val="00533D9C"/>
    <w:rsid w:val="00536E71"/>
    <w:rsid w:val="00546891"/>
    <w:rsid w:val="005510BE"/>
    <w:rsid w:val="00552A0C"/>
    <w:rsid w:val="00552AE0"/>
    <w:rsid w:val="005541FA"/>
    <w:rsid w:val="00561ED2"/>
    <w:rsid w:val="00565A6F"/>
    <w:rsid w:val="005667FF"/>
    <w:rsid w:val="00566E7A"/>
    <w:rsid w:val="005747C1"/>
    <w:rsid w:val="005750DE"/>
    <w:rsid w:val="00593B7D"/>
    <w:rsid w:val="00593FD8"/>
    <w:rsid w:val="0059429A"/>
    <w:rsid w:val="00595F92"/>
    <w:rsid w:val="005A1C38"/>
    <w:rsid w:val="005A3AE7"/>
    <w:rsid w:val="005A7AA8"/>
    <w:rsid w:val="005B70C8"/>
    <w:rsid w:val="005D3EC2"/>
    <w:rsid w:val="005D6A2E"/>
    <w:rsid w:val="005F6D51"/>
    <w:rsid w:val="006024F2"/>
    <w:rsid w:val="00607FA3"/>
    <w:rsid w:val="0061149F"/>
    <w:rsid w:val="00621B84"/>
    <w:rsid w:val="006220B2"/>
    <w:rsid w:val="00622102"/>
    <w:rsid w:val="006264E5"/>
    <w:rsid w:val="00634FC0"/>
    <w:rsid w:val="006447EF"/>
    <w:rsid w:val="00647236"/>
    <w:rsid w:val="00647B24"/>
    <w:rsid w:val="00651315"/>
    <w:rsid w:val="00651BD9"/>
    <w:rsid w:val="00665599"/>
    <w:rsid w:val="006655F5"/>
    <w:rsid w:val="006700AA"/>
    <w:rsid w:val="00671846"/>
    <w:rsid w:val="0067426C"/>
    <w:rsid w:val="006779AC"/>
    <w:rsid w:val="00685759"/>
    <w:rsid w:val="0069219D"/>
    <w:rsid w:val="006A00E3"/>
    <w:rsid w:val="006A08A7"/>
    <w:rsid w:val="006A3647"/>
    <w:rsid w:val="006A602C"/>
    <w:rsid w:val="006A6D77"/>
    <w:rsid w:val="006A72B1"/>
    <w:rsid w:val="006B00EB"/>
    <w:rsid w:val="006B195A"/>
    <w:rsid w:val="006B54A8"/>
    <w:rsid w:val="006C12DF"/>
    <w:rsid w:val="006C4BB8"/>
    <w:rsid w:val="006D3AC3"/>
    <w:rsid w:val="006D7DB2"/>
    <w:rsid w:val="006E3303"/>
    <w:rsid w:val="006E35C9"/>
    <w:rsid w:val="006E439F"/>
    <w:rsid w:val="006F1F3C"/>
    <w:rsid w:val="006F69E7"/>
    <w:rsid w:val="0070602D"/>
    <w:rsid w:val="00707470"/>
    <w:rsid w:val="007075CB"/>
    <w:rsid w:val="007209DD"/>
    <w:rsid w:val="007238FF"/>
    <w:rsid w:val="00723C69"/>
    <w:rsid w:val="007244ED"/>
    <w:rsid w:val="00727A41"/>
    <w:rsid w:val="00735F1A"/>
    <w:rsid w:val="00736B2A"/>
    <w:rsid w:val="007404D3"/>
    <w:rsid w:val="00743F10"/>
    <w:rsid w:val="00744BE8"/>
    <w:rsid w:val="00747124"/>
    <w:rsid w:val="007477E6"/>
    <w:rsid w:val="0074797E"/>
    <w:rsid w:val="007521DF"/>
    <w:rsid w:val="0076248F"/>
    <w:rsid w:val="0076267D"/>
    <w:rsid w:val="007657FE"/>
    <w:rsid w:val="0076615E"/>
    <w:rsid w:val="00766DC8"/>
    <w:rsid w:val="00767783"/>
    <w:rsid w:val="00774994"/>
    <w:rsid w:val="00777E5C"/>
    <w:rsid w:val="0078119C"/>
    <w:rsid w:val="00793E07"/>
    <w:rsid w:val="00794E2A"/>
    <w:rsid w:val="007955C1"/>
    <w:rsid w:val="00796378"/>
    <w:rsid w:val="0079789D"/>
    <w:rsid w:val="007A21A5"/>
    <w:rsid w:val="007A43C4"/>
    <w:rsid w:val="007B0A12"/>
    <w:rsid w:val="007B2B63"/>
    <w:rsid w:val="007B5021"/>
    <w:rsid w:val="007C2419"/>
    <w:rsid w:val="007C4C65"/>
    <w:rsid w:val="007C5BFA"/>
    <w:rsid w:val="007C790C"/>
    <w:rsid w:val="007D0126"/>
    <w:rsid w:val="007D1984"/>
    <w:rsid w:val="007E1D4C"/>
    <w:rsid w:val="007E4A37"/>
    <w:rsid w:val="007E6E79"/>
    <w:rsid w:val="007F4573"/>
    <w:rsid w:val="007F5739"/>
    <w:rsid w:val="0080496D"/>
    <w:rsid w:val="0080534A"/>
    <w:rsid w:val="008130C2"/>
    <w:rsid w:val="00814CEE"/>
    <w:rsid w:val="00821A01"/>
    <w:rsid w:val="00823C02"/>
    <w:rsid w:val="00830E8B"/>
    <w:rsid w:val="00831C1B"/>
    <w:rsid w:val="0083521C"/>
    <w:rsid w:val="008370CE"/>
    <w:rsid w:val="00851851"/>
    <w:rsid w:val="00853DF7"/>
    <w:rsid w:val="00861831"/>
    <w:rsid w:val="00861F4B"/>
    <w:rsid w:val="0086270F"/>
    <w:rsid w:val="008653D6"/>
    <w:rsid w:val="008733F5"/>
    <w:rsid w:val="00883500"/>
    <w:rsid w:val="00892269"/>
    <w:rsid w:val="008A53D0"/>
    <w:rsid w:val="008B691C"/>
    <w:rsid w:val="008C41CB"/>
    <w:rsid w:val="008D6CD9"/>
    <w:rsid w:val="008D75C9"/>
    <w:rsid w:val="008E2872"/>
    <w:rsid w:val="008E36FF"/>
    <w:rsid w:val="008F0791"/>
    <w:rsid w:val="008F6775"/>
    <w:rsid w:val="0090234E"/>
    <w:rsid w:val="0090254E"/>
    <w:rsid w:val="0090797A"/>
    <w:rsid w:val="009104F5"/>
    <w:rsid w:val="009120A2"/>
    <w:rsid w:val="00916E93"/>
    <w:rsid w:val="0092424C"/>
    <w:rsid w:val="00925F48"/>
    <w:rsid w:val="009263BB"/>
    <w:rsid w:val="00931376"/>
    <w:rsid w:val="00942034"/>
    <w:rsid w:val="00950C2C"/>
    <w:rsid w:val="009544DC"/>
    <w:rsid w:val="00957AD9"/>
    <w:rsid w:val="009645FF"/>
    <w:rsid w:val="00970719"/>
    <w:rsid w:val="009824AF"/>
    <w:rsid w:val="00985486"/>
    <w:rsid w:val="009865C5"/>
    <w:rsid w:val="00987FC3"/>
    <w:rsid w:val="009926B0"/>
    <w:rsid w:val="009934FD"/>
    <w:rsid w:val="00996071"/>
    <w:rsid w:val="00997630"/>
    <w:rsid w:val="009A0590"/>
    <w:rsid w:val="009B155E"/>
    <w:rsid w:val="009B2773"/>
    <w:rsid w:val="009D14D4"/>
    <w:rsid w:val="009D1C67"/>
    <w:rsid w:val="009D355D"/>
    <w:rsid w:val="009D459C"/>
    <w:rsid w:val="009D6ABF"/>
    <w:rsid w:val="009E6E53"/>
    <w:rsid w:val="009E7CF4"/>
    <w:rsid w:val="009F29CC"/>
    <w:rsid w:val="00A03A90"/>
    <w:rsid w:val="00A05E35"/>
    <w:rsid w:val="00A22B03"/>
    <w:rsid w:val="00A34DC6"/>
    <w:rsid w:val="00A36182"/>
    <w:rsid w:val="00A3798C"/>
    <w:rsid w:val="00A4399C"/>
    <w:rsid w:val="00A50EC9"/>
    <w:rsid w:val="00A53762"/>
    <w:rsid w:val="00A6098E"/>
    <w:rsid w:val="00A60CFD"/>
    <w:rsid w:val="00A61899"/>
    <w:rsid w:val="00A62E0E"/>
    <w:rsid w:val="00A6767D"/>
    <w:rsid w:val="00A7232C"/>
    <w:rsid w:val="00A73B02"/>
    <w:rsid w:val="00A74987"/>
    <w:rsid w:val="00A7715A"/>
    <w:rsid w:val="00A8691D"/>
    <w:rsid w:val="00A86DA2"/>
    <w:rsid w:val="00A95E9D"/>
    <w:rsid w:val="00A9744D"/>
    <w:rsid w:val="00A97F9E"/>
    <w:rsid w:val="00AA0AA8"/>
    <w:rsid w:val="00AA0E07"/>
    <w:rsid w:val="00AA23F6"/>
    <w:rsid w:val="00AA4D3A"/>
    <w:rsid w:val="00AB44DF"/>
    <w:rsid w:val="00AC0518"/>
    <w:rsid w:val="00AC218B"/>
    <w:rsid w:val="00AC4F76"/>
    <w:rsid w:val="00AC502E"/>
    <w:rsid w:val="00AC73BF"/>
    <w:rsid w:val="00AD2534"/>
    <w:rsid w:val="00AD4C12"/>
    <w:rsid w:val="00AD5948"/>
    <w:rsid w:val="00AE060E"/>
    <w:rsid w:val="00AE3079"/>
    <w:rsid w:val="00B00204"/>
    <w:rsid w:val="00B01ACD"/>
    <w:rsid w:val="00B037C0"/>
    <w:rsid w:val="00B05A93"/>
    <w:rsid w:val="00B16E76"/>
    <w:rsid w:val="00B20FA2"/>
    <w:rsid w:val="00B20FB5"/>
    <w:rsid w:val="00B22209"/>
    <w:rsid w:val="00B250A0"/>
    <w:rsid w:val="00B30A2D"/>
    <w:rsid w:val="00B30B89"/>
    <w:rsid w:val="00B33D4E"/>
    <w:rsid w:val="00B364E0"/>
    <w:rsid w:val="00B4348C"/>
    <w:rsid w:val="00B4449D"/>
    <w:rsid w:val="00B477C8"/>
    <w:rsid w:val="00B47DBA"/>
    <w:rsid w:val="00B5021B"/>
    <w:rsid w:val="00B61D8C"/>
    <w:rsid w:val="00B636C0"/>
    <w:rsid w:val="00B73E4A"/>
    <w:rsid w:val="00B9355A"/>
    <w:rsid w:val="00B94475"/>
    <w:rsid w:val="00BA73D9"/>
    <w:rsid w:val="00BA7EE6"/>
    <w:rsid w:val="00BC66A3"/>
    <w:rsid w:val="00BD0778"/>
    <w:rsid w:val="00BD7DFE"/>
    <w:rsid w:val="00BE3C73"/>
    <w:rsid w:val="00BE7AF5"/>
    <w:rsid w:val="00BF63F9"/>
    <w:rsid w:val="00C071AD"/>
    <w:rsid w:val="00C07F10"/>
    <w:rsid w:val="00C1022E"/>
    <w:rsid w:val="00C12D1F"/>
    <w:rsid w:val="00C35555"/>
    <w:rsid w:val="00C37431"/>
    <w:rsid w:val="00C53622"/>
    <w:rsid w:val="00C603F3"/>
    <w:rsid w:val="00C61C4B"/>
    <w:rsid w:val="00C73B9F"/>
    <w:rsid w:val="00C74885"/>
    <w:rsid w:val="00C758CD"/>
    <w:rsid w:val="00C80675"/>
    <w:rsid w:val="00C82F2F"/>
    <w:rsid w:val="00C93801"/>
    <w:rsid w:val="00C94B24"/>
    <w:rsid w:val="00CA1DD5"/>
    <w:rsid w:val="00CA3F1A"/>
    <w:rsid w:val="00CA7FBA"/>
    <w:rsid w:val="00CB3DF3"/>
    <w:rsid w:val="00CC186F"/>
    <w:rsid w:val="00CC5D41"/>
    <w:rsid w:val="00CC671B"/>
    <w:rsid w:val="00CC71E8"/>
    <w:rsid w:val="00CD19A7"/>
    <w:rsid w:val="00CD387F"/>
    <w:rsid w:val="00CD4AF0"/>
    <w:rsid w:val="00CE65F2"/>
    <w:rsid w:val="00CF08B4"/>
    <w:rsid w:val="00CF3115"/>
    <w:rsid w:val="00D027DE"/>
    <w:rsid w:val="00D036F6"/>
    <w:rsid w:val="00D07FD6"/>
    <w:rsid w:val="00D1716D"/>
    <w:rsid w:val="00D22FD7"/>
    <w:rsid w:val="00D24FDE"/>
    <w:rsid w:val="00D31424"/>
    <w:rsid w:val="00D445BF"/>
    <w:rsid w:val="00D56309"/>
    <w:rsid w:val="00D57B61"/>
    <w:rsid w:val="00D61080"/>
    <w:rsid w:val="00D628B2"/>
    <w:rsid w:val="00D7217C"/>
    <w:rsid w:val="00D72D6D"/>
    <w:rsid w:val="00D742D5"/>
    <w:rsid w:val="00D82E57"/>
    <w:rsid w:val="00D87F9C"/>
    <w:rsid w:val="00D901C3"/>
    <w:rsid w:val="00D95551"/>
    <w:rsid w:val="00D9624C"/>
    <w:rsid w:val="00DA0020"/>
    <w:rsid w:val="00DA5682"/>
    <w:rsid w:val="00DA5F8D"/>
    <w:rsid w:val="00DB0B9E"/>
    <w:rsid w:val="00DB7BFA"/>
    <w:rsid w:val="00DC69E3"/>
    <w:rsid w:val="00DD2FE6"/>
    <w:rsid w:val="00DD3DB2"/>
    <w:rsid w:val="00DE1375"/>
    <w:rsid w:val="00DF0703"/>
    <w:rsid w:val="00DF21D0"/>
    <w:rsid w:val="00E04EDA"/>
    <w:rsid w:val="00E124C2"/>
    <w:rsid w:val="00E140D7"/>
    <w:rsid w:val="00E17B4E"/>
    <w:rsid w:val="00E26B13"/>
    <w:rsid w:val="00E27E0B"/>
    <w:rsid w:val="00E27FC4"/>
    <w:rsid w:val="00E3720E"/>
    <w:rsid w:val="00E5221A"/>
    <w:rsid w:val="00E52D6D"/>
    <w:rsid w:val="00E54D90"/>
    <w:rsid w:val="00E61CD5"/>
    <w:rsid w:val="00E640A8"/>
    <w:rsid w:val="00E651BB"/>
    <w:rsid w:val="00E76A49"/>
    <w:rsid w:val="00E85926"/>
    <w:rsid w:val="00EA096F"/>
    <w:rsid w:val="00EA0C0C"/>
    <w:rsid w:val="00EA0D89"/>
    <w:rsid w:val="00EA255B"/>
    <w:rsid w:val="00EA6015"/>
    <w:rsid w:val="00EA6227"/>
    <w:rsid w:val="00EB2C76"/>
    <w:rsid w:val="00EC7647"/>
    <w:rsid w:val="00ED1492"/>
    <w:rsid w:val="00ED5E91"/>
    <w:rsid w:val="00EE237D"/>
    <w:rsid w:val="00EF3E30"/>
    <w:rsid w:val="00EF6F92"/>
    <w:rsid w:val="00F04782"/>
    <w:rsid w:val="00F0482E"/>
    <w:rsid w:val="00F17C21"/>
    <w:rsid w:val="00F43E83"/>
    <w:rsid w:val="00F453A9"/>
    <w:rsid w:val="00F5116D"/>
    <w:rsid w:val="00F54283"/>
    <w:rsid w:val="00F56043"/>
    <w:rsid w:val="00F62CEC"/>
    <w:rsid w:val="00F66F6B"/>
    <w:rsid w:val="00F72165"/>
    <w:rsid w:val="00F77E6E"/>
    <w:rsid w:val="00F83CC4"/>
    <w:rsid w:val="00F90145"/>
    <w:rsid w:val="00F919C0"/>
    <w:rsid w:val="00F91B4E"/>
    <w:rsid w:val="00F92177"/>
    <w:rsid w:val="00F92D00"/>
    <w:rsid w:val="00F95FDF"/>
    <w:rsid w:val="00FA0255"/>
    <w:rsid w:val="00FC1C67"/>
    <w:rsid w:val="00FD2A22"/>
    <w:rsid w:val="00FE2A6E"/>
    <w:rsid w:val="00FE479F"/>
    <w:rsid w:val="00FE48C1"/>
    <w:rsid w:val="00FE68DC"/>
    <w:rsid w:val="00FF28D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8D1F"/>
  <w15:docId w15:val="{9073C3AB-506E-474C-AFDA-0C86AF03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paragraph" w:styleId="Revisin">
    <w:name w:val="Revision"/>
    <w:hidden/>
    <w:uiPriority w:val="99"/>
    <w:semiHidden/>
    <w:rsid w:val="00074947"/>
    <w:pPr>
      <w:spacing w:after="0" w:line="240" w:lineRule="auto"/>
    </w:pPr>
  </w:style>
  <w:style w:type="table" w:styleId="Tablaconcuadrcula">
    <w:name w:val="Table Grid"/>
    <w:basedOn w:val="Tablanormal"/>
    <w:uiPriority w:val="59"/>
    <w:rsid w:val="00EA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215244567">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536432245">
      <w:bodyDiv w:val="1"/>
      <w:marLeft w:val="0"/>
      <w:marRight w:val="0"/>
      <w:marTop w:val="0"/>
      <w:marBottom w:val="0"/>
      <w:divBdr>
        <w:top w:val="none" w:sz="0" w:space="0" w:color="auto"/>
        <w:left w:val="none" w:sz="0" w:space="0" w:color="auto"/>
        <w:bottom w:val="none" w:sz="0" w:space="0" w:color="auto"/>
        <w:right w:val="none" w:sz="0" w:space="0" w:color="auto"/>
      </w:divBdr>
    </w:div>
    <w:div w:id="549273036">
      <w:bodyDiv w:val="1"/>
      <w:marLeft w:val="0"/>
      <w:marRight w:val="0"/>
      <w:marTop w:val="0"/>
      <w:marBottom w:val="0"/>
      <w:divBdr>
        <w:top w:val="none" w:sz="0" w:space="0" w:color="auto"/>
        <w:left w:val="none" w:sz="0" w:space="0" w:color="auto"/>
        <w:bottom w:val="none" w:sz="0" w:space="0" w:color="auto"/>
        <w:right w:val="none" w:sz="0" w:space="0" w:color="auto"/>
      </w:divBdr>
    </w:div>
    <w:div w:id="727917079">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941184981">
      <w:bodyDiv w:val="1"/>
      <w:marLeft w:val="0"/>
      <w:marRight w:val="0"/>
      <w:marTop w:val="0"/>
      <w:marBottom w:val="0"/>
      <w:divBdr>
        <w:top w:val="none" w:sz="0" w:space="0" w:color="auto"/>
        <w:left w:val="none" w:sz="0" w:space="0" w:color="auto"/>
        <w:bottom w:val="none" w:sz="0" w:space="0" w:color="auto"/>
        <w:right w:val="none" w:sz="0" w:space="0" w:color="auto"/>
      </w:divBdr>
    </w:div>
    <w:div w:id="988822211">
      <w:bodyDiv w:val="1"/>
      <w:marLeft w:val="0"/>
      <w:marRight w:val="0"/>
      <w:marTop w:val="0"/>
      <w:marBottom w:val="0"/>
      <w:divBdr>
        <w:top w:val="none" w:sz="0" w:space="0" w:color="auto"/>
        <w:left w:val="none" w:sz="0" w:space="0" w:color="auto"/>
        <w:bottom w:val="none" w:sz="0" w:space="0" w:color="auto"/>
        <w:right w:val="none" w:sz="0" w:space="0" w:color="auto"/>
      </w:divBdr>
    </w:div>
    <w:div w:id="1211307664">
      <w:bodyDiv w:val="1"/>
      <w:marLeft w:val="0"/>
      <w:marRight w:val="0"/>
      <w:marTop w:val="0"/>
      <w:marBottom w:val="0"/>
      <w:divBdr>
        <w:top w:val="none" w:sz="0" w:space="0" w:color="auto"/>
        <w:left w:val="none" w:sz="0" w:space="0" w:color="auto"/>
        <w:bottom w:val="none" w:sz="0" w:space="0" w:color="auto"/>
        <w:right w:val="none" w:sz="0" w:space="0" w:color="auto"/>
      </w:divBdr>
    </w:div>
    <w:div w:id="20175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eargueta\Desktop\Informes%202019\Sitfin\Octubre\Sitfin%20al%20311019%20(141119).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4588080764791"/>
          <c:y val="5.0552103956334832E-2"/>
          <c:w val="0.8643048865739279"/>
          <c:h val="0.83258589195279087"/>
        </c:manualLayout>
      </c:layout>
      <c:barChart>
        <c:barDir val="col"/>
        <c:grouping val="clustered"/>
        <c:varyColors val="0"/>
        <c:ser>
          <c:idx val="1"/>
          <c:order val="0"/>
          <c:spPr>
            <a:scene3d>
              <a:camera prst="orthographicFront"/>
              <a:lightRig rig="threePt" dir="t"/>
            </a:scene3d>
            <a:sp3d>
              <a:bevelT prst="angle"/>
            </a:sp3d>
          </c:spPr>
          <c:invertIfNegative val="0"/>
          <c:dPt>
            <c:idx val="0"/>
            <c:invertIfNegative val="0"/>
            <c:bubble3D val="0"/>
            <c:spPr>
              <a:solidFill>
                <a:schemeClr val="accent1">
                  <a:lumMod val="50000"/>
                </a:schemeClr>
              </a:solidFill>
              <a:scene3d>
                <a:camera prst="orthographicFront"/>
                <a:lightRig rig="threePt" dir="t"/>
              </a:scene3d>
              <a:sp3d>
                <a:bevelT prst="angle"/>
              </a:sp3d>
            </c:spPr>
            <c:extLst>
              <c:ext xmlns:c16="http://schemas.microsoft.com/office/drawing/2014/chart" uri="{C3380CC4-5D6E-409C-BE32-E72D297353CC}">
                <c16:uniqueId val="{00000001-74C0-4EE3-B6BC-0FBB384475A3}"/>
              </c:ext>
            </c:extLst>
          </c:dPt>
          <c:dPt>
            <c:idx val="1"/>
            <c:invertIfNegative val="0"/>
            <c:bubble3D val="0"/>
            <c:spPr>
              <a:solidFill>
                <a:schemeClr val="accent1">
                  <a:lumMod val="50000"/>
                </a:schemeClr>
              </a:solidFill>
              <a:scene3d>
                <a:camera prst="orthographicFront"/>
                <a:lightRig rig="threePt" dir="t"/>
              </a:scene3d>
              <a:sp3d>
                <a:bevelT prst="angle"/>
              </a:sp3d>
            </c:spPr>
            <c:extLst>
              <c:ext xmlns:c16="http://schemas.microsoft.com/office/drawing/2014/chart" uri="{C3380CC4-5D6E-409C-BE32-E72D297353CC}">
                <c16:uniqueId val="{00000003-74C0-4EE3-B6BC-0FBB384475A3}"/>
              </c:ext>
            </c:extLst>
          </c:dPt>
          <c:dPt>
            <c:idx val="2"/>
            <c:invertIfNegative val="0"/>
            <c:bubble3D val="0"/>
            <c:spPr>
              <a:solidFill>
                <a:schemeClr val="accent1">
                  <a:lumMod val="50000"/>
                </a:schemeClr>
              </a:solidFill>
              <a:scene3d>
                <a:camera prst="orthographicFront"/>
                <a:lightRig rig="threePt" dir="t"/>
              </a:scene3d>
              <a:sp3d>
                <a:bevelT prst="angle"/>
              </a:sp3d>
            </c:spPr>
            <c:extLst>
              <c:ext xmlns:c16="http://schemas.microsoft.com/office/drawing/2014/chart" uri="{C3380CC4-5D6E-409C-BE32-E72D297353CC}">
                <c16:uniqueId val="{00000005-74C0-4EE3-B6BC-0FBB384475A3}"/>
              </c:ext>
            </c:extLst>
          </c:dPt>
          <c:dPt>
            <c:idx val="3"/>
            <c:invertIfNegative val="0"/>
            <c:bubble3D val="0"/>
            <c:spPr>
              <a:solidFill>
                <a:srgbClr val="C00000"/>
              </a:solidFill>
              <a:scene3d>
                <a:camera prst="orthographicFront"/>
                <a:lightRig rig="threePt" dir="t"/>
              </a:scene3d>
              <a:sp3d>
                <a:bevelT prst="angle"/>
              </a:sp3d>
            </c:spPr>
            <c:extLst>
              <c:ext xmlns:c16="http://schemas.microsoft.com/office/drawing/2014/chart" uri="{C3380CC4-5D6E-409C-BE32-E72D297353CC}">
                <c16:uniqueId val="{00000007-74C0-4EE3-B6BC-0FBB384475A3}"/>
              </c:ext>
            </c:extLst>
          </c:dPt>
          <c:dLbls>
            <c:dLbl>
              <c:idx val="3"/>
              <c:spPr>
                <a:noFill/>
                <a:ln>
                  <a:noFill/>
                </a:ln>
                <a:effectLst/>
              </c:spPr>
              <c:txPr>
                <a:bodyPr wrap="square" lIns="38100" tIns="19050" rIns="38100" bIns="19050" anchor="ctr">
                  <a:spAutoFit/>
                </a:bodyPr>
                <a:lstStyle/>
                <a:p>
                  <a:pPr>
                    <a:defRPr sz="1100" b="1"/>
                  </a:pPr>
                  <a:endParaRPr lang="es-GT"/>
                </a:p>
              </c:txPr>
              <c:showLegendKey val="0"/>
              <c:showVal val="1"/>
              <c:showCatName val="0"/>
              <c:showSerName val="0"/>
              <c:showPercent val="0"/>
              <c:showBubbleSize val="0"/>
              <c:extLst>
                <c:ext xmlns:c16="http://schemas.microsoft.com/office/drawing/2014/chart" uri="{C3380CC4-5D6E-409C-BE32-E72D297353CC}">
                  <c16:uniqueId val="{00000007-74C0-4EE3-B6BC-0FBB384475A3}"/>
                </c:ext>
              </c:extLst>
            </c:dLbl>
            <c:spPr>
              <a:noFill/>
              <a:ln>
                <a:noFill/>
              </a:ln>
              <a:effectLst/>
            </c:spPr>
            <c:txPr>
              <a:bodyPr wrap="square" lIns="38100" tIns="19050" rIns="38100" bIns="19050" anchor="ctr">
                <a:spAutoFit/>
              </a:bodyPr>
              <a:lstStyle/>
              <a:p>
                <a:pPr>
                  <a:defRPr sz="11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'Reporte diario'!$M$61:$P$61</c:f>
              <c:numCache>
                <c:formatCode>General</c:formatCode>
                <c:ptCount val="4"/>
                <c:pt idx="0">
                  <c:v>2016</c:v>
                </c:pt>
                <c:pt idx="1">
                  <c:v>2017</c:v>
                </c:pt>
                <c:pt idx="2">
                  <c:v>2018</c:v>
                </c:pt>
                <c:pt idx="3">
                  <c:v>2019</c:v>
                </c:pt>
              </c:numCache>
            </c:numRef>
          </c:cat>
          <c:val>
            <c:numRef>
              <c:f>'Reporte diario'!$M$62:$P$62</c:f>
              <c:numCache>
                <c:formatCode>_-* #,##0.0_-;\-* #,##0.0_-;_-* "-"??_-;_-@_-</c:formatCode>
                <c:ptCount val="4"/>
                <c:pt idx="0">
                  <c:v>-717.17950471998483</c:v>
                </c:pt>
                <c:pt idx="1">
                  <c:v>-773.83116821999965</c:v>
                </c:pt>
                <c:pt idx="2">
                  <c:v>-3156.4674119400015</c:v>
                </c:pt>
                <c:pt idx="3">
                  <c:v>-7364.0935621700046</c:v>
                </c:pt>
              </c:numCache>
            </c:numRef>
          </c:val>
          <c:extLst>
            <c:ext xmlns:c16="http://schemas.microsoft.com/office/drawing/2014/chart" uri="{C3380CC4-5D6E-409C-BE32-E72D297353CC}">
              <c16:uniqueId val="{00000008-74C0-4EE3-B6BC-0FBB384475A3}"/>
            </c:ext>
          </c:extLst>
        </c:ser>
        <c:dLbls>
          <c:showLegendKey val="0"/>
          <c:showVal val="0"/>
          <c:showCatName val="0"/>
          <c:showSerName val="0"/>
          <c:showPercent val="0"/>
          <c:showBubbleSize val="0"/>
        </c:dLbls>
        <c:gapWidth val="71"/>
        <c:axId val="145243520"/>
        <c:axId val="145245312"/>
      </c:barChart>
      <c:catAx>
        <c:axId val="145243520"/>
        <c:scaling>
          <c:orientation val="minMax"/>
        </c:scaling>
        <c:delete val="0"/>
        <c:axPos val="b"/>
        <c:numFmt formatCode="General" sourceLinked="0"/>
        <c:majorTickMark val="out"/>
        <c:minorTickMark val="none"/>
        <c:tickLblPos val="low"/>
        <c:txPr>
          <a:bodyPr/>
          <a:lstStyle/>
          <a:p>
            <a:pPr>
              <a:defRPr lang="es-GT" sz="1100"/>
            </a:pPr>
            <a:endParaRPr lang="es-GT"/>
          </a:p>
        </c:txPr>
        <c:crossAx val="145245312"/>
        <c:crosses val="autoZero"/>
        <c:auto val="1"/>
        <c:lblAlgn val="ctr"/>
        <c:lblOffset val="100"/>
        <c:noMultiLvlLbl val="0"/>
      </c:catAx>
      <c:valAx>
        <c:axId val="145245312"/>
        <c:scaling>
          <c:orientation val="minMax"/>
        </c:scaling>
        <c:delete val="0"/>
        <c:axPos val="l"/>
        <c:numFmt formatCode="_-* #,##0.0_-;\-* #,##0.0_-;_-* &quot;-&quot;??_-;_-@_-" sourceLinked="1"/>
        <c:majorTickMark val="out"/>
        <c:minorTickMark val="none"/>
        <c:tickLblPos val="nextTo"/>
        <c:txPr>
          <a:bodyPr/>
          <a:lstStyle/>
          <a:p>
            <a:pPr>
              <a:defRPr lang="es-GT" sz="1000"/>
            </a:pPr>
            <a:endParaRPr lang="es-GT"/>
          </a:p>
        </c:txPr>
        <c:crossAx val="145243520"/>
        <c:crosses val="autoZero"/>
        <c:crossBetween val="between"/>
      </c:valAx>
    </c:plotArea>
    <c:plotVisOnly val="1"/>
    <c:dispBlanksAs val="gap"/>
    <c:showDLblsOverMax val="0"/>
  </c:chart>
  <c:spPr>
    <a:ln>
      <a:noFill/>
    </a:ln>
    <a:effectLst/>
  </c:spPr>
  <c:txPr>
    <a:bodyPr/>
    <a:lstStyle/>
    <a:p>
      <a:pPr>
        <a:defRPr sz="1400">
          <a:latin typeface="Times New Roman" pitchFamily="18" charset="0"/>
          <a:cs typeface="Times New Roman"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Hoja1!$B$1</c:f>
              <c:strCache>
                <c:ptCount val="1"/>
                <c:pt idx="0">
                  <c:v>Presupuesto</c:v>
                </c:pt>
              </c:strCache>
            </c:strRef>
          </c:tx>
          <c:spPr>
            <a:ln w="9525" cap="rnd">
              <a:solidFill>
                <a:schemeClr val="accent1"/>
              </a:solidFill>
              <a:round/>
            </a:ln>
            <a:effectLst/>
          </c:spPr>
          <c:marker>
            <c:symbol val="none"/>
          </c:marker>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Hoja1!$B$2:$B$11</c:f>
              <c:numCache>
                <c:formatCode>#,##0.0</c:formatCode>
                <c:ptCount val="10"/>
                <c:pt idx="0">
                  <c:v>6279.5240500559985</c:v>
                </c:pt>
                <c:pt idx="1">
                  <c:v>10423.172378266785</c:v>
                </c:pt>
                <c:pt idx="2">
                  <c:v>15786.847905300863</c:v>
                </c:pt>
                <c:pt idx="3">
                  <c:v>22142.488017860313</c:v>
                </c:pt>
                <c:pt idx="4">
                  <c:v>26915.315558536571</c:v>
                </c:pt>
                <c:pt idx="5">
                  <c:v>31536.540683296491</c:v>
                </c:pt>
                <c:pt idx="6">
                  <c:v>38736.742780816785</c:v>
                </c:pt>
                <c:pt idx="7">
                  <c:v>43252.81932977675</c:v>
                </c:pt>
                <c:pt idx="8">
                  <c:v>47629.442852914952</c:v>
                </c:pt>
                <c:pt idx="9">
                  <c:v>54661.560324901802</c:v>
                </c:pt>
              </c:numCache>
            </c:numRef>
          </c:val>
          <c:extLst>
            <c:ext xmlns:c16="http://schemas.microsoft.com/office/drawing/2014/chart" uri="{C3380CC4-5D6E-409C-BE32-E72D297353CC}">
              <c16:uniqueId val="{00000000-4D89-4B44-9B5F-9EDE4BE61878}"/>
            </c:ext>
          </c:extLst>
        </c:ser>
        <c:ser>
          <c:idx val="1"/>
          <c:order val="1"/>
          <c:tx>
            <c:strRef>
              <c:f>Hoja1!$C$1</c:f>
              <c:strCache>
                <c:ptCount val="1"/>
                <c:pt idx="0">
                  <c:v>Observado</c:v>
                </c:pt>
              </c:strCache>
            </c:strRef>
          </c:tx>
          <c:spPr>
            <a:ln w="15875" cap="rnd">
              <a:solidFill>
                <a:schemeClr val="accent2"/>
              </a:solidFill>
              <a:prstDash val="sysDash"/>
              <a:round/>
            </a:ln>
            <a:effectLst/>
          </c:spPr>
          <c:marker>
            <c:symbol val="circle"/>
            <c:size val="5"/>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marker>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Hoja1!$C$2:$C$11</c:f>
              <c:numCache>
                <c:formatCode>#,##0.0</c:formatCode>
                <c:ptCount val="10"/>
                <c:pt idx="0">
                  <c:v>5988.9154074499993</c:v>
                </c:pt>
                <c:pt idx="1">
                  <c:v>9907.6477603599978</c:v>
                </c:pt>
                <c:pt idx="2">
                  <c:v>14999.078257829999</c:v>
                </c:pt>
                <c:pt idx="3">
                  <c:v>21228.577632609995</c:v>
                </c:pt>
                <c:pt idx="4">
                  <c:v>25825.583553659995</c:v>
                </c:pt>
                <c:pt idx="5">
                  <c:v>30065.159865989997</c:v>
                </c:pt>
                <c:pt idx="6">
                  <c:v>37099.506384079999</c:v>
                </c:pt>
                <c:pt idx="7">
                  <c:v>41570.565153670002</c:v>
                </c:pt>
                <c:pt idx="8">
                  <c:v>45834.894353050004</c:v>
                </c:pt>
                <c:pt idx="9">
                  <c:v>52961.811698700003</c:v>
                </c:pt>
              </c:numCache>
            </c:numRef>
          </c:val>
          <c:extLst>
            <c:ext xmlns:c16="http://schemas.microsoft.com/office/drawing/2014/chart" uri="{C3380CC4-5D6E-409C-BE32-E72D297353CC}">
              <c16:uniqueId val="{00000001-4D89-4B44-9B5F-9EDE4BE61878}"/>
            </c:ext>
          </c:extLst>
        </c:ser>
        <c:dLbls>
          <c:showLegendKey val="0"/>
          <c:showVal val="0"/>
          <c:showCatName val="0"/>
          <c:showSerName val="0"/>
          <c:showPercent val="0"/>
          <c:showBubbleSize val="0"/>
        </c:dLbls>
        <c:axId val="307355968"/>
        <c:axId val="307356624"/>
      </c:radarChart>
      <c:catAx>
        <c:axId val="3073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GT"/>
          </a:p>
        </c:txPr>
        <c:crossAx val="307356624"/>
        <c:crosses val="autoZero"/>
        <c:auto val="1"/>
        <c:lblAlgn val="ctr"/>
        <c:lblOffset val="100"/>
        <c:noMultiLvlLbl val="0"/>
      </c:catAx>
      <c:valAx>
        <c:axId val="30735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GT"/>
          </a:p>
        </c:txPr>
        <c:crossAx val="30735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IVA dom</c:v>
                </c:pt>
                <c:pt idx="1">
                  <c:v>IVA imp</c:v>
                </c:pt>
                <c:pt idx="2">
                  <c:v>ISR</c:v>
                </c:pt>
                <c:pt idx="3">
                  <c:v>Petróleo</c:v>
                </c:pt>
                <c:pt idx="4">
                  <c:v>DAI</c:v>
                </c:pt>
                <c:pt idx="5">
                  <c:v>ISO</c:v>
                </c:pt>
                <c:pt idx="6">
                  <c:v>Bebidas</c:v>
                </c:pt>
                <c:pt idx="7">
                  <c:v>IPRIMA</c:v>
                </c:pt>
                <c:pt idx="8">
                  <c:v>Vehículos</c:v>
                </c:pt>
                <c:pt idx="9">
                  <c:v>Tabacos</c:v>
                </c:pt>
                <c:pt idx="10">
                  <c:v>Salidas</c:v>
                </c:pt>
                <c:pt idx="11">
                  <c:v>Propiedad</c:v>
                </c:pt>
                <c:pt idx="12">
                  <c:v>Cemento</c:v>
                </c:pt>
                <c:pt idx="13">
                  <c:v>Otros</c:v>
                </c:pt>
                <c:pt idx="14">
                  <c:v>IEMA</c:v>
                </c:pt>
                <c:pt idx="15">
                  <c:v>IETAAP</c:v>
                </c:pt>
                <c:pt idx="16">
                  <c:v>Timbres</c:v>
                </c:pt>
                <c:pt idx="17">
                  <c:v>Regalías</c:v>
                </c:pt>
              </c:strCache>
            </c:strRef>
          </c:cat>
          <c:val>
            <c:numRef>
              <c:f>Hoja1!$B$2:$B$19</c:f>
              <c:numCache>
                <c:formatCode>#,##0.0</c:formatCode>
                <c:ptCount val="18"/>
                <c:pt idx="0">
                  <c:v>973.50114223000128</c:v>
                </c:pt>
                <c:pt idx="1">
                  <c:v>626.32005657999798</c:v>
                </c:pt>
                <c:pt idx="2">
                  <c:v>614.8566833399982</c:v>
                </c:pt>
                <c:pt idx="3">
                  <c:v>324.85340601000053</c:v>
                </c:pt>
                <c:pt idx="4">
                  <c:v>131.65452143000039</c:v>
                </c:pt>
                <c:pt idx="5">
                  <c:v>108.42998279000039</c:v>
                </c:pt>
                <c:pt idx="6">
                  <c:v>60.456813390000093</c:v>
                </c:pt>
                <c:pt idx="7">
                  <c:v>40.490556210000136</c:v>
                </c:pt>
                <c:pt idx="8">
                  <c:v>27.599863779999851</c:v>
                </c:pt>
                <c:pt idx="9">
                  <c:v>23.150844500000062</c:v>
                </c:pt>
                <c:pt idx="10">
                  <c:v>22.493685049999954</c:v>
                </c:pt>
                <c:pt idx="11">
                  <c:v>14.047161079999999</c:v>
                </c:pt>
                <c:pt idx="12">
                  <c:v>10.226092420000001</c:v>
                </c:pt>
                <c:pt idx="13">
                  <c:v>0.29612832000000111</c:v>
                </c:pt>
                <c:pt idx="14">
                  <c:v>4.7884290000000003E-2</c:v>
                </c:pt>
                <c:pt idx="15">
                  <c:v>-2.8721986899999994</c:v>
                </c:pt>
                <c:pt idx="16">
                  <c:v>-21.065602660000081</c:v>
                </c:pt>
                <c:pt idx="17">
                  <c:v>-111.02635342999997</c:v>
                </c:pt>
              </c:numCache>
            </c:numRef>
          </c:val>
          <c:extLst>
            <c:ext xmlns:c16="http://schemas.microsoft.com/office/drawing/2014/chart" uri="{C3380CC4-5D6E-409C-BE32-E72D297353CC}">
              <c16:uniqueId val="{00000000-290F-476B-AB9E-04D52033CAC1}"/>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IVA dom</c:v>
                </c:pt>
                <c:pt idx="1">
                  <c:v>IVA imp</c:v>
                </c:pt>
                <c:pt idx="2">
                  <c:v>ISR</c:v>
                </c:pt>
                <c:pt idx="3">
                  <c:v>Petróleo</c:v>
                </c:pt>
                <c:pt idx="4">
                  <c:v>DAI</c:v>
                </c:pt>
                <c:pt idx="5">
                  <c:v>ISO</c:v>
                </c:pt>
                <c:pt idx="6">
                  <c:v>Bebidas</c:v>
                </c:pt>
                <c:pt idx="7">
                  <c:v>IPRIMA</c:v>
                </c:pt>
                <c:pt idx="8">
                  <c:v>Vehículos</c:v>
                </c:pt>
                <c:pt idx="9">
                  <c:v>Tabacos</c:v>
                </c:pt>
                <c:pt idx="10">
                  <c:v>Salidas</c:v>
                </c:pt>
                <c:pt idx="11">
                  <c:v>Propiedad</c:v>
                </c:pt>
                <c:pt idx="12">
                  <c:v>Cemento</c:v>
                </c:pt>
                <c:pt idx="13">
                  <c:v>Otros</c:v>
                </c:pt>
                <c:pt idx="14">
                  <c:v>IEMA</c:v>
                </c:pt>
                <c:pt idx="15">
                  <c:v>IETAAP</c:v>
                </c:pt>
                <c:pt idx="16">
                  <c:v>Timbres</c:v>
                </c:pt>
                <c:pt idx="17">
                  <c:v>Regalías</c:v>
                </c:pt>
              </c:strCache>
            </c:strRef>
          </c:cat>
          <c:val>
            <c:numRef>
              <c:f>Hoja1!$C$2:$C$19</c:f>
              <c:numCache>
                <c:formatCode>#,##0.0</c:formatCode>
                <c:ptCount val="18"/>
                <c:pt idx="0">
                  <c:v>-862.06912222999927</c:v>
                </c:pt>
                <c:pt idx="1">
                  <c:v>-600.66234356000314</c:v>
                </c:pt>
                <c:pt idx="2">
                  <c:v>-121.35235307000221</c:v>
                </c:pt>
                <c:pt idx="3">
                  <c:v>240.32521724000026</c:v>
                </c:pt>
                <c:pt idx="4">
                  <c:v>2.6899272000005112</c:v>
                </c:pt>
                <c:pt idx="5">
                  <c:v>-267.4155758400002</c:v>
                </c:pt>
                <c:pt idx="6">
                  <c:v>24.761663689999978</c:v>
                </c:pt>
                <c:pt idx="7">
                  <c:v>-32.037728210000068</c:v>
                </c:pt>
                <c:pt idx="8">
                  <c:v>-12.358939170000099</c:v>
                </c:pt>
                <c:pt idx="9">
                  <c:v>1.642376019999972</c:v>
                </c:pt>
                <c:pt idx="10">
                  <c:v>2.4514103991425031</c:v>
                </c:pt>
                <c:pt idx="11">
                  <c:v>14.74501472</c:v>
                </c:pt>
                <c:pt idx="12">
                  <c:v>1.8485066799999998</c:v>
                </c:pt>
                <c:pt idx="13">
                  <c:v>-1.1799202900000001</c:v>
                </c:pt>
                <c:pt idx="14">
                  <c:v>5.0758940000000002E-2</c:v>
                </c:pt>
                <c:pt idx="15">
                  <c:v>6.2976068600000001</c:v>
                </c:pt>
                <c:pt idx="16">
                  <c:v>-50.663094419999993</c:v>
                </c:pt>
                <c:pt idx="17">
                  <c:v>-46.822031160945158</c:v>
                </c:pt>
              </c:numCache>
            </c:numRef>
          </c:val>
          <c:extLst>
            <c:ext xmlns:c16="http://schemas.microsoft.com/office/drawing/2014/chart" uri="{C3380CC4-5D6E-409C-BE32-E72D297353CC}">
              <c16:uniqueId val="{00000001-290F-476B-AB9E-04D52033CAC1}"/>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mn-lt"/>
                <a:ea typeface="+mn-ea"/>
                <a:cs typeface="+mn-cs"/>
              </a:defRPr>
            </a:pPr>
            <a:endParaRPr lang="es-GT"/>
          </a:p>
        </c:txPr>
        <c:crossAx val="611093568"/>
        <c:crosses val="autoZero"/>
        <c:auto val="1"/>
        <c:lblAlgn val="ctr"/>
        <c:lblOffset val="100"/>
        <c:noMultiLvlLbl val="0"/>
      </c:catAx>
      <c:valAx>
        <c:axId val="611093568"/>
        <c:scaling>
          <c:orientation val="minMax"/>
          <c:min val="-15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4.4387883946939065E-2"/>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CAF1-7745-4DC6-AF81-F6FAAF3B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2529</Words>
  <Characters>13912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Rodas Anleu</dc:creator>
  <cp:keywords/>
  <dc:description/>
  <cp:lastModifiedBy>Brenni Roberto Martínez Palacios</cp:lastModifiedBy>
  <cp:revision>4</cp:revision>
  <cp:lastPrinted>2020-01-08T19:27:00Z</cp:lastPrinted>
  <dcterms:created xsi:type="dcterms:W3CDTF">2020-01-08T19:20:00Z</dcterms:created>
  <dcterms:modified xsi:type="dcterms:W3CDTF">2020-01-08T19:29:00Z</dcterms:modified>
</cp:coreProperties>
</file>