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295365" w:rsidRDefault="00E348DD"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295365" w:rsidSect="00754057">
          <w:headerReference w:type="default" r:id="rId8"/>
          <w:footerReference w:type="default" r:id="rId9"/>
          <w:pgSz w:w="12240" w:h="15840" w:code="1"/>
          <w:pgMar w:top="1418" w:right="1418" w:bottom="1418" w:left="1418" w:header="709" w:footer="709" w:gutter="0"/>
          <w:cols w:space="708"/>
          <w:docGrid w:linePitch="360"/>
        </w:sectPr>
      </w:pPr>
      <w:r w:rsidRPr="00295365">
        <w:rPr>
          <w:rFonts w:ascii="Times New Roman" w:hAnsi="Times New Roman" w:cs="Times New Roman"/>
          <w:b/>
          <w:lang w:val="es-MX"/>
        </w:rPr>
        <w:t xml:space="preserve">En </w:t>
      </w:r>
      <w:r w:rsidR="00295365" w:rsidRPr="00295365">
        <w:rPr>
          <w:rFonts w:ascii="Times New Roman" w:hAnsi="Times New Roman" w:cs="Times New Roman"/>
          <w:b/>
          <w:lang w:val="es-MX"/>
        </w:rPr>
        <w:t>noviem</w:t>
      </w:r>
      <w:r w:rsidRPr="00295365">
        <w:rPr>
          <w:rFonts w:ascii="Times New Roman" w:hAnsi="Times New Roman" w:cs="Times New Roman"/>
          <w:b/>
          <w:lang w:val="es-MX"/>
        </w:rPr>
        <w:t>bre</w:t>
      </w:r>
      <w:r w:rsidR="003D7EBA" w:rsidRPr="00295365">
        <w:rPr>
          <w:rFonts w:ascii="Times New Roman" w:hAnsi="Times New Roman" w:cs="Times New Roman"/>
          <w:b/>
          <w:lang w:val="es-MX"/>
        </w:rPr>
        <w:t xml:space="preserve"> </w:t>
      </w:r>
      <w:r w:rsidR="00F6521F" w:rsidRPr="00295365">
        <w:rPr>
          <w:rFonts w:ascii="Times New Roman" w:hAnsi="Times New Roman" w:cs="Times New Roman"/>
          <w:b/>
          <w:lang w:val="es-MX"/>
        </w:rPr>
        <w:t>disminuye</w:t>
      </w:r>
      <w:r w:rsidR="003D7EBA" w:rsidRPr="00295365">
        <w:rPr>
          <w:rFonts w:ascii="Times New Roman" w:hAnsi="Times New Roman" w:cs="Times New Roman"/>
          <w:b/>
          <w:lang w:val="es-MX"/>
        </w:rPr>
        <w:t xml:space="preserve"> el </w:t>
      </w:r>
      <w:r w:rsidR="004B799B" w:rsidRPr="00295365">
        <w:rPr>
          <w:rFonts w:ascii="Times New Roman" w:hAnsi="Times New Roman" w:cs="Times New Roman"/>
          <w:b/>
          <w:lang w:val="es-MX"/>
        </w:rPr>
        <w:t>déficit fiscal</w:t>
      </w:r>
    </w:p>
    <w:p w:rsidR="007D4651" w:rsidRPr="003E25F8" w:rsidRDefault="007D4651" w:rsidP="007D4651">
      <w:pPr>
        <w:pStyle w:val="Sinespaciado"/>
        <w:rPr>
          <w:rFonts w:ascii="Times New Roman" w:hAnsi="Times New Roman" w:cs="Times New Roman"/>
          <w:b/>
          <w:color w:val="FF0000"/>
          <w:sz w:val="6"/>
          <w:lang w:val="es-MX"/>
        </w:rPr>
      </w:pPr>
    </w:p>
    <w:p w:rsidR="007D4651" w:rsidRPr="003E25F8" w:rsidRDefault="007D4651" w:rsidP="007D4651">
      <w:pPr>
        <w:pStyle w:val="Sinespaciado"/>
        <w:jc w:val="center"/>
        <w:rPr>
          <w:rFonts w:ascii="Times New Roman" w:hAnsi="Times New Roman" w:cs="Times New Roman"/>
          <w:b/>
          <w:color w:val="FF0000"/>
          <w:sz w:val="16"/>
          <w:lang w:val="es-MX"/>
        </w:rPr>
      </w:pPr>
    </w:p>
    <w:p w:rsidR="009C4027" w:rsidRPr="003E25F8" w:rsidRDefault="009C4027" w:rsidP="007D4651">
      <w:pPr>
        <w:pStyle w:val="Sinespaciado"/>
        <w:jc w:val="center"/>
        <w:rPr>
          <w:rFonts w:ascii="Times New Roman" w:hAnsi="Times New Roman" w:cs="Times New Roman"/>
          <w:b/>
          <w:color w:val="FF0000"/>
          <w:lang w:val="es-MX"/>
        </w:rPr>
        <w:sectPr w:rsidR="009C4027" w:rsidRPr="003E25F8" w:rsidSect="004E358C">
          <w:type w:val="continuous"/>
          <w:pgSz w:w="12240" w:h="15840"/>
          <w:pgMar w:top="1417" w:right="1701" w:bottom="1417" w:left="1701" w:header="708" w:footer="708" w:gutter="0"/>
          <w:cols w:space="708"/>
          <w:docGrid w:linePitch="360"/>
        </w:sectPr>
      </w:pPr>
    </w:p>
    <w:p w:rsidR="00954FB2" w:rsidRPr="00D13BE4" w:rsidRDefault="00954FB2" w:rsidP="00954FB2">
      <w:pPr>
        <w:pStyle w:val="Sinespaciado"/>
        <w:jc w:val="both"/>
        <w:rPr>
          <w:rFonts w:ascii="Times New Roman" w:hAnsi="Times New Roman" w:cs="Times New Roman"/>
          <w:lang w:val="es-MX"/>
        </w:rPr>
      </w:pPr>
      <w:r>
        <w:rPr>
          <w:rFonts w:ascii="Times New Roman" w:hAnsi="Times New Roman" w:cs="Times New Roman"/>
          <w:lang w:val="es-MX"/>
        </w:rPr>
        <w:lastRenderedPageBreak/>
        <w:t>E</w:t>
      </w:r>
      <w:r w:rsidRPr="00F92177">
        <w:rPr>
          <w:rFonts w:ascii="Times New Roman" w:hAnsi="Times New Roman" w:cs="Times New Roman"/>
          <w:lang w:val="es-MX"/>
        </w:rPr>
        <w:t>l resultado pr</w:t>
      </w:r>
      <w:r>
        <w:rPr>
          <w:rFonts w:ascii="Times New Roman" w:hAnsi="Times New Roman" w:cs="Times New Roman"/>
          <w:lang w:val="es-MX"/>
        </w:rPr>
        <w:t>esupuestario del gobierno muestra un déficit</w:t>
      </w:r>
      <w:r w:rsidRPr="00F92177">
        <w:rPr>
          <w:rFonts w:ascii="Times New Roman" w:hAnsi="Times New Roman" w:cs="Times New Roman"/>
          <w:lang w:val="es-MX"/>
        </w:rPr>
        <w:t xml:space="preserve"> fiscal</w:t>
      </w:r>
      <w:r>
        <w:rPr>
          <w:rFonts w:ascii="Times New Roman" w:hAnsi="Times New Roman" w:cs="Times New Roman"/>
          <w:lang w:val="es-MX"/>
        </w:rPr>
        <w:t xml:space="preserve"> que se sitúa al 30 de </w:t>
      </w:r>
      <w:r w:rsidR="00CE61EE">
        <w:rPr>
          <w:rFonts w:ascii="Times New Roman" w:hAnsi="Times New Roman" w:cs="Times New Roman"/>
          <w:lang w:val="es-MX"/>
        </w:rPr>
        <w:t>noviembre de 2019 en Q9,084.7</w:t>
      </w:r>
      <w:r w:rsidRPr="00D13BE4">
        <w:rPr>
          <w:rFonts w:ascii="Times New Roman" w:hAnsi="Times New Roman" w:cs="Times New Roman"/>
          <w:lang w:val="es-MX"/>
        </w:rPr>
        <w:t xml:space="preserve"> millones. Este déficit es equivalente al 1.4% del PIB, </w:t>
      </w:r>
      <w:r>
        <w:rPr>
          <w:rFonts w:ascii="Times New Roman" w:hAnsi="Times New Roman" w:cs="Times New Roman"/>
          <w:lang w:val="es-MX"/>
        </w:rPr>
        <w:t>dos décimas superiores</w:t>
      </w:r>
      <w:r w:rsidRPr="00D13BE4">
        <w:rPr>
          <w:rFonts w:ascii="Times New Roman" w:hAnsi="Times New Roman" w:cs="Times New Roman"/>
          <w:lang w:val="es-MX"/>
        </w:rPr>
        <w:t xml:space="preserve"> a</w:t>
      </w:r>
      <w:r>
        <w:rPr>
          <w:rFonts w:ascii="Times New Roman" w:hAnsi="Times New Roman" w:cs="Times New Roman"/>
          <w:lang w:val="es-MX"/>
        </w:rPr>
        <w:t xml:space="preserve"> </w:t>
      </w:r>
      <w:r w:rsidRPr="00D13BE4">
        <w:rPr>
          <w:rFonts w:ascii="Times New Roman" w:hAnsi="Times New Roman" w:cs="Times New Roman"/>
          <w:lang w:val="es-MX"/>
        </w:rPr>
        <w:t>l</w:t>
      </w:r>
      <w:r>
        <w:rPr>
          <w:rFonts w:ascii="Times New Roman" w:hAnsi="Times New Roman" w:cs="Times New Roman"/>
          <w:lang w:val="es-MX"/>
        </w:rPr>
        <w:t>o</w:t>
      </w:r>
      <w:r w:rsidRPr="00D13BE4">
        <w:rPr>
          <w:rFonts w:ascii="Times New Roman" w:hAnsi="Times New Roman" w:cs="Times New Roman"/>
          <w:lang w:val="es-MX"/>
        </w:rPr>
        <w:t xml:space="preserve"> reportado al cierre de octubre. A pesar que en los años anteriores (2016-2018) también se reportó déficit fiscal al cierre de noviembre, estos han sido menores al reportado en el presente año. </w:t>
      </w:r>
    </w:p>
    <w:p w:rsidR="00954FB2" w:rsidRPr="00D13BE4" w:rsidRDefault="00954FB2" w:rsidP="00954FB2">
      <w:pPr>
        <w:pStyle w:val="Sinespaciado"/>
        <w:jc w:val="both"/>
        <w:rPr>
          <w:rFonts w:ascii="Times New Roman" w:hAnsi="Times New Roman" w:cs="Times New Roman"/>
          <w:lang w:val="es-MX"/>
        </w:rPr>
      </w:pPr>
    </w:p>
    <w:p w:rsidR="00954FB2" w:rsidRPr="00D13BE4" w:rsidRDefault="00954FB2" w:rsidP="00954FB2">
      <w:pPr>
        <w:pStyle w:val="Sinespaciado"/>
        <w:jc w:val="both"/>
        <w:rPr>
          <w:rFonts w:ascii="Times New Roman" w:hAnsi="Times New Roman" w:cs="Times New Roman"/>
          <w:lang w:val="es-MX"/>
        </w:rPr>
      </w:pPr>
      <w:r w:rsidRPr="00D13BE4">
        <w:rPr>
          <w:rFonts w:ascii="Times New Roman" w:hAnsi="Times New Roman" w:cs="Times New Roman"/>
          <w:lang w:val="es-MX"/>
        </w:rPr>
        <w:t xml:space="preserve">El déficit fiscal está explicado por un desempeño </w:t>
      </w:r>
      <w:r w:rsidR="00CE61EE">
        <w:rPr>
          <w:rFonts w:ascii="Times New Roman" w:hAnsi="Times New Roman" w:cs="Times New Roman"/>
          <w:lang w:val="es-MX"/>
        </w:rPr>
        <w:t>moderado</w:t>
      </w:r>
      <w:r w:rsidRPr="00D13BE4">
        <w:rPr>
          <w:rFonts w:ascii="Times New Roman" w:hAnsi="Times New Roman" w:cs="Times New Roman"/>
          <w:lang w:val="es-MX"/>
        </w:rPr>
        <w:t xml:space="preserve"> en la recaudación </w:t>
      </w:r>
      <w:r w:rsidRPr="00D13BE4">
        <w:rPr>
          <w:rFonts w:ascii="Times New Roman" w:hAnsi="Times New Roman" w:cs="Times New Roman"/>
          <w:lang w:val="es-MX"/>
        </w:rPr>
        <w:lastRenderedPageBreak/>
        <w:t xml:space="preserve">tributaria, </w:t>
      </w:r>
      <w:r w:rsidR="00CE61EE">
        <w:rPr>
          <w:rFonts w:ascii="Times New Roman" w:hAnsi="Times New Roman" w:cs="Times New Roman"/>
          <w:lang w:val="es-MX"/>
        </w:rPr>
        <w:t xml:space="preserve">a pesar que </w:t>
      </w:r>
      <w:r w:rsidRPr="00D13BE4">
        <w:rPr>
          <w:rFonts w:ascii="Times New Roman" w:hAnsi="Times New Roman" w:cs="Times New Roman"/>
          <w:lang w:val="es-MX"/>
        </w:rPr>
        <w:t xml:space="preserve">desde el 15 de octubre hasta el cierre del año </w:t>
      </w:r>
      <w:r w:rsidR="00CE61EE">
        <w:rPr>
          <w:rFonts w:ascii="Times New Roman" w:hAnsi="Times New Roman" w:cs="Times New Roman"/>
          <w:lang w:val="es-MX"/>
        </w:rPr>
        <w:t>dejó</w:t>
      </w:r>
      <w:r w:rsidRPr="00D13BE4">
        <w:rPr>
          <w:rFonts w:ascii="Times New Roman" w:hAnsi="Times New Roman" w:cs="Times New Roman"/>
          <w:lang w:val="es-MX"/>
        </w:rPr>
        <w:t xml:space="preserve"> de efectuar el aprovisionamiento que se realiza </w:t>
      </w:r>
      <w:r w:rsidR="00CE61EE">
        <w:rPr>
          <w:rFonts w:ascii="Times New Roman" w:hAnsi="Times New Roman" w:cs="Times New Roman"/>
          <w:lang w:val="es-MX"/>
        </w:rPr>
        <w:t>al Fondo IVA Exportadores</w:t>
      </w:r>
      <w:r w:rsidRPr="00D13BE4">
        <w:rPr>
          <w:rFonts w:ascii="Times New Roman" w:hAnsi="Times New Roman" w:cs="Times New Roman"/>
          <w:lang w:val="es-MX"/>
        </w:rPr>
        <w:t xml:space="preserve">. </w:t>
      </w:r>
    </w:p>
    <w:p w:rsidR="00954FB2" w:rsidRPr="00D13BE4" w:rsidRDefault="00954FB2" w:rsidP="00954FB2">
      <w:pPr>
        <w:pStyle w:val="Sinespaciado"/>
        <w:jc w:val="both"/>
        <w:rPr>
          <w:rFonts w:ascii="Times New Roman" w:hAnsi="Times New Roman" w:cs="Times New Roman"/>
          <w:lang w:val="es-MX"/>
        </w:rPr>
      </w:pPr>
    </w:p>
    <w:p w:rsidR="007D4651" w:rsidRPr="003E25F8" w:rsidRDefault="00954FB2" w:rsidP="00954FB2">
      <w:pPr>
        <w:pStyle w:val="Sinespaciado"/>
        <w:jc w:val="both"/>
        <w:rPr>
          <w:rFonts w:ascii="Times New Roman" w:hAnsi="Times New Roman" w:cs="Times New Roman"/>
          <w:b/>
          <w:color w:val="FF0000"/>
          <w:lang w:val="es-MX"/>
        </w:rPr>
        <w:sectPr w:rsidR="007D4651" w:rsidRPr="003E25F8" w:rsidSect="004E358C">
          <w:type w:val="continuous"/>
          <w:pgSz w:w="12240" w:h="15840"/>
          <w:pgMar w:top="1417" w:right="1701" w:bottom="1417" w:left="1701" w:header="708" w:footer="708" w:gutter="0"/>
          <w:cols w:num="2" w:space="708"/>
          <w:docGrid w:linePitch="360"/>
        </w:sectPr>
      </w:pPr>
      <w:r w:rsidRPr="00D13BE4">
        <w:rPr>
          <w:rFonts w:ascii="Times New Roman" w:hAnsi="Times New Roman" w:cs="Times New Roman"/>
          <w:lang w:val="es-MX"/>
        </w:rPr>
        <w:t xml:space="preserve">Adicionalmente, el gasto público se muestra bastante dinámico, </w:t>
      </w:r>
      <w:r w:rsidR="00CE61EE">
        <w:rPr>
          <w:rFonts w:ascii="Times New Roman" w:hAnsi="Times New Roman" w:cs="Times New Roman"/>
          <w:lang w:val="es-MX"/>
        </w:rPr>
        <w:t>principalmente por el repunte en la inversión y en las transferencias corrientes.   Se espera que en el último mes del año el gasto muestra nuevamente un aumento en la ejecución.</w:t>
      </w:r>
    </w:p>
    <w:p w:rsidR="007D4651" w:rsidRPr="003E25F8" w:rsidRDefault="007D4651" w:rsidP="00B9286A">
      <w:pPr>
        <w:pStyle w:val="Sinespaciado"/>
        <w:rPr>
          <w:rFonts w:ascii="Times New Roman" w:hAnsi="Times New Roman" w:cs="Times New Roman"/>
          <w:b/>
          <w:color w:val="FF0000"/>
          <w:sz w:val="4"/>
          <w:lang w:val="es-MX"/>
        </w:rPr>
      </w:pPr>
    </w:p>
    <w:p w:rsidR="009C4027" w:rsidRPr="003E25F8" w:rsidRDefault="009C4027" w:rsidP="007D4651">
      <w:pPr>
        <w:pStyle w:val="Sinespaciado"/>
        <w:jc w:val="center"/>
        <w:rPr>
          <w:rFonts w:ascii="Times New Roman" w:hAnsi="Times New Roman" w:cs="Times New Roman"/>
          <w:b/>
          <w:color w:val="FF0000"/>
          <w:sz w:val="14"/>
          <w:lang w:val="es-MX"/>
        </w:rPr>
      </w:pPr>
    </w:p>
    <w:p w:rsidR="009C4027" w:rsidRPr="003E25F8" w:rsidRDefault="009C4027" w:rsidP="007D4651">
      <w:pPr>
        <w:pStyle w:val="Sinespaciado"/>
        <w:jc w:val="center"/>
        <w:rPr>
          <w:rFonts w:ascii="Times New Roman" w:hAnsi="Times New Roman" w:cs="Times New Roman"/>
          <w:b/>
          <w:color w:val="FF0000"/>
          <w:lang w:val="es-MX"/>
        </w:rPr>
        <w:sectPr w:rsidR="009C4027" w:rsidRPr="003E25F8" w:rsidSect="007D4651">
          <w:type w:val="continuous"/>
          <w:pgSz w:w="12240" w:h="15840" w:code="1"/>
          <w:pgMar w:top="1418" w:right="1418" w:bottom="1418" w:left="1418" w:header="709" w:footer="709" w:gutter="0"/>
          <w:cols w:num="2" w:space="708"/>
          <w:docGrid w:linePitch="360"/>
        </w:sectPr>
      </w:pPr>
    </w:p>
    <w:p w:rsidR="006F5EA0" w:rsidRPr="00954FB2" w:rsidRDefault="00950874" w:rsidP="006F5EA0">
      <w:pPr>
        <w:pStyle w:val="Sinespaciado"/>
        <w:jc w:val="center"/>
        <w:rPr>
          <w:rFonts w:ascii="Times New Roman" w:hAnsi="Times New Roman" w:cs="Times New Roman"/>
          <w:b/>
          <w:sz w:val="24"/>
          <w:lang w:val="es-MX"/>
        </w:rPr>
      </w:pPr>
      <w:r w:rsidRPr="00954FB2">
        <w:rPr>
          <w:rFonts w:ascii="Times New Roman" w:hAnsi="Times New Roman" w:cs="Times New Roman"/>
          <w:b/>
          <w:sz w:val="24"/>
          <w:lang w:val="es-MX"/>
        </w:rPr>
        <w:lastRenderedPageBreak/>
        <w:t>Resultado Presupuestario</w:t>
      </w:r>
    </w:p>
    <w:p w:rsidR="00950874" w:rsidRPr="00954FB2" w:rsidRDefault="006F5EA0" w:rsidP="006F5EA0">
      <w:pPr>
        <w:pStyle w:val="Sinespaciado"/>
        <w:jc w:val="center"/>
        <w:rPr>
          <w:rFonts w:ascii="Times New Roman" w:hAnsi="Times New Roman" w:cs="Times New Roman"/>
          <w:sz w:val="18"/>
          <w:lang w:val="es-MX"/>
        </w:rPr>
      </w:pPr>
      <w:r w:rsidRPr="00954FB2">
        <w:rPr>
          <w:rFonts w:ascii="Times New Roman" w:hAnsi="Times New Roman" w:cs="Times New Roman"/>
          <w:sz w:val="20"/>
          <w:lang w:val="es-MX"/>
        </w:rPr>
        <w:t xml:space="preserve">       </w:t>
      </w:r>
      <w:r w:rsidR="00954FB2" w:rsidRPr="00954FB2">
        <w:rPr>
          <w:rFonts w:ascii="Times New Roman" w:hAnsi="Times New Roman" w:cs="Times New Roman"/>
          <w:sz w:val="20"/>
          <w:lang w:val="es-MX"/>
        </w:rPr>
        <w:t>Al 30</w:t>
      </w:r>
      <w:r w:rsidRPr="00954FB2">
        <w:rPr>
          <w:rFonts w:ascii="Times New Roman" w:hAnsi="Times New Roman" w:cs="Times New Roman"/>
          <w:sz w:val="20"/>
          <w:lang w:val="es-MX"/>
        </w:rPr>
        <w:t xml:space="preserve"> de </w:t>
      </w:r>
      <w:r w:rsidR="00954FB2" w:rsidRPr="00954FB2">
        <w:rPr>
          <w:rFonts w:ascii="Times New Roman" w:hAnsi="Times New Roman" w:cs="Times New Roman"/>
          <w:sz w:val="20"/>
          <w:lang w:val="es-MX"/>
        </w:rPr>
        <w:t>noviem</w:t>
      </w:r>
      <w:r w:rsidR="00E348DD" w:rsidRPr="00954FB2">
        <w:rPr>
          <w:rFonts w:ascii="Times New Roman" w:hAnsi="Times New Roman" w:cs="Times New Roman"/>
          <w:sz w:val="20"/>
          <w:lang w:val="es-MX"/>
        </w:rPr>
        <w:t>bre</w:t>
      </w:r>
      <w:r w:rsidRPr="00954FB2">
        <w:rPr>
          <w:rFonts w:ascii="Times New Roman" w:hAnsi="Times New Roman" w:cs="Times New Roman"/>
          <w:sz w:val="20"/>
          <w:lang w:val="es-MX"/>
        </w:rPr>
        <w:t xml:space="preserve"> de cada año</w:t>
      </w:r>
      <w:r w:rsidR="00F27024" w:rsidRPr="00954FB2">
        <w:rPr>
          <w:rFonts w:ascii="Times New Roman" w:hAnsi="Times New Roman" w:cs="Times New Roman"/>
          <w:b/>
          <w:lang w:val="es-MX"/>
        </w:rPr>
        <w:tab/>
      </w:r>
    </w:p>
    <w:p w:rsidR="00E06484" w:rsidRPr="00954FB2" w:rsidRDefault="00950874" w:rsidP="00E06484">
      <w:pPr>
        <w:pStyle w:val="Sinespaciado"/>
        <w:jc w:val="center"/>
        <w:rPr>
          <w:rFonts w:ascii="Times New Roman" w:hAnsi="Times New Roman" w:cs="Times New Roman"/>
          <w:sz w:val="18"/>
          <w:lang w:val="es-MX"/>
        </w:rPr>
      </w:pPr>
      <w:r w:rsidRPr="00954FB2">
        <w:rPr>
          <w:rFonts w:ascii="Times New Roman" w:hAnsi="Times New Roman" w:cs="Times New Roman"/>
          <w:sz w:val="18"/>
          <w:lang w:val="es-MX"/>
        </w:rPr>
        <w:t>Millones de quetzales</w:t>
      </w:r>
    </w:p>
    <w:p w:rsidR="005C4C97" w:rsidRPr="003E25F8" w:rsidRDefault="00954FB2" w:rsidP="005F470C">
      <w:pPr>
        <w:pStyle w:val="Sinespaciado"/>
        <w:jc w:val="center"/>
        <w:rPr>
          <w:noProof/>
          <w:color w:val="FF0000"/>
          <w:lang w:eastAsia="es-GT"/>
        </w:rPr>
      </w:pPr>
      <w:r>
        <w:rPr>
          <w:noProof/>
          <w:lang w:eastAsia="es-GT"/>
        </w:rPr>
        <w:drawing>
          <wp:inline distT="0" distB="0" distL="0" distR="0" wp14:anchorId="5AD21237" wp14:editId="4811AFAE">
            <wp:extent cx="5391150" cy="2085975"/>
            <wp:effectExtent l="0" t="0" r="0" b="0"/>
            <wp:docPr id="4" name="Chart 1">
              <a:extLst xmlns:a="http://schemas.openxmlformats.org/drawingml/2006/main">
                <a:ext uri="{FF2B5EF4-FFF2-40B4-BE49-F238E27FC236}">
                  <a16:creationId xmlns:a16="http://schemas.microsoft.com/office/drawing/2014/main" id="{00000000-0008-0000-1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C97" w:rsidRPr="00295365" w:rsidRDefault="007F443F" w:rsidP="005F470C">
      <w:pPr>
        <w:pStyle w:val="Sinespaciado"/>
        <w:jc w:val="both"/>
        <w:rPr>
          <w:rFonts w:ascii="Times New Roman" w:hAnsi="Times New Roman" w:cs="Times New Roman"/>
          <w:sz w:val="16"/>
        </w:rPr>
      </w:pPr>
      <w:r w:rsidRPr="003E25F8">
        <w:rPr>
          <w:rFonts w:ascii="Times New Roman" w:hAnsi="Times New Roman" w:cs="Times New Roman"/>
          <w:color w:val="FF0000"/>
          <w:sz w:val="16"/>
        </w:rPr>
        <w:t xml:space="preserve">      </w:t>
      </w:r>
      <w:r w:rsidRPr="00295365">
        <w:rPr>
          <w:rFonts w:ascii="Times New Roman" w:hAnsi="Times New Roman" w:cs="Times New Roman"/>
          <w:sz w:val="16"/>
        </w:rPr>
        <w:t xml:space="preserve">    </w:t>
      </w:r>
      <w:r w:rsidR="00157C3A" w:rsidRPr="00295365">
        <w:rPr>
          <w:rFonts w:ascii="Times New Roman" w:hAnsi="Times New Roman" w:cs="Times New Roman"/>
          <w:sz w:val="16"/>
        </w:rPr>
        <w:t>F</w:t>
      </w:r>
      <w:r w:rsidR="007D4651" w:rsidRPr="00295365">
        <w:rPr>
          <w:rFonts w:ascii="Times New Roman" w:hAnsi="Times New Roman" w:cs="Times New Roman"/>
          <w:sz w:val="16"/>
        </w:rPr>
        <w:t>uente: Dirección de Análisis y Política fiscal</w:t>
      </w:r>
    </w:p>
    <w:p w:rsidR="005C4C97" w:rsidRPr="00295365" w:rsidRDefault="005C4C97" w:rsidP="007D4651">
      <w:pPr>
        <w:spacing w:after="0" w:line="240" w:lineRule="auto"/>
        <w:rPr>
          <w:rFonts w:ascii="Times New Roman" w:hAnsi="Times New Roman" w:cs="Times New Roman"/>
          <w:lang w:val="es-MX"/>
        </w:rPr>
      </w:pPr>
    </w:p>
    <w:p w:rsidR="005C4C97" w:rsidRPr="003E25F8" w:rsidRDefault="005C4C97" w:rsidP="007D4651">
      <w:pPr>
        <w:spacing w:after="0" w:line="240" w:lineRule="auto"/>
        <w:rPr>
          <w:rFonts w:ascii="Times New Roman" w:hAnsi="Times New Roman" w:cs="Times New Roman"/>
          <w:color w:val="FF0000"/>
          <w:lang w:val="es-MX"/>
        </w:rPr>
        <w:sectPr w:rsidR="005C4C97" w:rsidRPr="003E25F8" w:rsidSect="007D4651">
          <w:type w:val="continuous"/>
          <w:pgSz w:w="12240" w:h="15840" w:code="1"/>
          <w:pgMar w:top="1418" w:right="1418" w:bottom="1418" w:left="1418" w:header="709" w:footer="709" w:gutter="0"/>
          <w:cols w:space="708"/>
          <w:docGrid w:linePitch="360"/>
        </w:sectPr>
      </w:pPr>
    </w:p>
    <w:p w:rsidR="00E16925" w:rsidRPr="000B0279" w:rsidRDefault="000B0279"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0B0279"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0B0279">
        <w:rPr>
          <w:rFonts w:ascii="Times New Roman" w:hAnsi="Times New Roman" w:cs="Times New Roman"/>
          <w:b/>
          <w:lang w:val="es-MX"/>
        </w:rPr>
        <w:lastRenderedPageBreak/>
        <w:t>En</w:t>
      </w:r>
      <w:r w:rsidR="00F062BF" w:rsidRPr="000B0279">
        <w:rPr>
          <w:rFonts w:ascii="Times New Roman" w:hAnsi="Times New Roman" w:cs="Times New Roman"/>
          <w:b/>
          <w:lang w:val="es-MX"/>
        </w:rPr>
        <w:t xml:space="preserve"> </w:t>
      </w:r>
      <w:r w:rsidRPr="000B0279">
        <w:rPr>
          <w:rFonts w:ascii="Times New Roman" w:hAnsi="Times New Roman" w:cs="Times New Roman"/>
          <w:b/>
          <w:lang w:val="es-MX"/>
        </w:rPr>
        <w:t>noviem</w:t>
      </w:r>
      <w:r w:rsidR="00F062BF" w:rsidRPr="000B0279">
        <w:rPr>
          <w:rFonts w:ascii="Times New Roman" w:hAnsi="Times New Roman" w:cs="Times New Roman"/>
          <w:b/>
          <w:lang w:val="es-MX"/>
        </w:rPr>
        <w:t xml:space="preserve">bre </w:t>
      </w:r>
      <w:r w:rsidRPr="000B0279">
        <w:rPr>
          <w:rFonts w:ascii="Times New Roman" w:hAnsi="Times New Roman" w:cs="Times New Roman"/>
          <w:b/>
          <w:lang w:val="es-MX"/>
        </w:rPr>
        <w:t>la brecha negativa de recaudación respecto a la meta de presupuesto se situó en Q1,841.0 millones</w:t>
      </w:r>
    </w:p>
    <w:p w:rsidR="00E16925" w:rsidRPr="003E25F8" w:rsidRDefault="00E16925" w:rsidP="00E16925">
      <w:pPr>
        <w:pStyle w:val="Sinespaciado"/>
        <w:rPr>
          <w:rFonts w:ascii="Times New Roman" w:hAnsi="Times New Roman" w:cs="Times New Roman"/>
          <w:b/>
          <w:color w:val="FF0000"/>
          <w:sz w:val="8"/>
          <w:lang w:val="es-MX"/>
        </w:rPr>
      </w:pPr>
    </w:p>
    <w:p w:rsidR="00E16925" w:rsidRPr="003E25F8" w:rsidRDefault="00E16925" w:rsidP="00E16925">
      <w:pPr>
        <w:pStyle w:val="Sinespaciado"/>
        <w:jc w:val="center"/>
        <w:rPr>
          <w:rFonts w:ascii="Times New Roman" w:hAnsi="Times New Roman" w:cs="Times New Roman"/>
          <w:b/>
          <w:color w:val="FF0000"/>
          <w:sz w:val="24"/>
          <w:lang w:val="es-MX"/>
        </w:rPr>
      </w:pPr>
    </w:p>
    <w:p w:rsidR="00343A5D" w:rsidRPr="003E25F8" w:rsidRDefault="00343A5D" w:rsidP="00E16925">
      <w:pPr>
        <w:pStyle w:val="Sinespaciado"/>
        <w:jc w:val="center"/>
        <w:rPr>
          <w:rFonts w:ascii="Times New Roman" w:hAnsi="Times New Roman" w:cs="Times New Roman"/>
          <w:b/>
          <w:color w:val="FF0000"/>
          <w:sz w:val="20"/>
          <w:lang w:val="es-MX"/>
        </w:rPr>
        <w:sectPr w:rsidR="00343A5D" w:rsidRPr="003E25F8" w:rsidSect="004E358C">
          <w:type w:val="continuous"/>
          <w:pgSz w:w="12240" w:h="15840"/>
          <w:pgMar w:top="1417" w:right="1701" w:bottom="1417" w:left="1701" w:header="708" w:footer="708" w:gutter="0"/>
          <w:cols w:space="708"/>
          <w:docGrid w:linePitch="360"/>
        </w:sectPr>
      </w:pPr>
    </w:p>
    <w:p w:rsidR="002A076B" w:rsidRPr="0080575C" w:rsidRDefault="002A076B" w:rsidP="002A076B">
      <w:pPr>
        <w:spacing w:after="0" w:line="240" w:lineRule="auto"/>
        <w:jc w:val="both"/>
        <w:rPr>
          <w:rFonts w:ascii="Times New Roman" w:hAnsi="Times New Roman" w:cs="Times New Roman"/>
          <w:lang w:val="es-US"/>
        </w:rPr>
      </w:pPr>
      <w:r w:rsidRPr="0080575C">
        <w:rPr>
          <w:rFonts w:ascii="Times New Roman" w:hAnsi="Times New Roman" w:cs="Times New Roman"/>
          <w:lang w:val="es-US"/>
        </w:rPr>
        <w:lastRenderedPageBreak/>
        <w:t xml:space="preserve">La recaudación tributaria observada en el mes de </w:t>
      </w:r>
      <w:r>
        <w:rPr>
          <w:rFonts w:ascii="Times New Roman" w:hAnsi="Times New Roman" w:cs="Times New Roman"/>
          <w:lang w:val="es-US"/>
        </w:rPr>
        <w:t>noviembre no</w:t>
      </w:r>
      <w:r w:rsidRPr="0080575C">
        <w:rPr>
          <w:rFonts w:ascii="Times New Roman" w:hAnsi="Times New Roman" w:cs="Times New Roman"/>
          <w:lang w:val="es-US"/>
        </w:rPr>
        <w:t xml:space="preserve"> superó la meta de presupuesto</w:t>
      </w:r>
      <w:r>
        <w:rPr>
          <w:rFonts w:ascii="Times New Roman" w:hAnsi="Times New Roman" w:cs="Times New Roman"/>
          <w:lang w:val="es-US"/>
        </w:rPr>
        <w:t xml:space="preserve"> se dejó de recaudar Q145.0 millones</w:t>
      </w:r>
      <w:r w:rsidRPr="0080575C">
        <w:rPr>
          <w:rFonts w:ascii="Times New Roman" w:hAnsi="Times New Roman" w:cs="Times New Roman"/>
          <w:lang w:val="es-US"/>
        </w:rPr>
        <w:t>, impuestos que contribuyeron con este resultado son el ISR</w:t>
      </w:r>
      <w:r>
        <w:rPr>
          <w:rFonts w:ascii="Times New Roman" w:hAnsi="Times New Roman" w:cs="Times New Roman"/>
          <w:lang w:val="es-US"/>
        </w:rPr>
        <w:t xml:space="preserve">, ISO, IVA doméstico y el de derivados del petróleo </w:t>
      </w:r>
      <w:r w:rsidR="001D3A4E">
        <w:rPr>
          <w:rFonts w:ascii="Times New Roman" w:hAnsi="Times New Roman" w:cs="Times New Roman"/>
          <w:lang w:val="es-US"/>
        </w:rPr>
        <w:t xml:space="preserve"> </w:t>
      </w:r>
    </w:p>
    <w:p w:rsidR="002A076B" w:rsidRPr="0080575C" w:rsidRDefault="002A076B" w:rsidP="002A076B">
      <w:pPr>
        <w:spacing w:after="0" w:line="240" w:lineRule="auto"/>
        <w:jc w:val="both"/>
        <w:rPr>
          <w:rFonts w:ascii="Times New Roman" w:hAnsi="Times New Roman" w:cs="Times New Roman"/>
          <w:lang w:val="es-US"/>
        </w:rPr>
      </w:pPr>
    </w:p>
    <w:p w:rsidR="006E082A" w:rsidRDefault="002A076B" w:rsidP="002A076B">
      <w:pPr>
        <w:spacing w:after="0" w:line="240" w:lineRule="auto"/>
        <w:jc w:val="both"/>
        <w:rPr>
          <w:rFonts w:ascii="Times New Roman" w:hAnsi="Times New Roman" w:cs="Times New Roman"/>
          <w:lang w:val="es-US"/>
        </w:rPr>
      </w:pPr>
      <w:r w:rsidRPr="0080575C">
        <w:rPr>
          <w:rFonts w:ascii="Times New Roman" w:hAnsi="Times New Roman" w:cs="Times New Roman"/>
          <w:lang w:val="es-US"/>
        </w:rPr>
        <w:t xml:space="preserve">De manera acumulada la recaudación tributaria genera una brecha negativa de </w:t>
      </w:r>
      <w:r w:rsidRPr="0080575C">
        <w:rPr>
          <w:rFonts w:ascii="Times New Roman" w:hAnsi="Times New Roman" w:cs="Times New Roman"/>
          <w:lang w:val="es-US"/>
        </w:rPr>
        <w:lastRenderedPageBreak/>
        <w:t>Q1,</w:t>
      </w:r>
      <w:r>
        <w:rPr>
          <w:rFonts w:ascii="Times New Roman" w:hAnsi="Times New Roman" w:cs="Times New Roman"/>
          <w:lang w:val="es-US"/>
        </w:rPr>
        <w:t xml:space="preserve">841.0 </w:t>
      </w:r>
      <w:r w:rsidRPr="0080575C">
        <w:rPr>
          <w:rFonts w:ascii="Times New Roman" w:hAnsi="Times New Roman" w:cs="Times New Roman"/>
          <w:lang w:val="es-US"/>
        </w:rPr>
        <w:t xml:space="preserve">millones monto </w:t>
      </w:r>
      <w:r>
        <w:rPr>
          <w:rFonts w:ascii="Times New Roman" w:hAnsi="Times New Roman" w:cs="Times New Roman"/>
          <w:lang w:val="es-US"/>
        </w:rPr>
        <w:t>mayor al observado en octubre (Q1,695.9 millones)</w:t>
      </w:r>
      <w:r w:rsidRPr="0080575C">
        <w:rPr>
          <w:rFonts w:ascii="Times New Roman" w:hAnsi="Times New Roman" w:cs="Times New Roman"/>
          <w:lang w:val="es-US"/>
        </w:rPr>
        <w:t xml:space="preserve">, los principales impuestos que contribuyen con esta brecha son el ISR el ISO y el IVA total entre otros, la recaudación acumulada a </w:t>
      </w:r>
      <w:r>
        <w:rPr>
          <w:rFonts w:ascii="Times New Roman" w:hAnsi="Times New Roman" w:cs="Times New Roman"/>
          <w:lang w:val="es-US"/>
        </w:rPr>
        <w:t>noviembre</w:t>
      </w:r>
      <w:r w:rsidRPr="0080575C">
        <w:rPr>
          <w:rFonts w:ascii="Times New Roman" w:hAnsi="Times New Roman" w:cs="Times New Roman"/>
          <w:lang w:val="es-US"/>
        </w:rPr>
        <w:t xml:space="preserve"> muestra un crecimiento interanual de 5.</w:t>
      </w:r>
      <w:r>
        <w:rPr>
          <w:rFonts w:ascii="Times New Roman" w:hAnsi="Times New Roman" w:cs="Times New Roman"/>
          <w:lang w:val="es-US"/>
        </w:rPr>
        <w:t>6</w:t>
      </w:r>
      <w:r w:rsidRPr="0080575C">
        <w:rPr>
          <w:rFonts w:ascii="Times New Roman" w:hAnsi="Times New Roman" w:cs="Times New Roman"/>
          <w:lang w:val="es-US"/>
        </w:rPr>
        <w:t>%, el cual se encuentra soportado por impuestos como el ISR e IVA total principalmente.</w:t>
      </w:r>
    </w:p>
    <w:p w:rsidR="002A076B" w:rsidRPr="003E25F8" w:rsidRDefault="002A076B" w:rsidP="002A076B">
      <w:pPr>
        <w:spacing w:after="0" w:line="240" w:lineRule="auto"/>
        <w:jc w:val="both"/>
        <w:rPr>
          <w:rFonts w:ascii="Times New Roman" w:hAnsi="Times New Roman" w:cs="Times New Roman"/>
          <w:color w:val="FF0000"/>
          <w:lang w:val="es-US"/>
        </w:rPr>
      </w:pPr>
    </w:p>
    <w:p w:rsidR="0031651A" w:rsidRPr="002A076B" w:rsidRDefault="0031651A" w:rsidP="00FA7384">
      <w:pPr>
        <w:spacing w:after="0" w:line="240" w:lineRule="auto"/>
        <w:jc w:val="center"/>
        <w:rPr>
          <w:rFonts w:ascii="Times New Roman" w:eastAsiaTheme="minorEastAsia" w:hAnsi="Times New Roman" w:cs="Times New Roman"/>
          <w:b/>
          <w:szCs w:val="24"/>
          <w:lang w:val="es-MX" w:eastAsia="es-ES"/>
        </w:rPr>
      </w:pPr>
      <w:r w:rsidRPr="002A076B">
        <w:rPr>
          <w:rFonts w:ascii="Times New Roman" w:eastAsiaTheme="minorEastAsia" w:hAnsi="Times New Roman" w:cs="Times New Roman"/>
          <w:b/>
          <w:sz w:val="24"/>
          <w:szCs w:val="24"/>
          <w:lang w:val="es-MX" w:eastAsia="es-ES"/>
        </w:rPr>
        <w:t xml:space="preserve">Brecha de recaudación tributaria </w:t>
      </w:r>
      <w:r w:rsidR="00025121" w:rsidRPr="002A076B">
        <w:rPr>
          <w:rFonts w:ascii="Times New Roman" w:eastAsiaTheme="minorEastAsia" w:hAnsi="Times New Roman" w:cs="Times New Roman"/>
          <w:b/>
          <w:szCs w:val="24"/>
          <w:lang w:val="es-MX" w:eastAsia="es-ES"/>
        </w:rPr>
        <w:t xml:space="preserve">acumulada a </w:t>
      </w:r>
      <w:r w:rsidR="002A076B" w:rsidRPr="002A076B">
        <w:rPr>
          <w:rFonts w:ascii="Times New Roman" w:eastAsiaTheme="minorEastAsia" w:hAnsi="Times New Roman" w:cs="Times New Roman"/>
          <w:b/>
          <w:szCs w:val="24"/>
          <w:lang w:val="es-MX" w:eastAsia="es-ES"/>
        </w:rPr>
        <w:t>noviem</w:t>
      </w:r>
      <w:r w:rsidR="00E97903" w:rsidRPr="002A076B">
        <w:rPr>
          <w:rFonts w:ascii="Times New Roman" w:eastAsiaTheme="minorEastAsia" w:hAnsi="Times New Roman" w:cs="Times New Roman"/>
          <w:b/>
          <w:szCs w:val="24"/>
          <w:lang w:val="es-MX" w:eastAsia="es-ES"/>
        </w:rPr>
        <w:t>bre</w:t>
      </w:r>
    </w:p>
    <w:p w:rsidR="0031651A" w:rsidRPr="002A076B" w:rsidRDefault="0031651A" w:rsidP="00FA7384">
      <w:pPr>
        <w:spacing w:after="0" w:line="240" w:lineRule="auto"/>
        <w:jc w:val="center"/>
        <w:rPr>
          <w:rFonts w:ascii="Times New Roman" w:eastAsiaTheme="minorEastAsia" w:hAnsi="Times New Roman" w:cs="Times New Roman"/>
          <w:sz w:val="20"/>
          <w:szCs w:val="24"/>
          <w:lang w:val="es-MX" w:eastAsia="es-ES"/>
        </w:rPr>
      </w:pPr>
      <w:r w:rsidRPr="002A076B">
        <w:rPr>
          <w:rFonts w:ascii="Times New Roman" w:eastAsiaTheme="minorEastAsia" w:hAnsi="Times New Roman" w:cs="Times New Roman"/>
          <w:sz w:val="20"/>
          <w:szCs w:val="24"/>
          <w:lang w:val="es-MX" w:eastAsia="es-ES"/>
        </w:rPr>
        <w:t>En millones de quetzales</w:t>
      </w:r>
    </w:p>
    <w:p w:rsidR="00B00E20" w:rsidRPr="003E25F8" w:rsidRDefault="002A076B" w:rsidP="00B00E20">
      <w:pPr>
        <w:spacing w:after="0" w:line="240" w:lineRule="auto"/>
        <w:jc w:val="both"/>
        <w:rPr>
          <w:rFonts w:ascii="Times New Roman" w:hAnsi="Times New Roman" w:cs="Times New Roman"/>
          <w:color w:val="FF0000"/>
          <w:lang w:val="es-US"/>
        </w:rPr>
      </w:pPr>
      <w:r>
        <w:rPr>
          <w:rFonts w:ascii="Times New Roman" w:hAnsi="Times New Roman" w:cs="Times New Roman"/>
          <w:noProof/>
          <w:lang w:eastAsia="es-GT"/>
        </w:rPr>
        <w:drawing>
          <wp:inline distT="0" distB="0" distL="0" distR="0" wp14:anchorId="38543820" wp14:editId="11FA01F6">
            <wp:extent cx="2581275" cy="244284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5216" w:rsidRPr="002A076B" w:rsidRDefault="00B00E20" w:rsidP="005F470C">
      <w:pPr>
        <w:spacing w:after="0"/>
        <w:jc w:val="both"/>
        <w:rPr>
          <w:rFonts w:ascii="Times New Roman" w:hAnsi="Times New Roman" w:cs="Times New Roman"/>
          <w:sz w:val="16"/>
          <w:lang w:val="es-MX"/>
        </w:rPr>
      </w:pPr>
      <w:r w:rsidRPr="002A076B">
        <w:rPr>
          <w:rFonts w:ascii="Times New Roman" w:hAnsi="Times New Roman" w:cs="Times New Roman"/>
          <w:sz w:val="16"/>
          <w:lang w:val="es-MX"/>
        </w:rPr>
        <w:t>Fuente: Dirección de Análisis y Política Fiscal</w:t>
      </w:r>
    </w:p>
    <w:p w:rsidR="00E97903" w:rsidRPr="003E25F8" w:rsidRDefault="00E97903" w:rsidP="00835216">
      <w:pPr>
        <w:spacing w:after="0" w:line="240" w:lineRule="auto"/>
        <w:jc w:val="both"/>
        <w:rPr>
          <w:rFonts w:ascii="Times New Roman" w:hAnsi="Times New Roman" w:cs="Times New Roman"/>
          <w:b/>
          <w:color w:val="FF0000"/>
          <w:lang w:val="es-US"/>
        </w:rPr>
      </w:pPr>
    </w:p>
    <w:p w:rsidR="008B3C43" w:rsidRDefault="000B0279" w:rsidP="00835216">
      <w:pPr>
        <w:spacing w:after="0" w:line="240" w:lineRule="auto"/>
        <w:jc w:val="both"/>
        <w:rPr>
          <w:rFonts w:ascii="Times New Roman" w:hAnsi="Times New Roman" w:cs="Times New Roman"/>
          <w:lang w:val="es-US"/>
        </w:rPr>
      </w:pPr>
      <w:r w:rsidRPr="0080575C">
        <w:rPr>
          <w:rFonts w:ascii="Times New Roman" w:hAnsi="Times New Roman" w:cs="Times New Roman"/>
          <w:lang w:val="es-US"/>
        </w:rPr>
        <w:t>Los impuestos asociados al comercio exterior generan una</w:t>
      </w:r>
      <w:r>
        <w:rPr>
          <w:rFonts w:ascii="Times New Roman" w:hAnsi="Times New Roman" w:cs="Times New Roman"/>
          <w:lang w:val="es-US"/>
        </w:rPr>
        <w:t xml:space="preserve"> menor</w:t>
      </w:r>
      <w:r w:rsidRPr="0080575C">
        <w:rPr>
          <w:rFonts w:ascii="Times New Roman" w:hAnsi="Times New Roman" w:cs="Times New Roman"/>
          <w:lang w:val="es-US"/>
        </w:rPr>
        <w:t xml:space="preserve"> brecha negativa </w:t>
      </w:r>
      <w:r>
        <w:rPr>
          <w:rFonts w:ascii="Times New Roman" w:hAnsi="Times New Roman" w:cs="Times New Roman"/>
          <w:lang w:val="es-US"/>
        </w:rPr>
        <w:t xml:space="preserve">de Q498.7 millones acumulados a noviembre, se observa una mejora respecto a octubre de casi Q100 millones esto medido </w:t>
      </w:r>
      <w:r w:rsidRPr="0080575C">
        <w:rPr>
          <w:rFonts w:ascii="Times New Roman" w:hAnsi="Times New Roman" w:cs="Times New Roman"/>
          <w:lang w:val="es-US"/>
        </w:rPr>
        <w:t>res</w:t>
      </w:r>
      <w:r>
        <w:rPr>
          <w:rFonts w:ascii="Times New Roman" w:hAnsi="Times New Roman" w:cs="Times New Roman"/>
          <w:lang w:val="es-US"/>
        </w:rPr>
        <w:t>pecto a la meta de presupuesto.</w:t>
      </w:r>
    </w:p>
    <w:p w:rsidR="000B0279" w:rsidRPr="003E25F8" w:rsidRDefault="000B0279" w:rsidP="00835216">
      <w:pPr>
        <w:spacing w:after="0" w:line="240" w:lineRule="auto"/>
        <w:jc w:val="both"/>
        <w:rPr>
          <w:rFonts w:ascii="Times New Roman" w:hAnsi="Times New Roman" w:cs="Times New Roman"/>
          <w:b/>
          <w:color w:val="FF0000"/>
          <w:lang w:val="es-US"/>
        </w:rPr>
      </w:pPr>
    </w:p>
    <w:p w:rsidR="00835216" w:rsidRPr="000B0279" w:rsidRDefault="00835216" w:rsidP="00835216">
      <w:pPr>
        <w:spacing w:after="0" w:line="240" w:lineRule="auto"/>
        <w:jc w:val="both"/>
        <w:rPr>
          <w:rFonts w:ascii="Times New Roman" w:hAnsi="Times New Roman" w:cs="Times New Roman"/>
          <w:b/>
          <w:lang w:val="es-US"/>
        </w:rPr>
      </w:pPr>
      <w:r w:rsidRPr="000B0279">
        <w:rPr>
          <w:rFonts w:ascii="Times New Roman" w:hAnsi="Times New Roman" w:cs="Times New Roman"/>
          <w:b/>
          <w:lang w:val="es-US"/>
        </w:rPr>
        <w:t>Impuesto al valor agregado</w:t>
      </w:r>
    </w:p>
    <w:p w:rsidR="00835216" w:rsidRPr="000B0279" w:rsidRDefault="00835216" w:rsidP="00835216">
      <w:pPr>
        <w:spacing w:after="0" w:line="240" w:lineRule="auto"/>
        <w:rPr>
          <w:rFonts w:ascii="Times New Roman" w:hAnsi="Times New Roman" w:cs="Times New Roman"/>
          <w:b/>
          <w:lang w:val="es-US"/>
        </w:rPr>
      </w:pPr>
    </w:p>
    <w:p w:rsidR="008B3C43" w:rsidRPr="000B0279" w:rsidRDefault="000B0279" w:rsidP="00497DD6">
      <w:pPr>
        <w:spacing w:after="0" w:line="240" w:lineRule="auto"/>
        <w:jc w:val="both"/>
        <w:rPr>
          <w:rFonts w:ascii="Times New Roman" w:hAnsi="Times New Roman" w:cs="Times New Roman"/>
          <w:lang w:val="es-US"/>
        </w:rPr>
      </w:pPr>
      <w:r w:rsidRPr="000B0279">
        <w:rPr>
          <w:rFonts w:ascii="Times New Roman" w:hAnsi="Times New Roman" w:cs="Times New Roman"/>
          <w:lang w:val="es-US"/>
        </w:rPr>
        <w:t>Este impuesto de manera mensual generó una brecha positiva de Q65.5 millones, El IVA asociado al comercio interno generó brecha negativa de Q46.0 millones y el IVA de importaciones supero la meta de presupuesto en Q111.4 millones. El IVA total de manera acumulada genera una brecha negativa de Q1,397.2 millones, con relación al año anterior se observa un crecimiento de 7.4%.</w:t>
      </w:r>
    </w:p>
    <w:p w:rsidR="001D3A4E" w:rsidRDefault="001D3A4E" w:rsidP="00B00E20">
      <w:pPr>
        <w:spacing w:after="0" w:line="240" w:lineRule="auto"/>
        <w:rPr>
          <w:rFonts w:ascii="Times New Roman" w:hAnsi="Times New Roman" w:cs="Times New Roman"/>
          <w:b/>
          <w:lang w:val="es-US"/>
        </w:rPr>
      </w:pPr>
    </w:p>
    <w:p w:rsidR="001D3A4E" w:rsidRDefault="001D3A4E" w:rsidP="00B00E20">
      <w:pPr>
        <w:spacing w:after="0" w:line="240" w:lineRule="auto"/>
        <w:rPr>
          <w:rFonts w:ascii="Times New Roman" w:hAnsi="Times New Roman" w:cs="Times New Roman"/>
          <w:b/>
          <w:lang w:val="es-US"/>
        </w:rPr>
      </w:pPr>
    </w:p>
    <w:p w:rsidR="00B00E20" w:rsidRPr="000B0279" w:rsidRDefault="00B00E20" w:rsidP="00B00E20">
      <w:pPr>
        <w:spacing w:after="0" w:line="240" w:lineRule="auto"/>
        <w:rPr>
          <w:rFonts w:ascii="Times New Roman" w:hAnsi="Times New Roman" w:cs="Times New Roman"/>
          <w:b/>
          <w:lang w:val="es-US"/>
        </w:rPr>
      </w:pPr>
      <w:bookmarkStart w:id="0" w:name="_GoBack"/>
      <w:bookmarkEnd w:id="0"/>
      <w:r w:rsidRPr="000B0279">
        <w:rPr>
          <w:rFonts w:ascii="Times New Roman" w:hAnsi="Times New Roman" w:cs="Times New Roman"/>
          <w:b/>
          <w:lang w:val="es-US"/>
        </w:rPr>
        <w:lastRenderedPageBreak/>
        <w:t>Impuesto a la Renta</w:t>
      </w:r>
    </w:p>
    <w:p w:rsidR="008B3C43" w:rsidRPr="000B0279" w:rsidRDefault="008B3C43" w:rsidP="008B3C43">
      <w:pPr>
        <w:spacing w:after="0" w:line="240" w:lineRule="auto"/>
        <w:jc w:val="both"/>
        <w:rPr>
          <w:rFonts w:ascii="Times New Roman" w:hAnsi="Times New Roman" w:cs="Times New Roman"/>
          <w:b/>
          <w:lang w:val="es-US"/>
        </w:rPr>
      </w:pPr>
    </w:p>
    <w:p w:rsidR="000B0279" w:rsidRPr="000B0279" w:rsidRDefault="000B0279" w:rsidP="000B0279">
      <w:pPr>
        <w:spacing w:after="0" w:line="240" w:lineRule="auto"/>
        <w:jc w:val="both"/>
        <w:rPr>
          <w:rFonts w:ascii="Times New Roman" w:hAnsi="Times New Roman" w:cs="Times New Roman"/>
          <w:lang w:val="es-US"/>
        </w:rPr>
      </w:pPr>
      <w:r w:rsidRPr="000B0279">
        <w:rPr>
          <w:rFonts w:ascii="Times New Roman" w:hAnsi="Times New Roman" w:cs="Times New Roman"/>
          <w:lang w:val="es-US"/>
        </w:rPr>
        <w:t>En noviembre dejo de recaudar Q107.4 millones respecto a lo programado en presupuesto, de manera acumulada este impuesto genera una brecha negativa de Q228.7 millones, con relación a lo observado en 2018 se tiene un crecimiento de 3.7%.</w:t>
      </w:r>
    </w:p>
    <w:p w:rsidR="005C4C97" w:rsidRPr="000B0279" w:rsidRDefault="005C4C97" w:rsidP="00B00E20">
      <w:pPr>
        <w:spacing w:after="0" w:line="240" w:lineRule="auto"/>
        <w:jc w:val="both"/>
        <w:rPr>
          <w:rFonts w:ascii="Times New Roman" w:hAnsi="Times New Roman" w:cs="Times New Roman"/>
          <w:lang w:val="es-US"/>
        </w:rPr>
      </w:pPr>
    </w:p>
    <w:p w:rsidR="006830CD" w:rsidRPr="000B0279" w:rsidRDefault="006830CD" w:rsidP="006830CD">
      <w:pPr>
        <w:spacing w:after="0" w:line="240" w:lineRule="auto"/>
        <w:jc w:val="both"/>
        <w:rPr>
          <w:rFonts w:ascii="Times New Roman" w:hAnsi="Times New Roman" w:cs="Times New Roman"/>
          <w:b/>
          <w:lang w:val="es-US"/>
        </w:rPr>
      </w:pPr>
      <w:r w:rsidRPr="000B0279">
        <w:rPr>
          <w:rFonts w:ascii="Times New Roman" w:hAnsi="Times New Roman" w:cs="Times New Roman"/>
          <w:b/>
          <w:lang w:val="es-US"/>
        </w:rPr>
        <w:t>Resto de impuestos</w:t>
      </w:r>
    </w:p>
    <w:p w:rsidR="006830CD" w:rsidRPr="000B0279" w:rsidRDefault="006830CD" w:rsidP="006830CD">
      <w:pPr>
        <w:spacing w:after="0" w:line="240" w:lineRule="auto"/>
        <w:jc w:val="both"/>
        <w:rPr>
          <w:rFonts w:ascii="Times New Roman" w:hAnsi="Times New Roman" w:cs="Times New Roman"/>
          <w:lang w:val="es-US"/>
        </w:rPr>
      </w:pPr>
    </w:p>
    <w:p w:rsidR="000B0279" w:rsidRPr="000B0279" w:rsidRDefault="000B0279" w:rsidP="000B0279">
      <w:pPr>
        <w:spacing w:after="0" w:line="240" w:lineRule="auto"/>
        <w:jc w:val="both"/>
        <w:rPr>
          <w:rFonts w:ascii="Times New Roman" w:hAnsi="Times New Roman" w:cs="Times New Roman"/>
          <w:lang w:val="es-US"/>
        </w:rPr>
      </w:pPr>
      <w:r w:rsidRPr="000B0279">
        <w:rPr>
          <w:rFonts w:ascii="Times New Roman" w:hAnsi="Times New Roman" w:cs="Times New Roman"/>
          <w:lang w:val="es-US"/>
        </w:rPr>
        <w:t>Del resto de impuestos únicamente del de distribución de bebidas supero la meta de presupuesto en Q9.0 millones el de cemento y derivados de petróleo y salidas del país entre otros no alcanzaron lo programado.</w:t>
      </w:r>
    </w:p>
    <w:p w:rsidR="005F470C" w:rsidRPr="000B0279" w:rsidRDefault="005F470C" w:rsidP="00CD58C8">
      <w:pPr>
        <w:spacing w:after="0" w:line="240" w:lineRule="auto"/>
        <w:jc w:val="both"/>
        <w:rPr>
          <w:rFonts w:ascii="Times New Roman" w:hAnsi="Times New Roman" w:cs="Times New Roman"/>
          <w:lang w:val="es-US"/>
        </w:rPr>
      </w:pPr>
    </w:p>
    <w:p w:rsidR="009D2132" w:rsidRPr="000B0279" w:rsidRDefault="007F126E" w:rsidP="009D2132">
      <w:pPr>
        <w:spacing w:after="0" w:line="240" w:lineRule="auto"/>
        <w:jc w:val="center"/>
        <w:rPr>
          <w:rFonts w:ascii="Times New Roman" w:hAnsi="Times New Roman" w:cs="Times New Roman"/>
          <w:b/>
          <w:lang w:val="es-US"/>
        </w:rPr>
      </w:pPr>
      <w:r w:rsidRPr="000B0279">
        <w:rPr>
          <w:rFonts w:ascii="Times New Roman" w:hAnsi="Times New Roman" w:cs="Times New Roman"/>
          <w:b/>
          <w:lang w:val="es-US"/>
        </w:rPr>
        <w:t>Brechas de recaudación tributaria n</w:t>
      </w:r>
      <w:r w:rsidR="009D2132" w:rsidRPr="000B0279">
        <w:rPr>
          <w:rFonts w:ascii="Times New Roman" w:hAnsi="Times New Roman" w:cs="Times New Roman"/>
          <w:b/>
          <w:lang w:val="es-US"/>
        </w:rPr>
        <w:t>eta</w:t>
      </w:r>
    </w:p>
    <w:p w:rsidR="009D2132" w:rsidRPr="000B0279" w:rsidRDefault="009D2132" w:rsidP="009D2132">
      <w:pPr>
        <w:spacing w:after="0" w:line="240" w:lineRule="auto"/>
        <w:jc w:val="center"/>
        <w:rPr>
          <w:rFonts w:ascii="Times New Roman" w:hAnsi="Times New Roman" w:cs="Times New Roman"/>
          <w:sz w:val="18"/>
          <w:lang w:val="es-US"/>
        </w:rPr>
      </w:pPr>
      <w:r w:rsidRPr="000B0279">
        <w:rPr>
          <w:rFonts w:ascii="Times New Roman" w:hAnsi="Times New Roman" w:cs="Times New Roman"/>
          <w:sz w:val="18"/>
          <w:lang w:val="es-US"/>
        </w:rPr>
        <w:t>Millones de quetzales</w:t>
      </w:r>
    </w:p>
    <w:p w:rsidR="009D2132" w:rsidRPr="000B0279" w:rsidRDefault="000B0279" w:rsidP="009D2132">
      <w:pPr>
        <w:spacing w:after="0" w:line="240" w:lineRule="auto"/>
        <w:jc w:val="both"/>
        <w:rPr>
          <w:rFonts w:ascii="Times New Roman" w:hAnsi="Times New Roman" w:cs="Times New Roman"/>
          <w:lang w:val="es-US"/>
        </w:rPr>
      </w:pPr>
      <w:r w:rsidRPr="000B0279">
        <w:rPr>
          <w:rFonts w:ascii="Times New Roman" w:hAnsi="Times New Roman" w:cs="Times New Roman"/>
          <w:noProof/>
          <w:lang w:eastAsia="es-GT"/>
        </w:rPr>
        <w:drawing>
          <wp:inline distT="0" distB="0" distL="0" distR="0" wp14:anchorId="4F73822E" wp14:editId="1D55FABA">
            <wp:extent cx="2581275" cy="3533775"/>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470C" w:rsidRPr="000B0279" w:rsidRDefault="009D2132" w:rsidP="007F126E">
      <w:pPr>
        <w:spacing w:after="0" w:line="240" w:lineRule="auto"/>
        <w:jc w:val="both"/>
        <w:rPr>
          <w:rFonts w:ascii="Times New Roman" w:hAnsi="Times New Roman" w:cs="Times New Roman"/>
          <w:sz w:val="18"/>
          <w:lang w:val="es-US"/>
        </w:rPr>
      </w:pPr>
      <w:r w:rsidRPr="000B0279">
        <w:rPr>
          <w:rFonts w:ascii="Times New Roman" w:hAnsi="Times New Roman" w:cs="Times New Roman"/>
          <w:sz w:val="16"/>
          <w:lang w:val="es-US"/>
        </w:rPr>
        <w:t>Fuente: Dirección de Análisis y Política Fiscal.</w:t>
      </w:r>
    </w:p>
    <w:p w:rsidR="005F470C" w:rsidRPr="003E25F8" w:rsidRDefault="005F470C" w:rsidP="00674EAE">
      <w:pPr>
        <w:pStyle w:val="Sinespaciado"/>
        <w:jc w:val="both"/>
        <w:rPr>
          <w:rFonts w:ascii="Times New Roman" w:hAnsi="Times New Roman" w:cs="Times New Roman"/>
          <w:color w:val="FF0000"/>
          <w:szCs w:val="18"/>
          <w:lang w:val="es-MX"/>
        </w:rPr>
        <w:sectPr w:rsidR="005F470C" w:rsidRPr="003E25F8" w:rsidSect="005A03A9">
          <w:headerReference w:type="default" r:id="rId15"/>
          <w:footerReference w:type="default" r:id="rId16"/>
          <w:type w:val="continuous"/>
          <w:pgSz w:w="12240" w:h="15840"/>
          <w:pgMar w:top="1417" w:right="1701" w:bottom="1417" w:left="1701" w:header="708" w:footer="708" w:gutter="0"/>
          <w:cols w:num="2" w:space="708"/>
          <w:docGrid w:linePitch="360"/>
        </w:sectPr>
      </w:pPr>
    </w:p>
    <w:p w:rsidR="00FA3B81" w:rsidRPr="00936E17" w:rsidRDefault="00936E17"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936E17" w:rsidSect="00FA3B81">
          <w:headerReference w:type="default" r:id="rId17"/>
          <w:footerReference w:type="default" r:id="rId18"/>
          <w:type w:val="continuous"/>
          <w:pgSz w:w="12240" w:h="15840" w:code="1"/>
          <w:pgMar w:top="1418" w:right="1418" w:bottom="1418" w:left="1418" w:header="709" w:footer="709" w:gutter="0"/>
          <w:cols w:space="708"/>
          <w:docGrid w:linePitch="360"/>
        </w:sectPr>
      </w:pPr>
      <w:r w:rsidRPr="00936E17">
        <w:rPr>
          <w:rFonts w:ascii="Times New Roman" w:hAnsi="Times New Roman" w:cs="Times New Roman"/>
          <w:b/>
          <w:lang w:val="es-MX"/>
        </w:rPr>
        <w:lastRenderedPageBreak/>
        <w:t>En noviembre se observa una desaceleración del gasto</w:t>
      </w:r>
    </w:p>
    <w:p w:rsidR="00FA3B81" w:rsidRPr="003E25F8" w:rsidRDefault="00FA3B81" w:rsidP="00FA3B81">
      <w:pPr>
        <w:pStyle w:val="Sinespaciado"/>
        <w:rPr>
          <w:rFonts w:ascii="Times New Roman" w:hAnsi="Times New Roman" w:cs="Times New Roman"/>
          <w:b/>
          <w:color w:val="FF0000"/>
          <w:sz w:val="18"/>
          <w:lang w:val="es-MX"/>
        </w:rPr>
      </w:pPr>
    </w:p>
    <w:p w:rsidR="00FA3B81" w:rsidRPr="003E25F8" w:rsidRDefault="00FA3B81" w:rsidP="00FA3B81">
      <w:pPr>
        <w:pStyle w:val="Sinespaciado"/>
        <w:jc w:val="center"/>
        <w:rPr>
          <w:rFonts w:ascii="Times New Roman" w:hAnsi="Times New Roman" w:cs="Times New Roman"/>
          <w:b/>
          <w:color w:val="FF0000"/>
          <w:lang w:val="es-MX"/>
        </w:rPr>
        <w:sectPr w:rsidR="00FA3B81" w:rsidRPr="003E25F8" w:rsidSect="004E358C">
          <w:type w:val="continuous"/>
          <w:pgSz w:w="12240" w:h="15840"/>
          <w:pgMar w:top="1417" w:right="1701" w:bottom="1417" w:left="1701" w:header="708" w:footer="708" w:gutter="0"/>
          <w:cols w:space="708"/>
          <w:docGrid w:linePitch="360"/>
        </w:sectPr>
      </w:pPr>
    </w:p>
    <w:p w:rsidR="005C275E" w:rsidRPr="003E25F8" w:rsidRDefault="00912A58" w:rsidP="005C275E">
      <w:pPr>
        <w:pStyle w:val="Sinespaciado"/>
        <w:jc w:val="both"/>
        <w:rPr>
          <w:rFonts w:ascii="Times New Roman" w:hAnsi="Times New Roman" w:cs="Times New Roman"/>
          <w:color w:val="FF0000"/>
          <w:sz w:val="18"/>
          <w:lang w:val="es-MX"/>
        </w:rPr>
      </w:pPr>
      <w:r>
        <w:rPr>
          <w:rFonts w:ascii="Times New Roman" w:hAnsi="Times New Roman" w:cs="Times New Roman"/>
          <w:lang w:val="es-MX"/>
        </w:rPr>
        <w:lastRenderedPageBreak/>
        <w:t>Durante el 2019, el gasto público que excluye las amortizaciones de la deuda pública ha reportado crecimientos interanuales importantes, siendo de 20.7% en enero y abril, a partir de este último mes se ha observado una desaceleración gradual, con un repunte de una décima en septiembre respecto a lo observado en agosto, hasta alcanzar un nivel de 11.4% en noviembre. Al cierre del año, de acuerdo a la estimación de cierre, se esperaría que el gasto que no incluye las amortizaciones de la deuda, reporte un crecimiento interanual en torno al 6.0%.</w:t>
      </w:r>
    </w:p>
    <w:p w:rsidR="005C275E" w:rsidRPr="00912A58" w:rsidRDefault="005C275E" w:rsidP="007F126E">
      <w:pPr>
        <w:pStyle w:val="Sinespaciado"/>
        <w:rPr>
          <w:rFonts w:ascii="Times New Roman" w:hAnsi="Times New Roman" w:cs="Times New Roman"/>
          <w:b/>
          <w:lang w:val="es-MX"/>
        </w:rPr>
      </w:pPr>
    </w:p>
    <w:p w:rsidR="005C275E" w:rsidRPr="00912A58" w:rsidRDefault="005C275E" w:rsidP="005C275E">
      <w:pPr>
        <w:pStyle w:val="Sinespaciado"/>
        <w:jc w:val="center"/>
        <w:rPr>
          <w:rFonts w:ascii="Times New Roman" w:hAnsi="Times New Roman" w:cs="Times New Roman"/>
          <w:b/>
          <w:lang w:val="es-MX"/>
        </w:rPr>
      </w:pPr>
      <w:r w:rsidRPr="00912A58">
        <w:rPr>
          <w:rFonts w:ascii="Times New Roman" w:hAnsi="Times New Roman" w:cs="Times New Roman"/>
          <w:b/>
          <w:lang w:val="es-MX"/>
        </w:rPr>
        <w:t>Ritmo de Ejecución del Gasto</w:t>
      </w:r>
    </w:p>
    <w:p w:rsidR="00025D1E" w:rsidRPr="00912A58" w:rsidRDefault="00912A58" w:rsidP="00025D1E">
      <w:pPr>
        <w:pStyle w:val="Sinespaciado"/>
        <w:jc w:val="center"/>
        <w:rPr>
          <w:rFonts w:ascii="Times New Roman" w:hAnsi="Times New Roman" w:cs="Times New Roman"/>
          <w:sz w:val="18"/>
          <w:lang w:val="es-MX"/>
        </w:rPr>
      </w:pPr>
      <w:r w:rsidRPr="00912A58">
        <w:rPr>
          <w:rFonts w:ascii="Times New Roman" w:hAnsi="Times New Roman" w:cs="Times New Roman"/>
          <w:noProof/>
          <w:sz w:val="18"/>
          <w:lang w:eastAsia="es-GT"/>
        </w:rPr>
        <w:drawing>
          <wp:anchor distT="0" distB="0" distL="114300" distR="114300" simplePos="0" relativeHeight="251725824" behindDoc="0" locked="0" layoutInCell="1" allowOverlap="1" wp14:anchorId="4C7E618A" wp14:editId="2770CE7D">
            <wp:simplePos x="0" y="0"/>
            <wp:positionH relativeFrom="column">
              <wp:posOffset>-3810</wp:posOffset>
            </wp:positionH>
            <wp:positionV relativeFrom="paragraph">
              <wp:posOffset>135255</wp:posOffset>
            </wp:positionV>
            <wp:extent cx="2533650" cy="1779905"/>
            <wp:effectExtent l="0" t="0" r="0" b="0"/>
            <wp:wrapSquare wrapText="bothSides"/>
            <wp:docPr id="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432" r="2468"/>
                    <a:stretch/>
                  </pic:blipFill>
                  <pic:spPr bwMode="auto">
                    <a:xfrm>
                      <a:off x="0" y="0"/>
                      <a:ext cx="2533650"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75E" w:rsidRPr="00912A58">
        <w:rPr>
          <w:rFonts w:ascii="Times New Roman" w:hAnsi="Times New Roman" w:cs="Times New Roman"/>
          <w:sz w:val="18"/>
          <w:lang w:val="es-MX"/>
        </w:rPr>
        <w:t>Variación Interanual*</w:t>
      </w:r>
    </w:p>
    <w:p w:rsidR="005C275E" w:rsidRPr="00912A58" w:rsidRDefault="005C275E" w:rsidP="005C275E">
      <w:pPr>
        <w:pStyle w:val="Sinespaciado"/>
        <w:rPr>
          <w:rFonts w:ascii="Times New Roman" w:hAnsi="Times New Roman" w:cs="Times New Roman"/>
          <w:sz w:val="16"/>
          <w:lang w:val="es-MX"/>
        </w:rPr>
      </w:pPr>
      <w:r w:rsidRPr="00912A58">
        <w:rPr>
          <w:rFonts w:ascii="Times New Roman" w:hAnsi="Times New Roman" w:cs="Times New Roman"/>
          <w:sz w:val="16"/>
          <w:lang w:val="es-MX"/>
        </w:rPr>
        <w:t>*No incluye amortizaciones de la deuda pública</w:t>
      </w:r>
    </w:p>
    <w:p w:rsidR="005C275E" w:rsidRPr="00912A58" w:rsidRDefault="005C275E" w:rsidP="005C275E">
      <w:pPr>
        <w:spacing w:after="0" w:line="240" w:lineRule="auto"/>
        <w:jc w:val="both"/>
        <w:rPr>
          <w:rFonts w:ascii="Times New Roman" w:hAnsi="Times New Roman" w:cs="Times New Roman"/>
          <w:sz w:val="16"/>
        </w:rPr>
      </w:pPr>
      <w:r w:rsidRPr="00912A58">
        <w:rPr>
          <w:rFonts w:ascii="Times New Roman" w:hAnsi="Times New Roman" w:cs="Times New Roman"/>
          <w:sz w:val="16"/>
        </w:rPr>
        <w:t>Fuente: Dirección de Análisis y Política Fiscal</w:t>
      </w:r>
    </w:p>
    <w:p w:rsidR="005C275E" w:rsidRPr="003E25F8" w:rsidRDefault="005C275E" w:rsidP="005C275E">
      <w:pPr>
        <w:pStyle w:val="Sinespaciado"/>
        <w:jc w:val="both"/>
        <w:rPr>
          <w:rFonts w:ascii="Times New Roman" w:hAnsi="Times New Roman" w:cs="Times New Roman"/>
          <w:color w:val="FF0000"/>
          <w:lang w:val="es-MX"/>
        </w:rPr>
      </w:pPr>
    </w:p>
    <w:p w:rsidR="00025D1E" w:rsidRPr="003E25F8" w:rsidRDefault="00912A58" w:rsidP="00025D1E">
      <w:pPr>
        <w:pStyle w:val="Sinespaciado"/>
        <w:jc w:val="both"/>
        <w:rPr>
          <w:rFonts w:ascii="Times New Roman" w:hAnsi="Times New Roman" w:cs="Times New Roman"/>
          <w:color w:val="FF0000"/>
          <w:lang w:val="es-MX"/>
        </w:rPr>
      </w:pPr>
      <w:r>
        <w:rPr>
          <w:rFonts w:ascii="Times New Roman" w:hAnsi="Times New Roman" w:cs="Times New Roman"/>
          <w:lang w:val="es-MX"/>
        </w:rPr>
        <w:t>A nivel de rubro de cuenta económico, el rubro que representa la mayor proporción del gasto, las remuneraciones, presentan un crecimiento interanual importante, siendo del 11.8%. Respecto a las transferencias corrientes, estas representan el 18.7% del gasto y reportan un crecimiento interanual de 6.6%, y las transferencias de capital representan el 14.3% del gasto y reportan un crecimiento importante de 18.7%. Por su parte, el rubro de bienes y servicios en el presente mes reporta un crecimiento de 5.1%.</w:t>
      </w:r>
    </w:p>
    <w:p w:rsidR="00025D1E" w:rsidRPr="003E25F8" w:rsidRDefault="00025D1E" w:rsidP="00025D1E">
      <w:pPr>
        <w:pStyle w:val="Sinespaciado"/>
        <w:jc w:val="both"/>
        <w:rPr>
          <w:rFonts w:ascii="Times New Roman" w:hAnsi="Times New Roman" w:cs="Times New Roman"/>
          <w:color w:val="FF0000"/>
          <w:lang w:val="es-MX"/>
        </w:rPr>
      </w:pPr>
    </w:p>
    <w:p w:rsidR="00025D1E" w:rsidRPr="003E25F8" w:rsidRDefault="00912A58" w:rsidP="00912A58">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 xml:space="preserve">Algunos rubros cuya ejecución representa el 0.2%, equivalente a Q134.5 millones del gasto, </w:t>
      </w:r>
      <w:r w:rsidRPr="00996071">
        <w:rPr>
          <w:rFonts w:ascii="Times New Roman" w:hAnsi="Times New Roman" w:cs="Times New Roman"/>
          <w:lang w:val="es-MX"/>
        </w:rPr>
        <w:t>reportan crecimientos interanuales</w:t>
      </w:r>
      <w:r>
        <w:rPr>
          <w:rFonts w:ascii="Times New Roman" w:hAnsi="Times New Roman" w:cs="Times New Roman"/>
          <w:lang w:val="es-MX"/>
        </w:rPr>
        <w:t xml:space="preserve"> negativos, siendo estos rubros: los impuestos pagados por dependencias del Estado (-14.0%), los descuentos y bonificaciones (-21.1%), las transferencias corrientes al sector externo (-40.9%) y de lado del gasto de capital, la inversión financiera (-59.4%), aunque es importante destacar que estos rubros del gasto no son representativos.</w:t>
      </w:r>
    </w:p>
    <w:p w:rsidR="00025D1E" w:rsidRPr="003E25F8" w:rsidRDefault="00025D1E" w:rsidP="00025D1E">
      <w:pPr>
        <w:pStyle w:val="Sinespaciado"/>
        <w:jc w:val="both"/>
        <w:rPr>
          <w:rFonts w:ascii="Times New Roman" w:hAnsi="Times New Roman" w:cs="Times New Roman"/>
          <w:color w:val="FF0000"/>
          <w:lang w:val="es-MX"/>
        </w:rPr>
      </w:pPr>
    </w:p>
    <w:p w:rsidR="00025D1E" w:rsidRPr="003E25F8" w:rsidRDefault="00912A58" w:rsidP="00025D1E">
      <w:pPr>
        <w:pStyle w:val="Sinespaciado"/>
        <w:jc w:val="both"/>
        <w:rPr>
          <w:rFonts w:ascii="Times New Roman" w:hAnsi="Times New Roman" w:cs="Times New Roman"/>
          <w:color w:val="FF0000"/>
          <w:lang w:val="es-MX"/>
        </w:rPr>
      </w:pPr>
      <w:r w:rsidRPr="00C82F2F">
        <w:rPr>
          <w:rFonts w:ascii="Times New Roman" w:hAnsi="Times New Roman" w:cs="Times New Roman"/>
          <w:lang w:val="es-MX"/>
        </w:rPr>
        <w:t>En lo referente a las transferencias de capital, el aporte a los Consejos de Desarrollo Urbano y Rural</w:t>
      </w:r>
      <w:r>
        <w:rPr>
          <w:rFonts w:ascii="Times New Roman" w:hAnsi="Times New Roman" w:cs="Times New Roman"/>
          <w:lang w:val="es-MX"/>
        </w:rPr>
        <w:t xml:space="preserve"> reporta una ejecución al mes de noviembre de Q1,492.5 millones, equivalente a un nivel de ejecución del 56.0%, siendo este nivel poco dinámico, pero estando por arriba de la ejecución del aporte reportado en 2015, 2017 y 2018, siendo superada únicamente por la ejecución reportada en 2016 cuando fue de 63.2%. </w:t>
      </w:r>
      <w:r w:rsidRPr="00C82F2F">
        <w:rPr>
          <w:rFonts w:ascii="Times New Roman" w:hAnsi="Times New Roman" w:cs="Times New Roman"/>
          <w:lang w:val="es-MX"/>
        </w:rPr>
        <w:t>En</w:t>
      </w:r>
      <w:r>
        <w:rPr>
          <w:rFonts w:ascii="Times New Roman" w:hAnsi="Times New Roman" w:cs="Times New Roman"/>
          <w:lang w:val="es-MX"/>
        </w:rPr>
        <w:t xml:space="preserve"> noviembre por concepto del aporte se devengaron Q203.6 millones. Derivado de este comportamiento, se espera que al cierre de 2019 la ejecución del aporte sea baja.</w:t>
      </w:r>
      <w:r w:rsidR="00025D1E" w:rsidRPr="003E25F8">
        <w:rPr>
          <w:rFonts w:ascii="Times New Roman" w:hAnsi="Times New Roman" w:cs="Times New Roman"/>
          <w:color w:val="FF0000"/>
          <w:lang w:val="es-MX"/>
        </w:rPr>
        <w:t xml:space="preserve">    </w:t>
      </w:r>
    </w:p>
    <w:p w:rsidR="00912A58" w:rsidRPr="003E25F8" w:rsidRDefault="00912A58" w:rsidP="005C275E">
      <w:pPr>
        <w:pStyle w:val="Sinespaciado"/>
        <w:jc w:val="both"/>
        <w:rPr>
          <w:rFonts w:ascii="Times New Roman" w:hAnsi="Times New Roman" w:cs="Times New Roman"/>
          <w:color w:val="FF0000"/>
          <w:lang w:val="es-MX"/>
        </w:rPr>
      </w:pPr>
    </w:p>
    <w:p w:rsidR="005C275E" w:rsidRPr="00912A58" w:rsidRDefault="005C275E" w:rsidP="005C275E">
      <w:pPr>
        <w:spacing w:after="0" w:line="240" w:lineRule="auto"/>
        <w:jc w:val="center"/>
        <w:rPr>
          <w:rFonts w:ascii="Times New Roman" w:hAnsi="Times New Roman" w:cs="Times New Roman"/>
          <w:b/>
          <w:lang w:val="es-MX"/>
        </w:rPr>
      </w:pPr>
      <w:r w:rsidRPr="00912A58">
        <w:rPr>
          <w:rFonts w:ascii="Times New Roman" w:hAnsi="Times New Roman" w:cs="Times New Roman"/>
          <w:b/>
          <w:lang w:val="es-MX"/>
        </w:rPr>
        <w:t>Ejecución de los Consejos de Desarrollo</w:t>
      </w:r>
    </w:p>
    <w:p w:rsidR="005C275E" w:rsidRPr="00912A58" w:rsidRDefault="00912A58" w:rsidP="005C275E">
      <w:pPr>
        <w:spacing w:after="0" w:line="240" w:lineRule="auto"/>
        <w:jc w:val="center"/>
        <w:rPr>
          <w:rFonts w:ascii="Times New Roman" w:hAnsi="Times New Roman" w:cs="Times New Roman"/>
          <w:sz w:val="18"/>
          <w:szCs w:val="18"/>
          <w:lang w:val="es-MX"/>
        </w:rPr>
      </w:pPr>
      <w:r w:rsidRPr="00912A58">
        <w:rPr>
          <w:rFonts w:ascii="Times New Roman" w:hAnsi="Times New Roman" w:cs="Times New Roman"/>
          <w:sz w:val="18"/>
          <w:szCs w:val="18"/>
          <w:lang w:val="es-MX"/>
        </w:rPr>
        <w:t>Al 30</w:t>
      </w:r>
      <w:r w:rsidR="005C275E" w:rsidRPr="00912A58">
        <w:rPr>
          <w:rFonts w:ascii="Times New Roman" w:hAnsi="Times New Roman" w:cs="Times New Roman"/>
          <w:sz w:val="18"/>
          <w:szCs w:val="18"/>
          <w:lang w:val="es-MX"/>
        </w:rPr>
        <w:t xml:space="preserve"> de </w:t>
      </w:r>
      <w:r w:rsidRPr="00912A58">
        <w:rPr>
          <w:rFonts w:ascii="Times New Roman" w:hAnsi="Times New Roman" w:cs="Times New Roman"/>
          <w:sz w:val="18"/>
          <w:szCs w:val="18"/>
          <w:lang w:val="es-MX"/>
        </w:rPr>
        <w:t>noviem</w:t>
      </w:r>
      <w:r w:rsidR="005C275E" w:rsidRPr="00912A58">
        <w:rPr>
          <w:rFonts w:ascii="Times New Roman" w:hAnsi="Times New Roman" w:cs="Times New Roman"/>
          <w:sz w:val="18"/>
          <w:szCs w:val="18"/>
          <w:lang w:val="es-MX"/>
        </w:rPr>
        <w:t>bre de cada año</w:t>
      </w:r>
    </w:p>
    <w:p w:rsidR="005C275E" w:rsidRPr="00912A58" w:rsidRDefault="00912A58" w:rsidP="005C275E">
      <w:pPr>
        <w:spacing w:after="0" w:line="240" w:lineRule="auto"/>
        <w:jc w:val="center"/>
        <w:rPr>
          <w:rFonts w:ascii="Times New Roman" w:hAnsi="Times New Roman" w:cs="Times New Roman"/>
          <w:sz w:val="18"/>
          <w:szCs w:val="18"/>
          <w:lang w:val="es-MX"/>
        </w:rPr>
      </w:pPr>
      <w:r w:rsidRPr="00912A58">
        <w:rPr>
          <w:noProof/>
          <w:lang w:eastAsia="es-GT"/>
        </w:rPr>
        <w:drawing>
          <wp:anchor distT="0" distB="0" distL="114300" distR="114300" simplePos="0" relativeHeight="251727872" behindDoc="0" locked="0" layoutInCell="1" allowOverlap="1" wp14:anchorId="50ACA741" wp14:editId="0A99588F">
            <wp:simplePos x="0" y="0"/>
            <wp:positionH relativeFrom="column">
              <wp:posOffset>-3810</wp:posOffset>
            </wp:positionH>
            <wp:positionV relativeFrom="paragraph">
              <wp:posOffset>135255</wp:posOffset>
            </wp:positionV>
            <wp:extent cx="2762250" cy="1840865"/>
            <wp:effectExtent l="0" t="0" r="0" b="6985"/>
            <wp:wrapSquare wrapText="bothSides"/>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784" t="4831" r="7698" b="3793"/>
                    <a:stretch/>
                  </pic:blipFill>
                  <pic:spPr bwMode="auto">
                    <a:xfrm>
                      <a:off x="0" y="0"/>
                      <a:ext cx="2762250" cy="184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75E" w:rsidRPr="00912A58">
        <w:rPr>
          <w:rFonts w:ascii="Times New Roman" w:hAnsi="Times New Roman" w:cs="Times New Roman"/>
          <w:sz w:val="18"/>
          <w:szCs w:val="18"/>
          <w:lang w:val="es-MX"/>
        </w:rPr>
        <w:t>Millones de quetzales y porcentajes</w:t>
      </w:r>
    </w:p>
    <w:p w:rsidR="00025D1E" w:rsidRPr="00912A58" w:rsidRDefault="00025D1E" w:rsidP="005C275E">
      <w:pPr>
        <w:spacing w:after="0" w:line="240" w:lineRule="auto"/>
        <w:jc w:val="center"/>
        <w:rPr>
          <w:rFonts w:ascii="Times New Roman" w:hAnsi="Times New Roman" w:cs="Times New Roman"/>
          <w:sz w:val="18"/>
          <w:szCs w:val="18"/>
          <w:lang w:val="es-MX"/>
        </w:rPr>
      </w:pPr>
    </w:p>
    <w:p w:rsidR="005C275E" w:rsidRPr="00912A58" w:rsidRDefault="005C275E" w:rsidP="00BE0387">
      <w:pPr>
        <w:spacing w:after="0" w:line="240" w:lineRule="auto"/>
        <w:rPr>
          <w:rFonts w:ascii="Times New Roman" w:hAnsi="Times New Roman" w:cs="Times New Roman"/>
          <w:sz w:val="16"/>
          <w:szCs w:val="18"/>
          <w:lang w:val="es-MX"/>
        </w:rPr>
      </w:pPr>
      <w:r w:rsidRPr="00912A58">
        <w:rPr>
          <w:rFonts w:ascii="Times New Roman" w:hAnsi="Times New Roman" w:cs="Times New Roman"/>
          <w:sz w:val="18"/>
          <w:szCs w:val="18"/>
          <w:lang w:val="es-MX"/>
        </w:rPr>
        <w:t xml:space="preserve"> </w:t>
      </w:r>
      <w:r w:rsidRPr="00912A58">
        <w:rPr>
          <w:rFonts w:ascii="Times New Roman" w:hAnsi="Times New Roman" w:cs="Times New Roman"/>
          <w:sz w:val="16"/>
          <w:szCs w:val="18"/>
          <w:lang w:val="es-MX"/>
        </w:rPr>
        <w:t>Fuente: Dirección de Análisis y Política Fiscal</w:t>
      </w:r>
    </w:p>
    <w:p w:rsidR="00025D1E" w:rsidRPr="003E25F8" w:rsidRDefault="00025D1E" w:rsidP="00BE0387">
      <w:pPr>
        <w:spacing w:after="0" w:line="240" w:lineRule="auto"/>
        <w:rPr>
          <w:rFonts w:ascii="Times New Roman" w:hAnsi="Times New Roman" w:cs="Times New Roman"/>
          <w:color w:val="FF0000"/>
          <w:sz w:val="18"/>
          <w:szCs w:val="18"/>
          <w:lang w:val="es-MX"/>
        </w:rPr>
      </w:pPr>
    </w:p>
    <w:p w:rsidR="00BA782D" w:rsidRPr="003E25F8" w:rsidRDefault="00BA782D" w:rsidP="00BA782D">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 xml:space="preserve">Durante el presente año se han realizado esfuerzos por fortalecer el Sistema de Consejos de Desarrollo, específicamente a las instituciones y organizaciones que tienen a su cargo la supervisión de proyectos de inversión pública, iniciativa que fue apoyada por </w:t>
      </w:r>
      <w:r w:rsidRPr="004C61A5">
        <w:rPr>
          <w:rFonts w:ascii="Times New Roman" w:hAnsi="Times New Roman" w:cs="Times New Roman"/>
          <w:lang w:val="es-MX"/>
        </w:rPr>
        <w:t>Secretaría de Coordinación Ejecutiva de la Presidencia (SCEP</w:t>
      </w:r>
      <w:r>
        <w:rPr>
          <w:rFonts w:ascii="Times New Roman" w:hAnsi="Times New Roman" w:cs="Times New Roman"/>
          <w:lang w:val="es-MX"/>
        </w:rPr>
        <w:t>).</w:t>
      </w:r>
      <w:r w:rsidRPr="003E25F8">
        <w:rPr>
          <w:rFonts w:ascii="Times New Roman" w:hAnsi="Times New Roman" w:cs="Times New Roman"/>
          <w:color w:val="FF0000"/>
          <w:lang w:val="es-MX"/>
        </w:rPr>
        <w:t xml:space="preserve"> </w:t>
      </w:r>
    </w:p>
    <w:p w:rsidR="00BA782D" w:rsidRDefault="00BA782D" w:rsidP="009B76D6">
      <w:pPr>
        <w:pStyle w:val="Sinespaciado"/>
        <w:jc w:val="both"/>
        <w:rPr>
          <w:rFonts w:ascii="Times New Roman" w:hAnsi="Times New Roman" w:cs="Times New Roman"/>
          <w:lang w:val="es-MX"/>
        </w:rPr>
      </w:pPr>
    </w:p>
    <w:p w:rsidR="009B76D6" w:rsidRPr="003E25F8" w:rsidRDefault="0059700F" w:rsidP="009B76D6">
      <w:pPr>
        <w:pStyle w:val="Sinespaciado"/>
        <w:jc w:val="both"/>
        <w:rPr>
          <w:rFonts w:ascii="Times New Roman" w:hAnsi="Times New Roman" w:cs="Times New Roman"/>
          <w:color w:val="FF0000"/>
          <w:lang w:val="es-MX"/>
        </w:rPr>
      </w:pPr>
      <w:r>
        <w:rPr>
          <w:rFonts w:ascii="Times New Roman" w:hAnsi="Times New Roman" w:cs="Times New Roman"/>
          <w:lang w:val="es-MX"/>
        </w:rPr>
        <w:t>En cuanto a la inversión real directa, e</w:t>
      </w:r>
      <w:r w:rsidRPr="006A08A7">
        <w:rPr>
          <w:rFonts w:ascii="Times New Roman" w:hAnsi="Times New Roman" w:cs="Times New Roman"/>
          <w:lang w:val="es-MX"/>
        </w:rPr>
        <w:t xml:space="preserve">s importante </w:t>
      </w:r>
      <w:r>
        <w:rPr>
          <w:rFonts w:ascii="Times New Roman" w:hAnsi="Times New Roman" w:cs="Times New Roman"/>
          <w:lang w:val="es-MX"/>
        </w:rPr>
        <w:t>continuar resaltando su buen desempeño</w:t>
      </w:r>
      <w:r w:rsidRPr="006A08A7">
        <w:rPr>
          <w:rFonts w:ascii="Times New Roman" w:hAnsi="Times New Roman" w:cs="Times New Roman"/>
          <w:lang w:val="es-MX"/>
        </w:rPr>
        <w:t xml:space="preserve">, la cual </w:t>
      </w:r>
      <w:r>
        <w:rPr>
          <w:rFonts w:ascii="Times New Roman" w:hAnsi="Times New Roman" w:cs="Times New Roman"/>
          <w:lang w:val="es-MX"/>
        </w:rPr>
        <w:t>reporta un crecimiento de 28.1%, por este rubro se han ejecutado Q3,732.2 millones, ejecutándose Q819.0 millones más respecto al mismo período del año anterior.</w:t>
      </w:r>
      <w:r w:rsidR="009B76D6" w:rsidRPr="003E25F8">
        <w:rPr>
          <w:rFonts w:ascii="Times New Roman" w:hAnsi="Times New Roman" w:cs="Times New Roman"/>
          <w:color w:val="FF0000"/>
          <w:lang w:val="es-MX"/>
        </w:rPr>
        <w:t xml:space="preserve"> </w:t>
      </w:r>
    </w:p>
    <w:p w:rsidR="009B76D6" w:rsidRPr="003E25F8" w:rsidRDefault="009B76D6" w:rsidP="00BE0387">
      <w:pPr>
        <w:spacing w:after="0" w:line="240" w:lineRule="auto"/>
        <w:rPr>
          <w:rFonts w:ascii="Times New Roman" w:hAnsi="Times New Roman" w:cs="Times New Roman"/>
          <w:color w:val="FF0000"/>
          <w:sz w:val="18"/>
          <w:szCs w:val="18"/>
          <w:lang w:val="es-MX"/>
        </w:rPr>
      </w:pPr>
    </w:p>
    <w:p w:rsidR="0059700F" w:rsidRDefault="0059700F" w:rsidP="0059700F">
      <w:pPr>
        <w:pStyle w:val="Sinespaciado"/>
        <w:jc w:val="both"/>
        <w:rPr>
          <w:rFonts w:ascii="Times New Roman" w:hAnsi="Times New Roman" w:cs="Times New Roman"/>
          <w:lang w:val="es-MX"/>
        </w:rPr>
      </w:pPr>
      <w:r w:rsidRPr="006220B2">
        <w:rPr>
          <w:rFonts w:ascii="Times New Roman" w:hAnsi="Times New Roman" w:cs="Times New Roman"/>
          <w:lang w:val="es-MX"/>
        </w:rPr>
        <w:t xml:space="preserve">Respecto a la ejecución total del gasto, la cual incluye amortizaciones de la </w:t>
      </w:r>
      <w:r>
        <w:rPr>
          <w:rFonts w:ascii="Times New Roman" w:hAnsi="Times New Roman" w:cs="Times New Roman"/>
          <w:lang w:val="es-MX"/>
        </w:rPr>
        <w:t>deuda pública, al mes de noviem</w:t>
      </w:r>
      <w:r w:rsidRPr="006220B2">
        <w:rPr>
          <w:rFonts w:ascii="Times New Roman" w:hAnsi="Times New Roman" w:cs="Times New Roman"/>
          <w:lang w:val="es-MX"/>
        </w:rPr>
        <w:t>bre se situó en Q</w:t>
      </w:r>
      <w:r>
        <w:rPr>
          <w:rFonts w:ascii="Times New Roman" w:hAnsi="Times New Roman" w:cs="Times New Roman"/>
          <w:lang w:val="es-MX"/>
        </w:rPr>
        <w:t>73</w:t>
      </w:r>
      <w:r w:rsidRPr="006220B2">
        <w:rPr>
          <w:rFonts w:ascii="Times New Roman" w:hAnsi="Times New Roman" w:cs="Times New Roman"/>
          <w:lang w:val="es-MX"/>
        </w:rPr>
        <w:t>,</w:t>
      </w:r>
      <w:r>
        <w:rPr>
          <w:rFonts w:ascii="Times New Roman" w:hAnsi="Times New Roman" w:cs="Times New Roman"/>
          <w:lang w:val="es-MX"/>
        </w:rPr>
        <w:t>076.0</w:t>
      </w:r>
      <w:r w:rsidRPr="006220B2">
        <w:rPr>
          <w:rFonts w:ascii="Times New Roman" w:hAnsi="Times New Roman" w:cs="Times New Roman"/>
          <w:lang w:val="es-MX"/>
        </w:rPr>
        <w:t xml:space="preserve"> millones</w:t>
      </w:r>
      <w:r>
        <w:rPr>
          <w:rFonts w:ascii="Times New Roman" w:hAnsi="Times New Roman" w:cs="Times New Roman"/>
          <w:lang w:val="es-MX"/>
        </w:rPr>
        <w:t>, con un grado de ejecución de 82.7</w:t>
      </w:r>
      <w:r w:rsidRPr="006220B2">
        <w:rPr>
          <w:rFonts w:ascii="Times New Roman" w:hAnsi="Times New Roman" w:cs="Times New Roman"/>
          <w:lang w:val="es-MX"/>
        </w:rPr>
        <w:t>%, este nivel se encuentra por arriba de la ejecución promedio de los últimos 5 años (</w:t>
      </w:r>
      <w:r>
        <w:rPr>
          <w:rFonts w:ascii="Times New Roman" w:hAnsi="Times New Roman" w:cs="Times New Roman"/>
          <w:lang w:val="es-MX"/>
        </w:rPr>
        <w:t>80.2</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y es superior a la reportada en</w:t>
      </w:r>
      <w:r>
        <w:rPr>
          <w:rFonts w:ascii="Times New Roman" w:hAnsi="Times New Roman" w:cs="Times New Roman"/>
          <w:lang w:val="es-MX"/>
        </w:rPr>
        <w:t>tre 2014-2017, siendo superada únicamente por la reportada en 2018 cuando fue de 83.5%.</w:t>
      </w:r>
      <w:r w:rsidRPr="006220B2">
        <w:rPr>
          <w:rFonts w:ascii="Times New Roman" w:hAnsi="Times New Roman" w:cs="Times New Roman"/>
          <w:lang w:val="es-MX"/>
        </w:rPr>
        <w:t xml:space="preserve"> </w:t>
      </w:r>
    </w:p>
    <w:p w:rsidR="00897192" w:rsidRPr="003E25F8" w:rsidRDefault="00897192" w:rsidP="00897192">
      <w:pPr>
        <w:pStyle w:val="Sinespaciado"/>
        <w:jc w:val="both"/>
        <w:rPr>
          <w:rFonts w:ascii="Times New Roman" w:hAnsi="Times New Roman" w:cs="Times New Roman"/>
          <w:color w:val="FF0000"/>
          <w:lang w:val="es-MX"/>
        </w:rPr>
      </w:pPr>
    </w:p>
    <w:p w:rsidR="00897192" w:rsidRDefault="0059700F" w:rsidP="00897192">
      <w:pPr>
        <w:pStyle w:val="Sinespaciado"/>
        <w:jc w:val="both"/>
        <w:rPr>
          <w:rFonts w:ascii="Times New Roman" w:hAnsi="Times New Roman" w:cs="Times New Roman"/>
        </w:rPr>
      </w:pPr>
      <w:r>
        <w:rPr>
          <w:rFonts w:ascii="Times New Roman" w:hAnsi="Times New Roman" w:cs="Times New Roman"/>
        </w:rPr>
        <w:t>A nivel del gasto público por entidades, muestran el mayor nivel de ejecución el Servicio de la Deuda Pública (88.4%), la Presidencia</w:t>
      </w:r>
      <w:r w:rsidRPr="003F609E">
        <w:rPr>
          <w:rFonts w:ascii="Times New Roman" w:hAnsi="Times New Roman" w:cs="Times New Roman"/>
        </w:rPr>
        <w:t xml:space="preserve"> (8</w:t>
      </w:r>
      <w:r>
        <w:rPr>
          <w:rFonts w:ascii="Times New Roman" w:hAnsi="Times New Roman" w:cs="Times New Roman"/>
        </w:rPr>
        <w:t>8.0</w:t>
      </w:r>
      <w:r w:rsidRPr="003F609E">
        <w:rPr>
          <w:rFonts w:ascii="Times New Roman" w:hAnsi="Times New Roman" w:cs="Times New Roman"/>
        </w:rPr>
        <w:t>%)</w:t>
      </w:r>
      <w:r>
        <w:rPr>
          <w:rFonts w:ascii="Times New Roman" w:hAnsi="Times New Roman" w:cs="Times New Roman"/>
        </w:rPr>
        <w:t>, Obligaciones del Estado (85.4%), PGN (84.5%), Educación (83.6%) y Defensa (82.9%) siendo su ejecución superior a la ejecución institucional total (82.7%).</w:t>
      </w:r>
    </w:p>
    <w:p w:rsidR="0059700F" w:rsidRDefault="0059700F" w:rsidP="00897192">
      <w:pPr>
        <w:pStyle w:val="Sinespaciado"/>
        <w:jc w:val="both"/>
        <w:rPr>
          <w:rFonts w:ascii="Times New Roman" w:hAnsi="Times New Roman" w:cs="Times New Roman"/>
          <w:color w:val="FF0000"/>
          <w:lang w:val="es-MX"/>
        </w:rPr>
      </w:pPr>
    </w:p>
    <w:p w:rsidR="0059700F" w:rsidRDefault="0059700F" w:rsidP="0059700F">
      <w:pPr>
        <w:pStyle w:val="Sinespaciado"/>
        <w:jc w:val="both"/>
        <w:rPr>
          <w:rFonts w:ascii="Times New Roman" w:hAnsi="Times New Roman" w:cs="Times New Roman"/>
        </w:rPr>
      </w:pPr>
      <w:r>
        <w:rPr>
          <w:rFonts w:ascii="Times New Roman" w:hAnsi="Times New Roman" w:cs="Times New Roman"/>
        </w:rPr>
        <w:t>Por su parte, las entidades que se encuentran a la cola de la ejecución son Cultura y Deportes (64.2%),</w:t>
      </w:r>
      <w:r w:rsidRPr="007B0A12">
        <w:rPr>
          <w:rFonts w:ascii="Times New Roman" w:hAnsi="Times New Roman" w:cs="Times New Roman"/>
        </w:rPr>
        <w:t xml:space="preserve"> </w:t>
      </w:r>
      <w:r>
        <w:rPr>
          <w:rFonts w:ascii="Times New Roman" w:hAnsi="Times New Roman" w:cs="Times New Roman"/>
        </w:rPr>
        <w:t>Ambiente y Recursos Naturales (68.4%) y Desarrollo Social (69.0%)</w:t>
      </w:r>
      <w:r w:rsidRPr="007D1984">
        <w:rPr>
          <w:rFonts w:ascii="Times New Roman" w:hAnsi="Times New Roman" w:cs="Times New Roman"/>
        </w:rPr>
        <w:t>.</w:t>
      </w:r>
      <w:r>
        <w:rPr>
          <w:rFonts w:ascii="Times New Roman" w:hAnsi="Times New Roman" w:cs="Times New Roman"/>
        </w:rPr>
        <w:t xml:space="preserve">  </w:t>
      </w:r>
    </w:p>
    <w:p w:rsidR="00897192" w:rsidRDefault="0059700F" w:rsidP="00897192">
      <w:pPr>
        <w:pStyle w:val="Sinespaciado"/>
        <w:jc w:val="both"/>
        <w:rPr>
          <w:rFonts w:ascii="Times New Roman" w:hAnsi="Times New Roman" w:cs="Times New Roman"/>
        </w:rPr>
      </w:pPr>
      <w:r>
        <w:rPr>
          <w:rFonts w:ascii="Times New Roman" w:hAnsi="Times New Roman" w:cs="Times New Roman"/>
        </w:rPr>
        <w:t xml:space="preserve">En cuanto a crecimiento interanual, resalta el caso de la PGN (24.0%), Ministerio de Salud Pública y Asistencia Social (23.0%) y la Defensa Nacional (22.0%), con lo cual se ha desplazado al Ministerio de Comunicaciones como la entidad con el mayor crecimiento, conforme ha avanzado el año, el crecimiento </w:t>
      </w:r>
      <w:r>
        <w:rPr>
          <w:rFonts w:ascii="Times New Roman" w:hAnsi="Times New Roman" w:cs="Times New Roman"/>
        </w:rPr>
        <w:lastRenderedPageBreak/>
        <w:t>reportado por la entidad se ha ido moderando, aunque aún reporta un crecimiento importante siendo de 20.1%.</w:t>
      </w:r>
    </w:p>
    <w:p w:rsidR="0059700F" w:rsidRPr="003E25F8" w:rsidRDefault="0059700F" w:rsidP="00897192">
      <w:pPr>
        <w:pStyle w:val="Sinespaciado"/>
        <w:jc w:val="both"/>
        <w:rPr>
          <w:rFonts w:ascii="Times New Roman" w:hAnsi="Times New Roman" w:cs="Times New Roman"/>
          <w:color w:val="FF0000"/>
        </w:rPr>
      </w:pPr>
    </w:p>
    <w:p w:rsidR="0059700F" w:rsidRDefault="0059700F" w:rsidP="0059700F">
      <w:pPr>
        <w:pStyle w:val="Sinespaciado"/>
        <w:jc w:val="both"/>
        <w:rPr>
          <w:rFonts w:ascii="Times New Roman" w:hAnsi="Times New Roman" w:cs="Times New Roman"/>
        </w:rPr>
      </w:pPr>
      <w:r>
        <w:rPr>
          <w:rFonts w:ascii="Times New Roman" w:hAnsi="Times New Roman" w:cs="Times New Roman"/>
        </w:rPr>
        <w:t>Todas las entidades reportan avances en su ejecución respecto al año previo, a excepción del Ministerio de Gobernación, el cual muestra un retroceso del 1.1%, es decir, dicho Ministerio ha ejecutado Q43.2 millones menos.</w:t>
      </w:r>
    </w:p>
    <w:p w:rsidR="005C275E" w:rsidRPr="0059700F" w:rsidRDefault="005C275E" w:rsidP="005C275E">
      <w:pPr>
        <w:pStyle w:val="Sinespaciado"/>
        <w:jc w:val="both"/>
        <w:rPr>
          <w:rFonts w:ascii="Times New Roman" w:hAnsi="Times New Roman" w:cs="Times New Roman"/>
        </w:rPr>
      </w:pPr>
    </w:p>
    <w:p w:rsidR="005C275E" w:rsidRPr="0059700F" w:rsidRDefault="005C275E" w:rsidP="005C275E">
      <w:pPr>
        <w:spacing w:after="0" w:line="240" w:lineRule="auto"/>
        <w:jc w:val="center"/>
        <w:rPr>
          <w:rFonts w:ascii="Times New Roman" w:hAnsi="Times New Roman" w:cs="Times New Roman"/>
          <w:b/>
          <w:lang w:val="es-MX"/>
        </w:rPr>
      </w:pPr>
      <w:r w:rsidRPr="0059700F">
        <w:rPr>
          <w:rFonts w:ascii="Times New Roman" w:hAnsi="Times New Roman" w:cs="Times New Roman"/>
          <w:b/>
          <w:lang w:val="es-MX"/>
        </w:rPr>
        <w:t>Grado de Ejecución por Entidad</w:t>
      </w:r>
    </w:p>
    <w:p w:rsidR="005C275E" w:rsidRPr="0059700F" w:rsidRDefault="0059700F" w:rsidP="005C275E">
      <w:pPr>
        <w:spacing w:after="0" w:line="240" w:lineRule="auto"/>
        <w:jc w:val="center"/>
        <w:rPr>
          <w:rFonts w:ascii="Times New Roman" w:hAnsi="Times New Roman" w:cs="Times New Roman"/>
          <w:sz w:val="18"/>
          <w:szCs w:val="18"/>
          <w:lang w:val="es-MX"/>
        </w:rPr>
      </w:pPr>
      <w:r w:rsidRPr="0059700F">
        <w:rPr>
          <w:rFonts w:ascii="Times New Roman" w:hAnsi="Times New Roman" w:cs="Times New Roman"/>
          <w:sz w:val="18"/>
          <w:szCs w:val="18"/>
          <w:lang w:val="es-MX"/>
        </w:rPr>
        <w:t>Al 30</w:t>
      </w:r>
      <w:r w:rsidR="005C275E" w:rsidRPr="0059700F">
        <w:rPr>
          <w:rFonts w:ascii="Times New Roman" w:hAnsi="Times New Roman" w:cs="Times New Roman"/>
          <w:sz w:val="18"/>
          <w:szCs w:val="18"/>
          <w:lang w:val="es-MX"/>
        </w:rPr>
        <w:t xml:space="preserve"> de </w:t>
      </w:r>
      <w:r w:rsidRPr="0059700F">
        <w:rPr>
          <w:rFonts w:ascii="Times New Roman" w:hAnsi="Times New Roman" w:cs="Times New Roman"/>
          <w:sz w:val="18"/>
          <w:szCs w:val="18"/>
          <w:lang w:val="es-MX"/>
        </w:rPr>
        <w:t>noviem</w:t>
      </w:r>
      <w:r w:rsidR="005C275E" w:rsidRPr="0059700F">
        <w:rPr>
          <w:rFonts w:ascii="Times New Roman" w:hAnsi="Times New Roman" w:cs="Times New Roman"/>
          <w:sz w:val="18"/>
          <w:szCs w:val="18"/>
          <w:lang w:val="es-MX"/>
        </w:rPr>
        <w:t>bre del 2019</w:t>
      </w:r>
    </w:p>
    <w:p w:rsidR="005C275E" w:rsidRPr="0059700F" w:rsidRDefault="0059700F" w:rsidP="009B76D6">
      <w:pPr>
        <w:spacing w:after="0" w:line="240" w:lineRule="auto"/>
        <w:jc w:val="center"/>
        <w:rPr>
          <w:rFonts w:ascii="Times New Roman" w:hAnsi="Times New Roman" w:cs="Times New Roman"/>
          <w:sz w:val="18"/>
          <w:szCs w:val="18"/>
          <w:lang w:val="es-MX"/>
        </w:rPr>
      </w:pPr>
      <w:r w:rsidRPr="0059700F">
        <w:rPr>
          <w:noProof/>
          <w:lang w:eastAsia="es-GT"/>
        </w:rPr>
        <w:drawing>
          <wp:anchor distT="0" distB="0" distL="114300" distR="114300" simplePos="0" relativeHeight="251729920" behindDoc="0" locked="0" layoutInCell="1" allowOverlap="1" wp14:anchorId="316E184C" wp14:editId="67A6F2C0">
            <wp:simplePos x="0" y="0"/>
            <wp:positionH relativeFrom="column">
              <wp:posOffset>0</wp:posOffset>
            </wp:positionH>
            <wp:positionV relativeFrom="paragraph">
              <wp:posOffset>195580</wp:posOffset>
            </wp:positionV>
            <wp:extent cx="2514600" cy="2533015"/>
            <wp:effectExtent l="0" t="0" r="0" b="635"/>
            <wp:wrapSquare wrapText="bothSides"/>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026" r="7209" b="2932"/>
                    <a:stretch/>
                  </pic:blipFill>
                  <pic:spPr bwMode="auto">
                    <a:xfrm>
                      <a:off x="0" y="0"/>
                      <a:ext cx="2514600" cy="253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75E" w:rsidRPr="0059700F">
        <w:rPr>
          <w:rFonts w:ascii="Times New Roman" w:hAnsi="Times New Roman" w:cs="Times New Roman"/>
          <w:sz w:val="18"/>
          <w:szCs w:val="18"/>
          <w:lang w:val="es-MX"/>
        </w:rPr>
        <w:t>Millones de quetzales</w:t>
      </w:r>
    </w:p>
    <w:p w:rsidR="005C275E" w:rsidRPr="0059700F" w:rsidRDefault="005C275E" w:rsidP="005C275E">
      <w:pPr>
        <w:spacing w:after="0" w:line="240" w:lineRule="auto"/>
        <w:jc w:val="both"/>
        <w:rPr>
          <w:rFonts w:ascii="Times New Roman" w:hAnsi="Times New Roman" w:cs="Times New Roman"/>
          <w:sz w:val="16"/>
        </w:rPr>
      </w:pPr>
      <w:r w:rsidRPr="0059700F">
        <w:rPr>
          <w:rFonts w:ascii="Times New Roman" w:hAnsi="Times New Roman" w:cs="Times New Roman"/>
          <w:sz w:val="16"/>
        </w:rPr>
        <w:t>Fuente: Dirección de Análisis y Política Fiscal</w:t>
      </w:r>
    </w:p>
    <w:p w:rsidR="005C275E" w:rsidRPr="003E25F8" w:rsidRDefault="005C275E" w:rsidP="005C275E">
      <w:pPr>
        <w:pStyle w:val="Sinespaciado"/>
        <w:jc w:val="center"/>
        <w:rPr>
          <w:rFonts w:ascii="Times New Roman" w:hAnsi="Times New Roman" w:cs="Times New Roman"/>
          <w:b/>
          <w:color w:val="FF0000"/>
        </w:rPr>
      </w:pPr>
    </w:p>
    <w:p w:rsidR="00897192" w:rsidRPr="003E25F8" w:rsidRDefault="0059700F" w:rsidP="00897192">
      <w:pPr>
        <w:pStyle w:val="Sinespaciado"/>
        <w:jc w:val="both"/>
        <w:rPr>
          <w:rFonts w:ascii="Times New Roman" w:hAnsi="Times New Roman" w:cs="Times New Roman"/>
          <w:color w:val="FF0000"/>
          <w:lang w:val="es-MX"/>
        </w:rPr>
      </w:pPr>
      <w:r>
        <w:rPr>
          <w:rFonts w:ascii="Times New Roman" w:hAnsi="Times New Roman" w:cs="Times New Roman"/>
          <w:lang w:val="es-MX"/>
        </w:rPr>
        <w:t>En r</w:t>
      </w:r>
      <w:r w:rsidRPr="00C74885">
        <w:rPr>
          <w:rFonts w:ascii="Times New Roman" w:hAnsi="Times New Roman" w:cs="Times New Roman"/>
          <w:lang w:val="es-MX"/>
        </w:rPr>
        <w:t>elación a</w:t>
      </w:r>
      <w:r>
        <w:rPr>
          <w:rFonts w:ascii="Times New Roman" w:hAnsi="Times New Roman" w:cs="Times New Roman"/>
          <w:lang w:val="es-MX"/>
        </w:rPr>
        <w:t xml:space="preserv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que considera únicamente los sectores de salud, educación y vivienda, se reporta una ejecución de 81.0%, el sector educación lidera con una ejecución de 83.2%, seguido por el sector salud pública y asistencia social con 77.4% y vivienda con 71.9%.</w:t>
      </w:r>
      <w:r w:rsidR="00897192" w:rsidRPr="003E25F8">
        <w:rPr>
          <w:rFonts w:ascii="Times New Roman" w:hAnsi="Times New Roman" w:cs="Times New Roman"/>
          <w:color w:val="FF0000"/>
          <w:lang w:val="es-MX"/>
        </w:rPr>
        <w:t xml:space="preserve"> </w:t>
      </w:r>
    </w:p>
    <w:p w:rsidR="00897192" w:rsidRPr="003E25F8" w:rsidRDefault="00897192" w:rsidP="00897192">
      <w:pPr>
        <w:pStyle w:val="Sinespaciado"/>
        <w:jc w:val="both"/>
        <w:rPr>
          <w:rFonts w:ascii="Times New Roman" w:hAnsi="Times New Roman" w:cs="Times New Roman"/>
          <w:color w:val="FF0000"/>
          <w:lang w:val="es-MX"/>
        </w:rPr>
      </w:pPr>
    </w:p>
    <w:p w:rsidR="00897192" w:rsidRDefault="0059700F" w:rsidP="00897192">
      <w:pPr>
        <w:pStyle w:val="Sinespaciado"/>
        <w:jc w:val="both"/>
        <w:rPr>
          <w:rFonts w:ascii="Times New Roman" w:hAnsi="Times New Roman" w:cs="Times New Roman"/>
          <w:lang w:val="es-MX"/>
        </w:rPr>
      </w:pPr>
      <w:r>
        <w:rPr>
          <w:rFonts w:ascii="Times New Roman" w:hAnsi="Times New Roman" w:cs="Times New Roman"/>
          <w:lang w:val="es-MX"/>
        </w:rPr>
        <w:t>En el caso del sector vivienda, durante el año ha sufrido recortes en el presupuesto por Q249.9 millones, de esa cuenta reporta un nivel de ejecución alto.</w:t>
      </w:r>
    </w:p>
    <w:p w:rsidR="0059700F" w:rsidRPr="003E25F8" w:rsidRDefault="0059700F" w:rsidP="00897192">
      <w:pPr>
        <w:pStyle w:val="Sinespaciado"/>
        <w:jc w:val="both"/>
        <w:rPr>
          <w:rFonts w:ascii="Times New Roman" w:hAnsi="Times New Roman" w:cs="Times New Roman"/>
          <w:color w:val="FF0000"/>
          <w:lang w:val="es-MX"/>
        </w:rPr>
      </w:pPr>
    </w:p>
    <w:p w:rsidR="00897192" w:rsidRDefault="0059700F" w:rsidP="00897192">
      <w:pPr>
        <w:pStyle w:val="Sinespaciado"/>
        <w:jc w:val="both"/>
        <w:rPr>
          <w:rFonts w:ascii="Times New Roman" w:hAnsi="Times New Roman" w:cs="Times New Roman"/>
          <w:lang w:val="es-MX"/>
        </w:rPr>
      </w:pPr>
      <w:r w:rsidRPr="004E01B5">
        <w:rPr>
          <w:rFonts w:ascii="Times New Roman" w:hAnsi="Times New Roman" w:cs="Times New Roman"/>
          <w:lang w:val="es-MX"/>
        </w:rPr>
        <w:t>Al analizar la ejecución del gasto social respecto a lo</w:t>
      </w:r>
      <w:r>
        <w:rPr>
          <w:rFonts w:ascii="Times New Roman" w:hAnsi="Times New Roman" w:cs="Times New Roman"/>
          <w:lang w:val="es-MX"/>
        </w:rPr>
        <w:t xml:space="preserve"> observado en el año previo, se observa que </w:t>
      </w:r>
      <w:r>
        <w:rPr>
          <w:rFonts w:ascii="Times New Roman" w:hAnsi="Times New Roman" w:cs="Times New Roman"/>
          <w:lang w:val="es-MX"/>
        </w:rPr>
        <w:lastRenderedPageBreak/>
        <w:t>los tres rubros que lo conforman reportan avance en 2019, siendo el crecimiento interanual de 16.6%.</w:t>
      </w:r>
    </w:p>
    <w:p w:rsidR="0059700F" w:rsidRPr="003E25F8" w:rsidRDefault="0059700F" w:rsidP="00897192">
      <w:pPr>
        <w:pStyle w:val="Sinespaciado"/>
        <w:jc w:val="both"/>
        <w:rPr>
          <w:rFonts w:ascii="Times New Roman" w:hAnsi="Times New Roman" w:cs="Times New Roman"/>
          <w:color w:val="FF0000"/>
          <w:lang w:val="es-MX"/>
        </w:rPr>
      </w:pPr>
    </w:p>
    <w:p w:rsidR="0059700F" w:rsidRDefault="0059700F" w:rsidP="0059700F">
      <w:pPr>
        <w:pStyle w:val="Sinespaciado"/>
        <w:jc w:val="both"/>
        <w:rPr>
          <w:rFonts w:ascii="Times New Roman" w:hAnsi="Times New Roman" w:cs="Times New Roman"/>
          <w:lang w:val="es-MX"/>
        </w:rPr>
      </w:pPr>
      <w:r>
        <w:rPr>
          <w:rFonts w:ascii="Times New Roman" w:hAnsi="Times New Roman" w:cs="Times New Roman"/>
          <w:lang w:val="es-MX"/>
        </w:rPr>
        <w:t xml:space="preserve">Al incluir en el gasto social a los sectores que son parte de los compromisos asumidos por los Acuerdos de Paz, la ejecución aumenta una décima hasta ubicarse en 81.1%. </w:t>
      </w:r>
    </w:p>
    <w:p w:rsidR="00897192" w:rsidRPr="003E25F8" w:rsidRDefault="00897192" w:rsidP="00897192">
      <w:pPr>
        <w:pStyle w:val="Sinespaciado"/>
        <w:jc w:val="both"/>
        <w:rPr>
          <w:rFonts w:ascii="Times New Roman" w:hAnsi="Times New Roman" w:cs="Times New Roman"/>
          <w:color w:val="FF0000"/>
          <w:lang w:val="es-MX"/>
        </w:rPr>
      </w:pPr>
    </w:p>
    <w:p w:rsidR="00897192" w:rsidRDefault="0059700F" w:rsidP="00897192">
      <w:pPr>
        <w:pStyle w:val="Sinespaciado"/>
        <w:jc w:val="both"/>
        <w:rPr>
          <w:rFonts w:ascii="Times New Roman" w:hAnsi="Times New Roman" w:cs="Times New Roman"/>
          <w:lang w:val="es-MX"/>
        </w:rPr>
      </w:pPr>
      <w:r>
        <w:rPr>
          <w:rFonts w:ascii="Times New Roman" w:hAnsi="Times New Roman" w:cs="Times New Roman"/>
          <w:lang w:val="es-MX"/>
        </w:rPr>
        <w:t>Los aportes dados al Organismo Judicial y a Corte de Constitucionalidad muestran el mayor dinamismo del gasto social con 99.5% de ejecución, quedando pendiente transferirles alrededor de Q9.8 millones de acuerdo a su presupuesto. Por su parte, el aporte del Ministerio Público muestra un grado de ejecución de 87.8%, quedando pendiente de transferirles Q219.8 millones. Por último, el sector de seguridad interna cuenta con una ejecución de 73.1%.</w:t>
      </w:r>
    </w:p>
    <w:p w:rsidR="0059700F" w:rsidRDefault="0059700F" w:rsidP="00897192">
      <w:pPr>
        <w:pStyle w:val="Sinespaciado"/>
        <w:jc w:val="both"/>
        <w:rPr>
          <w:rFonts w:ascii="Times New Roman" w:hAnsi="Times New Roman" w:cs="Times New Roman"/>
          <w:color w:val="FF0000"/>
          <w:lang w:val="es-MX"/>
        </w:rPr>
      </w:pPr>
    </w:p>
    <w:p w:rsidR="0059700F" w:rsidRDefault="0059700F" w:rsidP="0059700F">
      <w:pPr>
        <w:pStyle w:val="Sinespaciado"/>
        <w:jc w:val="both"/>
        <w:rPr>
          <w:rFonts w:ascii="Times New Roman" w:hAnsi="Times New Roman" w:cs="Times New Roman"/>
          <w:lang w:val="es-MX"/>
        </w:rPr>
      </w:pPr>
      <w:r>
        <w:rPr>
          <w:rFonts w:ascii="Times New Roman" w:hAnsi="Times New Roman" w:cs="Times New Roman"/>
          <w:lang w:val="es-MX"/>
        </w:rPr>
        <w:t xml:space="preserve">El gasto social total que incluye los aportes del OJ, CC, MP y la seguridad interna reporta un crecimiento de 12.4% respecto al 2018.  </w:t>
      </w:r>
    </w:p>
    <w:p w:rsidR="005C275E" w:rsidRPr="0059700F" w:rsidRDefault="005C275E" w:rsidP="0059700F">
      <w:pPr>
        <w:pStyle w:val="Sinespaciado"/>
        <w:jc w:val="both"/>
        <w:rPr>
          <w:rFonts w:ascii="Times New Roman" w:hAnsi="Times New Roman" w:cs="Times New Roman"/>
          <w:lang w:val="es-MX"/>
        </w:rPr>
      </w:pPr>
    </w:p>
    <w:p w:rsidR="005C275E" w:rsidRPr="0059700F" w:rsidRDefault="005C275E" w:rsidP="005C275E">
      <w:pPr>
        <w:pStyle w:val="Sinespaciado"/>
        <w:jc w:val="center"/>
        <w:rPr>
          <w:rFonts w:ascii="Times New Roman" w:hAnsi="Times New Roman" w:cs="Times New Roman"/>
          <w:b/>
          <w:lang w:val="es-MX"/>
        </w:rPr>
      </w:pPr>
      <w:r w:rsidRPr="0059700F">
        <w:rPr>
          <w:rFonts w:ascii="Times New Roman" w:hAnsi="Times New Roman" w:cs="Times New Roman"/>
          <w:b/>
          <w:lang w:val="es-MX"/>
        </w:rPr>
        <w:lastRenderedPageBreak/>
        <w:t xml:space="preserve">Ejecución del Gasto Social </w:t>
      </w:r>
    </w:p>
    <w:p w:rsidR="005C275E" w:rsidRPr="0059700F" w:rsidRDefault="0059700F" w:rsidP="005C275E">
      <w:pPr>
        <w:pStyle w:val="Sinespaciado"/>
        <w:jc w:val="center"/>
        <w:rPr>
          <w:rFonts w:ascii="Times New Roman" w:hAnsi="Times New Roman" w:cs="Times New Roman"/>
          <w:sz w:val="18"/>
          <w:szCs w:val="18"/>
          <w:lang w:val="es-MX"/>
        </w:rPr>
      </w:pPr>
      <w:r w:rsidRPr="0059700F">
        <w:rPr>
          <w:rFonts w:ascii="Times New Roman" w:hAnsi="Times New Roman" w:cs="Times New Roman"/>
          <w:sz w:val="18"/>
          <w:szCs w:val="18"/>
          <w:lang w:val="es-MX"/>
        </w:rPr>
        <w:t>Al 30</w:t>
      </w:r>
      <w:r w:rsidR="005C275E" w:rsidRPr="0059700F">
        <w:rPr>
          <w:rFonts w:ascii="Times New Roman" w:hAnsi="Times New Roman" w:cs="Times New Roman"/>
          <w:sz w:val="18"/>
          <w:szCs w:val="18"/>
          <w:lang w:val="es-MX"/>
        </w:rPr>
        <w:t xml:space="preserve"> de </w:t>
      </w:r>
      <w:r w:rsidRPr="0059700F">
        <w:rPr>
          <w:rFonts w:ascii="Times New Roman" w:hAnsi="Times New Roman" w:cs="Times New Roman"/>
          <w:sz w:val="18"/>
          <w:szCs w:val="18"/>
          <w:lang w:val="es-MX"/>
        </w:rPr>
        <w:t>noviem</w:t>
      </w:r>
      <w:r w:rsidR="005C275E" w:rsidRPr="0059700F">
        <w:rPr>
          <w:rFonts w:ascii="Times New Roman" w:hAnsi="Times New Roman" w:cs="Times New Roman"/>
          <w:sz w:val="18"/>
          <w:szCs w:val="18"/>
          <w:lang w:val="es-MX"/>
        </w:rPr>
        <w:t>bre del 2019</w:t>
      </w:r>
    </w:p>
    <w:p w:rsidR="005C275E" w:rsidRPr="0059700F" w:rsidRDefault="0059700F" w:rsidP="00897192">
      <w:pPr>
        <w:pStyle w:val="Sinespaciado"/>
        <w:jc w:val="center"/>
        <w:rPr>
          <w:rFonts w:ascii="Times New Roman" w:hAnsi="Times New Roman" w:cs="Times New Roman"/>
          <w:sz w:val="18"/>
          <w:szCs w:val="18"/>
          <w:lang w:val="es-MX"/>
        </w:rPr>
      </w:pPr>
      <w:r w:rsidRPr="0059700F">
        <w:rPr>
          <w:noProof/>
          <w:lang w:eastAsia="es-GT"/>
        </w:rPr>
        <w:drawing>
          <wp:anchor distT="0" distB="0" distL="114300" distR="114300" simplePos="0" relativeHeight="251731968" behindDoc="0" locked="0" layoutInCell="1" allowOverlap="1" wp14:anchorId="1912B398" wp14:editId="7D807F85">
            <wp:simplePos x="0" y="0"/>
            <wp:positionH relativeFrom="column">
              <wp:posOffset>62865</wp:posOffset>
            </wp:positionH>
            <wp:positionV relativeFrom="paragraph">
              <wp:posOffset>215265</wp:posOffset>
            </wp:positionV>
            <wp:extent cx="2581275" cy="1243965"/>
            <wp:effectExtent l="0" t="0" r="9525" b="0"/>
            <wp:wrapSquare wrapText="bothSides"/>
            <wp:docPr id="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75E" w:rsidRPr="0059700F">
        <w:rPr>
          <w:rFonts w:ascii="Times New Roman" w:hAnsi="Times New Roman" w:cs="Times New Roman"/>
          <w:sz w:val="18"/>
          <w:szCs w:val="18"/>
          <w:lang w:val="es-MX"/>
        </w:rPr>
        <w:t>Millones de quetzales</w:t>
      </w:r>
    </w:p>
    <w:p w:rsidR="0059700F" w:rsidRPr="0059700F" w:rsidRDefault="005C275E" w:rsidP="005C275E">
      <w:pPr>
        <w:pStyle w:val="Sinespaciado"/>
        <w:rPr>
          <w:rFonts w:ascii="Times New Roman" w:hAnsi="Times New Roman" w:cs="Times New Roman"/>
          <w:sz w:val="16"/>
        </w:rPr>
      </w:pPr>
      <w:r w:rsidRPr="0059700F">
        <w:rPr>
          <w:rFonts w:ascii="Times New Roman" w:hAnsi="Times New Roman" w:cs="Times New Roman"/>
          <w:sz w:val="16"/>
        </w:rPr>
        <w:t>Fuente: Dirección de Análisis y Política Fiscal</w:t>
      </w:r>
    </w:p>
    <w:p w:rsidR="0059700F" w:rsidRDefault="0059700F" w:rsidP="005C275E">
      <w:pPr>
        <w:pStyle w:val="Sinespaciado"/>
        <w:rPr>
          <w:rFonts w:ascii="Times New Roman" w:hAnsi="Times New Roman" w:cs="Times New Roman"/>
          <w:color w:val="FF0000"/>
          <w:sz w:val="16"/>
        </w:rPr>
      </w:pPr>
    </w:p>
    <w:p w:rsidR="00BA782D" w:rsidRDefault="0078135B" w:rsidP="00BA782D">
      <w:pPr>
        <w:pStyle w:val="Sinespaciado"/>
        <w:jc w:val="both"/>
        <w:rPr>
          <w:rFonts w:ascii="Times New Roman" w:hAnsi="Times New Roman" w:cs="Times New Roman"/>
          <w:sz w:val="16"/>
        </w:rPr>
      </w:pPr>
      <w:r w:rsidRPr="003E25F8">
        <w:rPr>
          <w:rFonts w:ascii="Times New Roman" w:hAnsi="Times New Roman" w:cs="Times New Roman"/>
          <w:color w:val="FF0000"/>
          <w:sz w:val="16"/>
        </w:rPr>
        <w:t xml:space="preserve"> </w:t>
      </w:r>
    </w:p>
    <w:p w:rsidR="00BA782D" w:rsidRDefault="00BA782D"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Default="005D154B" w:rsidP="00BA782D">
      <w:pPr>
        <w:pStyle w:val="Sinespaciado"/>
        <w:jc w:val="both"/>
        <w:rPr>
          <w:rFonts w:ascii="Times New Roman" w:hAnsi="Times New Roman" w:cs="Times New Roman"/>
          <w:color w:val="FF0000"/>
          <w:sz w:val="16"/>
        </w:rPr>
      </w:pPr>
    </w:p>
    <w:p w:rsidR="005D154B" w:rsidRPr="00BA782D" w:rsidRDefault="005D154B" w:rsidP="00BA782D">
      <w:pPr>
        <w:pStyle w:val="Sinespaciado"/>
        <w:jc w:val="both"/>
        <w:rPr>
          <w:rFonts w:ascii="Times New Roman" w:hAnsi="Times New Roman" w:cs="Times New Roman"/>
          <w:color w:val="FF0000"/>
          <w:sz w:val="16"/>
        </w:rPr>
        <w:sectPr w:rsidR="005D154B" w:rsidRPr="00BA782D" w:rsidSect="00040C99">
          <w:headerReference w:type="default" r:id="rId23"/>
          <w:footerReference w:type="default" r:id="rId24"/>
          <w:type w:val="continuous"/>
          <w:pgSz w:w="12240" w:h="15840" w:code="1"/>
          <w:pgMar w:top="1418" w:right="1418" w:bottom="1418" w:left="1701" w:header="709" w:footer="709" w:gutter="0"/>
          <w:cols w:num="2" w:space="708"/>
          <w:docGrid w:linePitch="360"/>
        </w:sectPr>
      </w:pPr>
    </w:p>
    <w:p w:rsidR="00BA782D" w:rsidRPr="003E25F8" w:rsidRDefault="00BA782D" w:rsidP="00216605">
      <w:pPr>
        <w:pStyle w:val="Sinespaciado"/>
        <w:jc w:val="both"/>
        <w:rPr>
          <w:rFonts w:ascii="Times New Roman" w:hAnsi="Times New Roman" w:cs="Times New Roman"/>
          <w:color w:val="FF0000"/>
          <w:sz w:val="16"/>
          <w:lang w:val="es-MX"/>
        </w:rPr>
      </w:pPr>
    </w:p>
    <w:p w:rsidR="00216605" w:rsidRPr="00936E17" w:rsidRDefault="00964ECA"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936E17" w:rsidSect="00FA3B81">
          <w:type w:val="continuous"/>
          <w:pgSz w:w="12240" w:h="15840" w:code="1"/>
          <w:pgMar w:top="1418" w:right="1418" w:bottom="1418" w:left="1418" w:header="709" w:footer="709" w:gutter="0"/>
          <w:cols w:space="708"/>
          <w:docGrid w:linePitch="360"/>
        </w:sectPr>
      </w:pPr>
      <w:r w:rsidRPr="00936E17">
        <w:rPr>
          <w:rFonts w:ascii="Times New Roman" w:hAnsi="Times New Roman" w:cs="Times New Roman"/>
          <w:b/>
          <w:lang w:val="es-MX"/>
        </w:rPr>
        <w:t xml:space="preserve">Aún pendientes de </w:t>
      </w:r>
      <w:r w:rsidR="00936E17" w:rsidRPr="00936E17">
        <w:rPr>
          <w:rFonts w:ascii="Times New Roman" w:hAnsi="Times New Roman" w:cs="Times New Roman"/>
          <w:b/>
          <w:lang w:val="es-MX"/>
        </w:rPr>
        <w:t>colocar Q175.1</w:t>
      </w:r>
      <w:r w:rsidRPr="00936E17">
        <w:rPr>
          <w:rFonts w:ascii="Times New Roman" w:hAnsi="Times New Roman" w:cs="Times New Roman"/>
          <w:b/>
          <w:lang w:val="es-MX"/>
        </w:rPr>
        <w:t xml:space="preserve"> millones de Bonos del Tesoro</w:t>
      </w:r>
    </w:p>
    <w:p w:rsidR="00216605" w:rsidRPr="003E25F8" w:rsidRDefault="00216605" w:rsidP="00216605">
      <w:pPr>
        <w:pStyle w:val="Sinespaciado"/>
        <w:rPr>
          <w:rFonts w:ascii="Times New Roman" w:hAnsi="Times New Roman" w:cs="Times New Roman"/>
          <w:b/>
          <w:color w:val="FF0000"/>
          <w:sz w:val="24"/>
          <w:lang w:val="es-MX"/>
        </w:rPr>
      </w:pPr>
    </w:p>
    <w:p w:rsidR="00216605" w:rsidRPr="003E25F8" w:rsidRDefault="00216605" w:rsidP="00216605">
      <w:pPr>
        <w:pStyle w:val="Sinespaciado"/>
        <w:rPr>
          <w:rFonts w:ascii="Times New Roman" w:hAnsi="Times New Roman" w:cs="Times New Roman"/>
          <w:b/>
          <w:color w:val="FF0000"/>
          <w:lang w:val="es-MX"/>
        </w:rPr>
        <w:sectPr w:rsidR="00216605" w:rsidRPr="003E25F8" w:rsidSect="004E358C">
          <w:type w:val="continuous"/>
          <w:pgSz w:w="12240" w:h="15840"/>
          <w:pgMar w:top="1417" w:right="1701" w:bottom="1417" w:left="1701" w:header="708" w:footer="708" w:gutter="0"/>
          <w:cols w:space="708"/>
          <w:docGrid w:linePitch="360"/>
        </w:sectPr>
      </w:pPr>
    </w:p>
    <w:p w:rsidR="009B76D6" w:rsidRPr="003E25F8" w:rsidRDefault="001F2EA3" w:rsidP="009B76D6">
      <w:pPr>
        <w:pStyle w:val="Sinespaciado"/>
        <w:jc w:val="both"/>
        <w:rPr>
          <w:rFonts w:ascii="Times New Roman" w:hAnsi="Times New Roman" w:cs="Times New Roman"/>
          <w:color w:val="FF0000"/>
        </w:rPr>
      </w:pPr>
      <w:r>
        <w:rPr>
          <w:rFonts w:ascii="Times New Roman" w:hAnsi="Times New Roman" w:cs="Times New Roman"/>
        </w:rPr>
        <w:lastRenderedPageBreak/>
        <w:t>En cuanto al financiamiento del déficit de presupuesto, al cierre de noviembre 2019 se obtuvo un flujo positivo en el endeudamiento externo neto por el equivalente a Q6,860.3 millones, debido a la colocación del Eurobono por US$1,200 millone</w:t>
      </w:r>
      <w:r w:rsidRPr="001F2EA3">
        <w:rPr>
          <w:rFonts w:ascii="Times New Roman" w:hAnsi="Times New Roman" w:cs="Times New Roman"/>
        </w:rPr>
        <w:t>s</w:t>
      </w:r>
      <w:r w:rsidR="009B76D6" w:rsidRPr="001F2EA3">
        <w:rPr>
          <w:rFonts w:ascii="Times New Roman" w:hAnsi="Times New Roman" w:cs="Times New Roman"/>
        </w:rPr>
        <w:t>.</w:t>
      </w:r>
      <w:r w:rsidR="00936E17">
        <w:rPr>
          <w:rFonts w:ascii="Times New Roman" w:hAnsi="Times New Roman" w:cs="Times New Roman"/>
          <w:color w:val="FF0000"/>
        </w:rPr>
        <w:t xml:space="preserve">  </w:t>
      </w:r>
      <w:r>
        <w:rPr>
          <w:rFonts w:ascii="Times New Roman" w:hAnsi="Times New Roman" w:cs="Times New Roman"/>
        </w:rPr>
        <w:t>Por su parte, los préstamos netos reflejan un valor negativo de Q2,406.9 millones, derivado que las amortizaciones superan los desembolsos, estos únicamente han sido de Q483.6 millones.</w:t>
      </w:r>
      <w:r w:rsidR="009B76D6" w:rsidRPr="003E25F8">
        <w:rPr>
          <w:rFonts w:ascii="Times New Roman" w:hAnsi="Times New Roman" w:cs="Times New Roman"/>
          <w:color w:val="FF0000"/>
        </w:rPr>
        <w:t xml:space="preserve"> </w:t>
      </w:r>
    </w:p>
    <w:p w:rsidR="009B76D6" w:rsidRPr="003E25F8" w:rsidRDefault="009B76D6" w:rsidP="009B76D6">
      <w:pPr>
        <w:pStyle w:val="Sinespaciado"/>
        <w:jc w:val="both"/>
        <w:rPr>
          <w:rFonts w:ascii="Times New Roman" w:hAnsi="Times New Roman" w:cs="Times New Roman"/>
          <w:color w:val="FF0000"/>
        </w:rPr>
      </w:pPr>
    </w:p>
    <w:p w:rsidR="005C275E" w:rsidRDefault="001F2EA3" w:rsidP="009B76D6">
      <w:pPr>
        <w:pStyle w:val="Sinespaciado"/>
        <w:jc w:val="both"/>
        <w:rPr>
          <w:rFonts w:ascii="Times New Roman" w:hAnsi="Times New Roman" w:cs="Times New Roman"/>
        </w:rPr>
      </w:pPr>
      <w:r>
        <w:rPr>
          <w:rFonts w:ascii="Times New Roman" w:hAnsi="Times New Roman" w:cs="Times New Roman"/>
        </w:rPr>
        <w:t>Asimismo, la colocación de Bonos del Tesoro en el mercado interno y externo han tenido una alta demanda, a la fecha se han adjudicado Q18,243.8 millones</w:t>
      </w:r>
      <w:r w:rsidRPr="001F2EA3">
        <w:rPr>
          <w:rFonts w:ascii="Times New Roman" w:hAnsi="Times New Roman" w:cs="Times New Roman"/>
        </w:rPr>
        <w:t>.</w:t>
      </w:r>
    </w:p>
    <w:p w:rsidR="001F2EA3" w:rsidRDefault="001F2EA3" w:rsidP="009B76D6">
      <w:pPr>
        <w:pStyle w:val="Sinespaciado"/>
        <w:jc w:val="both"/>
        <w:rPr>
          <w:rFonts w:ascii="Times New Roman" w:hAnsi="Times New Roman" w:cs="Times New Roman"/>
        </w:rPr>
      </w:pPr>
    </w:p>
    <w:p w:rsidR="001F2EA3" w:rsidRDefault="001F2EA3" w:rsidP="009B76D6">
      <w:pPr>
        <w:pStyle w:val="Sinespaciado"/>
        <w:jc w:val="both"/>
        <w:rPr>
          <w:rFonts w:ascii="Times New Roman" w:hAnsi="Times New Roman" w:cs="Times New Roman"/>
        </w:rPr>
      </w:pPr>
      <w:r>
        <w:rPr>
          <w:rFonts w:ascii="Times New Roman" w:hAnsi="Times New Roman" w:cs="Times New Roman"/>
        </w:rPr>
        <w:lastRenderedPageBreak/>
        <w:t>Derivado de lo anterior, aún está pendiente de colocarse, conforme lo autorizado por el Decreto 25-2018, la cantidad de Q175.1 millones, es decir, el 1.0% del total de la emisión aprobada para este año, d</w:t>
      </w:r>
      <w:r w:rsidRPr="00BD23B3">
        <w:rPr>
          <w:rFonts w:ascii="Times New Roman" w:hAnsi="Times New Roman" w:cs="Times New Roman"/>
        </w:rPr>
        <w:t xml:space="preserve">e los cuales Q100.0 millones corresponden a pequeños inversionistas, </w:t>
      </w:r>
      <w:r>
        <w:rPr>
          <w:rFonts w:ascii="Times New Roman" w:hAnsi="Times New Roman" w:cs="Times New Roman"/>
        </w:rPr>
        <w:t>se han adjudicado Q24.9 millones, quedando pendientes de colocar Q75.1 millones.</w:t>
      </w:r>
    </w:p>
    <w:p w:rsidR="001F2EA3" w:rsidRDefault="001F2EA3" w:rsidP="009B76D6">
      <w:pPr>
        <w:pStyle w:val="Sinespaciado"/>
        <w:jc w:val="both"/>
        <w:rPr>
          <w:rFonts w:ascii="Times New Roman" w:hAnsi="Times New Roman" w:cs="Times New Roman"/>
        </w:rPr>
      </w:pPr>
    </w:p>
    <w:p w:rsidR="005D154B" w:rsidRDefault="001F2EA3" w:rsidP="005D154B">
      <w:pPr>
        <w:pStyle w:val="Sinespaciado"/>
        <w:jc w:val="both"/>
        <w:rPr>
          <w:rFonts w:ascii="Times New Roman" w:hAnsi="Times New Roman" w:cs="Times New Roman"/>
        </w:rPr>
      </w:pPr>
      <w:r>
        <w:rPr>
          <w:rFonts w:ascii="Times New Roman" w:hAnsi="Times New Roman" w:cs="Times New Roman"/>
        </w:rPr>
        <w:t>Respecto a los Q100 millones restantes, este corresponde al cupo que se estaría sacando a licitación entre inversionistas salvadoreños, con el fin de contar con más inversionistas y por ende mejores tasas de interés. De no concretizarse la colocación en el mercado</w:t>
      </w:r>
      <w:r w:rsidR="005D154B">
        <w:rPr>
          <w:rFonts w:ascii="Times New Roman" w:hAnsi="Times New Roman" w:cs="Times New Roman"/>
        </w:rPr>
        <w:t xml:space="preserve"> </w:t>
      </w:r>
      <w:r>
        <w:rPr>
          <w:rFonts w:ascii="Times New Roman" w:hAnsi="Times New Roman" w:cs="Times New Roman"/>
        </w:rPr>
        <w:lastRenderedPageBreak/>
        <w:t>salvadoreño, este cupo aún podría ser colocado en el mercado local.</w:t>
      </w:r>
    </w:p>
    <w:p w:rsidR="005D154B" w:rsidRDefault="005D154B" w:rsidP="005D154B">
      <w:pPr>
        <w:pStyle w:val="Sinespaciado"/>
        <w:jc w:val="both"/>
        <w:rPr>
          <w:rFonts w:ascii="Times New Roman" w:hAnsi="Times New Roman" w:cs="Times New Roman"/>
        </w:rPr>
      </w:pPr>
    </w:p>
    <w:p w:rsidR="005D154B" w:rsidRPr="001F2EA3" w:rsidRDefault="005D154B" w:rsidP="005D154B">
      <w:pPr>
        <w:pStyle w:val="Sinespaciado"/>
        <w:jc w:val="center"/>
        <w:rPr>
          <w:rFonts w:ascii="Times New Roman" w:hAnsi="Times New Roman" w:cs="Times New Roman"/>
          <w:b/>
        </w:rPr>
      </w:pPr>
      <w:r w:rsidRPr="001F2EA3">
        <w:rPr>
          <w:rFonts w:ascii="Times New Roman" w:hAnsi="Times New Roman" w:cs="Times New Roman"/>
          <w:b/>
        </w:rPr>
        <w:t>Colocación de Bonos del Tesoro</w:t>
      </w:r>
    </w:p>
    <w:p w:rsidR="005D154B" w:rsidRDefault="005D154B" w:rsidP="005D154B">
      <w:pPr>
        <w:pStyle w:val="Sinespaciado"/>
        <w:jc w:val="center"/>
        <w:rPr>
          <w:rFonts w:ascii="Times New Roman" w:hAnsi="Times New Roman" w:cs="Times New Roman"/>
          <w:sz w:val="18"/>
        </w:rPr>
      </w:pPr>
      <w:r w:rsidRPr="001F2EA3">
        <w:rPr>
          <w:rFonts w:ascii="Times New Roman" w:hAnsi="Times New Roman" w:cs="Times New Roman"/>
          <w:sz w:val="18"/>
        </w:rPr>
        <w:t>A noviembre 2019</w:t>
      </w:r>
    </w:p>
    <w:p w:rsidR="005D154B" w:rsidRPr="001F2EA3" w:rsidRDefault="005D154B" w:rsidP="005D154B">
      <w:pPr>
        <w:pStyle w:val="Sinespaciado"/>
        <w:jc w:val="center"/>
        <w:rPr>
          <w:rFonts w:ascii="Times New Roman" w:hAnsi="Times New Roman" w:cs="Times New Roman"/>
          <w:sz w:val="18"/>
        </w:rPr>
      </w:pPr>
      <w:r w:rsidRPr="001F2EA3">
        <w:rPr>
          <w:noProof/>
          <w:lang w:eastAsia="es-GT"/>
        </w:rPr>
        <w:drawing>
          <wp:anchor distT="0" distB="0" distL="114300" distR="114300" simplePos="0" relativeHeight="251740160" behindDoc="0" locked="0" layoutInCell="1" allowOverlap="1" wp14:anchorId="3E9E75F7" wp14:editId="60205AF9">
            <wp:simplePos x="0" y="0"/>
            <wp:positionH relativeFrom="column">
              <wp:posOffset>3810</wp:posOffset>
            </wp:positionH>
            <wp:positionV relativeFrom="paragraph">
              <wp:posOffset>226060</wp:posOffset>
            </wp:positionV>
            <wp:extent cx="2686050" cy="1732280"/>
            <wp:effectExtent l="0" t="0" r="0" b="1270"/>
            <wp:wrapSquare wrapText="bothSides"/>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7086" r="2707" b="7411"/>
                    <a:stretch/>
                  </pic:blipFill>
                  <pic:spPr bwMode="auto">
                    <a:xfrm>
                      <a:off x="0" y="0"/>
                      <a:ext cx="2686050" cy="173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rPr>
        <w:t>M</w:t>
      </w:r>
      <w:r w:rsidRPr="001F2EA3">
        <w:rPr>
          <w:rFonts w:ascii="Times New Roman" w:hAnsi="Times New Roman" w:cs="Times New Roman"/>
          <w:sz w:val="18"/>
        </w:rPr>
        <w:t>illones de quetzales y porcentajes</w:t>
      </w:r>
    </w:p>
    <w:p w:rsidR="005D154B" w:rsidRPr="001F2EA3" w:rsidRDefault="005D154B" w:rsidP="005D154B">
      <w:pPr>
        <w:pStyle w:val="Sinespaciado"/>
        <w:jc w:val="center"/>
        <w:rPr>
          <w:rFonts w:ascii="Times New Roman" w:hAnsi="Times New Roman" w:cs="Times New Roman"/>
          <w:sz w:val="18"/>
        </w:rPr>
      </w:pPr>
    </w:p>
    <w:p w:rsidR="005D154B" w:rsidRDefault="005D154B" w:rsidP="005D154B">
      <w:pPr>
        <w:pStyle w:val="Sinespaciado"/>
        <w:jc w:val="center"/>
        <w:rPr>
          <w:rFonts w:ascii="Times New Roman" w:hAnsi="Times New Roman" w:cs="Times New Roman"/>
          <w:sz w:val="16"/>
        </w:rPr>
      </w:pPr>
      <w:r w:rsidRPr="001F2EA3">
        <w:rPr>
          <w:rFonts w:ascii="Times New Roman" w:hAnsi="Times New Roman" w:cs="Times New Roman"/>
          <w:sz w:val="16"/>
        </w:rPr>
        <w:t>Fuente: Dirección de Análisis y Política Fiscal</w:t>
      </w: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6"/>
        </w:rPr>
      </w:pPr>
    </w:p>
    <w:p w:rsidR="005D154B" w:rsidRDefault="005D154B" w:rsidP="005D154B">
      <w:pPr>
        <w:pStyle w:val="Sinespaciado"/>
        <w:jc w:val="center"/>
        <w:rPr>
          <w:rFonts w:ascii="Times New Roman" w:hAnsi="Times New Roman" w:cs="Times New Roman"/>
          <w:sz w:val="18"/>
        </w:rPr>
      </w:pPr>
    </w:p>
    <w:p w:rsidR="005D154B" w:rsidRDefault="005D154B" w:rsidP="005D154B">
      <w:pPr>
        <w:pStyle w:val="Sinespaciado"/>
        <w:jc w:val="center"/>
        <w:rPr>
          <w:rFonts w:ascii="Times New Roman" w:hAnsi="Times New Roman" w:cs="Times New Roman"/>
          <w:sz w:val="18"/>
        </w:rPr>
      </w:pPr>
    </w:p>
    <w:p w:rsidR="009B76D6" w:rsidRPr="003E25F8" w:rsidRDefault="005C275E" w:rsidP="005D154B">
      <w:pPr>
        <w:pStyle w:val="Sinespaciado"/>
        <w:rPr>
          <w:rFonts w:ascii="Times New Roman" w:hAnsi="Times New Roman" w:cs="Times New Roman"/>
          <w:color w:val="FF0000"/>
        </w:rPr>
        <w:sectPr w:rsidR="009B76D6" w:rsidRPr="003E25F8" w:rsidSect="00D554B2">
          <w:headerReference w:type="default" r:id="rId26"/>
          <w:footerReference w:type="default" r:id="rId27"/>
          <w:type w:val="continuous"/>
          <w:pgSz w:w="12240" w:h="15840"/>
          <w:pgMar w:top="1417" w:right="1701" w:bottom="1417" w:left="1701" w:header="708" w:footer="708" w:gutter="0"/>
          <w:cols w:num="2" w:space="708"/>
          <w:docGrid w:linePitch="360"/>
        </w:sectPr>
      </w:pPr>
      <w:r w:rsidRPr="001F2EA3">
        <w:rPr>
          <w:rFonts w:ascii="Times New Roman" w:hAnsi="Times New Roman" w:cs="Times New Roman"/>
          <w:sz w:val="16"/>
        </w:rPr>
        <w:t xml:space="preserve"> </w:t>
      </w:r>
    </w:p>
    <w:p w:rsidR="00494D1D" w:rsidRPr="005D7AC4"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5D7AC4" w:rsidSect="00FA3B81">
          <w:headerReference w:type="default" r:id="rId28"/>
          <w:footerReference w:type="default" r:id="rId29"/>
          <w:type w:val="continuous"/>
          <w:pgSz w:w="12240" w:h="15840" w:code="1"/>
          <w:pgMar w:top="1418" w:right="1418" w:bottom="1418" w:left="1418" w:header="709" w:footer="709" w:gutter="0"/>
          <w:cols w:space="708"/>
          <w:docGrid w:linePitch="360"/>
        </w:sectPr>
      </w:pPr>
      <w:r w:rsidRPr="005D7AC4">
        <w:rPr>
          <w:rFonts w:ascii="Times New Roman" w:hAnsi="Times New Roman" w:cs="Times New Roman"/>
          <w:b/>
          <w:lang w:val="es-MX"/>
        </w:rPr>
        <w:lastRenderedPageBreak/>
        <w:t>Ambientes macroeconómicos (externo e interno)</w:t>
      </w:r>
    </w:p>
    <w:p w:rsidR="00494D1D" w:rsidRPr="003E25F8" w:rsidRDefault="00494D1D" w:rsidP="00494D1D">
      <w:pPr>
        <w:pStyle w:val="Sinespaciado"/>
        <w:rPr>
          <w:rFonts w:ascii="Times New Roman" w:hAnsi="Times New Roman" w:cs="Times New Roman"/>
          <w:b/>
          <w:color w:val="FF0000"/>
          <w:sz w:val="18"/>
          <w:lang w:val="es-MX"/>
        </w:rPr>
      </w:pPr>
    </w:p>
    <w:p w:rsidR="00494D1D" w:rsidRPr="003E25F8" w:rsidRDefault="00494D1D" w:rsidP="00494D1D">
      <w:pPr>
        <w:pStyle w:val="Sinespaciado"/>
        <w:rPr>
          <w:rFonts w:ascii="Times New Roman" w:hAnsi="Times New Roman" w:cs="Times New Roman"/>
          <w:b/>
          <w:color w:val="FF0000"/>
          <w:sz w:val="28"/>
          <w:lang w:val="es-MX"/>
        </w:rPr>
        <w:sectPr w:rsidR="00494D1D" w:rsidRPr="003E25F8" w:rsidSect="004E358C">
          <w:type w:val="continuous"/>
          <w:pgSz w:w="12240" w:h="15840"/>
          <w:pgMar w:top="1417" w:right="1701" w:bottom="1417" w:left="1701" w:header="708" w:footer="708" w:gutter="0"/>
          <w:cols w:space="708"/>
          <w:docGrid w:linePitch="360"/>
        </w:sectPr>
      </w:pPr>
    </w:p>
    <w:p w:rsidR="004D0A0F" w:rsidRPr="009E61BB" w:rsidRDefault="00E16303" w:rsidP="004D0A0F">
      <w:pPr>
        <w:pStyle w:val="Sinespaciado"/>
        <w:jc w:val="both"/>
        <w:rPr>
          <w:rFonts w:ascii="Times New Roman" w:hAnsi="Times New Roman" w:cs="Times New Roman"/>
          <w:lang w:val="es-MX"/>
        </w:rPr>
      </w:pPr>
      <w:r w:rsidRPr="009E61BB">
        <w:rPr>
          <w:rFonts w:ascii="Times New Roman" w:hAnsi="Times New Roman" w:cs="Times New Roman"/>
          <w:lang w:val="es-MX"/>
        </w:rPr>
        <w:lastRenderedPageBreak/>
        <w:t xml:space="preserve">Entre lo más relevante acontecido </w:t>
      </w:r>
      <w:r w:rsidR="00855D0B" w:rsidRPr="009E61BB">
        <w:rPr>
          <w:rFonts w:ascii="Times New Roman" w:hAnsi="Times New Roman" w:cs="Times New Roman"/>
          <w:lang w:val="es-MX"/>
        </w:rPr>
        <w:t>en noviem</w:t>
      </w:r>
      <w:r w:rsidR="00E551C4">
        <w:rPr>
          <w:rFonts w:ascii="Times New Roman" w:hAnsi="Times New Roman" w:cs="Times New Roman"/>
          <w:lang w:val="es-MX"/>
        </w:rPr>
        <w:t xml:space="preserve">bre se destaca </w:t>
      </w:r>
      <w:r w:rsidR="00580D47" w:rsidRPr="009E61BB">
        <w:rPr>
          <w:rFonts w:ascii="Times New Roman" w:hAnsi="Times New Roman" w:cs="Times New Roman"/>
          <w:lang w:val="es-MX"/>
        </w:rPr>
        <w:t xml:space="preserve">el informe del banco central estadounidense, el Libro Beige, que reúne la percepción de los 12 bancos regionales de </w:t>
      </w:r>
      <w:r w:rsidR="00E551C4">
        <w:rPr>
          <w:rFonts w:ascii="Times New Roman" w:hAnsi="Times New Roman" w:cs="Times New Roman"/>
          <w:lang w:val="es-MX"/>
        </w:rPr>
        <w:t>la Fed hasta el 18 de noviembre. En general, el informe</w:t>
      </w:r>
      <w:r w:rsidR="00580D47" w:rsidRPr="009E61BB">
        <w:rPr>
          <w:rFonts w:ascii="Times New Roman" w:hAnsi="Times New Roman" w:cs="Times New Roman"/>
          <w:lang w:val="es-MX"/>
        </w:rPr>
        <w:t xml:space="preserve"> dio un tono ligeramente más optimista que el informe de octubre, afirmando las perspectivas de la Fed de un crecimiento moderado. Entre</w:t>
      </w:r>
      <w:r w:rsidR="00E551C4">
        <w:rPr>
          <w:rFonts w:ascii="Times New Roman" w:hAnsi="Times New Roman" w:cs="Times New Roman"/>
          <w:lang w:val="es-MX"/>
        </w:rPr>
        <w:t xml:space="preserve"> las principales conclusiones el  informe destaca que</w:t>
      </w:r>
      <w:r w:rsidR="00580D47" w:rsidRPr="009E61BB">
        <w:rPr>
          <w:rFonts w:ascii="Times New Roman" w:hAnsi="Times New Roman" w:cs="Times New Roman"/>
          <w:lang w:val="es-MX"/>
        </w:rPr>
        <w:t xml:space="preserve"> el empleo continuó aumentando ligeramente en general y las presiones salariales se intensificaron para los puestos de baja habilidad; la capacidad de las empresas de aumentar los precios para cubrir los costos más altos seguía siendo limitada, aunque algunos distritos notaron que las compañías afectadas por los aranceles estaban más inclinadas a pasar los aumentos de costos; el indicador preferido de la Fed sobre presiones de precios, excluyendo alimentos y energía, subió 1.6% en el año hasta octubre y la inflación anual se ha mantenido persistentemente por debajo del objetivo del </w:t>
      </w:r>
      <w:r w:rsidR="00580D47" w:rsidRPr="009E61BB">
        <w:rPr>
          <w:rFonts w:ascii="Times New Roman" w:hAnsi="Times New Roman" w:cs="Times New Roman"/>
          <w:lang w:val="es-MX"/>
        </w:rPr>
        <w:lastRenderedPageBreak/>
        <w:t>banco central de 2% durante la mayor parte de los últimos 3 años.</w:t>
      </w:r>
    </w:p>
    <w:p w:rsidR="009F1C07" w:rsidRPr="003E25F8" w:rsidRDefault="009F1C07" w:rsidP="004D0A0F">
      <w:pPr>
        <w:pStyle w:val="Sinespaciado"/>
        <w:jc w:val="both"/>
        <w:rPr>
          <w:rFonts w:ascii="Times New Roman" w:hAnsi="Times New Roman" w:cs="Times New Roman"/>
          <w:color w:val="FF0000"/>
        </w:rPr>
      </w:pPr>
    </w:p>
    <w:p w:rsidR="00823719" w:rsidRPr="00870831" w:rsidRDefault="00870831" w:rsidP="00823719">
      <w:pPr>
        <w:pStyle w:val="Sinespaciado"/>
        <w:jc w:val="both"/>
        <w:rPr>
          <w:rFonts w:ascii="Times New Roman" w:hAnsi="Times New Roman" w:cs="Times New Roman"/>
        </w:rPr>
      </w:pPr>
      <w:r w:rsidRPr="00870831">
        <w:rPr>
          <w:rFonts w:ascii="Times New Roman" w:hAnsi="Times New Roman" w:cs="Times New Roman"/>
        </w:rPr>
        <w:t>La Fed de Estados Unidos mantuvo sus principales tasas de interés</w:t>
      </w:r>
      <w:r w:rsidR="00DD517E">
        <w:rPr>
          <w:rFonts w:ascii="Times New Roman" w:hAnsi="Times New Roman" w:cs="Times New Roman"/>
        </w:rPr>
        <w:t xml:space="preserve"> en un rango de entre 1.5% y 1.75%.  </w:t>
      </w:r>
      <w:r w:rsidR="00DD517E" w:rsidRPr="00DD517E">
        <w:rPr>
          <w:rFonts w:ascii="Times New Roman" w:hAnsi="Times New Roman" w:cs="Times New Roman"/>
        </w:rPr>
        <w:t>La decisión fue una señal de que los miembros de la entidad, que reiteradamente dijeron que cambiarían de rumbo de ser necesario, están monitoreando el enlentecimiento económico mundial y la persistente falta de presiones sobre los precios, lo cual abre la puerta a nuevos movimientos de las tasas.</w:t>
      </w:r>
    </w:p>
    <w:p w:rsidR="004D0A0F" w:rsidRPr="003E25F8" w:rsidRDefault="004D0A0F" w:rsidP="004D0A0F">
      <w:pPr>
        <w:spacing w:after="0" w:line="240" w:lineRule="auto"/>
        <w:jc w:val="both"/>
        <w:rPr>
          <w:rFonts w:ascii="Times New Roman" w:hAnsi="Times New Roman" w:cs="Times New Roman"/>
          <w:color w:val="FF0000"/>
        </w:rPr>
      </w:pPr>
    </w:p>
    <w:p w:rsidR="00DD517E" w:rsidRDefault="00DD517E" w:rsidP="00D75E95">
      <w:pPr>
        <w:spacing w:after="0" w:line="240" w:lineRule="auto"/>
        <w:jc w:val="both"/>
        <w:rPr>
          <w:rFonts w:ascii="Times New Roman" w:hAnsi="Times New Roman" w:cs="Times New Roman"/>
        </w:rPr>
      </w:pPr>
      <w:r w:rsidRPr="00DD517E">
        <w:rPr>
          <w:rFonts w:ascii="Times New Roman" w:hAnsi="Times New Roman" w:cs="Times New Roman"/>
        </w:rPr>
        <w:t xml:space="preserve">La confianza en la economía de la zona euro repuntó más de lo esperado en noviembre gracias a un mayor optimismo en el sector servicios y a un mejor estado de ánimo en la industria y entre los consumidores, según los datos de la Comisión Europea. La confianza en el sector servicios, responsable de aproximadamente dos tercios del Producto Interno Bruto de la zona euro, subió de 9.0 en </w:t>
      </w:r>
      <w:r w:rsidRPr="00DD517E">
        <w:rPr>
          <w:rFonts w:ascii="Times New Roman" w:hAnsi="Times New Roman" w:cs="Times New Roman"/>
        </w:rPr>
        <w:lastRenderedPageBreak/>
        <w:t xml:space="preserve">octubre a 9.3, mientras que la confianza en la industria mejoró de -9.5 a -9.2 este mes.  La confianza de los consumidores aumentó de -7.6 a -7.2 y en el comercio minorista a -0.2 desde -0.9.  </w:t>
      </w:r>
    </w:p>
    <w:p w:rsidR="00DD517E" w:rsidRPr="003E25F8" w:rsidRDefault="00DD517E" w:rsidP="00D75E95">
      <w:pPr>
        <w:spacing w:after="0" w:line="240" w:lineRule="auto"/>
        <w:jc w:val="both"/>
        <w:rPr>
          <w:rFonts w:ascii="Times New Roman" w:hAnsi="Times New Roman" w:cs="Times New Roman"/>
          <w:color w:val="FF0000"/>
        </w:rPr>
      </w:pPr>
    </w:p>
    <w:p w:rsidR="004E23E4" w:rsidRPr="003E25F8" w:rsidRDefault="009C5F4E" w:rsidP="00D75E95">
      <w:pPr>
        <w:spacing w:after="0" w:line="240" w:lineRule="auto"/>
        <w:jc w:val="both"/>
        <w:rPr>
          <w:rFonts w:ascii="Times New Roman" w:hAnsi="Times New Roman" w:cs="Times New Roman"/>
          <w:color w:val="FF0000"/>
          <w:lang w:val="es-MX"/>
        </w:rPr>
      </w:pPr>
      <w:r w:rsidRPr="003D557F">
        <w:rPr>
          <w:rFonts w:ascii="Times New Roman" w:hAnsi="Times New Roman" w:cs="Times New Roman"/>
          <w:lang w:val="es-MX"/>
        </w:rPr>
        <w:t xml:space="preserve">La </w:t>
      </w:r>
      <w:r w:rsidR="00182730" w:rsidRPr="003D557F">
        <w:rPr>
          <w:rFonts w:ascii="Times New Roman" w:hAnsi="Times New Roman" w:cs="Times New Roman"/>
          <w:lang w:val="es-MX"/>
        </w:rPr>
        <w:t>CEPAL</w:t>
      </w:r>
      <w:r w:rsidR="00AD55FD" w:rsidRPr="003D557F">
        <w:rPr>
          <w:rFonts w:ascii="Times New Roman" w:hAnsi="Times New Roman" w:cs="Times New Roman"/>
          <w:lang w:val="es-MX"/>
        </w:rPr>
        <w:t xml:space="preserve"> en su Balance Preliminar de las Economías de América Latina y el Caribe 2019, considera que la desaceleración en la demanda interna está acompañada por una baja demanda agregada externa y mercados financieros internacionales más frágiles, dentro de un contexto con exigencias sociales y presiones para reducir la desigualdad y aumentar la inclusión social. El informe arrojó que 23 de 33 países de América Latina y el Caribe presentarán una desaceleración de su crecimiento durante 2019, mientras que 14 naciones tendrán una expansión de 1.0 % o menos al finalizar el año.  En cuanto a la desocupación nacional, hay un incremento de 8.0 % en 2018 a 8.2 % en 2019, lo que implica un aumento de un millón de personas. </w:t>
      </w:r>
      <w:r w:rsidR="003D557F" w:rsidRPr="003D557F">
        <w:rPr>
          <w:rFonts w:ascii="Times New Roman" w:hAnsi="Times New Roman" w:cs="Times New Roman"/>
          <w:lang w:val="es-MX"/>
        </w:rPr>
        <w:t xml:space="preserve"> </w:t>
      </w:r>
      <w:r w:rsidR="00AD55FD" w:rsidRPr="003D557F">
        <w:rPr>
          <w:rFonts w:ascii="Times New Roman" w:hAnsi="Times New Roman" w:cs="Times New Roman"/>
          <w:lang w:val="es-MX"/>
        </w:rPr>
        <w:t>Esta cifra ubica la cifra total en 25.2 millones de desocupados, sumado esto al deterioro en la calidad del empleo ante el crecimiento del trabajo por cuenta propia, que ha superado al empleo asalariado y a la informalidad laboral.</w:t>
      </w:r>
    </w:p>
    <w:p w:rsidR="009F1C07" w:rsidRPr="003E25F8" w:rsidRDefault="009F1C07" w:rsidP="009F1C07">
      <w:pPr>
        <w:pStyle w:val="Sinespaciado"/>
        <w:jc w:val="both"/>
        <w:rPr>
          <w:rFonts w:ascii="Times New Roman" w:hAnsi="Times New Roman" w:cs="Times New Roman"/>
          <w:color w:val="FF0000"/>
          <w:lang w:val="es-MX"/>
        </w:rPr>
      </w:pPr>
    </w:p>
    <w:p w:rsidR="00580D47" w:rsidRDefault="00580D47" w:rsidP="009F1C07">
      <w:pPr>
        <w:pStyle w:val="Sinespaciado"/>
        <w:jc w:val="both"/>
        <w:rPr>
          <w:rFonts w:ascii="Times New Roman" w:hAnsi="Times New Roman" w:cs="Times New Roman"/>
          <w:color w:val="FF0000"/>
        </w:rPr>
      </w:pPr>
      <w:r w:rsidRPr="00580D47">
        <w:rPr>
          <w:rFonts w:ascii="Times New Roman" w:hAnsi="Times New Roman" w:cs="Times New Roman"/>
        </w:rPr>
        <w:t>El banco de Japón decidió mantener intacta su política monetaria y mantener las distancias con los bancos centrales estadounidenses y europeo, pero recortó sus previsiones de crecimiento e inflación para este año y los siguientes.  Así, opta por mantener el tipo de interés de referencia a corto plazo del -0.1% que aplica desde 2016 para los depósitos de las instituciones financieras, con el fin de fomentar el gasto y las inversiones y lograr una progresiva recuperación económica.  También sigue adelante con su programa de compra masiva de activos estatales para que el rendimiento de los que tienen a largo plazo de 10 años se mantenga en torno al 0%.</w:t>
      </w:r>
    </w:p>
    <w:p w:rsidR="009C5F4E" w:rsidRPr="003E25F8" w:rsidRDefault="009C5F4E" w:rsidP="00D75E95">
      <w:pPr>
        <w:spacing w:after="0" w:line="240" w:lineRule="auto"/>
        <w:jc w:val="both"/>
        <w:rPr>
          <w:rFonts w:ascii="Times New Roman" w:hAnsi="Times New Roman" w:cs="Times New Roman"/>
          <w:color w:val="FF0000"/>
          <w:lang w:val="es-MX"/>
        </w:rPr>
      </w:pPr>
    </w:p>
    <w:p w:rsidR="00982379" w:rsidRPr="009E61BB" w:rsidRDefault="00434FC6" w:rsidP="003523F0">
      <w:pPr>
        <w:spacing w:after="0" w:line="240" w:lineRule="auto"/>
        <w:jc w:val="both"/>
        <w:rPr>
          <w:rFonts w:ascii="Times New Roman" w:hAnsi="Times New Roman" w:cs="Times New Roman"/>
          <w:lang w:val="es-MX"/>
        </w:rPr>
      </w:pPr>
      <w:r w:rsidRPr="009E61BB">
        <w:rPr>
          <w:rFonts w:ascii="Times New Roman" w:hAnsi="Times New Roman" w:cs="Times New Roman"/>
          <w:lang w:val="es-MX"/>
        </w:rPr>
        <w:lastRenderedPageBreak/>
        <w:t>El comportamiento de los principales indicadores del ciclo económico a nivel internacional, monitoreados en el modelo de alertas</w:t>
      </w:r>
      <w:r w:rsidR="006A64D5" w:rsidRPr="009E61BB">
        <w:rPr>
          <w:rFonts w:ascii="Times New Roman" w:hAnsi="Times New Roman" w:cs="Times New Roman"/>
          <w:lang w:val="es-MX"/>
        </w:rPr>
        <w:t xml:space="preserve"> te</w:t>
      </w:r>
      <w:r w:rsidR="006F410A" w:rsidRPr="009E61BB">
        <w:rPr>
          <w:rFonts w:ascii="Times New Roman" w:hAnsi="Times New Roman" w:cs="Times New Roman"/>
          <w:lang w:val="es-MX"/>
        </w:rPr>
        <w:t xml:space="preserve">mpranas indica que en </w:t>
      </w:r>
      <w:r w:rsidR="009E61BB" w:rsidRPr="009E61BB">
        <w:rPr>
          <w:rFonts w:ascii="Times New Roman" w:hAnsi="Times New Roman" w:cs="Times New Roman"/>
          <w:lang w:val="es-MX"/>
        </w:rPr>
        <w:t>noviem</w:t>
      </w:r>
      <w:r w:rsidR="00D75E95" w:rsidRPr="009E61BB">
        <w:rPr>
          <w:rFonts w:ascii="Times New Roman" w:hAnsi="Times New Roman" w:cs="Times New Roman"/>
          <w:lang w:val="es-MX"/>
        </w:rPr>
        <w:t>bre</w:t>
      </w:r>
      <w:r w:rsidR="009062A4" w:rsidRPr="009E61BB">
        <w:rPr>
          <w:rFonts w:ascii="Times New Roman" w:hAnsi="Times New Roman" w:cs="Times New Roman"/>
          <w:lang w:val="es-MX"/>
        </w:rPr>
        <w:t xml:space="preserve"> 2019</w:t>
      </w:r>
      <w:r w:rsidRPr="009E61BB">
        <w:rPr>
          <w:rFonts w:ascii="Times New Roman" w:hAnsi="Times New Roman" w:cs="Times New Roman"/>
          <w:lang w:val="es-MX"/>
        </w:rPr>
        <w:t xml:space="preserve"> se aprecia un escenario interanual </w:t>
      </w:r>
      <w:r w:rsidR="00E56B67" w:rsidRPr="009E61BB">
        <w:rPr>
          <w:rFonts w:ascii="Times New Roman" w:hAnsi="Times New Roman" w:cs="Times New Roman"/>
          <w:lang w:val="es-MX"/>
        </w:rPr>
        <w:t>un tanto pesimista</w:t>
      </w:r>
      <w:r w:rsidR="00D75E95" w:rsidRPr="009E61BB">
        <w:rPr>
          <w:rFonts w:ascii="Times New Roman" w:hAnsi="Times New Roman" w:cs="Times New Roman"/>
          <w:lang w:val="es-MX"/>
        </w:rPr>
        <w:t xml:space="preserve">, principalmente en el ingreso por exportaciones y </w:t>
      </w:r>
      <w:r w:rsidR="009E61BB" w:rsidRPr="009E61BB">
        <w:rPr>
          <w:rFonts w:ascii="Times New Roman" w:hAnsi="Times New Roman" w:cs="Times New Roman"/>
          <w:lang w:val="es-MX"/>
        </w:rPr>
        <w:t>producción estadounidense</w:t>
      </w:r>
      <w:r w:rsidR="00D75E95" w:rsidRPr="009E61BB">
        <w:rPr>
          <w:rFonts w:ascii="Times New Roman" w:hAnsi="Times New Roman" w:cs="Times New Roman"/>
          <w:lang w:val="es-MX"/>
        </w:rPr>
        <w:t xml:space="preserve"> que</w:t>
      </w:r>
      <w:r w:rsidR="007206C9" w:rsidRPr="009E61BB">
        <w:rPr>
          <w:rFonts w:ascii="Times New Roman" w:hAnsi="Times New Roman" w:cs="Times New Roman"/>
          <w:lang w:val="es-MX"/>
        </w:rPr>
        <w:t xml:space="preserve"> </w:t>
      </w:r>
      <w:r w:rsidR="00F3088D" w:rsidRPr="009E61BB">
        <w:rPr>
          <w:rFonts w:ascii="Times New Roman" w:hAnsi="Times New Roman" w:cs="Times New Roman"/>
          <w:lang w:val="es-MX"/>
        </w:rPr>
        <w:t xml:space="preserve">continúa </w:t>
      </w:r>
      <w:r w:rsidR="00E54BAD" w:rsidRPr="009E61BB">
        <w:rPr>
          <w:rFonts w:ascii="Times New Roman" w:hAnsi="Times New Roman" w:cs="Times New Roman"/>
          <w:lang w:val="es-MX"/>
        </w:rPr>
        <w:t>reflejando</w:t>
      </w:r>
      <w:r w:rsidR="00F3088D" w:rsidRPr="009E61BB">
        <w:rPr>
          <w:rFonts w:ascii="Times New Roman" w:hAnsi="Times New Roman" w:cs="Times New Roman"/>
          <w:lang w:val="es-MX"/>
        </w:rPr>
        <w:t xml:space="preserve"> </w:t>
      </w:r>
      <w:r w:rsidR="007206C9" w:rsidRPr="009E61BB">
        <w:rPr>
          <w:rFonts w:ascii="Times New Roman" w:hAnsi="Times New Roman" w:cs="Times New Roman"/>
          <w:lang w:val="es-MX"/>
        </w:rPr>
        <w:t xml:space="preserve">la debilidad de la demanda global y </w:t>
      </w:r>
      <w:r w:rsidR="00AD3FF3" w:rsidRPr="009E61BB">
        <w:rPr>
          <w:rFonts w:ascii="Times New Roman" w:hAnsi="Times New Roman" w:cs="Times New Roman"/>
          <w:lang w:val="es-MX"/>
        </w:rPr>
        <w:t>el aumento de los costos atribuido</w:t>
      </w:r>
      <w:r w:rsidR="00D75E95" w:rsidRPr="009E61BB">
        <w:rPr>
          <w:rFonts w:ascii="Times New Roman" w:hAnsi="Times New Roman" w:cs="Times New Roman"/>
          <w:lang w:val="es-MX"/>
        </w:rPr>
        <w:t xml:space="preserve"> a los aranceles impuestos</w:t>
      </w:r>
      <w:r w:rsidR="00E54BAD" w:rsidRPr="009E61BB">
        <w:rPr>
          <w:rFonts w:ascii="Times New Roman" w:hAnsi="Times New Roman" w:cs="Times New Roman"/>
          <w:lang w:val="es-MX"/>
        </w:rPr>
        <w:t>.</w:t>
      </w:r>
      <w:r w:rsidRPr="009E61BB">
        <w:rPr>
          <w:rFonts w:ascii="Times New Roman" w:hAnsi="Times New Roman" w:cs="Times New Roman"/>
          <w:lang w:val="es-MX"/>
        </w:rPr>
        <w:t xml:space="preserve"> </w:t>
      </w:r>
      <w:r w:rsidR="00AD3FF3" w:rsidRPr="009E61BB">
        <w:rPr>
          <w:rFonts w:ascii="Times New Roman" w:hAnsi="Times New Roman" w:cs="Times New Roman"/>
          <w:lang w:val="es-MX"/>
        </w:rPr>
        <w:t>Así mismo, los</w:t>
      </w:r>
      <w:r w:rsidR="00A4399A" w:rsidRPr="009E61BB">
        <w:rPr>
          <w:rFonts w:ascii="Times New Roman" w:hAnsi="Times New Roman" w:cs="Times New Roman"/>
          <w:lang w:val="es-MX"/>
        </w:rPr>
        <w:t xml:space="preserve"> resultados evidencian que el consumo,</w:t>
      </w:r>
      <w:r w:rsidR="004E61EC" w:rsidRPr="009E61BB">
        <w:rPr>
          <w:rFonts w:ascii="Times New Roman" w:hAnsi="Times New Roman" w:cs="Times New Roman"/>
          <w:lang w:val="es-MX"/>
        </w:rPr>
        <w:t xml:space="preserve"> </w:t>
      </w:r>
      <w:r w:rsidR="00E56B67" w:rsidRPr="009E61BB">
        <w:rPr>
          <w:rFonts w:ascii="Times New Roman" w:hAnsi="Times New Roman" w:cs="Times New Roman"/>
          <w:lang w:val="es-MX"/>
        </w:rPr>
        <w:t>la producción de Estados Unidos y Europa, las exportaciones y</w:t>
      </w:r>
      <w:r w:rsidR="004E61EC" w:rsidRPr="009E61BB">
        <w:rPr>
          <w:rFonts w:ascii="Times New Roman" w:hAnsi="Times New Roman" w:cs="Times New Roman"/>
          <w:lang w:val="es-MX"/>
        </w:rPr>
        <w:t xml:space="preserve"> el comercio</w:t>
      </w:r>
      <w:r w:rsidR="00A4399A" w:rsidRPr="009E61BB">
        <w:rPr>
          <w:rFonts w:ascii="Times New Roman" w:hAnsi="Times New Roman" w:cs="Times New Roman"/>
          <w:lang w:val="es-MX"/>
        </w:rPr>
        <w:t xml:space="preserve"> continúan en desaceleración</w:t>
      </w:r>
      <w:r w:rsidR="00515CE6" w:rsidRPr="009E61BB">
        <w:rPr>
          <w:rFonts w:ascii="Times New Roman" w:hAnsi="Times New Roman" w:cs="Times New Roman"/>
          <w:lang w:val="es-MX"/>
        </w:rPr>
        <w:t>.</w:t>
      </w:r>
    </w:p>
    <w:p w:rsidR="005D154B" w:rsidRPr="003E25F8" w:rsidRDefault="005D154B" w:rsidP="003523F0">
      <w:pPr>
        <w:spacing w:after="0" w:line="240" w:lineRule="auto"/>
        <w:jc w:val="both"/>
        <w:rPr>
          <w:rFonts w:ascii="Times New Roman" w:hAnsi="Times New Roman" w:cs="Times New Roman"/>
          <w:color w:val="FF0000"/>
          <w:lang w:val="es-MX"/>
        </w:rPr>
      </w:pPr>
    </w:p>
    <w:p w:rsidR="0053566F" w:rsidRPr="00494116" w:rsidRDefault="0053566F" w:rsidP="0053566F">
      <w:pPr>
        <w:pStyle w:val="Sinespaciado"/>
        <w:ind w:right="-188"/>
        <w:jc w:val="center"/>
        <w:rPr>
          <w:rFonts w:ascii="Times New Roman" w:hAnsi="Times New Roman" w:cs="Times New Roman"/>
          <w:b/>
        </w:rPr>
      </w:pPr>
      <w:r w:rsidRPr="00494116">
        <w:rPr>
          <w:rFonts w:ascii="Times New Roman" w:hAnsi="Times New Roman" w:cs="Times New Roman"/>
          <w:b/>
        </w:rPr>
        <w:t>Indicadores de Alertas Tempranas</w:t>
      </w:r>
    </w:p>
    <w:p w:rsidR="0053566F" w:rsidRPr="00494116" w:rsidRDefault="0053566F" w:rsidP="0053566F">
      <w:pPr>
        <w:pStyle w:val="Sinespaciado"/>
        <w:ind w:right="-188"/>
        <w:jc w:val="center"/>
        <w:rPr>
          <w:rFonts w:ascii="Times New Roman" w:hAnsi="Times New Roman" w:cs="Times New Roman"/>
          <w:sz w:val="18"/>
        </w:rPr>
      </w:pPr>
      <w:r w:rsidRPr="00494116">
        <w:rPr>
          <w:rFonts w:ascii="Times New Roman" w:hAnsi="Times New Roman" w:cs="Times New Roman"/>
          <w:sz w:val="18"/>
        </w:rPr>
        <w:t>Ciclo Económico Internacional</w:t>
      </w:r>
    </w:p>
    <w:p w:rsidR="0053566F" w:rsidRPr="00494116" w:rsidRDefault="00494116" w:rsidP="0053566F">
      <w:pPr>
        <w:pStyle w:val="Sinespaciado"/>
        <w:ind w:right="-188"/>
        <w:jc w:val="center"/>
        <w:rPr>
          <w:rFonts w:ascii="Times New Roman" w:hAnsi="Times New Roman" w:cs="Times New Roman"/>
          <w:sz w:val="18"/>
        </w:rPr>
      </w:pPr>
      <w:r w:rsidRPr="00494116">
        <w:rPr>
          <w:rFonts w:ascii="Times New Roman" w:hAnsi="Times New Roman" w:cs="Times New Roman"/>
          <w:sz w:val="18"/>
        </w:rPr>
        <w:t>Noviem</w:t>
      </w:r>
      <w:r w:rsidR="00163944" w:rsidRPr="00494116">
        <w:rPr>
          <w:rFonts w:ascii="Times New Roman" w:hAnsi="Times New Roman" w:cs="Times New Roman"/>
          <w:sz w:val="18"/>
        </w:rPr>
        <w:t>bre</w:t>
      </w:r>
      <w:r w:rsidR="00A92B4B" w:rsidRPr="00494116">
        <w:rPr>
          <w:rFonts w:ascii="Times New Roman" w:hAnsi="Times New Roman" w:cs="Times New Roman"/>
          <w:sz w:val="18"/>
        </w:rPr>
        <w:t xml:space="preserve"> 2018 - 2019</w:t>
      </w:r>
    </w:p>
    <w:p w:rsidR="0053566F" w:rsidRPr="003E25F8" w:rsidRDefault="0053566F" w:rsidP="0053566F">
      <w:pPr>
        <w:pStyle w:val="Sinespaciado"/>
        <w:ind w:right="-188"/>
        <w:jc w:val="both"/>
        <w:rPr>
          <w:rFonts w:ascii="Times New Roman" w:hAnsi="Times New Roman" w:cs="Times New Roman"/>
          <w:color w:val="FF0000"/>
        </w:rPr>
      </w:pPr>
      <w:r w:rsidRPr="003E25F8">
        <w:rPr>
          <w:rFonts w:ascii="Times New Roman" w:hAnsi="Times New Roman" w:cs="Times New Roman"/>
          <w:noProof/>
          <w:color w:val="FF0000"/>
          <w:lang w:eastAsia="es-GT"/>
        </w:rPr>
        <w:drawing>
          <wp:inline distT="0" distB="0" distL="0" distR="0" wp14:anchorId="6750007A" wp14:editId="032F2B74">
            <wp:extent cx="2670175" cy="192055"/>
            <wp:effectExtent l="0" t="0" r="0" b="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1022" cy="196431"/>
                    </a:xfrm>
                    <a:prstGeom prst="rect">
                      <a:avLst/>
                    </a:prstGeom>
                    <a:noFill/>
                    <a:ln>
                      <a:noFill/>
                    </a:ln>
                  </pic:spPr>
                </pic:pic>
              </a:graphicData>
            </a:graphic>
          </wp:inline>
        </w:drawing>
      </w:r>
    </w:p>
    <w:p w:rsidR="0053566F" w:rsidRPr="00596662" w:rsidRDefault="00596662" w:rsidP="0053566F">
      <w:pPr>
        <w:pStyle w:val="Sinespaciado"/>
        <w:ind w:right="-188"/>
        <w:jc w:val="center"/>
        <w:rPr>
          <w:rFonts w:ascii="Times New Roman" w:hAnsi="Times New Roman" w:cs="Times New Roman"/>
          <w:b/>
        </w:rPr>
      </w:pPr>
      <w:r w:rsidRPr="00596662">
        <w:rPr>
          <w:rFonts w:ascii="Times New Roman" w:hAnsi="Times New Roman" w:cs="Times New Roman"/>
          <w:b/>
          <w:sz w:val="20"/>
        </w:rPr>
        <w:t>Noviem</w:t>
      </w:r>
      <w:r w:rsidR="00163944" w:rsidRPr="00596662">
        <w:rPr>
          <w:rFonts w:ascii="Times New Roman" w:hAnsi="Times New Roman" w:cs="Times New Roman"/>
          <w:b/>
          <w:sz w:val="20"/>
        </w:rPr>
        <w:t>bre</w:t>
      </w:r>
      <w:r w:rsidR="00A92B4B" w:rsidRPr="00596662">
        <w:rPr>
          <w:rFonts w:ascii="Times New Roman" w:hAnsi="Times New Roman" w:cs="Times New Roman"/>
          <w:b/>
          <w:sz w:val="20"/>
        </w:rPr>
        <w:t xml:space="preserve"> 2018</w:t>
      </w:r>
    </w:p>
    <w:p w:rsidR="0053566F" w:rsidRPr="003E25F8" w:rsidRDefault="00596662" w:rsidP="0053566F">
      <w:pPr>
        <w:pStyle w:val="Sinespaciado"/>
        <w:ind w:right="-188"/>
        <w:jc w:val="both"/>
        <w:rPr>
          <w:rFonts w:ascii="Times New Roman" w:hAnsi="Times New Roman" w:cs="Times New Roman"/>
          <w:color w:val="FF0000"/>
        </w:rPr>
      </w:pPr>
      <w:r w:rsidRPr="00596662">
        <w:rPr>
          <w:noProof/>
          <w:lang w:eastAsia="es-GT"/>
        </w:rPr>
        <w:drawing>
          <wp:inline distT="0" distB="0" distL="0" distR="0">
            <wp:extent cx="2670175" cy="1066077"/>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0175" cy="1066077"/>
                    </a:xfrm>
                    <a:prstGeom prst="rect">
                      <a:avLst/>
                    </a:prstGeom>
                    <a:noFill/>
                    <a:ln>
                      <a:noFill/>
                    </a:ln>
                  </pic:spPr>
                </pic:pic>
              </a:graphicData>
            </a:graphic>
          </wp:inline>
        </w:drawing>
      </w:r>
    </w:p>
    <w:p w:rsidR="0053566F" w:rsidRPr="00494116" w:rsidRDefault="00494116" w:rsidP="0053566F">
      <w:pPr>
        <w:pStyle w:val="Sinespaciado"/>
        <w:ind w:right="-188"/>
        <w:jc w:val="center"/>
        <w:rPr>
          <w:rFonts w:ascii="Times New Roman" w:hAnsi="Times New Roman" w:cs="Times New Roman"/>
          <w:b/>
          <w:sz w:val="20"/>
        </w:rPr>
      </w:pPr>
      <w:r w:rsidRPr="00494116">
        <w:rPr>
          <w:rFonts w:ascii="Times New Roman" w:hAnsi="Times New Roman" w:cs="Times New Roman"/>
          <w:b/>
          <w:sz w:val="20"/>
        </w:rPr>
        <w:t>Noviem</w:t>
      </w:r>
      <w:r w:rsidR="00163944" w:rsidRPr="00494116">
        <w:rPr>
          <w:rFonts w:ascii="Times New Roman" w:hAnsi="Times New Roman" w:cs="Times New Roman"/>
          <w:b/>
          <w:sz w:val="20"/>
        </w:rPr>
        <w:t>bre</w:t>
      </w:r>
      <w:r w:rsidR="00A92B4B" w:rsidRPr="00494116">
        <w:rPr>
          <w:rFonts w:ascii="Times New Roman" w:hAnsi="Times New Roman" w:cs="Times New Roman"/>
          <w:b/>
          <w:sz w:val="20"/>
        </w:rPr>
        <w:t xml:space="preserve"> 2019</w:t>
      </w:r>
      <w:r w:rsidR="0053566F" w:rsidRPr="00494116">
        <w:rPr>
          <w:rFonts w:ascii="Times New Roman" w:hAnsi="Times New Roman" w:cs="Times New Roman"/>
          <w:b/>
          <w:sz w:val="20"/>
        </w:rPr>
        <w:t>*</w:t>
      </w:r>
    </w:p>
    <w:p w:rsidR="0053566F" w:rsidRPr="003E25F8" w:rsidRDefault="00494116" w:rsidP="0053566F">
      <w:pPr>
        <w:pStyle w:val="Sinespaciado"/>
        <w:ind w:right="-188"/>
        <w:jc w:val="both"/>
        <w:rPr>
          <w:rFonts w:ascii="Times New Roman" w:hAnsi="Times New Roman" w:cs="Times New Roman"/>
          <w:color w:val="FF0000"/>
        </w:rPr>
      </w:pPr>
      <w:r w:rsidRPr="00494116">
        <w:rPr>
          <w:noProof/>
          <w:lang w:eastAsia="es-GT"/>
        </w:rPr>
        <w:drawing>
          <wp:inline distT="0" distB="0" distL="0" distR="0">
            <wp:extent cx="2670175" cy="1066077"/>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0175" cy="1066077"/>
                    </a:xfrm>
                    <a:prstGeom prst="rect">
                      <a:avLst/>
                    </a:prstGeom>
                    <a:noFill/>
                    <a:ln>
                      <a:noFill/>
                    </a:ln>
                  </pic:spPr>
                </pic:pic>
              </a:graphicData>
            </a:graphic>
          </wp:inline>
        </w:drawing>
      </w:r>
    </w:p>
    <w:p w:rsidR="0053566F" w:rsidRPr="00494116" w:rsidRDefault="0053566F" w:rsidP="0053566F">
      <w:pPr>
        <w:pStyle w:val="Sinespaciado"/>
        <w:ind w:right="-188"/>
        <w:jc w:val="both"/>
        <w:rPr>
          <w:rFonts w:ascii="Times New Roman" w:hAnsi="Times New Roman" w:cs="Times New Roman"/>
          <w:sz w:val="16"/>
        </w:rPr>
      </w:pPr>
      <w:r w:rsidRPr="00494116">
        <w:rPr>
          <w:rFonts w:ascii="Times New Roman" w:hAnsi="Times New Roman" w:cs="Times New Roman"/>
          <w:sz w:val="16"/>
        </w:rPr>
        <w:t>Fuente: DAPF /Ministerio de Finanzas Públicas.</w:t>
      </w:r>
    </w:p>
    <w:p w:rsidR="0053566F" w:rsidRPr="00494116" w:rsidRDefault="0053566F" w:rsidP="0053566F">
      <w:pPr>
        <w:pStyle w:val="Sinespaciado"/>
        <w:ind w:right="-188"/>
        <w:jc w:val="both"/>
        <w:rPr>
          <w:rFonts w:ascii="Times New Roman" w:hAnsi="Times New Roman" w:cs="Times New Roman"/>
          <w:sz w:val="16"/>
        </w:rPr>
      </w:pPr>
      <w:r w:rsidRPr="00494116">
        <w:rPr>
          <w:rFonts w:ascii="Times New Roman" w:hAnsi="Times New Roman" w:cs="Times New Roman"/>
          <w:sz w:val="16"/>
        </w:rPr>
        <w:t>*Estimado.</w:t>
      </w:r>
    </w:p>
    <w:p w:rsidR="002F14AA" w:rsidRPr="003E25F8" w:rsidRDefault="002F14AA" w:rsidP="00D61F8E">
      <w:pPr>
        <w:pStyle w:val="Sinespaciado"/>
        <w:jc w:val="both"/>
        <w:rPr>
          <w:rFonts w:ascii="Times New Roman" w:eastAsia="Times New Roman" w:hAnsi="Times New Roman" w:cs="Times New Roman"/>
          <w:color w:val="FF0000"/>
          <w:sz w:val="18"/>
          <w:lang w:val="es-MX"/>
        </w:rPr>
      </w:pPr>
    </w:p>
    <w:p w:rsidR="009F15B9" w:rsidRPr="003E25F8" w:rsidRDefault="003804E5" w:rsidP="00D61F8E">
      <w:pPr>
        <w:pStyle w:val="Sinespaciado"/>
        <w:jc w:val="both"/>
        <w:rPr>
          <w:rFonts w:ascii="Times New Roman" w:eastAsia="Times New Roman" w:hAnsi="Times New Roman" w:cs="Times New Roman"/>
          <w:color w:val="FF0000"/>
          <w:lang w:val="es-MX"/>
        </w:rPr>
      </w:pPr>
      <w:r w:rsidRPr="00806D75">
        <w:rPr>
          <w:rFonts w:ascii="Times New Roman" w:eastAsia="Times New Roman" w:hAnsi="Times New Roman" w:cs="Times New Roman"/>
          <w:lang w:val="es-MX"/>
        </w:rPr>
        <w:t xml:space="preserve">En el entorno interno, </w:t>
      </w:r>
      <w:r w:rsidR="00107309" w:rsidRPr="00806D75">
        <w:rPr>
          <w:rFonts w:ascii="Times New Roman" w:eastAsia="Times New Roman" w:hAnsi="Times New Roman" w:cs="Times New Roman"/>
          <w:lang w:val="es-MX"/>
        </w:rPr>
        <w:t>la percepción sobre la situación económica actual y el ambiente para los negocios aumentó, el nivel del Índice de Confianza de la Ac</w:t>
      </w:r>
      <w:r w:rsidR="009D38BF" w:rsidRPr="00806D75">
        <w:rPr>
          <w:rFonts w:ascii="Times New Roman" w:eastAsia="Times New Roman" w:hAnsi="Times New Roman" w:cs="Times New Roman"/>
          <w:lang w:val="es-MX"/>
        </w:rPr>
        <w:t xml:space="preserve">tividad </w:t>
      </w:r>
      <w:r w:rsidR="00806D75" w:rsidRPr="00806D75">
        <w:rPr>
          <w:rFonts w:ascii="Times New Roman" w:eastAsia="Times New Roman" w:hAnsi="Times New Roman" w:cs="Times New Roman"/>
          <w:lang w:val="es-MX"/>
        </w:rPr>
        <w:t>Económica se situó en 58.16 puntos, superior en 9.9</w:t>
      </w:r>
      <w:r w:rsidR="00A67992" w:rsidRPr="00806D75">
        <w:rPr>
          <w:rFonts w:ascii="Times New Roman" w:eastAsia="Times New Roman" w:hAnsi="Times New Roman" w:cs="Times New Roman"/>
          <w:lang w:val="es-MX"/>
        </w:rPr>
        <w:t>0</w:t>
      </w:r>
      <w:r w:rsidR="00107309" w:rsidRPr="00806D75">
        <w:rPr>
          <w:rFonts w:ascii="Times New Roman" w:eastAsia="Times New Roman" w:hAnsi="Times New Roman" w:cs="Times New Roman"/>
          <w:lang w:val="es-MX"/>
        </w:rPr>
        <w:t xml:space="preserve">% con respecto al registrado el mes </w:t>
      </w:r>
      <w:r w:rsidR="009D38BF" w:rsidRPr="00806D75">
        <w:rPr>
          <w:rFonts w:ascii="Times New Roman" w:eastAsia="Times New Roman" w:hAnsi="Times New Roman" w:cs="Times New Roman"/>
          <w:lang w:val="es-MX"/>
        </w:rPr>
        <w:t xml:space="preserve">anterior y también </w:t>
      </w:r>
      <w:r w:rsidR="00A67992" w:rsidRPr="00806D75">
        <w:rPr>
          <w:rFonts w:ascii="Times New Roman" w:eastAsia="Times New Roman" w:hAnsi="Times New Roman" w:cs="Times New Roman"/>
          <w:lang w:val="es-MX"/>
        </w:rPr>
        <w:t>superior en</w:t>
      </w:r>
      <w:r w:rsidR="00806D75" w:rsidRPr="00806D75">
        <w:rPr>
          <w:rFonts w:ascii="Times New Roman" w:eastAsia="Times New Roman" w:hAnsi="Times New Roman" w:cs="Times New Roman"/>
          <w:lang w:val="es-MX"/>
        </w:rPr>
        <w:t xml:space="preserve"> 28.4</w:t>
      </w:r>
      <w:r w:rsidR="00A67992" w:rsidRPr="00806D75">
        <w:rPr>
          <w:rFonts w:ascii="Times New Roman" w:eastAsia="Times New Roman" w:hAnsi="Times New Roman" w:cs="Times New Roman"/>
          <w:lang w:val="es-MX"/>
        </w:rPr>
        <w:t>7</w:t>
      </w:r>
      <w:r w:rsidR="00107309" w:rsidRPr="00806D75">
        <w:rPr>
          <w:rFonts w:ascii="Times New Roman" w:eastAsia="Times New Roman" w:hAnsi="Times New Roman" w:cs="Times New Roman"/>
          <w:lang w:val="es-MX"/>
        </w:rPr>
        <w:t>%</w:t>
      </w:r>
      <w:r w:rsidR="005016F7" w:rsidRPr="00806D75">
        <w:rPr>
          <w:rFonts w:ascii="Times New Roman" w:eastAsia="Times New Roman" w:hAnsi="Times New Roman" w:cs="Times New Roman"/>
          <w:lang w:val="es-MX"/>
        </w:rPr>
        <w:t xml:space="preserve"> </w:t>
      </w:r>
      <w:r w:rsidR="009D38BF" w:rsidRPr="00806D75">
        <w:rPr>
          <w:rFonts w:ascii="Times New Roman" w:eastAsia="Times New Roman" w:hAnsi="Times New Roman" w:cs="Times New Roman"/>
          <w:lang w:val="es-MX"/>
        </w:rPr>
        <w:t xml:space="preserve">respecto al registrado en </w:t>
      </w:r>
      <w:r w:rsidR="00806D75" w:rsidRPr="00806D75">
        <w:rPr>
          <w:rFonts w:ascii="Times New Roman" w:eastAsia="Times New Roman" w:hAnsi="Times New Roman" w:cs="Times New Roman"/>
          <w:lang w:val="es-MX"/>
        </w:rPr>
        <w:t>octu</w:t>
      </w:r>
      <w:r w:rsidR="009D38BF" w:rsidRPr="00806D75">
        <w:rPr>
          <w:rFonts w:ascii="Times New Roman" w:eastAsia="Times New Roman" w:hAnsi="Times New Roman" w:cs="Times New Roman"/>
          <w:lang w:val="es-MX"/>
        </w:rPr>
        <w:t>bre</w:t>
      </w:r>
      <w:r w:rsidR="00107309" w:rsidRPr="00806D75">
        <w:rPr>
          <w:rFonts w:ascii="Times New Roman" w:eastAsia="Times New Roman" w:hAnsi="Times New Roman" w:cs="Times New Roman"/>
          <w:lang w:val="es-MX"/>
        </w:rPr>
        <w:t xml:space="preserve"> 2018.   Así mismo, se es</w:t>
      </w:r>
      <w:r w:rsidR="005016F7" w:rsidRPr="00806D75">
        <w:rPr>
          <w:rFonts w:ascii="Times New Roman" w:eastAsia="Times New Roman" w:hAnsi="Times New Roman" w:cs="Times New Roman"/>
          <w:lang w:val="es-MX"/>
        </w:rPr>
        <w:t>pe</w:t>
      </w:r>
      <w:r w:rsidR="00A67992" w:rsidRPr="00806D75">
        <w:rPr>
          <w:rFonts w:ascii="Times New Roman" w:eastAsia="Times New Roman" w:hAnsi="Times New Roman" w:cs="Times New Roman"/>
          <w:lang w:val="es-MX"/>
        </w:rPr>
        <w:t>r</w:t>
      </w:r>
      <w:r w:rsidR="00806D75" w:rsidRPr="00806D75">
        <w:rPr>
          <w:rFonts w:ascii="Times New Roman" w:eastAsia="Times New Roman" w:hAnsi="Times New Roman" w:cs="Times New Roman"/>
          <w:lang w:val="es-MX"/>
        </w:rPr>
        <w:t>a un ritmo inflacionario de 3.34</w:t>
      </w:r>
      <w:r w:rsidR="005016F7" w:rsidRPr="00806D75">
        <w:rPr>
          <w:rFonts w:ascii="Times New Roman" w:eastAsia="Times New Roman" w:hAnsi="Times New Roman" w:cs="Times New Roman"/>
          <w:lang w:val="es-MX"/>
        </w:rPr>
        <w:t xml:space="preserve">% para </w:t>
      </w:r>
      <w:r w:rsidR="00806D75" w:rsidRPr="00806D75">
        <w:rPr>
          <w:rFonts w:ascii="Times New Roman" w:eastAsia="Times New Roman" w:hAnsi="Times New Roman" w:cs="Times New Roman"/>
          <w:lang w:val="es-MX"/>
        </w:rPr>
        <w:t>noviem</w:t>
      </w:r>
      <w:r w:rsidR="00A67992" w:rsidRPr="00806D75">
        <w:rPr>
          <w:rFonts w:ascii="Times New Roman" w:eastAsia="Times New Roman" w:hAnsi="Times New Roman" w:cs="Times New Roman"/>
          <w:lang w:val="es-MX"/>
        </w:rPr>
        <w:t>bre</w:t>
      </w:r>
      <w:r w:rsidR="00806D75" w:rsidRPr="00806D75">
        <w:rPr>
          <w:rFonts w:ascii="Times New Roman" w:eastAsia="Times New Roman" w:hAnsi="Times New Roman" w:cs="Times New Roman"/>
          <w:lang w:val="es-MX"/>
        </w:rPr>
        <w:t xml:space="preserve"> y 3.5</w:t>
      </w:r>
      <w:r w:rsidR="00A67992" w:rsidRPr="00806D75">
        <w:rPr>
          <w:rFonts w:ascii="Times New Roman" w:eastAsia="Times New Roman" w:hAnsi="Times New Roman" w:cs="Times New Roman"/>
          <w:lang w:val="es-MX"/>
        </w:rPr>
        <w:t>4</w:t>
      </w:r>
      <w:r w:rsidR="00107309" w:rsidRPr="00806D75">
        <w:rPr>
          <w:rFonts w:ascii="Times New Roman" w:eastAsia="Times New Roman" w:hAnsi="Times New Roman" w:cs="Times New Roman"/>
          <w:lang w:val="es-MX"/>
        </w:rPr>
        <w:t xml:space="preserve">% para </w:t>
      </w:r>
      <w:r w:rsidR="00A67992" w:rsidRPr="00806D75">
        <w:rPr>
          <w:rFonts w:ascii="Times New Roman" w:eastAsia="Times New Roman" w:hAnsi="Times New Roman" w:cs="Times New Roman"/>
          <w:lang w:val="es-MX"/>
        </w:rPr>
        <w:t>diciem</w:t>
      </w:r>
      <w:r w:rsidR="00107309" w:rsidRPr="00806D75">
        <w:rPr>
          <w:rFonts w:ascii="Times New Roman" w:eastAsia="Times New Roman" w:hAnsi="Times New Roman" w:cs="Times New Roman"/>
          <w:lang w:val="es-MX"/>
        </w:rPr>
        <w:t xml:space="preserve">bre 2019; en un horizonte de 12 y 24 </w:t>
      </w:r>
      <w:r w:rsidR="00107309" w:rsidRPr="00806D75">
        <w:rPr>
          <w:rFonts w:ascii="Times New Roman" w:eastAsia="Times New Roman" w:hAnsi="Times New Roman" w:cs="Times New Roman"/>
          <w:lang w:val="es-MX"/>
        </w:rPr>
        <w:lastRenderedPageBreak/>
        <w:t xml:space="preserve">meses se </w:t>
      </w:r>
      <w:r w:rsidR="00806D75" w:rsidRPr="00806D75">
        <w:rPr>
          <w:rFonts w:ascii="Times New Roman" w:eastAsia="Times New Roman" w:hAnsi="Times New Roman" w:cs="Times New Roman"/>
          <w:lang w:val="es-MX"/>
        </w:rPr>
        <w:t>esperaría un ritmo de 3.98% y 4.27</w:t>
      </w:r>
      <w:r w:rsidR="00107309" w:rsidRPr="00806D75">
        <w:rPr>
          <w:rFonts w:ascii="Times New Roman" w:eastAsia="Times New Roman" w:hAnsi="Times New Roman" w:cs="Times New Roman"/>
          <w:lang w:val="es-MX"/>
        </w:rPr>
        <w:t xml:space="preserve">% respectivamente.  </w:t>
      </w:r>
    </w:p>
    <w:p w:rsidR="009F15B9" w:rsidRPr="003E25F8" w:rsidRDefault="009F15B9" w:rsidP="00D61F8E">
      <w:pPr>
        <w:pStyle w:val="Sinespaciado"/>
        <w:jc w:val="both"/>
        <w:rPr>
          <w:rFonts w:ascii="Times New Roman" w:eastAsia="Times New Roman" w:hAnsi="Times New Roman" w:cs="Times New Roman"/>
          <w:color w:val="FF0000"/>
          <w:lang w:val="es-MX"/>
        </w:rPr>
      </w:pPr>
    </w:p>
    <w:p w:rsidR="003804E5" w:rsidRPr="003E25F8" w:rsidRDefault="000B0279" w:rsidP="00D61F8E">
      <w:pPr>
        <w:pStyle w:val="Sinespaciado"/>
        <w:jc w:val="both"/>
        <w:rPr>
          <w:rFonts w:ascii="Times New Roman" w:eastAsia="Times New Roman" w:hAnsi="Times New Roman" w:cs="Times New Roman"/>
          <w:color w:val="FF0000"/>
          <w:lang w:val="es-MX"/>
        </w:rPr>
      </w:pPr>
      <w:r>
        <w:rPr>
          <w:rFonts w:ascii="Times New Roman" w:hAnsi="Times New Roman" w:cs="Times New Roman"/>
          <w:lang w:val="es-MX"/>
        </w:rPr>
        <w:t>L</w:t>
      </w:r>
      <w:r w:rsidRPr="00F508F0">
        <w:rPr>
          <w:rFonts w:ascii="Times New Roman" w:hAnsi="Times New Roman" w:cs="Times New Roman"/>
          <w:lang w:val="es-MX"/>
        </w:rPr>
        <w:t xml:space="preserve">a Junta Monetaria decidió mantener en 2.75% la tasa de interés líder de política monetaria, en base a que las proyecciones de crecimiento económico a nivel mundial, tanto para el presente año como para el siguiente, </w:t>
      </w:r>
      <w:r>
        <w:rPr>
          <w:rFonts w:ascii="Times New Roman" w:hAnsi="Times New Roman" w:cs="Times New Roman"/>
          <w:lang w:val="es-MX"/>
        </w:rPr>
        <w:t xml:space="preserve">aunque se han moderado, </w:t>
      </w:r>
      <w:r w:rsidRPr="00F508F0">
        <w:rPr>
          <w:rFonts w:ascii="Times New Roman" w:hAnsi="Times New Roman" w:cs="Times New Roman"/>
          <w:lang w:val="es-MX"/>
        </w:rPr>
        <w:t xml:space="preserve">continúan siendo </w:t>
      </w:r>
      <w:r>
        <w:rPr>
          <w:rFonts w:ascii="Times New Roman" w:hAnsi="Times New Roman" w:cs="Times New Roman"/>
          <w:lang w:val="es-MX"/>
        </w:rPr>
        <w:t>favorables</w:t>
      </w:r>
      <w:r w:rsidRPr="00F508F0">
        <w:rPr>
          <w:rFonts w:ascii="Times New Roman" w:hAnsi="Times New Roman" w:cs="Times New Roman"/>
          <w:lang w:val="es-MX"/>
        </w:rPr>
        <w:t>. Así mismo, en el análisis interno la junta resaltó que el comportamiento de algunos indicadores de corto plazo, tales como el IMAE, las remesas familiares, la ejecución del gasto público y el crédito bancario al sector privado, siguen mostrando un comportamiento congruente con el rango de crecimiento económico estimado para este año de entre 3.0% y 3.8%.  Así mismo, reiteró que los pronósticos y las expectativas de inflación permiten prever que ésta se ubicaría dentro de la meta (4.0% +/- 1 punto</w:t>
      </w:r>
      <w:r>
        <w:rPr>
          <w:rFonts w:ascii="Times New Roman" w:hAnsi="Times New Roman" w:cs="Times New Roman"/>
          <w:lang w:val="es-MX"/>
        </w:rPr>
        <w:t xml:space="preserve"> porcentual) en 2019 y en 2020.</w:t>
      </w:r>
    </w:p>
    <w:p w:rsidR="00492967" w:rsidRPr="003E25F8" w:rsidRDefault="00492967" w:rsidP="00D61F8E">
      <w:pPr>
        <w:pStyle w:val="Sinespaciado"/>
        <w:jc w:val="both"/>
        <w:rPr>
          <w:rFonts w:ascii="Times New Roman" w:hAnsi="Times New Roman" w:cs="Times New Roman"/>
          <w:color w:val="FF0000"/>
          <w:lang w:val="es-MX"/>
        </w:rPr>
      </w:pPr>
    </w:p>
    <w:p w:rsidR="002C0021" w:rsidRPr="0051308A" w:rsidRDefault="002C0021" w:rsidP="00D61F8E">
      <w:pPr>
        <w:pStyle w:val="Sinespaciado"/>
        <w:jc w:val="both"/>
        <w:rPr>
          <w:rFonts w:ascii="Times New Roman" w:hAnsi="Times New Roman" w:cs="Times New Roman"/>
        </w:rPr>
      </w:pPr>
      <w:r w:rsidRPr="0051308A">
        <w:rPr>
          <w:rFonts w:ascii="Times New Roman" w:hAnsi="Times New Roman" w:cs="Times New Roman"/>
        </w:rPr>
        <w:t>El comportamiento de los principales indicadores del ciclo económico analizados en el modelo</w:t>
      </w:r>
      <w:r w:rsidR="00F541D1" w:rsidRPr="0051308A">
        <w:rPr>
          <w:rFonts w:ascii="Times New Roman" w:hAnsi="Times New Roman" w:cs="Times New Roman"/>
        </w:rPr>
        <w:t xml:space="preserve"> de alertas tempranas en </w:t>
      </w:r>
      <w:r w:rsidR="00806D75" w:rsidRPr="0051308A">
        <w:rPr>
          <w:rFonts w:ascii="Times New Roman" w:hAnsi="Times New Roman" w:cs="Times New Roman"/>
        </w:rPr>
        <w:t>noviem</w:t>
      </w:r>
      <w:r w:rsidR="009F15B9" w:rsidRPr="0051308A">
        <w:rPr>
          <w:rFonts w:ascii="Times New Roman" w:hAnsi="Times New Roman" w:cs="Times New Roman"/>
        </w:rPr>
        <w:t>bre</w:t>
      </w:r>
      <w:r w:rsidR="005B44D1" w:rsidRPr="0051308A">
        <w:rPr>
          <w:rFonts w:ascii="Times New Roman" w:hAnsi="Times New Roman" w:cs="Times New Roman"/>
        </w:rPr>
        <w:t xml:space="preserve"> 2019</w:t>
      </w:r>
      <w:r w:rsidRPr="0051308A">
        <w:rPr>
          <w:rFonts w:ascii="Times New Roman" w:hAnsi="Times New Roman" w:cs="Times New Roman"/>
        </w:rPr>
        <w:t xml:space="preserve"> </w:t>
      </w:r>
      <w:r w:rsidR="00AD3FF3" w:rsidRPr="0051308A">
        <w:rPr>
          <w:rFonts w:ascii="Times New Roman" w:hAnsi="Times New Roman" w:cs="Times New Roman"/>
        </w:rPr>
        <w:t xml:space="preserve">es más favorable que el escenario del año </w:t>
      </w:r>
      <w:r w:rsidR="00AD3FF3" w:rsidRPr="0051308A">
        <w:rPr>
          <w:rFonts w:ascii="Times New Roman" w:hAnsi="Times New Roman" w:cs="Times New Roman"/>
        </w:rPr>
        <w:lastRenderedPageBreak/>
        <w:t>anterior</w:t>
      </w:r>
      <w:r w:rsidR="003523F0" w:rsidRPr="0051308A">
        <w:rPr>
          <w:rFonts w:ascii="Times New Roman" w:hAnsi="Times New Roman" w:cs="Times New Roman"/>
        </w:rPr>
        <w:t xml:space="preserve">.  A pesar de ello, los ingresos </w:t>
      </w:r>
      <w:r w:rsidR="004E23E4" w:rsidRPr="0051308A">
        <w:rPr>
          <w:rFonts w:ascii="Times New Roman" w:hAnsi="Times New Roman" w:cs="Times New Roman"/>
        </w:rPr>
        <w:t>del Fisco se</w:t>
      </w:r>
      <w:r w:rsidR="00AD3FF3" w:rsidRPr="0051308A">
        <w:rPr>
          <w:rFonts w:ascii="Times New Roman" w:hAnsi="Times New Roman" w:cs="Times New Roman"/>
        </w:rPr>
        <w:t xml:space="preserve"> </w:t>
      </w:r>
      <w:r w:rsidR="004E23E4" w:rsidRPr="0051308A">
        <w:rPr>
          <w:rFonts w:ascii="Times New Roman" w:hAnsi="Times New Roman" w:cs="Times New Roman"/>
        </w:rPr>
        <w:t>encuentran en desaceleración</w:t>
      </w:r>
      <w:r w:rsidR="005B44D1" w:rsidRPr="0051308A">
        <w:rPr>
          <w:rFonts w:ascii="Times New Roman" w:hAnsi="Times New Roman" w:cs="Times New Roman"/>
        </w:rPr>
        <w:t>,</w:t>
      </w:r>
      <w:r w:rsidRPr="0051308A">
        <w:rPr>
          <w:rFonts w:ascii="Times New Roman" w:hAnsi="Times New Roman" w:cs="Times New Roman"/>
        </w:rPr>
        <w:t xml:space="preserve"> es decir, el crecimiento promedio anual </w:t>
      </w:r>
      <w:r w:rsidR="005B44D1" w:rsidRPr="0051308A">
        <w:rPr>
          <w:rFonts w:ascii="Times New Roman" w:hAnsi="Times New Roman" w:cs="Times New Roman"/>
        </w:rPr>
        <w:t>en el 2019</w:t>
      </w:r>
      <w:r w:rsidRPr="0051308A">
        <w:rPr>
          <w:rFonts w:ascii="Times New Roman" w:hAnsi="Times New Roman" w:cs="Times New Roman"/>
        </w:rPr>
        <w:t>, es menor que el del año anterior.</w:t>
      </w:r>
    </w:p>
    <w:p w:rsidR="00512601" w:rsidRPr="003E25F8" w:rsidRDefault="00A45BC8" w:rsidP="002C0021">
      <w:pPr>
        <w:pStyle w:val="Sinespaciado"/>
        <w:jc w:val="both"/>
        <w:rPr>
          <w:rFonts w:ascii="Times New Roman" w:hAnsi="Times New Roman" w:cs="Times New Roman"/>
          <w:color w:val="FF0000"/>
        </w:rPr>
      </w:pPr>
      <w:r w:rsidRPr="003E25F8">
        <w:rPr>
          <w:rFonts w:ascii="Times New Roman" w:hAnsi="Times New Roman" w:cs="Times New Roman"/>
          <w:color w:val="FF0000"/>
        </w:rPr>
        <w:t xml:space="preserve"> </w:t>
      </w:r>
    </w:p>
    <w:p w:rsidR="00D61F8E" w:rsidRPr="00494116" w:rsidRDefault="00D61F8E" w:rsidP="00D61F8E">
      <w:pPr>
        <w:pStyle w:val="Sinespaciado"/>
        <w:ind w:right="-188"/>
        <w:jc w:val="center"/>
        <w:rPr>
          <w:rFonts w:ascii="Times New Roman" w:hAnsi="Times New Roman" w:cs="Times New Roman"/>
          <w:b/>
          <w:sz w:val="24"/>
        </w:rPr>
      </w:pPr>
      <w:r w:rsidRPr="00494116">
        <w:rPr>
          <w:rFonts w:ascii="Times New Roman" w:hAnsi="Times New Roman" w:cs="Times New Roman"/>
          <w:b/>
          <w:sz w:val="24"/>
        </w:rPr>
        <w:t>Indicadores de Alertas Tempranas</w:t>
      </w:r>
    </w:p>
    <w:p w:rsidR="00D61F8E" w:rsidRPr="00494116" w:rsidRDefault="00D61F8E" w:rsidP="00D61F8E">
      <w:pPr>
        <w:pStyle w:val="Sinespaciado"/>
        <w:ind w:right="-188"/>
        <w:jc w:val="center"/>
        <w:rPr>
          <w:rFonts w:ascii="Times New Roman" w:hAnsi="Times New Roman" w:cs="Times New Roman"/>
          <w:sz w:val="18"/>
        </w:rPr>
      </w:pPr>
      <w:r w:rsidRPr="00494116">
        <w:rPr>
          <w:rFonts w:ascii="Times New Roman" w:hAnsi="Times New Roman" w:cs="Times New Roman"/>
          <w:sz w:val="18"/>
        </w:rPr>
        <w:t>Ciclo Económico Nacional</w:t>
      </w:r>
    </w:p>
    <w:p w:rsidR="00A92B4B" w:rsidRPr="00494116" w:rsidRDefault="00494116" w:rsidP="00A92B4B">
      <w:pPr>
        <w:pStyle w:val="Sinespaciado"/>
        <w:ind w:right="-188"/>
        <w:jc w:val="center"/>
        <w:rPr>
          <w:rFonts w:ascii="Times New Roman" w:hAnsi="Times New Roman" w:cs="Times New Roman"/>
          <w:sz w:val="18"/>
        </w:rPr>
      </w:pPr>
      <w:r w:rsidRPr="00494116">
        <w:rPr>
          <w:rFonts w:ascii="Times New Roman" w:hAnsi="Times New Roman" w:cs="Times New Roman"/>
          <w:sz w:val="18"/>
        </w:rPr>
        <w:t>Noviem</w:t>
      </w:r>
      <w:r w:rsidR="00163944" w:rsidRPr="00494116">
        <w:rPr>
          <w:rFonts w:ascii="Times New Roman" w:hAnsi="Times New Roman" w:cs="Times New Roman"/>
          <w:sz w:val="18"/>
        </w:rPr>
        <w:t>bre</w:t>
      </w:r>
      <w:r w:rsidR="00A92B4B" w:rsidRPr="00494116">
        <w:rPr>
          <w:rFonts w:ascii="Times New Roman" w:hAnsi="Times New Roman" w:cs="Times New Roman"/>
          <w:sz w:val="18"/>
        </w:rPr>
        <w:t xml:space="preserve"> 2018 - 2019</w:t>
      </w:r>
    </w:p>
    <w:p w:rsidR="00D61F8E" w:rsidRPr="003E25F8" w:rsidRDefault="00D61F8E" w:rsidP="00D61F8E">
      <w:pPr>
        <w:pStyle w:val="Sinespaciado"/>
        <w:ind w:right="-188"/>
        <w:jc w:val="both"/>
        <w:rPr>
          <w:rFonts w:ascii="Times New Roman" w:hAnsi="Times New Roman" w:cs="Times New Roman"/>
          <w:color w:val="FF0000"/>
        </w:rPr>
      </w:pPr>
      <w:r w:rsidRPr="003E25F8">
        <w:rPr>
          <w:rFonts w:ascii="Times New Roman" w:hAnsi="Times New Roman" w:cs="Times New Roman"/>
          <w:noProof/>
          <w:color w:val="FF0000"/>
          <w:lang w:eastAsia="es-GT"/>
        </w:rPr>
        <w:drawing>
          <wp:inline distT="0" distB="0" distL="0" distR="0" wp14:anchorId="5DEC15CB" wp14:editId="450CEFA7">
            <wp:extent cx="2670175" cy="192501"/>
            <wp:effectExtent l="0" t="0" r="0" b="0"/>
            <wp:docPr id="1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0451" cy="204056"/>
                    </a:xfrm>
                    <a:prstGeom prst="rect">
                      <a:avLst/>
                    </a:prstGeom>
                    <a:noFill/>
                    <a:ln>
                      <a:noFill/>
                    </a:ln>
                  </pic:spPr>
                </pic:pic>
              </a:graphicData>
            </a:graphic>
          </wp:inline>
        </w:drawing>
      </w:r>
    </w:p>
    <w:p w:rsidR="00D61F8E" w:rsidRPr="00596662" w:rsidRDefault="00596662" w:rsidP="00D61F8E">
      <w:pPr>
        <w:pStyle w:val="Sinespaciado"/>
        <w:ind w:right="-188"/>
        <w:jc w:val="center"/>
        <w:rPr>
          <w:rFonts w:ascii="Times New Roman" w:hAnsi="Times New Roman" w:cs="Times New Roman"/>
          <w:b/>
          <w:sz w:val="20"/>
        </w:rPr>
      </w:pPr>
      <w:r w:rsidRPr="00596662">
        <w:rPr>
          <w:rFonts w:ascii="Times New Roman" w:hAnsi="Times New Roman" w:cs="Times New Roman"/>
          <w:b/>
          <w:sz w:val="20"/>
        </w:rPr>
        <w:t>Noviem</w:t>
      </w:r>
      <w:r w:rsidR="00163944" w:rsidRPr="00596662">
        <w:rPr>
          <w:rFonts w:ascii="Times New Roman" w:hAnsi="Times New Roman" w:cs="Times New Roman"/>
          <w:b/>
          <w:sz w:val="20"/>
        </w:rPr>
        <w:t>bre</w:t>
      </w:r>
      <w:r w:rsidR="00A92B4B" w:rsidRPr="00596662">
        <w:rPr>
          <w:rFonts w:ascii="Times New Roman" w:hAnsi="Times New Roman" w:cs="Times New Roman"/>
          <w:b/>
          <w:sz w:val="20"/>
        </w:rPr>
        <w:t xml:space="preserve"> 2018</w:t>
      </w:r>
    </w:p>
    <w:p w:rsidR="00D61F8E" w:rsidRPr="003E25F8" w:rsidRDefault="00596662" w:rsidP="00D61F8E">
      <w:pPr>
        <w:pStyle w:val="Sinespaciado"/>
        <w:ind w:right="-188"/>
        <w:jc w:val="both"/>
        <w:rPr>
          <w:rFonts w:ascii="Times New Roman" w:hAnsi="Times New Roman" w:cs="Times New Roman"/>
          <w:color w:val="FF0000"/>
        </w:rPr>
      </w:pPr>
      <w:r w:rsidRPr="00596662">
        <w:rPr>
          <w:noProof/>
          <w:lang w:eastAsia="es-GT"/>
        </w:rPr>
        <w:drawing>
          <wp:inline distT="0" distB="0" distL="0" distR="0">
            <wp:extent cx="2670175" cy="1060144"/>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0175" cy="1060144"/>
                    </a:xfrm>
                    <a:prstGeom prst="rect">
                      <a:avLst/>
                    </a:prstGeom>
                    <a:noFill/>
                    <a:ln>
                      <a:noFill/>
                    </a:ln>
                  </pic:spPr>
                </pic:pic>
              </a:graphicData>
            </a:graphic>
          </wp:inline>
        </w:drawing>
      </w:r>
    </w:p>
    <w:p w:rsidR="00D61F8E" w:rsidRPr="00494116" w:rsidRDefault="00494116" w:rsidP="00263CC4">
      <w:pPr>
        <w:pStyle w:val="Sinespaciado"/>
        <w:ind w:right="-188"/>
        <w:jc w:val="center"/>
        <w:rPr>
          <w:rFonts w:ascii="Times New Roman" w:hAnsi="Times New Roman" w:cs="Times New Roman"/>
          <w:b/>
          <w:sz w:val="20"/>
        </w:rPr>
      </w:pPr>
      <w:r w:rsidRPr="00494116">
        <w:rPr>
          <w:rFonts w:ascii="Times New Roman" w:hAnsi="Times New Roman" w:cs="Times New Roman"/>
          <w:b/>
          <w:sz w:val="20"/>
        </w:rPr>
        <w:t>Noviem</w:t>
      </w:r>
      <w:r w:rsidR="00163944" w:rsidRPr="00494116">
        <w:rPr>
          <w:rFonts w:ascii="Times New Roman" w:hAnsi="Times New Roman" w:cs="Times New Roman"/>
          <w:b/>
          <w:sz w:val="20"/>
        </w:rPr>
        <w:t>bre</w:t>
      </w:r>
      <w:r w:rsidR="00A92B4B" w:rsidRPr="00494116">
        <w:rPr>
          <w:rFonts w:ascii="Times New Roman" w:hAnsi="Times New Roman" w:cs="Times New Roman"/>
          <w:b/>
          <w:sz w:val="20"/>
        </w:rPr>
        <w:t xml:space="preserve"> 2019</w:t>
      </w:r>
      <w:r w:rsidR="00D61F8E" w:rsidRPr="00494116">
        <w:rPr>
          <w:rFonts w:ascii="Times New Roman" w:hAnsi="Times New Roman" w:cs="Times New Roman"/>
          <w:b/>
          <w:sz w:val="20"/>
        </w:rPr>
        <w:t>*</w:t>
      </w:r>
    </w:p>
    <w:p w:rsidR="00D61F8E" w:rsidRPr="003E25F8" w:rsidRDefault="00494116" w:rsidP="00D61F8E">
      <w:pPr>
        <w:pStyle w:val="Sinespaciado"/>
        <w:ind w:right="-188"/>
        <w:jc w:val="both"/>
        <w:rPr>
          <w:rFonts w:ascii="Times New Roman" w:hAnsi="Times New Roman" w:cs="Times New Roman"/>
          <w:color w:val="FF0000"/>
        </w:rPr>
      </w:pPr>
      <w:r w:rsidRPr="00494116">
        <w:rPr>
          <w:noProof/>
          <w:lang w:eastAsia="es-GT"/>
        </w:rPr>
        <w:drawing>
          <wp:inline distT="0" distB="0" distL="0" distR="0">
            <wp:extent cx="2670175" cy="1060144"/>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0175" cy="1060144"/>
                    </a:xfrm>
                    <a:prstGeom prst="rect">
                      <a:avLst/>
                    </a:prstGeom>
                    <a:noFill/>
                    <a:ln>
                      <a:noFill/>
                    </a:ln>
                  </pic:spPr>
                </pic:pic>
              </a:graphicData>
            </a:graphic>
          </wp:inline>
        </w:drawing>
      </w:r>
    </w:p>
    <w:p w:rsidR="00D61F8E" w:rsidRPr="00494116" w:rsidRDefault="00D61F8E" w:rsidP="00D61F8E">
      <w:pPr>
        <w:pStyle w:val="Sinespaciado"/>
        <w:ind w:right="-188"/>
        <w:jc w:val="both"/>
        <w:rPr>
          <w:rFonts w:ascii="Times New Roman" w:hAnsi="Times New Roman" w:cs="Times New Roman"/>
          <w:sz w:val="16"/>
        </w:rPr>
      </w:pPr>
      <w:r w:rsidRPr="00494116">
        <w:rPr>
          <w:rFonts w:ascii="Times New Roman" w:hAnsi="Times New Roman" w:cs="Times New Roman"/>
          <w:sz w:val="16"/>
        </w:rPr>
        <w:t>Fuente: DAPF /Ministerio de Finanzas Públicas.</w:t>
      </w:r>
    </w:p>
    <w:p w:rsidR="00751CCA" w:rsidRPr="00494116" w:rsidRDefault="00975E49" w:rsidP="00975E49">
      <w:pPr>
        <w:pStyle w:val="Sinespaciado"/>
        <w:ind w:right="-188"/>
        <w:jc w:val="both"/>
        <w:rPr>
          <w:rFonts w:ascii="Times New Roman" w:hAnsi="Times New Roman" w:cs="Times New Roman"/>
          <w:sz w:val="16"/>
        </w:rPr>
      </w:pPr>
      <w:r w:rsidRPr="00494116">
        <w:rPr>
          <w:rFonts w:ascii="Times New Roman" w:hAnsi="Times New Roman" w:cs="Times New Roman"/>
          <w:sz w:val="16"/>
        </w:rPr>
        <w:t>*Estimado</w:t>
      </w:r>
    </w:p>
    <w:p w:rsidR="00F062BF" w:rsidRPr="003E25F8" w:rsidRDefault="00F062BF" w:rsidP="00975E49">
      <w:pPr>
        <w:pStyle w:val="Sinespaciado"/>
        <w:ind w:right="-188"/>
        <w:jc w:val="both"/>
        <w:rPr>
          <w:rFonts w:ascii="Times New Roman" w:hAnsi="Times New Roman" w:cs="Times New Roman"/>
          <w:color w:val="FF0000"/>
          <w:sz w:val="16"/>
        </w:rPr>
        <w:sectPr w:rsidR="00F062BF" w:rsidRPr="003E25F8" w:rsidSect="00040C99">
          <w:headerReference w:type="default" r:id="rId35"/>
          <w:footerReference w:type="default" r:id="rId36"/>
          <w:type w:val="continuous"/>
          <w:pgSz w:w="12240" w:h="15840" w:code="1"/>
          <w:pgMar w:top="1418" w:right="1467" w:bottom="1418" w:left="1560" w:header="709" w:footer="709" w:gutter="0"/>
          <w:cols w:num="2" w:space="802"/>
          <w:docGrid w:linePitch="360"/>
        </w:sectPr>
      </w:pPr>
    </w:p>
    <w:p w:rsidR="00F062BF" w:rsidRPr="003E25F8" w:rsidRDefault="00F062BF" w:rsidP="00F062BF">
      <w:pPr>
        <w:spacing w:after="0" w:line="240" w:lineRule="auto"/>
        <w:rPr>
          <w:rFonts w:ascii="Times New Roman" w:hAnsi="Times New Roman" w:cs="Times New Roman"/>
          <w:noProof/>
          <w:color w:val="FF0000"/>
          <w:sz w:val="16"/>
          <w:lang w:val="es-MX" w:eastAsia="es-GT"/>
        </w:rPr>
        <w:sectPr w:rsidR="00F062BF" w:rsidRPr="003E25F8" w:rsidSect="00986297">
          <w:headerReference w:type="default" r:id="rId37"/>
          <w:footerReference w:type="default" r:id="rId38"/>
          <w:type w:val="continuous"/>
          <w:pgSz w:w="12240" w:h="15840" w:code="1"/>
          <w:pgMar w:top="1418" w:right="1418" w:bottom="1418" w:left="1418" w:header="709" w:footer="709" w:gutter="0"/>
          <w:cols w:num="2" w:space="708"/>
          <w:docGrid w:linePitch="360"/>
        </w:sectPr>
      </w:pPr>
    </w:p>
    <w:p w:rsidR="003D557F" w:rsidRDefault="003D557F"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Default="00CE61EE" w:rsidP="00AD5816">
      <w:pPr>
        <w:spacing w:after="0" w:line="240" w:lineRule="auto"/>
        <w:rPr>
          <w:rFonts w:ascii="Times New Roman" w:hAnsi="Times New Roman" w:cs="Times New Roman"/>
          <w:noProof/>
          <w:color w:val="FF0000"/>
          <w:sz w:val="16"/>
          <w:lang w:eastAsia="es-GT"/>
        </w:rPr>
      </w:pPr>
    </w:p>
    <w:p w:rsidR="00CE61EE" w:rsidRPr="003E25F8" w:rsidRDefault="00CE61EE" w:rsidP="00AD5816">
      <w:pPr>
        <w:spacing w:after="0" w:line="240" w:lineRule="auto"/>
        <w:rPr>
          <w:rFonts w:ascii="Times New Roman" w:hAnsi="Times New Roman" w:cs="Times New Roman"/>
          <w:noProof/>
          <w:color w:val="FF0000"/>
          <w:sz w:val="16"/>
          <w:lang w:eastAsia="es-GT"/>
        </w:rPr>
      </w:pPr>
    </w:p>
    <w:p w:rsidR="009B76D6" w:rsidRPr="003E25F8" w:rsidRDefault="009B76D6" w:rsidP="00AD5816">
      <w:pPr>
        <w:spacing w:after="0" w:line="240" w:lineRule="auto"/>
        <w:rPr>
          <w:rFonts w:ascii="Times New Roman" w:hAnsi="Times New Roman" w:cs="Times New Roman"/>
          <w:noProof/>
          <w:color w:val="FF0000"/>
          <w:sz w:val="16"/>
          <w:lang w:eastAsia="es-GT"/>
        </w:rPr>
      </w:pPr>
    </w:p>
    <w:p w:rsidR="00751CCA" w:rsidRPr="003E25F8" w:rsidRDefault="00751CCA" w:rsidP="00AD5816">
      <w:pPr>
        <w:spacing w:after="0" w:line="240" w:lineRule="auto"/>
        <w:rPr>
          <w:rFonts w:ascii="Times New Roman" w:hAnsi="Times New Roman" w:cs="Times New Roman"/>
          <w:noProof/>
          <w:color w:val="FF0000"/>
          <w:sz w:val="16"/>
          <w:lang w:eastAsia="es-GT"/>
        </w:rPr>
      </w:pPr>
    </w:p>
    <w:p w:rsidR="001F5581" w:rsidRPr="00936E17"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936E17" w:rsidSect="00FA3B81">
          <w:headerReference w:type="default" r:id="rId39"/>
          <w:footerReference w:type="default" r:id="rId40"/>
          <w:type w:val="continuous"/>
          <w:pgSz w:w="12240" w:h="15840" w:code="1"/>
          <w:pgMar w:top="1418" w:right="1418" w:bottom="1418" w:left="1418" w:header="709" w:footer="709" w:gutter="0"/>
          <w:cols w:space="708"/>
          <w:docGrid w:linePitch="360"/>
        </w:sectPr>
      </w:pPr>
      <w:r w:rsidRPr="00936E17">
        <w:rPr>
          <w:rFonts w:ascii="Times New Roman" w:hAnsi="Times New Roman" w:cs="Times New Roman"/>
          <w:b/>
          <w:lang w:val="es-MX"/>
        </w:rPr>
        <w:t>Anexo</w:t>
      </w:r>
    </w:p>
    <w:p w:rsidR="001F5581" w:rsidRPr="003E25F8" w:rsidRDefault="001F5581" w:rsidP="00AD5816">
      <w:pPr>
        <w:spacing w:after="0" w:line="240" w:lineRule="auto"/>
        <w:rPr>
          <w:rFonts w:ascii="Times New Roman" w:hAnsi="Times New Roman" w:cs="Times New Roman"/>
          <w:noProof/>
          <w:color w:val="FF0000"/>
          <w:sz w:val="16"/>
          <w:lang w:val="es-MX" w:eastAsia="es-GT"/>
        </w:rPr>
        <w:sectPr w:rsidR="001F5581" w:rsidRPr="003E25F8" w:rsidSect="00986297">
          <w:headerReference w:type="default" r:id="rId41"/>
          <w:footerReference w:type="default" r:id="rId42"/>
          <w:type w:val="continuous"/>
          <w:pgSz w:w="12240" w:h="15840" w:code="1"/>
          <w:pgMar w:top="1418" w:right="1418" w:bottom="1418" w:left="1418" w:header="709" w:footer="709" w:gutter="0"/>
          <w:cols w:num="2" w:space="708"/>
          <w:docGrid w:linePitch="360"/>
        </w:sectPr>
      </w:pPr>
    </w:p>
    <w:p w:rsidR="001F5581" w:rsidRPr="003E25F8" w:rsidRDefault="00936E17" w:rsidP="007E6BCF">
      <w:pPr>
        <w:spacing w:after="0" w:line="240" w:lineRule="auto"/>
        <w:rPr>
          <w:rFonts w:ascii="Times New Roman" w:hAnsi="Times New Roman" w:cs="Times New Roman"/>
          <w:noProof/>
          <w:color w:val="FF0000"/>
          <w:sz w:val="16"/>
          <w:lang w:val="es-MX" w:eastAsia="es-GT"/>
        </w:rPr>
        <w:sectPr w:rsidR="001F5581" w:rsidRPr="003E25F8" w:rsidSect="001F5581">
          <w:type w:val="continuous"/>
          <w:pgSz w:w="12240" w:h="15840" w:code="1"/>
          <w:pgMar w:top="1418" w:right="1418" w:bottom="1418" w:left="1418" w:header="709" w:footer="709" w:gutter="0"/>
          <w:cols w:space="708"/>
          <w:docGrid w:linePitch="360"/>
        </w:sectPr>
      </w:pPr>
      <w:r w:rsidRPr="00BD23B3">
        <w:rPr>
          <w:noProof/>
          <w:lang w:eastAsia="es-GT"/>
        </w:rPr>
        <w:lastRenderedPageBreak/>
        <w:drawing>
          <wp:anchor distT="0" distB="0" distL="114300" distR="114300" simplePos="0" relativeHeight="251738112" behindDoc="0" locked="0" layoutInCell="1" allowOverlap="1" wp14:anchorId="2329B9B4" wp14:editId="12C5F221">
            <wp:simplePos x="0" y="0"/>
            <wp:positionH relativeFrom="column">
              <wp:posOffset>4445</wp:posOffset>
            </wp:positionH>
            <wp:positionV relativeFrom="paragraph">
              <wp:posOffset>104140</wp:posOffset>
            </wp:positionV>
            <wp:extent cx="5962650" cy="4761865"/>
            <wp:effectExtent l="0" t="0" r="0" b="635"/>
            <wp:wrapSquare wrapText="bothSides"/>
            <wp:docPr id="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62650" cy="4761865"/>
                    </a:xfrm>
                    <a:prstGeom prst="rect">
                      <a:avLst/>
                    </a:prstGeom>
                  </pic:spPr>
                </pic:pic>
              </a:graphicData>
            </a:graphic>
            <wp14:sizeRelH relativeFrom="page">
              <wp14:pctWidth>0</wp14:pctWidth>
            </wp14:sizeRelH>
            <wp14:sizeRelV relativeFrom="page">
              <wp14:pctHeight>0</wp14:pctHeight>
            </wp14:sizeRelV>
          </wp:anchor>
        </w:drawing>
      </w:r>
    </w:p>
    <w:p w:rsidR="00D00E78" w:rsidRPr="003E25F8" w:rsidRDefault="00D00E78" w:rsidP="00AD5816">
      <w:pPr>
        <w:spacing w:after="0" w:line="240" w:lineRule="auto"/>
        <w:rPr>
          <w:rFonts w:ascii="Times New Roman" w:hAnsi="Times New Roman" w:cs="Times New Roman"/>
          <w:noProof/>
          <w:color w:val="FF0000"/>
          <w:sz w:val="16"/>
          <w:lang w:eastAsia="es-GT"/>
        </w:rPr>
        <w:sectPr w:rsidR="00D00E78" w:rsidRPr="003E25F8" w:rsidSect="00D00E78">
          <w:type w:val="continuous"/>
          <w:pgSz w:w="12240" w:h="15840" w:code="1"/>
          <w:pgMar w:top="1418" w:right="1418" w:bottom="1418" w:left="1418" w:header="709" w:footer="709" w:gutter="0"/>
          <w:cols w:space="708"/>
          <w:docGrid w:linePitch="360"/>
        </w:sectPr>
      </w:pPr>
    </w:p>
    <w:p w:rsidR="00AD5816" w:rsidRPr="003E25F8" w:rsidRDefault="00AD5816" w:rsidP="00AD5816">
      <w:pPr>
        <w:spacing w:after="0" w:line="240" w:lineRule="auto"/>
        <w:rPr>
          <w:rFonts w:ascii="Times New Roman" w:hAnsi="Times New Roman" w:cs="Times New Roman"/>
          <w:noProof/>
          <w:color w:val="FF0000"/>
          <w:sz w:val="16"/>
          <w:lang w:eastAsia="es-GT"/>
        </w:rPr>
      </w:pPr>
    </w:p>
    <w:p w:rsidR="00AD5816" w:rsidRPr="003E25F8" w:rsidRDefault="00AD5816" w:rsidP="00AD5816">
      <w:pPr>
        <w:spacing w:after="0" w:line="240" w:lineRule="auto"/>
        <w:rPr>
          <w:rFonts w:ascii="Times New Roman" w:hAnsi="Times New Roman" w:cs="Times New Roman"/>
          <w:noProof/>
          <w:color w:val="FF0000"/>
          <w:sz w:val="16"/>
          <w:lang w:eastAsia="es-GT"/>
        </w:rPr>
      </w:pPr>
    </w:p>
    <w:p w:rsidR="007703A2" w:rsidRPr="003E25F8" w:rsidRDefault="007703A2" w:rsidP="00940C2E">
      <w:pPr>
        <w:pStyle w:val="Sinespaciado"/>
        <w:jc w:val="center"/>
        <w:rPr>
          <w:rFonts w:ascii="Times New Roman" w:hAnsi="Times New Roman" w:cs="Times New Roman"/>
          <w:color w:val="FF0000"/>
        </w:rPr>
      </w:pPr>
    </w:p>
    <w:sectPr w:rsidR="007703A2" w:rsidRPr="003E25F8"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156" w:rsidRDefault="00796156" w:rsidP="007D4651">
      <w:pPr>
        <w:spacing w:after="0" w:line="240" w:lineRule="auto"/>
      </w:pPr>
      <w:r>
        <w:separator/>
      </w:r>
    </w:p>
  </w:endnote>
  <w:endnote w:type="continuationSeparator" w:id="0">
    <w:p w:rsidR="00796156" w:rsidRDefault="00796156"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4AAA3D7E" wp14:editId="0005D9D4">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D576DE"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D3A4E" w:rsidRPr="001D3A4E">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3235116"/>
      <w:docPartObj>
        <w:docPartGallery w:val="Page Numbers (Bottom of Page)"/>
        <w:docPartUnique/>
      </w:docPartObj>
    </w:sdtPr>
    <w:sdtEndPr/>
    <w:sdtContent>
      <w:p w:rsidR="001F5581" w:rsidRDefault="001F5581">
        <w:pPr>
          <w:pStyle w:val="Piedepgina"/>
          <w:jc w:val="right"/>
          <w:rPr>
            <w:lang w:val="es-ES"/>
          </w:rPr>
        </w:pPr>
      </w:p>
      <w:p w:rsidR="001F5581" w:rsidRDefault="001F558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5BB907DF" wp14:editId="646FE042">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773EA"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F5581" w:rsidRDefault="001F558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D3A4E" w:rsidRPr="001D3A4E">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1F5581" w:rsidRDefault="001F5581" w:rsidP="007D4651">
    <w:pPr>
      <w:pStyle w:val="Piedepgina"/>
      <w:tabs>
        <w:tab w:val="clear" w:pos="4419"/>
        <w:tab w:val="clear" w:pos="8838"/>
        <w:tab w:val="left" w:pos="5777"/>
      </w:tabs>
    </w:pPr>
  </w:p>
  <w:p w:rsidR="001F5581" w:rsidRDefault="001F5581"/>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0385153"/>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052AB657" wp14:editId="52A1ED5D">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FFB1A"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D154B" w:rsidRPr="005D154B">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5034144"/>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6DC6C998" wp14:editId="7E30CAD8">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830222"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954FB2" w:rsidRPr="00954FB2">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EB1910" w:rsidRDefault="00EB1910">
        <w:pPr>
          <w:pStyle w:val="Piedepgina"/>
          <w:jc w:val="right"/>
          <w:rPr>
            <w:lang w:val="es-ES"/>
          </w:rPr>
        </w:pPr>
      </w:p>
      <w:p w:rsidR="00EB1910" w:rsidRDefault="00EB1910"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043B06E6" wp14:editId="678458BB">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AF7F3"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D3A4E" w:rsidRPr="001D3A4E">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Piedepgina"/>
      <w:tabs>
        <w:tab w:val="clear" w:pos="4419"/>
        <w:tab w:val="clear" w:pos="8838"/>
        <w:tab w:val="left" w:pos="5777"/>
      </w:tabs>
    </w:pPr>
  </w:p>
  <w:p w:rsidR="00EB1910" w:rsidRDefault="00EB1910"/>
  <w:p w:rsidR="0030020D" w:rsidRDefault="0030020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4E1B35DC" wp14:editId="04EE1949">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40D756"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D3A4E" w:rsidRPr="001D3A4E">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00707382"/>
      <w:docPartObj>
        <w:docPartGallery w:val="Page Numbers (Bottom of Page)"/>
        <w:docPartUnique/>
      </w:docPartObj>
    </w:sdtPr>
    <w:sdtEndPr/>
    <w:sdtContent>
      <w:p w:rsidR="00216605" w:rsidRDefault="00216605">
        <w:pPr>
          <w:pStyle w:val="Piedepgina"/>
          <w:jc w:val="right"/>
          <w:rPr>
            <w:lang w:val="es-ES"/>
          </w:rPr>
        </w:pPr>
      </w:p>
      <w:p w:rsidR="00216605" w:rsidRDefault="0021660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21D54465" wp14:editId="0DAD9ABB">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573FD5"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16605" w:rsidRDefault="0021660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D3A4E" w:rsidRPr="001D3A4E">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216605" w:rsidRDefault="00216605" w:rsidP="007D4651">
    <w:pPr>
      <w:pStyle w:val="Piedepgina"/>
      <w:tabs>
        <w:tab w:val="clear" w:pos="4419"/>
        <w:tab w:val="clear" w:pos="8838"/>
        <w:tab w:val="left" w:pos="5777"/>
      </w:tabs>
    </w:pPr>
  </w:p>
  <w:p w:rsidR="00216605" w:rsidRDefault="0021660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44393475"/>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4CFE3523" wp14:editId="4F495894">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3996A"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D3A4E" w:rsidRPr="001D3A4E">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615ABFD4" wp14:editId="717E24D8">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30A00"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D154B" w:rsidRPr="005D154B">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7607362"/>
      <w:docPartObj>
        <w:docPartGallery w:val="Page Numbers (Bottom of Page)"/>
        <w:docPartUnique/>
      </w:docPartObj>
    </w:sdtPr>
    <w:sdtEndPr/>
    <w:sdtContent>
      <w:p w:rsidR="00AD5816" w:rsidRDefault="00AD5816">
        <w:pPr>
          <w:pStyle w:val="Piedepgina"/>
          <w:jc w:val="right"/>
          <w:rPr>
            <w:lang w:val="es-ES"/>
          </w:rPr>
        </w:pPr>
      </w:p>
      <w:p w:rsidR="00AD5816" w:rsidRDefault="00AD5816"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6C12DE42" wp14:editId="2AE58622">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CD48BB"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D5816" w:rsidRDefault="00AD5816">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D3A4E" w:rsidRPr="001D3A4E">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AD5816" w:rsidRDefault="00AD5816" w:rsidP="007D4651">
    <w:pPr>
      <w:pStyle w:val="Piedepgina"/>
      <w:tabs>
        <w:tab w:val="clear" w:pos="4419"/>
        <w:tab w:val="clear" w:pos="8838"/>
        <w:tab w:val="left" w:pos="5777"/>
      </w:tabs>
    </w:pPr>
  </w:p>
  <w:p w:rsidR="00AD5816" w:rsidRDefault="00AD5816"/>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76265944"/>
      <w:docPartObj>
        <w:docPartGallery w:val="Page Numbers (Bottom of Page)"/>
        <w:docPartUnique/>
      </w:docPartObj>
    </w:sdtPr>
    <w:sdtEndPr/>
    <w:sdtContent>
      <w:p w:rsidR="00F062BF" w:rsidRDefault="00F062BF">
        <w:pPr>
          <w:pStyle w:val="Piedepgina"/>
          <w:jc w:val="right"/>
          <w:rPr>
            <w:lang w:val="es-ES"/>
          </w:rPr>
        </w:pPr>
      </w:p>
      <w:p w:rsidR="00F062BF" w:rsidRDefault="00F062B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7FA96402" wp14:editId="206EA14E">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A66DD8"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062BF" w:rsidRDefault="00F062B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9F1C07">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F062BF" w:rsidRDefault="00F062BF" w:rsidP="007D4651">
    <w:pPr>
      <w:pStyle w:val="Piedepgina"/>
      <w:tabs>
        <w:tab w:val="clear" w:pos="4419"/>
        <w:tab w:val="clear" w:pos="8838"/>
        <w:tab w:val="left" w:pos="5777"/>
      </w:tabs>
    </w:pPr>
  </w:p>
  <w:p w:rsidR="00F062BF" w:rsidRDefault="00F062B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156" w:rsidRDefault="00796156" w:rsidP="007D4651">
      <w:pPr>
        <w:spacing w:after="0" w:line="240" w:lineRule="auto"/>
      </w:pPr>
      <w:r>
        <w:separator/>
      </w:r>
    </w:p>
  </w:footnote>
  <w:footnote w:type="continuationSeparator" w:id="0">
    <w:p w:rsidR="00796156" w:rsidRDefault="00796156"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6608" behindDoc="1" locked="0" layoutInCell="1" allowOverlap="1" wp14:anchorId="42F6B3DB" wp14:editId="0D5EBA7E">
          <wp:simplePos x="0" y="0"/>
          <wp:positionH relativeFrom="column">
            <wp:posOffset>-86360</wp:posOffset>
          </wp:positionH>
          <wp:positionV relativeFrom="paragraph">
            <wp:posOffset>-165718</wp:posOffset>
          </wp:positionV>
          <wp:extent cx="1697990" cy="914400"/>
          <wp:effectExtent l="0" t="0" r="0" b="0"/>
          <wp:wrapNone/>
          <wp:docPr id="71" name="Imagen 71"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3E25F8"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C001D0">
      <w:rPr>
        <w:rFonts w:ascii="Times New Roman" w:hAnsi="Times New Roman" w:cs="Times New Roman"/>
        <w:color w:val="1F497D" w:themeColor="text2"/>
        <w:lang w:val="es-MX"/>
      </w:rPr>
      <w:t>bre</w:t>
    </w:r>
    <w:r w:rsidR="00E53B45">
      <w:rPr>
        <w:rFonts w:ascii="Times New Roman" w:hAnsi="Times New Roman" w:cs="Times New Roman"/>
        <w:color w:val="1F497D" w:themeColor="text2"/>
        <w:lang w:val="es-MX"/>
      </w:rPr>
      <w:t xml:space="preserve"> 2019</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062536C3" wp14:editId="5CB29926">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7619B6"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73581B" w:rsidRDefault="00AF68D3"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81" w:rsidRPr="007D4651" w:rsidRDefault="001F5581"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2992" behindDoc="1" locked="0" layoutInCell="1" allowOverlap="1" wp14:anchorId="4F2EFB7C" wp14:editId="5872AF31">
          <wp:simplePos x="0" y="0"/>
          <wp:positionH relativeFrom="column">
            <wp:posOffset>-93997</wp:posOffset>
          </wp:positionH>
          <wp:positionV relativeFrom="paragraph">
            <wp:posOffset>-177800</wp:posOffset>
          </wp:positionV>
          <wp:extent cx="1697990" cy="914400"/>
          <wp:effectExtent l="0" t="0" r="0" b="0"/>
          <wp:wrapNone/>
          <wp:docPr id="60" name="Imagen 2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3E25F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C001D0">
      <w:rPr>
        <w:rFonts w:ascii="Times New Roman" w:hAnsi="Times New Roman" w:cs="Times New Roman"/>
        <w:color w:val="1F497D" w:themeColor="text2"/>
        <w:lang w:val="es-MX"/>
      </w:rPr>
      <w:t>bre</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1F5581" w:rsidRPr="004A73AA" w:rsidRDefault="001F5581"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42B7E143" wp14:editId="2349A7D9">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9E1F4"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F5581" w:rsidRPr="004A73AA" w:rsidRDefault="001F5581"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1F5581" w:rsidRPr="007452E2" w:rsidRDefault="001F5581" w:rsidP="00E16925">
    <w:pPr>
      <w:pStyle w:val="Encabezado"/>
      <w:rPr>
        <w:rFonts w:ascii="Times New Roman" w:hAnsi="Times New Roman" w:cs="Times New Roman"/>
        <w:lang w:val="es-MX"/>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2816" behindDoc="1" locked="0" layoutInCell="1" allowOverlap="1" wp14:anchorId="32FB338C" wp14:editId="69F54717">
          <wp:simplePos x="0" y="0"/>
          <wp:positionH relativeFrom="column">
            <wp:posOffset>-89849</wp:posOffset>
          </wp:positionH>
          <wp:positionV relativeFrom="paragraph">
            <wp:posOffset>-163027</wp:posOffset>
          </wp:positionV>
          <wp:extent cx="1697990" cy="914400"/>
          <wp:effectExtent l="0" t="0" r="0" b="0"/>
          <wp:wrapNone/>
          <wp:docPr id="61" name="Imagen 61"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775DE3" w:rsidRDefault="00252B28"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775DE3">
      <w:rPr>
        <w:rFonts w:ascii="Times New Roman" w:hAnsi="Times New Roman" w:cs="Times New Roman"/>
        <w:color w:val="1F497D" w:themeColor="text2"/>
        <w:lang w:val="es-MX"/>
      </w:rPr>
      <w:t>bre 2018</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01B53745" wp14:editId="2015F37D">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12A335"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9984" behindDoc="1" locked="0" layoutInCell="1" allowOverlap="1" wp14:anchorId="7B823F54" wp14:editId="4EC464E4">
          <wp:simplePos x="0" y="0"/>
          <wp:positionH relativeFrom="column">
            <wp:posOffset>-434119</wp:posOffset>
          </wp:positionH>
          <wp:positionV relativeFrom="paragraph">
            <wp:posOffset>-5080</wp:posOffset>
          </wp:positionV>
          <wp:extent cx="1365775" cy="735496"/>
          <wp:effectExtent l="0" t="0" r="6350" b="7620"/>
          <wp:wrapNone/>
          <wp:docPr id="72" name="Imagen 7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AF68D3" w:rsidRDefault="00BC2768"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AF68D3">
      <w:rPr>
        <w:rFonts w:ascii="Times New Roman" w:hAnsi="Times New Roman" w:cs="Times New Roman"/>
        <w:color w:val="1F497D" w:themeColor="text2"/>
        <w:lang w:val="es-MX"/>
      </w:rPr>
      <w:t xml:space="preserve"> 2017</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color w:val="1F497D" w:themeColor="text2"/>
        <w:lang w:eastAsia="es-GT"/>
      </w:rPr>
      <mc:AlternateContent>
        <mc:Choice Requires="wps">
          <w:drawing>
            <wp:anchor distT="0" distB="0" distL="114300" distR="114300" simplePos="0" relativeHeight="251696128" behindDoc="0" locked="0" layoutInCell="1" allowOverlap="1" wp14:anchorId="5F5F4B54" wp14:editId="65D9C0D0">
              <wp:simplePos x="0" y="0"/>
              <wp:positionH relativeFrom="column">
                <wp:posOffset>1065751</wp:posOffset>
              </wp:positionH>
              <wp:positionV relativeFrom="paragraph">
                <wp:posOffset>26670</wp:posOffset>
              </wp:positionV>
              <wp:extent cx="5634990" cy="45085"/>
              <wp:effectExtent l="38100" t="38100" r="60960" b="88265"/>
              <wp:wrapNone/>
              <wp:docPr id="19" name="19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4DC2D7" id="19 Rectángulo redondeado" o:spid="_x0000_s1026" style="position:absolute;margin-left:83.9pt;margin-top:2.1pt;width:443.7pt;height:3.5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10" w:rsidRPr="007D4651" w:rsidRDefault="00EB1910"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07392" behindDoc="1" locked="0" layoutInCell="1" allowOverlap="1" wp14:anchorId="30E2BFC6" wp14:editId="05E3D9C9">
          <wp:simplePos x="0" y="0"/>
          <wp:positionH relativeFrom="column">
            <wp:posOffset>-89849</wp:posOffset>
          </wp:positionH>
          <wp:positionV relativeFrom="paragraph">
            <wp:posOffset>-163027</wp:posOffset>
          </wp:positionV>
          <wp:extent cx="1697990" cy="914400"/>
          <wp:effectExtent l="0" t="0" r="0" b="0"/>
          <wp:wrapNone/>
          <wp:docPr id="56" name="Imagen 56"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3E25F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C001D0">
      <w:rPr>
        <w:rFonts w:ascii="Times New Roman" w:hAnsi="Times New Roman" w:cs="Times New Roman"/>
        <w:color w:val="1F497D" w:themeColor="text2"/>
        <w:lang w:val="es-MX"/>
      </w:rPr>
      <w:t>bre</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EB1910" w:rsidRDefault="00EB191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1126B91B" wp14:editId="1598066B">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9F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B1910" w:rsidRDefault="00EB1910"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B1910" w:rsidRPr="00E16925" w:rsidRDefault="00EB1910" w:rsidP="00E16925">
    <w:pPr>
      <w:pStyle w:val="Encabezado"/>
      <w:rPr>
        <w:rFonts w:ascii="Times New Roman" w:hAnsi="Times New Roman" w:cs="Times New Roman"/>
        <w:lang w:val="es-MX"/>
      </w:rPr>
    </w:pPr>
  </w:p>
  <w:p w:rsidR="0030020D" w:rsidRDefault="0030020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8656" behindDoc="1" locked="0" layoutInCell="1" allowOverlap="1" wp14:anchorId="5B4CDA18" wp14:editId="2E57B498">
          <wp:simplePos x="0" y="0"/>
          <wp:positionH relativeFrom="column">
            <wp:posOffset>-58403</wp:posOffset>
          </wp:positionH>
          <wp:positionV relativeFrom="paragraph">
            <wp:posOffset>-162560</wp:posOffset>
          </wp:positionV>
          <wp:extent cx="1697990" cy="914400"/>
          <wp:effectExtent l="0" t="0" r="0" b="0"/>
          <wp:wrapNone/>
          <wp:docPr id="25" name="Imagen 1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5E4D76" w:rsidRDefault="003E25F8"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F04678">
      <w:rPr>
        <w:rFonts w:ascii="Times New Roman" w:hAnsi="Times New Roman" w:cs="Times New Roman"/>
        <w:color w:val="1F497D" w:themeColor="text2"/>
        <w:lang w:val="es-MX"/>
      </w:rPr>
      <w:t>bre</w:t>
    </w:r>
    <w:r w:rsidR="00C75935">
      <w:rPr>
        <w:rFonts w:ascii="Times New Roman" w:hAnsi="Times New Roman" w:cs="Times New Roman"/>
        <w:color w:val="1F497D" w:themeColor="text2"/>
        <w:lang w:val="es-MX"/>
      </w:rPr>
      <w:t xml:space="preserve"> 2019</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75B7F7F1" wp14:editId="2DAFD8C1">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4F1C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00AF4290">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605" w:rsidRPr="007D4651" w:rsidRDefault="00216605"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7872" behindDoc="1" locked="0" layoutInCell="1" allowOverlap="1" wp14:anchorId="3D4CA943" wp14:editId="41063B78">
          <wp:simplePos x="0" y="0"/>
          <wp:positionH relativeFrom="column">
            <wp:posOffset>-89849</wp:posOffset>
          </wp:positionH>
          <wp:positionV relativeFrom="paragraph">
            <wp:posOffset>-163027</wp:posOffset>
          </wp:positionV>
          <wp:extent cx="1697990" cy="914400"/>
          <wp:effectExtent l="0" t="0" r="0" b="0"/>
          <wp:wrapNone/>
          <wp:docPr id="27"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3E25F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C001D0">
      <w:rPr>
        <w:rFonts w:ascii="Times New Roman" w:hAnsi="Times New Roman" w:cs="Times New Roman"/>
        <w:color w:val="1F497D" w:themeColor="text2"/>
        <w:lang w:val="es-MX"/>
      </w:rPr>
      <w:t>bre</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216605" w:rsidRDefault="0021660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2724330D" wp14:editId="32C74600">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7BFFA2"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16605" w:rsidRDefault="00216605"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16605" w:rsidRPr="00E16925" w:rsidRDefault="00216605"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74624" behindDoc="1" locked="0" layoutInCell="1" allowOverlap="1" wp14:anchorId="5815A8B6" wp14:editId="51F63179">
          <wp:simplePos x="0" y="0"/>
          <wp:positionH relativeFrom="column">
            <wp:posOffset>-89849</wp:posOffset>
          </wp:positionH>
          <wp:positionV relativeFrom="paragraph">
            <wp:posOffset>-163027</wp:posOffset>
          </wp:positionV>
          <wp:extent cx="1697990" cy="914400"/>
          <wp:effectExtent l="0" t="0" r="0" b="0"/>
          <wp:wrapNone/>
          <wp:docPr id="30"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936E17"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C001D0">
      <w:rPr>
        <w:rFonts w:ascii="Times New Roman" w:hAnsi="Times New Roman" w:cs="Times New Roman"/>
        <w:color w:val="1F497D" w:themeColor="text2"/>
        <w:lang w:val="es-MX"/>
      </w:rPr>
      <w:t>bre</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6CD4C340" wp14:editId="3953555A">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B49E2"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4BD80FF0" wp14:editId="3AE852CA">
          <wp:simplePos x="0" y="0"/>
          <wp:positionH relativeFrom="column">
            <wp:posOffset>-93997</wp:posOffset>
          </wp:positionH>
          <wp:positionV relativeFrom="paragraph">
            <wp:posOffset>-177800</wp:posOffset>
          </wp:positionV>
          <wp:extent cx="1697990" cy="914400"/>
          <wp:effectExtent l="0" t="0" r="0" b="0"/>
          <wp:wrapNone/>
          <wp:docPr id="12" name="Imagen 1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775DE3" w:rsidRDefault="00F04678"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 2019</w:t>
    </w:r>
  </w:p>
  <w:p w:rsidR="00AF68D3" w:rsidRPr="004A73AA" w:rsidRDefault="00AF4290"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7DBCD8BC" wp14:editId="50D39DD4">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061E54"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4A73AA" w:rsidRDefault="00AF68D3"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AF4290">
      <w:rPr>
        <w:rFonts w:ascii="Times New Roman" w:hAnsi="Times New Roman" w:cs="Times New Roman"/>
        <w:color w:val="1F497D" w:themeColor="text2"/>
        <w:lang w:val="es-MX"/>
      </w:rPr>
      <w:t xml:space="preserve">      </w:t>
    </w:r>
    <w:r w:rsidR="00AF4290"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16" w:rsidRPr="007D4651" w:rsidRDefault="00AD5816"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3776" behindDoc="1" locked="0" layoutInCell="1" allowOverlap="1" wp14:anchorId="0F5863D7" wp14:editId="4CFADBD6">
          <wp:simplePos x="0" y="0"/>
          <wp:positionH relativeFrom="column">
            <wp:posOffset>-89849</wp:posOffset>
          </wp:positionH>
          <wp:positionV relativeFrom="paragraph">
            <wp:posOffset>-163027</wp:posOffset>
          </wp:positionV>
          <wp:extent cx="1697990" cy="914400"/>
          <wp:effectExtent l="0" t="0" r="0" b="0"/>
          <wp:wrapNone/>
          <wp:docPr id="233" name="Imagen 233"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53B45" w:rsidRDefault="003E25F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w:t>
    </w:r>
    <w:r w:rsidR="00C001D0">
      <w:rPr>
        <w:rFonts w:ascii="Times New Roman" w:hAnsi="Times New Roman" w:cs="Times New Roman"/>
        <w:color w:val="1F497D" w:themeColor="text2"/>
        <w:lang w:val="es-MX"/>
      </w:rPr>
      <w:t>bre</w:t>
    </w:r>
    <w:r w:rsidR="00E9315E">
      <w:rPr>
        <w:rFonts w:ascii="Times New Roman" w:hAnsi="Times New Roman" w:cs="Times New Roman"/>
        <w:color w:val="1F497D" w:themeColor="text2"/>
        <w:lang w:val="es-MX"/>
      </w:rPr>
      <w:t xml:space="preserve"> </w:t>
    </w:r>
    <w:r w:rsidR="0042628E">
      <w:rPr>
        <w:rFonts w:ascii="Times New Roman" w:hAnsi="Times New Roman" w:cs="Times New Roman"/>
        <w:color w:val="1F497D" w:themeColor="text2"/>
        <w:lang w:val="es-MX"/>
      </w:rPr>
      <w:t>2019</w:t>
    </w:r>
  </w:p>
  <w:p w:rsidR="00AD5816" w:rsidRDefault="00AD5816"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4ED08B71" wp14:editId="31823AB4">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75AF7A"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D5816" w:rsidRDefault="00AD5816"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AD5816" w:rsidRPr="00E16925" w:rsidRDefault="00AD5816"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2BF" w:rsidRPr="007D4651" w:rsidRDefault="00F062BF"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6064" behindDoc="1" locked="0" layoutInCell="1" allowOverlap="1" wp14:anchorId="42579F71" wp14:editId="368C8AC4">
          <wp:simplePos x="0" y="0"/>
          <wp:positionH relativeFrom="column">
            <wp:posOffset>-89849</wp:posOffset>
          </wp:positionH>
          <wp:positionV relativeFrom="paragraph">
            <wp:posOffset>-163027</wp:posOffset>
          </wp:positionV>
          <wp:extent cx="1697990" cy="914400"/>
          <wp:effectExtent l="0" t="0" r="0" b="0"/>
          <wp:wrapNone/>
          <wp:docPr id="234" name="Imagen 23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F062BF" w:rsidRDefault="00F062BF"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Noviembre 2018</w:t>
    </w:r>
  </w:p>
  <w:p w:rsidR="00F062BF" w:rsidRDefault="00F062BF"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48B45D71" wp14:editId="4A718287">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4BF88F"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062BF" w:rsidRDefault="00F062BF"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062BF" w:rsidRPr="00E16925" w:rsidRDefault="00F062BF"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8"/>
  </w:num>
  <w:num w:numId="4">
    <w:abstractNumId w:val="1"/>
  </w:num>
  <w:num w:numId="5">
    <w:abstractNumId w:val="12"/>
  </w:num>
  <w:num w:numId="6">
    <w:abstractNumId w:val="15"/>
  </w:num>
  <w:num w:numId="7">
    <w:abstractNumId w:val="14"/>
  </w:num>
  <w:num w:numId="8">
    <w:abstractNumId w:val="3"/>
  </w:num>
  <w:num w:numId="9">
    <w:abstractNumId w:val="10"/>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20E23"/>
    <w:rsid w:val="00022E98"/>
    <w:rsid w:val="00025121"/>
    <w:rsid w:val="00025788"/>
    <w:rsid w:val="00025D1E"/>
    <w:rsid w:val="00035835"/>
    <w:rsid w:val="000378CF"/>
    <w:rsid w:val="00040C99"/>
    <w:rsid w:val="00042B27"/>
    <w:rsid w:val="00045D14"/>
    <w:rsid w:val="00051776"/>
    <w:rsid w:val="00051A92"/>
    <w:rsid w:val="000530BD"/>
    <w:rsid w:val="00053517"/>
    <w:rsid w:val="0006261A"/>
    <w:rsid w:val="00063120"/>
    <w:rsid w:val="0006646A"/>
    <w:rsid w:val="000723B2"/>
    <w:rsid w:val="00072EEB"/>
    <w:rsid w:val="00074BC6"/>
    <w:rsid w:val="00076AB4"/>
    <w:rsid w:val="00076AD2"/>
    <w:rsid w:val="00076BF9"/>
    <w:rsid w:val="0008348D"/>
    <w:rsid w:val="00087ADE"/>
    <w:rsid w:val="000A0A4F"/>
    <w:rsid w:val="000A6E8E"/>
    <w:rsid w:val="000B0279"/>
    <w:rsid w:val="000B56CE"/>
    <w:rsid w:val="000C1547"/>
    <w:rsid w:val="000C21E1"/>
    <w:rsid w:val="000C2C25"/>
    <w:rsid w:val="000C4EC0"/>
    <w:rsid w:val="000C65AB"/>
    <w:rsid w:val="000D016D"/>
    <w:rsid w:val="000D2FA4"/>
    <w:rsid w:val="000D489E"/>
    <w:rsid w:val="000E43A8"/>
    <w:rsid w:val="000E5E43"/>
    <w:rsid w:val="000F1314"/>
    <w:rsid w:val="000F3B7F"/>
    <w:rsid w:val="000F4520"/>
    <w:rsid w:val="000F509C"/>
    <w:rsid w:val="000F5F87"/>
    <w:rsid w:val="00102939"/>
    <w:rsid w:val="00103DA9"/>
    <w:rsid w:val="001045CE"/>
    <w:rsid w:val="00106793"/>
    <w:rsid w:val="00107309"/>
    <w:rsid w:val="00111B77"/>
    <w:rsid w:val="001178B6"/>
    <w:rsid w:val="00120C4D"/>
    <w:rsid w:val="001259BA"/>
    <w:rsid w:val="0013022C"/>
    <w:rsid w:val="001339A4"/>
    <w:rsid w:val="00133DBA"/>
    <w:rsid w:val="0013436D"/>
    <w:rsid w:val="00136D08"/>
    <w:rsid w:val="0014167F"/>
    <w:rsid w:val="00142BF3"/>
    <w:rsid w:val="00142F1A"/>
    <w:rsid w:val="00143620"/>
    <w:rsid w:val="00145313"/>
    <w:rsid w:val="00150585"/>
    <w:rsid w:val="00152798"/>
    <w:rsid w:val="001549AB"/>
    <w:rsid w:val="00155A02"/>
    <w:rsid w:val="00157402"/>
    <w:rsid w:val="00157C3A"/>
    <w:rsid w:val="00160EAC"/>
    <w:rsid w:val="00163944"/>
    <w:rsid w:val="00171909"/>
    <w:rsid w:val="001735EE"/>
    <w:rsid w:val="001741D8"/>
    <w:rsid w:val="0017454D"/>
    <w:rsid w:val="00182730"/>
    <w:rsid w:val="00185253"/>
    <w:rsid w:val="001913A4"/>
    <w:rsid w:val="00196A44"/>
    <w:rsid w:val="001A0C82"/>
    <w:rsid w:val="001A27B3"/>
    <w:rsid w:val="001A3185"/>
    <w:rsid w:val="001A79F4"/>
    <w:rsid w:val="001B1DBB"/>
    <w:rsid w:val="001B3984"/>
    <w:rsid w:val="001B3EEE"/>
    <w:rsid w:val="001B5046"/>
    <w:rsid w:val="001C2FF5"/>
    <w:rsid w:val="001C3649"/>
    <w:rsid w:val="001D0065"/>
    <w:rsid w:val="001D3345"/>
    <w:rsid w:val="001D3A4E"/>
    <w:rsid w:val="001D46C3"/>
    <w:rsid w:val="001D4C8E"/>
    <w:rsid w:val="001D5A5B"/>
    <w:rsid w:val="001E0E10"/>
    <w:rsid w:val="001E0F86"/>
    <w:rsid w:val="001E3B99"/>
    <w:rsid w:val="001E4CD2"/>
    <w:rsid w:val="001E61BB"/>
    <w:rsid w:val="001F2EA3"/>
    <w:rsid w:val="001F34AD"/>
    <w:rsid w:val="001F4EE1"/>
    <w:rsid w:val="001F4F78"/>
    <w:rsid w:val="001F5240"/>
    <w:rsid w:val="001F5581"/>
    <w:rsid w:val="001F7141"/>
    <w:rsid w:val="00200FB1"/>
    <w:rsid w:val="00202594"/>
    <w:rsid w:val="0020377F"/>
    <w:rsid w:val="00207693"/>
    <w:rsid w:val="002101C9"/>
    <w:rsid w:val="00212A2C"/>
    <w:rsid w:val="00213C92"/>
    <w:rsid w:val="00216605"/>
    <w:rsid w:val="0021693D"/>
    <w:rsid w:val="00216B0E"/>
    <w:rsid w:val="00216DA8"/>
    <w:rsid w:val="002215C9"/>
    <w:rsid w:val="00222598"/>
    <w:rsid w:val="002302ED"/>
    <w:rsid w:val="002335EE"/>
    <w:rsid w:val="0023642A"/>
    <w:rsid w:val="00240D86"/>
    <w:rsid w:val="00242202"/>
    <w:rsid w:val="00244AAA"/>
    <w:rsid w:val="002512EC"/>
    <w:rsid w:val="00252B28"/>
    <w:rsid w:val="00256F02"/>
    <w:rsid w:val="002610FC"/>
    <w:rsid w:val="00261B7A"/>
    <w:rsid w:val="00262E76"/>
    <w:rsid w:val="00263007"/>
    <w:rsid w:val="00263CC4"/>
    <w:rsid w:val="00264C3A"/>
    <w:rsid w:val="00264FC5"/>
    <w:rsid w:val="002672D5"/>
    <w:rsid w:val="00270CAB"/>
    <w:rsid w:val="002719C8"/>
    <w:rsid w:val="00273E2C"/>
    <w:rsid w:val="002752BD"/>
    <w:rsid w:val="00276250"/>
    <w:rsid w:val="00276A28"/>
    <w:rsid w:val="00281439"/>
    <w:rsid w:val="00281FB7"/>
    <w:rsid w:val="0028212F"/>
    <w:rsid w:val="00292AD2"/>
    <w:rsid w:val="0029321A"/>
    <w:rsid w:val="00295365"/>
    <w:rsid w:val="00296D57"/>
    <w:rsid w:val="002977ED"/>
    <w:rsid w:val="002A076B"/>
    <w:rsid w:val="002A5B1B"/>
    <w:rsid w:val="002B5E9D"/>
    <w:rsid w:val="002B7644"/>
    <w:rsid w:val="002C0021"/>
    <w:rsid w:val="002C2547"/>
    <w:rsid w:val="002C482A"/>
    <w:rsid w:val="002C6478"/>
    <w:rsid w:val="002C68B8"/>
    <w:rsid w:val="002C7F2B"/>
    <w:rsid w:val="002D1C01"/>
    <w:rsid w:val="002D3469"/>
    <w:rsid w:val="002D54E6"/>
    <w:rsid w:val="002E3F4C"/>
    <w:rsid w:val="002F14AA"/>
    <w:rsid w:val="002F29DE"/>
    <w:rsid w:val="002F2A42"/>
    <w:rsid w:val="002F5408"/>
    <w:rsid w:val="002F7E08"/>
    <w:rsid w:val="0030020D"/>
    <w:rsid w:val="00302D40"/>
    <w:rsid w:val="0030695C"/>
    <w:rsid w:val="00312D8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49D9"/>
    <w:rsid w:val="00364DD6"/>
    <w:rsid w:val="00366770"/>
    <w:rsid w:val="00367E12"/>
    <w:rsid w:val="00374D44"/>
    <w:rsid w:val="00376802"/>
    <w:rsid w:val="00376FE9"/>
    <w:rsid w:val="0038008D"/>
    <w:rsid w:val="003804E5"/>
    <w:rsid w:val="00381A4F"/>
    <w:rsid w:val="0038488D"/>
    <w:rsid w:val="00385BA8"/>
    <w:rsid w:val="00393E59"/>
    <w:rsid w:val="0039499F"/>
    <w:rsid w:val="003968DB"/>
    <w:rsid w:val="003A1300"/>
    <w:rsid w:val="003A3726"/>
    <w:rsid w:val="003A72C9"/>
    <w:rsid w:val="003B00D2"/>
    <w:rsid w:val="003B13B4"/>
    <w:rsid w:val="003B1A93"/>
    <w:rsid w:val="003B24E3"/>
    <w:rsid w:val="003C3922"/>
    <w:rsid w:val="003C7085"/>
    <w:rsid w:val="003D05CE"/>
    <w:rsid w:val="003D15F7"/>
    <w:rsid w:val="003D2C99"/>
    <w:rsid w:val="003D38A7"/>
    <w:rsid w:val="003D557F"/>
    <w:rsid w:val="003D60E4"/>
    <w:rsid w:val="003D72D3"/>
    <w:rsid w:val="003D7EBA"/>
    <w:rsid w:val="003E25F8"/>
    <w:rsid w:val="003E2823"/>
    <w:rsid w:val="003E28F4"/>
    <w:rsid w:val="003E591D"/>
    <w:rsid w:val="003F0660"/>
    <w:rsid w:val="003F1E83"/>
    <w:rsid w:val="003F4609"/>
    <w:rsid w:val="003F7076"/>
    <w:rsid w:val="0040361C"/>
    <w:rsid w:val="00410690"/>
    <w:rsid w:val="00413FBE"/>
    <w:rsid w:val="00416D41"/>
    <w:rsid w:val="00421BA0"/>
    <w:rsid w:val="0042387A"/>
    <w:rsid w:val="0042628E"/>
    <w:rsid w:val="00426F4F"/>
    <w:rsid w:val="00434FC6"/>
    <w:rsid w:val="00443336"/>
    <w:rsid w:val="00443385"/>
    <w:rsid w:val="00443621"/>
    <w:rsid w:val="00447F4F"/>
    <w:rsid w:val="00450531"/>
    <w:rsid w:val="00451504"/>
    <w:rsid w:val="00452A5A"/>
    <w:rsid w:val="004575BA"/>
    <w:rsid w:val="004606FD"/>
    <w:rsid w:val="00464DB9"/>
    <w:rsid w:val="004650C5"/>
    <w:rsid w:val="00465F37"/>
    <w:rsid w:val="00471B35"/>
    <w:rsid w:val="00474EC2"/>
    <w:rsid w:val="00480824"/>
    <w:rsid w:val="004830FD"/>
    <w:rsid w:val="004835C8"/>
    <w:rsid w:val="00483632"/>
    <w:rsid w:val="0048385B"/>
    <w:rsid w:val="00487136"/>
    <w:rsid w:val="00492967"/>
    <w:rsid w:val="00494116"/>
    <w:rsid w:val="00494BC6"/>
    <w:rsid w:val="00494D1D"/>
    <w:rsid w:val="00495F43"/>
    <w:rsid w:val="00497DD6"/>
    <w:rsid w:val="004A28E4"/>
    <w:rsid w:val="004A3D32"/>
    <w:rsid w:val="004A3DB8"/>
    <w:rsid w:val="004A6705"/>
    <w:rsid w:val="004A73AA"/>
    <w:rsid w:val="004B1E1A"/>
    <w:rsid w:val="004B336D"/>
    <w:rsid w:val="004B4B9F"/>
    <w:rsid w:val="004B5B0F"/>
    <w:rsid w:val="004B799B"/>
    <w:rsid w:val="004C208F"/>
    <w:rsid w:val="004C3B4E"/>
    <w:rsid w:val="004D0A0F"/>
    <w:rsid w:val="004D1F76"/>
    <w:rsid w:val="004D7482"/>
    <w:rsid w:val="004E23E4"/>
    <w:rsid w:val="004E358C"/>
    <w:rsid w:val="004E4FDE"/>
    <w:rsid w:val="004E54B7"/>
    <w:rsid w:val="004E5D0E"/>
    <w:rsid w:val="004E61EC"/>
    <w:rsid w:val="004F02B2"/>
    <w:rsid w:val="004F4F4D"/>
    <w:rsid w:val="004F72F9"/>
    <w:rsid w:val="005004C9"/>
    <w:rsid w:val="005016F6"/>
    <w:rsid w:val="005016F7"/>
    <w:rsid w:val="00502FD6"/>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566F"/>
    <w:rsid w:val="005364DE"/>
    <w:rsid w:val="005428C6"/>
    <w:rsid w:val="00544E9A"/>
    <w:rsid w:val="00546650"/>
    <w:rsid w:val="0055248B"/>
    <w:rsid w:val="005537D0"/>
    <w:rsid w:val="005550D8"/>
    <w:rsid w:val="00573AB0"/>
    <w:rsid w:val="005755E9"/>
    <w:rsid w:val="00575DFA"/>
    <w:rsid w:val="00580D47"/>
    <w:rsid w:val="00582F9F"/>
    <w:rsid w:val="00586745"/>
    <w:rsid w:val="005879A5"/>
    <w:rsid w:val="00591D14"/>
    <w:rsid w:val="005925BD"/>
    <w:rsid w:val="00592D6E"/>
    <w:rsid w:val="0059421A"/>
    <w:rsid w:val="005948F0"/>
    <w:rsid w:val="0059655C"/>
    <w:rsid w:val="00596662"/>
    <w:rsid w:val="0059700F"/>
    <w:rsid w:val="005979EB"/>
    <w:rsid w:val="005A03A9"/>
    <w:rsid w:val="005A1EFC"/>
    <w:rsid w:val="005A6ACE"/>
    <w:rsid w:val="005A6F91"/>
    <w:rsid w:val="005B0E84"/>
    <w:rsid w:val="005B1B53"/>
    <w:rsid w:val="005B44D1"/>
    <w:rsid w:val="005B4E4C"/>
    <w:rsid w:val="005B6D05"/>
    <w:rsid w:val="005C103A"/>
    <w:rsid w:val="005C275E"/>
    <w:rsid w:val="005C4C97"/>
    <w:rsid w:val="005D154B"/>
    <w:rsid w:val="005D2336"/>
    <w:rsid w:val="005D5151"/>
    <w:rsid w:val="005D51CA"/>
    <w:rsid w:val="005D6423"/>
    <w:rsid w:val="005D7AC4"/>
    <w:rsid w:val="005E4D76"/>
    <w:rsid w:val="005E6BD0"/>
    <w:rsid w:val="005E7E89"/>
    <w:rsid w:val="005F04EC"/>
    <w:rsid w:val="005F18DE"/>
    <w:rsid w:val="005F470C"/>
    <w:rsid w:val="005F591A"/>
    <w:rsid w:val="0060094A"/>
    <w:rsid w:val="006014EC"/>
    <w:rsid w:val="00601C99"/>
    <w:rsid w:val="00603743"/>
    <w:rsid w:val="00604F51"/>
    <w:rsid w:val="006060AD"/>
    <w:rsid w:val="00606D70"/>
    <w:rsid w:val="00610F84"/>
    <w:rsid w:val="00623DEA"/>
    <w:rsid w:val="00623EC9"/>
    <w:rsid w:val="00624417"/>
    <w:rsid w:val="00625AA5"/>
    <w:rsid w:val="00632EE6"/>
    <w:rsid w:val="00633616"/>
    <w:rsid w:val="00637772"/>
    <w:rsid w:val="00637AC9"/>
    <w:rsid w:val="00640B12"/>
    <w:rsid w:val="0064258A"/>
    <w:rsid w:val="00643685"/>
    <w:rsid w:val="00643FB6"/>
    <w:rsid w:val="00651522"/>
    <w:rsid w:val="006525C5"/>
    <w:rsid w:val="006530FD"/>
    <w:rsid w:val="00654855"/>
    <w:rsid w:val="006553D6"/>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68BB"/>
    <w:rsid w:val="006A1473"/>
    <w:rsid w:val="006A41F1"/>
    <w:rsid w:val="006A64D5"/>
    <w:rsid w:val="006B0D82"/>
    <w:rsid w:val="006B40EC"/>
    <w:rsid w:val="006B48EE"/>
    <w:rsid w:val="006C0680"/>
    <w:rsid w:val="006C2F15"/>
    <w:rsid w:val="006C7015"/>
    <w:rsid w:val="006D1857"/>
    <w:rsid w:val="006D7B6E"/>
    <w:rsid w:val="006D7BB6"/>
    <w:rsid w:val="006E082A"/>
    <w:rsid w:val="006E17EF"/>
    <w:rsid w:val="006E1D11"/>
    <w:rsid w:val="006E27A5"/>
    <w:rsid w:val="006E4937"/>
    <w:rsid w:val="006E63F3"/>
    <w:rsid w:val="006E6A13"/>
    <w:rsid w:val="006F157C"/>
    <w:rsid w:val="006F202E"/>
    <w:rsid w:val="006F20A4"/>
    <w:rsid w:val="006F3C0D"/>
    <w:rsid w:val="006F3FF3"/>
    <w:rsid w:val="006F410A"/>
    <w:rsid w:val="006F4891"/>
    <w:rsid w:val="006F5EA0"/>
    <w:rsid w:val="006F7575"/>
    <w:rsid w:val="00706A33"/>
    <w:rsid w:val="00712339"/>
    <w:rsid w:val="00714E40"/>
    <w:rsid w:val="00715C88"/>
    <w:rsid w:val="00715D8F"/>
    <w:rsid w:val="0071791E"/>
    <w:rsid w:val="007206C9"/>
    <w:rsid w:val="00720E64"/>
    <w:rsid w:val="00723F6E"/>
    <w:rsid w:val="00725F93"/>
    <w:rsid w:val="0073367E"/>
    <w:rsid w:val="0073437F"/>
    <w:rsid w:val="0073581B"/>
    <w:rsid w:val="007362C1"/>
    <w:rsid w:val="007413CE"/>
    <w:rsid w:val="00741591"/>
    <w:rsid w:val="00741F6B"/>
    <w:rsid w:val="0074369F"/>
    <w:rsid w:val="007452E2"/>
    <w:rsid w:val="00747C79"/>
    <w:rsid w:val="00751CCA"/>
    <w:rsid w:val="00754057"/>
    <w:rsid w:val="007572E9"/>
    <w:rsid w:val="0075770C"/>
    <w:rsid w:val="0076028F"/>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96156"/>
    <w:rsid w:val="007A6523"/>
    <w:rsid w:val="007A7272"/>
    <w:rsid w:val="007A7814"/>
    <w:rsid w:val="007A7FB8"/>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126E"/>
    <w:rsid w:val="007F443F"/>
    <w:rsid w:val="007F4528"/>
    <w:rsid w:val="007F6F57"/>
    <w:rsid w:val="008010A6"/>
    <w:rsid w:val="00804E1C"/>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42D8F"/>
    <w:rsid w:val="00842FFE"/>
    <w:rsid w:val="008501C7"/>
    <w:rsid w:val="00851B4B"/>
    <w:rsid w:val="00855D0B"/>
    <w:rsid w:val="00857302"/>
    <w:rsid w:val="0085741B"/>
    <w:rsid w:val="00861640"/>
    <w:rsid w:val="00870831"/>
    <w:rsid w:val="008718E5"/>
    <w:rsid w:val="00871B31"/>
    <w:rsid w:val="008827D6"/>
    <w:rsid w:val="008844B1"/>
    <w:rsid w:val="00891B11"/>
    <w:rsid w:val="00891F2D"/>
    <w:rsid w:val="00892181"/>
    <w:rsid w:val="00892DE1"/>
    <w:rsid w:val="00895722"/>
    <w:rsid w:val="00897192"/>
    <w:rsid w:val="008A1777"/>
    <w:rsid w:val="008A2427"/>
    <w:rsid w:val="008A5760"/>
    <w:rsid w:val="008B110A"/>
    <w:rsid w:val="008B3C43"/>
    <w:rsid w:val="008B5573"/>
    <w:rsid w:val="008C079A"/>
    <w:rsid w:val="008C147E"/>
    <w:rsid w:val="008D5E9E"/>
    <w:rsid w:val="008E0F73"/>
    <w:rsid w:val="008E5C4F"/>
    <w:rsid w:val="008E6162"/>
    <w:rsid w:val="008E7869"/>
    <w:rsid w:val="008E7927"/>
    <w:rsid w:val="008F312E"/>
    <w:rsid w:val="008F46B7"/>
    <w:rsid w:val="008F4BCE"/>
    <w:rsid w:val="008F5915"/>
    <w:rsid w:val="008F5DBB"/>
    <w:rsid w:val="0090034D"/>
    <w:rsid w:val="009062A4"/>
    <w:rsid w:val="00910163"/>
    <w:rsid w:val="009121F7"/>
    <w:rsid w:val="00912A58"/>
    <w:rsid w:val="00916532"/>
    <w:rsid w:val="00924E88"/>
    <w:rsid w:val="0093522C"/>
    <w:rsid w:val="00935D14"/>
    <w:rsid w:val="00936E17"/>
    <w:rsid w:val="00940C2E"/>
    <w:rsid w:val="00942163"/>
    <w:rsid w:val="0094219B"/>
    <w:rsid w:val="00946523"/>
    <w:rsid w:val="00950874"/>
    <w:rsid w:val="00951347"/>
    <w:rsid w:val="00954FB2"/>
    <w:rsid w:val="00956270"/>
    <w:rsid w:val="00963756"/>
    <w:rsid w:val="00964466"/>
    <w:rsid w:val="00964ECA"/>
    <w:rsid w:val="00965F44"/>
    <w:rsid w:val="00972FCF"/>
    <w:rsid w:val="00975E49"/>
    <w:rsid w:val="00981FB0"/>
    <w:rsid w:val="00982379"/>
    <w:rsid w:val="00986297"/>
    <w:rsid w:val="0099341E"/>
    <w:rsid w:val="00993857"/>
    <w:rsid w:val="00995540"/>
    <w:rsid w:val="00997A06"/>
    <w:rsid w:val="009A12F9"/>
    <w:rsid w:val="009A1EA3"/>
    <w:rsid w:val="009A1FA7"/>
    <w:rsid w:val="009A3187"/>
    <w:rsid w:val="009A47FE"/>
    <w:rsid w:val="009A5380"/>
    <w:rsid w:val="009A7441"/>
    <w:rsid w:val="009B10B6"/>
    <w:rsid w:val="009B2AD3"/>
    <w:rsid w:val="009B7148"/>
    <w:rsid w:val="009B7429"/>
    <w:rsid w:val="009B76D6"/>
    <w:rsid w:val="009C0583"/>
    <w:rsid w:val="009C0B93"/>
    <w:rsid w:val="009C361A"/>
    <w:rsid w:val="009C3938"/>
    <w:rsid w:val="009C4027"/>
    <w:rsid w:val="009C5F4E"/>
    <w:rsid w:val="009D0AF5"/>
    <w:rsid w:val="009D0D94"/>
    <w:rsid w:val="009D1232"/>
    <w:rsid w:val="009D2132"/>
    <w:rsid w:val="009D25F9"/>
    <w:rsid w:val="009D2C22"/>
    <w:rsid w:val="009D38BF"/>
    <w:rsid w:val="009D4E7A"/>
    <w:rsid w:val="009D72CF"/>
    <w:rsid w:val="009E0D99"/>
    <w:rsid w:val="009E61BB"/>
    <w:rsid w:val="009F15B9"/>
    <w:rsid w:val="009F164F"/>
    <w:rsid w:val="009F1C07"/>
    <w:rsid w:val="009F1C62"/>
    <w:rsid w:val="009F530C"/>
    <w:rsid w:val="009F628A"/>
    <w:rsid w:val="00A00D30"/>
    <w:rsid w:val="00A0113A"/>
    <w:rsid w:val="00A07BE4"/>
    <w:rsid w:val="00A11B04"/>
    <w:rsid w:val="00A15244"/>
    <w:rsid w:val="00A159B6"/>
    <w:rsid w:val="00A2151F"/>
    <w:rsid w:val="00A21A6A"/>
    <w:rsid w:val="00A24C4D"/>
    <w:rsid w:val="00A25906"/>
    <w:rsid w:val="00A26C76"/>
    <w:rsid w:val="00A305E5"/>
    <w:rsid w:val="00A32AA1"/>
    <w:rsid w:val="00A34EAE"/>
    <w:rsid w:val="00A40EAF"/>
    <w:rsid w:val="00A4399A"/>
    <w:rsid w:val="00A446DB"/>
    <w:rsid w:val="00A45BC8"/>
    <w:rsid w:val="00A46630"/>
    <w:rsid w:val="00A53877"/>
    <w:rsid w:val="00A54CC2"/>
    <w:rsid w:val="00A60591"/>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54A5"/>
    <w:rsid w:val="00AA6C6B"/>
    <w:rsid w:val="00AA7DB0"/>
    <w:rsid w:val="00AB20BD"/>
    <w:rsid w:val="00AB2522"/>
    <w:rsid w:val="00AB52BE"/>
    <w:rsid w:val="00AC5CAC"/>
    <w:rsid w:val="00AC7961"/>
    <w:rsid w:val="00AD3FF3"/>
    <w:rsid w:val="00AD4251"/>
    <w:rsid w:val="00AD4EF6"/>
    <w:rsid w:val="00AD55FD"/>
    <w:rsid w:val="00AD5816"/>
    <w:rsid w:val="00AE2039"/>
    <w:rsid w:val="00AE50A8"/>
    <w:rsid w:val="00AF073D"/>
    <w:rsid w:val="00AF4290"/>
    <w:rsid w:val="00AF644A"/>
    <w:rsid w:val="00AF68D3"/>
    <w:rsid w:val="00AF7ACE"/>
    <w:rsid w:val="00B00205"/>
    <w:rsid w:val="00B00A4F"/>
    <w:rsid w:val="00B00E20"/>
    <w:rsid w:val="00B0107A"/>
    <w:rsid w:val="00B04D97"/>
    <w:rsid w:val="00B05AC1"/>
    <w:rsid w:val="00B06546"/>
    <w:rsid w:val="00B11FD1"/>
    <w:rsid w:val="00B136D6"/>
    <w:rsid w:val="00B1448A"/>
    <w:rsid w:val="00B21010"/>
    <w:rsid w:val="00B26014"/>
    <w:rsid w:val="00B2709E"/>
    <w:rsid w:val="00B35FDC"/>
    <w:rsid w:val="00B368DA"/>
    <w:rsid w:val="00B43892"/>
    <w:rsid w:val="00B468EF"/>
    <w:rsid w:val="00B5017E"/>
    <w:rsid w:val="00B5079C"/>
    <w:rsid w:val="00B508E2"/>
    <w:rsid w:val="00B579BB"/>
    <w:rsid w:val="00B57AAB"/>
    <w:rsid w:val="00B57CED"/>
    <w:rsid w:val="00B606D0"/>
    <w:rsid w:val="00B632B3"/>
    <w:rsid w:val="00B667BC"/>
    <w:rsid w:val="00B7015D"/>
    <w:rsid w:val="00B7136E"/>
    <w:rsid w:val="00B72DE5"/>
    <w:rsid w:val="00B7616E"/>
    <w:rsid w:val="00B827E1"/>
    <w:rsid w:val="00B83CAC"/>
    <w:rsid w:val="00B84995"/>
    <w:rsid w:val="00B85950"/>
    <w:rsid w:val="00B86812"/>
    <w:rsid w:val="00B91010"/>
    <w:rsid w:val="00B917E5"/>
    <w:rsid w:val="00B9286A"/>
    <w:rsid w:val="00B93470"/>
    <w:rsid w:val="00B95BBF"/>
    <w:rsid w:val="00B96036"/>
    <w:rsid w:val="00B96AC8"/>
    <w:rsid w:val="00BA12CD"/>
    <w:rsid w:val="00BA25B6"/>
    <w:rsid w:val="00BA3920"/>
    <w:rsid w:val="00BA782D"/>
    <w:rsid w:val="00BB1AAC"/>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54D6"/>
    <w:rsid w:val="00BF1481"/>
    <w:rsid w:val="00BF2610"/>
    <w:rsid w:val="00C001D0"/>
    <w:rsid w:val="00C02A39"/>
    <w:rsid w:val="00C02FE1"/>
    <w:rsid w:val="00C04E3C"/>
    <w:rsid w:val="00C069B8"/>
    <w:rsid w:val="00C074EF"/>
    <w:rsid w:val="00C10B42"/>
    <w:rsid w:val="00C12720"/>
    <w:rsid w:val="00C15432"/>
    <w:rsid w:val="00C15AC4"/>
    <w:rsid w:val="00C21149"/>
    <w:rsid w:val="00C2773E"/>
    <w:rsid w:val="00C3128B"/>
    <w:rsid w:val="00C33674"/>
    <w:rsid w:val="00C3385B"/>
    <w:rsid w:val="00C41470"/>
    <w:rsid w:val="00C41FF2"/>
    <w:rsid w:val="00C54747"/>
    <w:rsid w:val="00C56C98"/>
    <w:rsid w:val="00C61690"/>
    <w:rsid w:val="00C6254D"/>
    <w:rsid w:val="00C629B9"/>
    <w:rsid w:val="00C646C4"/>
    <w:rsid w:val="00C75935"/>
    <w:rsid w:val="00C76463"/>
    <w:rsid w:val="00C85696"/>
    <w:rsid w:val="00C9002C"/>
    <w:rsid w:val="00C91204"/>
    <w:rsid w:val="00C922D7"/>
    <w:rsid w:val="00C935C2"/>
    <w:rsid w:val="00C93727"/>
    <w:rsid w:val="00C95BFB"/>
    <w:rsid w:val="00CA19F5"/>
    <w:rsid w:val="00CA57D4"/>
    <w:rsid w:val="00CA6173"/>
    <w:rsid w:val="00CA65FF"/>
    <w:rsid w:val="00CB0938"/>
    <w:rsid w:val="00CB220A"/>
    <w:rsid w:val="00CC2800"/>
    <w:rsid w:val="00CC3420"/>
    <w:rsid w:val="00CC3BC7"/>
    <w:rsid w:val="00CC547C"/>
    <w:rsid w:val="00CC60FF"/>
    <w:rsid w:val="00CD58C8"/>
    <w:rsid w:val="00CD7760"/>
    <w:rsid w:val="00CE0468"/>
    <w:rsid w:val="00CE123C"/>
    <w:rsid w:val="00CE13DA"/>
    <w:rsid w:val="00CE3C39"/>
    <w:rsid w:val="00CE61EE"/>
    <w:rsid w:val="00CE75B5"/>
    <w:rsid w:val="00CF0F94"/>
    <w:rsid w:val="00CF2D98"/>
    <w:rsid w:val="00CF5AB1"/>
    <w:rsid w:val="00CF73B4"/>
    <w:rsid w:val="00D00E78"/>
    <w:rsid w:val="00D01738"/>
    <w:rsid w:val="00D04F96"/>
    <w:rsid w:val="00D1383A"/>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716E4"/>
    <w:rsid w:val="00D73D1A"/>
    <w:rsid w:val="00D7427C"/>
    <w:rsid w:val="00D75C74"/>
    <w:rsid w:val="00D75E95"/>
    <w:rsid w:val="00D858E5"/>
    <w:rsid w:val="00DA13C8"/>
    <w:rsid w:val="00DA53C7"/>
    <w:rsid w:val="00DA5809"/>
    <w:rsid w:val="00DA58BF"/>
    <w:rsid w:val="00DA7B48"/>
    <w:rsid w:val="00DA7C18"/>
    <w:rsid w:val="00DB03B7"/>
    <w:rsid w:val="00DB2350"/>
    <w:rsid w:val="00DB4551"/>
    <w:rsid w:val="00DC1048"/>
    <w:rsid w:val="00DC44CF"/>
    <w:rsid w:val="00DC6DE1"/>
    <w:rsid w:val="00DD01C5"/>
    <w:rsid w:val="00DD1574"/>
    <w:rsid w:val="00DD23C0"/>
    <w:rsid w:val="00DD4AB3"/>
    <w:rsid w:val="00DD4D5D"/>
    <w:rsid w:val="00DD517E"/>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6303"/>
    <w:rsid w:val="00E16925"/>
    <w:rsid w:val="00E27247"/>
    <w:rsid w:val="00E31CA5"/>
    <w:rsid w:val="00E31D49"/>
    <w:rsid w:val="00E3382E"/>
    <w:rsid w:val="00E348DD"/>
    <w:rsid w:val="00E3492D"/>
    <w:rsid w:val="00E3753A"/>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3798"/>
    <w:rsid w:val="00E6619D"/>
    <w:rsid w:val="00E7442E"/>
    <w:rsid w:val="00E756CD"/>
    <w:rsid w:val="00E82188"/>
    <w:rsid w:val="00E825A1"/>
    <w:rsid w:val="00E85293"/>
    <w:rsid w:val="00E871CE"/>
    <w:rsid w:val="00E87AC7"/>
    <w:rsid w:val="00E9315E"/>
    <w:rsid w:val="00E94F03"/>
    <w:rsid w:val="00E97903"/>
    <w:rsid w:val="00EA37FC"/>
    <w:rsid w:val="00EA68DF"/>
    <w:rsid w:val="00EB0687"/>
    <w:rsid w:val="00EB0FC5"/>
    <w:rsid w:val="00EB1910"/>
    <w:rsid w:val="00EB317F"/>
    <w:rsid w:val="00EB335D"/>
    <w:rsid w:val="00EB62F2"/>
    <w:rsid w:val="00ED2C29"/>
    <w:rsid w:val="00ED3624"/>
    <w:rsid w:val="00ED7253"/>
    <w:rsid w:val="00EE02F0"/>
    <w:rsid w:val="00EE2F16"/>
    <w:rsid w:val="00EE68A4"/>
    <w:rsid w:val="00EE6FBD"/>
    <w:rsid w:val="00EE72DB"/>
    <w:rsid w:val="00EF1CB1"/>
    <w:rsid w:val="00EF56F9"/>
    <w:rsid w:val="00F00537"/>
    <w:rsid w:val="00F03418"/>
    <w:rsid w:val="00F04678"/>
    <w:rsid w:val="00F062BF"/>
    <w:rsid w:val="00F06437"/>
    <w:rsid w:val="00F0775B"/>
    <w:rsid w:val="00F10A29"/>
    <w:rsid w:val="00F10ACE"/>
    <w:rsid w:val="00F16658"/>
    <w:rsid w:val="00F16692"/>
    <w:rsid w:val="00F20D0D"/>
    <w:rsid w:val="00F229CE"/>
    <w:rsid w:val="00F23065"/>
    <w:rsid w:val="00F26087"/>
    <w:rsid w:val="00F27024"/>
    <w:rsid w:val="00F3088D"/>
    <w:rsid w:val="00F341FB"/>
    <w:rsid w:val="00F37AD2"/>
    <w:rsid w:val="00F43CF0"/>
    <w:rsid w:val="00F4680E"/>
    <w:rsid w:val="00F46EBB"/>
    <w:rsid w:val="00F47088"/>
    <w:rsid w:val="00F51B37"/>
    <w:rsid w:val="00F541D1"/>
    <w:rsid w:val="00F54C17"/>
    <w:rsid w:val="00F641E1"/>
    <w:rsid w:val="00F644EA"/>
    <w:rsid w:val="00F6521F"/>
    <w:rsid w:val="00F652E7"/>
    <w:rsid w:val="00F654C6"/>
    <w:rsid w:val="00F674C8"/>
    <w:rsid w:val="00F70176"/>
    <w:rsid w:val="00F70871"/>
    <w:rsid w:val="00F75C84"/>
    <w:rsid w:val="00F75EDB"/>
    <w:rsid w:val="00F762E5"/>
    <w:rsid w:val="00F76491"/>
    <w:rsid w:val="00F8230E"/>
    <w:rsid w:val="00F930A8"/>
    <w:rsid w:val="00FA3B81"/>
    <w:rsid w:val="00FA5DE4"/>
    <w:rsid w:val="00FA5E7B"/>
    <w:rsid w:val="00FA7384"/>
    <w:rsid w:val="00FB2C2F"/>
    <w:rsid w:val="00FB5F5C"/>
    <w:rsid w:val="00FC0D3E"/>
    <w:rsid w:val="00FC319F"/>
    <w:rsid w:val="00FC3884"/>
    <w:rsid w:val="00FC4DC9"/>
    <w:rsid w:val="00FC4F6B"/>
    <w:rsid w:val="00FD36A3"/>
    <w:rsid w:val="00FD4333"/>
    <w:rsid w:val="00FD46E0"/>
    <w:rsid w:val="00FD61B9"/>
    <w:rsid w:val="00FD7FF0"/>
    <w:rsid w:val="00FE16D2"/>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CFF45"/>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emf"/><Relationship Id="rId42"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oter" Target="footer7.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9.emf"/><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8.xm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image" Target="media/image8.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5.emf"/><Relationship Id="rId27" Type="http://schemas.openxmlformats.org/officeDocument/2006/relationships/footer" Target="footer6.xml"/><Relationship Id="rId30" Type="http://schemas.openxmlformats.org/officeDocument/2006/relationships/image" Target="media/image7.emf"/><Relationship Id="rId35" Type="http://schemas.openxmlformats.org/officeDocument/2006/relationships/header" Target="header8.xml"/><Relationship Id="rId43"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eargueta\Desktop\Informes%202019\Sitfin\Noviembre\Sitfin%20al%20301119%20(131219).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E459-42FA-9A19-07B669C9C382}"/>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E459-42FA-9A19-07B669C9C382}"/>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E459-42FA-9A19-07B669C9C382}"/>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E459-42FA-9A19-07B669C9C382}"/>
              </c:ext>
            </c:extLst>
          </c:dPt>
          <c:dLbls>
            <c:dLbl>
              <c:idx val="3"/>
              <c:tx>
                <c:rich>
                  <a:bodyPr wrap="square" lIns="38100" tIns="19050" rIns="38100" bIns="19050" anchor="ctr">
                    <a:spAutoFit/>
                  </a:bodyPr>
                  <a:lstStyle/>
                  <a:p>
                    <a:pPr>
                      <a:defRPr sz="1100" b="1"/>
                    </a:pPr>
                    <a:r>
                      <a:rPr lang="en-US"/>
                      <a:t>-9,084.7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59-42FA-9A19-07B669C9C382}"/>
                </c:ext>
              </c:extLst>
            </c:dLbl>
            <c:spPr>
              <a:noFill/>
              <a:ln>
                <a:noFill/>
              </a:ln>
              <a:effectLst/>
            </c:spPr>
            <c:txPr>
              <a:bodyPr wrap="square" lIns="38100" tIns="19050" rIns="38100" bIns="19050" anchor="ctr">
                <a:spAutoFit/>
              </a:bodyPr>
              <a:lstStyle/>
              <a:p>
                <a:pPr>
                  <a:defRPr sz="11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Banguat'!$M$61:$P$61</c:f>
              <c:numCache>
                <c:formatCode>General</c:formatCode>
                <c:ptCount val="4"/>
                <c:pt idx="0">
                  <c:v>2016</c:v>
                </c:pt>
                <c:pt idx="1">
                  <c:v>2017</c:v>
                </c:pt>
                <c:pt idx="2">
                  <c:v>2018</c:v>
                </c:pt>
                <c:pt idx="3">
                  <c:v>2019</c:v>
                </c:pt>
              </c:numCache>
            </c:numRef>
          </c:cat>
          <c:val>
            <c:numRef>
              <c:f>'Reporte Banguat'!$M$62:$P$62</c:f>
              <c:numCache>
                <c:formatCode>_-* #,##0.0_-;\-* #,##0.0_-;_-* "-"??_-;_-@_-</c:formatCode>
                <c:ptCount val="4"/>
                <c:pt idx="0">
                  <c:v>-2278.8894706399878</c:v>
                </c:pt>
                <c:pt idx="1">
                  <c:v>-1969.9226675999994</c:v>
                </c:pt>
                <c:pt idx="2">
                  <c:v>-5258.7146919500028</c:v>
                </c:pt>
                <c:pt idx="3">
                  <c:v>-9096.4653412300177</c:v>
                </c:pt>
              </c:numCache>
            </c:numRef>
          </c:val>
          <c:extLst>
            <c:ext xmlns:c16="http://schemas.microsoft.com/office/drawing/2014/chart" uri="{C3380CC4-5D6E-409C-BE32-E72D297353CC}">
              <c16:uniqueId val="{00000008-E459-42FA-9A19-07B669C9C382}"/>
            </c:ext>
          </c:extLst>
        </c:ser>
        <c:dLbls>
          <c:showLegendKey val="0"/>
          <c:showVal val="0"/>
          <c:showCatName val="0"/>
          <c:showSerName val="0"/>
          <c:showPercent val="0"/>
          <c:showBubbleSize val="0"/>
        </c:dLbls>
        <c:gapWidth val="71"/>
        <c:axId val="122387840"/>
        <c:axId val="122397824"/>
      </c:barChart>
      <c:catAx>
        <c:axId val="122387840"/>
        <c:scaling>
          <c:orientation val="minMax"/>
        </c:scaling>
        <c:delete val="0"/>
        <c:axPos val="b"/>
        <c:numFmt formatCode="General" sourceLinked="0"/>
        <c:majorTickMark val="out"/>
        <c:minorTickMark val="none"/>
        <c:tickLblPos val="low"/>
        <c:txPr>
          <a:bodyPr/>
          <a:lstStyle/>
          <a:p>
            <a:pPr>
              <a:defRPr lang="es-GT" sz="1000"/>
            </a:pPr>
            <a:endParaRPr lang="es-GT"/>
          </a:p>
        </c:txPr>
        <c:crossAx val="122397824"/>
        <c:crosses val="autoZero"/>
        <c:auto val="1"/>
        <c:lblAlgn val="ctr"/>
        <c:lblOffset val="100"/>
        <c:noMultiLvlLbl val="0"/>
      </c:catAx>
      <c:valAx>
        <c:axId val="122397824"/>
        <c:scaling>
          <c:orientation val="minMax"/>
        </c:scaling>
        <c:delete val="0"/>
        <c:axPos val="l"/>
        <c:numFmt formatCode="_-* #,##0.0_-;\-* #,##0.0_-;_-* &quot;-&quot;??_-;_-@_-" sourceLinked="1"/>
        <c:majorTickMark val="out"/>
        <c:minorTickMark val="none"/>
        <c:tickLblPos val="nextTo"/>
        <c:txPr>
          <a:bodyPr/>
          <a:lstStyle/>
          <a:p>
            <a:pPr>
              <a:defRPr lang="es-GT" sz="800"/>
            </a:pPr>
            <a:endParaRPr lang="es-GT"/>
          </a:p>
        </c:txPr>
        <c:crossAx val="12238784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Hoja1!$B$1</c:f>
              <c:strCache>
                <c:ptCount val="1"/>
                <c:pt idx="0">
                  <c:v>Presupuesto</c:v>
                </c:pt>
              </c:strCache>
            </c:strRef>
          </c:tx>
          <c:spPr>
            <a:ln w="9525" cap="rnd">
              <a:solidFill>
                <a:schemeClr val="accent1"/>
              </a:solidFill>
              <a:round/>
            </a:ln>
            <a:effectLst/>
          </c:spPr>
          <c:marker>
            <c:symbol val="none"/>
          </c:marker>
          <c:cat>
            <c:strRef>
              <c:f>Hoja1!$A$2:$A$12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Hoja1!$B$2:$B$12</c:f>
              <c:numCache>
                <c:formatCode>#,##0.0</c:formatCode>
                <c:ptCount val="11"/>
                <c:pt idx="0">
                  <c:v>6279.5240500559985</c:v>
                </c:pt>
                <c:pt idx="1">
                  <c:v>10423.172378266785</c:v>
                </c:pt>
                <c:pt idx="2">
                  <c:v>15786.847905300863</c:v>
                </c:pt>
                <c:pt idx="3">
                  <c:v>22142.488017860313</c:v>
                </c:pt>
                <c:pt idx="4">
                  <c:v>26915.315558536571</c:v>
                </c:pt>
                <c:pt idx="5">
                  <c:v>31536.540683296491</c:v>
                </c:pt>
                <c:pt idx="6">
                  <c:v>38736.742780816785</c:v>
                </c:pt>
                <c:pt idx="7">
                  <c:v>43252.81932977675</c:v>
                </c:pt>
                <c:pt idx="8">
                  <c:v>47629.442852914952</c:v>
                </c:pt>
                <c:pt idx="9">
                  <c:v>54661.560324901802</c:v>
                </c:pt>
                <c:pt idx="10">
                  <c:v>59437.600807982242</c:v>
                </c:pt>
              </c:numCache>
            </c:numRef>
          </c:val>
          <c:extLst>
            <c:ext xmlns:c16="http://schemas.microsoft.com/office/drawing/2014/chart" uri="{C3380CC4-5D6E-409C-BE32-E72D297353CC}">
              <c16:uniqueId val="{00000000-D6B1-45A9-9883-FC4D872B9F37}"/>
            </c:ext>
          </c:extLst>
        </c:ser>
        <c:ser>
          <c:idx val="1"/>
          <c:order val="1"/>
          <c:tx>
            <c:strRef>
              <c:f>Hoja1!$C$1</c:f>
              <c:strCache>
                <c:ptCount val="1"/>
                <c:pt idx="0">
                  <c:v>Observado</c:v>
                </c:pt>
              </c:strCache>
            </c:strRef>
          </c:tx>
          <c:spPr>
            <a:ln w="15875" cap="rnd">
              <a:solidFill>
                <a:schemeClr val="accent2"/>
              </a:solidFill>
              <a:prstDash val="sysDash"/>
              <a:round/>
            </a:ln>
            <a:effectLst/>
          </c:spPr>
          <c:marker>
            <c:symbol val="none"/>
          </c:marker>
          <c:cat>
            <c:strRef>
              <c:f>Hoja1!$A$2:$A$12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Hoja1!$C$2:$C$12</c:f>
              <c:numCache>
                <c:formatCode>#,##0.0</c:formatCode>
                <c:ptCount val="11"/>
                <c:pt idx="0">
                  <c:v>5988.9154074499993</c:v>
                </c:pt>
                <c:pt idx="1">
                  <c:v>9907.6477603599978</c:v>
                </c:pt>
                <c:pt idx="2">
                  <c:v>14999.078257829999</c:v>
                </c:pt>
                <c:pt idx="3">
                  <c:v>21228.577632609995</c:v>
                </c:pt>
                <c:pt idx="4">
                  <c:v>25825.583553659995</c:v>
                </c:pt>
                <c:pt idx="5">
                  <c:v>30065.159865989997</c:v>
                </c:pt>
                <c:pt idx="6">
                  <c:v>37099.506384079999</c:v>
                </c:pt>
                <c:pt idx="7">
                  <c:v>41570.565153670002</c:v>
                </c:pt>
                <c:pt idx="8">
                  <c:v>45834.894353050004</c:v>
                </c:pt>
                <c:pt idx="9">
                  <c:v>52965.646124710001</c:v>
                </c:pt>
                <c:pt idx="10">
                  <c:v>57596.640813670005</c:v>
                </c:pt>
              </c:numCache>
            </c:numRef>
          </c:val>
          <c:extLst>
            <c:ext xmlns:c16="http://schemas.microsoft.com/office/drawing/2014/chart" uri="{C3380CC4-5D6E-409C-BE32-E72D297353CC}">
              <c16:uniqueId val="{00000001-D6B1-45A9-9883-FC4D872B9F37}"/>
            </c:ext>
          </c:extLst>
        </c:ser>
        <c:dLbls>
          <c:showLegendKey val="0"/>
          <c:showVal val="0"/>
          <c:showCatName val="0"/>
          <c:showSerName val="0"/>
          <c:showPercent val="0"/>
          <c:showBubbleSize val="0"/>
        </c:dLbls>
        <c:axId val="307355968"/>
        <c:axId val="307356624"/>
      </c:radarChart>
      <c:catAx>
        <c:axId val="307355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GT"/>
          </a:p>
        </c:txPr>
        <c:crossAx val="307356624"/>
        <c:crosses val="autoZero"/>
        <c:auto val="1"/>
        <c:lblAlgn val="ctr"/>
        <c:lblOffset val="100"/>
        <c:noMultiLvlLbl val="0"/>
      </c:catAx>
      <c:valAx>
        <c:axId val="30735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GT"/>
          </a:p>
        </c:txPr>
        <c:crossAx val="30735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07304717279506"/>
          <c:y val="4.6121593291404611E-2"/>
          <c:w val="0.73899767637009151"/>
          <c:h val="0.88701134056356168"/>
        </c:manualLayout>
      </c:layout>
      <c:barChart>
        <c:barDir val="bar"/>
        <c:grouping val="clustered"/>
        <c:varyColors val="0"/>
        <c:ser>
          <c:idx val="0"/>
          <c:order val="0"/>
          <c:tx>
            <c:strRef>
              <c:f>Hoja1!$B$1</c:f>
              <c:strCache>
                <c:ptCount val="1"/>
                <c:pt idx="0">
                  <c:v>2019-2018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Hoja1!$A$2:$A$17</c:f>
              <c:strCache>
                <c:ptCount val="16"/>
                <c:pt idx="0">
                  <c:v>IVA dom</c:v>
                </c:pt>
                <c:pt idx="1">
                  <c:v>IVA imp</c:v>
                </c:pt>
                <c:pt idx="2">
                  <c:v>ISR</c:v>
                </c:pt>
                <c:pt idx="3">
                  <c:v>Petróleo</c:v>
                </c:pt>
                <c:pt idx="4">
                  <c:v>DAI</c:v>
                </c:pt>
                <c:pt idx="5">
                  <c:v>ISO</c:v>
                </c:pt>
                <c:pt idx="6">
                  <c:v>Bebidas</c:v>
                </c:pt>
                <c:pt idx="7">
                  <c:v>IPRIMA</c:v>
                </c:pt>
                <c:pt idx="8">
                  <c:v>Vehículos</c:v>
                </c:pt>
                <c:pt idx="9">
                  <c:v>Tabacos</c:v>
                </c:pt>
                <c:pt idx="10">
                  <c:v>Salidas</c:v>
                </c:pt>
                <c:pt idx="11">
                  <c:v>IUSI</c:v>
                </c:pt>
                <c:pt idx="12">
                  <c:v>Cemento</c:v>
                </c:pt>
                <c:pt idx="13">
                  <c:v>Otros</c:v>
                </c:pt>
                <c:pt idx="14">
                  <c:v>Timbres</c:v>
                </c:pt>
                <c:pt idx="15">
                  <c:v>Regalías</c:v>
                </c:pt>
              </c:strCache>
            </c:strRef>
          </c:cat>
          <c:val>
            <c:numRef>
              <c:f>Hoja1!$B$2:$B$17</c:f>
              <c:numCache>
                <c:formatCode>#,##0.0</c:formatCode>
                <c:ptCount val="16"/>
                <c:pt idx="0">
                  <c:v>1121.4787124100003</c:v>
                </c:pt>
                <c:pt idx="1">
                  <c:v>751.63460449999729</c:v>
                </c:pt>
                <c:pt idx="2">
                  <c:v>569.19321520999802</c:v>
                </c:pt>
                <c:pt idx="3">
                  <c:v>309.53769689000046</c:v>
                </c:pt>
                <c:pt idx="4">
                  <c:v>122.48253718000069</c:v>
                </c:pt>
                <c:pt idx="5">
                  <c:v>100.77044702000057</c:v>
                </c:pt>
                <c:pt idx="6">
                  <c:v>73.141243670000108</c:v>
                </c:pt>
                <c:pt idx="7">
                  <c:v>33.682355330000178</c:v>
                </c:pt>
                <c:pt idx="8">
                  <c:v>27.962013149999848</c:v>
                </c:pt>
                <c:pt idx="9">
                  <c:v>23.046652440000059</c:v>
                </c:pt>
                <c:pt idx="10">
                  <c:v>16.33451341</c:v>
                </c:pt>
                <c:pt idx="11">
                  <c:v>13.242115230000003</c:v>
                </c:pt>
                <c:pt idx="12">
                  <c:v>7.273786599999994</c:v>
                </c:pt>
                <c:pt idx="13">
                  <c:v>0.3530923200000009</c:v>
                </c:pt>
                <c:pt idx="14">
                  <c:v>-18.863316350000048</c:v>
                </c:pt>
                <c:pt idx="15">
                  <c:v>-118.07078972999994</c:v>
                </c:pt>
              </c:numCache>
            </c:numRef>
          </c:val>
          <c:extLst>
            <c:ext xmlns:c16="http://schemas.microsoft.com/office/drawing/2014/chart" uri="{C3380CC4-5D6E-409C-BE32-E72D297353CC}">
              <c16:uniqueId val="{00000000-EF49-401E-996B-A3AE63E1571D}"/>
            </c:ext>
          </c:extLst>
        </c:ser>
        <c:ser>
          <c:idx val="1"/>
          <c:order val="1"/>
          <c:tx>
            <c:strRef>
              <c:f>Hoja1!$C$1</c:f>
              <c:strCache>
                <c:ptCount val="1"/>
                <c:pt idx="0">
                  <c:v>2019-Pres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Hoja1!$A$2:$A$17</c:f>
              <c:strCache>
                <c:ptCount val="16"/>
                <c:pt idx="0">
                  <c:v>IVA dom</c:v>
                </c:pt>
                <c:pt idx="1">
                  <c:v>IVA imp</c:v>
                </c:pt>
                <c:pt idx="2">
                  <c:v>ISR</c:v>
                </c:pt>
                <c:pt idx="3">
                  <c:v>Petróleo</c:v>
                </c:pt>
                <c:pt idx="4">
                  <c:v>DAI</c:v>
                </c:pt>
                <c:pt idx="5">
                  <c:v>ISO</c:v>
                </c:pt>
                <c:pt idx="6">
                  <c:v>Bebidas</c:v>
                </c:pt>
                <c:pt idx="7">
                  <c:v>IPRIMA</c:v>
                </c:pt>
                <c:pt idx="8">
                  <c:v>Vehículos</c:v>
                </c:pt>
                <c:pt idx="9">
                  <c:v>Tabacos</c:v>
                </c:pt>
                <c:pt idx="10">
                  <c:v>Salidas</c:v>
                </c:pt>
                <c:pt idx="11">
                  <c:v>IUSI</c:v>
                </c:pt>
                <c:pt idx="12">
                  <c:v>Cemento</c:v>
                </c:pt>
                <c:pt idx="13">
                  <c:v>Otros</c:v>
                </c:pt>
                <c:pt idx="14">
                  <c:v>Timbres</c:v>
                </c:pt>
                <c:pt idx="15">
                  <c:v>Regalías</c:v>
                </c:pt>
              </c:strCache>
            </c:strRef>
          </c:cat>
          <c:val>
            <c:numRef>
              <c:f>Hoja1!$C$2:$C$17</c:f>
              <c:numCache>
                <c:formatCode>#,##0.0</c:formatCode>
                <c:ptCount val="16"/>
                <c:pt idx="0">
                  <c:v>-908.02011313000003</c:v>
                </c:pt>
                <c:pt idx="1">
                  <c:v>-489.2155563500055</c:v>
                </c:pt>
                <c:pt idx="2">
                  <c:v>-228.73050431000229</c:v>
                </c:pt>
                <c:pt idx="3">
                  <c:v>174.27283722000038</c:v>
                </c:pt>
                <c:pt idx="4">
                  <c:v>-9.474711939998997</c:v>
                </c:pt>
                <c:pt idx="5">
                  <c:v>-279.37987929999963</c:v>
                </c:pt>
                <c:pt idx="6">
                  <c:v>33.750590880000004</c:v>
                </c:pt>
                <c:pt idx="7">
                  <c:v>-42.681450920000088</c:v>
                </c:pt>
                <c:pt idx="8">
                  <c:v>-12.583662730000128</c:v>
                </c:pt>
                <c:pt idx="9">
                  <c:v>-0.92932255000005171</c:v>
                </c:pt>
                <c:pt idx="10">
                  <c:v>0.67480358151004793</c:v>
                </c:pt>
                <c:pt idx="11">
                  <c:v>14.037672530000002</c:v>
                </c:pt>
                <c:pt idx="12">
                  <c:v>-2.1997634800000014</c:v>
                </c:pt>
                <c:pt idx="13">
                  <c:v>-1.2711164500000001</c:v>
                </c:pt>
                <c:pt idx="14">
                  <c:v>-50.866908729999977</c:v>
                </c:pt>
                <c:pt idx="15">
                  <c:v>-45.19513984374808</c:v>
                </c:pt>
              </c:numCache>
            </c:numRef>
          </c:val>
          <c:extLst>
            <c:ext xmlns:c16="http://schemas.microsoft.com/office/drawing/2014/chart" uri="{C3380CC4-5D6E-409C-BE32-E72D297353CC}">
              <c16:uniqueId val="{00000001-EF49-401E-996B-A3AE63E1571D}"/>
            </c:ext>
          </c:extLst>
        </c:ser>
        <c:dLbls>
          <c:showLegendKey val="0"/>
          <c:showVal val="0"/>
          <c:showCatName val="0"/>
          <c:showSerName val="0"/>
          <c:showPercent val="0"/>
          <c:showBubbleSize val="0"/>
        </c:dLbls>
        <c:gapWidth val="50"/>
        <c:axId val="611096848"/>
        <c:axId val="611093568"/>
      </c:barChart>
      <c:catAx>
        <c:axId val="611096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093568"/>
        <c:crosses val="autoZero"/>
        <c:auto val="1"/>
        <c:lblAlgn val="ctr"/>
        <c:lblOffset val="100"/>
        <c:noMultiLvlLbl val="0"/>
      </c:catAx>
      <c:valAx>
        <c:axId val="611093568"/>
        <c:scaling>
          <c:orientation val="minMax"/>
          <c:min val="-1500"/>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0968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477283821064043"/>
          <c:y val="4.4387883946939065E-2"/>
          <c:w val="0.23432207960306337"/>
          <c:h val="0.1067482130771389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700"/>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5C433-9392-4E09-9370-52A518BC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2668</Words>
  <Characters>14680</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Brenni Roberto Martínez Palacios</cp:lastModifiedBy>
  <cp:revision>2</cp:revision>
  <dcterms:created xsi:type="dcterms:W3CDTF">2020-01-08T18:36:00Z</dcterms:created>
  <dcterms:modified xsi:type="dcterms:W3CDTF">2020-01-08T18:36:00Z</dcterms:modified>
</cp:coreProperties>
</file>