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46ED4" w14:textId="77777777" w:rsidR="007D4651" w:rsidRPr="009C4176" w:rsidRDefault="00E4153A"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9C4176" w:rsidSect="00754057">
          <w:headerReference w:type="default" r:id="rId8"/>
          <w:footerReference w:type="default" r:id="rId9"/>
          <w:pgSz w:w="12240" w:h="15840" w:code="1"/>
          <w:pgMar w:top="1418" w:right="1418" w:bottom="1418" w:left="1418" w:header="709" w:footer="709" w:gutter="0"/>
          <w:cols w:space="708"/>
          <w:docGrid w:linePitch="360"/>
        </w:sectPr>
      </w:pPr>
      <w:r w:rsidRPr="009C4176">
        <w:rPr>
          <w:rFonts w:ascii="Times New Roman" w:hAnsi="Times New Roman" w:cs="Times New Roman"/>
          <w:b/>
          <w:lang w:val="es-MX"/>
        </w:rPr>
        <w:t>En mayo se reporta déficit fiscal por primera vez en el año</w:t>
      </w:r>
    </w:p>
    <w:p w14:paraId="39DCBF0A" w14:textId="77777777" w:rsidR="007D4651" w:rsidRPr="00A72391" w:rsidRDefault="007D4651" w:rsidP="007D4651">
      <w:pPr>
        <w:pStyle w:val="Sinespaciado"/>
        <w:rPr>
          <w:rFonts w:ascii="Times New Roman" w:hAnsi="Times New Roman" w:cs="Times New Roman"/>
          <w:b/>
          <w:color w:val="FF0000"/>
          <w:sz w:val="6"/>
          <w:lang w:val="es-MX"/>
        </w:rPr>
      </w:pPr>
    </w:p>
    <w:p w14:paraId="6499BE91" w14:textId="77777777" w:rsidR="007D4651" w:rsidRPr="00A72391" w:rsidRDefault="007D4651" w:rsidP="007D4651">
      <w:pPr>
        <w:pStyle w:val="Sinespaciado"/>
        <w:jc w:val="center"/>
        <w:rPr>
          <w:rFonts w:ascii="Times New Roman" w:hAnsi="Times New Roman" w:cs="Times New Roman"/>
          <w:b/>
          <w:color w:val="FF0000"/>
          <w:sz w:val="16"/>
          <w:lang w:val="es-MX"/>
        </w:rPr>
      </w:pPr>
    </w:p>
    <w:p w14:paraId="7930BC01" w14:textId="77777777" w:rsidR="009C4027" w:rsidRPr="00A72391" w:rsidRDefault="009C4027" w:rsidP="007D4651">
      <w:pPr>
        <w:pStyle w:val="Sinespaciado"/>
        <w:jc w:val="center"/>
        <w:rPr>
          <w:rFonts w:ascii="Times New Roman" w:hAnsi="Times New Roman" w:cs="Times New Roman"/>
          <w:b/>
          <w:color w:val="FF0000"/>
          <w:lang w:val="es-MX"/>
        </w:rPr>
        <w:sectPr w:rsidR="009C4027" w:rsidRPr="00A72391" w:rsidSect="004E358C">
          <w:type w:val="continuous"/>
          <w:pgSz w:w="12240" w:h="15840"/>
          <w:pgMar w:top="1417" w:right="1701" w:bottom="1417" w:left="1701" w:header="708" w:footer="708" w:gutter="0"/>
          <w:cols w:space="708"/>
          <w:docGrid w:linePitch="360"/>
        </w:sectPr>
      </w:pPr>
    </w:p>
    <w:p w14:paraId="5DA971D1" w14:textId="77777777" w:rsidR="009C4176" w:rsidRDefault="009C4176" w:rsidP="009C4176">
      <w:pPr>
        <w:pStyle w:val="Sinespaciado"/>
        <w:ind w:left="284"/>
        <w:jc w:val="both"/>
        <w:rPr>
          <w:rFonts w:ascii="Times New Roman" w:hAnsi="Times New Roman" w:cs="Times New Roman"/>
          <w:color w:val="FF0000"/>
        </w:rPr>
      </w:pPr>
      <w:r w:rsidRPr="006B6AA8">
        <w:rPr>
          <w:rFonts w:ascii="Times New Roman" w:hAnsi="Times New Roman" w:cs="Times New Roman"/>
          <w:lang w:val="es-MX"/>
        </w:rPr>
        <w:t xml:space="preserve">El resultado presupuestario del gobierno central muestra un </w:t>
      </w:r>
      <w:r>
        <w:rPr>
          <w:rFonts w:ascii="Times New Roman" w:hAnsi="Times New Roman" w:cs="Times New Roman"/>
          <w:lang w:val="es-MX"/>
        </w:rPr>
        <w:t>déficit</w:t>
      </w:r>
      <w:r w:rsidRPr="006B6AA8">
        <w:rPr>
          <w:rFonts w:ascii="Times New Roman" w:hAnsi="Times New Roman" w:cs="Times New Roman"/>
          <w:lang w:val="es-MX"/>
        </w:rPr>
        <w:t xml:space="preserve"> fiscal que se sitúa al 3</w:t>
      </w:r>
      <w:r>
        <w:rPr>
          <w:rFonts w:ascii="Times New Roman" w:hAnsi="Times New Roman" w:cs="Times New Roman"/>
          <w:lang w:val="es-MX"/>
        </w:rPr>
        <w:t>1</w:t>
      </w:r>
      <w:r w:rsidRPr="006B6AA8">
        <w:rPr>
          <w:rFonts w:ascii="Times New Roman" w:hAnsi="Times New Roman" w:cs="Times New Roman"/>
          <w:lang w:val="es-MX"/>
        </w:rPr>
        <w:t xml:space="preserve"> de</w:t>
      </w:r>
      <w:r>
        <w:rPr>
          <w:rFonts w:ascii="Times New Roman" w:hAnsi="Times New Roman" w:cs="Times New Roman"/>
          <w:lang w:val="es-MX"/>
        </w:rPr>
        <w:t xml:space="preserve"> mayo</w:t>
      </w:r>
      <w:r w:rsidRPr="006B6AA8">
        <w:rPr>
          <w:rFonts w:ascii="Times New Roman" w:hAnsi="Times New Roman" w:cs="Times New Roman"/>
          <w:lang w:val="es-MX"/>
        </w:rPr>
        <w:t xml:space="preserve"> de 2021 en Q</w:t>
      </w:r>
      <w:r>
        <w:rPr>
          <w:rFonts w:ascii="Times New Roman" w:hAnsi="Times New Roman" w:cs="Times New Roman"/>
          <w:lang w:val="es-MX"/>
        </w:rPr>
        <w:t>525.9</w:t>
      </w:r>
      <w:r w:rsidRPr="006B6AA8">
        <w:rPr>
          <w:rFonts w:ascii="Times New Roman" w:hAnsi="Times New Roman" w:cs="Times New Roman"/>
          <w:lang w:val="es-MX"/>
        </w:rPr>
        <w:t xml:space="preserve"> millones. En los años anteriores (2019 y 2020) al mes de </w:t>
      </w:r>
      <w:r>
        <w:rPr>
          <w:rFonts w:ascii="Times New Roman" w:hAnsi="Times New Roman" w:cs="Times New Roman"/>
          <w:lang w:val="es-MX"/>
        </w:rPr>
        <w:t>mayo también se reportaba déficit fiscal, aunque con diferente cuantía</w:t>
      </w:r>
      <w:r w:rsidRPr="006B6AA8">
        <w:rPr>
          <w:rFonts w:ascii="Times New Roman" w:hAnsi="Times New Roman" w:cs="Times New Roman"/>
          <w:lang w:val="es-MX"/>
        </w:rPr>
        <w:t>,</w:t>
      </w:r>
      <w:r>
        <w:rPr>
          <w:rFonts w:ascii="Times New Roman" w:hAnsi="Times New Roman" w:cs="Times New Roman"/>
          <w:lang w:val="es-MX"/>
        </w:rPr>
        <w:t xml:space="preserve"> en el caso del amplio déficit observado en 2020 se debió a que ya se encontraban en ejecución los programas asociados a la emergencia COVID-19.</w:t>
      </w:r>
      <w:r w:rsidRPr="008D3F91">
        <w:rPr>
          <w:rFonts w:ascii="Times New Roman" w:hAnsi="Times New Roman" w:cs="Times New Roman"/>
          <w:color w:val="FF0000"/>
        </w:rPr>
        <w:t xml:space="preserve"> </w:t>
      </w:r>
      <w:r>
        <w:rPr>
          <w:rFonts w:ascii="Times New Roman" w:hAnsi="Times New Roman" w:cs="Times New Roman"/>
          <w:color w:val="FF0000"/>
        </w:rPr>
        <w:t xml:space="preserve">  </w:t>
      </w:r>
    </w:p>
    <w:p w14:paraId="488037B7" w14:textId="77777777" w:rsidR="009C4176" w:rsidRPr="00C6700D" w:rsidRDefault="009C4176" w:rsidP="009C4176">
      <w:pPr>
        <w:pStyle w:val="Sinespaciado"/>
        <w:ind w:left="284"/>
        <w:jc w:val="both"/>
        <w:rPr>
          <w:rFonts w:ascii="Times New Roman" w:hAnsi="Times New Roman" w:cs="Times New Roman"/>
          <w:color w:val="FF0000"/>
        </w:rPr>
      </w:pPr>
    </w:p>
    <w:p w14:paraId="79E64AAF" w14:textId="77777777" w:rsidR="00C6700D" w:rsidRPr="00A72391" w:rsidRDefault="009C4176" w:rsidP="009C4176">
      <w:pPr>
        <w:pStyle w:val="Sinespaciado"/>
        <w:ind w:left="284"/>
        <w:jc w:val="both"/>
        <w:rPr>
          <w:rFonts w:ascii="Times New Roman" w:hAnsi="Times New Roman" w:cs="Times New Roman"/>
          <w:color w:val="FF0000"/>
        </w:rPr>
      </w:pPr>
      <w:r w:rsidRPr="00E4153A">
        <w:rPr>
          <w:rFonts w:ascii="Times New Roman" w:hAnsi="Times New Roman" w:cs="Times New Roman"/>
        </w:rPr>
        <w:t xml:space="preserve">Dado el </w:t>
      </w:r>
      <w:r>
        <w:rPr>
          <w:rFonts w:ascii="Times New Roman" w:hAnsi="Times New Roman" w:cs="Times New Roman"/>
        </w:rPr>
        <w:t>significativo y creciente</w:t>
      </w:r>
      <w:r w:rsidRPr="00E4153A">
        <w:rPr>
          <w:rFonts w:ascii="Times New Roman" w:hAnsi="Times New Roman" w:cs="Times New Roman"/>
        </w:rPr>
        <w:t xml:space="preserve"> </w:t>
      </w:r>
      <w:r>
        <w:rPr>
          <w:rFonts w:ascii="Times New Roman" w:hAnsi="Times New Roman" w:cs="Times New Roman"/>
        </w:rPr>
        <w:t>desempeño de la</w:t>
      </w:r>
      <w:r w:rsidRPr="00E4153A">
        <w:rPr>
          <w:rFonts w:ascii="Times New Roman" w:hAnsi="Times New Roman" w:cs="Times New Roman"/>
        </w:rPr>
        <w:t xml:space="preserve"> recaudación tributaria, la brecha </w:t>
      </w:r>
      <w:r>
        <w:rPr>
          <w:rFonts w:ascii="Times New Roman" w:hAnsi="Times New Roman" w:cs="Times New Roman"/>
        </w:rPr>
        <w:t xml:space="preserve">positiva </w:t>
      </w:r>
      <w:r w:rsidRPr="00E4153A">
        <w:rPr>
          <w:rFonts w:ascii="Times New Roman" w:hAnsi="Times New Roman" w:cs="Times New Roman"/>
        </w:rPr>
        <w:t xml:space="preserve">respecto a la meta establecida se ha ampliado de forma considerable, de esa cuenta, por quinto mes consecutivo se supera la meta </w:t>
      </w:r>
      <w:r>
        <w:rPr>
          <w:rFonts w:ascii="Times New Roman" w:hAnsi="Times New Roman" w:cs="Times New Roman"/>
        </w:rPr>
        <w:t xml:space="preserve">mensual </w:t>
      </w:r>
      <w:r w:rsidRPr="00E4153A">
        <w:rPr>
          <w:rFonts w:ascii="Times New Roman" w:hAnsi="Times New Roman" w:cs="Times New Roman"/>
        </w:rPr>
        <w:t xml:space="preserve">de </w:t>
      </w:r>
      <w:r w:rsidRPr="00E4153A">
        <w:rPr>
          <w:rFonts w:ascii="Times New Roman" w:hAnsi="Times New Roman" w:cs="Times New Roman"/>
        </w:rPr>
        <w:t>recaudación prevista.</w:t>
      </w:r>
      <w:r>
        <w:rPr>
          <w:rFonts w:ascii="Times New Roman" w:hAnsi="Times New Roman" w:cs="Times New Roman"/>
        </w:rPr>
        <w:t xml:space="preserve">  </w:t>
      </w:r>
      <w:r w:rsidRPr="00E4153A">
        <w:rPr>
          <w:rFonts w:ascii="Times New Roman" w:hAnsi="Times New Roman" w:cs="Times New Roman"/>
        </w:rPr>
        <w:t>Hay que tomar en consideración que a partir de mayo 2020 se empezó a dinamizar la ejecución del gasto público relacionado a la pandemia, mientras que en el presente ejercicio fiscal estos gastos son significativamente menores y responden en su mayoría al proceso de vacunación e intervenciones del Ministerio de Salud Pública y Asistencia Social en materiales y equipos relacionados a la atención del COVID-19, derivado de ello es posible que a partir de junio y durante el resto del año se observe</w:t>
      </w:r>
      <w:r>
        <w:rPr>
          <w:rFonts w:ascii="Times New Roman" w:hAnsi="Times New Roman" w:cs="Times New Roman"/>
        </w:rPr>
        <w:t>n</w:t>
      </w:r>
      <w:r w:rsidRPr="00E4153A">
        <w:rPr>
          <w:rFonts w:ascii="Times New Roman" w:hAnsi="Times New Roman" w:cs="Times New Roman"/>
        </w:rPr>
        <w:t xml:space="preserve"> variaciones interanuales menores a las observadas en el año previo.</w:t>
      </w:r>
    </w:p>
    <w:p w14:paraId="12CC084C" w14:textId="77777777" w:rsidR="00E37543" w:rsidRPr="00A72391" w:rsidRDefault="00E37543" w:rsidP="00E829E3">
      <w:pPr>
        <w:pStyle w:val="Sinespaciado"/>
        <w:rPr>
          <w:rFonts w:ascii="Times New Roman" w:hAnsi="Times New Roman" w:cs="Times New Roman"/>
          <w:b/>
          <w:color w:val="FF0000"/>
        </w:rPr>
        <w:sectPr w:rsidR="00E37543" w:rsidRPr="00A72391" w:rsidSect="004C2A11">
          <w:type w:val="continuous"/>
          <w:pgSz w:w="12240" w:h="15840" w:code="1"/>
          <w:pgMar w:top="1418" w:right="1418" w:bottom="1418" w:left="1418" w:header="709" w:footer="709" w:gutter="0"/>
          <w:cols w:num="2" w:space="518"/>
          <w:docGrid w:linePitch="360"/>
        </w:sectPr>
      </w:pPr>
    </w:p>
    <w:p w14:paraId="386714AA" w14:textId="77777777" w:rsidR="00E829E3" w:rsidRPr="00A72391" w:rsidRDefault="00E829E3" w:rsidP="000704F4">
      <w:pPr>
        <w:pStyle w:val="Sinespaciado"/>
        <w:rPr>
          <w:rFonts w:ascii="Times New Roman" w:hAnsi="Times New Roman" w:cs="Times New Roman"/>
          <w:b/>
          <w:color w:val="FF0000"/>
          <w:sz w:val="24"/>
          <w:lang w:val="es-MX"/>
        </w:rPr>
      </w:pPr>
    </w:p>
    <w:p w14:paraId="65909B6B" w14:textId="77777777" w:rsidR="006F5EA0" w:rsidRPr="009C4176" w:rsidRDefault="00950874" w:rsidP="006F5EA0">
      <w:pPr>
        <w:pStyle w:val="Sinespaciado"/>
        <w:jc w:val="center"/>
        <w:rPr>
          <w:rFonts w:ascii="Times New Roman" w:hAnsi="Times New Roman" w:cs="Times New Roman"/>
          <w:b/>
          <w:sz w:val="24"/>
          <w:lang w:val="es-MX"/>
        </w:rPr>
      </w:pPr>
      <w:r w:rsidRPr="009C4176">
        <w:rPr>
          <w:rFonts w:ascii="Times New Roman" w:hAnsi="Times New Roman" w:cs="Times New Roman"/>
          <w:b/>
          <w:sz w:val="24"/>
          <w:lang w:val="es-MX"/>
        </w:rPr>
        <w:t>Resultado Presupuestario</w:t>
      </w:r>
    </w:p>
    <w:p w14:paraId="77A733A8" w14:textId="77777777" w:rsidR="00E829E3" w:rsidRPr="009C4176" w:rsidRDefault="00E829E3" w:rsidP="006F5EA0">
      <w:pPr>
        <w:pStyle w:val="Sinespaciado"/>
        <w:jc w:val="center"/>
        <w:rPr>
          <w:rFonts w:ascii="Times New Roman" w:hAnsi="Times New Roman" w:cs="Times New Roman"/>
          <w:sz w:val="20"/>
          <w:lang w:val="es-MX"/>
        </w:rPr>
      </w:pPr>
      <w:r w:rsidRPr="009C4176">
        <w:rPr>
          <w:rFonts w:ascii="Times New Roman" w:hAnsi="Times New Roman" w:cs="Times New Roman"/>
          <w:sz w:val="20"/>
          <w:lang w:val="es-MX"/>
        </w:rPr>
        <w:t>Cifras en millones de quetzales</w:t>
      </w:r>
      <w:r w:rsidR="006F5EA0" w:rsidRPr="009C4176">
        <w:rPr>
          <w:rFonts w:ascii="Times New Roman" w:hAnsi="Times New Roman" w:cs="Times New Roman"/>
          <w:sz w:val="20"/>
          <w:lang w:val="es-MX"/>
        </w:rPr>
        <w:t xml:space="preserve">      </w:t>
      </w:r>
    </w:p>
    <w:p w14:paraId="6475A16D" w14:textId="77777777" w:rsidR="004C2A11" w:rsidRPr="009C4176" w:rsidRDefault="009C4176" w:rsidP="004C2A11">
      <w:pPr>
        <w:pStyle w:val="Sinespaciado"/>
        <w:jc w:val="center"/>
        <w:rPr>
          <w:rFonts w:ascii="Times New Roman" w:hAnsi="Times New Roman" w:cs="Times New Roman"/>
          <w:b/>
          <w:lang w:val="es-MX"/>
        </w:rPr>
      </w:pPr>
      <w:r w:rsidRPr="009C4176">
        <w:rPr>
          <w:noProof/>
          <w:lang w:eastAsia="es-GT"/>
        </w:rPr>
        <w:drawing>
          <wp:anchor distT="0" distB="0" distL="114300" distR="114300" simplePos="0" relativeHeight="251815936" behindDoc="0" locked="0" layoutInCell="1" allowOverlap="1" wp14:anchorId="04393653" wp14:editId="21E5B485">
            <wp:simplePos x="0" y="0"/>
            <wp:positionH relativeFrom="column">
              <wp:posOffset>4445</wp:posOffset>
            </wp:positionH>
            <wp:positionV relativeFrom="paragraph">
              <wp:posOffset>163195</wp:posOffset>
            </wp:positionV>
            <wp:extent cx="5971540" cy="2066925"/>
            <wp:effectExtent l="0" t="0" r="0" b="0"/>
            <wp:wrapSquare wrapText="bothSides"/>
            <wp:docPr id="14" name="Gráfico 14">
              <a:extLst xmlns:a="http://schemas.openxmlformats.org/drawingml/2006/main">
                <a:ext uri="{FF2B5EF4-FFF2-40B4-BE49-F238E27FC236}">
                  <a16:creationId xmlns:a16="http://schemas.microsoft.com/office/drawing/2014/main" id="{00000000-0008-0000-0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E829E3" w:rsidRPr="009C4176">
        <w:rPr>
          <w:rFonts w:ascii="Times New Roman" w:hAnsi="Times New Roman" w:cs="Times New Roman"/>
          <w:sz w:val="20"/>
          <w:lang w:val="es-MX"/>
        </w:rPr>
        <w:t xml:space="preserve">     </w:t>
      </w:r>
      <w:r w:rsidR="006F5EA0" w:rsidRPr="009C4176">
        <w:rPr>
          <w:rFonts w:ascii="Times New Roman" w:hAnsi="Times New Roman" w:cs="Times New Roman"/>
          <w:sz w:val="20"/>
          <w:lang w:val="es-MX"/>
        </w:rPr>
        <w:t xml:space="preserve"> </w:t>
      </w:r>
      <w:r w:rsidR="00E4153A" w:rsidRPr="009C4176">
        <w:rPr>
          <w:rFonts w:ascii="Times New Roman" w:hAnsi="Times New Roman" w:cs="Times New Roman"/>
          <w:sz w:val="20"/>
          <w:lang w:val="es-MX"/>
        </w:rPr>
        <w:t>Al 31</w:t>
      </w:r>
      <w:r w:rsidR="004C2A11" w:rsidRPr="009C4176">
        <w:rPr>
          <w:rFonts w:ascii="Times New Roman" w:hAnsi="Times New Roman" w:cs="Times New Roman"/>
          <w:sz w:val="20"/>
          <w:lang w:val="es-MX"/>
        </w:rPr>
        <w:t xml:space="preserve"> </w:t>
      </w:r>
      <w:r w:rsidR="006F5EA0" w:rsidRPr="009C4176">
        <w:rPr>
          <w:rFonts w:ascii="Times New Roman" w:hAnsi="Times New Roman" w:cs="Times New Roman"/>
          <w:sz w:val="20"/>
          <w:lang w:val="es-MX"/>
        </w:rPr>
        <w:t xml:space="preserve">de </w:t>
      </w:r>
      <w:r w:rsidR="00E4153A" w:rsidRPr="009C4176">
        <w:rPr>
          <w:rFonts w:ascii="Times New Roman" w:hAnsi="Times New Roman" w:cs="Times New Roman"/>
          <w:sz w:val="20"/>
          <w:lang w:val="es-MX"/>
        </w:rPr>
        <w:t>mayo</w:t>
      </w:r>
      <w:r w:rsidR="006F5EA0" w:rsidRPr="009C4176">
        <w:rPr>
          <w:rFonts w:ascii="Times New Roman" w:hAnsi="Times New Roman" w:cs="Times New Roman"/>
          <w:sz w:val="20"/>
          <w:lang w:val="es-MX"/>
        </w:rPr>
        <w:t xml:space="preserve"> de cada año</w:t>
      </w:r>
      <w:r w:rsidR="00F27024" w:rsidRPr="009C4176">
        <w:rPr>
          <w:rFonts w:ascii="Times New Roman" w:hAnsi="Times New Roman" w:cs="Times New Roman"/>
          <w:b/>
          <w:lang w:val="es-MX"/>
        </w:rPr>
        <w:tab/>
      </w:r>
    </w:p>
    <w:p w14:paraId="0FBEB3EF" w14:textId="77777777" w:rsidR="00E4153A" w:rsidRPr="009C4176" w:rsidRDefault="007F443F" w:rsidP="00E4153A">
      <w:pPr>
        <w:pStyle w:val="Sinespaciado"/>
        <w:rPr>
          <w:rFonts w:ascii="Times New Roman" w:hAnsi="Times New Roman" w:cs="Times New Roman"/>
          <w:sz w:val="16"/>
        </w:rPr>
      </w:pPr>
      <w:r w:rsidRPr="009C4176">
        <w:rPr>
          <w:rFonts w:ascii="Times New Roman" w:hAnsi="Times New Roman" w:cs="Times New Roman"/>
          <w:sz w:val="16"/>
        </w:rPr>
        <w:t xml:space="preserve"> </w:t>
      </w:r>
      <w:r w:rsidR="004C2A11" w:rsidRPr="009C4176">
        <w:rPr>
          <w:rFonts w:ascii="Times New Roman" w:hAnsi="Times New Roman" w:cs="Times New Roman"/>
          <w:sz w:val="16"/>
        </w:rPr>
        <w:t xml:space="preserve">                </w:t>
      </w:r>
      <w:r w:rsidR="00157C3A" w:rsidRPr="009C4176">
        <w:rPr>
          <w:rFonts w:ascii="Times New Roman" w:hAnsi="Times New Roman" w:cs="Times New Roman"/>
          <w:sz w:val="16"/>
        </w:rPr>
        <w:t>F</w:t>
      </w:r>
      <w:r w:rsidR="007D4651" w:rsidRPr="009C4176">
        <w:rPr>
          <w:rFonts w:ascii="Times New Roman" w:hAnsi="Times New Roman" w:cs="Times New Roman"/>
          <w:sz w:val="16"/>
        </w:rPr>
        <w:t>uente: Dirección de Análisis y Política fiscal</w:t>
      </w:r>
    </w:p>
    <w:p w14:paraId="2209896E" w14:textId="77777777" w:rsidR="00E4153A" w:rsidRPr="00A72391" w:rsidRDefault="00E4153A" w:rsidP="00E4153A">
      <w:pPr>
        <w:pStyle w:val="Sinespaciado"/>
        <w:rPr>
          <w:rFonts w:ascii="Times New Roman" w:hAnsi="Times New Roman" w:cs="Times New Roman"/>
          <w:color w:val="FF0000"/>
          <w:sz w:val="6"/>
        </w:rPr>
      </w:pPr>
    </w:p>
    <w:p w14:paraId="62E9FDE0" w14:textId="77777777" w:rsidR="00506BDB" w:rsidRPr="00A72391" w:rsidRDefault="00506BDB" w:rsidP="007D4651">
      <w:pPr>
        <w:spacing w:after="0" w:line="240" w:lineRule="auto"/>
        <w:rPr>
          <w:rFonts w:ascii="Times New Roman" w:hAnsi="Times New Roman" w:cs="Times New Roman"/>
          <w:color w:val="FF0000"/>
          <w:sz w:val="14"/>
          <w:lang w:val="es-MX"/>
        </w:rPr>
      </w:pPr>
    </w:p>
    <w:p w14:paraId="45BD6E10" w14:textId="77777777" w:rsidR="00F54627" w:rsidRPr="00A72391" w:rsidRDefault="00F54627" w:rsidP="007D4651">
      <w:pPr>
        <w:spacing w:after="0" w:line="240" w:lineRule="auto"/>
        <w:rPr>
          <w:rFonts w:ascii="Times New Roman" w:hAnsi="Times New Roman" w:cs="Times New Roman"/>
          <w:color w:val="FF0000"/>
          <w:sz w:val="24"/>
          <w:szCs w:val="24"/>
          <w:lang w:val="es-MX"/>
        </w:rPr>
        <w:sectPr w:rsidR="00F54627" w:rsidRPr="00A72391" w:rsidSect="007D4651">
          <w:type w:val="continuous"/>
          <w:pgSz w:w="12240" w:h="15840" w:code="1"/>
          <w:pgMar w:top="1418" w:right="1418" w:bottom="1418" w:left="1418" w:header="709" w:footer="709" w:gutter="0"/>
          <w:cols w:space="708"/>
          <w:docGrid w:linePitch="360"/>
        </w:sectPr>
      </w:pPr>
    </w:p>
    <w:p w14:paraId="0F34470A" w14:textId="77777777" w:rsidR="00E16925" w:rsidRPr="00777B81" w:rsidRDefault="00275B04" w:rsidP="00F21DB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sz w:val="8"/>
          <w:lang w:val="es-MX"/>
        </w:rPr>
      </w:pPr>
      <w:r w:rsidRPr="00777B81">
        <w:rPr>
          <w:rFonts w:ascii="Times New Roman" w:hAnsi="Times New Roman" w:cs="Times New Roman"/>
          <w:b/>
          <w:lang w:val="es-MX"/>
        </w:rPr>
        <w:t>L</w:t>
      </w:r>
      <w:r w:rsidR="00B04199" w:rsidRPr="00777B81">
        <w:rPr>
          <w:rFonts w:ascii="Times New Roman" w:hAnsi="Times New Roman" w:cs="Times New Roman"/>
          <w:b/>
          <w:lang w:val="es-MX"/>
        </w:rPr>
        <w:t>a</w:t>
      </w:r>
      <w:r w:rsidR="00F21DB9" w:rsidRPr="00777B81">
        <w:rPr>
          <w:rFonts w:ascii="Times New Roman" w:hAnsi="Times New Roman" w:cs="Times New Roman"/>
          <w:b/>
          <w:lang w:val="es-MX"/>
        </w:rPr>
        <w:t xml:space="preserve"> brecha </w:t>
      </w:r>
      <w:r w:rsidR="00B04199" w:rsidRPr="00777B81">
        <w:rPr>
          <w:rFonts w:ascii="Times New Roman" w:hAnsi="Times New Roman" w:cs="Times New Roman"/>
          <w:b/>
          <w:lang w:val="es-MX"/>
        </w:rPr>
        <w:t xml:space="preserve">positiva </w:t>
      </w:r>
      <w:r w:rsidR="00F21DB9" w:rsidRPr="00777B81">
        <w:rPr>
          <w:rFonts w:ascii="Times New Roman" w:hAnsi="Times New Roman" w:cs="Times New Roman"/>
          <w:b/>
          <w:lang w:val="es-MX"/>
        </w:rPr>
        <w:t xml:space="preserve">acumulada </w:t>
      </w:r>
      <w:r w:rsidR="00B04199" w:rsidRPr="00777B81">
        <w:rPr>
          <w:rFonts w:ascii="Times New Roman" w:hAnsi="Times New Roman" w:cs="Times New Roman"/>
          <w:b/>
          <w:lang w:val="es-MX"/>
        </w:rPr>
        <w:t xml:space="preserve">luego de cinco meses asciende a </w:t>
      </w:r>
      <w:r w:rsidR="00F21DB9" w:rsidRPr="00777B81">
        <w:rPr>
          <w:rFonts w:ascii="Times New Roman" w:hAnsi="Times New Roman" w:cs="Times New Roman"/>
          <w:b/>
          <w:lang w:val="es-MX"/>
        </w:rPr>
        <w:t xml:space="preserve">Q4,135.4 millones </w:t>
      </w:r>
      <w:r w:rsidR="00B04199" w:rsidRPr="00777B81">
        <w:rPr>
          <w:rFonts w:ascii="Times New Roman" w:hAnsi="Times New Roman" w:cs="Times New Roman"/>
          <w:b/>
          <w:lang w:val="es-MX"/>
        </w:rPr>
        <w:t>sobre</w:t>
      </w:r>
      <w:r w:rsidR="00F21DB9" w:rsidRPr="00777B81">
        <w:rPr>
          <w:rFonts w:ascii="Times New Roman" w:hAnsi="Times New Roman" w:cs="Times New Roman"/>
          <w:b/>
          <w:lang w:val="es-MX"/>
        </w:rPr>
        <w:t xml:space="preserve"> la meta de presupuesto</w:t>
      </w:r>
    </w:p>
    <w:p w14:paraId="6395FB56" w14:textId="77777777" w:rsidR="00E16925" w:rsidRPr="00A72391" w:rsidRDefault="00E16925" w:rsidP="00E16925">
      <w:pPr>
        <w:pStyle w:val="Sinespaciado"/>
        <w:jc w:val="center"/>
        <w:rPr>
          <w:rFonts w:ascii="Times New Roman" w:hAnsi="Times New Roman" w:cs="Times New Roman"/>
          <w:b/>
          <w:color w:val="FF0000"/>
          <w:sz w:val="18"/>
          <w:lang w:val="es-MX"/>
        </w:rPr>
      </w:pPr>
    </w:p>
    <w:p w14:paraId="0BD7EEA2" w14:textId="77777777" w:rsidR="00343A5D" w:rsidRPr="00A72391" w:rsidRDefault="00343A5D" w:rsidP="00F25E21">
      <w:pPr>
        <w:pStyle w:val="Sinespaciado"/>
        <w:rPr>
          <w:rFonts w:ascii="Times New Roman" w:hAnsi="Times New Roman" w:cs="Times New Roman"/>
          <w:b/>
          <w:color w:val="FF0000"/>
          <w:sz w:val="20"/>
          <w:lang w:val="es-MX"/>
        </w:rPr>
        <w:sectPr w:rsidR="00343A5D" w:rsidRPr="00A72391" w:rsidSect="004E358C">
          <w:headerReference w:type="default" r:id="rId11"/>
          <w:footerReference w:type="default" r:id="rId12"/>
          <w:type w:val="continuous"/>
          <w:pgSz w:w="12240" w:h="15840"/>
          <w:pgMar w:top="1417" w:right="1701" w:bottom="1417" w:left="1701" w:header="708" w:footer="708" w:gutter="0"/>
          <w:cols w:space="708"/>
          <w:docGrid w:linePitch="360"/>
        </w:sectPr>
      </w:pPr>
    </w:p>
    <w:p w14:paraId="75EA6EE7" w14:textId="77777777" w:rsidR="00777B81" w:rsidRPr="00777B81" w:rsidRDefault="00777B81" w:rsidP="00777B81">
      <w:pPr>
        <w:spacing w:after="0" w:line="240" w:lineRule="auto"/>
        <w:jc w:val="both"/>
        <w:rPr>
          <w:rFonts w:ascii="Times New Roman" w:hAnsi="Times New Roman" w:cs="Times New Roman"/>
        </w:rPr>
      </w:pPr>
      <w:r w:rsidRPr="00C6700D">
        <w:rPr>
          <w:rFonts w:ascii="Times New Roman" w:hAnsi="Times New Roman" w:cs="Times New Roman"/>
        </w:rPr>
        <w:t>Datos preliminares acumulados al 31 de mayo dan cuenta de una brecha positiva de Q4,1</w:t>
      </w:r>
      <w:r>
        <w:rPr>
          <w:rFonts w:ascii="Times New Roman" w:hAnsi="Times New Roman" w:cs="Times New Roman"/>
        </w:rPr>
        <w:t xml:space="preserve">23.8 </w:t>
      </w:r>
      <w:r w:rsidRPr="00C6700D">
        <w:rPr>
          <w:rFonts w:ascii="Times New Roman" w:hAnsi="Times New Roman" w:cs="Times New Roman"/>
        </w:rPr>
        <w:t xml:space="preserve">millones respecto a lo programado en el presupuesto vigente.  Aspectos relevantes que permitieron superar la meta en el ejercicio 2021 es el esfuerzo realizado por la SAT para aumentar la percepción de riesgo de los </w:t>
      </w:r>
      <w:r w:rsidRPr="00C6700D">
        <w:rPr>
          <w:rFonts w:ascii="Times New Roman" w:hAnsi="Times New Roman" w:cs="Times New Roman"/>
        </w:rPr>
        <w:t xml:space="preserve">contribuyentes, así como a las acciones que permiten un mayor control en los principales puertos y carreteras (marchamo electrónico), puesta en marcha de los puestos </w:t>
      </w:r>
      <w:r>
        <w:rPr>
          <w:rFonts w:ascii="Times New Roman" w:hAnsi="Times New Roman" w:cs="Times New Roman"/>
        </w:rPr>
        <w:t xml:space="preserve">de control, aumento en el </w:t>
      </w:r>
      <w:r w:rsidRPr="00C6700D">
        <w:rPr>
          <w:rFonts w:ascii="Times New Roman" w:hAnsi="Times New Roman" w:cs="Times New Roman"/>
        </w:rPr>
        <w:t>cumplimiento tributario, y en el cobro judicial.</w:t>
      </w:r>
    </w:p>
    <w:p w14:paraId="3DAD7AA5" w14:textId="77777777" w:rsidR="00777B81" w:rsidRPr="00C6700D" w:rsidRDefault="00777B81" w:rsidP="00777B81">
      <w:pPr>
        <w:spacing w:after="0" w:line="240" w:lineRule="auto"/>
        <w:jc w:val="both"/>
        <w:rPr>
          <w:rFonts w:ascii="Times New Roman" w:hAnsi="Times New Roman" w:cs="Times New Roman"/>
        </w:rPr>
      </w:pPr>
      <w:r w:rsidRPr="00C6700D">
        <w:rPr>
          <w:rFonts w:ascii="Times New Roman" w:hAnsi="Times New Roman" w:cs="Times New Roman"/>
        </w:rPr>
        <w:lastRenderedPageBreak/>
        <w:t>Con relación a la recaudación observada en 2020, hay un crecimiento de 24% (Q5,9</w:t>
      </w:r>
      <w:r>
        <w:rPr>
          <w:rFonts w:ascii="Times New Roman" w:hAnsi="Times New Roman" w:cs="Times New Roman"/>
        </w:rPr>
        <w:t xml:space="preserve">77.2 </w:t>
      </w:r>
      <w:r w:rsidRPr="00C6700D">
        <w:rPr>
          <w:rFonts w:ascii="Times New Roman" w:hAnsi="Times New Roman" w:cs="Times New Roman"/>
        </w:rPr>
        <w:t>millones), de los cuales el impuesto a la renta y el IVA son los que mayor contribución tienen a esta brecha, pues en su conjunto aportan Q4,687.8 millones.</w:t>
      </w:r>
    </w:p>
    <w:p w14:paraId="4346E6FB" w14:textId="77777777" w:rsidR="00777B81" w:rsidRPr="00777B81" w:rsidRDefault="00777B81" w:rsidP="00777B81">
      <w:pPr>
        <w:spacing w:after="0" w:line="240" w:lineRule="auto"/>
        <w:jc w:val="both"/>
        <w:rPr>
          <w:rFonts w:ascii="Times New Roman" w:hAnsi="Times New Roman" w:cs="Times New Roman"/>
          <w:sz w:val="18"/>
        </w:rPr>
      </w:pPr>
    </w:p>
    <w:p w14:paraId="1217F943" w14:textId="77777777" w:rsidR="00F21DB9" w:rsidRPr="00777B81" w:rsidRDefault="00777B81" w:rsidP="00777B81">
      <w:pPr>
        <w:spacing w:after="0" w:line="240" w:lineRule="auto"/>
        <w:jc w:val="both"/>
        <w:rPr>
          <w:rFonts w:ascii="Times New Roman" w:hAnsi="Times New Roman" w:cs="Times New Roman"/>
        </w:rPr>
      </w:pPr>
      <w:r w:rsidRPr="00777B81">
        <w:rPr>
          <w:rFonts w:ascii="Times New Roman" w:hAnsi="Times New Roman" w:cs="Times New Roman"/>
        </w:rPr>
        <w:t>Destaca en la comparación interanual acumulada la recuperación de la recaudación asociada al comercio internacional la cual, al 31 de mayo, crece en 37.2% (Q2,357.5 millones) respecto a lo observado en 2020.  El IVA de importaciones supera lo observado en  Q2,023.2 millones y los derechos arancelarios en Q334.2 millones, este crecimiento en las cifras de comercio para el ejercicio 2021 se ve influenciado por el efecto de la pandemia del virus SARS-COV2 en 2020, año en el cual se contrajeron las negociaciones comerciales producto de las medidas adoptadas por los gobiernos, en 2019 las importaciones gravadas acumuladas al mes de mayo crecían en 5% para el 2020 caían en -8.7% para el 2021 a abril se observa un crecimiento de 27.3%, este crecimiento en gran medida obedece a los  combustibles y lubricantes que en valor crecen en 46.8% , en precio 37.8% y el volumen de 6.5%.</w:t>
      </w:r>
    </w:p>
    <w:p w14:paraId="3CC23D28" w14:textId="77777777" w:rsidR="004456FD" w:rsidRPr="00777B81" w:rsidRDefault="004456FD" w:rsidP="00DC711C">
      <w:pPr>
        <w:spacing w:after="0" w:line="240" w:lineRule="auto"/>
        <w:jc w:val="both"/>
        <w:rPr>
          <w:rFonts w:ascii="Times New Roman" w:hAnsi="Times New Roman" w:cs="Times New Roman"/>
        </w:rPr>
      </w:pPr>
    </w:p>
    <w:p w14:paraId="02B0FBC1" w14:textId="77777777" w:rsidR="00F25E21" w:rsidRPr="00777B81" w:rsidRDefault="00F25E21" w:rsidP="00DC711C">
      <w:pPr>
        <w:spacing w:after="0" w:line="240" w:lineRule="auto"/>
        <w:jc w:val="center"/>
        <w:rPr>
          <w:rFonts w:ascii="Times New Roman" w:hAnsi="Times New Roman" w:cs="Times New Roman"/>
          <w:b/>
        </w:rPr>
      </w:pPr>
      <w:r w:rsidRPr="00777B81">
        <w:rPr>
          <w:rFonts w:ascii="Times New Roman" w:hAnsi="Times New Roman" w:cs="Times New Roman"/>
          <w:b/>
        </w:rPr>
        <w:t xml:space="preserve">Variación interanual </w:t>
      </w:r>
      <w:r w:rsidR="0002628B" w:rsidRPr="00777B81">
        <w:rPr>
          <w:rFonts w:ascii="Times New Roman" w:hAnsi="Times New Roman" w:cs="Times New Roman"/>
          <w:b/>
        </w:rPr>
        <w:t xml:space="preserve">acumulada </w:t>
      </w:r>
      <w:r w:rsidRPr="00777B81">
        <w:rPr>
          <w:rFonts w:ascii="Times New Roman" w:hAnsi="Times New Roman" w:cs="Times New Roman"/>
          <w:b/>
        </w:rPr>
        <w:t>de la recaudación</w:t>
      </w:r>
      <w:r w:rsidR="00DC711C" w:rsidRPr="00777B81">
        <w:rPr>
          <w:rFonts w:ascii="Times New Roman" w:hAnsi="Times New Roman" w:cs="Times New Roman"/>
          <w:b/>
        </w:rPr>
        <w:t xml:space="preserve"> tributaria neta </w:t>
      </w:r>
      <w:r w:rsidR="00F54627" w:rsidRPr="00777B81">
        <w:rPr>
          <w:rFonts w:ascii="Times New Roman" w:hAnsi="Times New Roman" w:cs="Times New Roman"/>
          <w:b/>
        </w:rPr>
        <w:t>2012-2021</w:t>
      </w:r>
    </w:p>
    <w:p w14:paraId="5AB6D4E2" w14:textId="77777777" w:rsidR="00F25E21" w:rsidRPr="00777B81" w:rsidRDefault="00F25E21" w:rsidP="00F25E21">
      <w:pPr>
        <w:spacing w:after="0" w:line="240" w:lineRule="auto"/>
        <w:jc w:val="center"/>
        <w:rPr>
          <w:rFonts w:ascii="Times New Roman" w:hAnsi="Times New Roman" w:cs="Times New Roman"/>
          <w:sz w:val="20"/>
        </w:rPr>
      </w:pPr>
      <w:r w:rsidRPr="00777B81">
        <w:rPr>
          <w:rFonts w:ascii="Times New Roman" w:hAnsi="Times New Roman" w:cs="Times New Roman"/>
          <w:sz w:val="20"/>
        </w:rPr>
        <w:t>Porcentajes</w:t>
      </w:r>
    </w:p>
    <w:p w14:paraId="3311BDAB" w14:textId="77777777" w:rsidR="00F25E21" w:rsidRPr="00777B81" w:rsidRDefault="00D35260" w:rsidP="00F25E21">
      <w:pPr>
        <w:spacing w:after="0" w:line="240" w:lineRule="auto"/>
        <w:jc w:val="both"/>
        <w:rPr>
          <w:rFonts w:ascii="Times New Roman" w:hAnsi="Times New Roman" w:cs="Times New Roman"/>
        </w:rPr>
      </w:pPr>
      <w:r w:rsidRPr="00777B81">
        <w:rPr>
          <w:rFonts w:ascii="Times New Roman" w:hAnsi="Times New Roman" w:cs="Times New Roman"/>
          <w:noProof/>
          <w:lang w:eastAsia="es-GT"/>
        </w:rPr>
        <w:drawing>
          <wp:inline distT="0" distB="0" distL="0" distR="0" wp14:anchorId="044B05CC" wp14:editId="4D2A0E6B">
            <wp:extent cx="2639060" cy="1604513"/>
            <wp:effectExtent l="0" t="0" r="8890" b="0"/>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A61240" w14:textId="77777777" w:rsidR="00F25E21" w:rsidRPr="00777B81" w:rsidRDefault="00F25E21" w:rsidP="00F54627">
      <w:pPr>
        <w:spacing w:after="0" w:line="240" w:lineRule="auto"/>
        <w:jc w:val="both"/>
        <w:rPr>
          <w:rFonts w:ascii="Times New Roman" w:hAnsi="Times New Roman" w:cs="Times New Roman"/>
          <w:sz w:val="16"/>
        </w:rPr>
      </w:pPr>
      <w:r w:rsidRPr="00777B81">
        <w:rPr>
          <w:rFonts w:ascii="Times New Roman" w:hAnsi="Times New Roman" w:cs="Times New Roman"/>
          <w:sz w:val="16"/>
        </w:rPr>
        <w:t>Fuente: Ministerio de Finanzas Públicas</w:t>
      </w:r>
      <w:r w:rsidR="00080B88" w:rsidRPr="00777B81">
        <w:rPr>
          <w:rFonts w:ascii="Times New Roman" w:hAnsi="Times New Roman" w:cs="Times New Roman"/>
          <w:sz w:val="16"/>
        </w:rPr>
        <w:t>.</w:t>
      </w:r>
    </w:p>
    <w:p w14:paraId="601705E1" w14:textId="77777777" w:rsidR="00F54627" w:rsidRPr="00777B81" w:rsidRDefault="00F54627" w:rsidP="00F54627">
      <w:pPr>
        <w:spacing w:after="0" w:line="240" w:lineRule="auto"/>
        <w:jc w:val="both"/>
        <w:rPr>
          <w:rFonts w:ascii="Times New Roman" w:hAnsi="Times New Roman" w:cs="Times New Roman"/>
          <w:sz w:val="16"/>
        </w:rPr>
      </w:pPr>
    </w:p>
    <w:p w14:paraId="6E496067" w14:textId="77777777" w:rsidR="00777B81" w:rsidRPr="00777B81" w:rsidRDefault="00777B81" w:rsidP="00777B81">
      <w:pPr>
        <w:spacing w:after="0" w:line="240" w:lineRule="auto"/>
        <w:jc w:val="both"/>
        <w:rPr>
          <w:rFonts w:ascii="Times New Roman" w:hAnsi="Times New Roman" w:cs="Times New Roman"/>
        </w:rPr>
      </w:pPr>
      <w:r w:rsidRPr="00777B81">
        <w:rPr>
          <w:rFonts w:ascii="Times New Roman" w:hAnsi="Times New Roman" w:cs="Times New Roman"/>
        </w:rPr>
        <w:t xml:space="preserve">La recaudación tributaria del mes de mayo superó la meta establecida en presupuesto en </w:t>
      </w:r>
      <w:r w:rsidRPr="00777B81">
        <w:rPr>
          <w:rFonts w:ascii="Times New Roman" w:hAnsi="Times New Roman" w:cs="Times New Roman"/>
        </w:rPr>
        <w:t>casi todos los impuestos excepto el impuesto de circulación de vehículos el cual dejó de percibir Q2.9 millones y en los no administrados por SAT (impuesto a las regalías e hidrocarburos compartibles) que en conjunto suman Q37.6 millones</w:t>
      </w:r>
    </w:p>
    <w:p w14:paraId="10043D31" w14:textId="77777777" w:rsidR="00D35260" w:rsidRPr="00777B81" w:rsidRDefault="00D35260" w:rsidP="00080B88">
      <w:pPr>
        <w:spacing w:after="0" w:line="240" w:lineRule="auto"/>
        <w:jc w:val="both"/>
        <w:rPr>
          <w:rFonts w:ascii="Times New Roman" w:hAnsi="Times New Roman" w:cs="Times New Roman"/>
          <w:b/>
          <w:bCs/>
          <w:sz w:val="18"/>
        </w:rPr>
      </w:pPr>
    </w:p>
    <w:p w14:paraId="0DAC3853" w14:textId="77777777" w:rsidR="00F25E21" w:rsidRPr="00777B81" w:rsidRDefault="0089425E" w:rsidP="00080B88">
      <w:pPr>
        <w:spacing w:after="0" w:line="240" w:lineRule="auto"/>
        <w:jc w:val="both"/>
        <w:rPr>
          <w:rFonts w:ascii="Times New Roman" w:hAnsi="Times New Roman" w:cs="Times New Roman"/>
          <w:b/>
        </w:rPr>
      </w:pPr>
      <w:r w:rsidRPr="00777B81">
        <w:rPr>
          <w:rFonts w:ascii="Times New Roman" w:hAnsi="Times New Roman" w:cs="Times New Roman"/>
          <w:b/>
        </w:rPr>
        <w:t>El Impuesto S</w:t>
      </w:r>
      <w:r w:rsidR="003B7D31" w:rsidRPr="00777B81">
        <w:rPr>
          <w:rFonts w:ascii="Times New Roman" w:hAnsi="Times New Roman" w:cs="Times New Roman"/>
          <w:b/>
        </w:rPr>
        <w:t>obre</w:t>
      </w:r>
      <w:r w:rsidRPr="00777B81">
        <w:rPr>
          <w:rFonts w:ascii="Times New Roman" w:hAnsi="Times New Roman" w:cs="Times New Roman"/>
          <w:b/>
        </w:rPr>
        <w:t xml:space="preserve"> la R</w:t>
      </w:r>
      <w:r w:rsidR="00F25E21" w:rsidRPr="00777B81">
        <w:rPr>
          <w:rFonts w:ascii="Times New Roman" w:hAnsi="Times New Roman" w:cs="Times New Roman"/>
          <w:b/>
        </w:rPr>
        <w:t>enta y el ISO</w:t>
      </w:r>
    </w:p>
    <w:p w14:paraId="22F9927C" w14:textId="77777777" w:rsidR="00080B88" w:rsidRPr="00A72391" w:rsidRDefault="00080B88" w:rsidP="00080B88">
      <w:pPr>
        <w:spacing w:after="0" w:line="240" w:lineRule="auto"/>
        <w:jc w:val="both"/>
        <w:rPr>
          <w:rFonts w:ascii="Times New Roman" w:hAnsi="Times New Roman" w:cs="Times New Roman"/>
          <w:b/>
          <w:color w:val="FF0000"/>
          <w:sz w:val="18"/>
        </w:rPr>
      </w:pPr>
    </w:p>
    <w:p w14:paraId="5B7559B7" w14:textId="77777777" w:rsidR="00777B81" w:rsidRPr="00C6700D" w:rsidRDefault="00777B81" w:rsidP="00777B81">
      <w:pPr>
        <w:spacing w:after="0" w:line="240" w:lineRule="auto"/>
        <w:jc w:val="both"/>
        <w:rPr>
          <w:rFonts w:ascii="Times New Roman" w:hAnsi="Times New Roman" w:cs="Times New Roman"/>
        </w:rPr>
      </w:pPr>
      <w:r w:rsidRPr="00C6700D">
        <w:rPr>
          <w:rFonts w:ascii="Times New Roman" w:hAnsi="Times New Roman" w:cs="Times New Roman"/>
        </w:rPr>
        <w:t>En mayo estos impuestos superaron la meta establecida en presupuesto en Q4</w:t>
      </w:r>
      <w:r>
        <w:rPr>
          <w:rFonts w:ascii="Times New Roman" w:hAnsi="Times New Roman" w:cs="Times New Roman"/>
        </w:rPr>
        <w:t>55.3</w:t>
      </w:r>
      <w:r w:rsidRPr="00C6700D">
        <w:rPr>
          <w:rFonts w:ascii="Times New Roman" w:hAnsi="Times New Roman" w:cs="Times New Roman"/>
        </w:rPr>
        <w:t xml:space="preserve"> millones. De manera acumula estos dos impuestos generan una brecha positiva al 31 de mayo de Q1,8</w:t>
      </w:r>
      <w:r>
        <w:rPr>
          <w:rFonts w:ascii="Times New Roman" w:hAnsi="Times New Roman" w:cs="Times New Roman"/>
        </w:rPr>
        <w:t xml:space="preserve">08.2 </w:t>
      </w:r>
      <w:r w:rsidRPr="00C6700D">
        <w:rPr>
          <w:rFonts w:ascii="Times New Roman" w:hAnsi="Times New Roman" w:cs="Times New Roman"/>
        </w:rPr>
        <w:t>millones respecto a la meta de presupuesto y con relación al año 2020 se observa una brecha de Q1,8</w:t>
      </w:r>
      <w:r>
        <w:rPr>
          <w:rFonts w:ascii="Times New Roman" w:hAnsi="Times New Roman" w:cs="Times New Roman"/>
        </w:rPr>
        <w:t>37.8</w:t>
      </w:r>
      <w:r w:rsidRPr="00C6700D">
        <w:rPr>
          <w:rFonts w:ascii="Times New Roman" w:hAnsi="Times New Roman" w:cs="Times New Roman"/>
        </w:rPr>
        <w:t xml:space="preserve"> millones.</w:t>
      </w:r>
    </w:p>
    <w:p w14:paraId="3FFFA3F0" w14:textId="77777777" w:rsidR="00E4153A" w:rsidRPr="00A72391" w:rsidRDefault="00E4153A" w:rsidP="00D35260">
      <w:pPr>
        <w:spacing w:after="0" w:line="240" w:lineRule="auto"/>
        <w:jc w:val="both"/>
        <w:rPr>
          <w:rFonts w:ascii="Times New Roman" w:hAnsi="Times New Roman" w:cs="Times New Roman"/>
          <w:color w:val="FF0000"/>
          <w:sz w:val="18"/>
        </w:rPr>
      </w:pPr>
    </w:p>
    <w:p w14:paraId="4D40FB97" w14:textId="77777777" w:rsidR="00F25E21" w:rsidRPr="00777B81" w:rsidRDefault="00F25E21" w:rsidP="00080B88">
      <w:pPr>
        <w:spacing w:after="0" w:line="240" w:lineRule="auto"/>
        <w:jc w:val="both"/>
        <w:rPr>
          <w:rFonts w:ascii="Times New Roman" w:hAnsi="Times New Roman" w:cs="Times New Roman"/>
          <w:b/>
        </w:rPr>
      </w:pPr>
      <w:r w:rsidRPr="00777B81">
        <w:rPr>
          <w:rFonts w:ascii="Times New Roman" w:hAnsi="Times New Roman" w:cs="Times New Roman"/>
          <w:b/>
        </w:rPr>
        <w:t xml:space="preserve">El </w:t>
      </w:r>
      <w:r w:rsidR="00DE6FB7" w:rsidRPr="00777B81">
        <w:rPr>
          <w:rFonts w:ascii="Times New Roman" w:hAnsi="Times New Roman" w:cs="Times New Roman"/>
          <w:b/>
        </w:rPr>
        <w:t>Impuesto al V</w:t>
      </w:r>
      <w:r w:rsidRPr="00777B81">
        <w:rPr>
          <w:rFonts w:ascii="Times New Roman" w:hAnsi="Times New Roman" w:cs="Times New Roman"/>
          <w:b/>
        </w:rPr>
        <w:t xml:space="preserve">alor </w:t>
      </w:r>
      <w:r w:rsidR="00DE6FB7" w:rsidRPr="00777B81">
        <w:rPr>
          <w:rFonts w:ascii="Times New Roman" w:hAnsi="Times New Roman" w:cs="Times New Roman"/>
          <w:b/>
        </w:rPr>
        <w:t>A</w:t>
      </w:r>
      <w:r w:rsidRPr="00777B81">
        <w:rPr>
          <w:rFonts w:ascii="Times New Roman" w:hAnsi="Times New Roman" w:cs="Times New Roman"/>
          <w:b/>
        </w:rPr>
        <w:t>gregado</w:t>
      </w:r>
    </w:p>
    <w:p w14:paraId="51009BAF" w14:textId="77777777" w:rsidR="00080B88" w:rsidRPr="00A72391" w:rsidRDefault="00080B88" w:rsidP="00080B88">
      <w:pPr>
        <w:spacing w:after="0" w:line="240" w:lineRule="auto"/>
        <w:jc w:val="both"/>
        <w:rPr>
          <w:rFonts w:ascii="Times New Roman" w:hAnsi="Times New Roman" w:cs="Times New Roman"/>
          <w:b/>
          <w:color w:val="FF0000"/>
          <w:sz w:val="18"/>
        </w:rPr>
      </w:pPr>
    </w:p>
    <w:p w14:paraId="1F615B86" w14:textId="77777777" w:rsidR="00777B81" w:rsidRPr="00C6700D" w:rsidRDefault="00777B81" w:rsidP="00777B81">
      <w:pPr>
        <w:spacing w:after="0" w:line="240" w:lineRule="auto"/>
        <w:jc w:val="both"/>
        <w:rPr>
          <w:rFonts w:ascii="Times New Roman" w:hAnsi="Times New Roman" w:cs="Times New Roman"/>
        </w:rPr>
      </w:pPr>
      <w:r w:rsidRPr="00C6700D">
        <w:rPr>
          <w:rFonts w:ascii="Times New Roman" w:hAnsi="Times New Roman" w:cs="Times New Roman"/>
        </w:rPr>
        <w:t xml:space="preserve">Este impuesto ha recobrado su dinámica estos primeros cinco meses del año esto influenciado principalmente por un aumento en el consumo el cual puede haberse dinamizado por mayor disponibilidad de recursos ante una recuperación en las remesas familiares información preliminar da cuenta de un crecimiento interanual </w:t>
      </w:r>
      <w:r>
        <w:rPr>
          <w:rFonts w:ascii="Times New Roman" w:hAnsi="Times New Roman" w:cs="Times New Roman"/>
        </w:rPr>
        <w:t xml:space="preserve">acumulado a </w:t>
      </w:r>
      <w:r w:rsidRPr="00C6700D">
        <w:rPr>
          <w:rFonts w:ascii="Times New Roman" w:hAnsi="Times New Roman" w:cs="Times New Roman"/>
        </w:rPr>
        <w:t>mayo de 43.</w:t>
      </w:r>
      <w:r>
        <w:rPr>
          <w:rFonts w:ascii="Times New Roman" w:hAnsi="Times New Roman" w:cs="Times New Roman"/>
        </w:rPr>
        <w:t>1</w:t>
      </w:r>
      <w:r w:rsidRPr="00C6700D">
        <w:rPr>
          <w:rFonts w:ascii="Times New Roman" w:hAnsi="Times New Roman" w:cs="Times New Roman"/>
        </w:rPr>
        <w:t>% dicho monto supera lo observado en los últimos 10 años, el promedio excluyendo 2020 es de 15.3%.</w:t>
      </w:r>
    </w:p>
    <w:p w14:paraId="7500DA13" w14:textId="77777777" w:rsidR="00777B81" w:rsidRPr="00C6700D" w:rsidRDefault="00777B81" w:rsidP="00777B81">
      <w:pPr>
        <w:spacing w:after="0" w:line="240" w:lineRule="auto"/>
        <w:jc w:val="both"/>
        <w:rPr>
          <w:rFonts w:ascii="Times New Roman" w:hAnsi="Times New Roman" w:cs="Times New Roman"/>
          <w:sz w:val="18"/>
        </w:rPr>
      </w:pPr>
    </w:p>
    <w:p w14:paraId="3CBB0629" w14:textId="77777777" w:rsidR="00777B81" w:rsidRPr="00C6700D" w:rsidRDefault="00777B81" w:rsidP="00777B81">
      <w:pPr>
        <w:spacing w:after="0" w:line="240" w:lineRule="auto"/>
        <w:jc w:val="both"/>
        <w:rPr>
          <w:rFonts w:ascii="Times New Roman" w:hAnsi="Times New Roman" w:cs="Times New Roman"/>
        </w:rPr>
      </w:pPr>
      <w:r w:rsidRPr="00C6700D">
        <w:rPr>
          <w:rFonts w:ascii="Times New Roman" w:hAnsi="Times New Roman" w:cs="Times New Roman"/>
        </w:rPr>
        <w:t>El IVA total genera una brecha mensual de Q713.5 millones respecto a la meta de presupuesto, el impuesto al valor agregado asociado al consumo interno de mayo superó la meta de presupuesto en Q256.3 millones, el IVA asociado al comercio exterior supera lo programado en presupuesto en Q457.2 millones, con relación al año anterior estos dos impuestos superan lo observado en Q962.</w:t>
      </w:r>
      <w:r>
        <w:rPr>
          <w:rFonts w:ascii="Times New Roman" w:hAnsi="Times New Roman" w:cs="Times New Roman"/>
        </w:rPr>
        <w:t>1</w:t>
      </w:r>
      <w:r w:rsidRPr="00C6700D">
        <w:rPr>
          <w:rFonts w:ascii="Times New Roman" w:hAnsi="Times New Roman" w:cs="Times New Roman"/>
        </w:rPr>
        <w:t xml:space="preserve"> millones siendo el IVA asociado al comercio exterior el que más aporta Q666.1 millones.</w:t>
      </w:r>
    </w:p>
    <w:p w14:paraId="6DE82517" w14:textId="77777777" w:rsidR="00777B81" w:rsidRPr="00C6700D" w:rsidRDefault="00777B81" w:rsidP="00777B81">
      <w:pPr>
        <w:spacing w:after="0" w:line="240" w:lineRule="auto"/>
        <w:jc w:val="both"/>
        <w:rPr>
          <w:rFonts w:ascii="Times New Roman" w:hAnsi="Times New Roman" w:cs="Times New Roman"/>
          <w:sz w:val="18"/>
        </w:rPr>
      </w:pPr>
    </w:p>
    <w:p w14:paraId="7DE3C728" w14:textId="77777777" w:rsidR="00D35260" w:rsidRPr="00777B81" w:rsidRDefault="00777B81" w:rsidP="00EF5550">
      <w:pPr>
        <w:spacing w:after="0" w:line="240" w:lineRule="auto"/>
        <w:jc w:val="both"/>
        <w:rPr>
          <w:rFonts w:ascii="Times New Roman" w:hAnsi="Times New Roman" w:cs="Times New Roman"/>
        </w:rPr>
      </w:pPr>
      <w:r w:rsidRPr="00C6700D">
        <w:rPr>
          <w:rFonts w:ascii="Times New Roman" w:hAnsi="Times New Roman" w:cs="Times New Roman"/>
        </w:rPr>
        <w:t>De manera acumulada este impuesto genera brecha positiva de Q1,674.</w:t>
      </w:r>
      <w:r>
        <w:rPr>
          <w:rFonts w:ascii="Times New Roman" w:hAnsi="Times New Roman" w:cs="Times New Roman"/>
        </w:rPr>
        <w:t>2</w:t>
      </w:r>
      <w:r w:rsidRPr="00C6700D">
        <w:rPr>
          <w:rFonts w:ascii="Times New Roman" w:hAnsi="Times New Roman" w:cs="Times New Roman"/>
        </w:rPr>
        <w:t xml:space="preserve"> millones respecto </w:t>
      </w:r>
      <w:r w:rsidRPr="00C6700D">
        <w:rPr>
          <w:rFonts w:ascii="Times New Roman" w:hAnsi="Times New Roman" w:cs="Times New Roman"/>
        </w:rPr>
        <w:lastRenderedPageBreak/>
        <w:t>a la meta de presupuesto y de Q3,06</w:t>
      </w:r>
      <w:r>
        <w:rPr>
          <w:rFonts w:ascii="Times New Roman" w:hAnsi="Times New Roman" w:cs="Times New Roman"/>
        </w:rPr>
        <w:t>0.9</w:t>
      </w:r>
      <w:r w:rsidRPr="00C6700D">
        <w:rPr>
          <w:rFonts w:ascii="Times New Roman" w:hAnsi="Times New Roman" w:cs="Times New Roman"/>
        </w:rPr>
        <w:t xml:space="preserve"> millones respecto a 2020.</w:t>
      </w:r>
    </w:p>
    <w:p w14:paraId="265C47A3" w14:textId="77777777" w:rsidR="00AB39D4" w:rsidRPr="00777B81" w:rsidRDefault="00AB39D4" w:rsidP="00EF5550">
      <w:pPr>
        <w:spacing w:after="0" w:line="240" w:lineRule="auto"/>
        <w:jc w:val="both"/>
        <w:rPr>
          <w:rFonts w:ascii="Times New Roman" w:hAnsi="Times New Roman" w:cs="Times New Roman"/>
        </w:rPr>
      </w:pPr>
    </w:p>
    <w:p w14:paraId="3D3506AA" w14:textId="77777777" w:rsidR="00F25E21" w:rsidRPr="00777B81" w:rsidRDefault="00F25E21" w:rsidP="00EF5550">
      <w:pPr>
        <w:spacing w:after="0" w:line="240" w:lineRule="auto"/>
        <w:jc w:val="both"/>
        <w:rPr>
          <w:rFonts w:ascii="Times New Roman" w:hAnsi="Times New Roman" w:cs="Times New Roman"/>
          <w:b/>
          <w:bCs/>
        </w:rPr>
      </w:pPr>
      <w:r w:rsidRPr="00777B81">
        <w:rPr>
          <w:rFonts w:ascii="Times New Roman" w:hAnsi="Times New Roman" w:cs="Times New Roman"/>
          <w:b/>
          <w:bCs/>
        </w:rPr>
        <w:t>Los demás impuestos</w:t>
      </w:r>
    </w:p>
    <w:p w14:paraId="364D886B" w14:textId="77777777" w:rsidR="00DC711C" w:rsidRPr="00A72391" w:rsidRDefault="00DC711C" w:rsidP="00EF5550">
      <w:pPr>
        <w:spacing w:after="0" w:line="240" w:lineRule="auto"/>
        <w:jc w:val="both"/>
        <w:rPr>
          <w:rFonts w:ascii="Times New Roman" w:hAnsi="Times New Roman" w:cs="Times New Roman"/>
          <w:b/>
          <w:bCs/>
          <w:color w:val="FF0000"/>
        </w:rPr>
      </w:pPr>
    </w:p>
    <w:p w14:paraId="5777307C" w14:textId="77777777" w:rsidR="00777B81" w:rsidRPr="00C6700D" w:rsidRDefault="00777B81" w:rsidP="00777B81">
      <w:pPr>
        <w:spacing w:after="0" w:line="240" w:lineRule="auto"/>
        <w:jc w:val="both"/>
        <w:rPr>
          <w:rFonts w:ascii="Times New Roman" w:hAnsi="Times New Roman" w:cs="Times New Roman"/>
        </w:rPr>
      </w:pPr>
      <w:r w:rsidRPr="00C6700D">
        <w:rPr>
          <w:rFonts w:ascii="Times New Roman" w:hAnsi="Times New Roman" w:cs="Times New Roman"/>
        </w:rPr>
        <w:t xml:space="preserve">De los demás impuestos, en mayo destaca que los impuestos no administrados por la SAT y el de circulación de vehículos no alcanzaron la </w:t>
      </w:r>
      <w:r w:rsidRPr="00C6700D">
        <w:rPr>
          <w:rFonts w:ascii="Times New Roman" w:hAnsi="Times New Roman" w:cs="Times New Roman"/>
        </w:rPr>
        <w:t>meta de presupuesto, generando una brecha en conjunto de Q4</w:t>
      </w:r>
      <w:r>
        <w:rPr>
          <w:rFonts w:ascii="Times New Roman" w:hAnsi="Times New Roman" w:cs="Times New Roman"/>
        </w:rPr>
        <w:t xml:space="preserve">0.5 </w:t>
      </w:r>
      <w:r w:rsidRPr="00C6700D">
        <w:rPr>
          <w:rFonts w:ascii="Times New Roman" w:hAnsi="Times New Roman" w:cs="Times New Roman"/>
        </w:rPr>
        <w:t>millones.</w:t>
      </w:r>
    </w:p>
    <w:p w14:paraId="128BE70E" w14:textId="77777777" w:rsidR="00777B81" w:rsidRPr="00C6700D" w:rsidRDefault="00777B81" w:rsidP="00777B81">
      <w:pPr>
        <w:spacing w:after="0" w:line="240" w:lineRule="auto"/>
        <w:jc w:val="both"/>
        <w:rPr>
          <w:rFonts w:ascii="Times New Roman" w:hAnsi="Times New Roman" w:cs="Times New Roman"/>
        </w:rPr>
      </w:pPr>
    </w:p>
    <w:p w14:paraId="1C2BCE0B" w14:textId="77777777" w:rsidR="00777B81" w:rsidRPr="00C6700D" w:rsidRDefault="00777B81" w:rsidP="00777B81">
      <w:pPr>
        <w:spacing w:after="0" w:line="240" w:lineRule="auto"/>
        <w:jc w:val="both"/>
        <w:rPr>
          <w:rFonts w:ascii="Times New Roman" w:hAnsi="Times New Roman" w:cs="Times New Roman"/>
          <w:noProof/>
        </w:rPr>
      </w:pPr>
      <w:r w:rsidRPr="00C6700D">
        <w:rPr>
          <w:rFonts w:ascii="Times New Roman" w:hAnsi="Times New Roman" w:cs="Times New Roman"/>
        </w:rPr>
        <w:t>De manera acumulada el impuesto a los tabacos genera brecha negativa de Q20.1 millones y los impuestos no administrados por SAT Q9</w:t>
      </w:r>
      <w:r>
        <w:rPr>
          <w:rFonts w:ascii="Times New Roman" w:hAnsi="Times New Roman" w:cs="Times New Roman"/>
        </w:rPr>
        <w:t xml:space="preserve">2.9 </w:t>
      </w:r>
      <w:r w:rsidRPr="00C6700D">
        <w:rPr>
          <w:rFonts w:ascii="Times New Roman" w:hAnsi="Times New Roman" w:cs="Times New Roman"/>
        </w:rPr>
        <w:t>millones respecto a la meta de presupuesto.</w:t>
      </w:r>
      <w:r w:rsidRPr="00C6700D">
        <w:rPr>
          <w:rFonts w:ascii="Times New Roman" w:hAnsi="Times New Roman" w:cs="Times New Roman"/>
          <w:noProof/>
        </w:rPr>
        <w:t xml:space="preserve"> </w:t>
      </w:r>
    </w:p>
    <w:p w14:paraId="578C3A2F" w14:textId="77777777" w:rsidR="004C71BC" w:rsidRPr="00A72391" w:rsidRDefault="004C71BC" w:rsidP="00EF5550">
      <w:pPr>
        <w:spacing w:after="0" w:line="240" w:lineRule="auto"/>
        <w:jc w:val="both"/>
        <w:rPr>
          <w:rFonts w:ascii="Times New Roman" w:hAnsi="Times New Roman" w:cs="Times New Roman"/>
          <w:noProof/>
          <w:color w:val="FF0000"/>
        </w:rPr>
        <w:sectPr w:rsidR="004C71BC" w:rsidRPr="00A72391" w:rsidSect="00A36C8F">
          <w:type w:val="continuous"/>
          <w:pgSz w:w="12240" w:h="15840"/>
          <w:pgMar w:top="1417" w:right="1701" w:bottom="1417" w:left="1701" w:header="720" w:footer="720" w:gutter="0"/>
          <w:cols w:num="2" w:space="720"/>
          <w:docGrid w:linePitch="360"/>
        </w:sectPr>
      </w:pPr>
    </w:p>
    <w:p w14:paraId="39A11423" w14:textId="77777777" w:rsidR="00B807A2" w:rsidRPr="00A72391" w:rsidRDefault="00B807A2" w:rsidP="00674EAE">
      <w:pPr>
        <w:pStyle w:val="Sinespaciado"/>
        <w:jc w:val="both"/>
        <w:rPr>
          <w:rFonts w:ascii="Times New Roman" w:hAnsi="Times New Roman" w:cs="Times New Roman"/>
          <w:color w:val="FF0000"/>
          <w:szCs w:val="18"/>
        </w:rPr>
        <w:sectPr w:rsidR="00B807A2" w:rsidRPr="00A72391" w:rsidSect="005A03A9">
          <w:headerReference w:type="default" r:id="rId14"/>
          <w:footerReference w:type="default" r:id="rId15"/>
          <w:type w:val="continuous"/>
          <w:pgSz w:w="12240" w:h="15840"/>
          <w:pgMar w:top="1417" w:right="1701" w:bottom="1417" w:left="1701" w:header="708" w:footer="708" w:gutter="0"/>
          <w:cols w:num="2" w:space="708"/>
          <w:docGrid w:linePitch="360"/>
        </w:sectPr>
      </w:pPr>
    </w:p>
    <w:p w14:paraId="738E4E3D" w14:textId="77777777" w:rsidR="00FA3B81" w:rsidRPr="00A06E35" w:rsidRDefault="00E06DEC"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A06E35" w:rsidSect="00FA3B81">
          <w:headerReference w:type="default" r:id="rId16"/>
          <w:footerReference w:type="default" r:id="rId17"/>
          <w:type w:val="continuous"/>
          <w:pgSz w:w="12240" w:h="15840" w:code="1"/>
          <w:pgMar w:top="1418" w:right="1418" w:bottom="1418" w:left="1418" w:header="709" w:footer="709" w:gutter="0"/>
          <w:cols w:space="708"/>
          <w:docGrid w:linePitch="360"/>
        </w:sectPr>
      </w:pPr>
      <w:r w:rsidRPr="00A06E35">
        <w:rPr>
          <w:rFonts w:ascii="Times New Roman" w:hAnsi="Times New Roman" w:cs="Times New Roman"/>
          <w:b/>
          <w:lang w:val="es-MX"/>
        </w:rPr>
        <w:t>Ejecución de</w:t>
      </w:r>
      <w:r w:rsidR="00924740" w:rsidRPr="00A06E35">
        <w:rPr>
          <w:rFonts w:ascii="Times New Roman" w:hAnsi="Times New Roman" w:cs="Times New Roman"/>
          <w:b/>
          <w:lang w:val="es-MX"/>
        </w:rPr>
        <w:t xml:space="preserve"> </w:t>
      </w:r>
      <w:r w:rsidR="00E37543" w:rsidRPr="00A06E35">
        <w:rPr>
          <w:rFonts w:ascii="Times New Roman" w:hAnsi="Times New Roman" w:cs="Times New Roman"/>
          <w:b/>
          <w:lang w:val="es-MX"/>
        </w:rPr>
        <w:t xml:space="preserve">gasto </w:t>
      </w:r>
      <w:r w:rsidR="0041262B" w:rsidRPr="00A06E35">
        <w:rPr>
          <w:rFonts w:ascii="Times New Roman" w:hAnsi="Times New Roman" w:cs="Times New Roman"/>
          <w:b/>
          <w:lang w:val="es-MX"/>
        </w:rPr>
        <w:t>público</w:t>
      </w:r>
      <w:r w:rsidRPr="00A06E35">
        <w:rPr>
          <w:rFonts w:ascii="Times New Roman" w:hAnsi="Times New Roman" w:cs="Times New Roman"/>
          <w:b/>
          <w:lang w:val="es-MX"/>
        </w:rPr>
        <w:t xml:space="preserve"> se desacelera</w:t>
      </w:r>
    </w:p>
    <w:p w14:paraId="355C7DF6" w14:textId="77777777" w:rsidR="00FA3B81" w:rsidRPr="00A72391" w:rsidRDefault="00FA3B81" w:rsidP="00FA3B81">
      <w:pPr>
        <w:pStyle w:val="Sinespaciado"/>
        <w:rPr>
          <w:rFonts w:ascii="Times New Roman" w:hAnsi="Times New Roman" w:cs="Times New Roman"/>
          <w:b/>
          <w:color w:val="FF0000"/>
          <w:sz w:val="18"/>
          <w:lang w:val="es-MX"/>
        </w:rPr>
      </w:pPr>
    </w:p>
    <w:p w14:paraId="38590D53" w14:textId="77777777" w:rsidR="00FA3B81" w:rsidRPr="00A72391" w:rsidRDefault="00FA3B81" w:rsidP="0041262B">
      <w:pPr>
        <w:pStyle w:val="Sinespaciado"/>
        <w:rPr>
          <w:rFonts w:ascii="Times New Roman" w:hAnsi="Times New Roman" w:cs="Times New Roman"/>
          <w:b/>
          <w:color w:val="FF0000"/>
          <w:lang w:val="es-MX"/>
        </w:rPr>
        <w:sectPr w:rsidR="00FA3B81" w:rsidRPr="00A72391" w:rsidSect="004E358C">
          <w:type w:val="continuous"/>
          <w:pgSz w:w="12240" w:h="15840"/>
          <w:pgMar w:top="1417" w:right="1701" w:bottom="1417" w:left="1701" w:header="708" w:footer="708" w:gutter="0"/>
          <w:cols w:space="708"/>
          <w:docGrid w:linePitch="360"/>
        </w:sectPr>
      </w:pPr>
    </w:p>
    <w:p w14:paraId="4B610384" w14:textId="77777777" w:rsidR="00A06E35" w:rsidRDefault="00A06E35" w:rsidP="00A06E35">
      <w:pPr>
        <w:pStyle w:val="Sinespaciado"/>
        <w:jc w:val="both"/>
        <w:rPr>
          <w:rFonts w:ascii="Times New Roman" w:hAnsi="Times New Roman" w:cs="Times New Roman"/>
          <w:lang w:val="es-MX"/>
        </w:rPr>
      </w:pPr>
      <w:r w:rsidRPr="001E2D24">
        <w:rPr>
          <w:rFonts w:ascii="Times New Roman" w:hAnsi="Times New Roman" w:cs="Times New Roman"/>
          <w:lang w:val="es-MX"/>
        </w:rPr>
        <w:t xml:space="preserve">La ejecución del gasto público </w:t>
      </w:r>
      <w:r>
        <w:rPr>
          <w:rFonts w:ascii="Times New Roman" w:hAnsi="Times New Roman" w:cs="Times New Roman"/>
          <w:lang w:val="es-MX"/>
        </w:rPr>
        <w:t xml:space="preserve">a mayo </w:t>
      </w:r>
      <w:r w:rsidRPr="001E2D24">
        <w:rPr>
          <w:rFonts w:ascii="Times New Roman" w:hAnsi="Times New Roman" w:cs="Times New Roman"/>
          <w:lang w:val="es-MX"/>
        </w:rPr>
        <w:t>sin incluir las amortizaciones de</w:t>
      </w:r>
      <w:r>
        <w:rPr>
          <w:rFonts w:ascii="Times New Roman" w:hAnsi="Times New Roman" w:cs="Times New Roman"/>
          <w:lang w:val="es-MX"/>
        </w:rPr>
        <w:t xml:space="preserve"> la deuda pública se ubicó en Q32</w:t>
      </w:r>
      <w:r w:rsidRPr="001E2D24">
        <w:rPr>
          <w:rFonts w:ascii="Times New Roman" w:hAnsi="Times New Roman" w:cs="Times New Roman"/>
          <w:lang w:val="es-MX"/>
        </w:rPr>
        <w:t>,</w:t>
      </w:r>
      <w:r>
        <w:rPr>
          <w:rFonts w:ascii="Times New Roman" w:hAnsi="Times New Roman" w:cs="Times New Roman"/>
          <w:lang w:val="es-MX"/>
        </w:rPr>
        <w:t>905.9 millones</w:t>
      </w:r>
      <w:r w:rsidRPr="001E2D24">
        <w:rPr>
          <w:rFonts w:ascii="Times New Roman" w:hAnsi="Times New Roman" w:cs="Times New Roman"/>
          <w:lang w:val="es-MX"/>
        </w:rPr>
        <w:t xml:space="preserve"> con un crecimiento interanual</w:t>
      </w:r>
      <w:r>
        <w:rPr>
          <w:rFonts w:ascii="Times New Roman" w:hAnsi="Times New Roman" w:cs="Times New Roman"/>
          <w:lang w:val="es-MX"/>
        </w:rPr>
        <w:t xml:space="preserve"> de 6.4% (equivalente a Q1,977.3 millones), mostrando una desaceleración respecto al dinamismo observado en el mes previo. Sin embargo, muestra un crecimiento superior al reportado en 2020, cuando el gasto estaba creciendo en 4.2%, dado que aún no se encontraban en plena ejecución los programas que darían atención al COVID-19. </w:t>
      </w:r>
    </w:p>
    <w:p w14:paraId="63D0BB0A" w14:textId="77777777" w:rsidR="00E4153A" w:rsidRPr="00A72391" w:rsidRDefault="00E4153A" w:rsidP="004C2A11">
      <w:pPr>
        <w:pStyle w:val="Sinespaciado"/>
        <w:jc w:val="both"/>
        <w:rPr>
          <w:rFonts w:ascii="Times New Roman" w:hAnsi="Times New Roman" w:cs="Times New Roman"/>
          <w:color w:val="FF0000"/>
          <w:lang w:val="es-MX"/>
        </w:rPr>
      </w:pPr>
    </w:p>
    <w:p w14:paraId="59A45189" w14:textId="77777777" w:rsidR="004C2A11" w:rsidRPr="00A06E35" w:rsidRDefault="004C2A11" w:rsidP="004C2A11">
      <w:pPr>
        <w:pStyle w:val="Sinespaciado"/>
        <w:jc w:val="center"/>
        <w:rPr>
          <w:rFonts w:ascii="Times New Roman" w:hAnsi="Times New Roman" w:cs="Times New Roman"/>
          <w:b/>
          <w:lang w:val="es-MX"/>
        </w:rPr>
      </w:pPr>
      <w:r w:rsidRPr="00A06E35">
        <w:rPr>
          <w:rFonts w:ascii="Times New Roman" w:hAnsi="Times New Roman" w:cs="Times New Roman"/>
          <w:b/>
          <w:lang w:val="es-MX"/>
        </w:rPr>
        <w:t>Ritmo de Ejecución del Gasto</w:t>
      </w:r>
    </w:p>
    <w:p w14:paraId="0FD8EBFC" w14:textId="77777777" w:rsidR="004C2A11" w:rsidRPr="00A06E35" w:rsidRDefault="00E4153A" w:rsidP="004C2A11">
      <w:pPr>
        <w:pStyle w:val="Sinespaciado"/>
        <w:jc w:val="center"/>
        <w:rPr>
          <w:rFonts w:ascii="Times New Roman" w:hAnsi="Times New Roman" w:cs="Times New Roman"/>
          <w:sz w:val="18"/>
          <w:lang w:val="es-MX"/>
        </w:rPr>
      </w:pPr>
      <w:r w:rsidRPr="00A06E35">
        <w:rPr>
          <w:rFonts w:ascii="Times New Roman" w:hAnsi="Times New Roman" w:cs="Times New Roman"/>
          <w:noProof/>
          <w:sz w:val="18"/>
          <w:lang w:eastAsia="es-GT"/>
        </w:rPr>
        <w:drawing>
          <wp:anchor distT="0" distB="0" distL="114300" distR="114300" simplePos="0" relativeHeight="251797504" behindDoc="0" locked="0" layoutInCell="1" allowOverlap="1" wp14:anchorId="6177F842" wp14:editId="527BF090">
            <wp:simplePos x="0" y="0"/>
            <wp:positionH relativeFrom="column">
              <wp:posOffset>0</wp:posOffset>
            </wp:positionH>
            <wp:positionV relativeFrom="paragraph">
              <wp:posOffset>160655</wp:posOffset>
            </wp:positionV>
            <wp:extent cx="2700020" cy="2164715"/>
            <wp:effectExtent l="0" t="0" r="5080" b="6985"/>
            <wp:wrapSquare wrapText="bothSides"/>
            <wp:docPr id="23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4C2A11" w:rsidRPr="00A06E35">
        <w:rPr>
          <w:rFonts w:ascii="Times New Roman" w:hAnsi="Times New Roman" w:cs="Times New Roman"/>
          <w:sz w:val="18"/>
          <w:lang w:val="es-MX"/>
        </w:rPr>
        <w:t>Variación Interanual*</w:t>
      </w:r>
    </w:p>
    <w:p w14:paraId="0FE1D5A7" w14:textId="77777777" w:rsidR="004C2A11" w:rsidRPr="00A06E35" w:rsidRDefault="004C2A11" w:rsidP="004C2A11">
      <w:pPr>
        <w:pStyle w:val="Sinespaciado"/>
        <w:rPr>
          <w:rFonts w:ascii="Times New Roman" w:hAnsi="Times New Roman" w:cs="Times New Roman"/>
          <w:sz w:val="16"/>
          <w:lang w:val="es-MX"/>
        </w:rPr>
      </w:pPr>
      <w:r w:rsidRPr="00A06E35">
        <w:rPr>
          <w:rFonts w:ascii="Times New Roman" w:hAnsi="Times New Roman" w:cs="Times New Roman"/>
          <w:sz w:val="16"/>
          <w:lang w:val="es-MX"/>
        </w:rPr>
        <w:t>*No incluye amortizaciones de la deuda pública</w:t>
      </w:r>
    </w:p>
    <w:p w14:paraId="65CE167F" w14:textId="77777777" w:rsidR="004C2A11" w:rsidRPr="00A06E35" w:rsidRDefault="004C2A11" w:rsidP="004C2A11">
      <w:pPr>
        <w:spacing w:after="0" w:line="240" w:lineRule="auto"/>
        <w:jc w:val="both"/>
        <w:rPr>
          <w:rFonts w:ascii="Times New Roman" w:hAnsi="Times New Roman" w:cs="Times New Roman"/>
          <w:sz w:val="16"/>
        </w:rPr>
      </w:pPr>
      <w:r w:rsidRPr="00A06E35">
        <w:rPr>
          <w:rFonts w:ascii="Times New Roman" w:hAnsi="Times New Roman" w:cs="Times New Roman"/>
          <w:sz w:val="16"/>
        </w:rPr>
        <w:t>Fuente: Dirección de Análisis y Política Fiscal</w:t>
      </w:r>
    </w:p>
    <w:p w14:paraId="2E41F422" w14:textId="77777777" w:rsidR="00777B81" w:rsidRDefault="00777B81" w:rsidP="00A06E35">
      <w:pPr>
        <w:pStyle w:val="Sinespaciado"/>
        <w:jc w:val="both"/>
        <w:rPr>
          <w:rFonts w:ascii="Times New Roman" w:hAnsi="Times New Roman" w:cs="Times New Roman"/>
          <w:lang w:val="es-MX"/>
        </w:rPr>
      </w:pPr>
    </w:p>
    <w:p w14:paraId="333F88B4"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el mayor crecimiento absoluto se reporta en los bienes y servicios con una ejecución mayor en Q1,736.0 </w:t>
      </w:r>
      <w:r>
        <w:rPr>
          <w:rFonts w:ascii="Times New Roman" w:hAnsi="Times New Roman" w:cs="Times New Roman"/>
          <w:lang w:val="es-MX"/>
        </w:rPr>
        <w:t xml:space="preserve">millones (equivalente a un crecimiento interanual de 67.7%), explicado principalmente por un aumento de Q1,076.2 millones en el Ministerio de Salud Pública y Asistencia Social por un mayor gasto en los productos medicinales y farmacéuticos por Q645.9 millones, siendo en este renglón donde se registra la compra de la vacuna contra el COVID-19, en mayo por la vacuna se ejecutaron Q10.8 millones y en total se han destinado Q638.6 millones por este concepto. </w:t>
      </w:r>
    </w:p>
    <w:p w14:paraId="276C3EC1" w14:textId="77777777" w:rsidR="00A06E35" w:rsidRDefault="00A06E35" w:rsidP="00A06E35">
      <w:pPr>
        <w:pStyle w:val="Sinespaciado"/>
        <w:jc w:val="both"/>
        <w:rPr>
          <w:rFonts w:ascii="Times New Roman" w:hAnsi="Times New Roman" w:cs="Times New Roman"/>
          <w:lang w:val="es-MX"/>
        </w:rPr>
      </w:pPr>
    </w:p>
    <w:p w14:paraId="7EB03206"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 xml:space="preserve">Así mismo, los servicios médico-sanitarios reportan un aumento de Q196.7 millones que además de las retribuciones por servicios profesionales y técnicos incluye pruebas de laboratorio, que contiene las asociadas al COVID-19. Otro renglón que reporta un crecimiento interanual importante son los otros estudios o servicios y los útiles menores, suministros e instrumental médico quirúrgicos de laboratorio y cuidados de la salud, con Q76.8 y Q73.6 millones, respectivamente.  </w:t>
      </w:r>
    </w:p>
    <w:p w14:paraId="487C0E0F" w14:textId="77777777" w:rsidR="00A06E35" w:rsidRDefault="00A06E35" w:rsidP="00A06E35">
      <w:pPr>
        <w:pStyle w:val="Sinespaciado"/>
        <w:jc w:val="both"/>
        <w:rPr>
          <w:rFonts w:ascii="Times New Roman" w:hAnsi="Times New Roman" w:cs="Times New Roman"/>
          <w:lang w:val="es-MX"/>
        </w:rPr>
      </w:pPr>
    </w:p>
    <w:p w14:paraId="5A343548"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 xml:space="preserve">En el Ministerio de Comunicaciones, Infraestructura y Vivienda se reporta un crecimiento absoluto en el rubro de bienes y servicios por Q269.1 millones </w:t>
      </w:r>
      <w:r w:rsidRPr="00BC1A2D">
        <w:rPr>
          <w:rFonts w:ascii="Times New Roman" w:hAnsi="Times New Roman" w:cs="Times New Roman"/>
          <w:lang w:val="es-MX"/>
        </w:rPr>
        <w:t xml:space="preserve">(equivalente a </w:t>
      </w:r>
      <w:r>
        <w:rPr>
          <w:rFonts w:ascii="Times New Roman" w:hAnsi="Times New Roman" w:cs="Times New Roman"/>
          <w:lang w:val="es-MX"/>
        </w:rPr>
        <w:t>66.8</w:t>
      </w:r>
      <w:r w:rsidRPr="00BC1A2D">
        <w:rPr>
          <w:rFonts w:ascii="Times New Roman" w:hAnsi="Times New Roman" w:cs="Times New Roman"/>
          <w:lang w:val="es-MX"/>
        </w:rPr>
        <w:t>%</w:t>
      </w:r>
      <w:r>
        <w:rPr>
          <w:rFonts w:ascii="Times New Roman" w:hAnsi="Times New Roman" w:cs="Times New Roman"/>
          <w:lang w:val="es-MX"/>
        </w:rPr>
        <w:t xml:space="preserve">) como resultado de una mayor ejecución en el mantenimiento y reparación de edificios (Q77.6 millones) y mantenimiento y reparación de bienes nacionales de uso común (Q169.6 millones). </w:t>
      </w:r>
    </w:p>
    <w:p w14:paraId="1FECF136" w14:textId="77777777" w:rsidR="00A06E35" w:rsidRDefault="00A06E35" w:rsidP="00A06E35">
      <w:pPr>
        <w:pStyle w:val="Sinespaciado"/>
        <w:jc w:val="both"/>
        <w:rPr>
          <w:rFonts w:ascii="Times New Roman" w:hAnsi="Times New Roman" w:cs="Times New Roman"/>
          <w:lang w:val="es-MX"/>
        </w:rPr>
      </w:pPr>
    </w:p>
    <w:p w14:paraId="5FEE673A"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lastRenderedPageBreak/>
        <w:t>En el Ministerio de Desarrollo Social, se reporta un aumento importante en el rubro de bienes y servicios, el cual responde a alimentos para personas por Q109.1 millones y en el Ministerio de Agricultura, Ganadería y Alimentación el aumento en el mismo renglón es por Q61.7 millones, esto es relevante ya que corresponde a las bolsas de alimentos entregadas a familias en atención a la emergencia del COVID-19, en el 2020 se dio un anticipo al Programa Mundial de Alimentos (PMA) que está siendo regularizado en 2021.</w:t>
      </w:r>
    </w:p>
    <w:p w14:paraId="57FB0844" w14:textId="77777777" w:rsidR="00A06E35" w:rsidRDefault="00A06E35" w:rsidP="00A06E35">
      <w:pPr>
        <w:pStyle w:val="Sinespaciado"/>
        <w:jc w:val="both"/>
        <w:rPr>
          <w:rFonts w:ascii="Times New Roman" w:hAnsi="Times New Roman" w:cs="Times New Roman"/>
          <w:lang w:val="es-MX"/>
        </w:rPr>
      </w:pPr>
    </w:p>
    <w:p w14:paraId="5478FDA1"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 xml:space="preserve">Por su parte, el Ministerio de Gobernación reporta un aumento de Q92.4 millones en los bienes y servicios que corresponde a primas y gastos de seguros de fianzas y alimento para personas, este último asociado al sistema penitenciario y a la PNC. </w:t>
      </w:r>
    </w:p>
    <w:p w14:paraId="40A6FD07" w14:textId="77777777" w:rsidR="00A06E35" w:rsidRDefault="00A06E35" w:rsidP="00A06E35">
      <w:pPr>
        <w:pStyle w:val="Sinespaciado"/>
        <w:jc w:val="both"/>
        <w:rPr>
          <w:rFonts w:ascii="Times New Roman" w:hAnsi="Times New Roman" w:cs="Times New Roman"/>
          <w:lang w:val="es-MX"/>
        </w:rPr>
      </w:pPr>
    </w:p>
    <w:p w14:paraId="6145D2D4"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 xml:space="preserve">En lo que respecto a los intereses de la deuda interna y externa se dio un aumento de Q1,718.1 millones (equivalente a un crecimiento de 60.3%). En la deuda interna se encuentra concentrado la mayor parte de dicho aumento con Q1,547.3 millones, mientras que, en la deuda externa, los intereses de préstamos con organismos internacionales reportan una menor ejecución por Q58.7 millones, no obstante, se espera que este comportamiento se regularice en los próximos meses. Por su parte, los intereses de bonos externos correspondiente a la colocación de Eurobonos, reportan una ejecución </w:t>
      </w:r>
      <w:r w:rsidRPr="007E138A">
        <w:rPr>
          <w:rFonts w:ascii="Times New Roman" w:hAnsi="Times New Roman" w:cs="Times New Roman"/>
          <w:lang w:val="es-MX"/>
        </w:rPr>
        <w:t xml:space="preserve">mayor </w:t>
      </w:r>
      <w:r>
        <w:rPr>
          <w:rFonts w:ascii="Times New Roman" w:hAnsi="Times New Roman" w:cs="Times New Roman"/>
          <w:lang w:val="es-MX"/>
        </w:rPr>
        <w:t xml:space="preserve">en Q229.5 millones. </w:t>
      </w:r>
    </w:p>
    <w:p w14:paraId="4EB5EE53" w14:textId="77777777" w:rsidR="00A06E35" w:rsidRDefault="00A06E35" w:rsidP="00A06E35">
      <w:pPr>
        <w:pStyle w:val="Sinespaciado"/>
        <w:jc w:val="both"/>
        <w:rPr>
          <w:rFonts w:ascii="Times New Roman" w:hAnsi="Times New Roman" w:cs="Times New Roman"/>
          <w:lang w:val="es-MX"/>
        </w:rPr>
      </w:pPr>
    </w:p>
    <w:p w14:paraId="3484C1CA" w14:textId="77777777" w:rsidR="00A06E35" w:rsidRDefault="00A06E35" w:rsidP="00A06E35">
      <w:pPr>
        <w:pStyle w:val="Sinespaciado"/>
        <w:jc w:val="both"/>
        <w:rPr>
          <w:rFonts w:ascii="Times New Roman" w:hAnsi="Times New Roman" w:cs="Times New Roman"/>
          <w:lang w:val="es-MX"/>
        </w:rPr>
      </w:pPr>
      <w:r w:rsidRPr="00DE41EC">
        <w:rPr>
          <w:rFonts w:ascii="Times New Roman" w:hAnsi="Times New Roman" w:cs="Times New Roman"/>
          <w:lang w:val="es-MX"/>
        </w:rPr>
        <w:t xml:space="preserve">En el rubro de las remuneraciones se </w:t>
      </w:r>
      <w:r>
        <w:rPr>
          <w:rFonts w:ascii="Times New Roman" w:hAnsi="Times New Roman" w:cs="Times New Roman"/>
          <w:lang w:val="es-MX"/>
        </w:rPr>
        <w:t>reporta un crecimiento de 5.1%, siendo equivalente a</w:t>
      </w:r>
      <w:r w:rsidRPr="00DE41EC">
        <w:rPr>
          <w:rFonts w:ascii="Times New Roman" w:hAnsi="Times New Roman" w:cs="Times New Roman"/>
          <w:lang w:val="es-MX"/>
        </w:rPr>
        <w:t xml:space="preserve"> </w:t>
      </w:r>
      <w:r>
        <w:rPr>
          <w:rFonts w:ascii="Times New Roman" w:hAnsi="Times New Roman" w:cs="Times New Roman"/>
          <w:lang w:val="es-MX"/>
        </w:rPr>
        <w:t xml:space="preserve">una </w:t>
      </w:r>
      <w:r w:rsidRPr="00DE41EC">
        <w:rPr>
          <w:rFonts w:ascii="Times New Roman" w:hAnsi="Times New Roman" w:cs="Times New Roman"/>
          <w:lang w:val="es-MX"/>
        </w:rPr>
        <w:t xml:space="preserve">ejecución mayor en Q539.4 millones a la reportada en 2020. El Ministerio de Educación reporta el mayor </w:t>
      </w:r>
      <w:r>
        <w:rPr>
          <w:rFonts w:ascii="Times New Roman" w:hAnsi="Times New Roman" w:cs="Times New Roman"/>
          <w:lang w:val="es-MX"/>
        </w:rPr>
        <w:t>aumento absoluto, siendo de Q306.2</w:t>
      </w:r>
      <w:r w:rsidRPr="00DE41EC">
        <w:rPr>
          <w:rFonts w:ascii="Times New Roman" w:hAnsi="Times New Roman" w:cs="Times New Roman"/>
          <w:lang w:val="es-MX"/>
        </w:rPr>
        <w:t xml:space="preserve"> millones (equivalente a </w:t>
      </w:r>
      <w:r>
        <w:rPr>
          <w:rFonts w:ascii="Times New Roman" w:hAnsi="Times New Roman" w:cs="Times New Roman"/>
          <w:lang w:val="es-MX"/>
        </w:rPr>
        <w:t>6</w:t>
      </w:r>
      <w:r w:rsidRPr="00DE41EC">
        <w:rPr>
          <w:rFonts w:ascii="Times New Roman" w:hAnsi="Times New Roman" w:cs="Times New Roman"/>
          <w:lang w:val="es-MX"/>
        </w:rPr>
        <w:t>.</w:t>
      </w:r>
      <w:r>
        <w:rPr>
          <w:rFonts w:ascii="Times New Roman" w:hAnsi="Times New Roman" w:cs="Times New Roman"/>
          <w:lang w:val="es-MX"/>
        </w:rPr>
        <w:t>2</w:t>
      </w:r>
      <w:r w:rsidRPr="00DE41EC">
        <w:rPr>
          <w:rFonts w:ascii="Times New Roman" w:hAnsi="Times New Roman" w:cs="Times New Roman"/>
          <w:lang w:val="es-MX"/>
        </w:rPr>
        <w:t>%), esto se debe principalmente al crecimiento del renglón 017 “derechos escalafonarios” en Q1</w:t>
      </w:r>
      <w:r>
        <w:rPr>
          <w:rFonts w:ascii="Times New Roman" w:hAnsi="Times New Roman" w:cs="Times New Roman"/>
          <w:lang w:val="es-MX"/>
        </w:rPr>
        <w:t>64</w:t>
      </w:r>
      <w:r w:rsidRPr="00DE41EC">
        <w:rPr>
          <w:rFonts w:ascii="Times New Roman" w:hAnsi="Times New Roman" w:cs="Times New Roman"/>
          <w:lang w:val="es-MX"/>
        </w:rPr>
        <w:t>.8 millones y el renglón 011 “personal permanente” en Q1</w:t>
      </w:r>
      <w:r>
        <w:rPr>
          <w:rFonts w:ascii="Times New Roman" w:hAnsi="Times New Roman" w:cs="Times New Roman"/>
          <w:lang w:val="es-MX"/>
        </w:rPr>
        <w:t>33</w:t>
      </w:r>
      <w:r w:rsidRPr="00DE41EC">
        <w:rPr>
          <w:rFonts w:ascii="Times New Roman" w:hAnsi="Times New Roman" w:cs="Times New Roman"/>
          <w:lang w:val="es-MX"/>
        </w:rPr>
        <w:t>.</w:t>
      </w:r>
      <w:r>
        <w:rPr>
          <w:rFonts w:ascii="Times New Roman" w:hAnsi="Times New Roman" w:cs="Times New Roman"/>
          <w:lang w:val="es-MX"/>
        </w:rPr>
        <w:t xml:space="preserve">8 millones. </w:t>
      </w:r>
    </w:p>
    <w:p w14:paraId="640B41D7" w14:textId="77777777" w:rsidR="00A06E35" w:rsidRDefault="00A06E35" w:rsidP="00A06E35">
      <w:pPr>
        <w:pStyle w:val="Sinespaciado"/>
        <w:jc w:val="both"/>
        <w:rPr>
          <w:rFonts w:ascii="Times New Roman" w:hAnsi="Times New Roman" w:cs="Times New Roman"/>
          <w:lang w:val="es-MX"/>
        </w:rPr>
      </w:pPr>
      <w:r w:rsidRPr="00DE41EC">
        <w:rPr>
          <w:rFonts w:ascii="Times New Roman" w:hAnsi="Times New Roman" w:cs="Times New Roman"/>
          <w:lang w:val="es-MX"/>
        </w:rPr>
        <w:t>Otra entidad con aumento importante es el Ministerio de Salud Pú</w:t>
      </w:r>
      <w:r>
        <w:rPr>
          <w:rFonts w:ascii="Times New Roman" w:hAnsi="Times New Roman" w:cs="Times New Roman"/>
          <w:lang w:val="es-MX"/>
        </w:rPr>
        <w:t>blica y Asistencia Social con Q2</w:t>
      </w:r>
      <w:r w:rsidRPr="00DE41EC">
        <w:rPr>
          <w:rFonts w:ascii="Times New Roman" w:hAnsi="Times New Roman" w:cs="Times New Roman"/>
          <w:lang w:val="es-MX"/>
        </w:rPr>
        <w:t>83.</w:t>
      </w:r>
      <w:r>
        <w:rPr>
          <w:rFonts w:ascii="Times New Roman" w:hAnsi="Times New Roman" w:cs="Times New Roman"/>
          <w:lang w:val="es-MX"/>
        </w:rPr>
        <w:t>8</w:t>
      </w:r>
      <w:r w:rsidRPr="00DE41EC">
        <w:rPr>
          <w:rFonts w:ascii="Times New Roman" w:hAnsi="Times New Roman" w:cs="Times New Roman"/>
          <w:lang w:val="es-MX"/>
        </w:rPr>
        <w:t xml:space="preserve"> millones, estando concentrado el aumento en el complemento por antigüedad al perso</w:t>
      </w:r>
      <w:r>
        <w:rPr>
          <w:rFonts w:ascii="Times New Roman" w:hAnsi="Times New Roman" w:cs="Times New Roman"/>
          <w:lang w:val="es-MX"/>
        </w:rPr>
        <w:t>nal permanente</w:t>
      </w:r>
      <w:r w:rsidRPr="00DE41EC">
        <w:rPr>
          <w:rFonts w:ascii="Times New Roman" w:hAnsi="Times New Roman" w:cs="Times New Roman"/>
          <w:lang w:val="es-MX"/>
        </w:rPr>
        <w:t>. Por su parte,</w:t>
      </w:r>
      <w:r>
        <w:rPr>
          <w:rFonts w:ascii="Times New Roman" w:hAnsi="Times New Roman" w:cs="Times New Roman"/>
          <w:lang w:val="es-MX"/>
        </w:rPr>
        <w:t xml:space="preserve"> el Ministerio de Gobernación reporta una caída de Q45.9 millones, explicado por una menor ejecución en los complementos específicos al personal permanente, remuneraciones de personal temporal y personal permanente, mientras </w:t>
      </w:r>
      <w:r w:rsidRPr="00DE41EC">
        <w:rPr>
          <w:rFonts w:ascii="Times New Roman" w:hAnsi="Times New Roman" w:cs="Times New Roman"/>
          <w:lang w:val="es-MX"/>
        </w:rPr>
        <w:t>las secretarias y otras dependenci</w:t>
      </w:r>
      <w:r>
        <w:rPr>
          <w:rFonts w:ascii="Times New Roman" w:hAnsi="Times New Roman" w:cs="Times New Roman"/>
          <w:lang w:val="es-MX"/>
        </w:rPr>
        <w:t>as del ejecutivo reportan una disminución</w:t>
      </w:r>
      <w:r w:rsidRPr="00DE41EC">
        <w:rPr>
          <w:rFonts w:ascii="Times New Roman" w:hAnsi="Times New Roman" w:cs="Times New Roman"/>
          <w:lang w:val="es-MX"/>
        </w:rPr>
        <w:t xml:space="preserve"> de </w:t>
      </w:r>
      <w:r>
        <w:rPr>
          <w:rFonts w:ascii="Times New Roman" w:hAnsi="Times New Roman" w:cs="Times New Roman"/>
          <w:lang w:val="es-MX"/>
        </w:rPr>
        <w:t>Q36</w:t>
      </w:r>
      <w:r w:rsidRPr="00DE41EC">
        <w:rPr>
          <w:rFonts w:ascii="Times New Roman" w:hAnsi="Times New Roman" w:cs="Times New Roman"/>
          <w:lang w:val="es-MX"/>
        </w:rPr>
        <w:t>.</w:t>
      </w:r>
      <w:r>
        <w:rPr>
          <w:rFonts w:ascii="Times New Roman" w:hAnsi="Times New Roman" w:cs="Times New Roman"/>
          <w:lang w:val="es-MX"/>
        </w:rPr>
        <w:t>6</w:t>
      </w:r>
      <w:r w:rsidRPr="00DE41EC">
        <w:rPr>
          <w:rFonts w:ascii="Times New Roman" w:hAnsi="Times New Roman" w:cs="Times New Roman"/>
          <w:lang w:val="es-MX"/>
        </w:rPr>
        <w:t xml:space="preserve"> millones, como resultado especialmente de una menor ejecución del renglón 029 “otras remuneraciones del personal temporal”, con una variación interanual negativa de </w:t>
      </w:r>
      <w:r>
        <w:rPr>
          <w:rFonts w:ascii="Times New Roman" w:hAnsi="Times New Roman" w:cs="Times New Roman"/>
          <w:lang w:val="es-MX"/>
        </w:rPr>
        <w:t>29.0</w:t>
      </w:r>
      <w:r w:rsidRPr="00DE41EC">
        <w:rPr>
          <w:rFonts w:ascii="Times New Roman" w:hAnsi="Times New Roman" w:cs="Times New Roman"/>
          <w:lang w:val="es-MX"/>
        </w:rPr>
        <w:t>%.</w:t>
      </w:r>
      <w:r>
        <w:rPr>
          <w:rFonts w:ascii="Times New Roman" w:hAnsi="Times New Roman" w:cs="Times New Roman"/>
          <w:lang w:val="es-MX"/>
        </w:rPr>
        <w:t xml:space="preserve"> </w:t>
      </w:r>
    </w:p>
    <w:p w14:paraId="1EE9BEAF" w14:textId="77777777" w:rsidR="00A06E35" w:rsidRDefault="00A06E35" w:rsidP="00A06E35">
      <w:pPr>
        <w:pStyle w:val="Sinespaciado"/>
        <w:jc w:val="both"/>
        <w:rPr>
          <w:rFonts w:ascii="Times New Roman" w:hAnsi="Times New Roman" w:cs="Times New Roman"/>
          <w:lang w:val="es-MX"/>
        </w:rPr>
      </w:pPr>
    </w:p>
    <w:p w14:paraId="0844F06E" w14:textId="77777777" w:rsidR="00A06E35" w:rsidRDefault="00A06E35" w:rsidP="00A06E35">
      <w:pPr>
        <w:pStyle w:val="Sinespaciado"/>
        <w:jc w:val="both"/>
        <w:rPr>
          <w:rFonts w:ascii="Times New Roman" w:hAnsi="Times New Roman" w:cs="Times New Roman"/>
          <w:lang w:val="es-MX"/>
        </w:rPr>
      </w:pPr>
      <w:r w:rsidRPr="002B0411">
        <w:rPr>
          <w:rFonts w:ascii="Times New Roman" w:hAnsi="Times New Roman" w:cs="Times New Roman"/>
          <w:lang w:val="es-MX"/>
        </w:rPr>
        <w:t xml:space="preserve">En el caso de las transferencias de capital, </w:t>
      </w:r>
      <w:r>
        <w:rPr>
          <w:rFonts w:ascii="Times New Roman" w:hAnsi="Times New Roman" w:cs="Times New Roman"/>
          <w:lang w:val="es-MX"/>
        </w:rPr>
        <w:t>el crecimiento interanual fue de 4</w:t>
      </w:r>
      <w:r w:rsidRPr="008A4CFA">
        <w:rPr>
          <w:rFonts w:ascii="Times New Roman" w:hAnsi="Times New Roman" w:cs="Times New Roman"/>
          <w:lang w:val="es-MX"/>
        </w:rPr>
        <w:t>.</w:t>
      </w:r>
      <w:r>
        <w:rPr>
          <w:rFonts w:ascii="Times New Roman" w:hAnsi="Times New Roman" w:cs="Times New Roman"/>
          <w:lang w:val="es-MX"/>
        </w:rPr>
        <w:t>9</w:t>
      </w:r>
      <w:r w:rsidRPr="008A4CFA">
        <w:rPr>
          <w:rFonts w:ascii="Times New Roman" w:hAnsi="Times New Roman" w:cs="Times New Roman"/>
          <w:lang w:val="es-MX"/>
        </w:rPr>
        <w:t>% (equivalente a Q</w:t>
      </w:r>
      <w:r>
        <w:rPr>
          <w:rFonts w:ascii="Times New Roman" w:hAnsi="Times New Roman" w:cs="Times New Roman"/>
          <w:lang w:val="es-MX"/>
        </w:rPr>
        <w:t>186</w:t>
      </w:r>
      <w:r w:rsidRPr="008A4CFA">
        <w:rPr>
          <w:rFonts w:ascii="Times New Roman" w:hAnsi="Times New Roman" w:cs="Times New Roman"/>
          <w:lang w:val="es-MX"/>
        </w:rPr>
        <w:t>.</w:t>
      </w:r>
      <w:r>
        <w:rPr>
          <w:rFonts w:ascii="Times New Roman" w:hAnsi="Times New Roman" w:cs="Times New Roman"/>
          <w:lang w:val="es-MX"/>
        </w:rPr>
        <w:t>7</w:t>
      </w:r>
      <w:r w:rsidRPr="008A4CFA">
        <w:rPr>
          <w:rFonts w:ascii="Times New Roman" w:hAnsi="Times New Roman" w:cs="Times New Roman"/>
          <w:lang w:val="es-MX"/>
        </w:rPr>
        <w:t xml:space="preserve"> millones), </w:t>
      </w:r>
      <w:r>
        <w:rPr>
          <w:rFonts w:ascii="Times New Roman" w:hAnsi="Times New Roman" w:cs="Times New Roman"/>
          <w:lang w:val="es-MX"/>
        </w:rPr>
        <w:t xml:space="preserve">siendo el crecimiento </w:t>
      </w:r>
      <w:r w:rsidRPr="008A4CFA">
        <w:rPr>
          <w:rFonts w:ascii="Times New Roman" w:hAnsi="Times New Roman" w:cs="Times New Roman"/>
          <w:lang w:val="es-MX"/>
        </w:rPr>
        <w:t>explicad</w:t>
      </w:r>
      <w:r>
        <w:rPr>
          <w:rFonts w:ascii="Times New Roman" w:hAnsi="Times New Roman" w:cs="Times New Roman"/>
          <w:lang w:val="es-MX"/>
        </w:rPr>
        <w:t xml:space="preserve">o por las transferencias al sector público que están aumentando en Q140.0 millones, como resultado de un mayor traslado de recursos para los Consejos de Desarrollo Urbano y Rural </w:t>
      </w:r>
      <w:r w:rsidRPr="00A93F27">
        <w:rPr>
          <w:rFonts w:ascii="Times New Roman" w:hAnsi="Times New Roman" w:cs="Times New Roman"/>
          <w:lang w:val="es-MX"/>
        </w:rPr>
        <w:t>(Q</w:t>
      </w:r>
      <w:r>
        <w:rPr>
          <w:rFonts w:ascii="Times New Roman" w:hAnsi="Times New Roman" w:cs="Times New Roman"/>
          <w:lang w:val="es-MX"/>
        </w:rPr>
        <w:t>273</w:t>
      </w:r>
      <w:r w:rsidRPr="00A93F27">
        <w:rPr>
          <w:rFonts w:ascii="Times New Roman" w:hAnsi="Times New Roman" w:cs="Times New Roman"/>
          <w:lang w:val="es-MX"/>
        </w:rPr>
        <w:t>.</w:t>
      </w:r>
      <w:r>
        <w:rPr>
          <w:rFonts w:ascii="Times New Roman" w:hAnsi="Times New Roman" w:cs="Times New Roman"/>
          <w:lang w:val="es-MX"/>
        </w:rPr>
        <w:t>3 millones). Por su parte, la transferencia a las municipalidades y a la Universidad de San Carlos es menor en Q81</w:t>
      </w:r>
      <w:r w:rsidRPr="00A93F27">
        <w:rPr>
          <w:rFonts w:ascii="Times New Roman" w:hAnsi="Times New Roman" w:cs="Times New Roman"/>
          <w:lang w:val="es-MX"/>
        </w:rPr>
        <w:t>.</w:t>
      </w:r>
      <w:r>
        <w:rPr>
          <w:rFonts w:ascii="Times New Roman" w:hAnsi="Times New Roman" w:cs="Times New Roman"/>
          <w:lang w:val="es-MX"/>
        </w:rPr>
        <w:t>4</w:t>
      </w:r>
      <w:r w:rsidRPr="00A93F27">
        <w:rPr>
          <w:rFonts w:ascii="Times New Roman" w:hAnsi="Times New Roman" w:cs="Times New Roman"/>
          <w:lang w:val="es-MX"/>
        </w:rPr>
        <w:t xml:space="preserve"> millones</w:t>
      </w:r>
      <w:r>
        <w:rPr>
          <w:rFonts w:ascii="Times New Roman" w:hAnsi="Times New Roman" w:cs="Times New Roman"/>
          <w:lang w:val="es-MX"/>
        </w:rPr>
        <w:t xml:space="preserve"> y Q53.7 millones, respectivamente. </w:t>
      </w:r>
    </w:p>
    <w:p w14:paraId="57C86FEB" w14:textId="77777777" w:rsidR="00A06E35" w:rsidRDefault="00A06E35" w:rsidP="00A06E35">
      <w:pPr>
        <w:pStyle w:val="Sinespaciado"/>
        <w:jc w:val="both"/>
        <w:rPr>
          <w:rFonts w:ascii="Times New Roman" w:hAnsi="Times New Roman" w:cs="Times New Roman"/>
          <w:lang w:val="es-MX"/>
        </w:rPr>
      </w:pPr>
    </w:p>
    <w:p w14:paraId="3F7A80E8"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En las transferencias de capital al sector privado y externo dan cuenta de un aumento de Q46.8 millones, explicado por mayores transferencias a personas individuales y unidades familiares. En cuanto a las prestaciones a la seguridad social, estás reportan un crecimiento interanual de 3.2%, equivalente a Q65.4 millones.</w:t>
      </w:r>
    </w:p>
    <w:p w14:paraId="59B02BC2" w14:textId="77777777" w:rsidR="00A06E35" w:rsidRDefault="00A06E35" w:rsidP="00A06E35">
      <w:pPr>
        <w:pStyle w:val="Sinespaciado"/>
        <w:jc w:val="both"/>
        <w:rPr>
          <w:rFonts w:ascii="Times New Roman" w:hAnsi="Times New Roman" w:cs="Times New Roman"/>
          <w:lang w:val="es-MX"/>
        </w:rPr>
      </w:pPr>
    </w:p>
    <w:p w14:paraId="568B8565"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 xml:space="preserve">Respecto al rubro de la inversión real directa, este reporta una mayor ejecución en Q59.8 millones respecto a lo reportado en 2020 (equivalente a 5.1%). Las entidades que suman a este aumento son: el Ministerio de Educación por un mayor gasto en otras maquinarias y equipos, el Ministerio de Salud Pública y Asistencia Social por mobiliario y equipo </w:t>
      </w:r>
      <w:r>
        <w:rPr>
          <w:rFonts w:ascii="Times New Roman" w:hAnsi="Times New Roman" w:cs="Times New Roman"/>
          <w:lang w:val="es-MX"/>
        </w:rPr>
        <w:lastRenderedPageBreak/>
        <w:t>médico-sanitario y de laboratorio y el Ministerio de Desarrollo Social por equipo educacional, cultural y recreativo y construcciones de bienes nacionales.  Sin embargo, el Ministerio de Comunicaciones muestra una leve reducción en su ejecución con respecto a lo observado en mayo de 2020.</w:t>
      </w:r>
    </w:p>
    <w:p w14:paraId="41895E51" w14:textId="77777777" w:rsidR="00A06E35" w:rsidRDefault="00A06E35" w:rsidP="00A06E35">
      <w:pPr>
        <w:pStyle w:val="Sinespaciado"/>
        <w:jc w:val="both"/>
        <w:rPr>
          <w:rFonts w:ascii="Times New Roman" w:hAnsi="Times New Roman" w:cs="Times New Roman"/>
          <w:lang w:val="es-MX"/>
        </w:rPr>
      </w:pPr>
    </w:p>
    <w:p w14:paraId="4DF40F1C"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 xml:space="preserve">Por su parte, las transferencias corrientes reportan una variación interanual negativa de 13.9% (equivalente a Q907.5 millones). La caída se debe a la disminución en las transferencias al sector privado las cuales se contrajeron un 36.7% (equivalente a Q1,053.7 millones), explicado por el Ministerio de Desarrollo Social y el Ministerio de Economía, derivado que a mayo de 2020 había iniciado la transferencia de recursos por concepto del Bono Familia y el Fondo de Protección de Empleo, y de esa cuenta este comportamiento en las transferencias al sector privado será recurrente durante el 2021. </w:t>
      </w:r>
    </w:p>
    <w:p w14:paraId="26F47C2A" w14:textId="77777777" w:rsidR="00A06E35" w:rsidRDefault="00A06E35" w:rsidP="00A06E35">
      <w:pPr>
        <w:pStyle w:val="Sinespaciado"/>
        <w:jc w:val="both"/>
        <w:rPr>
          <w:rFonts w:ascii="Times New Roman" w:hAnsi="Times New Roman" w:cs="Times New Roman"/>
          <w:lang w:val="es-MX"/>
        </w:rPr>
      </w:pPr>
    </w:p>
    <w:p w14:paraId="0C4C2CAE" w14:textId="77777777" w:rsidR="00A06E35"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 xml:space="preserve">Por su parte, se observa un menor dinamismo en las transferencias del Ministerio de Educación, principalmente en las relacionadas a instituciones sin fines de lucro, las cuales reportan una contracción de 20.2% (equivalente a Q328.5 millones). </w:t>
      </w:r>
    </w:p>
    <w:p w14:paraId="615AC562" w14:textId="77777777" w:rsidR="00A06E35" w:rsidRDefault="00A06E35" w:rsidP="00A06E35">
      <w:pPr>
        <w:pStyle w:val="Sinespaciado"/>
        <w:jc w:val="both"/>
        <w:rPr>
          <w:rFonts w:ascii="Times New Roman" w:hAnsi="Times New Roman" w:cs="Times New Roman"/>
          <w:lang w:val="es-MX"/>
        </w:rPr>
      </w:pPr>
    </w:p>
    <w:p w14:paraId="725326F3" w14:textId="77777777" w:rsidR="00A06E35" w:rsidRPr="00584C93" w:rsidRDefault="00A06E35" w:rsidP="00A06E35">
      <w:pPr>
        <w:pStyle w:val="Sinespaciado"/>
        <w:jc w:val="both"/>
        <w:rPr>
          <w:rFonts w:ascii="Times New Roman" w:hAnsi="Times New Roman" w:cs="Times New Roman"/>
          <w:lang w:val="es-MX"/>
        </w:rPr>
      </w:pPr>
      <w:r>
        <w:rPr>
          <w:rFonts w:ascii="Times New Roman" w:hAnsi="Times New Roman" w:cs="Times New Roman"/>
          <w:lang w:val="es-MX"/>
        </w:rPr>
        <w:t xml:space="preserve">En cuanto a las transferencias corrientes </w:t>
      </w:r>
      <w:r w:rsidRPr="00584C93">
        <w:rPr>
          <w:rFonts w:ascii="Times New Roman" w:hAnsi="Times New Roman" w:cs="Times New Roman"/>
          <w:lang w:val="es-MX"/>
        </w:rPr>
        <w:t>al sector público</w:t>
      </w:r>
      <w:r>
        <w:rPr>
          <w:rFonts w:ascii="Times New Roman" w:hAnsi="Times New Roman" w:cs="Times New Roman"/>
          <w:lang w:val="es-MX"/>
        </w:rPr>
        <w:t>, estas</w:t>
      </w:r>
      <w:r w:rsidRPr="00584C93">
        <w:rPr>
          <w:rFonts w:ascii="Times New Roman" w:hAnsi="Times New Roman" w:cs="Times New Roman"/>
          <w:lang w:val="es-MX"/>
        </w:rPr>
        <w:t xml:space="preserve"> reportan un</w:t>
      </w:r>
      <w:r>
        <w:rPr>
          <w:rFonts w:ascii="Times New Roman" w:hAnsi="Times New Roman" w:cs="Times New Roman"/>
          <w:lang w:val="es-MX"/>
        </w:rPr>
        <w:t xml:space="preserve"> aumento de </w:t>
      </w:r>
      <w:r w:rsidRPr="00584C93">
        <w:rPr>
          <w:rFonts w:ascii="Times New Roman" w:hAnsi="Times New Roman" w:cs="Times New Roman"/>
          <w:lang w:val="es-MX"/>
        </w:rPr>
        <w:t>Q</w:t>
      </w:r>
      <w:r>
        <w:rPr>
          <w:rFonts w:ascii="Times New Roman" w:hAnsi="Times New Roman" w:cs="Times New Roman"/>
          <w:lang w:val="es-MX"/>
        </w:rPr>
        <w:t>134</w:t>
      </w:r>
      <w:r w:rsidRPr="00584C93">
        <w:rPr>
          <w:rFonts w:ascii="Times New Roman" w:hAnsi="Times New Roman" w:cs="Times New Roman"/>
          <w:lang w:val="es-MX"/>
        </w:rPr>
        <w:t>.</w:t>
      </w:r>
      <w:r>
        <w:rPr>
          <w:rFonts w:ascii="Times New Roman" w:hAnsi="Times New Roman" w:cs="Times New Roman"/>
          <w:lang w:val="es-MX"/>
        </w:rPr>
        <w:t>5</w:t>
      </w:r>
      <w:r w:rsidRPr="00584C93">
        <w:rPr>
          <w:rFonts w:ascii="Times New Roman" w:hAnsi="Times New Roman" w:cs="Times New Roman"/>
          <w:lang w:val="es-MX"/>
        </w:rPr>
        <w:t xml:space="preserve"> millones,</w:t>
      </w:r>
      <w:r>
        <w:rPr>
          <w:rFonts w:ascii="Times New Roman" w:hAnsi="Times New Roman" w:cs="Times New Roman"/>
          <w:lang w:val="es-MX"/>
        </w:rPr>
        <w:t xml:space="preserve"> </w:t>
      </w:r>
      <w:r w:rsidRPr="00584C93">
        <w:rPr>
          <w:rFonts w:ascii="Times New Roman" w:hAnsi="Times New Roman" w:cs="Times New Roman"/>
          <w:lang w:val="es-MX"/>
        </w:rPr>
        <w:t xml:space="preserve">como resultado de </w:t>
      </w:r>
      <w:r>
        <w:rPr>
          <w:rFonts w:ascii="Times New Roman" w:hAnsi="Times New Roman" w:cs="Times New Roman"/>
          <w:lang w:val="es-MX"/>
        </w:rPr>
        <w:t xml:space="preserve">la transferencia realizada por </w:t>
      </w:r>
      <w:r w:rsidRPr="00584C93">
        <w:rPr>
          <w:rFonts w:ascii="Times New Roman" w:hAnsi="Times New Roman" w:cs="Times New Roman"/>
          <w:lang w:val="es-MX"/>
        </w:rPr>
        <w:t>el Ministerio de Gobernación hacia el Instituto Guatemalteco de Migración por Q191.9 millones, que compensa en alguna medida la caída</w:t>
      </w:r>
      <w:r>
        <w:rPr>
          <w:rFonts w:ascii="Times New Roman" w:hAnsi="Times New Roman" w:cs="Times New Roman"/>
          <w:lang w:val="es-MX"/>
        </w:rPr>
        <w:t xml:space="preserve"> total reporta</w:t>
      </w:r>
      <w:r w:rsidRPr="00584C93">
        <w:rPr>
          <w:rFonts w:ascii="Times New Roman" w:hAnsi="Times New Roman" w:cs="Times New Roman"/>
          <w:lang w:val="es-MX"/>
        </w:rPr>
        <w:t xml:space="preserve">da en </w:t>
      </w:r>
      <w:r>
        <w:rPr>
          <w:rFonts w:ascii="Times New Roman" w:hAnsi="Times New Roman" w:cs="Times New Roman"/>
          <w:lang w:val="es-MX"/>
        </w:rPr>
        <w:t xml:space="preserve">otras </w:t>
      </w:r>
      <w:r w:rsidRPr="00584C93">
        <w:rPr>
          <w:rFonts w:ascii="Times New Roman" w:hAnsi="Times New Roman" w:cs="Times New Roman"/>
          <w:lang w:val="es-MX"/>
        </w:rPr>
        <w:t xml:space="preserve">transferencias </w:t>
      </w:r>
      <w:r>
        <w:rPr>
          <w:rFonts w:ascii="Times New Roman" w:hAnsi="Times New Roman" w:cs="Times New Roman"/>
          <w:lang w:val="es-MX"/>
        </w:rPr>
        <w:t>corrientes</w:t>
      </w:r>
      <w:r w:rsidRPr="00584C93">
        <w:rPr>
          <w:rFonts w:ascii="Times New Roman" w:hAnsi="Times New Roman" w:cs="Times New Roman"/>
          <w:lang w:val="es-MX"/>
        </w:rPr>
        <w:t xml:space="preserve">. </w:t>
      </w:r>
    </w:p>
    <w:p w14:paraId="7B0A3D1F" w14:textId="77777777" w:rsidR="00A06E35" w:rsidRDefault="00A06E35" w:rsidP="00A06E35">
      <w:pPr>
        <w:pStyle w:val="Sinespaciado"/>
        <w:jc w:val="both"/>
        <w:rPr>
          <w:rFonts w:ascii="Times New Roman" w:hAnsi="Times New Roman" w:cs="Times New Roman"/>
          <w:lang w:val="es-MX"/>
        </w:rPr>
      </w:pPr>
    </w:p>
    <w:p w14:paraId="52D7D069" w14:textId="77777777" w:rsidR="004C2A11" w:rsidRPr="00A72391" w:rsidRDefault="00A06E35" w:rsidP="00A06E35">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Por su parte, otro rubro de gasto que reportará una importante contracción durante el resto del año es el de la inversión financiera, dado que los préstamos en condiciones blandas otorgados en 2020 por medio de las actividades </w:t>
      </w:r>
      <w:r w:rsidRPr="00B515C0">
        <w:rPr>
          <w:rFonts w:ascii="Times New Roman" w:hAnsi="Times New Roman" w:cs="Times New Roman"/>
          <w:lang w:val="es-MX"/>
        </w:rPr>
        <w:t>Fondo para las Micro, Pequeñas y Medianas empresas</w:t>
      </w:r>
      <w:r>
        <w:rPr>
          <w:rFonts w:ascii="Times New Roman" w:hAnsi="Times New Roman" w:cs="Times New Roman"/>
          <w:lang w:val="es-MX"/>
        </w:rPr>
        <w:t xml:space="preserve">, </w:t>
      </w:r>
      <w:r w:rsidRPr="00B515C0">
        <w:rPr>
          <w:rFonts w:ascii="Times New Roman" w:hAnsi="Times New Roman" w:cs="Times New Roman"/>
          <w:lang w:val="es-MX"/>
        </w:rPr>
        <w:t>Fondo de protección de capitales</w:t>
      </w:r>
      <w:r>
        <w:rPr>
          <w:rFonts w:ascii="Times New Roman" w:hAnsi="Times New Roman" w:cs="Times New Roman"/>
          <w:lang w:val="es-MX"/>
        </w:rPr>
        <w:t xml:space="preserve"> y </w:t>
      </w:r>
      <w:r w:rsidRPr="00B515C0">
        <w:rPr>
          <w:rFonts w:ascii="Times New Roman" w:hAnsi="Times New Roman" w:cs="Times New Roman"/>
          <w:lang w:val="es-MX"/>
        </w:rPr>
        <w:t>Fondo de Crédito Capital de Trabajo</w:t>
      </w:r>
      <w:r>
        <w:rPr>
          <w:rFonts w:ascii="Times New Roman" w:hAnsi="Times New Roman" w:cs="Times New Roman"/>
          <w:lang w:val="es-MX"/>
        </w:rPr>
        <w:t xml:space="preserve"> se registraba en dicho rubro y estas actividades finalizaron su ejecución en 2020.</w:t>
      </w:r>
      <w:r w:rsidR="004C2A11" w:rsidRPr="00A72391">
        <w:rPr>
          <w:rFonts w:ascii="Times New Roman" w:hAnsi="Times New Roman" w:cs="Times New Roman"/>
          <w:color w:val="FF0000"/>
          <w:lang w:val="es-MX"/>
        </w:rPr>
        <w:t xml:space="preserve"> </w:t>
      </w:r>
    </w:p>
    <w:p w14:paraId="3C63399E" w14:textId="77777777" w:rsidR="00AB39D4" w:rsidRPr="00A72391" w:rsidRDefault="00AB39D4" w:rsidP="004C2A11">
      <w:pPr>
        <w:pStyle w:val="Sinespaciado"/>
        <w:jc w:val="both"/>
        <w:rPr>
          <w:rFonts w:ascii="Times New Roman" w:hAnsi="Times New Roman" w:cs="Times New Roman"/>
          <w:color w:val="FF0000"/>
          <w:lang w:val="es-MX"/>
        </w:rPr>
      </w:pPr>
    </w:p>
    <w:p w14:paraId="45A62456" w14:textId="77777777" w:rsidR="00010575" w:rsidRPr="00A06E35" w:rsidRDefault="004C2A11" w:rsidP="004C2A11">
      <w:pPr>
        <w:pStyle w:val="Sinespaciado"/>
        <w:jc w:val="center"/>
      </w:pPr>
      <w:r w:rsidRPr="00A06E35">
        <w:rPr>
          <w:rFonts w:ascii="Times New Roman" w:hAnsi="Times New Roman" w:cs="Times New Roman"/>
          <w:b/>
          <w:lang w:val="es-MX"/>
        </w:rPr>
        <w:t>Ejecución por rubro de Cuenta Económica</w:t>
      </w:r>
    </w:p>
    <w:p w14:paraId="11CCCB17" w14:textId="77777777" w:rsidR="004C2A11" w:rsidRPr="00A06E35" w:rsidRDefault="004C2A11" w:rsidP="004C2A11">
      <w:pPr>
        <w:pStyle w:val="Sinespaciado"/>
        <w:jc w:val="center"/>
        <w:rPr>
          <w:rFonts w:ascii="Times New Roman" w:hAnsi="Times New Roman" w:cs="Times New Roman"/>
          <w:sz w:val="18"/>
          <w:lang w:val="es-MX"/>
        </w:rPr>
      </w:pPr>
      <w:r w:rsidRPr="00A06E35">
        <w:rPr>
          <w:rFonts w:ascii="Times New Roman" w:hAnsi="Times New Roman" w:cs="Times New Roman"/>
          <w:sz w:val="18"/>
          <w:szCs w:val="18"/>
          <w:lang w:val="es-MX"/>
        </w:rPr>
        <w:t>2021 – 2020</w:t>
      </w:r>
    </w:p>
    <w:p w14:paraId="7897EEA5" w14:textId="77777777" w:rsidR="004C2A11" w:rsidRPr="00A06E35" w:rsidRDefault="00A06E35" w:rsidP="004C2A11">
      <w:pPr>
        <w:pStyle w:val="Sinespaciado"/>
        <w:jc w:val="center"/>
        <w:rPr>
          <w:rFonts w:ascii="Times New Roman" w:hAnsi="Times New Roman" w:cs="Times New Roman"/>
          <w:sz w:val="18"/>
          <w:lang w:val="es-MX"/>
        </w:rPr>
      </w:pPr>
      <w:r w:rsidRPr="00A06E35">
        <w:rPr>
          <w:rFonts w:ascii="Times New Roman" w:hAnsi="Times New Roman" w:cs="Times New Roman"/>
          <w:noProof/>
          <w:sz w:val="18"/>
          <w:lang w:eastAsia="es-GT"/>
        </w:rPr>
        <w:drawing>
          <wp:anchor distT="0" distB="0" distL="114300" distR="114300" simplePos="0" relativeHeight="251817984" behindDoc="0" locked="0" layoutInCell="1" allowOverlap="1" wp14:anchorId="77C8B66D" wp14:editId="6A0B65F0">
            <wp:simplePos x="0" y="0"/>
            <wp:positionH relativeFrom="column">
              <wp:posOffset>0</wp:posOffset>
            </wp:positionH>
            <wp:positionV relativeFrom="paragraph">
              <wp:posOffset>132715</wp:posOffset>
            </wp:positionV>
            <wp:extent cx="2708275" cy="2656840"/>
            <wp:effectExtent l="0" t="0" r="0" b="0"/>
            <wp:wrapSquare wrapText="bothSides"/>
            <wp:docPr id="2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C2A11" w:rsidRPr="00A06E35">
        <w:rPr>
          <w:rFonts w:ascii="Times New Roman" w:hAnsi="Times New Roman" w:cs="Times New Roman"/>
          <w:sz w:val="18"/>
          <w:lang w:val="es-MX"/>
        </w:rPr>
        <w:t>Variación absoluta interanual</w:t>
      </w:r>
    </w:p>
    <w:p w14:paraId="77AB201B" w14:textId="77777777" w:rsidR="004C2A11" w:rsidRPr="00A06E35" w:rsidRDefault="004C2A11" w:rsidP="004C2A11">
      <w:pPr>
        <w:spacing w:after="0" w:line="240" w:lineRule="auto"/>
        <w:jc w:val="both"/>
        <w:rPr>
          <w:rFonts w:ascii="Times New Roman" w:hAnsi="Times New Roman" w:cs="Times New Roman"/>
          <w:sz w:val="16"/>
        </w:rPr>
      </w:pPr>
      <w:r w:rsidRPr="00A06E35">
        <w:rPr>
          <w:rFonts w:ascii="Times New Roman" w:hAnsi="Times New Roman" w:cs="Times New Roman"/>
          <w:sz w:val="16"/>
        </w:rPr>
        <w:t>Fuente: Dirección de Análisis y Política Fiscal</w:t>
      </w:r>
    </w:p>
    <w:p w14:paraId="7AFBA8DC" w14:textId="77777777" w:rsidR="009A7D66" w:rsidRPr="00A72391" w:rsidRDefault="009A7D66" w:rsidP="004C2A11">
      <w:pPr>
        <w:pStyle w:val="Sinespaciado"/>
        <w:jc w:val="both"/>
        <w:rPr>
          <w:rFonts w:ascii="Times New Roman" w:hAnsi="Times New Roman" w:cs="Times New Roman"/>
          <w:color w:val="FF0000"/>
          <w:lang w:val="es-MX"/>
        </w:rPr>
      </w:pPr>
    </w:p>
    <w:p w14:paraId="238A0645" w14:textId="77777777" w:rsidR="0054508A" w:rsidRDefault="0054508A" w:rsidP="0054508A">
      <w:pPr>
        <w:pStyle w:val="Sinespaciado"/>
        <w:jc w:val="both"/>
        <w:rPr>
          <w:rFonts w:ascii="Times New Roman" w:hAnsi="Times New Roman" w:cs="Times New Roman"/>
          <w:lang w:val="es-MX"/>
        </w:rPr>
      </w:pPr>
      <w:r>
        <w:rPr>
          <w:rFonts w:ascii="Times New Roman" w:hAnsi="Times New Roman" w:cs="Times New Roman"/>
          <w:lang w:val="es-MX"/>
        </w:rPr>
        <w:t xml:space="preserve">En cuanto al </w:t>
      </w:r>
      <w:r w:rsidRPr="006220B2">
        <w:rPr>
          <w:rFonts w:ascii="Times New Roman" w:hAnsi="Times New Roman" w:cs="Times New Roman"/>
          <w:lang w:val="es-MX"/>
        </w:rPr>
        <w:t>gasto</w:t>
      </w:r>
      <w:r>
        <w:rPr>
          <w:rFonts w:ascii="Times New Roman" w:hAnsi="Times New Roman" w:cs="Times New Roman"/>
          <w:lang w:val="es-MX"/>
        </w:rPr>
        <w:t xml:space="preserve"> total</w:t>
      </w:r>
      <w:r w:rsidRPr="006220B2">
        <w:rPr>
          <w:rFonts w:ascii="Times New Roman" w:hAnsi="Times New Roman" w:cs="Times New Roman"/>
          <w:lang w:val="es-MX"/>
        </w:rPr>
        <w:t xml:space="preserve">, </w:t>
      </w:r>
      <w:r>
        <w:rPr>
          <w:rFonts w:ascii="Times New Roman" w:hAnsi="Times New Roman" w:cs="Times New Roman"/>
          <w:lang w:val="es-MX"/>
        </w:rPr>
        <w:t>el</w:t>
      </w:r>
      <w:r w:rsidRPr="006220B2">
        <w:rPr>
          <w:rFonts w:ascii="Times New Roman" w:hAnsi="Times New Roman" w:cs="Times New Roman"/>
          <w:lang w:val="es-MX"/>
        </w:rPr>
        <w:t xml:space="preserve"> cual incluye amortizaciones de la </w:t>
      </w:r>
      <w:r>
        <w:rPr>
          <w:rFonts w:ascii="Times New Roman" w:hAnsi="Times New Roman" w:cs="Times New Roman"/>
          <w:lang w:val="es-MX"/>
        </w:rPr>
        <w:t xml:space="preserve">deuda pública, </w:t>
      </w:r>
      <w:r w:rsidRPr="006220B2">
        <w:rPr>
          <w:rFonts w:ascii="Times New Roman" w:hAnsi="Times New Roman" w:cs="Times New Roman"/>
          <w:lang w:val="es-MX"/>
        </w:rPr>
        <w:t>se situó en Q</w:t>
      </w:r>
      <w:r>
        <w:rPr>
          <w:rFonts w:ascii="Times New Roman" w:hAnsi="Times New Roman" w:cs="Times New Roman"/>
          <w:lang w:val="es-MX"/>
        </w:rPr>
        <w:t>34</w:t>
      </w:r>
      <w:r w:rsidRPr="006220B2">
        <w:rPr>
          <w:rFonts w:ascii="Times New Roman" w:hAnsi="Times New Roman" w:cs="Times New Roman"/>
          <w:lang w:val="es-MX"/>
        </w:rPr>
        <w:t>,</w:t>
      </w:r>
      <w:r>
        <w:rPr>
          <w:rFonts w:ascii="Times New Roman" w:hAnsi="Times New Roman" w:cs="Times New Roman"/>
          <w:lang w:val="es-MX"/>
        </w:rPr>
        <w:t xml:space="preserve">361.7 </w:t>
      </w:r>
      <w:r w:rsidRPr="006220B2">
        <w:rPr>
          <w:rFonts w:ascii="Times New Roman" w:hAnsi="Times New Roman" w:cs="Times New Roman"/>
          <w:lang w:val="es-MX"/>
        </w:rPr>
        <w:t>millones</w:t>
      </w:r>
      <w:r>
        <w:rPr>
          <w:rFonts w:ascii="Times New Roman" w:hAnsi="Times New Roman" w:cs="Times New Roman"/>
          <w:lang w:val="es-MX"/>
        </w:rPr>
        <w:t>, con un grado de ejecución de 32.0% y una variación interanual de 6.3%. E</w:t>
      </w:r>
      <w:r w:rsidRPr="006220B2">
        <w:rPr>
          <w:rFonts w:ascii="Times New Roman" w:hAnsi="Times New Roman" w:cs="Times New Roman"/>
          <w:lang w:val="es-MX"/>
        </w:rPr>
        <w:t xml:space="preserve">ste </w:t>
      </w:r>
      <w:r>
        <w:rPr>
          <w:rFonts w:ascii="Times New Roman" w:hAnsi="Times New Roman" w:cs="Times New Roman"/>
          <w:lang w:val="es-MX"/>
        </w:rPr>
        <w:t xml:space="preserve">grado de ejecución </w:t>
      </w:r>
      <w:r w:rsidRPr="006220B2">
        <w:rPr>
          <w:rFonts w:ascii="Times New Roman" w:hAnsi="Times New Roman" w:cs="Times New Roman"/>
          <w:lang w:val="es-MX"/>
        </w:rPr>
        <w:t xml:space="preserve">se encuentra por </w:t>
      </w:r>
      <w:r>
        <w:rPr>
          <w:rFonts w:ascii="Times New Roman" w:hAnsi="Times New Roman" w:cs="Times New Roman"/>
          <w:lang w:val="es-MX"/>
        </w:rPr>
        <w:t>abajo d</w:t>
      </w:r>
      <w:r w:rsidRPr="006220B2">
        <w:rPr>
          <w:rFonts w:ascii="Times New Roman" w:hAnsi="Times New Roman" w:cs="Times New Roman"/>
          <w:lang w:val="es-MX"/>
        </w:rPr>
        <w:t>e la ejecución promedio de los últimos 5 años (</w:t>
      </w:r>
      <w:r>
        <w:rPr>
          <w:rFonts w:ascii="Times New Roman" w:hAnsi="Times New Roman" w:cs="Times New Roman"/>
          <w:lang w:val="es-MX"/>
        </w:rPr>
        <w:t>33.1</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 xml:space="preserve">y es </w:t>
      </w:r>
      <w:r>
        <w:rPr>
          <w:rFonts w:ascii="Times New Roman" w:hAnsi="Times New Roman" w:cs="Times New Roman"/>
          <w:lang w:val="es-MX"/>
        </w:rPr>
        <w:t>infer</w:t>
      </w:r>
      <w:r w:rsidRPr="006220B2">
        <w:rPr>
          <w:rFonts w:ascii="Times New Roman" w:hAnsi="Times New Roman" w:cs="Times New Roman"/>
          <w:lang w:val="es-MX"/>
        </w:rPr>
        <w:t>ior a la reportada en</w:t>
      </w:r>
      <w:r>
        <w:rPr>
          <w:rFonts w:ascii="Times New Roman" w:hAnsi="Times New Roman" w:cs="Times New Roman"/>
          <w:lang w:val="es-MX"/>
        </w:rPr>
        <w:t xml:space="preserve"> cada uno de los años previos, a excepción del 2020, cuando el grado de ejecución fue de 30.0%, dado que ya se habían aprobado las ampliaciones presupuestarias por la coyuntura de la pandemia. </w:t>
      </w:r>
    </w:p>
    <w:p w14:paraId="011F52C5" w14:textId="77777777" w:rsidR="0054508A" w:rsidRDefault="0054508A" w:rsidP="0054508A">
      <w:pPr>
        <w:pStyle w:val="Sinespaciado"/>
        <w:jc w:val="both"/>
        <w:rPr>
          <w:rFonts w:ascii="Times New Roman" w:hAnsi="Times New Roman" w:cs="Times New Roman"/>
          <w:lang w:val="es-MX"/>
        </w:rPr>
      </w:pPr>
    </w:p>
    <w:p w14:paraId="29B710E8" w14:textId="77777777" w:rsidR="0054508A" w:rsidRPr="00C6700D" w:rsidRDefault="0054508A" w:rsidP="0054508A">
      <w:pPr>
        <w:pStyle w:val="Sinespaciado"/>
        <w:jc w:val="both"/>
        <w:rPr>
          <w:rFonts w:ascii="Times New Roman" w:hAnsi="Times New Roman" w:cs="Times New Roman"/>
          <w:color w:val="FF0000"/>
          <w:lang w:val="es-MX"/>
        </w:rPr>
      </w:pPr>
      <w:r>
        <w:rPr>
          <w:rFonts w:ascii="Times New Roman" w:hAnsi="Times New Roman" w:cs="Times New Roman"/>
          <w:lang w:val="es-MX"/>
        </w:rPr>
        <w:t>En 2021 por esta misma razón, el grado de ejecución se percibe bajo, por el efecto de contar con un presupuesto vigente de Q107,521.5 millones, el cual responde a la coyuntura del año pasado. E</w:t>
      </w:r>
      <w:r w:rsidRPr="00034070">
        <w:rPr>
          <w:rFonts w:ascii="Times New Roman" w:hAnsi="Times New Roman" w:cs="Times New Roman"/>
          <w:lang w:val="es-MX"/>
        </w:rPr>
        <w:t xml:space="preserve">l </w:t>
      </w:r>
      <w:r>
        <w:rPr>
          <w:rFonts w:ascii="Times New Roman" w:hAnsi="Times New Roman" w:cs="Times New Roman"/>
          <w:lang w:val="es-MX"/>
        </w:rPr>
        <w:t xml:space="preserve">Organismo </w:t>
      </w:r>
      <w:r w:rsidRPr="00034070">
        <w:rPr>
          <w:rFonts w:ascii="Times New Roman" w:hAnsi="Times New Roman" w:cs="Times New Roman"/>
          <w:lang w:val="es-MX"/>
        </w:rPr>
        <w:t xml:space="preserve">Ejecutivo comunicó que el gasto máximo en el </w:t>
      </w:r>
      <w:r>
        <w:rPr>
          <w:rFonts w:ascii="Times New Roman" w:hAnsi="Times New Roman" w:cs="Times New Roman"/>
          <w:lang w:val="es-MX"/>
        </w:rPr>
        <w:t xml:space="preserve">que se puede incurrir </w:t>
      </w:r>
      <w:r>
        <w:rPr>
          <w:rFonts w:ascii="Times New Roman" w:hAnsi="Times New Roman" w:cs="Times New Roman"/>
          <w:lang w:val="es-MX"/>
        </w:rPr>
        <w:lastRenderedPageBreak/>
        <w:t>durante este</w:t>
      </w:r>
      <w:r w:rsidRPr="00034070">
        <w:rPr>
          <w:rFonts w:ascii="Times New Roman" w:hAnsi="Times New Roman" w:cs="Times New Roman"/>
          <w:lang w:val="es-MX"/>
        </w:rPr>
        <w:t xml:space="preserve"> presente ejercicio fiscal asciende a Q94,354.0 millones, </w:t>
      </w:r>
      <w:r>
        <w:rPr>
          <w:rFonts w:ascii="Times New Roman" w:hAnsi="Times New Roman" w:cs="Times New Roman"/>
          <w:lang w:val="es-MX"/>
        </w:rPr>
        <w:t>tomando en consideración este escenario, una ejecución más realista podría ubicarse en 36.4%, siendo superior al promedio de los últimos 5 años y a cada uno de los años anteriores, lo que da muestras de una ejecución dinámica.</w:t>
      </w:r>
      <w:r w:rsidRPr="00C6700D">
        <w:rPr>
          <w:rFonts w:ascii="Times New Roman" w:hAnsi="Times New Roman" w:cs="Times New Roman"/>
          <w:color w:val="FF0000"/>
          <w:lang w:val="es-MX"/>
        </w:rPr>
        <w:t xml:space="preserve"> </w:t>
      </w:r>
    </w:p>
    <w:p w14:paraId="6F1056BE" w14:textId="77777777" w:rsidR="004C2A11" w:rsidRPr="00A72391" w:rsidRDefault="004C2A11" w:rsidP="004C2A11">
      <w:pPr>
        <w:pStyle w:val="Sinespaciado"/>
        <w:jc w:val="both"/>
        <w:rPr>
          <w:rFonts w:ascii="Times New Roman" w:hAnsi="Times New Roman" w:cs="Times New Roman"/>
          <w:color w:val="FF0000"/>
          <w:lang w:val="es-MX"/>
        </w:rPr>
      </w:pPr>
    </w:p>
    <w:p w14:paraId="60DCA0C8" w14:textId="77777777" w:rsidR="004C2A11" w:rsidRPr="0054508A" w:rsidRDefault="004C2A11" w:rsidP="004C2A11">
      <w:pPr>
        <w:spacing w:after="0" w:line="240" w:lineRule="auto"/>
        <w:jc w:val="center"/>
        <w:rPr>
          <w:rFonts w:ascii="Times New Roman" w:hAnsi="Times New Roman" w:cs="Times New Roman"/>
          <w:b/>
          <w:lang w:val="es-MX"/>
        </w:rPr>
      </w:pPr>
      <w:r w:rsidRPr="0054508A">
        <w:rPr>
          <w:rFonts w:ascii="Times New Roman" w:hAnsi="Times New Roman" w:cs="Times New Roman"/>
          <w:b/>
          <w:lang w:val="es-MX"/>
        </w:rPr>
        <w:t>Grado de Ejecución de los últimos 5 años</w:t>
      </w:r>
    </w:p>
    <w:p w14:paraId="0B111484" w14:textId="77777777" w:rsidR="004C2A11" w:rsidRPr="0054508A" w:rsidRDefault="00010575" w:rsidP="004C2A11">
      <w:pPr>
        <w:pStyle w:val="Sinespaciado"/>
        <w:jc w:val="center"/>
        <w:rPr>
          <w:rFonts w:ascii="Times New Roman" w:hAnsi="Times New Roman" w:cs="Times New Roman"/>
          <w:sz w:val="18"/>
          <w:szCs w:val="18"/>
          <w:lang w:val="es-MX"/>
        </w:rPr>
      </w:pPr>
      <w:r w:rsidRPr="0054508A">
        <w:rPr>
          <w:rFonts w:ascii="Times New Roman" w:hAnsi="Times New Roman" w:cs="Times New Roman"/>
          <w:sz w:val="18"/>
          <w:szCs w:val="18"/>
          <w:lang w:val="es-MX"/>
        </w:rPr>
        <w:t>Al 31</w:t>
      </w:r>
      <w:r w:rsidR="004C2A11" w:rsidRPr="0054508A">
        <w:rPr>
          <w:rFonts w:ascii="Times New Roman" w:hAnsi="Times New Roman" w:cs="Times New Roman"/>
          <w:sz w:val="18"/>
          <w:szCs w:val="18"/>
          <w:lang w:val="es-MX"/>
        </w:rPr>
        <w:t xml:space="preserve"> de </w:t>
      </w:r>
      <w:r w:rsidRPr="0054508A">
        <w:rPr>
          <w:rFonts w:ascii="Times New Roman" w:hAnsi="Times New Roman" w:cs="Times New Roman"/>
          <w:sz w:val="18"/>
          <w:szCs w:val="18"/>
          <w:lang w:val="es-MX"/>
        </w:rPr>
        <w:t>mayo</w:t>
      </w:r>
      <w:r w:rsidR="004C2A11" w:rsidRPr="0054508A">
        <w:rPr>
          <w:rFonts w:ascii="Times New Roman" w:hAnsi="Times New Roman" w:cs="Times New Roman"/>
          <w:sz w:val="18"/>
          <w:szCs w:val="18"/>
          <w:lang w:val="es-MX"/>
        </w:rPr>
        <w:t xml:space="preserve"> de cada año</w:t>
      </w:r>
    </w:p>
    <w:p w14:paraId="294CC919" w14:textId="77777777" w:rsidR="004C2A11" w:rsidRPr="0054508A" w:rsidRDefault="00010575" w:rsidP="004C2A11">
      <w:pPr>
        <w:pStyle w:val="Sinespaciado"/>
        <w:jc w:val="center"/>
        <w:rPr>
          <w:rFonts w:ascii="Times New Roman" w:hAnsi="Times New Roman" w:cs="Times New Roman"/>
          <w:sz w:val="18"/>
          <w:szCs w:val="18"/>
          <w:lang w:val="es-MX"/>
        </w:rPr>
      </w:pPr>
      <w:r w:rsidRPr="0054508A">
        <w:rPr>
          <w:rFonts w:ascii="Times New Roman" w:hAnsi="Times New Roman" w:cs="Times New Roman"/>
          <w:noProof/>
          <w:sz w:val="18"/>
          <w:szCs w:val="18"/>
          <w:lang w:eastAsia="es-GT"/>
        </w:rPr>
        <w:drawing>
          <wp:anchor distT="0" distB="0" distL="114300" distR="114300" simplePos="0" relativeHeight="251801600" behindDoc="0" locked="0" layoutInCell="1" allowOverlap="1" wp14:anchorId="52528938" wp14:editId="43670BCD">
            <wp:simplePos x="0" y="0"/>
            <wp:positionH relativeFrom="column">
              <wp:posOffset>0</wp:posOffset>
            </wp:positionH>
            <wp:positionV relativeFrom="paragraph">
              <wp:posOffset>171450</wp:posOffset>
            </wp:positionV>
            <wp:extent cx="2760345" cy="1819910"/>
            <wp:effectExtent l="0" t="0" r="1905" b="889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C2A11" w:rsidRPr="0054508A">
        <w:rPr>
          <w:rFonts w:ascii="Times New Roman" w:hAnsi="Times New Roman" w:cs="Times New Roman"/>
          <w:sz w:val="18"/>
          <w:szCs w:val="18"/>
          <w:lang w:val="es-MX"/>
        </w:rPr>
        <w:t>Cifras en porcentajes</w:t>
      </w:r>
    </w:p>
    <w:p w14:paraId="01CB7FF4" w14:textId="77777777" w:rsidR="004C2A11" w:rsidRPr="0054508A" w:rsidRDefault="004C2A11" w:rsidP="004C2A11">
      <w:pPr>
        <w:spacing w:after="0" w:line="240" w:lineRule="auto"/>
        <w:jc w:val="both"/>
        <w:rPr>
          <w:rFonts w:ascii="Times New Roman" w:hAnsi="Times New Roman" w:cs="Times New Roman"/>
          <w:b/>
          <w:i/>
          <w:sz w:val="16"/>
        </w:rPr>
      </w:pPr>
      <w:r w:rsidRPr="0054508A">
        <w:rPr>
          <w:rFonts w:ascii="Times New Roman" w:hAnsi="Times New Roman" w:cs="Times New Roman"/>
          <w:b/>
          <w:i/>
          <w:sz w:val="16"/>
        </w:rPr>
        <w:t>*Con presupuesto 2021 ajustado Q94,354.0 millones</w:t>
      </w:r>
    </w:p>
    <w:p w14:paraId="76F86C22" w14:textId="77777777" w:rsidR="004C2A11" w:rsidRPr="0054508A" w:rsidRDefault="004C2A11" w:rsidP="004C2A11">
      <w:pPr>
        <w:spacing w:after="0" w:line="240" w:lineRule="auto"/>
        <w:jc w:val="both"/>
        <w:rPr>
          <w:rFonts w:ascii="Times New Roman" w:hAnsi="Times New Roman" w:cs="Times New Roman"/>
          <w:sz w:val="16"/>
        </w:rPr>
      </w:pPr>
      <w:r w:rsidRPr="0054508A">
        <w:rPr>
          <w:rFonts w:ascii="Times New Roman" w:hAnsi="Times New Roman" w:cs="Times New Roman"/>
          <w:sz w:val="16"/>
        </w:rPr>
        <w:t>Fuente: Dirección de Análisis y Política Fiscal</w:t>
      </w:r>
    </w:p>
    <w:p w14:paraId="335952E9" w14:textId="77777777" w:rsidR="0054508A" w:rsidRDefault="0054508A" w:rsidP="00E06DEC">
      <w:pPr>
        <w:pStyle w:val="Sinespaciado"/>
        <w:jc w:val="both"/>
        <w:rPr>
          <w:rFonts w:ascii="Times New Roman" w:hAnsi="Times New Roman" w:cs="Times New Roman"/>
          <w:color w:val="FF0000"/>
        </w:rPr>
      </w:pPr>
    </w:p>
    <w:p w14:paraId="04CE771C" w14:textId="77777777" w:rsidR="0054508A" w:rsidRDefault="0054508A" w:rsidP="0054508A">
      <w:pPr>
        <w:pStyle w:val="Sinespaciado"/>
        <w:jc w:val="both"/>
        <w:rPr>
          <w:rFonts w:ascii="Times New Roman" w:hAnsi="Times New Roman" w:cs="Times New Roman"/>
        </w:rPr>
      </w:pPr>
      <w:r>
        <w:rPr>
          <w:rFonts w:ascii="Times New Roman" w:hAnsi="Times New Roman" w:cs="Times New Roman"/>
        </w:rPr>
        <w:t>A nivel del gasto público por entidades, muestran el mayor nivel de ejecución la PGN (46.2%),</w:t>
      </w:r>
      <w:r w:rsidRPr="00904449">
        <w:t xml:space="preserve"> </w:t>
      </w:r>
      <w:r w:rsidRPr="004523BC">
        <w:rPr>
          <w:rFonts w:ascii="Times New Roman" w:hAnsi="Times New Roman" w:cs="Times New Roman"/>
        </w:rPr>
        <w:t xml:space="preserve">Deuda Pública </w:t>
      </w:r>
      <w:r>
        <w:rPr>
          <w:rFonts w:ascii="Times New Roman" w:hAnsi="Times New Roman" w:cs="Times New Roman"/>
        </w:rPr>
        <w:t xml:space="preserve">(41.2%), Ambiente (40.7%), </w:t>
      </w:r>
      <w:r w:rsidRPr="00904449">
        <w:rPr>
          <w:rFonts w:ascii="Times New Roman" w:hAnsi="Times New Roman" w:cs="Times New Roman"/>
        </w:rPr>
        <w:t>Educación (</w:t>
      </w:r>
      <w:r>
        <w:rPr>
          <w:rFonts w:ascii="Times New Roman" w:hAnsi="Times New Roman" w:cs="Times New Roman"/>
        </w:rPr>
        <w:t>39</w:t>
      </w:r>
      <w:r w:rsidRPr="00904449">
        <w:rPr>
          <w:rFonts w:ascii="Times New Roman" w:hAnsi="Times New Roman" w:cs="Times New Roman"/>
        </w:rPr>
        <w:t>.</w:t>
      </w:r>
      <w:r>
        <w:rPr>
          <w:rFonts w:ascii="Times New Roman" w:hAnsi="Times New Roman" w:cs="Times New Roman"/>
        </w:rPr>
        <w:t>2%), Salud Pública (36.8%), Gobernación (</w:t>
      </w:r>
      <w:r w:rsidRPr="00904449">
        <w:rPr>
          <w:rFonts w:ascii="Times New Roman" w:hAnsi="Times New Roman" w:cs="Times New Roman"/>
        </w:rPr>
        <w:t>3</w:t>
      </w:r>
      <w:r>
        <w:rPr>
          <w:rFonts w:ascii="Times New Roman" w:hAnsi="Times New Roman" w:cs="Times New Roman"/>
        </w:rPr>
        <w:t>6.0</w:t>
      </w:r>
      <w:r w:rsidRPr="00904449">
        <w:rPr>
          <w:rFonts w:ascii="Times New Roman" w:hAnsi="Times New Roman" w:cs="Times New Roman"/>
        </w:rPr>
        <w:t>%),</w:t>
      </w:r>
      <w:r>
        <w:rPr>
          <w:rFonts w:ascii="Times New Roman" w:hAnsi="Times New Roman" w:cs="Times New Roman"/>
        </w:rPr>
        <w:t xml:space="preserve"> Trabajo (33.9%) y MINREX (33.1%), todas estas entidades se encuentran por arriba de la ejecución institucional total. </w:t>
      </w:r>
    </w:p>
    <w:p w14:paraId="7FBC2511" w14:textId="77777777" w:rsidR="0054508A" w:rsidRDefault="0054508A" w:rsidP="0054508A">
      <w:pPr>
        <w:pStyle w:val="Sinespaciado"/>
        <w:jc w:val="both"/>
        <w:rPr>
          <w:rFonts w:ascii="Times New Roman" w:hAnsi="Times New Roman" w:cs="Times New Roman"/>
        </w:rPr>
      </w:pPr>
    </w:p>
    <w:p w14:paraId="6FE6EA58" w14:textId="77777777" w:rsidR="0054508A" w:rsidRDefault="0054508A" w:rsidP="0054508A">
      <w:pPr>
        <w:pStyle w:val="Sinespaciado"/>
        <w:jc w:val="both"/>
        <w:rPr>
          <w:rFonts w:ascii="Times New Roman" w:hAnsi="Times New Roman" w:cs="Times New Roman"/>
        </w:rPr>
      </w:pPr>
      <w:r>
        <w:rPr>
          <w:rFonts w:ascii="Times New Roman" w:hAnsi="Times New Roman" w:cs="Times New Roman"/>
        </w:rPr>
        <w:t>Por su parte, el resto de las entidades se encuentran por debajo de la ejecución total, resalta el caso de dos entidades, siendo Desarrollo Social (4.9%) y Economía (3.5%).</w:t>
      </w:r>
    </w:p>
    <w:p w14:paraId="08B924D6" w14:textId="77777777" w:rsidR="0054508A" w:rsidRDefault="0054508A" w:rsidP="0054508A">
      <w:pPr>
        <w:pStyle w:val="Sinespaciado"/>
        <w:jc w:val="both"/>
        <w:rPr>
          <w:rFonts w:ascii="Times New Roman" w:hAnsi="Times New Roman" w:cs="Times New Roman"/>
        </w:rPr>
      </w:pPr>
    </w:p>
    <w:p w14:paraId="41C6EAC0" w14:textId="77777777" w:rsidR="0054508A" w:rsidRPr="008D3F91" w:rsidRDefault="0054508A" w:rsidP="0054508A">
      <w:pPr>
        <w:pStyle w:val="Sinespaciado"/>
        <w:jc w:val="both"/>
        <w:rPr>
          <w:rFonts w:ascii="Times New Roman" w:hAnsi="Times New Roman" w:cs="Times New Roman"/>
          <w:color w:val="FF0000"/>
        </w:rPr>
      </w:pPr>
      <w:r>
        <w:rPr>
          <w:rFonts w:ascii="Times New Roman" w:hAnsi="Times New Roman" w:cs="Times New Roman"/>
        </w:rPr>
        <w:t>En el caso de ambas entidades, la baja ejecución se debe a un presupuesto que responde a los programas asociados a la atención de la crisis ocasionada por el COVID-19 y por ello el presupuesto vigente supera ampliamente al presupuesto histórico de dichas entidades.</w:t>
      </w:r>
      <w:r w:rsidRPr="008D3F91">
        <w:rPr>
          <w:rFonts w:ascii="Times New Roman" w:hAnsi="Times New Roman" w:cs="Times New Roman"/>
          <w:color w:val="FF0000"/>
        </w:rPr>
        <w:t xml:space="preserve"> </w:t>
      </w:r>
    </w:p>
    <w:p w14:paraId="0728ACC2" w14:textId="77777777" w:rsidR="0054508A" w:rsidRPr="00A72391" w:rsidRDefault="0054508A" w:rsidP="004C2A11">
      <w:pPr>
        <w:spacing w:after="0" w:line="240" w:lineRule="auto"/>
        <w:rPr>
          <w:rFonts w:ascii="Times New Roman" w:hAnsi="Times New Roman" w:cs="Times New Roman"/>
          <w:b/>
          <w:color w:val="FF0000"/>
        </w:rPr>
      </w:pPr>
    </w:p>
    <w:p w14:paraId="3E783C42" w14:textId="77777777" w:rsidR="004C2A11" w:rsidRPr="0054508A" w:rsidRDefault="004C2A11" w:rsidP="004C2A11">
      <w:pPr>
        <w:spacing w:after="0" w:line="240" w:lineRule="auto"/>
        <w:jc w:val="center"/>
        <w:rPr>
          <w:rFonts w:ascii="Times New Roman" w:hAnsi="Times New Roman" w:cs="Times New Roman"/>
          <w:b/>
          <w:lang w:val="es-MX"/>
        </w:rPr>
      </w:pPr>
      <w:r w:rsidRPr="0054508A">
        <w:rPr>
          <w:rFonts w:ascii="Times New Roman" w:hAnsi="Times New Roman" w:cs="Times New Roman"/>
          <w:b/>
          <w:lang w:val="es-MX"/>
        </w:rPr>
        <w:t>Grado de Ejecución por Entidad</w:t>
      </w:r>
    </w:p>
    <w:p w14:paraId="25AC8925" w14:textId="77777777" w:rsidR="004C2A11" w:rsidRPr="0054508A" w:rsidRDefault="00010575" w:rsidP="004C2A11">
      <w:pPr>
        <w:spacing w:after="0" w:line="240" w:lineRule="auto"/>
        <w:jc w:val="center"/>
        <w:rPr>
          <w:rFonts w:ascii="Times New Roman" w:hAnsi="Times New Roman" w:cs="Times New Roman"/>
          <w:sz w:val="18"/>
          <w:szCs w:val="18"/>
          <w:lang w:val="es-MX"/>
        </w:rPr>
      </w:pPr>
      <w:r w:rsidRPr="0054508A">
        <w:rPr>
          <w:rFonts w:ascii="Times New Roman" w:hAnsi="Times New Roman" w:cs="Times New Roman"/>
          <w:sz w:val="18"/>
          <w:szCs w:val="18"/>
          <w:lang w:val="es-MX"/>
        </w:rPr>
        <w:t>Al 31</w:t>
      </w:r>
      <w:r w:rsidR="004C2A11" w:rsidRPr="0054508A">
        <w:rPr>
          <w:rFonts w:ascii="Times New Roman" w:hAnsi="Times New Roman" w:cs="Times New Roman"/>
          <w:sz w:val="18"/>
          <w:szCs w:val="18"/>
          <w:lang w:val="es-MX"/>
        </w:rPr>
        <w:t xml:space="preserve"> de </w:t>
      </w:r>
      <w:r w:rsidRPr="0054508A">
        <w:rPr>
          <w:rFonts w:ascii="Times New Roman" w:hAnsi="Times New Roman" w:cs="Times New Roman"/>
          <w:sz w:val="18"/>
          <w:szCs w:val="18"/>
          <w:lang w:val="es-MX"/>
        </w:rPr>
        <w:t>mayo</w:t>
      </w:r>
      <w:r w:rsidR="004C2A11" w:rsidRPr="0054508A">
        <w:rPr>
          <w:rFonts w:ascii="Times New Roman" w:hAnsi="Times New Roman" w:cs="Times New Roman"/>
          <w:sz w:val="18"/>
          <w:szCs w:val="18"/>
          <w:lang w:val="es-MX"/>
        </w:rPr>
        <w:t xml:space="preserve"> del 2021</w:t>
      </w:r>
    </w:p>
    <w:p w14:paraId="671609C2" w14:textId="77777777" w:rsidR="004C2A11" w:rsidRPr="0054508A" w:rsidRDefault="00010575" w:rsidP="004C2A11">
      <w:pPr>
        <w:spacing w:after="0" w:line="240" w:lineRule="auto"/>
        <w:jc w:val="center"/>
        <w:rPr>
          <w:rFonts w:ascii="Times New Roman" w:hAnsi="Times New Roman" w:cs="Times New Roman"/>
          <w:sz w:val="18"/>
          <w:szCs w:val="18"/>
          <w:lang w:val="es-MX"/>
        </w:rPr>
      </w:pPr>
      <w:r w:rsidRPr="0054508A">
        <w:rPr>
          <w:rFonts w:ascii="Times New Roman" w:hAnsi="Times New Roman" w:cs="Times New Roman"/>
          <w:noProof/>
          <w:sz w:val="18"/>
          <w:szCs w:val="18"/>
          <w:lang w:eastAsia="es-GT"/>
        </w:rPr>
        <w:drawing>
          <wp:anchor distT="0" distB="0" distL="114300" distR="114300" simplePos="0" relativeHeight="251803648" behindDoc="0" locked="0" layoutInCell="1" allowOverlap="1" wp14:anchorId="633C84DF" wp14:editId="23C25134">
            <wp:simplePos x="0" y="0"/>
            <wp:positionH relativeFrom="column">
              <wp:posOffset>-36830</wp:posOffset>
            </wp:positionH>
            <wp:positionV relativeFrom="paragraph">
              <wp:posOffset>193675</wp:posOffset>
            </wp:positionV>
            <wp:extent cx="2553335" cy="3303905"/>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C2A11" w:rsidRPr="0054508A">
        <w:rPr>
          <w:rFonts w:ascii="Times New Roman" w:hAnsi="Times New Roman" w:cs="Times New Roman"/>
          <w:sz w:val="18"/>
          <w:szCs w:val="18"/>
          <w:lang w:val="es-MX"/>
        </w:rPr>
        <w:t>Millones de quetzales</w:t>
      </w:r>
    </w:p>
    <w:p w14:paraId="538155F4" w14:textId="77777777" w:rsidR="004C2A11" w:rsidRPr="0054508A" w:rsidRDefault="004C2A11" w:rsidP="004C2A11">
      <w:pPr>
        <w:spacing w:after="0" w:line="240" w:lineRule="auto"/>
        <w:jc w:val="both"/>
        <w:rPr>
          <w:rFonts w:ascii="Times New Roman" w:hAnsi="Times New Roman" w:cs="Times New Roman"/>
          <w:sz w:val="16"/>
        </w:rPr>
      </w:pPr>
      <w:r w:rsidRPr="0054508A">
        <w:rPr>
          <w:rFonts w:ascii="Times New Roman" w:hAnsi="Times New Roman" w:cs="Times New Roman"/>
          <w:sz w:val="16"/>
        </w:rPr>
        <w:t>Fuente: Dirección de Análisis y Política Fiscal</w:t>
      </w:r>
    </w:p>
    <w:p w14:paraId="23CB62DC" w14:textId="77777777" w:rsidR="0054508A" w:rsidRDefault="0054508A" w:rsidP="00E06DEC">
      <w:pPr>
        <w:pStyle w:val="Sinespaciado"/>
        <w:jc w:val="both"/>
        <w:rPr>
          <w:rFonts w:ascii="Times New Roman" w:hAnsi="Times New Roman" w:cs="Times New Roman"/>
          <w:color w:val="FF0000"/>
          <w:lang w:val="es-MX"/>
        </w:rPr>
      </w:pPr>
    </w:p>
    <w:p w14:paraId="4C9C5701" w14:textId="77777777" w:rsidR="0054508A" w:rsidRDefault="0054508A" w:rsidP="0054508A">
      <w:pPr>
        <w:pStyle w:val="Sinespaciado"/>
        <w:jc w:val="both"/>
        <w:rPr>
          <w:rFonts w:ascii="Times New Roman" w:hAnsi="Times New Roman" w:cs="Times New Roman"/>
          <w:lang w:val="es-MX"/>
        </w:rPr>
      </w:pPr>
      <w:r>
        <w:rPr>
          <w:rFonts w:ascii="Times New Roman" w:hAnsi="Times New Roman" w:cs="Times New Roman"/>
          <w:lang w:val="es-MX"/>
        </w:rPr>
        <w:t xml:space="preserve">De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este reporta un mayor dinamismo respecto al año previo, con un crecimiento </w:t>
      </w:r>
      <w:r w:rsidRPr="00321A9C">
        <w:rPr>
          <w:rFonts w:ascii="Times New Roman" w:hAnsi="Times New Roman" w:cs="Times New Roman"/>
          <w:lang w:val="es-MX"/>
        </w:rPr>
        <w:t xml:space="preserve">interanual de </w:t>
      </w:r>
      <w:r>
        <w:rPr>
          <w:rFonts w:ascii="Times New Roman" w:hAnsi="Times New Roman" w:cs="Times New Roman"/>
          <w:lang w:val="es-MX"/>
        </w:rPr>
        <w:t>7.2</w:t>
      </w:r>
      <w:r w:rsidRPr="00321A9C">
        <w:rPr>
          <w:rFonts w:ascii="Times New Roman" w:hAnsi="Times New Roman" w:cs="Times New Roman"/>
          <w:lang w:val="es-MX"/>
        </w:rPr>
        <w:t>%</w:t>
      </w:r>
      <w:r>
        <w:rPr>
          <w:rFonts w:ascii="Times New Roman" w:hAnsi="Times New Roman" w:cs="Times New Roman"/>
          <w:lang w:val="es-MX"/>
        </w:rPr>
        <w:t>, equivalente a Q1,129.9 millones</w:t>
      </w:r>
      <w:r w:rsidRPr="00321A9C">
        <w:rPr>
          <w:rFonts w:ascii="Times New Roman" w:hAnsi="Times New Roman" w:cs="Times New Roman"/>
          <w:lang w:val="es-MX"/>
        </w:rPr>
        <w:t>.</w:t>
      </w:r>
    </w:p>
    <w:p w14:paraId="24C2AD56" w14:textId="77777777" w:rsidR="0054508A" w:rsidRDefault="0054508A" w:rsidP="0054508A">
      <w:pPr>
        <w:pStyle w:val="Sinespaciado"/>
        <w:jc w:val="both"/>
        <w:rPr>
          <w:rFonts w:ascii="Times New Roman" w:hAnsi="Times New Roman" w:cs="Times New Roman"/>
          <w:lang w:val="es-MX"/>
        </w:rPr>
      </w:pPr>
      <w:r>
        <w:rPr>
          <w:rFonts w:ascii="Times New Roman" w:hAnsi="Times New Roman" w:cs="Times New Roman"/>
          <w:lang w:val="es-MX"/>
        </w:rPr>
        <w:t>Del gasto social asociado a los compromisos de los Acuerdos de Paz, el aporte al Organismo Judicial y a la Corte de Constitucionalidad se encuentra cayendo en Q204.5 millones (equivalente a -19.8%).  Asimismo, el aporte al Ministerio Público sufrió una caída de Q46.9 millones (equivalente a -7.0%), mientras que el sector educación, ciencia y cultura reporta una caída mínima de Q0.2 millones,</w:t>
      </w:r>
    </w:p>
    <w:p w14:paraId="5B808C44" w14:textId="77777777" w:rsidR="0054508A" w:rsidRPr="00AB39D4" w:rsidRDefault="0054508A" w:rsidP="0054508A">
      <w:pPr>
        <w:pStyle w:val="Sinespaciado"/>
        <w:jc w:val="both"/>
        <w:rPr>
          <w:rFonts w:ascii="Times New Roman" w:hAnsi="Times New Roman" w:cs="Times New Roman"/>
          <w:sz w:val="18"/>
          <w:lang w:val="es-MX"/>
        </w:rPr>
      </w:pPr>
    </w:p>
    <w:p w14:paraId="6D91E63D" w14:textId="77777777" w:rsidR="0054508A" w:rsidRDefault="0054508A" w:rsidP="0054508A">
      <w:pPr>
        <w:pStyle w:val="Sinespaciado"/>
        <w:spacing w:after="240"/>
        <w:jc w:val="both"/>
        <w:rPr>
          <w:rFonts w:ascii="Times New Roman" w:hAnsi="Times New Roman" w:cs="Times New Roman"/>
          <w:lang w:val="es-MX"/>
        </w:rPr>
      </w:pPr>
      <w:r>
        <w:rPr>
          <w:rFonts w:ascii="Times New Roman" w:hAnsi="Times New Roman" w:cs="Times New Roman"/>
          <w:lang w:val="es-MX"/>
        </w:rPr>
        <w:t xml:space="preserve">Respecto a las finalidades del gasto social que se encuentran creciendo, el sector de Salud y Asistencia Social reporta un aumento importante de Q1,139.0 millones (equivalente a 30.9%), asociado a la compra de las vacunas para hacer frente a la pandemia. Mientras que en </w:t>
      </w:r>
      <w:r>
        <w:rPr>
          <w:rFonts w:ascii="Times New Roman" w:hAnsi="Times New Roman" w:cs="Times New Roman"/>
          <w:lang w:val="es-MX"/>
        </w:rPr>
        <w:lastRenderedPageBreak/>
        <w:t xml:space="preserve">términos absolutos le sigue el sector de Seguridad Interna con un aumento de Q228.0 millones (equivalente a 11.3%). </w:t>
      </w:r>
    </w:p>
    <w:p w14:paraId="113AB4B0" w14:textId="77777777" w:rsidR="004C2A11" w:rsidRPr="00A72391" w:rsidRDefault="0054508A" w:rsidP="0054508A">
      <w:pPr>
        <w:pStyle w:val="Sinespaciado"/>
        <w:rPr>
          <w:rFonts w:ascii="Times New Roman" w:hAnsi="Times New Roman" w:cs="Times New Roman"/>
          <w:b/>
          <w:color w:val="FF0000"/>
          <w:sz w:val="18"/>
          <w:lang w:val="es-MX"/>
        </w:rPr>
      </w:pPr>
      <w:r>
        <w:rPr>
          <w:rFonts w:ascii="Times New Roman" w:hAnsi="Times New Roman" w:cs="Times New Roman"/>
          <w:lang w:val="es-MX"/>
        </w:rPr>
        <w:t>Por último, el sector Vivienda da cuenta de un aumento de Q14.4 millones (equivalente a 17.3%).</w:t>
      </w:r>
    </w:p>
    <w:p w14:paraId="1432879A" w14:textId="77777777" w:rsidR="004C2A11" w:rsidRDefault="004C2A11" w:rsidP="00E06DEC">
      <w:pPr>
        <w:pStyle w:val="Sinespaciado"/>
        <w:jc w:val="both"/>
        <w:rPr>
          <w:rFonts w:ascii="Times New Roman" w:hAnsi="Times New Roman" w:cs="Times New Roman"/>
          <w:color w:val="FF0000"/>
          <w:sz w:val="24"/>
          <w:lang w:val="es-MX"/>
        </w:rPr>
      </w:pPr>
    </w:p>
    <w:p w14:paraId="7188D33E" w14:textId="77777777" w:rsidR="00777B81" w:rsidRDefault="00777B81" w:rsidP="00E06DEC">
      <w:pPr>
        <w:pStyle w:val="Sinespaciado"/>
        <w:jc w:val="both"/>
        <w:rPr>
          <w:rFonts w:ascii="Times New Roman" w:hAnsi="Times New Roman" w:cs="Times New Roman"/>
          <w:color w:val="FF0000"/>
          <w:sz w:val="24"/>
          <w:lang w:val="es-MX"/>
        </w:rPr>
      </w:pPr>
    </w:p>
    <w:p w14:paraId="291CE97C" w14:textId="77777777" w:rsidR="00777B81" w:rsidRDefault="00777B81" w:rsidP="00E06DEC">
      <w:pPr>
        <w:pStyle w:val="Sinespaciado"/>
        <w:jc w:val="both"/>
        <w:rPr>
          <w:rFonts w:ascii="Times New Roman" w:hAnsi="Times New Roman" w:cs="Times New Roman"/>
          <w:color w:val="FF0000"/>
          <w:sz w:val="24"/>
          <w:lang w:val="es-MX"/>
        </w:rPr>
      </w:pPr>
    </w:p>
    <w:p w14:paraId="55360C8B" w14:textId="77777777" w:rsidR="00777B81" w:rsidRDefault="00777B81" w:rsidP="00E06DEC">
      <w:pPr>
        <w:pStyle w:val="Sinespaciado"/>
        <w:jc w:val="both"/>
        <w:rPr>
          <w:rFonts w:ascii="Times New Roman" w:hAnsi="Times New Roman" w:cs="Times New Roman"/>
          <w:color w:val="FF0000"/>
          <w:sz w:val="24"/>
          <w:lang w:val="es-MX"/>
        </w:rPr>
      </w:pPr>
    </w:p>
    <w:p w14:paraId="158C09D0" w14:textId="77777777" w:rsidR="00777B81" w:rsidRPr="00A72391" w:rsidRDefault="00777B81" w:rsidP="00E06DEC">
      <w:pPr>
        <w:pStyle w:val="Sinespaciado"/>
        <w:jc w:val="both"/>
        <w:rPr>
          <w:rFonts w:ascii="Times New Roman" w:hAnsi="Times New Roman" w:cs="Times New Roman"/>
          <w:color w:val="FF0000"/>
          <w:sz w:val="24"/>
          <w:lang w:val="es-MX"/>
        </w:rPr>
      </w:pPr>
    </w:p>
    <w:p w14:paraId="386137D2" w14:textId="77777777" w:rsidR="004C2A11" w:rsidRPr="0054508A" w:rsidRDefault="004C2A11" w:rsidP="00AB39D4">
      <w:pPr>
        <w:pStyle w:val="Sinespaciado"/>
        <w:jc w:val="center"/>
        <w:rPr>
          <w:rFonts w:ascii="Times New Roman" w:hAnsi="Times New Roman" w:cs="Times New Roman"/>
          <w:b/>
          <w:lang w:val="es-MX"/>
        </w:rPr>
      </w:pPr>
      <w:r w:rsidRPr="0054508A">
        <w:rPr>
          <w:rFonts w:ascii="Times New Roman" w:hAnsi="Times New Roman" w:cs="Times New Roman"/>
          <w:b/>
          <w:lang w:val="es-MX"/>
        </w:rPr>
        <w:t xml:space="preserve">Ejecución y crecimiento del Gasto Social </w:t>
      </w:r>
    </w:p>
    <w:p w14:paraId="04A7432B" w14:textId="77777777" w:rsidR="004C2A11" w:rsidRPr="0054508A" w:rsidRDefault="00010575" w:rsidP="00AB39D4">
      <w:pPr>
        <w:pStyle w:val="Sinespaciado"/>
        <w:jc w:val="center"/>
        <w:rPr>
          <w:rFonts w:ascii="Times New Roman" w:hAnsi="Times New Roman" w:cs="Times New Roman"/>
          <w:sz w:val="18"/>
          <w:szCs w:val="18"/>
          <w:lang w:val="es-MX"/>
        </w:rPr>
      </w:pPr>
      <w:r w:rsidRPr="0054508A">
        <w:rPr>
          <w:rFonts w:ascii="Times New Roman" w:hAnsi="Times New Roman" w:cs="Times New Roman"/>
          <w:sz w:val="18"/>
          <w:szCs w:val="18"/>
          <w:lang w:val="es-MX"/>
        </w:rPr>
        <w:t>Al 31</w:t>
      </w:r>
      <w:r w:rsidR="004C2A11" w:rsidRPr="0054508A">
        <w:rPr>
          <w:rFonts w:ascii="Times New Roman" w:hAnsi="Times New Roman" w:cs="Times New Roman"/>
          <w:sz w:val="18"/>
          <w:szCs w:val="18"/>
          <w:lang w:val="es-MX"/>
        </w:rPr>
        <w:t xml:space="preserve"> de </w:t>
      </w:r>
      <w:r w:rsidRPr="0054508A">
        <w:rPr>
          <w:rFonts w:ascii="Times New Roman" w:hAnsi="Times New Roman" w:cs="Times New Roman"/>
          <w:sz w:val="18"/>
          <w:szCs w:val="18"/>
          <w:lang w:val="es-MX"/>
        </w:rPr>
        <w:t>mayo</w:t>
      </w:r>
      <w:r w:rsidR="004C2A11" w:rsidRPr="0054508A">
        <w:rPr>
          <w:rFonts w:ascii="Times New Roman" w:hAnsi="Times New Roman" w:cs="Times New Roman"/>
          <w:sz w:val="18"/>
          <w:szCs w:val="18"/>
          <w:lang w:val="es-MX"/>
        </w:rPr>
        <w:t xml:space="preserve"> 2021</w:t>
      </w:r>
    </w:p>
    <w:p w14:paraId="1FC86DDD" w14:textId="77777777" w:rsidR="004C2A11" w:rsidRPr="0054508A" w:rsidRDefault="0054508A" w:rsidP="00AB39D4">
      <w:pPr>
        <w:pStyle w:val="Sinespaciado"/>
        <w:jc w:val="center"/>
        <w:rPr>
          <w:rFonts w:ascii="Times New Roman" w:hAnsi="Times New Roman" w:cs="Times New Roman"/>
          <w:sz w:val="18"/>
          <w:szCs w:val="18"/>
          <w:lang w:val="es-MX"/>
        </w:rPr>
      </w:pPr>
      <w:r w:rsidRPr="0054508A">
        <w:rPr>
          <w:noProof/>
          <w:lang w:eastAsia="es-GT"/>
        </w:rPr>
        <w:drawing>
          <wp:anchor distT="0" distB="0" distL="114300" distR="114300" simplePos="0" relativeHeight="251820032" behindDoc="0" locked="0" layoutInCell="1" allowOverlap="1" wp14:anchorId="70B20AD5" wp14:editId="79569080">
            <wp:simplePos x="0" y="0"/>
            <wp:positionH relativeFrom="column">
              <wp:posOffset>-47625</wp:posOffset>
            </wp:positionH>
            <wp:positionV relativeFrom="paragraph">
              <wp:posOffset>175895</wp:posOffset>
            </wp:positionV>
            <wp:extent cx="2703195" cy="1412875"/>
            <wp:effectExtent l="0" t="0" r="1905" b="0"/>
            <wp:wrapSquare wrapText="bothSides"/>
            <wp:docPr id="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319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11" w:rsidRPr="0054508A">
        <w:rPr>
          <w:rFonts w:ascii="Times New Roman" w:hAnsi="Times New Roman" w:cs="Times New Roman"/>
          <w:sz w:val="18"/>
          <w:szCs w:val="18"/>
          <w:lang w:val="es-MX"/>
        </w:rPr>
        <w:t>Cifras en porcentajes y en millones de quetzales</w:t>
      </w:r>
    </w:p>
    <w:p w14:paraId="672B7553" w14:textId="77777777" w:rsidR="00AB39D4" w:rsidRPr="0054508A" w:rsidRDefault="004C2A11" w:rsidP="00AB39D4">
      <w:pPr>
        <w:pStyle w:val="Sinespaciado"/>
        <w:spacing w:after="240"/>
        <w:rPr>
          <w:rFonts w:ascii="Times New Roman" w:hAnsi="Times New Roman" w:cs="Times New Roman"/>
          <w:sz w:val="10"/>
        </w:rPr>
      </w:pPr>
      <w:r w:rsidRPr="0054508A">
        <w:rPr>
          <w:rFonts w:ascii="Times New Roman" w:hAnsi="Times New Roman" w:cs="Times New Roman"/>
          <w:sz w:val="16"/>
        </w:rPr>
        <w:t>Fuente: Direcció</w:t>
      </w:r>
      <w:r w:rsidR="00AB39D4" w:rsidRPr="0054508A">
        <w:rPr>
          <w:rFonts w:ascii="Times New Roman" w:hAnsi="Times New Roman" w:cs="Times New Roman"/>
          <w:sz w:val="16"/>
        </w:rPr>
        <w:t>n de Análisis y Política Fiscal</w:t>
      </w:r>
    </w:p>
    <w:p w14:paraId="0940DA48" w14:textId="77777777" w:rsidR="00945C92" w:rsidRPr="00A72391" w:rsidRDefault="00945C92" w:rsidP="00BA782D">
      <w:pPr>
        <w:pStyle w:val="Sinespaciado"/>
        <w:jc w:val="both"/>
        <w:rPr>
          <w:rFonts w:ascii="Times New Roman" w:hAnsi="Times New Roman" w:cs="Times New Roman"/>
          <w:color w:val="FF0000"/>
          <w:sz w:val="16"/>
        </w:rPr>
        <w:sectPr w:rsidR="00945C92" w:rsidRPr="00A72391" w:rsidSect="00040C99">
          <w:headerReference w:type="default" r:id="rId23"/>
          <w:footerReference w:type="default" r:id="rId24"/>
          <w:type w:val="continuous"/>
          <w:pgSz w:w="12240" w:h="15840" w:code="1"/>
          <w:pgMar w:top="1418" w:right="1418" w:bottom="1418" w:left="1701" w:header="709" w:footer="709" w:gutter="0"/>
          <w:cols w:num="2" w:space="708"/>
          <w:docGrid w:linePitch="360"/>
        </w:sectPr>
      </w:pPr>
    </w:p>
    <w:p w14:paraId="1802A991" w14:textId="77777777" w:rsidR="00BA782D" w:rsidRPr="00A72391" w:rsidRDefault="00BA782D" w:rsidP="00216605">
      <w:pPr>
        <w:pStyle w:val="Sinespaciado"/>
        <w:jc w:val="both"/>
        <w:rPr>
          <w:rFonts w:ascii="Times New Roman" w:hAnsi="Times New Roman" w:cs="Times New Roman"/>
          <w:color w:val="FF0000"/>
          <w:sz w:val="2"/>
          <w:lang w:val="es-MX"/>
        </w:rPr>
      </w:pPr>
    </w:p>
    <w:p w14:paraId="392FD600" w14:textId="77777777" w:rsidR="00216605" w:rsidRPr="0054508A" w:rsidRDefault="00AD7F64"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54508A" w:rsidSect="00FA3B81">
          <w:type w:val="continuous"/>
          <w:pgSz w:w="12240" w:h="15840" w:code="1"/>
          <w:pgMar w:top="1418" w:right="1418" w:bottom="1418" w:left="1418" w:header="709" w:footer="709" w:gutter="0"/>
          <w:cols w:space="708"/>
          <w:docGrid w:linePitch="360"/>
        </w:sectPr>
      </w:pPr>
      <w:r w:rsidRPr="0054508A">
        <w:rPr>
          <w:rFonts w:ascii="Times New Roman" w:hAnsi="Times New Roman" w:cs="Times New Roman"/>
          <w:b/>
          <w:lang w:val="es-MX"/>
        </w:rPr>
        <w:t>Colocación de Bonos en el mercado interno</w:t>
      </w:r>
    </w:p>
    <w:p w14:paraId="7B318BEC" w14:textId="77777777" w:rsidR="00216605" w:rsidRPr="00A72391" w:rsidRDefault="00216605" w:rsidP="00216605">
      <w:pPr>
        <w:pStyle w:val="Sinespaciado"/>
        <w:rPr>
          <w:rFonts w:ascii="Times New Roman" w:hAnsi="Times New Roman" w:cs="Times New Roman"/>
          <w:b/>
          <w:color w:val="FF0000"/>
          <w:sz w:val="18"/>
          <w:lang w:val="es-MX"/>
        </w:rPr>
      </w:pPr>
    </w:p>
    <w:p w14:paraId="36D1D957" w14:textId="77777777" w:rsidR="00216605" w:rsidRPr="00A72391" w:rsidRDefault="00216605" w:rsidP="00216605">
      <w:pPr>
        <w:pStyle w:val="Sinespaciado"/>
        <w:rPr>
          <w:rFonts w:ascii="Times New Roman" w:hAnsi="Times New Roman" w:cs="Times New Roman"/>
          <w:b/>
          <w:color w:val="FF0000"/>
          <w:lang w:val="es-MX"/>
        </w:rPr>
        <w:sectPr w:rsidR="00216605" w:rsidRPr="00A72391" w:rsidSect="004E358C">
          <w:type w:val="continuous"/>
          <w:pgSz w:w="12240" w:h="15840"/>
          <w:pgMar w:top="1417" w:right="1701" w:bottom="1417" w:left="1701" w:header="708" w:footer="708" w:gutter="0"/>
          <w:cols w:space="708"/>
          <w:docGrid w:linePitch="360"/>
        </w:sectPr>
      </w:pPr>
    </w:p>
    <w:p w14:paraId="2B8BBB25" w14:textId="77777777" w:rsidR="0054508A" w:rsidRPr="00E06DEC" w:rsidRDefault="0054508A" w:rsidP="0054508A">
      <w:pPr>
        <w:pStyle w:val="Sinespaciado"/>
        <w:jc w:val="both"/>
        <w:rPr>
          <w:rFonts w:ascii="Times New Roman" w:hAnsi="Times New Roman" w:cs="Times New Roman"/>
        </w:rPr>
      </w:pPr>
      <w:r w:rsidRPr="00E06DEC">
        <w:rPr>
          <w:rFonts w:ascii="Times New Roman" w:hAnsi="Times New Roman" w:cs="Times New Roman"/>
        </w:rPr>
        <w:t>Respecto al financiamiento del gasto público, los desembolsos de préstamos aumentaron alcanzando un nivel de Q279.6 millones, mientras las amortizaciones alcanzaron los Q1,455.8 millones y de esa cuenta, el financiamiento externo neto es negativo en Q1,176.2 millones.</w:t>
      </w:r>
    </w:p>
    <w:p w14:paraId="2A973A6F" w14:textId="77777777" w:rsidR="0054508A" w:rsidRPr="00E06DEC" w:rsidRDefault="0054508A" w:rsidP="0054508A">
      <w:pPr>
        <w:pStyle w:val="Sinespaciado"/>
        <w:jc w:val="both"/>
        <w:rPr>
          <w:rFonts w:ascii="Times New Roman" w:hAnsi="Times New Roman" w:cs="Times New Roman"/>
          <w:sz w:val="18"/>
        </w:rPr>
      </w:pPr>
    </w:p>
    <w:p w14:paraId="06A96C73" w14:textId="77777777" w:rsidR="0054508A" w:rsidRPr="00777B81" w:rsidRDefault="0054508A" w:rsidP="00AD7F64">
      <w:pPr>
        <w:pStyle w:val="Sinespaciado"/>
        <w:jc w:val="both"/>
        <w:rPr>
          <w:rFonts w:ascii="Times New Roman" w:hAnsi="Times New Roman" w:cs="Times New Roman"/>
        </w:rPr>
      </w:pPr>
      <w:r w:rsidRPr="00E06DEC">
        <w:rPr>
          <w:rFonts w:ascii="Times New Roman" w:hAnsi="Times New Roman" w:cs="Times New Roman"/>
        </w:rPr>
        <w:t>En cuanto al financiamiento interno, se han colocado hasta la fecha Q8,718.8 millones, correspondiente al 36% del total autorizado, quedando pendientes de colocar el 64% del total au</w:t>
      </w:r>
      <w:r w:rsidR="00777B81">
        <w:rPr>
          <w:rFonts w:ascii="Times New Roman" w:hAnsi="Times New Roman" w:cs="Times New Roman"/>
        </w:rPr>
        <w:t>torizado en el Decreto 25-2018.</w:t>
      </w:r>
    </w:p>
    <w:p w14:paraId="2CB22D21" w14:textId="77777777" w:rsidR="00AD7F64" w:rsidRPr="0054508A" w:rsidRDefault="00AD7F64" w:rsidP="00AD7F64">
      <w:pPr>
        <w:spacing w:after="0" w:line="240" w:lineRule="auto"/>
        <w:jc w:val="center"/>
        <w:rPr>
          <w:rFonts w:ascii="Times New Roman" w:hAnsi="Times New Roman" w:cs="Times New Roman"/>
          <w:b/>
        </w:rPr>
      </w:pPr>
      <w:r w:rsidRPr="0054508A">
        <w:rPr>
          <w:rFonts w:ascii="Times New Roman" w:hAnsi="Times New Roman" w:cs="Times New Roman"/>
          <w:b/>
        </w:rPr>
        <w:t>Colocación de Bonos del Tesoro</w:t>
      </w:r>
    </w:p>
    <w:p w14:paraId="4A7A0B0D" w14:textId="77777777" w:rsidR="00AD7F64" w:rsidRPr="0054508A" w:rsidRDefault="00E06DEC" w:rsidP="00AD7F64">
      <w:pPr>
        <w:pStyle w:val="Sinespaciado"/>
        <w:jc w:val="center"/>
        <w:rPr>
          <w:rFonts w:ascii="Times New Roman" w:hAnsi="Times New Roman" w:cs="Times New Roman"/>
          <w:sz w:val="18"/>
        </w:rPr>
      </w:pPr>
      <w:r w:rsidRPr="0054508A">
        <w:rPr>
          <w:noProof/>
          <w:lang w:eastAsia="es-GT"/>
        </w:rPr>
        <w:drawing>
          <wp:anchor distT="0" distB="0" distL="114300" distR="114300" simplePos="0" relativeHeight="251809792" behindDoc="0" locked="0" layoutInCell="1" allowOverlap="1" wp14:anchorId="08F279E9" wp14:editId="593B996A">
            <wp:simplePos x="0" y="0"/>
            <wp:positionH relativeFrom="column">
              <wp:posOffset>-120650</wp:posOffset>
            </wp:positionH>
            <wp:positionV relativeFrom="paragraph">
              <wp:posOffset>265678</wp:posOffset>
            </wp:positionV>
            <wp:extent cx="2717165" cy="1475105"/>
            <wp:effectExtent l="0" t="0" r="6985" b="0"/>
            <wp:wrapSquare wrapText="bothSides"/>
            <wp:docPr id="1" name="Chart 1">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A36C8F" w:rsidRPr="0054508A">
        <w:rPr>
          <w:rFonts w:ascii="Times New Roman" w:hAnsi="Times New Roman" w:cs="Times New Roman"/>
          <w:sz w:val="18"/>
        </w:rPr>
        <w:t>A mayo</w:t>
      </w:r>
      <w:r w:rsidR="00AD7F64" w:rsidRPr="0054508A">
        <w:rPr>
          <w:rFonts w:ascii="Times New Roman" w:hAnsi="Times New Roman" w:cs="Times New Roman"/>
          <w:sz w:val="18"/>
        </w:rPr>
        <w:t xml:space="preserve"> 2021</w:t>
      </w:r>
    </w:p>
    <w:p w14:paraId="4706D72D" w14:textId="77777777" w:rsidR="00AD7F64" w:rsidRPr="0054508A" w:rsidRDefault="00AD7F64" w:rsidP="00AD7F64">
      <w:pPr>
        <w:pStyle w:val="Sinespaciado"/>
        <w:jc w:val="center"/>
        <w:rPr>
          <w:rFonts w:ascii="Times New Roman" w:hAnsi="Times New Roman" w:cs="Times New Roman"/>
          <w:sz w:val="18"/>
        </w:rPr>
      </w:pPr>
      <w:r w:rsidRPr="0054508A">
        <w:rPr>
          <w:rFonts w:ascii="Times New Roman" w:hAnsi="Times New Roman" w:cs="Times New Roman"/>
          <w:sz w:val="18"/>
        </w:rPr>
        <w:t>Millones de quetzales y porcentajes</w:t>
      </w:r>
    </w:p>
    <w:p w14:paraId="6C79B0F0" w14:textId="77777777" w:rsidR="00AB39D4" w:rsidRPr="0054508A" w:rsidRDefault="00996BA4" w:rsidP="00AB39D4">
      <w:pPr>
        <w:pStyle w:val="Sinespaciado"/>
        <w:spacing w:after="240"/>
        <w:rPr>
          <w:rFonts w:ascii="Times New Roman" w:hAnsi="Times New Roman" w:cs="Times New Roman"/>
          <w:sz w:val="16"/>
        </w:rPr>
      </w:pPr>
      <w:r w:rsidRPr="0054508A">
        <w:rPr>
          <w:rFonts w:ascii="Times New Roman" w:hAnsi="Times New Roman" w:cs="Times New Roman"/>
          <w:sz w:val="16"/>
        </w:rPr>
        <w:t>Fuente: Direcció</w:t>
      </w:r>
      <w:r w:rsidR="00AB39D4" w:rsidRPr="0054508A">
        <w:rPr>
          <w:rFonts w:ascii="Times New Roman" w:hAnsi="Times New Roman" w:cs="Times New Roman"/>
          <w:sz w:val="16"/>
        </w:rPr>
        <w:t>n de Análisis y Política Fiscal</w:t>
      </w:r>
    </w:p>
    <w:p w14:paraId="1385CDFE" w14:textId="77777777" w:rsidR="00AB39D4" w:rsidRPr="00A72391" w:rsidRDefault="00AB39D4" w:rsidP="000C65AB">
      <w:pPr>
        <w:pStyle w:val="Sinespaciado"/>
        <w:jc w:val="both"/>
        <w:rPr>
          <w:rFonts w:ascii="Times New Roman" w:hAnsi="Times New Roman" w:cs="Times New Roman"/>
          <w:color w:val="FF0000"/>
        </w:rPr>
        <w:sectPr w:rsidR="00AB39D4" w:rsidRPr="00A72391" w:rsidSect="00040C99">
          <w:headerReference w:type="default" r:id="rId26"/>
          <w:footerReference w:type="default" r:id="rId27"/>
          <w:type w:val="continuous"/>
          <w:pgSz w:w="12240" w:h="15840" w:code="1"/>
          <w:pgMar w:top="1418" w:right="1418" w:bottom="1418" w:left="1701" w:header="709" w:footer="709" w:gutter="0"/>
          <w:cols w:num="2" w:space="708"/>
          <w:docGrid w:linePitch="360"/>
        </w:sectPr>
      </w:pPr>
    </w:p>
    <w:p w14:paraId="0F3C44D8" w14:textId="77777777" w:rsidR="004C71BC" w:rsidRPr="00A72391" w:rsidRDefault="004C71BC" w:rsidP="00777B81">
      <w:pPr>
        <w:pStyle w:val="Sinespaciado"/>
        <w:rPr>
          <w:rFonts w:ascii="Times New Roman" w:hAnsi="Times New Roman" w:cs="Times New Roman"/>
          <w:color w:val="FF0000"/>
          <w:sz w:val="18"/>
        </w:rPr>
        <w:sectPr w:rsidR="004C71BC" w:rsidRPr="00A72391" w:rsidSect="008E66C1">
          <w:type w:val="continuous"/>
          <w:pgSz w:w="12240" w:h="15840"/>
          <w:pgMar w:top="1417" w:right="1467" w:bottom="1417" w:left="1701" w:header="708" w:footer="708" w:gutter="0"/>
          <w:cols w:num="2" w:space="708"/>
          <w:docGrid w:linePitch="360"/>
        </w:sectPr>
      </w:pPr>
    </w:p>
    <w:p w14:paraId="1629D575" w14:textId="77777777" w:rsidR="000B20DC" w:rsidRPr="00A72391" w:rsidRDefault="000B20DC" w:rsidP="000B20DC">
      <w:pPr>
        <w:pStyle w:val="Sinespaciado"/>
        <w:jc w:val="both"/>
        <w:rPr>
          <w:rFonts w:ascii="Times New Roman" w:hAnsi="Times New Roman" w:cs="Times New Roman"/>
          <w:color w:val="FF0000"/>
          <w:sz w:val="10"/>
        </w:rPr>
      </w:pPr>
    </w:p>
    <w:p w14:paraId="5DEEABD0" w14:textId="77777777" w:rsidR="000B20DC" w:rsidRPr="0054508A" w:rsidRDefault="00AB39D4" w:rsidP="000B20D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0B20DC" w:rsidRPr="0054508A" w:rsidSect="00FA3B81">
          <w:type w:val="continuous"/>
          <w:pgSz w:w="12240" w:h="15840" w:code="1"/>
          <w:pgMar w:top="1418" w:right="1418" w:bottom="1418" w:left="1418" w:header="709" w:footer="709" w:gutter="0"/>
          <w:cols w:space="708"/>
          <w:docGrid w:linePitch="360"/>
        </w:sectPr>
      </w:pPr>
      <w:r w:rsidRPr="0054508A">
        <w:rPr>
          <w:rFonts w:ascii="Times New Roman" w:hAnsi="Times New Roman" w:cs="Times New Roman"/>
          <w:b/>
        </w:rPr>
        <w:t>Ejecución de gastos relacionados a la atención por desastres naturales y calamidades públicas</w:t>
      </w:r>
      <w:r w:rsidR="000B20DC" w:rsidRPr="0054508A">
        <w:rPr>
          <w:rFonts w:ascii="Times New Roman" w:hAnsi="Times New Roman" w:cs="Times New Roman"/>
          <w:b/>
        </w:rPr>
        <w:t xml:space="preserve"> </w:t>
      </w:r>
    </w:p>
    <w:p w14:paraId="28424140" w14:textId="77777777" w:rsidR="000B20DC" w:rsidRPr="00A72391" w:rsidRDefault="000B20DC" w:rsidP="000B20DC">
      <w:pPr>
        <w:pStyle w:val="Sinespaciado"/>
        <w:rPr>
          <w:rFonts w:ascii="Times New Roman" w:hAnsi="Times New Roman" w:cs="Times New Roman"/>
          <w:b/>
          <w:color w:val="FF0000"/>
          <w:sz w:val="20"/>
          <w:lang w:val="es-MX"/>
        </w:rPr>
      </w:pPr>
    </w:p>
    <w:p w14:paraId="10CE034D" w14:textId="77777777" w:rsidR="000B20DC" w:rsidRPr="00A72391" w:rsidRDefault="000B20DC" w:rsidP="000B20DC">
      <w:pPr>
        <w:pStyle w:val="Sinespaciado"/>
        <w:rPr>
          <w:rFonts w:ascii="Times New Roman" w:hAnsi="Times New Roman" w:cs="Times New Roman"/>
          <w:b/>
          <w:color w:val="FF0000"/>
          <w:sz w:val="18"/>
          <w:lang w:val="es-MX"/>
        </w:rPr>
        <w:sectPr w:rsidR="000B20DC" w:rsidRPr="00A72391" w:rsidSect="004E358C">
          <w:type w:val="continuous"/>
          <w:pgSz w:w="12240" w:h="15840"/>
          <w:pgMar w:top="1417" w:right="1701" w:bottom="1417" w:left="1701" w:header="708" w:footer="708" w:gutter="0"/>
          <w:cols w:space="708"/>
          <w:docGrid w:linePitch="360"/>
        </w:sectPr>
      </w:pPr>
    </w:p>
    <w:p w14:paraId="4A616CA6" w14:textId="77777777" w:rsidR="0054508A" w:rsidRDefault="0054508A" w:rsidP="0054508A">
      <w:pPr>
        <w:spacing w:after="0" w:line="240" w:lineRule="auto"/>
        <w:jc w:val="both"/>
        <w:rPr>
          <w:rFonts w:ascii="Times New Roman" w:hAnsi="Times New Roman" w:cs="Times New Roman"/>
        </w:rPr>
      </w:pPr>
      <w:r>
        <w:rPr>
          <w:rFonts w:ascii="Times New Roman" w:hAnsi="Times New Roman" w:cs="Times New Roman"/>
        </w:rPr>
        <w:t xml:space="preserve">En el seguimiento de la ejecución del gasto relacionado a la pandemia COVID-19, durante el año se han dado gastos importantes a nivel de tres ministerios, siendo el caso de Ministerio de Salud Pública y Asistencia Social por Q935.2 millones, Ministerio de Desarrollo Social por Q101.3 millones y Ministerio de Agricultura, Ganadería y Alimentación por Q63.3 millones que totalizan intervenciones por Q1,099.8 millones. </w:t>
      </w:r>
    </w:p>
    <w:p w14:paraId="169207AE" w14:textId="77777777" w:rsidR="0054508A" w:rsidRDefault="0054508A" w:rsidP="0054508A">
      <w:pPr>
        <w:spacing w:after="0" w:line="240" w:lineRule="auto"/>
        <w:jc w:val="both"/>
        <w:rPr>
          <w:rFonts w:ascii="Times New Roman" w:hAnsi="Times New Roman" w:cs="Times New Roman"/>
        </w:rPr>
      </w:pPr>
    </w:p>
    <w:p w14:paraId="7B3D5CD9" w14:textId="77777777" w:rsidR="0054508A" w:rsidRDefault="0054508A" w:rsidP="0054508A">
      <w:pPr>
        <w:spacing w:after="0" w:line="240" w:lineRule="auto"/>
        <w:jc w:val="both"/>
        <w:rPr>
          <w:rFonts w:ascii="Times New Roman" w:hAnsi="Times New Roman" w:cs="Times New Roman"/>
        </w:rPr>
      </w:pPr>
      <w:r>
        <w:rPr>
          <w:rFonts w:ascii="Times New Roman" w:hAnsi="Times New Roman" w:cs="Times New Roman"/>
        </w:rPr>
        <w:t xml:space="preserve">Dentro de los gastos, resalta la ejecución del gasto relacionada al esquema de vacunación </w:t>
      </w:r>
      <w:r>
        <w:rPr>
          <w:rFonts w:ascii="Times New Roman" w:hAnsi="Times New Roman" w:cs="Times New Roman"/>
        </w:rPr>
        <w:t xml:space="preserve">contra el COVID-19, con una ejecución de Q638.6 millones, así mismo existen otras intervenciones importantes por parte del Ministerio de Salud Pública, tal es el caso de Q285.6 millones por intervenciones diversas para la atención de la emergencia y Q11.0 millones de laboratorios beneficiados con materiales y equipo de atención de la emergencia COVID-19.  </w:t>
      </w:r>
    </w:p>
    <w:p w14:paraId="7C1FEB56" w14:textId="77777777" w:rsidR="0054508A" w:rsidRDefault="0054508A" w:rsidP="0054508A">
      <w:pPr>
        <w:spacing w:after="0" w:line="240" w:lineRule="auto"/>
        <w:jc w:val="both"/>
        <w:rPr>
          <w:rFonts w:ascii="Times New Roman" w:hAnsi="Times New Roman" w:cs="Times New Roman"/>
        </w:rPr>
      </w:pPr>
    </w:p>
    <w:p w14:paraId="6F9441D8" w14:textId="77777777" w:rsidR="000B20DC" w:rsidRDefault="0054508A" w:rsidP="0054508A">
      <w:pPr>
        <w:pStyle w:val="Sinespaciado"/>
        <w:jc w:val="both"/>
        <w:rPr>
          <w:rFonts w:ascii="Times New Roman" w:hAnsi="Times New Roman" w:cs="Times New Roman"/>
        </w:rPr>
      </w:pPr>
      <w:r>
        <w:rPr>
          <w:rFonts w:ascii="Times New Roman" w:hAnsi="Times New Roman" w:cs="Times New Roman"/>
        </w:rPr>
        <w:t xml:space="preserve">En el caso del Ministerio de </w:t>
      </w:r>
      <w:r w:rsidRPr="00C54AF7">
        <w:rPr>
          <w:rFonts w:ascii="Times New Roman" w:hAnsi="Times New Roman" w:cs="Times New Roman"/>
        </w:rPr>
        <w:t>De</w:t>
      </w:r>
      <w:r>
        <w:rPr>
          <w:rFonts w:ascii="Times New Roman" w:hAnsi="Times New Roman" w:cs="Times New Roman"/>
        </w:rPr>
        <w:t xml:space="preserve">sarrollo Social y Ministerio de Agricultura, Ganadería y Alimentación la ejecución corresponde a la </w:t>
      </w:r>
      <w:r>
        <w:rPr>
          <w:rFonts w:ascii="Times New Roman" w:hAnsi="Times New Roman" w:cs="Times New Roman"/>
        </w:rPr>
        <w:lastRenderedPageBreak/>
        <w:t>regularización del anticipo dado en 2020 al Programa Mundial de Alimentos, que consiste</w:t>
      </w:r>
      <w:r w:rsidRPr="00C54AF7">
        <w:rPr>
          <w:rFonts w:ascii="Times New Roman" w:hAnsi="Times New Roman" w:cs="Times New Roman"/>
        </w:rPr>
        <w:t xml:space="preserve"> en cupones ca</w:t>
      </w:r>
      <w:r>
        <w:rPr>
          <w:rFonts w:ascii="Times New Roman" w:hAnsi="Times New Roman" w:cs="Times New Roman"/>
        </w:rPr>
        <w:t>njeables y entregas en especie de la actividad dotación alimentaria. Adicionalmente, Desarrollo Social reporta una ejecución pequeña en otras intervenciones realizadas para la atención de la emergencia COVID-19 y bono para familias en atención al COVID-19.</w:t>
      </w:r>
    </w:p>
    <w:p w14:paraId="25AEE233" w14:textId="77777777" w:rsidR="0054508A" w:rsidRPr="00A72391" w:rsidRDefault="0054508A" w:rsidP="0054508A">
      <w:pPr>
        <w:pStyle w:val="Sinespaciado"/>
        <w:jc w:val="both"/>
        <w:rPr>
          <w:rFonts w:ascii="Times New Roman" w:hAnsi="Times New Roman" w:cs="Times New Roman"/>
          <w:color w:val="FF0000"/>
        </w:rPr>
      </w:pPr>
    </w:p>
    <w:p w14:paraId="41287334" w14:textId="77777777" w:rsidR="000B20DC" w:rsidRPr="0054508A" w:rsidRDefault="000B20DC" w:rsidP="000B20DC">
      <w:pPr>
        <w:pStyle w:val="Sinespaciado"/>
        <w:jc w:val="center"/>
        <w:rPr>
          <w:rFonts w:ascii="Times New Roman" w:hAnsi="Times New Roman" w:cs="Times New Roman"/>
          <w:b/>
        </w:rPr>
      </w:pPr>
      <w:r w:rsidRPr="0054508A">
        <w:rPr>
          <w:rFonts w:ascii="Times New Roman" w:hAnsi="Times New Roman" w:cs="Times New Roman"/>
          <w:b/>
        </w:rPr>
        <w:t>Ejecución acumulada de los programas en atención al COVID-19</w:t>
      </w:r>
    </w:p>
    <w:p w14:paraId="47D85FF7" w14:textId="77777777" w:rsidR="000B20DC" w:rsidRPr="0054508A" w:rsidRDefault="0054508A" w:rsidP="000B20DC">
      <w:pPr>
        <w:pStyle w:val="Sinespaciado"/>
        <w:jc w:val="center"/>
        <w:rPr>
          <w:rFonts w:ascii="Times New Roman" w:hAnsi="Times New Roman" w:cs="Times New Roman"/>
          <w:sz w:val="18"/>
        </w:rPr>
      </w:pPr>
      <w:r w:rsidRPr="0054508A">
        <w:rPr>
          <w:rFonts w:ascii="Times New Roman" w:hAnsi="Times New Roman" w:cs="Times New Roman"/>
          <w:noProof/>
          <w:lang w:eastAsia="es-GT"/>
        </w:rPr>
        <w:drawing>
          <wp:anchor distT="0" distB="0" distL="114300" distR="114300" simplePos="0" relativeHeight="251822080" behindDoc="0" locked="0" layoutInCell="1" allowOverlap="1" wp14:anchorId="5E795312" wp14:editId="6F74B207">
            <wp:simplePos x="0" y="0"/>
            <wp:positionH relativeFrom="column">
              <wp:posOffset>0</wp:posOffset>
            </wp:positionH>
            <wp:positionV relativeFrom="paragraph">
              <wp:posOffset>184785</wp:posOffset>
            </wp:positionV>
            <wp:extent cx="2679065" cy="2070100"/>
            <wp:effectExtent l="0" t="0" r="6985" b="6350"/>
            <wp:wrapSquare wrapText="bothSides"/>
            <wp:docPr id="2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0B20DC" w:rsidRPr="0054508A">
        <w:rPr>
          <w:rFonts w:ascii="Times New Roman" w:hAnsi="Times New Roman" w:cs="Times New Roman"/>
          <w:sz w:val="18"/>
        </w:rPr>
        <w:t>Millones de quetzales y porcentajes</w:t>
      </w:r>
    </w:p>
    <w:p w14:paraId="52E66AE9" w14:textId="77777777" w:rsidR="00945C92" w:rsidRPr="0054508A" w:rsidRDefault="000B20DC" w:rsidP="004456FD">
      <w:pPr>
        <w:pStyle w:val="Sinespaciado"/>
        <w:rPr>
          <w:rFonts w:ascii="Times New Roman" w:hAnsi="Times New Roman" w:cs="Times New Roman"/>
          <w:sz w:val="16"/>
        </w:rPr>
      </w:pPr>
      <w:r w:rsidRPr="0054508A">
        <w:rPr>
          <w:rFonts w:ascii="Times New Roman" w:hAnsi="Times New Roman" w:cs="Times New Roman"/>
          <w:sz w:val="16"/>
        </w:rPr>
        <w:t>Fuente: Dirección de Análisis y Política Fiscal</w:t>
      </w:r>
    </w:p>
    <w:p w14:paraId="6CA040DD" w14:textId="77777777" w:rsidR="00777B81" w:rsidRDefault="00777B81" w:rsidP="0054508A">
      <w:pPr>
        <w:pStyle w:val="Sinespaciado"/>
        <w:jc w:val="both"/>
        <w:rPr>
          <w:rFonts w:ascii="Times New Roman" w:hAnsi="Times New Roman" w:cs="Times New Roman"/>
          <w:color w:val="FF0000"/>
        </w:rPr>
      </w:pPr>
    </w:p>
    <w:p w14:paraId="5AE53E6B" w14:textId="77777777" w:rsidR="0054508A" w:rsidRDefault="0054508A" w:rsidP="0054508A">
      <w:pPr>
        <w:pStyle w:val="Sinespaciado"/>
        <w:jc w:val="both"/>
        <w:rPr>
          <w:rFonts w:ascii="Times New Roman" w:hAnsi="Times New Roman" w:cs="Times New Roman"/>
          <w:color w:val="FF0000"/>
          <w:sz w:val="16"/>
        </w:rPr>
      </w:pPr>
      <w:r w:rsidRPr="004C71BC">
        <w:rPr>
          <w:rFonts w:ascii="Times New Roman" w:hAnsi="Times New Roman" w:cs="Times New Roman"/>
        </w:rPr>
        <w:t xml:space="preserve">Respecto al subprograma 11, relacionado al Estado de Calamidad Pública por la Depresión Tropical ETA (DG 20-2020 y 21-2020) reporta una ejecución de Q79.9 millones, de los cuales Q78.3 millones corresponden al Ministerio de Comunicaciones, Infraestructura y Vivienda para el mantenimiento y reparación de bienes nacionales   de uso común, lo cual incluye gastos de mantenimiento y reparación de carreteras y puentes.  </w:t>
      </w:r>
    </w:p>
    <w:p w14:paraId="27986A83" w14:textId="77777777" w:rsidR="004C71BC" w:rsidRDefault="004C71BC" w:rsidP="004456FD">
      <w:pPr>
        <w:pStyle w:val="Sinespaciado"/>
        <w:rPr>
          <w:rFonts w:ascii="Times New Roman" w:hAnsi="Times New Roman" w:cs="Times New Roman"/>
          <w:color w:val="FF0000"/>
          <w:sz w:val="16"/>
        </w:rPr>
      </w:pPr>
    </w:p>
    <w:p w14:paraId="1D3ADCB0" w14:textId="77777777" w:rsidR="00777B81" w:rsidRDefault="00777B81" w:rsidP="004456FD">
      <w:pPr>
        <w:pStyle w:val="Sinespaciado"/>
        <w:rPr>
          <w:rFonts w:ascii="Times New Roman" w:hAnsi="Times New Roman" w:cs="Times New Roman"/>
          <w:color w:val="FF0000"/>
          <w:sz w:val="16"/>
        </w:rPr>
      </w:pPr>
    </w:p>
    <w:p w14:paraId="76310F25" w14:textId="77777777" w:rsidR="00777B81" w:rsidRDefault="00777B81" w:rsidP="004456FD">
      <w:pPr>
        <w:pStyle w:val="Sinespaciado"/>
        <w:rPr>
          <w:rFonts w:ascii="Times New Roman" w:hAnsi="Times New Roman" w:cs="Times New Roman"/>
          <w:color w:val="FF0000"/>
          <w:sz w:val="16"/>
        </w:rPr>
      </w:pPr>
    </w:p>
    <w:p w14:paraId="531EFC05" w14:textId="77777777" w:rsidR="00777B81" w:rsidRDefault="00777B81" w:rsidP="004456FD">
      <w:pPr>
        <w:pStyle w:val="Sinespaciado"/>
        <w:rPr>
          <w:rFonts w:ascii="Times New Roman" w:hAnsi="Times New Roman" w:cs="Times New Roman"/>
          <w:color w:val="FF0000"/>
          <w:sz w:val="16"/>
        </w:rPr>
      </w:pPr>
    </w:p>
    <w:p w14:paraId="66B73623" w14:textId="77777777" w:rsidR="00777B81" w:rsidRDefault="00777B81" w:rsidP="004456FD">
      <w:pPr>
        <w:pStyle w:val="Sinespaciado"/>
        <w:rPr>
          <w:rFonts w:ascii="Times New Roman" w:hAnsi="Times New Roman" w:cs="Times New Roman"/>
          <w:color w:val="FF0000"/>
          <w:sz w:val="16"/>
        </w:rPr>
      </w:pPr>
    </w:p>
    <w:p w14:paraId="1DA4D341" w14:textId="77777777" w:rsidR="00777B81" w:rsidRDefault="00777B81" w:rsidP="004456FD">
      <w:pPr>
        <w:pStyle w:val="Sinespaciado"/>
        <w:rPr>
          <w:rFonts w:ascii="Times New Roman" w:hAnsi="Times New Roman" w:cs="Times New Roman"/>
          <w:color w:val="FF0000"/>
          <w:sz w:val="16"/>
        </w:rPr>
      </w:pPr>
    </w:p>
    <w:p w14:paraId="574925BA" w14:textId="77777777" w:rsidR="00777B81" w:rsidRDefault="00777B81" w:rsidP="004456FD">
      <w:pPr>
        <w:pStyle w:val="Sinespaciado"/>
        <w:rPr>
          <w:rFonts w:ascii="Times New Roman" w:hAnsi="Times New Roman" w:cs="Times New Roman"/>
          <w:color w:val="FF0000"/>
          <w:sz w:val="16"/>
        </w:rPr>
      </w:pPr>
    </w:p>
    <w:p w14:paraId="2C39247E" w14:textId="77777777" w:rsidR="00777B81" w:rsidRDefault="00777B81" w:rsidP="004456FD">
      <w:pPr>
        <w:pStyle w:val="Sinespaciado"/>
        <w:rPr>
          <w:rFonts w:ascii="Times New Roman" w:hAnsi="Times New Roman" w:cs="Times New Roman"/>
          <w:color w:val="FF0000"/>
          <w:sz w:val="16"/>
        </w:rPr>
      </w:pPr>
    </w:p>
    <w:p w14:paraId="2739BA09" w14:textId="77777777" w:rsidR="00777B81" w:rsidRDefault="00777B81" w:rsidP="004456FD">
      <w:pPr>
        <w:pStyle w:val="Sinespaciado"/>
        <w:rPr>
          <w:rFonts w:ascii="Times New Roman" w:hAnsi="Times New Roman" w:cs="Times New Roman"/>
          <w:color w:val="FF0000"/>
          <w:sz w:val="16"/>
        </w:rPr>
      </w:pPr>
    </w:p>
    <w:p w14:paraId="6CA2B0F3" w14:textId="77777777" w:rsidR="00777B81" w:rsidRDefault="00777B81" w:rsidP="004456FD">
      <w:pPr>
        <w:pStyle w:val="Sinespaciado"/>
        <w:rPr>
          <w:rFonts w:ascii="Times New Roman" w:hAnsi="Times New Roman" w:cs="Times New Roman"/>
          <w:color w:val="FF0000"/>
          <w:sz w:val="16"/>
        </w:rPr>
      </w:pPr>
    </w:p>
    <w:p w14:paraId="386B57A2" w14:textId="77777777" w:rsidR="00777B81" w:rsidRDefault="00777B81" w:rsidP="004456FD">
      <w:pPr>
        <w:pStyle w:val="Sinespaciado"/>
        <w:rPr>
          <w:rFonts w:ascii="Times New Roman" w:hAnsi="Times New Roman" w:cs="Times New Roman"/>
          <w:color w:val="FF0000"/>
          <w:sz w:val="16"/>
        </w:rPr>
      </w:pPr>
    </w:p>
    <w:p w14:paraId="090DB759" w14:textId="77777777" w:rsidR="00777B81" w:rsidRDefault="00777B81" w:rsidP="004456FD">
      <w:pPr>
        <w:pStyle w:val="Sinespaciado"/>
        <w:rPr>
          <w:rFonts w:ascii="Times New Roman" w:hAnsi="Times New Roman" w:cs="Times New Roman"/>
          <w:color w:val="FF0000"/>
          <w:sz w:val="16"/>
        </w:rPr>
      </w:pPr>
    </w:p>
    <w:p w14:paraId="6E3F8E79" w14:textId="77777777" w:rsidR="00777B81" w:rsidRDefault="00777B81" w:rsidP="004456FD">
      <w:pPr>
        <w:pStyle w:val="Sinespaciado"/>
        <w:rPr>
          <w:rFonts w:ascii="Times New Roman" w:hAnsi="Times New Roman" w:cs="Times New Roman"/>
          <w:color w:val="FF0000"/>
          <w:sz w:val="16"/>
        </w:rPr>
      </w:pPr>
    </w:p>
    <w:p w14:paraId="17499A31" w14:textId="77777777" w:rsidR="00777B81" w:rsidRDefault="00777B81" w:rsidP="004456FD">
      <w:pPr>
        <w:pStyle w:val="Sinespaciado"/>
        <w:rPr>
          <w:rFonts w:ascii="Times New Roman" w:hAnsi="Times New Roman" w:cs="Times New Roman"/>
          <w:color w:val="FF0000"/>
          <w:sz w:val="16"/>
        </w:rPr>
      </w:pPr>
    </w:p>
    <w:p w14:paraId="7DAD025E" w14:textId="77777777" w:rsidR="00777B81" w:rsidRDefault="00777B81" w:rsidP="004456FD">
      <w:pPr>
        <w:pStyle w:val="Sinespaciado"/>
        <w:rPr>
          <w:rFonts w:ascii="Times New Roman" w:hAnsi="Times New Roman" w:cs="Times New Roman"/>
          <w:color w:val="FF0000"/>
          <w:sz w:val="16"/>
        </w:rPr>
      </w:pPr>
    </w:p>
    <w:p w14:paraId="7140D5AB" w14:textId="77777777" w:rsidR="00777B81" w:rsidRDefault="00777B81" w:rsidP="004456FD">
      <w:pPr>
        <w:pStyle w:val="Sinespaciado"/>
        <w:rPr>
          <w:rFonts w:ascii="Times New Roman" w:hAnsi="Times New Roman" w:cs="Times New Roman"/>
          <w:color w:val="FF0000"/>
          <w:sz w:val="16"/>
        </w:rPr>
      </w:pPr>
    </w:p>
    <w:p w14:paraId="5F51F555" w14:textId="77777777" w:rsidR="00777B81" w:rsidRDefault="00777B81" w:rsidP="004456FD">
      <w:pPr>
        <w:pStyle w:val="Sinespaciado"/>
        <w:rPr>
          <w:rFonts w:ascii="Times New Roman" w:hAnsi="Times New Roman" w:cs="Times New Roman"/>
          <w:color w:val="FF0000"/>
          <w:sz w:val="16"/>
        </w:rPr>
      </w:pPr>
    </w:p>
    <w:p w14:paraId="663DB397" w14:textId="77777777" w:rsidR="00777B81" w:rsidRDefault="00777B81" w:rsidP="004456FD">
      <w:pPr>
        <w:pStyle w:val="Sinespaciado"/>
        <w:rPr>
          <w:rFonts w:ascii="Times New Roman" w:hAnsi="Times New Roman" w:cs="Times New Roman"/>
          <w:color w:val="FF0000"/>
          <w:sz w:val="16"/>
        </w:rPr>
      </w:pPr>
    </w:p>
    <w:p w14:paraId="681F8F67" w14:textId="77777777" w:rsidR="00777B81" w:rsidRDefault="00777B81" w:rsidP="004456FD">
      <w:pPr>
        <w:pStyle w:val="Sinespaciado"/>
        <w:rPr>
          <w:rFonts w:ascii="Times New Roman" w:hAnsi="Times New Roman" w:cs="Times New Roman"/>
          <w:color w:val="FF0000"/>
          <w:sz w:val="16"/>
        </w:rPr>
      </w:pPr>
    </w:p>
    <w:p w14:paraId="1DCD63AC" w14:textId="77777777" w:rsidR="00777B81" w:rsidRDefault="00777B81" w:rsidP="004456FD">
      <w:pPr>
        <w:pStyle w:val="Sinespaciado"/>
        <w:rPr>
          <w:rFonts w:ascii="Times New Roman" w:hAnsi="Times New Roman" w:cs="Times New Roman"/>
          <w:color w:val="FF0000"/>
          <w:sz w:val="16"/>
        </w:rPr>
      </w:pPr>
    </w:p>
    <w:p w14:paraId="6B757D9F" w14:textId="77777777" w:rsidR="00777B81" w:rsidRDefault="00777B81" w:rsidP="004456FD">
      <w:pPr>
        <w:pStyle w:val="Sinespaciado"/>
        <w:rPr>
          <w:rFonts w:ascii="Times New Roman" w:hAnsi="Times New Roman" w:cs="Times New Roman"/>
          <w:color w:val="FF0000"/>
          <w:sz w:val="16"/>
        </w:rPr>
      </w:pPr>
    </w:p>
    <w:p w14:paraId="15612930" w14:textId="77777777" w:rsidR="00777B81" w:rsidRPr="00A72391" w:rsidRDefault="00777B81" w:rsidP="004456FD">
      <w:pPr>
        <w:pStyle w:val="Sinespaciado"/>
        <w:rPr>
          <w:rFonts w:ascii="Times New Roman" w:hAnsi="Times New Roman" w:cs="Times New Roman"/>
          <w:color w:val="FF0000"/>
          <w:sz w:val="16"/>
        </w:rPr>
        <w:sectPr w:rsidR="00777B81" w:rsidRPr="00A72391" w:rsidSect="008E66C1">
          <w:type w:val="continuous"/>
          <w:pgSz w:w="12240" w:h="15840"/>
          <w:pgMar w:top="1417" w:right="1467" w:bottom="1417" w:left="1701" w:header="708" w:footer="708" w:gutter="0"/>
          <w:cols w:num="2" w:space="708"/>
          <w:docGrid w:linePitch="360"/>
        </w:sectPr>
      </w:pPr>
    </w:p>
    <w:p w14:paraId="4B75C39E" w14:textId="77777777" w:rsidR="009B76D6" w:rsidRPr="00A72391" w:rsidRDefault="009B76D6" w:rsidP="00D4202F">
      <w:pPr>
        <w:spacing w:after="0"/>
        <w:rPr>
          <w:rFonts w:ascii="Times New Roman" w:hAnsi="Times New Roman" w:cs="Times New Roman"/>
          <w:color w:val="FF0000"/>
          <w:sz w:val="18"/>
          <w:lang w:val="es-MX"/>
        </w:rPr>
        <w:sectPr w:rsidR="009B76D6" w:rsidRPr="00A72391" w:rsidSect="004E358C">
          <w:type w:val="continuous"/>
          <w:pgSz w:w="12240" w:h="15840"/>
          <w:pgMar w:top="1417" w:right="1701" w:bottom="1417" w:left="1701" w:header="708" w:footer="708" w:gutter="0"/>
          <w:cols w:num="2" w:space="708"/>
          <w:docGrid w:linePitch="360"/>
        </w:sectPr>
      </w:pPr>
    </w:p>
    <w:p w14:paraId="7FDE728A" w14:textId="77777777" w:rsidR="00494D1D" w:rsidRPr="0054508A"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54508A" w:rsidSect="00FA3B81">
          <w:headerReference w:type="default" r:id="rId29"/>
          <w:footerReference w:type="default" r:id="rId30"/>
          <w:type w:val="continuous"/>
          <w:pgSz w:w="12240" w:h="15840" w:code="1"/>
          <w:pgMar w:top="1418" w:right="1418" w:bottom="1418" w:left="1418" w:header="709" w:footer="709" w:gutter="0"/>
          <w:cols w:space="708"/>
          <w:docGrid w:linePitch="360"/>
        </w:sectPr>
      </w:pPr>
      <w:r w:rsidRPr="0054508A">
        <w:rPr>
          <w:rFonts w:ascii="Times New Roman" w:hAnsi="Times New Roman" w:cs="Times New Roman"/>
          <w:b/>
          <w:lang w:val="es-MX"/>
        </w:rPr>
        <w:t>Ambientes macroeconómicos (externo e interno)</w:t>
      </w:r>
    </w:p>
    <w:p w14:paraId="13DD18CA" w14:textId="77777777" w:rsidR="00494D1D" w:rsidRPr="0054508A" w:rsidRDefault="00494D1D" w:rsidP="00BD6CCD">
      <w:pPr>
        <w:pStyle w:val="Sinespaciado"/>
        <w:jc w:val="both"/>
        <w:rPr>
          <w:rFonts w:ascii="Times New Roman" w:hAnsi="Times New Roman" w:cs="Times New Roman"/>
          <w:b/>
          <w:sz w:val="28"/>
          <w:lang w:val="es-MX"/>
        </w:rPr>
        <w:sectPr w:rsidR="00494D1D" w:rsidRPr="0054508A" w:rsidSect="004E358C">
          <w:type w:val="continuous"/>
          <w:pgSz w:w="12240" w:h="15840"/>
          <w:pgMar w:top="1417" w:right="1701" w:bottom="1417" w:left="1701" w:header="708" w:footer="708" w:gutter="0"/>
          <w:cols w:space="708"/>
          <w:docGrid w:linePitch="360"/>
        </w:sectPr>
      </w:pPr>
    </w:p>
    <w:p w14:paraId="240CAC37" w14:textId="77777777" w:rsidR="001A790A" w:rsidRPr="0054508A" w:rsidRDefault="001A790A" w:rsidP="001A790A">
      <w:pPr>
        <w:pStyle w:val="Textodeglobo"/>
        <w:jc w:val="both"/>
        <w:rPr>
          <w:rFonts w:ascii="Times New Roman" w:hAnsi="Times New Roman" w:cs="Times New Roman"/>
          <w:sz w:val="22"/>
          <w:szCs w:val="22"/>
        </w:rPr>
      </w:pPr>
      <w:r w:rsidRPr="0054508A">
        <w:rPr>
          <w:rFonts w:ascii="Times New Roman" w:hAnsi="Times New Roman" w:cs="Times New Roman"/>
          <w:sz w:val="22"/>
          <w:szCs w:val="22"/>
        </w:rPr>
        <w:t xml:space="preserve">Entre lo más relevante acontecido en </w:t>
      </w:r>
      <w:r w:rsidR="008C24EA" w:rsidRPr="0054508A">
        <w:rPr>
          <w:rFonts w:ascii="Times New Roman" w:hAnsi="Times New Roman" w:cs="Times New Roman"/>
          <w:sz w:val="22"/>
          <w:szCs w:val="22"/>
        </w:rPr>
        <w:t>mayo</w:t>
      </w:r>
      <w:r w:rsidRPr="0054508A">
        <w:rPr>
          <w:rFonts w:ascii="Times New Roman" w:hAnsi="Times New Roman" w:cs="Times New Roman"/>
          <w:sz w:val="22"/>
          <w:szCs w:val="22"/>
        </w:rPr>
        <w:t xml:space="preserve"> se destaca </w:t>
      </w:r>
      <w:r w:rsidR="008C24EA" w:rsidRPr="0054508A">
        <w:rPr>
          <w:rFonts w:ascii="Times New Roman" w:hAnsi="Times New Roman" w:cs="Times New Roman"/>
          <w:sz w:val="22"/>
          <w:szCs w:val="22"/>
        </w:rPr>
        <w:t>la postura de la Fed estadounidense plasmada en el Libro Beige, documento que recoge mensualmente el desempeño económico del país</w:t>
      </w:r>
      <w:r w:rsidR="00757FCC" w:rsidRPr="0054508A">
        <w:rPr>
          <w:rFonts w:ascii="Times New Roman" w:hAnsi="Times New Roman" w:cs="Times New Roman"/>
          <w:sz w:val="22"/>
          <w:szCs w:val="22"/>
        </w:rPr>
        <w:t>; l</w:t>
      </w:r>
      <w:r w:rsidR="008C24EA" w:rsidRPr="0054508A">
        <w:rPr>
          <w:rFonts w:ascii="Times New Roman" w:hAnsi="Times New Roman" w:cs="Times New Roman"/>
          <w:sz w:val="22"/>
          <w:szCs w:val="22"/>
        </w:rPr>
        <w:t xml:space="preserve">a </w:t>
      </w:r>
      <w:r w:rsidR="00110662" w:rsidRPr="0054508A">
        <w:rPr>
          <w:rFonts w:ascii="Times New Roman" w:hAnsi="Times New Roman" w:cs="Times New Roman"/>
          <w:sz w:val="22"/>
          <w:szCs w:val="22"/>
        </w:rPr>
        <w:t>entidad</w:t>
      </w:r>
      <w:r w:rsidR="008C24EA" w:rsidRPr="0054508A">
        <w:rPr>
          <w:rFonts w:ascii="Times New Roman" w:hAnsi="Times New Roman" w:cs="Times New Roman"/>
          <w:sz w:val="22"/>
          <w:szCs w:val="22"/>
        </w:rPr>
        <w:t xml:space="preserve"> subrayó el efecto positivo que el ritmo de vacunación y las medidas políticas de reapertura han tenido en el crecimiento económico, calificándolo como “expansión a ritmo moderado” desde inicios de abril hasta finales de mayo. </w:t>
      </w:r>
      <w:r w:rsidR="00110662" w:rsidRPr="0054508A">
        <w:rPr>
          <w:rFonts w:ascii="Times New Roman" w:hAnsi="Times New Roman" w:cs="Times New Roman"/>
          <w:sz w:val="22"/>
          <w:szCs w:val="22"/>
        </w:rPr>
        <w:t>Asimismo,</w:t>
      </w:r>
      <w:r w:rsidR="008C24EA" w:rsidRPr="0054508A">
        <w:rPr>
          <w:rFonts w:ascii="Times New Roman" w:hAnsi="Times New Roman" w:cs="Times New Roman"/>
          <w:sz w:val="22"/>
          <w:szCs w:val="22"/>
        </w:rPr>
        <w:t xml:space="preserve"> detectó un incremento notable en el gasto de los consumidores, concretamente en el aumento en los viajes de ocio y el desembolso en los restaurantes. La Fed, que mantuvo en su último encuentro los tipos de interés </w:t>
      </w:r>
      <w:r w:rsidR="00110662" w:rsidRPr="0054508A">
        <w:rPr>
          <w:rFonts w:ascii="Times New Roman" w:hAnsi="Times New Roman" w:cs="Times New Roman"/>
          <w:sz w:val="22"/>
          <w:szCs w:val="22"/>
        </w:rPr>
        <w:t xml:space="preserve">cercanos al 0%, </w:t>
      </w:r>
      <w:r w:rsidR="008C24EA" w:rsidRPr="0054508A">
        <w:rPr>
          <w:rFonts w:ascii="Times New Roman" w:hAnsi="Times New Roman" w:cs="Times New Roman"/>
          <w:sz w:val="22"/>
          <w:szCs w:val="22"/>
        </w:rPr>
        <w:t>también se refirió a los riesgos inflacionistas de los que han alertado en los últimos meses los sectores conservadores de EE.UU.</w:t>
      </w:r>
    </w:p>
    <w:p w14:paraId="1537819D" w14:textId="77777777" w:rsidR="001A790A" w:rsidRPr="0054508A" w:rsidRDefault="001A790A" w:rsidP="001A790A">
      <w:pPr>
        <w:pStyle w:val="Textodeglobo"/>
        <w:ind w:left="-142"/>
        <w:jc w:val="both"/>
        <w:rPr>
          <w:rFonts w:ascii="Times New Roman" w:hAnsi="Times New Roman" w:cs="Times New Roman"/>
          <w:sz w:val="22"/>
          <w:szCs w:val="22"/>
        </w:rPr>
      </w:pPr>
    </w:p>
    <w:p w14:paraId="0D743064" w14:textId="77777777" w:rsidR="00C91553" w:rsidRPr="0054508A" w:rsidRDefault="00C91553" w:rsidP="001A790A">
      <w:pPr>
        <w:pStyle w:val="Textodeglobo"/>
        <w:jc w:val="both"/>
        <w:rPr>
          <w:rFonts w:ascii="Times New Roman" w:hAnsi="Times New Roman" w:cs="Times New Roman"/>
          <w:sz w:val="22"/>
          <w:szCs w:val="22"/>
        </w:rPr>
      </w:pPr>
      <w:r w:rsidRPr="0054508A">
        <w:rPr>
          <w:rFonts w:ascii="Times New Roman" w:hAnsi="Times New Roman" w:cs="Times New Roman"/>
          <w:sz w:val="22"/>
          <w:szCs w:val="22"/>
        </w:rPr>
        <w:t xml:space="preserve">Por su parte, el Departamento de Trabajo de Estados Unidos reveló que el desempleo en mayo fue de 5.8%, cifra inferior a la registrada en abril </w:t>
      </w:r>
      <w:r w:rsidR="00757FCC" w:rsidRPr="0054508A">
        <w:rPr>
          <w:rFonts w:ascii="Times New Roman" w:hAnsi="Times New Roman" w:cs="Times New Roman"/>
          <w:sz w:val="22"/>
          <w:szCs w:val="22"/>
        </w:rPr>
        <w:t>(</w:t>
      </w:r>
      <w:r w:rsidRPr="0054508A">
        <w:rPr>
          <w:rFonts w:ascii="Times New Roman" w:hAnsi="Times New Roman" w:cs="Times New Roman"/>
          <w:sz w:val="22"/>
          <w:szCs w:val="22"/>
        </w:rPr>
        <w:t>6.1%</w:t>
      </w:r>
      <w:r w:rsidR="00757FCC" w:rsidRPr="0054508A">
        <w:rPr>
          <w:rFonts w:ascii="Times New Roman" w:hAnsi="Times New Roman" w:cs="Times New Roman"/>
          <w:sz w:val="22"/>
          <w:szCs w:val="22"/>
        </w:rPr>
        <w:t>)</w:t>
      </w:r>
      <w:r w:rsidRPr="0054508A">
        <w:rPr>
          <w:rFonts w:ascii="Times New Roman" w:hAnsi="Times New Roman" w:cs="Times New Roman"/>
          <w:sz w:val="22"/>
          <w:szCs w:val="22"/>
        </w:rPr>
        <w:t xml:space="preserve"> y mejor que lo proyectado por el mercado </w:t>
      </w:r>
      <w:r w:rsidR="00757FCC" w:rsidRPr="0054508A">
        <w:rPr>
          <w:rFonts w:ascii="Times New Roman" w:hAnsi="Times New Roman" w:cs="Times New Roman"/>
          <w:sz w:val="22"/>
          <w:szCs w:val="22"/>
        </w:rPr>
        <w:t>(</w:t>
      </w:r>
      <w:r w:rsidRPr="0054508A">
        <w:rPr>
          <w:rFonts w:ascii="Times New Roman" w:hAnsi="Times New Roman" w:cs="Times New Roman"/>
          <w:sz w:val="22"/>
          <w:szCs w:val="22"/>
        </w:rPr>
        <w:t>5.9%</w:t>
      </w:r>
      <w:r w:rsidR="00757FCC" w:rsidRPr="0054508A">
        <w:rPr>
          <w:rFonts w:ascii="Times New Roman" w:hAnsi="Times New Roman" w:cs="Times New Roman"/>
          <w:sz w:val="22"/>
          <w:szCs w:val="22"/>
        </w:rPr>
        <w:t>)</w:t>
      </w:r>
      <w:r w:rsidRPr="0054508A">
        <w:rPr>
          <w:rFonts w:ascii="Times New Roman" w:hAnsi="Times New Roman" w:cs="Times New Roman"/>
          <w:sz w:val="22"/>
          <w:szCs w:val="22"/>
        </w:rPr>
        <w:t>. La reducción en la tasa de desempleo se dio gracias a que EE. UU. logró agregar 559,000 puestos de trabajo, en un contexto en el que la vacunación contra el coronavirus ya ha permitido la reapertura de una gran cantidad de establecimientos comerciales a lo largo y ancho de todo el país.</w:t>
      </w:r>
    </w:p>
    <w:p w14:paraId="3D712353" w14:textId="77777777" w:rsidR="00491F92" w:rsidRPr="0054508A" w:rsidRDefault="00491F92" w:rsidP="001A790A">
      <w:pPr>
        <w:pStyle w:val="Textodeglobo"/>
        <w:jc w:val="both"/>
        <w:rPr>
          <w:rFonts w:ascii="Times New Roman" w:hAnsi="Times New Roman" w:cs="Times New Roman"/>
          <w:sz w:val="22"/>
          <w:szCs w:val="22"/>
        </w:rPr>
      </w:pPr>
    </w:p>
    <w:p w14:paraId="38650D6E" w14:textId="77777777" w:rsidR="001A790A" w:rsidRPr="0054508A" w:rsidRDefault="00C8692F" w:rsidP="00C8692F">
      <w:pPr>
        <w:pStyle w:val="Textodeglobo"/>
        <w:jc w:val="both"/>
        <w:rPr>
          <w:rFonts w:ascii="Times New Roman" w:hAnsi="Times New Roman" w:cs="Times New Roman"/>
          <w:sz w:val="22"/>
          <w:szCs w:val="22"/>
        </w:rPr>
      </w:pPr>
      <w:r w:rsidRPr="0054508A">
        <w:rPr>
          <w:rFonts w:ascii="Times New Roman" w:hAnsi="Times New Roman" w:cs="Times New Roman"/>
          <w:sz w:val="22"/>
          <w:szCs w:val="22"/>
        </w:rPr>
        <w:t xml:space="preserve">En la zona euro, la inflación general (IPC) alcanzó el 2% en mayo frente al 1.6% registrado el mes anterior, en medio de flexibilizaciones a las restricciones adoptadas por la pandemia, según la Oficina Europea de Estadísticas, Eurostat.  La inflación se situó en el límite superior de la meta trazada por el Banco Central Europeo (BCE), que pretende que el índice se sitúe “cerca, pero por debajo” de 2%.  En mayo, el reajuste de los precios al consumidor tuvo un fuerte empuje en el segmento de la energía, que experimentó un alza de 13.1%, un nivel muy superior al de los otros componentes utilizados para medir la trayectoria. </w:t>
      </w:r>
    </w:p>
    <w:p w14:paraId="17C10C7B" w14:textId="77777777" w:rsidR="00C8692F" w:rsidRPr="0054508A" w:rsidRDefault="00C8692F" w:rsidP="00C8692F">
      <w:pPr>
        <w:pStyle w:val="Textodeglobo"/>
        <w:jc w:val="both"/>
        <w:rPr>
          <w:rFonts w:ascii="Times New Roman" w:hAnsi="Times New Roman" w:cs="Times New Roman"/>
          <w:sz w:val="22"/>
          <w:szCs w:val="22"/>
        </w:rPr>
      </w:pPr>
    </w:p>
    <w:p w14:paraId="64088427" w14:textId="77777777" w:rsidR="00C91553" w:rsidRPr="0054508A" w:rsidRDefault="00E80EA8" w:rsidP="00E80EA8">
      <w:pPr>
        <w:pStyle w:val="Textodeglobo"/>
        <w:jc w:val="both"/>
        <w:rPr>
          <w:rFonts w:ascii="Times New Roman" w:hAnsi="Times New Roman" w:cs="Times New Roman"/>
          <w:sz w:val="22"/>
          <w:szCs w:val="22"/>
        </w:rPr>
      </w:pPr>
      <w:r w:rsidRPr="0054508A">
        <w:rPr>
          <w:rFonts w:ascii="Times New Roman" w:hAnsi="Times New Roman" w:cs="Times New Roman"/>
          <w:sz w:val="22"/>
          <w:szCs w:val="22"/>
        </w:rPr>
        <w:t xml:space="preserve">Los gobiernos de China y Estados Unidos han retomado sus contactos de índole económica y comercial y confían en resolver con pragmatismo las diferencias entre ambas potencias con el objetivo de alcanzar un beneficio mutuo y para el conjunto del mundo, según ha señalado el Ministerio de Comercio de China.  </w:t>
      </w:r>
      <w:r w:rsidR="00615821" w:rsidRPr="0054508A">
        <w:rPr>
          <w:rFonts w:ascii="Times New Roman" w:hAnsi="Times New Roman" w:cs="Times New Roman"/>
          <w:sz w:val="22"/>
          <w:szCs w:val="22"/>
        </w:rPr>
        <w:t>El portavoz ministerial chino, Gao Feng, indicó que a</w:t>
      </w:r>
      <w:r w:rsidRPr="0054508A">
        <w:rPr>
          <w:rFonts w:ascii="Times New Roman" w:hAnsi="Times New Roman" w:cs="Times New Roman"/>
          <w:sz w:val="22"/>
          <w:szCs w:val="22"/>
        </w:rPr>
        <w:t>mbas partes creen que los intercambios son profesionales, francos y constructivos, y que los campos económico y comercial chino-estadounidenses han comenza</w:t>
      </w:r>
      <w:r w:rsidR="00757FCC" w:rsidRPr="0054508A">
        <w:rPr>
          <w:rFonts w:ascii="Times New Roman" w:hAnsi="Times New Roman" w:cs="Times New Roman"/>
          <w:sz w:val="22"/>
          <w:szCs w:val="22"/>
        </w:rPr>
        <w:t>do a comunicarse con normalidad</w:t>
      </w:r>
      <w:r w:rsidRPr="0054508A">
        <w:rPr>
          <w:rFonts w:ascii="Times New Roman" w:hAnsi="Times New Roman" w:cs="Times New Roman"/>
          <w:sz w:val="22"/>
          <w:szCs w:val="22"/>
        </w:rPr>
        <w:t xml:space="preserve">, en referencia a las videoconferencias mantenidas por separado entre el viceprimer ministro chino, Liu He, con la secretaria del Tesoro de EE. UU., Janet Yellen, y la representante de Comercio estadounidense, Katherine </w:t>
      </w:r>
      <w:proofErr w:type="spellStart"/>
      <w:r w:rsidRPr="0054508A">
        <w:rPr>
          <w:rFonts w:ascii="Times New Roman" w:hAnsi="Times New Roman" w:cs="Times New Roman"/>
          <w:sz w:val="22"/>
          <w:szCs w:val="22"/>
        </w:rPr>
        <w:t>Tai</w:t>
      </w:r>
      <w:proofErr w:type="spellEnd"/>
      <w:r w:rsidRPr="0054508A">
        <w:rPr>
          <w:rFonts w:ascii="Times New Roman" w:hAnsi="Times New Roman" w:cs="Times New Roman"/>
          <w:sz w:val="22"/>
          <w:szCs w:val="22"/>
        </w:rPr>
        <w:t>.</w:t>
      </w:r>
    </w:p>
    <w:p w14:paraId="35C2B239" w14:textId="77777777" w:rsidR="00E80EA8" w:rsidRPr="0054508A" w:rsidRDefault="00E80EA8" w:rsidP="00E80EA8">
      <w:pPr>
        <w:pStyle w:val="Textodeglobo"/>
        <w:jc w:val="both"/>
        <w:rPr>
          <w:rFonts w:ascii="Times New Roman" w:hAnsi="Times New Roman" w:cs="Times New Roman"/>
          <w:sz w:val="22"/>
          <w:szCs w:val="22"/>
        </w:rPr>
      </w:pPr>
    </w:p>
    <w:p w14:paraId="093BF752" w14:textId="77777777" w:rsidR="00C91553" w:rsidRPr="0054508A" w:rsidRDefault="00DC7AAA" w:rsidP="00C91553">
      <w:pPr>
        <w:pStyle w:val="Textodeglobo"/>
        <w:jc w:val="both"/>
        <w:rPr>
          <w:rFonts w:ascii="Times New Roman" w:hAnsi="Times New Roman" w:cs="Times New Roman"/>
          <w:sz w:val="22"/>
          <w:szCs w:val="22"/>
        </w:rPr>
      </w:pPr>
      <w:r w:rsidRPr="0054508A">
        <w:rPr>
          <w:rFonts w:ascii="Times New Roman" w:hAnsi="Times New Roman" w:cs="Times New Roman"/>
          <w:sz w:val="22"/>
          <w:szCs w:val="22"/>
        </w:rPr>
        <w:t xml:space="preserve">En Japón, </w:t>
      </w:r>
      <w:r w:rsidR="00C91553" w:rsidRPr="0054508A">
        <w:rPr>
          <w:rFonts w:ascii="Times New Roman" w:hAnsi="Times New Roman" w:cs="Times New Roman"/>
          <w:sz w:val="22"/>
          <w:szCs w:val="22"/>
        </w:rPr>
        <w:t>los precios de consumo básicos en cayeron en mayo, reforzando las expectativas de que la inflación se mantendrá por debajo del o</w:t>
      </w:r>
      <w:r w:rsidRPr="0054508A">
        <w:rPr>
          <w:rFonts w:ascii="Times New Roman" w:hAnsi="Times New Roman" w:cs="Times New Roman"/>
          <w:sz w:val="22"/>
          <w:szCs w:val="22"/>
        </w:rPr>
        <w:t>bjetivo del 2% del banco central</w:t>
      </w:r>
      <w:r w:rsidR="00C91553" w:rsidRPr="0054508A">
        <w:rPr>
          <w:rFonts w:ascii="Times New Roman" w:hAnsi="Times New Roman" w:cs="Times New Roman"/>
          <w:sz w:val="22"/>
          <w:szCs w:val="22"/>
        </w:rPr>
        <w:t>.</w:t>
      </w:r>
      <w:r w:rsidRPr="0054508A">
        <w:rPr>
          <w:rFonts w:ascii="Times New Roman" w:hAnsi="Times New Roman" w:cs="Times New Roman"/>
          <w:sz w:val="22"/>
          <w:szCs w:val="22"/>
        </w:rPr>
        <w:t xml:space="preserve"> La economía japonesa se contrajo en el primer trimestre y muchos analistas esperan que cualquier repunte en el trimestre actual sea modesto, ya que los nuevos frenos del estado de emergencia perjudican al consumo.</w:t>
      </w:r>
    </w:p>
    <w:p w14:paraId="5C8BCA9F" w14:textId="77777777" w:rsidR="001A790A" w:rsidRPr="0054508A" w:rsidRDefault="001A790A" w:rsidP="002955BE">
      <w:pPr>
        <w:pStyle w:val="Textodeglobo"/>
        <w:jc w:val="both"/>
        <w:rPr>
          <w:rFonts w:ascii="Times New Roman" w:hAnsi="Times New Roman" w:cs="Times New Roman"/>
          <w:sz w:val="22"/>
          <w:szCs w:val="22"/>
        </w:rPr>
      </w:pPr>
    </w:p>
    <w:p w14:paraId="79E91AB0" w14:textId="77777777" w:rsidR="009F36DC" w:rsidRPr="0054508A" w:rsidRDefault="009F36DC" w:rsidP="009F36DC">
      <w:pPr>
        <w:spacing w:after="0" w:line="240" w:lineRule="auto"/>
        <w:jc w:val="both"/>
        <w:rPr>
          <w:rFonts w:ascii="Times New Roman" w:hAnsi="Times New Roman" w:cs="Times New Roman"/>
        </w:rPr>
      </w:pPr>
      <w:r w:rsidRPr="0054508A">
        <w:rPr>
          <w:rFonts w:ascii="Times New Roman" w:hAnsi="Times New Roman" w:cs="Times New Roman"/>
        </w:rPr>
        <w:t xml:space="preserve">La OCDE actualizó sus proyecciones económicas 2021, en donde indicó que las principales economías de América Latina se recuperan a una mayor velocidad de lo pronosticado tras la pandemia; las previsiones del PIB en 2021 mejoraron para México, pasando del 4.5% al 5.0%; en Argentina escalaron del 4.6% al 6.1% y en Colombia saltó del 5% al 7.6%, cuando se comparan con las proyecciones de marzo. La de Brasil se mantuvo estable en 3.7%.  Para la organización, Chile es el único país de Latinoamérica que logrará recuperarse de la crisis en este 2021, con un crecimiento del 6.7%, consiguiendo regresar su PIB pér </w:t>
      </w:r>
      <w:r w:rsidR="00C67BA2" w:rsidRPr="0054508A">
        <w:rPr>
          <w:rFonts w:ascii="Times New Roman" w:hAnsi="Times New Roman" w:cs="Times New Roman"/>
        </w:rPr>
        <w:t>cápita</w:t>
      </w:r>
      <w:r w:rsidRPr="0054508A">
        <w:rPr>
          <w:rFonts w:ascii="Times New Roman" w:hAnsi="Times New Roman" w:cs="Times New Roman"/>
        </w:rPr>
        <w:t xml:space="preserve"> a los niveles previos a la pandemia.</w:t>
      </w:r>
    </w:p>
    <w:p w14:paraId="7EB1C579" w14:textId="77777777" w:rsidR="001A790A" w:rsidRPr="0054508A" w:rsidRDefault="001A790A" w:rsidP="001A790A">
      <w:pPr>
        <w:pStyle w:val="Sinespaciado"/>
        <w:jc w:val="both"/>
        <w:rPr>
          <w:rFonts w:ascii="Times New Roman" w:eastAsia="Times New Roman" w:hAnsi="Times New Roman" w:cs="Times New Roman"/>
          <w:sz w:val="18"/>
          <w:lang w:val="es-MX"/>
        </w:rPr>
      </w:pPr>
    </w:p>
    <w:p w14:paraId="04F1B6C3" w14:textId="77777777" w:rsidR="00EF5550" w:rsidRPr="0054508A" w:rsidRDefault="001A790A" w:rsidP="00EF5550">
      <w:pPr>
        <w:pStyle w:val="Sinespaciado"/>
        <w:jc w:val="both"/>
        <w:rPr>
          <w:rFonts w:ascii="Times New Roman" w:eastAsia="Times New Roman" w:hAnsi="Times New Roman" w:cs="Times New Roman"/>
          <w:lang w:val="es-MX"/>
        </w:rPr>
      </w:pPr>
      <w:r w:rsidRPr="0054508A">
        <w:rPr>
          <w:rFonts w:ascii="Times New Roman" w:eastAsia="Times New Roman" w:hAnsi="Times New Roman" w:cs="Times New Roman"/>
          <w:lang w:val="es-MX"/>
        </w:rPr>
        <w:t xml:space="preserve">En el entorno interno, </w:t>
      </w:r>
      <w:r w:rsidR="00EF5550" w:rsidRPr="0054508A">
        <w:rPr>
          <w:rFonts w:ascii="Times New Roman" w:eastAsia="Times New Roman" w:hAnsi="Times New Roman" w:cs="Times New Roman"/>
          <w:lang w:val="es-MX"/>
        </w:rPr>
        <w:t xml:space="preserve">la percepción sobre la situación económica actual y el ambiente para los negocios, medida </w:t>
      </w:r>
      <w:r w:rsidR="00620D69" w:rsidRPr="0054508A">
        <w:rPr>
          <w:rFonts w:ascii="Times New Roman" w:eastAsia="Times New Roman" w:hAnsi="Times New Roman" w:cs="Times New Roman"/>
          <w:lang w:val="es-MX"/>
        </w:rPr>
        <w:t>a través</w:t>
      </w:r>
      <w:r w:rsidR="00EF5550" w:rsidRPr="0054508A">
        <w:rPr>
          <w:rFonts w:ascii="Times New Roman" w:eastAsia="Times New Roman" w:hAnsi="Times New Roman" w:cs="Times New Roman"/>
          <w:lang w:val="es-MX"/>
        </w:rPr>
        <w:t xml:space="preserve"> </w:t>
      </w:r>
      <w:r w:rsidR="00620D69" w:rsidRPr="0054508A">
        <w:rPr>
          <w:rFonts w:ascii="Times New Roman" w:eastAsia="Times New Roman" w:hAnsi="Times New Roman" w:cs="Times New Roman"/>
          <w:lang w:val="es-MX"/>
        </w:rPr>
        <w:t>d</w:t>
      </w:r>
      <w:r w:rsidR="00EF5550" w:rsidRPr="0054508A">
        <w:rPr>
          <w:rFonts w:ascii="Times New Roman" w:eastAsia="Times New Roman" w:hAnsi="Times New Roman" w:cs="Times New Roman"/>
          <w:lang w:val="es-MX"/>
        </w:rPr>
        <w:t>el nivel del Índice de Confianza de la Actividad Económica</w:t>
      </w:r>
      <w:r w:rsidR="00620D69" w:rsidRPr="0054508A">
        <w:rPr>
          <w:rFonts w:ascii="Times New Roman" w:eastAsia="Times New Roman" w:hAnsi="Times New Roman" w:cs="Times New Roman"/>
          <w:lang w:val="es-MX"/>
        </w:rPr>
        <w:t>,</w:t>
      </w:r>
      <w:r w:rsidR="00EF5550" w:rsidRPr="0054508A">
        <w:rPr>
          <w:rFonts w:ascii="Times New Roman" w:eastAsia="Times New Roman" w:hAnsi="Times New Roman" w:cs="Times New Roman"/>
          <w:lang w:val="es-MX"/>
        </w:rPr>
        <w:t xml:space="preserve"> se situó en 73.52 puntos, superior en 1.04% con respecto al registrado en abril 2021, y aumentó 89.29% respeto al registrado en mayo de 2020.   Así mismo, se espera un ritmo inflacionario</w:t>
      </w:r>
      <w:r w:rsidR="00620D69" w:rsidRPr="0054508A">
        <w:rPr>
          <w:rFonts w:ascii="Times New Roman" w:eastAsia="Times New Roman" w:hAnsi="Times New Roman" w:cs="Times New Roman"/>
          <w:lang w:val="es-MX"/>
        </w:rPr>
        <w:t xml:space="preserve"> de 5.16</w:t>
      </w:r>
      <w:r w:rsidR="00EF5550" w:rsidRPr="0054508A">
        <w:rPr>
          <w:rFonts w:ascii="Times New Roman" w:eastAsia="Times New Roman" w:hAnsi="Times New Roman" w:cs="Times New Roman"/>
          <w:lang w:val="es-MX"/>
        </w:rPr>
        <w:t xml:space="preserve">% para </w:t>
      </w:r>
      <w:r w:rsidR="00620D69" w:rsidRPr="0054508A">
        <w:rPr>
          <w:rFonts w:ascii="Times New Roman" w:eastAsia="Times New Roman" w:hAnsi="Times New Roman" w:cs="Times New Roman"/>
          <w:lang w:val="es-MX"/>
        </w:rPr>
        <w:t>mayo, 5.09</w:t>
      </w:r>
      <w:r w:rsidR="00EF5550" w:rsidRPr="0054508A">
        <w:rPr>
          <w:rFonts w:ascii="Times New Roman" w:eastAsia="Times New Roman" w:hAnsi="Times New Roman" w:cs="Times New Roman"/>
          <w:lang w:val="es-MX"/>
        </w:rPr>
        <w:t xml:space="preserve">% para </w:t>
      </w:r>
      <w:r w:rsidR="00620D69" w:rsidRPr="0054508A">
        <w:rPr>
          <w:rFonts w:ascii="Times New Roman" w:eastAsia="Times New Roman" w:hAnsi="Times New Roman" w:cs="Times New Roman"/>
          <w:lang w:val="es-MX"/>
        </w:rPr>
        <w:t>junio y 4.92</w:t>
      </w:r>
      <w:r w:rsidR="00EF5550" w:rsidRPr="0054508A">
        <w:rPr>
          <w:rFonts w:ascii="Times New Roman" w:eastAsia="Times New Roman" w:hAnsi="Times New Roman" w:cs="Times New Roman"/>
          <w:lang w:val="es-MX"/>
        </w:rPr>
        <w:t xml:space="preserve">% para </w:t>
      </w:r>
      <w:r w:rsidR="00620D69" w:rsidRPr="0054508A">
        <w:rPr>
          <w:rFonts w:ascii="Times New Roman" w:eastAsia="Times New Roman" w:hAnsi="Times New Roman" w:cs="Times New Roman"/>
          <w:lang w:val="es-MX"/>
        </w:rPr>
        <w:t>jul</w:t>
      </w:r>
      <w:r w:rsidR="00EF5550" w:rsidRPr="0054508A">
        <w:rPr>
          <w:rFonts w:ascii="Times New Roman" w:eastAsia="Times New Roman" w:hAnsi="Times New Roman" w:cs="Times New Roman"/>
          <w:lang w:val="es-MX"/>
        </w:rPr>
        <w:t>io 2021; en un horizonte de 12 y 24 meses se es</w:t>
      </w:r>
      <w:r w:rsidR="00620D69" w:rsidRPr="0054508A">
        <w:rPr>
          <w:rFonts w:ascii="Times New Roman" w:eastAsia="Times New Roman" w:hAnsi="Times New Roman" w:cs="Times New Roman"/>
          <w:lang w:val="es-MX"/>
        </w:rPr>
        <w:t>peraría un ritmo de 4.54% y 4.41</w:t>
      </w:r>
      <w:r w:rsidR="00EF5550" w:rsidRPr="0054508A">
        <w:rPr>
          <w:rFonts w:ascii="Times New Roman" w:eastAsia="Times New Roman" w:hAnsi="Times New Roman" w:cs="Times New Roman"/>
          <w:lang w:val="es-MX"/>
        </w:rPr>
        <w:t>% respectivamente.</w:t>
      </w:r>
    </w:p>
    <w:p w14:paraId="47FCF76F" w14:textId="77777777" w:rsidR="00EF5550" w:rsidRPr="0054508A" w:rsidRDefault="00EF5550" w:rsidP="001A790A">
      <w:pPr>
        <w:pStyle w:val="Sinespaciado"/>
        <w:jc w:val="both"/>
        <w:rPr>
          <w:rFonts w:ascii="Times New Roman" w:eastAsia="Times New Roman" w:hAnsi="Times New Roman" w:cs="Times New Roman"/>
          <w:sz w:val="18"/>
          <w:lang w:val="es-MX"/>
        </w:rPr>
      </w:pPr>
    </w:p>
    <w:p w14:paraId="4EAD37B0" w14:textId="77777777" w:rsidR="001A790A" w:rsidRPr="0054508A" w:rsidRDefault="00EF5550" w:rsidP="001A790A">
      <w:pPr>
        <w:pStyle w:val="Sinespaciado"/>
        <w:jc w:val="both"/>
        <w:rPr>
          <w:rFonts w:ascii="Times New Roman" w:eastAsia="Times New Roman" w:hAnsi="Times New Roman" w:cs="Times New Roman"/>
          <w:lang w:val="es-MX"/>
        </w:rPr>
      </w:pPr>
      <w:r w:rsidRPr="0054508A">
        <w:rPr>
          <w:rFonts w:ascii="Times New Roman" w:eastAsia="Times New Roman" w:hAnsi="Times New Roman" w:cs="Times New Roman"/>
          <w:lang w:val="es-MX"/>
        </w:rPr>
        <w:t>L</w:t>
      </w:r>
      <w:r w:rsidR="001A790A" w:rsidRPr="0054508A">
        <w:rPr>
          <w:rFonts w:ascii="Times New Roman" w:eastAsia="Times New Roman" w:hAnsi="Times New Roman" w:cs="Times New Roman"/>
          <w:lang w:val="es-MX"/>
        </w:rPr>
        <w:t xml:space="preserve">a actividad económica medida por la estimación del IMAE en marzo de 2021, registró una tasa de variación de 6.9% (-3.7% en marzo de 2020). Dicho resultado estuvo influenciado, principalmente, por el crecimiento en las actividades de: Comercio y reparación de vehículos; Industrias manufactureras; Enseñanza; Agricultura, ganadería, silvicultura y pesca; y, Construcción. </w:t>
      </w:r>
    </w:p>
    <w:p w14:paraId="663E3706" w14:textId="77777777" w:rsidR="003A37AC" w:rsidRPr="00A72391" w:rsidRDefault="003A37AC" w:rsidP="001A790A">
      <w:pPr>
        <w:pStyle w:val="Sinespaciado"/>
        <w:jc w:val="both"/>
        <w:rPr>
          <w:rFonts w:ascii="Times New Roman" w:hAnsi="Times New Roman" w:cs="Times New Roman"/>
          <w:color w:val="FF0000"/>
          <w:sz w:val="18"/>
          <w:lang w:val="es-MX"/>
        </w:rPr>
      </w:pPr>
    </w:p>
    <w:p w14:paraId="7BD1C415" w14:textId="77777777" w:rsidR="001A790A" w:rsidRPr="00A72391" w:rsidRDefault="001A790A" w:rsidP="001A790A">
      <w:pPr>
        <w:pStyle w:val="Sinespaciado"/>
        <w:ind w:right="-188"/>
        <w:jc w:val="both"/>
        <w:rPr>
          <w:rFonts w:ascii="Times New Roman" w:hAnsi="Times New Roman" w:cs="Times New Roman"/>
          <w:color w:val="FF0000"/>
          <w:sz w:val="16"/>
        </w:rPr>
        <w:sectPr w:rsidR="001A790A" w:rsidRPr="00A72391" w:rsidSect="00080B88">
          <w:headerReference w:type="default" r:id="rId31"/>
          <w:footerReference w:type="default" r:id="rId32"/>
          <w:type w:val="continuous"/>
          <w:pgSz w:w="12240" w:h="15840" w:code="1"/>
          <w:pgMar w:top="1418" w:right="1467" w:bottom="1418" w:left="1701" w:header="709" w:footer="709" w:gutter="0"/>
          <w:cols w:num="2" w:space="802"/>
          <w:docGrid w:linePitch="360"/>
        </w:sectPr>
      </w:pPr>
    </w:p>
    <w:p w14:paraId="395C50D7" w14:textId="77777777" w:rsidR="00F41C51" w:rsidRDefault="00F41C51" w:rsidP="00975E49">
      <w:pPr>
        <w:pStyle w:val="Sinespaciado"/>
        <w:ind w:right="-188"/>
        <w:jc w:val="both"/>
        <w:rPr>
          <w:rFonts w:ascii="Times New Roman" w:hAnsi="Times New Roman" w:cs="Times New Roman"/>
          <w:color w:val="FF0000"/>
          <w:sz w:val="16"/>
        </w:rPr>
      </w:pPr>
    </w:p>
    <w:p w14:paraId="259621A6" w14:textId="77777777" w:rsidR="00751CCA" w:rsidRPr="00A72391" w:rsidRDefault="00751CCA" w:rsidP="00AD5816">
      <w:pPr>
        <w:spacing w:after="0" w:line="240" w:lineRule="auto"/>
        <w:rPr>
          <w:rFonts w:ascii="Times New Roman" w:hAnsi="Times New Roman" w:cs="Times New Roman"/>
          <w:noProof/>
          <w:color w:val="FF0000"/>
          <w:sz w:val="16"/>
          <w:lang w:eastAsia="es-GT"/>
        </w:rPr>
      </w:pPr>
    </w:p>
    <w:p w14:paraId="0B95931B" w14:textId="77777777" w:rsidR="006470E2" w:rsidRPr="00DD1748" w:rsidRDefault="00DD1748" w:rsidP="00DD1748">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pPr>
      <w:r w:rsidRPr="008B72BE">
        <w:rPr>
          <w:noProof/>
          <w:lang w:eastAsia="es-GT"/>
        </w:rPr>
        <w:drawing>
          <wp:anchor distT="0" distB="0" distL="114300" distR="114300" simplePos="0" relativeHeight="251824128" behindDoc="0" locked="0" layoutInCell="1" allowOverlap="1" wp14:anchorId="6ADEA43C" wp14:editId="7A4F8F00">
            <wp:simplePos x="0" y="0"/>
            <wp:positionH relativeFrom="column">
              <wp:posOffset>-116848</wp:posOffset>
            </wp:positionH>
            <wp:positionV relativeFrom="paragraph">
              <wp:posOffset>569917</wp:posOffset>
            </wp:positionV>
            <wp:extent cx="6303010" cy="5034915"/>
            <wp:effectExtent l="0" t="0" r="254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3010" cy="5034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lang w:val="es-MX"/>
        </w:rPr>
        <w:t>Anexo</w:t>
      </w:r>
    </w:p>
    <w:sectPr w:rsidR="006470E2" w:rsidRPr="00DD1748" w:rsidSect="00DD1748">
      <w:headerReference w:type="default" r:id="rId34"/>
      <w:footerReference w:type="default" r:id="rId35"/>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F35F4" w14:textId="77777777" w:rsidR="00FB546C" w:rsidRDefault="00FB546C" w:rsidP="007D4651">
      <w:pPr>
        <w:spacing w:after="0" w:line="240" w:lineRule="auto"/>
      </w:pPr>
      <w:r>
        <w:separator/>
      </w:r>
    </w:p>
  </w:endnote>
  <w:endnote w:type="continuationSeparator" w:id="0">
    <w:p w14:paraId="311B7D6B" w14:textId="77777777" w:rsidR="00FB546C" w:rsidRDefault="00FB546C"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37366140"/>
      <w:docPartObj>
        <w:docPartGallery w:val="Page Numbers (Bottom of Page)"/>
        <w:docPartUnique/>
      </w:docPartObj>
    </w:sdtPr>
    <w:sdtEndPr/>
    <w:sdtContent>
      <w:p w14:paraId="34F2E96A" w14:textId="77777777" w:rsidR="00A36C8F" w:rsidRDefault="00A36C8F">
        <w:pPr>
          <w:pStyle w:val="Piedepgina"/>
          <w:jc w:val="right"/>
          <w:rPr>
            <w:lang w:val="es-ES"/>
          </w:rPr>
        </w:pPr>
      </w:p>
      <w:p w14:paraId="65F14DF0" w14:textId="77777777" w:rsidR="00A36C8F" w:rsidRDefault="00A36C8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495667CF" wp14:editId="12D93A02">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8AE7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7547E67F" w14:textId="77777777" w:rsidR="00A36C8F" w:rsidRDefault="00A36C8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1748" w:rsidRPr="00DD1748">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14:paraId="62628F12" w14:textId="77777777" w:rsidR="00A36C8F" w:rsidRDefault="00A36C8F" w:rsidP="007D4651">
    <w:pPr>
      <w:pStyle w:val="Piedepgina"/>
      <w:tabs>
        <w:tab w:val="clear" w:pos="4419"/>
        <w:tab w:val="clear" w:pos="8838"/>
        <w:tab w:val="left" w:pos="5777"/>
      </w:tabs>
    </w:pPr>
  </w:p>
  <w:p w14:paraId="7A1785F8" w14:textId="77777777" w:rsidR="00A36C8F" w:rsidRDefault="00A36C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85034144"/>
      <w:docPartObj>
        <w:docPartGallery w:val="Page Numbers (Bottom of Page)"/>
        <w:docPartUnique/>
      </w:docPartObj>
    </w:sdtPr>
    <w:sdtEndPr/>
    <w:sdtContent>
      <w:p w14:paraId="308379DB" w14:textId="77777777" w:rsidR="00A36C8F" w:rsidRDefault="00A36C8F">
        <w:pPr>
          <w:pStyle w:val="Piedepgina"/>
          <w:jc w:val="right"/>
          <w:rPr>
            <w:lang w:val="es-ES"/>
          </w:rPr>
        </w:pPr>
      </w:p>
      <w:p w14:paraId="3EE682E0" w14:textId="77777777" w:rsidR="00A36C8F" w:rsidRDefault="00A36C8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5381C8AE" wp14:editId="34FCABFB">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1D3D7C"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2C37ADAF" w14:textId="77777777" w:rsidR="00A36C8F" w:rsidRDefault="00A36C8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1748" w:rsidRPr="00DD1748">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14:paraId="6F0ED209" w14:textId="77777777" w:rsidR="00A36C8F" w:rsidRDefault="00A36C8F" w:rsidP="007D4651">
    <w:pPr>
      <w:pStyle w:val="Piedepgina"/>
      <w:tabs>
        <w:tab w:val="clear" w:pos="4419"/>
        <w:tab w:val="clear" w:pos="8838"/>
        <w:tab w:val="left" w:pos="5777"/>
      </w:tabs>
    </w:pPr>
  </w:p>
  <w:p w14:paraId="269C9DB4" w14:textId="77777777" w:rsidR="00A36C8F" w:rsidRDefault="00A36C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2057691808"/>
      <w:docPartObj>
        <w:docPartGallery w:val="Page Numbers (Bottom of Page)"/>
        <w:docPartUnique/>
      </w:docPartObj>
    </w:sdtPr>
    <w:sdtEndPr/>
    <w:sdtContent>
      <w:p w14:paraId="255BBE4E" w14:textId="77777777" w:rsidR="00A36C8F" w:rsidRDefault="00A36C8F">
        <w:pPr>
          <w:pStyle w:val="Piedepgina"/>
          <w:jc w:val="right"/>
          <w:rPr>
            <w:lang w:val="es-ES"/>
          </w:rPr>
        </w:pPr>
      </w:p>
      <w:p w14:paraId="4BA08CA7" w14:textId="77777777" w:rsidR="00A36C8F" w:rsidRDefault="00A36C8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0EB9776A" wp14:editId="7C26D5C7">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A8C87"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6940C618" w14:textId="77777777" w:rsidR="00A36C8F" w:rsidRDefault="00A36C8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B39D4" w:rsidRPr="00AB39D4">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14:paraId="74FC8857" w14:textId="77777777" w:rsidR="00A36C8F" w:rsidRDefault="00A36C8F" w:rsidP="007D4651">
    <w:pPr>
      <w:pStyle w:val="Piedepgina"/>
      <w:tabs>
        <w:tab w:val="clear" w:pos="4419"/>
        <w:tab w:val="clear" w:pos="8838"/>
        <w:tab w:val="left" w:pos="5777"/>
      </w:tabs>
    </w:pPr>
  </w:p>
  <w:p w14:paraId="17077AF4" w14:textId="77777777" w:rsidR="00A36C8F" w:rsidRDefault="00A36C8F"/>
  <w:p w14:paraId="1504942C" w14:textId="77777777" w:rsidR="00A36C8F" w:rsidRDefault="00A36C8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57080796"/>
      <w:docPartObj>
        <w:docPartGallery w:val="Page Numbers (Bottom of Page)"/>
        <w:docPartUnique/>
      </w:docPartObj>
    </w:sdtPr>
    <w:sdtEndPr/>
    <w:sdtContent>
      <w:p w14:paraId="25FB6975" w14:textId="77777777" w:rsidR="00A36C8F" w:rsidRDefault="00A36C8F">
        <w:pPr>
          <w:pStyle w:val="Piedepgina"/>
          <w:jc w:val="right"/>
          <w:rPr>
            <w:lang w:val="es-ES"/>
          </w:rPr>
        </w:pPr>
      </w:p>
      <w:p w14:paraId="39096D1E" w14:textId="77777777" w:rsidR="00A36C8F" w:rsidRDefault="00A36C8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1582821F" wp14:editId="4AC6A997">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413E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39ABF9E8" w14:textId="77777777" w:rsidR="00A36C8F" w:rsidRDefault="00A36C8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D35260">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14:paraId="159F033D" w14:textId="77777777" w:rsidR="00A36C8F" w:rsidRDefault="00A36C8F" w:rsidP="007D4651">
    <w:pPr>
      <w:pStyle w:val="Piedepgina"/>
      <w:tabs>
        <w:tab w:val="clear" w:pos="4419"/>
        <w:tab w:val="clear" w:pos="8838"/>
        <w:tab w:val="left" w:pos="5777"/>
      </w:tabs>
    </w:pPr>
  </w:p>
  <w:p w14:paraId="104BF95B" w14:textId="77777777" w:rsidR="00A36C8F" w:rsidRDefault="00A36C8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2100707382"/>
      <w:docPartObj>
        <w:docPartGallery w:val="Page Numbers (Bottom of Page)"/>
        <w:docPartUnique/>
      </w:docPartObj>
    </w:sdtPr>
    <w:sdtEndPr/>
    <w:sdtContent>
      <w:p w14:paraId="0EB4BE07" w14:textId="77777777" w:rsidR="00A36C8F" w:rsidRDefault="00A36C8F">
        <w:pPr>
          <w:pStyle w:val="Piedepgina"/>
          <w:jc w:val="right"/>
          <w:rPr>
            <w:lang w:val="es-ES"/>
          </w:rPr>
        </w:pPr>
      </w:p>
      <w:p w14:paraId="46EADA66" w14:textId="77777777" w:rsidR="00A36C8F" w:rsidRDefault="00A36C8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54AF8F75" wp14:editId="6E1F4D9F">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92A91"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3AC95C50" w14:textId="77777777" w:rsidR="00A36C8F" w:rsidRDefault="00A36C8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1748" w:rsidRPr="00DD1748">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14:paraId="59E73A0F" w14:textId="77777777" w:rsidR="00A36C8F" w:rsidRDefault="00A36C8F" w:rsidP="007D4651">
    <w:pPr>
      <w:pStyle w:val="Piedepgina"/>
      <w:tabs>
        <w:tab w:val="clear" w:pos="4419"/>
        <w:tab w:val="clear" w:pos="8838"/>
        <w:tab w:val="left" w:pos="5777"/>
      </w:tabs>
    </w:pPr>
  </w:p>
  <w:p w14:paraId="16AB38DA" w14:textId="77777777" w:rsidR="00A36C8F" w:rsidRDefault="00A36C8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198588034"/>
      <w:docPartObj>
        <w:docPartGallery w:val="Page Numbers (Bottom of Page)"/>
        <w:docPartUnique/>
      </w:docPartObj>
    </w:sdtPr>
    <w:sdtEndPr/>
    <w:sdtContent>
      <w:p w14:paraId="58A5A72F" w14:textId="77777777" w:rsidR="00A36C8F" w:rsidRDefault="00A36C8F">
        <w:pPr>
          <w:pStyle w:val="Piedepgina"/>
          <w:jc w:val="right"/>
          <w:rPr>
            <w:lang w:val="es-ES"/>
          </w:rPr>
        </w:pPr>
      </w:p>
      <w:p w14:paraId="660BAD82" w14:textId="77777777" w:rsidR="00A36C8F" w:rsidRDefault="00A36C8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6D8E6599" wp14:editId="0ADC7E45">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2DF1A"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690C4298" w14:textId="77777777" w:rsidR="00A36C8F" w:rsidRDefault="00A36C8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1748" w:rsidRPr="00DD1748">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14:paraId="1663B06A" w14:textId="77777777" w:rsidR="00A36C8F" w:rsidRDefault="00A36C8F" w:rsidP="007D4651">
    <w:pPr>
      <w:pStyle w:val="Piedepgina"/>
      <w:tabs>
        <w:tab w:val="clear" w:pos="4419"/>
        <w:tab w:val="clear" w:pos="8838"/>
        <w:tab w:val="left" w:pos="5777"/>
      </w:tabs>
    </w:pPr>
  </w:p>
  <w:p w14:paraId="09739B44" w14:textId="77777777" w:rsidR="00A36C8F" w:rsidRDefault="00A36C8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7338240"/>
      <w:docPartObj>
        <w:docPartGallery w:val="Page Numbers (Bottom of Page)"/>
        <w:docPartUnique/>
      </w:docPartObj>
    </w:sdtPr>
    <w:sdtEndPr/>
    <w:sdtContent>
      <w:p w14:paraId="7869967D" w14:textId="77777777" w:rsidR="00A36C8F" w:rsidRDefault="00A36C8F">
        <w:pPr>
          <w:pStyle w:val="Piedepgina"/>
          <w:jc w:val="right"/>
          <w:rPr>
            <w:lang w:val="es-ES"/>
          </w:rPr>
        </w:pPr>
      </w:p>
      <w:p w14:paraId="05BF37BE" w14:textId="77777777" w:rsidR="00A36C8F" w:rsidRDefault="00A36C8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230AD26C" wp14:editId="7137517F">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24CAD"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13CA3118" w14:textId="77777777" w:rsidR="00A36C8F" w:rsidRDefault="00A36C8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4508A" w:rsidRPr="0054508A">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14:paraId="4ECA1A9E" w14:textId="77777777" w:rsidR="00A36C8F" w:rsidRDefault="00A36C8F" w:rsidP="007D4651">
    <w:pPr>
      <w:pStyle w:val="Piedepgina"/>
      <w:tabs>
        <w:tab w:val="clear" w:pos="4419"/>
        <w:tab w:val="clear" w:pos="8838"/>
        <w:tab w:val="left" w:pos="5777"/>
      </w:tabs>
    </w:pPr>
  </w:p>
  <w:p w14:paraId="3A6C0261" w14:textId="77777777" w:rsidR="00A36C8F" w:rsidRDefault="00A36C8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48238714"/>
      <w:docPartObj>
        <w:docPartGallery w:val="Page Numbers (Bottom of Page)"/>
        <w:docPartUnique/>
      </w:docPartObj>
    </w:sdtPr>
    <w:sdtEndPr/>
    <w:sdtContent>
      <w:p w14:paraId="6BB87F1F" w14:textId="77777777" w:rsidR="00A36C8F" w:rsidRDefault="00A36C8F">
        <w:pPr>
          <w:pStyle w:val="Piedepgina"/>
          <w:jc w:val="right"/>
          <w:rPr>
            <w:lang w:val="es-ES"/>
          </w:rPr>
        </w:pPr>
      </w:p>
      <w:p w14:paraId="1FF1B177" w14:textId="77777777" w:rsidR="00A36C8F" w:rsidRDefault="00A36C8F"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66784" behindDoc="0" locked="0" layoutInCell="1" allowOverlap="1" wp14:anchorId="715AC5DA" wp14:editId="426534C1">
                  <wp:simplePos x="0" y="0"/>
                  <wp:positionH relativeFrom="column">
                    <wp:posOffset>1776669</wp:posOffset>
                  </wp:positionH>
                  <wp:positionV relativeFrom="paragraph">
                    <wp:posOffset>70516</wp:posOffset>
                  </wp:positionV>
                  <wp:extent cx="5155565" cy="45719"/>
                  <wp:effectExtent l="38100" t="38100" r="64135" b="88265"/>
                  <wp:wrapNone/>
                  <wp:docPr id="249"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74CE4" id="24 Rectángulo" o:spid="_x0000_s1026" style="position:absolute;margin-left:139.9pt;margin-top:5.55pt;width:405.95pt;height:3.6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AqPwMAAKg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1631D69C" w14:textId="77777777" w:rsidR="00A36C8F" w:rsidRDefault="00A36C8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1748" w:rsidRPr="00DD1748">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14:paraId="1102D0E1" w14:textId="77777777" w:rsidR="00A36C8F" w:rsidRDefault="00A36C8F" w:rsidP="007D4651">
    <w:pPr>
      <w:pStyle w:val="Piedepgina"/>
      <w:tabs>
        <w:tab w:val="clear" w:pos="4419"/>
        <w:tab w:val="clear" w:pos="8838"/>
        <w:tab w:val="left" w:pos="5777"/>
      </w:tabs>
    </w:pPr>
  </w:p>
  <w:p w14:paraId="3413EFAD" w14:textId="77777777" w:rsidR="00A36C8F" w:rsidRDefault="00A36C8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63733914"/>
      <w:docPartObj>
        <w:docPartGallery w:val="Page Numbers (Bottom of Page)"/>
        <w:docPartUnique/>
      </w:docPartObj>
    </w:sdtPr>
    <w:sdtEndPr/>
    <w:sdtContent>
      <w:p w14:paraId="2A35300E" w14:textId="77777777" w:rsidR="00A36C8F" w:rsidRDefault="00A36C8F">
        <w:pPr>
          <w:pStyle w:val="Piedepgina"/>
          <w:jc w:val="right"/>
          <w:rPr>
            <w:lang w:val="es-ES"/>
          </w:rPr>
        </w:pPr>
      </w:p>
      <w:p w14:paraId="55816579" w14:textId="77777777" w:rsidR="00A36C8F" w:rsidRDefault="00A36C8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1F14CFCA" wp14:editId="7C743885">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A2FEC"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601EAB5F" w14:textId="77777777" w:rsidR="00A36C8F" w:rsidRDefault="00A36C8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1748" w:rsidRPr="00DD1748">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14:paraId="13A1423E" w14:textId="77777777" w:rsidR="00A36C8F" w:rsidRDefault="00A36C8F" w:rsidP="007D4651">
    <w:pPr>
      <w:pStyle w:val="Piedepgina"/>
      <w:tabs>
        <w:tab w:val="clear" w:pos="4419"/>
        <w:tab w:val="clear" w:pos="8838"/>
        <w:tab w:val="left" w:pos="5777"/>
      </w:tabs>
    </w:pPr>
  </w:p>
  <w:p w14:paraId="2C76F920" w14:textId="77777777" w:rsidR="00A36C8F" w:rsidRDefault="00A36C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9FC85" w14:textId="77777777" w:rsidR="00FB546C" w:rsidRDefault="00FB546C" w:rsidP="007D4651">
      <w:pPr>
        <w:spacing w:after="0" w:line="240" w:lineRule="auto"/>
      </w:pPr>
      <w:r>
        <w:separator/>
      </w:r>
    </w:p>
  </w:footnote>
  <w:footnote w:type="continuationSeparator" w:id="0">
    <w:p w14:paraId="6E786919" w14:textId="77777777" w:rsidR="00FB546C" w:rsidRDefault="00FB546C"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A86C" w14:textId="77777777" w:rsidR="00A36C8F" w:rsidRPr="002E105E" w:rsidRDefault="00A36C8F"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39136" behindDoc="0" locked="0" layoutInCell="1" allowOverlap="1" wp14:anchorId="3FB8C6A4" wp14:editId="2EA9653C">
          <wp:simplePos x="0" y="0"/>
          <wp:positionH relativeFrom="column">
            <wp:posOffset>-548640</wp:posOffset>
          </wp:positionH>
          <wp:positionV relativeFrom="paragraph">
            <wp:posOffset>-74930</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69856" behindDoc="1" locked="1" layoutInCell="1" allowOverlap="1" wp14:anchorId="339D789A" wp14:editId="3B288290">
          <wp:simplePos x="0" y="0"/>
          <wp:positionH relativeFrom="column">
            <wp:posOffset>5207000</wp:posOffset>
          </wp:positionH>
          <wp:positionV relativeFrom="page">
            <wp:posOffset>166370</wp:posOffset>
          </wp:positionV>
          <wp:extent cx="1282700" cy="102298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106CF" w14:textId="77777777" w:rsidR="00A36C8F" w:rsidRPr="002E105E" w:rsidRDefault="00A36C8F"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14:paraId="4B4F094B" w14:textId="77777777" w:rsidR="00A36C8F" w:rsidRDefault="00A36C8F"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1C25A741" wp14:editId="6B8E3364">
              <wp:simplePos x="0" y="0"/>
              <wp:positionH relativeFrom="column">
                <wp:posOffset>1214617</wp:posOffset>
              </wp:positionH>
              <wp:positionV relativeFrom="paragraph">
                <wp:posOffset>14357</wp:posOffset>
              </wp:positionV>
              <wp:extent cx="3991555" cy="45719"/>
              <wp:effectExtent l="38100" t="38100" r="66675" b="88265"/>
              <wp:wrapNone/>
              <wp:docPr id="11"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F90A" id="11 Rectángulo" o:spid="_x0000_s1026" style="position:absolute;margin-left:95.65pt;margin-top:1.15pt;width:314.3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322450C6" w14:textId="77777777" w:rsidR="00A36C8F" w:rsidRPr="0073581B" w:rsidRDefault="00A36C8F"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363B7D31" w14:textId="77777777" w:rsidR="00A36C8F" w:rsidRPr="00E16925" w:rsidRDefault="00A36C8F"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5938F" w14:textId="77777777" w:rsidR="00A36C8F" w:rsidRPr="002E105E" w:rsidRDefault="00A36C8F"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72928" behindDoc="0" locked="0" layoutInCell="1" allowOverlap="1" wp14:anchorId="32930EFB" wp14:editId="4EB28C1F">
          <wp:simplePos x="0" y="0"/>
          <wp:positionH relativeFrom="column">
            <wp:posOffset>-548640</wp:posOffset>
          </wp:positionH>
          <wp:positionV relativeFrom="paragraph">
            <wp:posOffset>-8587</wp:posOffset>
          </wp:positionV>
          <wp:extent cx="1598212" cy="723976"/>
          <wp:effectExtent l="0" t="0" r="2540" b="0"/>
          <wp:wrapNone/>
          <wp:docPr id="30" name="Imagen 3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3952" behindDoc="1" locked="1" layoutInCell="1" allowOverlap="1" wp14:anchorId="32B67268" wp14:editId="1C4FBDE6">
          <wp:simplePos x="0" y="0"/>
          <wp:positionH relativeFrom="column">
            <wp:posOffset>5207000</wp:posOffset>
          </wp:positionH>
          <wp:positionV relativeFrom="page">
            <wp:posOffset>166370</wp:posOffset>
          </wp:positionV>
          <wp:extent cx="1282700" cy="1022985"/>
          <wp:effectExtent l="0" t="0" r="0" b="5715"/>
          <wp:wrapNone/>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AD228" w14:textId="77777777" w:rsidR="00A36C8F" w:rsidRPr="002E105E" w:rsidRDefault="00A36C8F"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14:paraId="1A3D1004" w14:textId="77777777" w:rsidR="00A36C8F" w:rsidRDefault="00A36C8F"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1904" behindDoc="0" locked="0" layoutInCell="1" allowOverlap="1" wp14:anchorId="3A34EA49" wp14:editId="1B0CC22C">
              <wp:simplePos x="0" y="0"/>
              <wp:positionH relativeFrom="column">
                <wp:posOffset>1214617</wp:posOffset>
              </wp:positionH>
              <wp:positionV relativeFrom="paragraph">
                <wp:posOffset>14357</wp:posOffset>
              </wp:positionV>
              <wp:extent cx="3991555" cy="45719"/>
              <wp:effectExtent l="38100" t="38100" r="66675" b="88265"/>
              <wp:wrapNone/>
              <wp:docPr id="17"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936B5" id="11 Rectángulo" o:spid="_x0000_s1026" style="position:absolute;margin-left:95.65pt;margin-top:1.15pt;width:314.3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339C27DF" w14:textId="77777777" w:rsidR="00A36C8F" w:rsidRPr="0073581B" w:rsidRDefault="00A36C8F"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08B25541" w14:textId="77777777" w:rsidR="00A36C8F" w:rsidRPr="00E16925" w:rsidRDefault="00A36C8F"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2209" w14:textId="77777777" w:rsidR="00A36C8F" w:rsidRPr="007D4651" w:rsidRDefault="00A36C8F"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5C5E7DD2" wp14:editId="300DBFA0">
          <wp:simplePos x="0" y="0"/>
          <wp:positionH relativeFrom="column">
            <wp:posOffset>0</wp:posOffset>
          </wp:positionH>
          <wp:positionV relativeFrom="paragraph">
            <wp:posOffset>-635</wp:posOffset>
          </wp:positionV>
          <wp:extent cx="1598212" cy="723976"/>
          <wp:effectExtent l="0" t="0" r="2540" b="0"/>
          <wp:wrapNone/>
          <wp:docPr id="254" name="Imagen 25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3E46A922" w14:textId="77777777" w:rsidR="00A36C8F" w:rsidRDefault="00A36C8F"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Abril 2021</w:t>
    </w:r>
  </w:p>
  <w:p w14:paraId="37D34C8D" w14:textId="77777777" w:rsidR="00A36C8F" w:rsidRDefault="00A36C8F"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1A7D2AE7" wp14:editId="4EE3A839">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8A165"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402C96D6" w14:textId="77777777" w:rsidR="00A36C8F" w:rsidRDefault="00A36C8F"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14:paraId="09A372E0" w14:textId="77777777" w:rsidR="00A36C8F" w:rsidRPr="0001624A" w:rsidRDefault="00A36C8F"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CF46" w14:textId="77777777" w:rsidR="00A36C8F" w:rsidRPr="002E105E" w:rsidRDefault="00A36C8F"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77024" behindDoc="0" locked="0" layoutInCell="1" allowOverlap="1" wp14:anchorId="78E41CF0" wp14:editId="623727E2">
          <wp:simplePos x="0" y="0"/>
          <wp:positionH relativeFrom="column">
            <wp:posOffset>-548640</wp:posOffset>
          </wp:positionH>
          <wp:positionV relativeFrom="paragraph">
            <wp:posOffset>-8587</wp:posOffset>
          </wp:positionV>
          <wp:extent cx="1598212" cy="723976"/>
          <wp:effectExtent l="0" t="0" r="2540" b="0"/>
          <wp:wrapNone/>
          <wp:docPr id="239" name="Imagen 239"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8048" behindDoc="1" locked="1" layoutInCell="1" allowOverlap="1" wp14:anchorId="7901FD50" wp14:editId="5C5FDBB3">
          <wp:simplePos x="0" y="0"/>
          <wp:positionH relativeFrom="column">
            <wp:posOffset>5207000</wp:posOffset>
          </wp:positionH>
          <wp:positionV relativeFrom="page">
            <wp:posOffset>166370</wp:posOffset>
          </wp:positionV>
          <wp:extent cx="1282700" cy="1022985"/>
          <wp:effectExtent l="0" t="0" r="0" b="5715"/>
          <wp:wrapNone/>
          <wp:docPr id="2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574FE" w14:textId="77777777" w:rsidR="00A36C8F" w:rsidRPr="002E105E" w:rsidRDefault="00A36C8F"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14:paraId="17E5EF78" w14:textId="77777777" w:rsidR="00A36C8F" w:rsidRDefault="00A36C8F"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6000" behindDoc="0" locked="0" layoutInCell="1" allowOverlap="1" wp14:anchorId="647C42C2" wp14:editId="0E19F96D">
              <wp:simplePos x="0" y="0"/>
              <wp:positionH relativeFrom="column">
                <wp:posOffset>1214617</wp:posOffset>
              </wp:positionH>
              <wp:positionV relativeFrom="paragraph">
                <wp:posOffset>14357</wp:posOffset>
              </wp:positionV>
              <wp:extent cx="3991555" cy="45719"/>
              <wp:effectExtent l="38100" t="38100" r="66675" b="88265"/>
              <wp:wrapNone/>
              <wp:docPr id="236"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741E" id="11 Rectángulo" o:spid="_x0000_s1026" style="position:absolute;margin-left:95.65pt;margin-top:1.15pt;width:314.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CKrkFE/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6B209519" w14:textId="77777777" w:rsidR="00A36C8F" w:rsidRPr="0073581B" w:rsidRDefault="00A36C8F"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5C04DD5C" w14:textId="77777777" w:rsidR="00A36C8F" w:rsidRPr="00E16925" w:rsidRDefault="00A36C8F"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6839" w14:textId="77777777" w:rsidR="00A36C8F" w:rsidRPr="002E105E" w:rsidRDefault="00A36C8F"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81120" behindDoc="0" locked="0" layoutInCell="1" allowOverlap="1" wp14:anchorId="4264E6E3" wp14:editId="33FA74EC">
          <wp:simplePos x="0" y="0"/>
          <wp:positionH relativeFrom="column">
            <wp:posOffset>-548640</wp:posOffset>
          </wp:positionH>
          <wp:positionV relativeFrom="paragraph">
            <wp:posOffset>-8587</wp:posOffset>
          </wp:positionV>
          <wp:extent cx="1598212" cy="723976"/>
          <wp:effectExtent l="0" t="0" r="2540" b="0"/>
          <wp:wrapNone/>
          <wp:docPr id="243" name="Imagen 243"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82144" behindDoc="1" locked="1" layoutInCell="1" allowOverlap="1" wp14:anchorId="2A644F23" wp14:editId="653CBD8A">
          <wp:simplePos x="0" y="0"/>
          <wp:positionH relativeFrom="column">
            <wp:posOffset>5207000</wp:posOffset>
          </wp:positionH>
          <wp:positionV relativeFrom="page">
            <wp:posOffset>166370</wp:posOffset>
          </wp:positionV>
          <wp:extent cx="1282700" cy="1022985"/>
          <wp:effectExtent l="0" t="0" r="0" b="5715"/>
          <wp:wrapNone/>
          <wp:docPr id="2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1209C8" w14:textId="77777777" w:rsidR="00A36C8F" w:rsidRPr="002E105E" w:rsidRDefault="00A36C8F"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14:paraId="1D0E048A" w14:textId="77777777" w:rsidR="00A36C8F" w:rsidRDefault="00A36C8F"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80096" behindDoc="0" locked="0" layoutInCell="1" allowOverlap="1" wp14:anchorId="66405071" wp14:editId="4C5ADBD0">
              <wp:simplePos x="0" y="0"/>
              <wp:positionH relativeFrom="column">
                <wp:posOffset>1214617</wp:posOffset>
              </wp:positionH>
              <wp:positionV relativeFrom="paragraph">
                <wp:posOffset>14357</wp:posOffset>
              </wp:positionV>
              <wp:extent cx="3991555" cy="45719"/>
              <wp:effectExtent l="38100" t="38100" r="66675" b="88265"/>
              <wp:wrapNone/>
              <wp:docPr id="242"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2347A" id="11 Rectángulo" o:spid="_x0000_s1026" style="position:absolute;margin-left:95.65pt;margin-top:1.15pt;width:314.3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EBwShY/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3DD0F587" w14:textId="77777777" w:rsidR="00A36C8F" w:rsidRPr="0073581B" w:rsidRDefault="00A36C8F"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14681C41" w14:textId="77777777" w:rsidR="00A36C8F" w:rsidRPr="00E16925" w:rsidRDefault="00A36C8F"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0A30" w14:textId="77777777" w:rsidR="00A36C8F" w:rsidRPr="002E105E" w:rsidRDefault="00A36C8F"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85216" behindDoc="0" locked="0" layoutInCell="1" allowOverlap="1" wp14:anchorId="41F1CFF6" wp14:editId="74C3EC4D">
          <wp:simplePos x="0" y="0"/>
          <wp:positionH relativeFrom="column">
            <wp:posOffset>-548640</wp:posOffset>
          </wp:positionH>
          <wp:positionV relativeFrom="paragraph">
            <wp:posOffset>-8587</wp:posOffset>
          </wp:positionV>
          <wp:extent cx="1598212" cy="723976"/>
          <wp:effectExtent l="0" t="0" r="2540" b="0"/>
          <wp:wrapNone/>
          <wp:docPr id="18" name="Imagen 1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86240" behindDoc="1" locked="1" layoutInCell="1" allowOverlap="1" wp14:anchorId="1B4D414F" wp14:editId="7DCF2692">
          <wp:simplePos x="0" y="0"/>
          <wp:positionH relativeFrom="column">
            <wp:posOffset>5207000</wp:posOffset>
          </wp:positionH>
          <wp:positionV relativeFrom="page">
            <wp:posOffset>166370</wp:posOffset>
          </wp:positionV>
          <wp:extent cx="1282700" cy="1022985"/>
          <wp:effectExtent l="0" t="0" r="0" b="5715"/>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998BE" w14:textId="77777777" w:rsidR="00A36C8F" w:rsidRPr="002E105E" w:rsidRDefault="00A36C8F"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14:paraId="2E75B1E7" w14:textId="77777777" w:rsidR="00A36C8F" w:rsidRDefault="00A36C8F"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84192" behindDoc="0" locked="0" layoutInCell="1" allowOverlap="1" wp14:anchorId="0F07BC0F" wp14:editId="36C6393B">
              <wp:simplePos x="0" y="0"/>
              <wp:positionH relativeFrom="column">
                <wp:posOffset>1214617</wp:posOffset>
              </wp:positionH>
              <wp:positionV relativeFrom="paragraph">
                <wp:posOffset>14357</wp:posOffset>
              </wp:positionV>
              <wp:extent cx="3991555" cy="45719"/>
              <wp:effectExtent l="38100" t="38100" r="66675" b="88265"/>
              <wp:wrapNone/>
              <wp:docPr id="246"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BE0AC" id="11 Rectángulo" o:spid="_x0000_s1026" style="position:absolute;margin-left:95.65pt;margin-top:1.15pt;width:314.3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F61vQU/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7436AE93" w14:textId="77777777" w:rsidR="00A36C8F" w:rsidRPr="0073581B" w:rsidRDefault="00A36C8F"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70D43E6D" w14:textId="77777777" w:rsidR="00A36C8F" w:rsidRPr="00E16925" w:rsidRDefault="00A36C8F"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544AE" w14:textId="77777777" w:rsidR="00A36C8F" w:rsidRPr="002E105E" w:rsidRDefault="00A36C8F"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89312" behindDoc="0" locked="0" layoutInCell="1" allowOverlap="1" wp14:anchorId="47E4CEE5" wp14:editId="2FE1F904">
          <wp:simplePos x="0" y="0"/>
          <wp:positionH relativeFrom="column">
            <wp:posOffset>-548640</wp:posOffset>
          </wp:positionH>
          <wp:positionV relativeFrom="paragraph">
            <wp:posOffset>-8587</wp:posOffset>
          </wp:positionV>
          <wp:extent cx="1598212" cy="723976"/>
          <wp:effectExtent l="0" t="0" r="2540" b="0"/>
          <wp:wrapNone/>
          <wp:docPr id="252" name="Imagen 25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90336" behindDoc="1" locked="1" layoutInCell="1" allowOverlap="1" wp14:anchorId="0B1ACF6B" wp14:editId="1E9401DB">
          <wp:simplePos x="0" y="0"/>
          <wp:positionH relativeFrom="column">
            <wp:posOffset>5207000</wp:posOffset>
          </wp:positionH>
          <wp:positionV relativeFrom="page">
            <wp:posOffset>166370</wp:posOffset>
          </wp:positionV>
          <wp:extent cx="1282700" cy="1022985"/>
          <wp:effectExtent l="0" t="0" r="0" b="5715"/>
          <wp:wrapNone/>
          <wp:docPr id="2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8B31C" w14:textId="77777777" w:rsidR="00A36C8F" w:rsidRPr="002E105E" w:rsidRDefault="00A36C8F"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14:paraId="0A7C023B" w14:textId="77777777" w:rsidR="00A36C8F" w:rsidRDefault="00A36C8F"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88288" behindDoc="0" locked="0" layoutInCell="1" allowOverlap="1" wp14:anchorId="2F17FB10" wp14:editId="460759BF">
              <wp:simplePos x="0" y="0"/>
              <wp:positionH relativeFrom="column">
                <wp:posOffset>1214617</wp:posOffset>
              </wp:positionH>
              <wp:positionV relativeFrom="paragraph">
                <wp:posOffset>14357</wp:posOffset>
              </wp:positionV>
              <wp:extent cx="3991555" cy="45719"/>
              <wp:effectExtent l="38100" t="38100" r="66675" b="88265"/>
              <wp:wrapNone/>
              <wp:docPr id="251"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BE84B" id="11 Rectángulo" o:spid="_x0000_s1026" style="position:absolute;margin-left:95.65pt;margin-top:1.15pt;width:314.3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CFRyyU/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526E48BB" w14:textId="77777777" w:rsidR="00A36C8F" w:rsidRPr="0073581B" w:rsidRDefault="00A36C8F"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6BE909B8" w14:textId="77777777" w:rsidR="00A36C8F" w:rsidRPr="007452E2" w:rsidRDefault="00A36C8F"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BD6E" w14:textId="77777777" w:rsidR="00A36C8F" w:rsidRPr="002E105E" w:rsidRDefault="00A36C8F"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93408" behindDoc="0" locked="0" layoutInCell="1" allowOverlap="1" wp14:anchorId="723E744A" wp14:editId="61001E29">
          <wp:simplePos x="0" y="0"/>
          <wp:positionH relativeFrom="column">
            <wp:posOffset>-548640</wp:posOffset>
          </wp:positionH>
          <wp:positionV relativeFrom="paragraph">
            <wp:posOffset>-8587</wp:posOffset>
          </wp:positionV>
          <wp:extent cx="1598212" cy="723976"/>
          <wp:effectExtent l="0" t="0" r="2540" b="0"/>
          <wp:wrapNone/>
          <wp:docPr id="50" name="Imagen 5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94432" behindDoc="1" locked="1" layoutInCell="1" allowOverlap="1" wp14:anchorId="5C91FEA8" wp14:editId="67E36538">
          <wp:simplePos x="0" y="0"/>
          <wp:positionH relativeFrom="column">
            <wp:posOffset>5207000</wp:posOffset>
          </wp:positionH>
          <wp:positionV relativeFrom="page">
            <wp:posOffset>166370</wp:posOffset>
          </wp:positionV>
          <wp:extent cx="1282700" cy="1022985"/>
          <wp:effectExtent l="0" t="0" r="0" b="5715"/>
          <wp:wrapNone/>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5FA88" w14:textId="77777777" w:rsidR="00A36C8F" w:rsidRPr="002E105E" w:rsidRDefault="00A36C8F"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14:paraId="6A88F784" w14:textId="77777777" w:rsidR="00A36C8F" w:rsidRDefault="00A36C8F"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92384" behindDoc="0" locked="0" layoutInCell="1" allowOverlap="1" wp14:anchorId="19AF0EA8" wp14:editId="6BD1F96D">
              <wp:simplePos x="0" y="0"/>
              <wp:positionH relativeFrom="column">
                <wp:posOffset>1214617</wp:posOffset>
              </wp:positionH>
              <wp:positionV relativeFrom="paragraph">
                <wp:posOffset>14357</wp:posOffset>
              </wp:positionV>
              <wp:extent cx="3991555" cy="45719"/>
              <wp:effectExtent l="38100" t="38100" r="66675" b="88265"/>
              <wp:wrapNone/>
              <wp:docPr id="34"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F801B" id="11 Rectángulo" o:spid="_x0000_s1026" style="position:absolute;margin-left:95.65pt;margin-top:1.15pt;width:314.3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238C6111" w14:textId="77777777" w:rsidR="00A36C8F" w:rsidRPr="0073581B" w:rsidRDefault="00A36C8F"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5B74820C" w14:textId="77777777" w:rsidR="00A36C8F" w:rsidRPr="00E16925" w:rsidRDefault="00A36C8F"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9B2E6" w14:textId="77777777" w:rsidR="00A36C8F" w:rsidRPr="002E105E" w:rsidRDefault="00A36C8F"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801600" behindDoc="0" locked="0" layoutInCell="1" allowOverlap="1" wp14:anchorId="3FA5B3FE" wp14:editId="52F6F5FB">
          <wp:simplePos x="0" y="0"/>
          <wp:positionH relativeFrom="column">
            <wp:posOffset>-548640</wp:posOffset>
          </wp:positionH>
          <wp:positionV relativeFrom="paragraph">
            <wp:posOffset>-8587</wp:posOffset>
          </wp:positionV>
          <wp:extent cx="1598212" cy="723976"/>
          <wp:effectExtent l="0" t="0" r="2540" b="0"/>
          <wp:wrapNone/>
          <wp:docPr id="264" name="Imagen 26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2624" behindDoc="1" locked="1" layoutInCell="1" allowOverlap="1" wp14:anchorId="67478ECC" wp14:editId="3F3E2889">
          <wp:simplePos x="0" y="0"/>
          <wp:positionH relativeFrom="column">
            <wp:posOffset>7445375</wp:posOffset>
          </wp:positionH>
          <wp:positionV relativeFrom="page">
            <wp:posOffset>166370</wp:posOffset>
          </wp:positionV>
          <wp:extent cx="1282700" cy="1022985"/>
          <wp:effectExtent l="0" t="0" r="0" b="5715"/>
          <wp:wrapNone/>
          <wp:docPr id="2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0DC87" w14:textId="77777777" w:rsidR="00A36C8F" w:rsidRPr="002E105E" w:rsidRDefault="00A36C8F"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r w:rsidR="00DD1748" w:rsidRPr="002E105E">
      <w:rPr>
        <w:noProof/>
        <w:sz w:val="20"/>
        <w:lang w:eastAsia="es-GT"/>
      </w:rPr>
      <w:drawing>
        <wp:anchor distT="0" distB="0" distL="114300" distR="114300" simplePos="0" relativeHeight="251804672" behindDoc="1" locked="1" layoutInCell="1" allowOverlap="1" wp14:anchorId="4EA5F659" wp14:editId="4FE8815C">
          <wp:simplePos x="0" y="0"/>
          <wp:positionH relativeFrom="column">
            <wp:posOffset>5414645</wp:posOffset>
          </wp:positionH>
          <wp:positionV relativeFrom="page">
            <wp:posOffset>170815</wp:posOffset>
          </wp:positionV>
          <wp:extent cx="1282700" cy="1022985"/>
          <wp:effectExtent l="0" t="0" r="0" b="5715"/>
          <wp:wrapNone/>
          <wp:docPr id="2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8D8A5" w14:textId="77777777" w:rsidR="00A36C8F" w:rsidRDefault="00A36C8F"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0576" behindDoc="0" locked="0" layoutInCell="1" allowOverlap="1" wp14:anchorId="25B775C6" wp14:editId="0A2DEE1F">
              <wp:simplePos x="0" y="0"/>
              <wp:positionH relativeFrom="column">
                <wp:posOffset>1201527</wp:posOffset>
              </wp:positionH>
              <wp:positionV relativeFrom="paragraph">
                <wp:posOffset>26670</wp:posOffset>
              </wp:positionV>
              <wp:extent cx="4215740" cy="45719"/>
              <wp:effectExtent l="38100" t="38100" r="52070" b="88265"/>
              <wp:wrapNone/>
              <wp:docPr id="46" name="11 Rectángulo"/>
              <wp:cNvGraphicFramePr/>
              <a:graphic xmlns:a="http://schemas.openxmlformats.org/drawingml/2006/main">
                <a:graphicData uri="http://schemas.microsoft.com/office/word/2010/wordprocessingShape">
                  <wps:wsp>
                    <wps:cNvSpPr/>
                    <wps:spPr>
                      <a:xfrm>
                        <a:off x="0" y="0"/>
                        <a:ext cx="4215740"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777C8" id="11 Rectángulo" o:spid="_x0000_s1026" style="position:absolute;margin-left:94.6pt;margin-top:2.1pt;width:331.95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577C1538" w14:textId="77777777" w:rsidR="00A36C8F" w:rsidRPr="0073581B" w:rsidRDefault="00A36C8F"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14:paraId="4E46F908" w14:textId="77777777" w:rsidR="00A36C8F" w:rsidRPr="00E16925" w:rsidRDefault="00A36C8F"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2FF1852"/>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34920911"/>
    <w:multiLevelType w:val="hybridMultilevel"/>
    <w:tmpl w:val="110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7515E66"/>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AF330C7"/>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FF856EE"/>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9506CB3"/>
    <w:multiLevelType w:val="hybridMultilevel"/>
    <w:tmpl w:val="E098E3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8"/>
  </w:num>
  <w:num w:numId="4">
    <w:abstractNumId w:val="1"/>
  </w:num>
  <w:num w:numId="5">
    <w:abstractNumId w:val="17"/>
  </w:num>
  <w:num w:numId="6">
    <w:abstractNumId w:val="21"/>
  </w:num>
  <w:num w:numId="7">
    <w:abstractNumId w:val="20"/>
  </w:num>
  <w:num w:numId="8">
    <w:abstractNumId w:val="3"/>
  </w:num>
  <w:num w:numId="9">
    <w:abstractNumId w:val="11"/>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9"/>
  </w:num>
  <w:num w:numId="17">
    <w:abstractNumId w:val="12"/>
  </w:num>
  <w:num w:numId="18">
    <w:abstractNumId w:val="18"/>
  </w:num>
  <w:num w:numId="19">
    <w:abstractNumId w:val="13"/>
  </w:num>
  <w:num w:numId="20">
    <w:abstractNumId w:val="14"/>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51"/>
    <w:rsid w:val="0000354D"/>
    <w:rsid w:val="000053A7"/>
    <w:rsid w:val="00006489"/>
    <w:rsid w:val="000064C3"/>
    <w:rsid w:val="000067B1"/>
    <w:rsid w:val="00010575"/>
    <w:rsid w:val="00013A7F"/>
    <w:rsid w:val="00013C63"/>
    <w:rsid w:val="0001606E"/>
    <w:rsid w:val="0001624A"/>
    <w:rsid w:val="00020E23"/>
    <w:rsid w:val="00022E98"/>
    <w:rsid w:val="00025121"/>
    <w:rsid w:val="00025788"/>
    <w:rsid w:val="00025D1E"/>
    <w:rsid w:val="0002628B"/>
    <w:rsid w:val="0002658D"/>
    <w:rsid w:val="00035835"/>
    <w:rsid w:val="000378CF"/>
    <w:rsid w:val="00040C99"/>
    <w:rsid w:val="00042B27"/>
    <w:rsid w:val="00045D14"/>
    <w:rsid w:val="00051776"/>
    <w:rsid w:val="00051A92"/>
    <w:rsid w:val="000530BD"/>
    <w:rsid w:val="00053517"/>
    <w:rsid w:val="0006261A"/>
    <w:rsid w:val="00063120"/>
    <w:rsid w:val="0006646A"/>
    <w:rsid w:val="00067F82"/>
    <w:rsid w:val="000704F4"/>
    <w:rsid w:val="000723B2"/>
    <w:rsid w:val="00072EEB"/>
    <w:rsid w:val="00074BC6"/>
    <w:rsid w:val="00076AB4"/>
    <w:rsid w:val="00076AD2"/>
    <w:rsid w:val="00076BF9"/>
    <w:rsid w:val="000802A8"/>
    <w:rsid w:val="00080B88"/>
    <w:rsid w:val="00080BD8"/>
    <w:rsid w:val="0008320B"/>
    <w:rsid w:val="0008348D"/>
    <w:rsid w:val="00087ADE"/>
    <w:rsid w:val="00091917"/>
    <w:rsid w:val="000A0A4F"/>
    <w:rsid w:val="000A6E8E"/>
    <w:rsid w:val="000B0279"/>
    <w:rsid w:val="000B20DC"/>
    <w:rsid w:val="000B56CE"/>
    <w:rsid w:val="000B6744"/>
    <w:rsid w:val="000C1547"/>
    <w:rsid w:val="000C1FF2"/>
    <w:rsid w:val="000C21E1"/>
    <w:rsid w:val="000C2C25"/>
    <w:rsid w:val="000C4EC0"/>
    <w:rsid w:val="000C65AB"/>
    <w:rsid w:val="000D016D"/>
    <w:rsid w:val="000D2E0C"/>
    <w:rsid w:val="000D2FA4"/>
    <w:rsid w:val="000D489E"/>
    <w:rsid w:val="000E164F"/>
    <w:rsid w:val="000E43A8"/>
    <w:rsid w:val="000E5E43"/>
    <w:rsid w:val="000F1314"/>
    <w:rsid w:val="000F3B7F"/>
    <w:rsid w:val="000F4520"/>
    <w:rsid w:val="000F509C"/>
    <w:rsid w:val="000F5A9A"/>
    <w:rsid w:val="000F5F87"/>
    <w:rsid w:val="000F7F65"/>
    <w:rsid w:val="00102939"/>
    <w:rsid w:val="00103DA9"/>
    <w:rsid w:val="001045CE"/>
    <w:rsid w:val="00106793"/>
    <w:rsid w:val="00107309"/>
    <w:rsid w:val="00110662"/>
    <w:rsid w:val="0011194C"/>
    <w:rsid w:val="00111B77"/>
    <w:rsid w:val="001178B6"/>
    <w:rsid w:val="00120C4D"/>
    <w:rsid w:val="001259BA"/>
    <w:rsid w:val="0013022C"/>
    <w:rsid w:val="001339A4"/>
    <w:rsid w:val="00133DBA"/>
    <w:rsid w:val="0013436D"/>
    <w:rsid w:val="00136D08"/>
    <w:rsid w:val="0014167F"/>
    <w:rsid w:val="00142BF3"/>
    <w:rsid w:val="00142F1A"/>
    <w:rsid w:val="00143620"/>
    <w:rsid w:val="00145313"/>
    <w:rsid w:val="00150585"/>
    <w:rsid w:val="00152798"/>
    <w:rsid w:val="001549AB"/>
    <w:rsid w:val="00155A02"/>
    <w:rsid w:val="00156DE0"/>
    <w:rsid w:val="00157402"/>
    <w:rsid w:val="00157C3A"/>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0A"/>
    <w:rsid w:val="001A79F4"/>
    <w:rsid w:val="001A7B1C"/>
    <w:rsid w:val="001B1DBB"/>
    <w:rsid w:val="001B3984"/>
    <w:rsid w:val="001B3EEE"/>
    <w:rsid w:val="001B4A4C"/>
    <w:rsid w:val="001B5046"/>
    <w:rsid w:val="001C2FF5"/>
    <w:rsid w:val="001C3649"/>
    <w:rsid w:val="001D0065"/>
    <w:rsid w:val="001D3345"/>
    <w:rsid w:val="001D46C3"/>
    <w:rsid w:val="001D4C8E"/>
    <w:rsid w:val="001D5A5B"/>
    <w:rsid w:val="001E05BE"/>
    <w:rsid w:val="001E0E10"/>
    <w:rsid w:val="001E0F86"/>
    <w:rsid w:val="001E3B99"/>
    <w:rsid w:val="001E4CD2"/>
    <w:rsid w:val="001E61BB"/>
    <w:rsid w:val="001F2EA3"/>
    <w:rsid w:val="001F34AD"/>
    <w:rsid w:val="001F4EE1"/>
    <w:rsid w:val="001F4F78"/>
    <w:rsid w:val="001F5240"/>
    <w:rsid w:val="001F5581"/>
    <w:rsid w:val="001F7141"/>
    <w:rsid w:val="00200FB1"/>
    <w:rsid w:val="00202594"/>
    <w:rsid w:val="0020377F"/>
    <w:rsid w:val="00205BF7"/>
    <w:rsid w:val="00207693"/>
    <w:rsid w:val="002101C9"/>
    <w:rsid w:val="00212A2C"/>
    <w:rsid w:val="00213C92"/>
    <w:rsid w:val="00216605"/>
    <w:rsid w:val="0021693D"/>
    <w:rsid w:val="00216B0E"/>
    <w:rsid w:val="00216DA8"/>
    <w:rsid w:val="002215C9"/>
    <w:rsid w:val="00222598"/>
    <w:rsid w:val="00226B35"/>
    <w:rsid w:val="002302ED"/>
    <w:rsid w:val="002335EE"/>
    <w:rsid w:val="0023642A"/>
    <w:rsid w:val="00240D86"/>
    <w:rsid w:val="00242202"/>
    <w:rsid w:val="00242A7B"/>
    <w:rsid w:val="00244AAA"/>
    <w:rsid w:val="002512EC"/>
    <w:rsid w:val="00252B28"/>
    <w:rsid w:val="00256F02"/>
    <w:rsid w:val="002610FC"/>
    <w:rsid w:val="00261B5A"/>
    <w:rsid w:val="00261B7A"/>
    <w:rsid w:val="00262E76"/>
    <w:rsid w:val="00263007"/>
    <w:rsid w:val="00263CC4"/>
    <w:rsid w:val="00264C3A"/>
    <w:rsid w:val="00264FC5"/>
    <w:rsid w:val="002672D5"/>
    <w:rsid w:val="00270CAB"/>
    <w:rsid w:val="002719C8"/>
    <w:rsid w:val="00271EDC"/>
    <w:rsid w:val="00273E2C"/>
    <w:rsid w:val="002752BD"/>
    <w:rsid w:val="00275B04"/>
    <w:rsid w:val="00275F3F"/>
    <w:rsid w:val="00276250"/>
    <w:rsid w:val="0027637A"/>
    <w:rsid w:val="00276A28"/>
    <w:rsid w:val="00281439"/>
    <w:rsid w:val="00281FB7"/>
    <w:rsid w:val="0028212F"/>
    <w:rsid w:val="00292AD2"/>
    <w:rsid w:val="00292AD8"/>
    <w:rsid w:val="0029321A"/>
    <w:rsid w:val="00295365"/>
    <w:rsid w:val="002955BE"/>
    <w:rsid w:val="00296D57"/>
    <w:rsid w:val="002977ED"/>
    <w:rsid w:val="002A076B"/>
    <w:rsid w:val="002A5B1B"/>
    <w:rsid w:val="002A63DE"/>
    <w:rsid w:val="002B5E9D"/>
    <w:rsid w:val="002B7644"/>
    <w:rsid w:val="002B769D"/>
    <w:rsid w:val="002C0021"/>
    <w:rsid w:val="002C2547"/>
    <w:rsid w:val="002C482A"/>
    <w:rsid w:val="002C6478"/>
    <w:rsid w:val="002C68B8"/>
    <w:rsid w:val="002C7F2B"/>
    <w:rsid w:val="002D11E8"/>
    <w:rsid w:val="002D1C01"/>
    <w:rsid w:val="002D3469"/>
    <w:rsid w:val="002D54E6"/>
    <w:rsid w:val="002E105E"/>
    <w:rsid w:val="002E3F4C"/>
    <w:rsid w:val="002F0EAF"/>
    <w:rsid w:val="002F14AA"/>
    <w:rsid w:val="002F29DE"/>
    <w:rsid w:val="002F2A42"/>
    <w:rsid w:val="002F5408"/>
    <w:rsid w:val="002F7E08"/>
    <w:rsid w:val="002F7FDC"/>
    <w:rsid w:val="0030020D"/>
    <w:rsid w:val="003004FC"/>
    <w:rsid w:val="00302D40"/>
    <w:rsid w:val="00306038"/>
    <w:rsid w:val="0030695C"/>
    <w:rsid w:val="00312262"/>
    <w:rsid w:val="00312D85"/>
    <w:rsid w:val="0031651A"/>
    <w:rsid w:val="00321745"/>
    <w:rsid w:val="0032198D"/>
    <w:rsid w:val="00322ECC"/>
    <w:rsid w:val="00330A9D"/>
    <w:rsid w:val="00334324"/>
    <w:rsid w:val="00336F5B"/>
    <w:rsid w:val="003371DC"/>
    <w:rsid w:val="00340AB7"/>
    <w:rsid w:val="00343A5D"/>
    <w:rsid w:val="00345216"/>
    <w:rsid w:val="0034700C"/>
    <w:rsid w:val="003523F0"/>
    <w:rsid w:val="0035279B"/>
    <w:rsid w:val="003531E5"/>
    <w:rsid w:val="003551C3"/>
    <w:rsid w:val="003566E1"/>
    <w:rsid w:val="003649D9"/>
    <w:rsid w:val="00364DD6"/>
    <w:rsid w:val="00366770"/>
    <w:rsid w:val="00367E12"/>
    <w:rsid w:val="0037150D"/>
    <w:rsid w:val="00374D44"/>
    <w:rsid w:val="003762C5"/>
    <w:rsid w:val="00376802"/>
    <w:rsid w:val="00376FE9"/>
    <w:rsid w:val="0038008D"/>
    <w:rsid w:val="003804E5"/>
    <w:rsid w:val="00381A4F"/>
    <w:rsid w:val="0038488D"/>
    <w:rsid w:val="00385BA8"/>
    <w:rsid w:val="00387AFB"/>
    <w:rsid w:val="00393E59"/>
    <w:rsid w:val="0039499F"/>
    <w:rsid w:val="003968DB"/>
    <w:rsid w:val="003A1300"/>
    <w:rsid w:val="003A3726"/>
    <w:rsid w:val="003A37AC"/>
    <w:rsid w:val="003A72C9"/>
    <w:rsid w:val="003B00D2"/>
    <w:rsid w:val="003B13B4"/>
    <w:rsid w:val="003B1A93"/>
    <w:rsid w:val="003B24E3"/>
    <w:rsid w:val="003B7D31"/>
    <w:rsid w:val="003C3922"/>
    <w:rsid w:val="003C4892"/>
    <w:rsid w:val="003C7085"/>
    <w:rsid w:val="003D05CE"/>
    <w:rsid w:val="003D15F7"/>
    <w:rsid w:val="003D2128"/>
    <w:rsid w:val="003D2C99"/>
    <w:rsid w:val="003D38A7"/>
    <w:rsid w:val="003D557F"/>
    <w:rsid w:val="003D60E4"/>
    <w:rsid w:val="003D72D3"/>
    <w:rsid w:val="003D7EBA"/>
    <w:rsid w:val="003E25F8"/>
    <w:rsid w:val="003E2823"/>
    <w:rsid w:val="003E28F4"/>
    <w:rsid w:val="003E591D"/>
    <w:rsid w:val="003E70E0"/>
    <w:rsid w:val="003F0660"/>
    <w:rsid w:val="003F1E83"/>
    <w:rsid w:val="003F32A1"/>
    <w:rsid w:val="003F4609"/>
    <w:rsid w:val="003F7076"/>
    <w:rsid w:val="0040361C"/>
    <w:rsid w:val="004053C6"/>
    <w:rsid w:val="0040580B"/>
    <w:rsid w:val="00410690"/>
    <w:rsid w:val="0041262B"/>
    <w:rsid w:val="00413FBE"/>
    <w:rsid w:val="00416D41"/>
    <w:rsid w:val="00417F81"/>
    <w:rsid w:val="00421BA0"/>
    <w:rsid w:val="0042387A"/>
    <w:rsid w:val="0042628E"/>
    <w:rsid w:val="00426F4F"/>
    <w:rsid w:val="00434FC6"/>
    <w:rsid w:val="00443336"/>
    <w:rsid w:val="00443385"/>
    <w:rsid w:val="00443621"/>
    <w:rsid w:val="00443689"/>
    <w:rsid w:val="004456FD"/>
    <w:rsid w:val="00447F4F"/>
    <w:rsid w:val="00450531"/>
    <w:rsid w:val="00451504"/>
    <w:rsid w:val="00452A5A"/>
    <w:rsid w:val="004575BA"/>
    <w:rsid w:val="004606FD"/>
    <w:rsid w:val="00464DB9"/>
    <w:rsid w:val="004650C5"/>
    <w:rsid w:val="00465F37"/>
    <w:rsid w:val="00471B35"/>
    <w:rsid w:val="00474EC2"/>
    <w:rsid w:val="00480824"/>
    <w:rsid w:val="004830FD"/>
    <w:rsid w:val="004835C8"/>
    <w:rsid w:val="00483632"/>
    <w:rsid w:val="0048385B"/>
    <w:rsid w:val="00484E5F"/>
    <w:rsid w:val="00487136"/>
    <w:rsid w:val="00491F92"/>
    <w:rsid w:val="00492967"/>
    <w:rsid w:val="00494116"/>
    <w:rsid w:val="00494BC6"/>
    <w:rsid w:val="00494D1D"/>
    <w:rsid w:val="00495AE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2A11"/>
    <w:rsid w:val="004C3B4E"/>
    <w:rsid w:val="004C71BC"/>
    <w:rsid w:val="004D0A0F"/>
    <w:rsid w:val="004D1F76"/>
    <w:rsid w:val="004D401E"/>
    <w:rsid w:val="004D7482"/>
    <w:rsid w:val="004E23E4"/>
    <w:rsid w:val="004E358C"/>
    <w:rsid w:val="004E4FDE"/>
    <w:rsid w:val="004E54B7"/>
    <w:rsid w:val="004E5D0E"/>
    <w:rsid w:val="004E61EC"/>
    <w:rsid w:val="004F02B2"/>
    <w:rsid w:val="004F168A"/>
    <w:rsid w:val="004F4F4D"/>
    <w:rsid w:val="004F72F9"/>
    <w:rsid w:val="005004C9"/>
    <w:rsid w:val="005016F6"/>
    <w:rsid w:val="005016F7"/>
    <w:rsid w:val="00502FD6"/>
    <w:rsid w:val="00506BDB"/>
    <w:rsid w:val="005077A5"/>
    <w:rsid w:val="00507E67"/>
    <w:rsid w:val="005104DC"/>
    <w:rsid w:val="00511C93"/>
    <w:rsid w:val="00512601"/>
    <w:rsid w:val="0051308A"/>
    <w:rsid w:val="00513134"/>
    <w:rsid w:val="005136F3"/>
    <w:rsid w:val="00514CFD"/>
    <w:rsid w:val="00515C51"/>
    <w:rsid w:val="00515CE6"/>
    <w:rsid w:val="00517930"/>
    <w:rsid w:val="00520351"/>
    <w:rsid w:val="00520FB0"/>
    <w:rsid w:val="005226CD"/>
    <w:rsid w:val="00523738"/>
    <w:rsid w:val="00530EAC"/>
    <w:rsid w:val="00532025"/>
    <w:rsid w:val="0053566F"/>
    <w:rsid w:val="005364DE"/>
    <w:rsid w:val="005428C6"/>
    <w:rsid w:val="00544E9A"/>
    <w:rsid w:val="0054508A"/>
    <w:rsid w:val="00546650"/>
    <w:rsid w:val="0055248B"/>
    <w:rsid w:val="005537D0"/>
    <w:rsid w:val="005550D8"/>
    <w:rsid w:val="0055590E"/>
    <w:rsid w:val="00561402"/>
    <w:rsid w:val="00573AB0"/>
    <w:rsid w:val="005755E9"/>
    <w:rsid w:val="00575DFA"/>
    <w:rsid w:val="00580234"/>
    <w:rsid w:val="00580D47"/>
    <w:rsid w:val="00582F9F"/>
    <w:rsid w:val="005831AA"/>
    <w:rsid w:val="00586745"/>
    <w:rsid w:val="005879A5"/>
    <w:rsid w:val="00591D14"/>
    <w:rsid w:val="005925BD"/>
    <w:rsid w:val="00592D6E"/>
    <w:rsid w:val="0059421A"/>
    <w:rsid w:val="005948F0"/>
    <w:rsid w:val="005958E9"/>
    <w:rsid w:val="0059655C"/>
    <w:rsid w:val="00596662"/>
    <w:rsid w:val="0059700F"/>
    <w:rsid w:val="005979EB"/>
    <w:rsid w:val="005A03A9"/>
    <w:rsid w:val="005A1EFC"/>
    <w:rsid w:val="005A34F5"/>
    <w:rsid w:val="005A6ACE"/>
    <w:rsid w:val="005A6F91"/>
    <w:rsid w:val="005B0E33"/>
    <w:rsid w:val="005B0E84"/>
    <w:rsid w:val="005B1B53"/>
    <w:rsid w:val="005B44D1"/>
    <w:rsid w:val="005B4E4C"/>
    <w:rsid w:val="005B6D05"/>
    <w:rsid w:val="005C103A"/>
    <w:rsid w:val="005C275E"/>
    <w:rsid w:val="005C4C97"/>
    <w:rsid w:val="005D2336"/>
    <w:rsid w:val="005D34FC"/>
    <w:rsid w:val="005D5151"/>
    <w:rsid w:val="005D51CA"/>
    <w:rsid w:val="005D6423"/>
    <w:rsid w:val="005D7AC4"/>
    <w:rsid w:val="005E4D76"/>
    <w:rsid w:val="005E6BD0"/>
    <w:rsid w:val="005E7E89"/>
    <w:rsid w:val="005F01EF"/>
    <w:rsid w:val="005F04EC"/>
    <w:rsid w:val="005F18DE"/>
    <w:rsid w:val="005F470C"/>
    <w:rsid w:val="005F591A"/>
    <w:rsid w:val="0060094A"/>
    <w:rsid w:val="0060136C"/>
    <w:rsid w:val="006014EC"/>
    <w:rsid w:val="00601BE6"/>
    <w:rsid w:val="00601C99"/>
    <w:rsid w:val="00603743"/>
    <w:rsid w:val="00604F51"/>
    <w:rsid w:val="006060AD"/>
    <w:rsid w:val="00606D70"/>
    <w:rsid w:val="00610F84"/>
    <w:rsid w:val="00615821"/>
    <w:rsid w:val="00620D69"/>
    <w:rsid w:val="0062255C"/>
    <w:rsid w:val="00622FB1"/>
    <w:rsid w:val="00623DEA"/>
    <w:rsid w:val="00623EC9"/>
    <w:rsid w:val="00624417"/>
    <w:rsid w:val="00625AA5"/>
    <w:rsid w:val="00632EE6"/>
    <w:rsid w:val="00633616"/>
    <w:rsid w:val="00637772"/>
    <w:rsid w:val="00637AC9"/>
    <w:rsid w:val="00640B12"/>
    <w:rsid w:val="0064258A"/>
    <w:rsid w:val="00643685"/>
    <w:rsid w:val="00643FB6"/>
    <w:rsid w:val="006470E2"/>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87029"/>
    <w:rsid w:val="00690C8D"/>
    <w:rsid w:val="006968BB"/>
    <w:rsid w:val="006A1473"/>
    <w:rsid w:val="006A33A0"/>
    <w:rsid w:val="006A41F1"/>
    <w:rsid w:val="006A64D5"/>
    <w:rsid w:val="006B0D82"/>
    <w:rsid w:val="006B40EC"/>
    <w:rsid w:val="006B7BFD"/>
    <w:rsid w:val="006C0680"/>
    <w:rsid w:val="006C2F15"/>
    <w:rsid w:val="006C47AE"/>
    <w:rsid w:val="006C7015"/>
    <w:rsid w:val="006D1857"/>
    <w:rsid w:val="006D7959"/>
    <w:rsid w:val="006D7B6E"/>
    <w:rsid w:val="006D7BB6"/>
    <w:rsid w:val="006E082A"/>
    <w:rsid w:val="006E1D11"/>
    <w:rsid w:val="006E27A5"/>
    <w:rsid w:val="006E4937"/>
    <w:rsid w:val="006E63F3"/>
    <w:rsid w:val="006E6A13"/>
    <w:rsid w:val="006F157C"/>
    <w:rsid w:val="006F1B31"/>
    <w:rsid w:val="006F202E"/>
    <w:rsid w:val="006F20A4"/>
    <w:rsid w:val="006F3C0D"/>
    <w:rsid w:val="006F3FF3"/>
    <w:rsid w:val="006F410A"/>
    <w:rsid w:val="006F4891"/>
    <w:rsid w:val="006F5EA0"/>
    <w:rsid w:val="006F7575"/>
    <w:rsid w:val="00706506"/>
    <w:rsid w:val="00706A33"/>
    <w:rsid w:val="00712339"/>
    <w:rsid w:val="00714E40"/>
    <w:rsid w:val="00715429"/>
    <w:rsid w:val="00715C88"/>
    <w:rsid w:val="00715D8F"/>
    <w:rsid w:val="0071791E"/>
    <w:rsid w:val="007206C9"/>
    <w:rsid w:val="00720E64"/>
    <w:rsid w:val="00723F6E"/>
    <w:rsid w:val="00725F93"/>
    <w:rsid w:val="0073367E"/>
    <w:rsid w:val="007336AF"/>
    <w:rsid w:val="0073437F"/>
    <w:rsid w:val="0073581B"/>
    <w:rsid w:val="007362C1"/>
    <w:rsid w:val="0074137E"/>
    <w:rsid w:val="007413CE"/>
    <w:rsid w:val="00741591"/>
    <w:rsid w:val="00741F6B"/>
    <w:rsid w:val="0074369F"/>
    <w:rsid w:val="0074502B"/>
    <w:rsid w:val="0074528B"/>
    <w:rsid w:val="007452E2"/>
    <w:rsid w:val="00747C79"/>
    <w:rsid w:val="00751CCA"/>
    <w:rsid w:val="00754057"/>
    <w:rsid w:val="007572E9"/>
    <w:rsid w:val="0075770C"/>
    <w:rsid w:val="00757FCC"/>
    <w:rsid w:val="0076028F"/>
    <w:rsid w:val="00762722"/>
    <w:rsid w:val="00762FE3"/>
    <w:rsid w:val="0076667B"/>
    <w:rsid w:val="00767573"/>
    <w:rsid w:val="00767B56"/>
    <w:rsid w:val="007701C9"/>
    <w:rsid w:val="007703A2"/>
    <w:rsid w:val="007706F8"/>
    <w:rsid w:val="00771670"/>
    <w:rsid w:val="00773919"/>
    <w:rsid w:val="00775DE3"/>
    <w:rsid w:val="00776974"/>
    <w:rsid w:val="00777B81"/>
    <w:rsid w:val="0078135B"/>
    <w:rsid w:val="007814D6"/>
    <w:rsid w:val="007846C7"/>
    <w:rsid w:val="00784AF8"/>
    <w:rsid w:val="007859CD"/>
    <w:rsid w:val="007A1680"/>
    <w:rsid w:val="007A345B"/>
    <w:rsid w:val="007A6523"/>
    <w:rsid w:val="007A71F2"/>
    <w:rsid w:val="007A7272"/>
    <w:rsid w:val="007A7814"/>
    <w:rsid w:val="007A7FB8"/>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126E"/>
    <w:rsid w:val="007F443F"/>
    <w:rsid w:val="007F4528"/>
    <w:rsid w:val="007F525E"/>
    <w:rsid w:val="007F6F57"/>
    <w:rsid w:val="008010A6"/>
    <w:rsid w:val="00804E1C"/>
    <w:rsid w:val="00805711"/>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42D8F"/>
    <w:rsid w:val="00842FFE"/>
    <w:rsid w:val="00850185"/>
    <w:rsid w:val="008501C7"/>
    <w:rsid w:val="00851B4B"/>
    <w:rsid w:val="00855D0B"/>
    <w:rsid w:val="00857302"/>
    <w:rsid w:val="00857341"/>
    <w:rsid w:val="0085741B"/>
    <w:rsid w:val="00861640"/>
    <w:rsid w:val="008662DB"/>
    <w:rsid w:val="00867436"/>
    <w:rsid w:val="00870831"/>
    <w:rsid w:val="008718E5"/>
    <w:rsid w:val="00871B31"/>
    <w:rsid w:val="008827D6"/>
    <w:rsid w:val="008844B1"/>
    <w:rsid w:val="00886F39"/>
    <w:rsid w:val="00891B11"/>
    <w:rsid w:val="00891F2D"/>
    <w:rsid w:val="00892181"/>
    <w:rsid w:val="00892DE1"/>
    <w:rsid w:val="0089425E"/>
    <w:rsid w:val="00894DC9"/>
    <w:rsid w:val="00895722"/>
    <w:rsid w:val="00897192"/>
    <w:rsid w:val="008A1777"/>
    <w:rsid w:val="008A2427"/>
    <w:rsid w:val="008A2503"/>
    <w:rsid w:val="008A5760"/>
    <w:rsid w:val="008B110A"/>
    <w:rsid w:val="008B3C43"/>
    <w:rsid w:val="008B5573"/>
    <w:rsid w:val="008C079A"/>
    <w:rsid w:val="008C147E"/>
    <w:rsid w:val="008C24EA"/>
    <w:rsid w:val="008C2DDF"/>
    <w:rsid w:val="008D3F91"/>
    <w:rsid w:val="008D5E9E"/>
    <w:rsid w:val="008D6C33"/>
    <w:rsid w:val="008E0F73"/>
    <w:rsid w:val="008E5C4F"/>
    <w:rsid w:val="008E6162"/>
    <w:rsid w:val="008E66C1"/>
    <w:rsid w:val="008E7869"/>
    <w:rsid w:val="008E7927"/>
    <w:rsid w:val="008F312E"/>
    <w:rsid w:val="008F46B7"/>
    <w:rsid w:val="008F4BCE"/>
    <w:rsid w:val="008F4D62"/>
    <w:rsid w:val="008F5915"/>
    <w:rsid w:val="008F59E6"/>
    <w:rsid w:val="008F5DBB"/>
    <w:rsid w:val="0090034D"/>
    <w:rsid w:val="009060FA"/>
    <w:rsid w:val="009062A4"/>
    <w:rsid w:val="00910163"/>
    <w:rsid w:val="009121F7"/>
    <w:rsid w:val="00912A58"/>
    <w:rsid w:val="00916532"/>
    <w:rsid w:val="00917786"/>
    <w:rsid w:val="0092152F"/>
    <w:rsid w:val="00924740"/>
    <w:rsid w:val="00924E88"/>
    <w:rsid w:val="00934746"/>
    <w:rsid w:val="0093522C"/>
    <w:rsid w:val="00935D14"/>
    <w:rsid w:val="00936E17"/>
    <w:rsid w:val="00940C2E"/>
    <w:rsid w:val="00942163"/>
    <w:rsid w:val="0094219B"/>
    <w:rsid w:val="00943253"/>
    <w:rsid w:val="00945C92"/>
    <w:rsid w:val="00946523"/>
    <w:rsid w:val="00950874"/>
    <w:rsid w:val="00951347"/>
    <w:rsid w:val="00954FB2"/>
    <w:rsid w:val="00956270"/>
    <w:rsid w:val="009567D5"/>
    <w:rsid w:val="00956DD7"/>
    <w:rsid w:val="00963756"/>
    <w:rsid w:val="00964466"/>
    <w:rsid w:val="00964ECA"/>
    <w:rsid w:val="00965239"/>
    <w:rsid w:val="00965F44"/>
    <w:rsid w:val="00972FCF"/>
    <w:rsid w:val="00975E49"/>
    <w:rsid w:val="00981FB0"/>
    <w:rsid w:val="00982379"/>
    <w:rsid w:val="00986297"/>
    <w:rsid w:val="0099341E"/>
    <w:rsid w:val="00993857"/>
    <w:rsid w:val="0099523B"/>
    <w:rsid w:val="00995540"/>
    <w:rsid w:val="00996BA4"/>
    <w:rsid w:val="00997A06"/>
    <w:rsid w:val="009A12F9"/>
    <w:rsid w:val="009A1EA3"/>
    <w:rsid w:val="009A1FA7"/>
    <w:rsid w:val="009A3187"/>
    <w:rsid w:val="009A47FE"/>
    <w:rsid w:val="009A5380"/>
    <w:rsid w:val="009A7441"/>
    <w:rsid w:val="009A7D66"/>
    <w:rsid w:val="009B10B6"/>
    <w:rsid w:val="009B2AD3"/>
    <w:rsid w:val="009B4C07"/>
    <w:rsid w:val="009B7148"/>
    <w:rsid w:val="009B7429"/>
    <w:rsid w:val="009B76D6"/>
    <w:rsid w:val="009C0583"/>
    <w:rsid w:val="009C0B93"/>
    <w:rsid w:val="009C361A"/>
    <w:rsid w:val="009C3938"/>
    <w:rsid w:val="009C4027"/>
    <w:rsid w:val="009C4176"/>
    <w:rsid w:val="009C5F4E"/>
    <w:rsid w:val="009D0D94"/>
    <w:rsid w:val="009D1232"/>
    <w:rsid w:val="009D2132"/>
    <w:rsid w:val="009D25F9"/>
    <w:rsid w:val="009D2C22"/>
    <w:rsid w:val="009D38BF"/>
    <w:rsid w:val="009D4E7A"/>
    <w:rsid w:val="009D72CF"/>
    <w:rsid w:val="009E0376"/>
    <w:rsid w:val="009E5BD2"/>
    <w:rsid w:val="009E61BB"/>
    <w:rsid w:val="009F15B9"/>
    <w:rsid w:val="009F164F"/>
    <w:rsid w:val="009F1C07"/>
    <w:rsid w:val="009F1C62"/>
    <w:rsid w:val="009F2F46"/>
    <w:rsid w:val="009F36DC"/>
    <w:rsid w:val="009F530C"/>
    <w:rsid w:val="009F628A"/>
    <w:rsid w:val="00A00D30"/>
    <w:rsid w:val="00A0113A"/>
    <w:rsid w:val="00A015C5"/>
    <w:rsid w:val="00A06E35"/>
    <w:rsid w:val="00A07BE4"/>
    <w:rsid w:val="00A1145F"/>
    <w:rsid w:val="00A11B04"/>
    <w:rsid w:val="00A15244"/>
    <w:rsid w:val="00A159B6"/>
    <w:rsid w:val="00A2151F"/>
    <w:rsid w:val="00A21A6A"/>
    <w:rsid w:val="00A24C4D"/>
    <w:rsid w:val="00A25906"/>
    <w:rsid w:val="00A26C76"/>
    <w:rsid w:val="00A305E5"/>
    <w:rsid w:val="00A32AA1"/>
    <w:rsid w:val="00A34EAE"/>
    <w:rsid w:val="00A36C8F"/>
    <w:rsid w:val="00A40EAF"/>
    <w:rsid w:val="00A4399A"/>
    <w:rsid w:val="00A446DB"/>
    <w:rsid w:val="00A45BC8"/>
    <w:rsid w:val="00A46630"/>
    <w:rsid w:val="00A53877"/>
    <w:rsid w:val="00A54CC2"/>
    <w:rsid w:val="00A60591"/>
    <w:rsid w:val="00A63A53"/>
    <w:rsid w:val="00A64AE4"/>
    <w:rsid w:val="00A67992"/>
    <w:rsid w:val="00A706A2"/>
    <w:rsid w:val="00A710E7"/>
    <w:rsid w:val="00A72391"/>
    <w:rsid w:val="00A7383F"/>
    <w:rsid w:val="00A73B4D"/>
    <w:rsid w:val="00A74F16"/>
    <w:rsid w:val="00A75539"/>
    <w:rsid w:val="00A75E19"/>
    <w:rsid w:val="00A775C6"/>
    <w:rsid w:val="00A808B8"/>
    <w:rsid w:val="00A817F8"/>
    <w:rsid w:val="00A875EE"/>
    <w:rsid w:val="00A900E8"/>
    <w:rsid w:val="00A92B4B"/>
    <w:rsid w:val="00A92D6E"/>
    <w:rsid w:val="00A93052"/>
    <w:rsid w:val="00A970F8"/>
    <w:rsid w:val="00AA11B9"/>
    <w:rsid w:val="00AA136F"/>
    <w:rsid w:val="00AA4872"/>
    <w:rsid w:val="00AA54A5"/>
    <w:rsid w:val="00AA6C6B"/>
    <w:rsid w:val="00AA7DB0"/>
    <w:rsid w:val="00AB20BD"/>
    <w:rsid w:val="00AB2522"/>
    <w:rsid w:val="00AB39D4"/>
    <w:rsid w:val="00AB52BE"/>
    <w:rsid w:val="00AC5CAC"/>
    <w:rsid w:val="00AC614D"/>
    <w:rsid w:val="00AC7961"/>
    <w:rsid w:val="00AD02C8"/>
    <w:rsid w:val="00AD3FF3"/>
    <w:rsid w:val="00AD4251"/>
    <w:rsid w:val="00AD4EF6"/>
    <w:rsid w:val="00AD52C4"/>
    <w:rsid w:val="00AD55FD"/>
    <w:rsid w:val="00AD5816"/>
    <w:rsid w:val="00AD7F64"/>
    <w:rsid w:val="00AE1096"/>
    <w:rsid w:val="00AE2039"/>
    <w:rsid w:val="00AE50A8"/>
    <w:rsid w:val="00AF067F"/>
    <w:rsid w:val="00AF073D"/>
    <w:rsid w:val="00AF4290"/>
    <w:rsid w:val="00AF644A"/>
    <w:rsid w:val="00AF6555"/>
    <w:rsid w:val="00AF68D3"/>
    <w:rsid w:val="00AF7ACE"/>
    <w:rsid w:val="00B00205"/>
    <w:rsid w:val="00B00A4F"/>
    <w:rsid w:val="00B00E20"/>
    <w:rsid w:val="00B0107A"/>
    <w:rsid w:val="00B02673"/>
    <w:rsid w:val="00B04199"/>
    <w:rsid w:val="00B04D97"/>
    <w:rsid w:val="00B05AC1"/>
    <w:rsid w:val="00B06546"/>
    <w:rsid w:val="00B11FD1"/>
    <w:rsid w:val="00B136D6"/>
    <w:rsid w:val="00B1448A"/>
    <w:rsid w:val="00B21010"/>
    <w:rsid w:val="00B21D47"/>
    <w:rsid w:val="00B26014"/>
    <w:rsid w:val="00B2709E"/>
    <w:rsid w:val="00B33CEF"/>
    <w:rsid w:val="00B35FDC"/>
    <w:rsid w:val="00B368DA"/>
    <w:rsid w:val="00B36B7C"/>
    <w:rsid w:val="00B42A82"/>
    <w:rsid w:val="00B43892"/>
    <w:rsid w:val="00B468EF"/>
    <w:rsid w:val="00B5017E"/>
    <w:rsid w:val="00B5079C"/>
    <w:rsid w:val="00B508E2"/>
    <w:rsid w:val="00B5628E"/>
    <w:rsid w:val="00B579BB"/>
    <w:rsid w:val="00B57AAB"/>
    <w:rsid w:val="00B57CED"/>
    <w:rsid w:val="00B606D0"/>
    <w:rsid w:val="00B632B3"/>
    <w:rsid w:val="00B63567"/>
    <w:rsid w:val="00B667BC"/>
    <w:rsid w:val="00B667E7"/>
    <w:rsid w:val="00B7015D"/>
    <w:rsid w:val="00B7136E"/>
    <w:rsid w:val="00B7616E"/>
    <w:rsid w:val="00B807A2"/>
    <w:rsid w:val="00B80C7C"/>
    <w:rsid w:val="00B827E1"/>
    <w:rsid w:val="00B82ABC"/>
    <w:rsid w:val="00B83CAC"/>
    <w:rsid w:val="00B84995"/>
    <w:rsid w:val="00B85950"/>
    <w:rsid w:val="00B86812"/>
    <w:rsid w:val="00B87A60"/>
    <w:rsid w:val="00B91010"/>
    <w:rsid w:val="00B917E5"/>
    <w:rsid w:val="00B9286A"/>
    <w:rsid w:val="00B93470"/>
    <w:rsid w:val="00B95BBF"/>
    <w:rsid w:val="00B96036"/>
    <w:rsid w:val="00B96AC8"/>
    <w:rsid w:val="00B97122"/>
    <w:rsid w:val="00BA12CD"/>
    <w:rsid w:val="00BA25B6"/>
    <w:rsid w:val="00BA3920"/>
    <w:rsid w:val="00BA782D"/>
    <w:rsid w:val="00BB1AAC"/>
    <w:rsid w:val="00BB4591"/>
    <w:rsid w:val="00BB4C28"/>
    <w:rsid w:val="00BB5426"/>
    <w:rsid w:val="00BC2768"/>
    <w:rsid w:val="00BC33C2"/>
    <w:rsid w:val="00BC4F9E"/>
    <w:rsid w:val="00BC647C"/>
    <w:rsid w:val="00BC7539"/>
    <w:rsid w:val="00BC79C1"/>
    <w:rsid w:val="00BD0FCC"/>
    <w:rsid w:val="00BD1088"/>
    <w:rsid w:val="00BD33FC"/>
    <w:rsid w:val="00BD3A7C"/>
    <w:rsid w:val="00BD4961"/>
    <w:rsid w:val="00BD6CCD"/>
    <w:rsid w:val="00BE0387"/>
    <w:rsid w:val="00BE2D99"/>
    <w:rsid w:val="00BE54D6"/>
    <w:rsid w:val="00BE58B5"/>
    <w:rsid w:val="00BE5CD0"/>
    <w:rsid w:val="00BF1481"/>
    <w:rsid w:val="00BF2610"/>
    <w:rsid w:val="00C001D0"/>
    <w:rsid w:val="00C02A39"/>
    <w:rsid w:val="00C02FE1"/>
    <w:rsid w:val="00C04E3C"/>
    <w:rsid w:val="00C05425"/>
    <w:rsid w:val="00C069B8"/>
    <w:rsid w:val="00C06E6C"/>
    <w:rsid w:val="00C074EF"/>
    <w:rsid w:val="00C1020B"/>
    <w:rsid w:val="00C10B42"/>
    <w:rsid w:val="00C12720"/>
    <w:rsid w:val="00C15432"/>
    <w:rsid w:val="00C15AC4"/>
    <w:rsid w:val="00C162B2"/>
    <w:rsid w:val="00C21149"/>
    <w:rsid w:val="00C2355D"/>
    <w:rsid w:val="00C2773E"/>
    <w:rsid w:val="00C3128B"/>
    <w:rsid w:val="00C33674"/>
    <w:rsid w:val="00C3385B"/>
    <w:rsid w:val="00C36B12"/>
    <w:rsid w:val="00C41470"/>
    <w:rsid w:val="00C41FF2"/>
    <w:rsid w:val="00C54747"/>
    <w:rsid w:val="00C5514E"/>
    <w:rsid w:val="00C56C98"/>
    <w:rsid w:val="00C61690"/>
    <w:rsid w:val="00C6254D"/>
    <w:rsid w:val="00C629B9"/>
    <w:rsid w:val="00C645BC"/>
    <w:rsid w:val="00C646C4"/>
    <w:rsid w:val="00C64B43"/>
    <w:rsid w:val="00C6700D"/>
    <w:rsid w:val="00C67BA2"/>
    <w:rsid w:val="00C75935"/>
    <w:rsid w:val="00C76463"/>
    <w:rsid w:val="00C813D6"/>
    <w:rsid w:val="00C84EF0"/>
    <w:rsid w:val="00C85696"/>
    <w:rsid w:val="00C8692F"/>
    <w:rsid w:val="00C9002C"/>
    <w:rsid w:val="00C91204"/>
    <w:rsid w:val="00C91553"/>
    <w:rsid w:val="00C922D7"/>
    <w:rsid w:val="00C935C2"/>
    <w:rsid w:val="00C93727"/>
    <w:rsid w:val="00C95BFB"/>
    <w:rsid w:val="00C97A4D"/>
    <w:rsid w:val="00CA1458"/>
    <w:rsid w:val="00CA19F5"/>
    <w:rsid w:val="00CA4AD0"/>
    <w:rsid w:val="00CA57D4"/>
    <w:rsid w:val="00CA6173"/>
    <w:rsid w:val="00CA628D"/>
    <w:rsid w:val="00CA65FF"/>
    <w:rsid w:val="00CB0938"/>
    <w:rsid w:val="00CB220A"/>
    <w:rsid w:val="00CB5234"/>
    <w:rsid w:val="00CC1604"/>
    <w:rsid w:val="00CC2800"/>
    <w:rsid w:val="00CC3420"/>
    <w:rsid w:val="00CC3BC7"/>
    <w:rsid w:val="00CC547C"/>
    <w:rsid w:val="00CC60FF"/>
    <w:rsid w:val="00CC741C"/>
    <w:rsid w:val="00CD5166"/>
    <w:rsid w:val="00CD58C8"/>
    <w:rsid w:val="00CD7760"/>
    <w:rsid w:val="00CE0468"/>
    <w:rsid w:val="00CE123C"/>
    <w:rsid w:val="00CE13DA"/>
    <w:rsid w:val="00CE2620"/>
    <w:rsid w:val="00CE2837"/>
    <w:rsid w:val="00CE3C39"/>
    <w:rsid w:val="00CE75B5"/>
    <w:rsid w:val="00CE7A73"/>
    <w:rsid w:val="00CF0F94"/>
    <w:rsid w:val="00CF2D98"/>
    <w:rsid w:val="00CF436B"/>
    <w:rsid w:val="00CF5AB1"/>
    <w:rsid w:val="00CF73B4"/>
    <w:rsid w:val="00D00395"/>
    <w:rsid w:val="00D00E78"/>
    <w:rsid w:val="00D01738"/>
    <w:rsid w:val="00D04F96"/>
    <w:rsid w:val="00D101B7"/>
    <w:rsid w:val="00D1031C"/>
    <w:rsid w:val="00D1383A"/>
    <w:rsid w:val="00D22050"/>
    <w:rsid w:val="00D23424"/>
    <w:rsid w:val="00D24DA4"/>
    <w:rsid w:val="00D26F28"/>
    <w:rsid w:val="00D30D15"/>
    <w:rsid w:val="00D32839"/>
    <w:rsid w:val="00D33EE3"/>
    <w:rsid w:val="00D343EC"/>
    <w:rsid w:val="00D3500F"/>
    <w:rsid w:val="00D35260"/>
    <w:rsid w:val="00D36EA4"/>
    <w:rsid w:val="00D40769"/>
    <w:rsid w:val="00D4202F"/>
    <w:rsid w:val="00D43052"/>
    <w:rsid w:val="00D436D4"/>
    <w:rsid w:val="00D45810"/>
    <w:rsid w:val="00D466D2"/>
    <w:rsid w:val="00D50ABF"/>
    <w:rsid w:val="00D51EBD"/>
    <w:rsid w:val="00D532B4"/>
    <w:rsid w:val="00D55ACB"/>
    <w:rsid w:val="00D571E0"/>
    <w:rsid w:val="00D60160"/>
    <w:rsid w:val="00D616E2"/>
    <w:rsid w:val="00D61F8E"/>
    <w:rsid w:val="00D63636"/>
    <w:rsid w:val="00D63CFC"/>
    <w:rsid w:val="00D66147"/>
    <w:rsid w:val="00D66D34"/>
    <w:rsid w:val="00D716E4"/>
    <w:rsid w:val="00D73D1A"/>
    <w:rsid w:val="00D7427C"/>
    <w:rsid w:val="00D75694"/>
    <w:rsid w:val="00D75C74"/>
    <w:rsid w:val="00D75E95"/>
    <w:rsid w:val="00D770B0"/>
    <w:rsid w:val="00D858E5"/>
    <w:rsid w:val="00D918FA"/>
    <w:rsid w:val="00D92627"/>
    <w:rsid w:val="00D927DC"/>
    <w:rsid w:val="00D92834"/>
    <w:rsid w:val="00DA13C8"/>
    <w:rsid w:val="00DA26EC"/>
    <w:rsid w:val="00DA53C7"/>
    <w:rsid w:val="00DA5809"/>
    <w:rsid w:val="00DA58BF"/>
    <w:rsid w:val="00DA7B48"/>
    <w:rsid w:val="00DA7C18"/>
    <w:rsid w:val="00DB03B7"/>
    <w:rsid w:val="00DB2350"/>
    <w:rsid w:val="00DB4551"/>
    <w:rsid w:val="00DC1048"/>
    <w:rsid w:val="00DC44CF"/>
    <w:rsid w:val="00DC6DE1"/>
    <w:rsid w:val="00DC711C"/>
    <w:rsid w:val="00DC7AAA"/>
    <w:rsid w:val="00DD01C5"/>
    <w:rsid w:val="00DD1748"/>
    <w:rsid w:val="00DD23C0"/>
    <w:rsid w:val="00DD24D7"/>
    <w:rsid w:val="00DD4AB3"/>
    <w:rsid w:val="00DD4D5D"/>
    <w:rsid w:val="00DD517E"/>
    <w:rsid w:val="00DE17E2"/>
    <w:rsid w:val="00DE3020"/>
    <w:rsid w:val="00DE4D85"/>
    <w:rsid w:val="00DE6D9A"/>
    <w:rsid w:val="00DE6DD3"/>
    <w:rsid w:val="00DE6FB7"/>
    <w:rsid w:val="00DF18B6"/>
    <w:rsid w:val="00DF317F"/>
    <w:rsid w:val="00DF3C7A"/>
    <w:rsid w:val="00DF42DF"/>
    <w:rsid w:val="00DF4B52"/>
    <w:rsid w:val="00DF57A6"/>
    <w:rsid w:val="00DF70C1"/>
    <w:rsid w:val="00DF71A8"/>
    <w:rsid w:val="00E027B0"/>
    <w:rsid w:val="00E02A24"/>
    <w:rsid w:val="00E06484"/>
    <w:rsid w:val="00E06DEC"/>
    <w:rsid w:val="00E11403"/>
    <w:rsid w:val="00E11DA9"/>
    <w:rsid w:val="00E1309C"/>
    <w:rsid w:val="00E16303"/>
    <w:rsid w:val="00E16925"/>
    <w:rsid w:val="00E27247"/>
    <w:rsid w:val="00E31CA5"/>
    <w:rsid w:val="00E31D49"/>
    <w:rsid w:val="00E3382E"/>
    <w:rsid w:val="00E348DD"/>
    <w:rsid w:val="00E3492D"/>
    <w:rsid w:val="00E3753A"/>
    <w:rsid w:val="00E37543"/>
    <w:rsid w:val="00E412A7"/>
    <w:rsid w:val="00E4153A"/>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0A24"/>
    <w:rsid w:val="00E6202B"/>
    <w:rsid w:val="00E627ED"/>
    <w:rsid w:val="00E63798"/>
    <w:rsid w:val="00E6619D"/>
    <w:rsid w:val="00E701B7"/>
    <w:rsid w:val="00E7442E"/>
    <w:rsid w:val="00E756CD"/>
    <w:rsid w:val="00E80EA8"/>
    <w:rsid w:val="00E82188"/>
    <w:rsid w:val="00E825A1"/>
    <w:rsid w:val="00E829E3"/>
    <w:rsid w:val="00E85293"/>
    <w:rsid w:val="00E871CE"/>
    <w:rsid w:val="00E87AC7"/>
    <w:rsid w:val="00E91D50"/>
    <w:rsid w:val="00E9315E"/>
    <w:rsid w:val="00E94F03"/>
    <w:rsid w:val="00E97903"/>
    <w:rsid w:val="00EA37FC"/>
    <w:rsid w:val="00EA68DF"/>
    <w:rsid w:val="00EA7845"/>
    <w:rsid w:val="00EB0687"/>
    <w:rsid w:val="00EB0FC5"/>
    <w:rsid w:val="00EB1910"/>
    <w:rsid w:val="00EB317F"/>
    <w:rsid w:val="00EB335D"/>
    <w:rsid w:val="00EB38A7"/>
    <w:rsid w:val="00EB62F2"/>
    <w:rsid w:val="00ED2C29"/>
    <w:rsid w:val="00ED3624"/>
    <w:rsid w:val="00ED7253"/>
    <w:rsid w:val="00ED7B45"/>
    <w:rsid w:val="00EE02F0"/>
    <w:rsid w:val="00EE2F16"/>
    <w:rsid w:val="00EE68A4"/>
    <w:rsid w:val="00EE6FBD"/>
    <w:rsid w:val="00EE72DB"/>
    <w:rsid w:val="00EE73CD"/>
    <w:rsid w:val="00EF1CB1"/>
    <w:rsid w:val="00EF5550"/>
    <w:rsid w:val="00EF56F9"/>
    <w:rsid w:val="00F00537"/>
    <w:rsid w:val="00F03418"/>
    <w:rsid w:val="00F04678"/>
    <w:rsid w:val="00F062BF"/>
    <w:rsid w:val="00F06437"/>
    <w:rsid w:val="00F06559"/>
    <w:rsid w:val="00F0775B"/>
    <w:rsid w:val="00F07EED"/>
    <w:rsid w:val="00F10A29"/>
    <w:rsid w:val="00F10ACE"/>
    <w:rsid w:val="00F16658"/>
    <w:rsid w:val="00F16692"/>
    <w:rsid w:val="00F20D0D"/>
    <w:rsid w:val="00F21DB9"/>
    <w:rsid w:val="00F229CE"/>
    <w:rsid w:val="00F23065"/>
    <w:rsid w:val="00F25E21"/>
    <w:rsid w:val="00F26087"/>
    <w:rsid w:val="00F27024"/>
    <w:rsid w:val="00F3088D"/>
    <w:rsid w:val="00F341FB"/>
    <w:rsid w:val="00F34933"/>
    <w:rsid w:val="00F37AD2"/>
    <w:rsid w:val="00F41C51"/>
    <w:rsid w:val="00F43CF0"/>
    <w:rsid w:val="00F454D8"/>
    <w:rsid w:val="00F4680E"/>
    <w:rsid w:val="00F46EBB"/>
    <w:rsid w:val="00F47088"/>
    <w:rsid w:val="00F51B37"/>
    <w:rsid w:val="00F541D1"/>
    <w:rsid w:val="00F54627"/>
    <w:rsid w:val="00F54C17"/>
    <w:rsid w:val="00F641E1"/>
    <w:rsid w:val="00F644EA"/>
    <w:rsid w:val="00F6521F"/>
    <w:rsid w:val="00F652E7"/>
    <w:rsid w:val="00F654C6"/>
    <w:rsid w:val="00F674C8"/>
    <w:rsid w:val="00F70176"/>
    <w:rsid w:val="00F70871"/>
    <w:rsid w:val="00F708DC"/>
    <w:rsid w:val="00F73186"/>
    <w:rsid w:val="00F75C84"/>
    <w:rsid w:val="00F75EDB"/>
    <w:rsid w:val="00F762E5"/>
    <w:rsid w:val="00F76491"/>
    <w:rsid w:val="00F8230E"/>
    <w:rsid w:val="00F84C6C"/>
    <w:rsid w:val="00F84D0A"/>
    <w:rsid w:val="00F8628C"/>
    <w:rsid w:val="00F930A8"/>
    <w:rsid w:val="00FA3B81"/>
    <w:rsid w:val="00FA5DE4"/>
    <w:rsid w:val="00FA5E7B"/>
    <w:rsid w:val="00FA7384"/>
    <w:rsid w:val="00FB2C2F"/>
    <w:rsid w:val="00FB546C"/>
    <w:rsid w:val="00FB5F5C"/>
    <w:rsid w:val="00FB6AF8"/>
    <w:rsid w:val="00FC0D3E"/>
    <w:rsid w:val="00FC319F"/>
    <w:rsid w:val="00FC3884"/>
    <w:rsid w:val="00FC4DC9"/>
    <w:rsid w:val="00FC4F6B"/>
    <w:rsid w:val="00FD36A3"/>
    <w:rsid w:val="00FD4333"/>
    <w:rsid w:val="00FD46E0"/>
    <w:rsid w:val="00FD61B9"/>
    <w:rsid w:val="00FD7FF0"/>
    <w:rsid w:val="00FE16D2"/>
    <w:rsid w:val="00FE1AFF"/>
    <w:rsid w:val="00FE2ED3"/>
    <w:rsid w:val="00FE4F72"/>
    <w:rsid w:val="00FE500D"/>
    <w:rsid w:val="00FE52A7"/>
    <w:rsid w:val="00FE56B8"/>
    <w:rsid w:val="00FE65DB"/>
    <w:rsid w:val="00FE66F6"/>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54980"/>
  <w15:docId w15:val="{18D36900-51F2-4F7F-A188-A7A5369E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801312384">
      <w:bodyDiv w:val="1"/>
      <w:marLeft w:val="0"/>
      <w:marRight w:val="0"/>
      <w:marTop w:val="0"/>
      <w:marBottom w:val="0"/>
      <w:divBdr>
        <w:top w:val="none" w:sz="0" w:space="0" w:color="auto"/>
        <w:left w:val="none" w:sz="0" w:space="0" w:color="auto"/>
        <w:bottom w:val="none" w:sz="0" w:space="0" w:color="auto"/>
        <w:right w:val="none" w:sz="0" w:space="0" w:color="auto"/>
      </w:divBdr>
    </w:div>
    <w:div w:id="1090859446">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38250269">
      <w:bodyDiv w:val="1"/>
      <w:marLeft w:val="0"/>
      <w:marRight w:val="0"/>
      <w:marTop w:val="0"/>
      <w:marBottom w:val="0"/>
      <w:divBdr>
        <w:top w:val="none" w:sz="0" w:space="0" w:color="auto"/>
        <w:left w:val="none" w:sz="0" w:space="0" w:color="auto"/>
        <w:bottom w:val="none" w:sz="0" w:space="0" w:color="auto"/>
        <w:right w:val="none" w:sz="0" w:space="0" w:color="auto"/>
      </w:divBdr>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 w:id="2047025171">
      <w:bodyDiv w:val="1"/>
      <w:marLeft w:val="0"/>
      <w:marRight w:val="0"/>
      <w:marTop w:val="0"/>
      <w:marBottom w:val="0"/>
      <w:divBdr>
        <w:top w:val="none" w:sz="0" w:space="0" w:color="auto"/>
        <w:left w:val="none" w:sz="0" w:space="0" w:color="auto"/>
        <w:bottom w:val="none" w:sz="0" w:space="0" w:color="auto"/>
        <w:right w:val="none" w:sz="0" w:space="0" w:color="auto"/>
      </w:divBdr>
    </w:div>
    <w:div w:id="20723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7.xml"/><Relationship Id="rId33"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chart" Target="charts/chart8.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9.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D:\Archivos%20suspensi&#243;n\Mayo\Sitfin%20al%20310521%20(1306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eargueta\Desktop\Informes%202021\Sitfin\Mayo\Sitfin%20al%20310521%20(020621).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63406089551439E-2"/>
          <c:y val="2.3507561687450253E-2"/>
          <c:w val="0.9001028210478369"/>
          <c:h val="0.84858231430748576"/>
        </c:manualLayout>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0D00-491C-90FF-6896DABB523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2018</c:v>
                </c:pt>
                <c:pt idx="1">
                  <c:v>2019</c:v>
                </c:pt>
                <c:pt idx="2">
                  <c:v>2020</c:v>
                </c:pt>
                <c:pt idx="3">
                  <c:v>2021</c:v>
                </c:pt>
              </c:numCache>
            </c:numRef>
          </c:cat>
          <c:val>
            <c:numRef>
              <c:f>'Reporte Diario'!$M$62:$P$62</c:f>
              <c:numCache>
                <c:formatCode>_-* #,##0.0_-;\-* #,##0.0_-;_-* "-"??_-;_-@_-</c:formatCode>
                <c:ptCount val="4"/>
                <c:pt idx="0">
                  <c:v>883.91368856999998</c:v>
                </c:pt>
                <c:pt idx="1">
                  <c:v>-2232.4231083699997</c:v>
                </c:pt>
                <c:pt idx="2">
                  <c:v>-4427.6449477099995</c:v>
                </c:pt>
                <c:pt idx="3">
                  <c:v>-525.88132915999813</c:v>
                </c:pt>
              </c:numCache>
            </c:numRef>
          </c:val>
          <c:extLst>
            <c:ext xmlns:c16="http://schemas.microsoft.com/office/drawing/2014/chart" uri="{C3380CC4-5D6E-409C-BE32-E72D297353CC}">
              <c16:uniqueId val="{00000002-0D00-491C-90FF-6896DABB5234}"/>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2855324902571"/>
          <c:y val="3.1995541841673462E-2"/>
          <c:w val="0.85833483674851063"/>
          <c:h val="0.81784501707928714"/>
        </c:manualLayout>
      </c:layout>
      <c:lineChart>
        <c:grouping val="standard"/>
        <c:varyColors val="0"/>
        <c:ser>
          <c:idx val="0"/>
          <c:order val="0"/>
          <c:tx>
            <c:strRef>
              <c:f>Hoja1!$B$1</c:f>
              <c:strCache>
                <c:ptCount val="1"/>
                <c:pt idx="0">
                  <c:v>Var </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dLbl>
              <c:idx val="2"/>
              <c:layout>
                <c:manualLayout>
                  <c:x val="-6.6703524587142793E-2"/>
                  <c:y val="-0.1603053480409900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EF-4557-9DA9-F6932ED1DECA}"/>
                </c:ext>
              </c:extLst>
            </c:dLbl>
            <c:dLbl>
              <c:idx val="3"/>
              <c:layout>
                <c:manualLayout>
                  <c:x val="-6.1776202586650016E-2"/>
                  <c:y val="-0.115090577882738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EF-4557-9DA9-F6932ED1DECA}"/>
                </c:ext>
              </c:extLst>
            </c:dLbl>
            <c:dLbl>
              <c:idx val="4"/>
              <c:layout>
                <c:manualLayout>
                  <c:x val="-6.6703524587142793E-2"/>
                  <c:y val="-0.182912733120115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EF-4557-9DA9-F6932ED1DECA}"/>
                </c:ext>
              </c:extLst>
            </c:dLbl>
            <c:dLbl>
              <c:idx val="7"/>
              <c:layout>
                <c:manualLayout>
                  <c:x val="-6.6703524587142973E-2"/>
                  <c:y val="-0.100018987829987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EF-4557-9DA9-F6932ED1DECA}"/>
                </c:ext>
              </c:extLst>
            </c:dLbl>
            <c:dLbl>
              <c:idx val="8"/>
              <c:layout>
                <c:manualLayout>
                  <c:x val="-7.5756605812300074E-3"/>
                  <c:y val="-3.2196832592610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EF-4557-9DA9-F6932ED1DE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Hoja1!$B$2:$B$11</c:f>
              <c:numCache>
                <c:formatCode>General</c:formatCode>
                <c:ptCount val="10"/>
                <c:pt idx="0">
                  <c:v>5.5698010286522104E-2</c:v>
                </c:pt>
                <c:pt idx="1">
                  <c:v>0.11309669090616903</c:v>
                </c:pt>
                <c:pt idx="2">
                  <c:v>3.3451678851219357E-2</c:v>
                </c:pt>
                <c:pt idx="3">
                  <c:v>1.9570003024222293E-2</c:v>
                </c:pt>
                <c:pt idx="4">
                  <c:v>6.3074722971557362E-2</c:v>
                </c:pt>
                <c:pt idx="5">
                  <c:v>5.2797398080142832E-2</c:v>
                </c:pt>
                <c:pt idx="6">
                  <c:v>5.2144869251667281E-2</c:v>
                </c:pt>
                <c:pt idx="7">
                  <c:v>4.62387806426523E-2</c:v>
                </c:pt>
                <c:pt idx="8">
                  <c:v>-3.4558732420543969E-2</c:v>
                </c:pt>
                <c:pt idx="9">
                  <c:v>0.24019476118092031</c:v>
                </c:pt>
              </c:numCache>
            </c:numRef>
          </c:val>
          <c:smooth val="1"/>
          <c:extLst>
            <c:ext xmlns:c16="http://schemas.microsoft.com/office/drawing/2014/chart" uri="{C3380CC4-5D6E-409C-BE32-E72D297353CC}">
              <c16:uniqueId val="{00000005-BEEF-4557-9DA9-F6932ED1DECA}"/>
            </c:ext>
          </c:extLst>
        </c:ser>
        <c:dLbls>
          <c:showLegendKey val="0"/>
          <c:showVal val="0"/>
          <c:showCatName val="0"/>
          <c:showSerName val="0"/>
          <c:showPercent val="0"/>
          <c:showBubbleSize val="0"/>
        </c:dLbls>
        <c:marker val="1"/>
        <c:smooth val="0"/>
        <c:axId val="472240352"/>
        <c:axId val="472234776"/>
      </c:lineChart>
      <c:catAx>
        <c:axId val="4722403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7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2234776"/>
        <c:crosses val="autoZero"/>
        <c:auto val="1"/>
        <c:lblAlgn val="ctr"/>
        <c:lblOffset val="100"/>
        <c:noMultiLvlLbl val="0"/>
      </c:catAx>
      <c:valAx>
        <c:axId val="4722347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22403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1.9967065414900061E-2"/>
          <c:w val="0.90205628106458469"/>
          <c:h val="0.77183335857056334"/>
        </c:manualLayout>
      </c:layout>
      <c:barChart>
        <c:barDir val="col"/>
        <c:grouping val="clustered"/>
        <c:varyColors val="0"/>
        <c:ser>
          <c:idx val="1"/>
          <c:order val="1"/>
          <c:tx>
            <c:strRef>
              <c:f>Sheet1!$C$1</c:f>
              <c:strCache>
                <c:ptCount val="1"/>
                <c:pt idx="0">
                  <c:v>2021</c:v>
                </c:pt>
              </c:strCache>
            </c:strRef>
          </c:tx>
          <c:spPr>
            <a:solidFill>
              <a:srgbClr val="FF7C80"/>
            </a:solidFill>
            <a:ln w="12700">
              <a:solidFill>
                <a:schemeClr val="tx1"/>
              </a:solidFill>
            </a:ln>
            <a:effectLst/>
          </c:spPr>
          <c:invertIfNegative val="0"/>
          <c:dLbls>
            <c:dLbl>
              <c:idx val="0"/>
              <c:layout>
                <c:manualLayout>
                  <c:x val="0"/>
                  <c:y val="9.2064315352697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A8-45D2-8969-CB18AFBBE613}"/>
                </c:ext>
              </c:extLst>
            </c:dLbl>
            <c:dLbl>
              <c:idx val="1"/>
              <c:layout>
                <c:manualLayout>
                  <c:x val="0"/>
                  <c:y val="9.72510373443982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A8-45D2-8969-CB18AFBBE613}"/>
                </c:ext>
              </c:extLst>
            </c:dLbl>
            <c:dLbl>
              <c:idx val="2"/>
              <c:layout>
                <c:manualLayout>
                  <c:x val="0"/>
                  <c:y val="8.068783284869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8-45D2-8969-CB18AFBBE613}"/>
                </c:ext>
              </c:extLst>
            </c:dLbl>
            <c:dLbl>
              <c:idx val="3"/>
              <c:layout>
                <c:manualLayout>
                  <c:x val="3.9468507099136252E-17"/>
                  <c:y val="1.94988074623451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8-45D2-8969-CB18AFBBE613}"/>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8-45D2-8969-CB18AFBBE613}"/>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8-45D2-8969-CB18AFBBE613}"/>
                </c:ext>
              </c:extLst>
            </c:dLbl>
            <c:dLbl>
              <c:idx val="9"/>
              <c:layout>
                <c:manualLayout>
                  <c:x val="0"/>
                  <c:y val="1.6856846473029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8-45D2-8969-CB18AFBBE613}"/>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A8-45D2-8969-CB18AFBBE613}"/>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3.7189413058487304</c:v>
                </c:pt>
                <c:pt idx="1">
                  <c:v>6.1267370575853732</c:v>
                </c:pt>
                <c:pt idx="2">
                  <c:v>1.9518107242856928</c:v>
                </c:pt>
                <c:pt idx="3">
                  <c:v>11.31040113518587</c:v>
                </c:pt>
                <c:pt idx="4">
                  <c:v>6.3930371872600773</c:v>
                </c:pt>
              </c:numCache>
            </c:numRef>
          </c:val>
          <c:extLst>
            <c:ext xmlns:c16="http://schemas.microsoft.com/office/drawing/2014/chart" uri="{C3380CC4-5D6E-409C-BE32-E72D297353CC}">
              <c16:uniqueId val="{00000008-BBA8-45D2-8969-CB18AFBBE613}"/>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2020</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A8-45D2-8969-CB18AFBBE613}"/>
                </c:ext>
              </c:extLst>
            </c:dLbl>
            <c:dLbl>
              <c:idx val="1"/>
              <c:layout>
                <c:manualLayout>
                  <c:x val="-6.3041624640838081E-2"/>
                  <c:y val="5.0289149540954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A8-45D2-8969-CB18AFBBE613}"/>
                </c:ext>
              </c:extLst>
            </c:dLbl>
            <c:dLbl>
              <c:idx val="2"/>
              <c:layout>
                <c:manualLayout>
                  <c:x val="-5.235160997770865E-2"/>
                  <c:y val="-3.572017839056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A8-45D2-8969-CB18AFBBE613}"/>
                </c:ext>
              </c:extLst>
            </c:dLbl>
            <c:dLbl>
              <c:idx val="3"/>
              <c:layout>
                <c:manualLayout>
                  <c:x val="-6.1378673198681163E-2"/>
                  <c:y val="3.1255105041330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A8-45D2-8969-CB18AFBBE613}"/>
                </c:ext>
              </c:extLst>
            </c:dLbl>
            <c:dLbl>
              <c:idx val="4"/>
              <c:layout>
                <c:manualLayout>
                  <c:x val="-1.0988023698329421E-3"/>
                  <c:y val="-1.470374424151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A8-45D2-8969-CB18AFBBE613}"/>
                </c:ext>
              </c:extLst>
            </c:dLbl>
            <c:dLbl>
              <c:idx val="5"/>
              <c:layout>
                <c:manualLayout>
                  <c:x val="-6.915877711195681E-2"/>
                  <c:y val="-4.0637354200019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A8-45D2-8969-CB18AFBBE613}"/>
                </c:ext>
              </c:extLst>
            </c:dLbl>
            <c:dLbl>
              <c:idx val="6"/>
              <c:layout>
                <c:manualLayout>
                  <c:x val="-6.1378659112370164E-2"/>
                  <c:y val="-4.7267355982274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A8-45D2-8969-CB18AFBBE613}"/>
                </c:ext>
              </c:extLst>
            </c:dLbl>
            <c:dLbl>
              <c:idx val="7"/>
              <c:layout>
                <c:manualLayout>
                  <c:x val="-6.9990083317087975E-2"/>
                  <c:y val="-4.6545724834188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BA8-45D2-8969-CB18AFBBE613}"/>
                </c:ext>
              </c:extLst>
            </c:dLbl>
            <c:dLbl>
              <c:idx val="8"/>
              <c:layout>
                <c:manualLayout>
                  <c:x val="-4.9708856360662211E-2"/>
                  <c:y val="5.2454095468356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BA8-45D2-8969-CB18AFBBE613}"/>
                </c:ext>
              </c:extLst>
            </c:dLbl>
            <c:dLbl>
              <c:idx val="9"/>
              <c:layout>
                <c:manualLayout>
                  <c:x val="-3.2486036123848351E-2"/>
                  <c:y val="4.0637354200019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BA8-45D2-8969-CB18AFBBE613}"/>
                </c:ext>
              </c:extLst>
            </c:dLbl>
            <c:dLbl>
              <c:idx val="10"/>
              <c:layout>
                <c:manualLayout>
                  <c:x val="-7.0405736419653836E-2"/>
                  <c:y val="-3.6441827033031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BA8-45D2-8969-CB18AFBBE613}"/>
                </c:ext>
              </c:extLst>
            </c:dLbl>
            <c:dLbl>
              <c:idx val="11"/>
              <c:layout>
                <c:manualLayout>
                  <c:x val="-8.3130620513124768E-4"/>
                  <c:y val="-4.2350197667200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BA8-45D2-8969-CB18AFBBE61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0"/>
          <c:extLst>
            <c:ext xmlns:c16="http://schemas.microsoft.com/office/drawing/2014/chart" uri="{C3380CC4-5D6E-409C-BE32-E72D297353CC}">
              <c16:uniqueId val="{00000015-BBA8-45D2-8969-CB18AFBBE613}"/>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8793749675928317"/>
          <c:y val="0.47409524530587516"/>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5.6323604710701483E-2"/>
          <c:w val="0.57115149606299209"/>
          <c:h val="0.78969080477843501"/>
        </c:manualLayout>
      </c:layout>
      <c:barChart>
        <c:barDir val="bar"/>
        <c:grouping val="clustered"/>
        <c:varyColors val="0"/>
        <c:ser>
          <c:idx val="0"/>
          <c:order val="0"/>
          <c:tx>
            <c:strRef>
              <c:f>Sheet1!$B$1</c:f>
              <c:strCache>
                <c:ptCount val="1"/>
                <c:pt idx="0">
                  <c:v>2020</c:v>
                </c:pt>
              </c:strCache>
            </c:strRef>
          </c:tx>
          <c:spPr>
            <a:solidFill>
              <a:schemeClr val="accent1">
                <a:lumMod val="75000"/>
              </a:schemeClr>
            </a:solidFill>
            <a:ln w="15875">
              <a:solidFill>
                <a:srgbClr val="002060"/>
              </a:solidFill>
            </a:ln>
            <a:effectLst>
              <a:outerShdw blurRad="50800" dist="38100" dir="2700000" algn="tl" rotWithShape="0">
                <a:prstClr val="black">
                  <a:alpha val="40000"/>
                </a:prstClr>
              </a:outerShdw>
            </a:effectLst>
          </c:spPr>
          <c:invertIfNegative val="0"/>
          <c:dLbls>
            <c:dLbl>
              <c:idx val="0"/>
              <c:layout>
                <c:manualLayout>
                  <c:x val="-8.5796707843951939E-3"/>
                  <c:y val="1.4680598003643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F1-473D-A756-B1DE37737D95}"/>
                </c:ext>
              </c:extLst>
            </c:dLbl>
            <c:dLbl>
              <c:idx val="1"/>
              <c:layout>
                <c:manualLayout>
                  <c:x val="-1.2869337278786098E-2"/>
                  <c:y val="1.4340344168260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F1-473D-A756-B1DE37737D95}"/>
                </c:ext>
              </c:extLst>
            </c:dLbl>
            <c:dLbl>
              <c:idx val="3"/>
              <c:layout>
                <c:manualLayout>
                  <c:x val="-3.9996850393700786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F1-473D-A756-B1DE37737D9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Inversión Financiera</c:v>
                </c:pt>
                <c:pt idx="1">
                  <c:v>Trans. Corrientes</c:v>
                </c:pt>
                <c:pt idx="2">
                  <c:v>Inversión Real Directa</c:v>
                </c:pt>
                <c:pt idx="3">
                  <c:v>Prestaciones a la S.S</c:v>
                </c:pt>
                <c:pt idx="4">
                  <c:v>Trans. De Capital</c:v>
                </c:pt>
                <c:pt idx="5">
                  <c:v>Remuneraciones </c:v>
                </c:pt>
                <c:pt idx="6">
                  <c:v>Intereses </c:v>
                </c:pt>
                <c:pt idx="7">
                  <c:v>Bienes y servicios </c:v>
                </c:pt>
              </c:strCache>
            </c:strRef>
          </c:cat>
          <c:val>
            <c:numRef>
              <c:f>Sheet1!$B$2:$B$9</c:f>
              <c:numCache>
                <c:formatCode>#,##0.0</c:formatCode>
                <c:ptCount val="8"/>
                <c:pt idx="0">
                  <c:v>1450</c:v>
                </c:pt>
                <c:pt idx="1">
                  <c:v>95.14595201999964</c:v>
                </c:pt>
                <c:pt idx="2">
                  <c:v>-500.8686958799999</c:v>
                </c:pt>
                <c:pt idx="3">
                  <c:v>28.207687460000216</c:v>
                </c:pt>
                <c:pt idx="4">
                  <c:v>-36.130008099999486</c:v>
                </c:pt>
                <c:pt idx="5">
                  <c:v>1043.2126259800025</c:v>
                </c:pt>
                <c:pt idx="6">
                  <c:v>-633.82787575000066</c:v>
                </c:pt>
                <c:pt idx="7">
                  <c:v>-132.54038166999999</c:v>
                </c:pt>
              </c:numCache>
            </c:numRef>
          </c:val>
          <c:extLst>
            <c:ext xmlns:c16="http://schemas.microsoft.com/office/drawing/2014/chart" uri="{C3380CC4-5D6E-409C-BE32-E72D297353CC}">
              <c16:uniqueId val="{00000003-3FF1-473D-A756-B1DE37737D95}"/>
            </c:ext>
          </c:extLst>
        </c:ser>
        <c:ser>
          <c:idx val="1"/>
          <c:order val="1"/>
          <c:tx>
            <c:strRef>
              <c:f>Sheet1!$C$1</c:f>
              <c:strCache>
                <c:ptCount val="1"/>
                <c:pt idx="0">
                  <c:v>2021</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Lbls>
            <c:dLbl>
              <c:idx val="0"/>
              <c:layout>
                <c:manualLayout>
                  <c:x val="-8.5800085800085794E-3"/>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F1-473D-A756-B1DE37737D95}"/>
                </c:ext>
              </c:extLst>
            </c:dLbl>
            <c:dLbl>
              <c:idx val="2"/>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F1-473D-A756-B1DE37737D95}"/>
                </c:ext>
              </c:extLst>
            </c:dLbl>
            <c:dLbl>
              <c:idx val="4"/>
              <c:layout>
                <c:manualLayout>
                  <c:x val="0"/>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F1-473D-A756-B1DE37737D95}"/>
                </c:ext>
              </c:extLst>
            </c:dLbl>
            <c:dLbl>
              <c:idx val="6"/>
              <c:layout>
                <c:manualLayout>
                  <c:x val="-1.4067995310668231E-2"/>
                  <c:y val="4.780114722753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F1-473D-A756-B1DE37737D95}"/>
                </c:ext>
              </c:extLst>
            </c:dLbl>
            <c:dLbl>
              <c:idx val="7"/>
              <c:layout>
                <c:manualLayout>
                  <c:x val="-1.4067995310668231E-2"/>
                  <c:y val="4.3021032504780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F1-473D-A756-B1DE37737D9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Inversión Financiera</c:v>
                </c:pt>
                <c:pt idx="1">
                  <c:v>Trans. Corrientes</c:v>
                </c:pt>
                <c:pt idx="2">
                  <c:v>Inversión Real Directa</c:v>
                </c:pt>
                <c:pt idx="3">
                  <c:v>Prestaciones a la S.S</c:v>
                </c:pt>
                <c:pt idx="4">
                  <c:v>Trans. De Capital</c:v>
                </c:pt>
                <c:pt idx="5">
                  <c:v>Remuneraciones </c:v>
                </c:pt>
                <c:pt idx="6">
                  <c:v>Intereses </c:v>
                </c:pt>
                <c:pt idx="7">
                  <c:v>Bienes y servicios </c:v>
                </c:pt>
              </c:strCache>
            </c:strRef>
          </c:cat>
          <c:val>
            <c:numRef>
              <c:f>Sheet1!$C$2:$C$9</c:f>
              <c:numCache>
                <c:formatCode>#,##0.0</c:formatCode>
                <c:ptCount val="8"/>
                <c:pt idx="0">
                  <c:v>-1450</c:v>
                </c:pt>
                <c:pt idx="1">
                  <c:v>-907.44662014000005</c:v>
                </c:pt>
                <c:pt idx="2">
                  <c:v>59.773291530000051</c:v>
                </c:pt>
                <c:pt idx="3">
                  <c:v>65.355590859999893</c:v>
                </c:pt>
                <c:pt idx="4">
                  <c:v>186.7416001799993</c:v>
                </c:pt>
                <c:pt idx="5">
                  <c:v>539.35656530999768</c:v>
                </c:pt>
                <c:pt idx="6">
                  <c:v>1718.1497610400011</c:v>
                </c:pt>
                <c:pt idx="7">
                  <c:v>1736.041461419999</c:v>
                </c:pt>
              </c:numCache>
            </c:numRef>
          </c:val>
          <c:extLst>
            <c:ext xmlns:c16="http://schemas.microsoft.com/office/drawing/2014/chart" uri="{C3380CC4-5D6E-409C-BE32-E72D297353CC}">
              <c16:uniqueId val="{00000009-3FF1-473D-A756-B1DE37737D95}"/>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1800"/>
          <c:min val="-1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5845657669175118"/>
          <c:y val="0.92436630905007844"/>
          <c:w val="0.28308684661649763"/>
          <c:h val="7.56336909499215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3.5224826189978561E-2"/>
          <c:w val="0.90489558370421086"/>
          <c:h val="0.74502145710502166"/>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30A0-42A4-8063-EDEBD832B829}"/>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30A0-42A4-8063-EDEBD832B829}"/>
              </c:ext>
            </c:extLst>
          </c:dPt>
          <c:dLbls>
            <c:dLbl>
              <c:idx val="3"/>
              <c:layout>
                <c:manualLayout>
                  <c:x val="-8.0109772984700854E-17"/>
                  <c:y val="0.10352102213638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A0-42A4-8063-EDEBD832B829}"/>
                </c:ext>
              </c:extLst>
            </c:dLbl>
            <c:dLbl>
              <c:idx val="4"/>
              <c:layout>
                <c:manualLayout>
                  <c:x val="0"/>
                  <c:y val="0.103521022136383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A0-42A4-8063-EDEBD832B829}"/>
                </c:ext>
              </c:extLst>
            </c:dLbl>
            <c:dLbl>
              <c:idx val="5"/>
              <c:layout>
                <c:manualLayout>
                  <c:x val="-1.6021954596940171E-16"/>
                  <c:y val="0.103613687240166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A0-42A4-8063-EDEBD832B829}"/>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30A0-42A4-8063-EDEBD832B82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Hoja1!$B$2:$B$8</c:f>
              <c:numCache>
                <c:formatCode>0.0</c:formatCode>
                <c:ptCount val="7"/>
                <c:pt idx="0">
                  <c:v>33.075173080769432</c:v>
                </c:pt>
                <c:pt idx="1">
                  <c:v>33.180234651613659</c:v>
                </c:pt>
                <c:pt idx="2">
                  <c:v>34.17463943653793</c:v>
                </c:pt>
                <c:pt idx="3">
                  <c:v>35.167392245162397</c:v>
                </c:pt>
                <c:pt idx="4">
                  <c:v>29.996839293575619</c:v>
                </c:pt>
                <c:pt idx="5">
                  <c:v>31.957981608667463</c:v>
                </c:pt>
                <c:pt idx="6">
                  <c:v>36.41784099295208</c:v>
                </c:pt>
              </c:numCache>
            </c:numRef>
          </c:val>
          <c:extLst>
            <c:ext xmlns:c16="http://schemas.microsoft.com/office/drawing/2014/chart" uri="{C3380CC4-5D6E-409C-BE32-E72D297353CC}">
              <c16:uniqueId val="{00000006-30A0-42A4-8063-EDEBD832B829}"/>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32772575647838648"/>
                  <c:y val="-6.873383711589936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30A0-42A4-8063-EDEBD832B8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Hoja1!$C$2:$C$8</c:f>
              <c:numCache>
                <c:formatCode>0.0</c:formatCode>
                <c:ptCount val="7"/>
                <c:pt idx="0">
                  <c:v>33.11885574153181</c:v>
                </c:pt>
                <c:pt idx="1">
                  <c:v>33.11885574153181</c:v>
                </c:pt>
                <c:pt idx="2">
                  <c:v>33.11885574153181</c:v>
                </c:pt>
                <c:pt idx="3">
                  <c:v>33.11885574153181</c:v>
                </c:pt>
                <c:pt idx="4">
                  <c:v>33.11885574153181</c:v>
                </c:pt>
              </c:numCache>
            </c:numRef>
          </c:val>
          <c:smooth val="0"/>
          <c:extLst>
            <c:ext xmlns:c16="http://schemas.microsoft.com/office/drawing/2014/chart" uri="{C3380CC4-5D6E-409C-BE32-E72D297353CC}">
              <c16:uniqueId val="{00000008-30A0-42A4-8063-EDEBD832B829}"/>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36.5"/>
          <c:min val="2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1.8216503424876768E-2"/>
          <c:w val="0.67595450840542404"/>
          <c:h val="0.93331000291630217"/>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7"/>
            <c:invertIfNegative val="0"/>
            <c:bubble3D val="0"/>
            <c:spPr>
              <a:solidFill>
                <a:srgbClr val="FF9999">
                  <a:alpha val="75000"/>
                </a:srgbClr>
              </a:solidFill>
              <a:ln>
                <a:solidFill>
                  <a:schemeClr val="tx1">
                    <a:lumMod val="95000"/>
                    <a:lumOff val="5000"/>
                  </a:schemeClr>
                </a:solidFill>
              </a:ln>
              <a:effectLst/>
            </c:spPr>
            <c:extLst>
              <c:ext xmlns:c16="http://schemas.microsoft.com/office/drawing/2014/chart" uri="{C3380CC4-5D6E-409C-BE32-E72D297353CC}">
                <c16:uniqueId val="{00000001-55E9-4BEB-937F-BA1DF23B95F5}"/>
              </c:ext>
            </c:extLst>
          </c:dPt>
          <c:dPt>
            <c:idx val="8"/>
            <c:invertIfNegative val="0"/>
            <c:bubble3D val="0"/>
            <c:spPr>
              <a:solidFill>
                <a:srgbClr val="FF9999">
                  <a:alpha val="75000"/>
                </a:srgbClr>
              </a:solidFill>
              <a:ln>
                <a:solidFill>
                  <a:schemeClr val="tx1">
                    <a:lumMod val="95000"/>
                    <a:lumOff val="5000"/>
                  </a:schemeClr>
                </a:solidFill>
              </a:ln>
              <a:effectLst/>
            </c:spPr>
            <c:extLst>
              <c:ext xmlns:c16="http://schemas.microsoft.com/office/drawing/2014/chart" uri="{C3380CC4-5D6E-409C-BE32-E72D297353CC}">
                <c16:uniqueId val="{00000003-55E9-4BEB-937F-BA1DF23B95F5}"/>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55E9-4BEB-937F-BA1DF23B95F5}"/>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55E9-4BEB-937F-BA1DF23B95F5}"/>
              </c:ext>
            </c:extLst>
          </c:dPt>
          <c:dPt>
            <c:idx val="11"/>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9-55E9-4BEB-937F-BA1DF23B95F5}"/>
              </c:ext>
            </c:extLst>
          </c:dPt>
          <c:dPt>
            <c:idx val="12"/>
            <c:invertIfNegative val="0"/>
            <c:bubble3D val="0"/>
            <c:spPr>
              <a:solidFill>
                <a:srgbClr val="FF7C80">
                  <a:alpha val="75000"/>
                </a:srgbClr>
              </a:solidFill>
              <a:ln>
                <a:solidFill>
                  <a:schemeClr val="tx1">
                    <a:lumMod val="95000"/>
                    <a:lumOff val="5000"/>
                  </a:schemeClr>
                </a:solidFill>
              </a:ln>
              <a:effectLst/>
            </c:spPr>
            <c:extLst>
              <c:ext xmlns:c16="http://schemas.microsoft.com/office/drawing/2014/chart" uri="{C3380CC4-5D6E-409C-BE32-E72D297353CC}">
                <c16:uniqueId val="{0000000B-55E9-4BEB-937F-BA1DF23B95F5}"/>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55E9-4BEB-937F-BA1DF23B95F5}"/>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55E9-4BEB-937F-BA1DF23B95F5}"/>
              </c:ext>
            </c:extLst>
          </c:dPt>
          <c:dLbls>
            <c:dLbl>
              <c:idx val="19"/>
              <c:layout>
                <c:manualLayout>
                  <c:x val="-1.3295143311980156E-3"/>
                  <c:y val="-4.140271352201623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5E9-4BEB-937F-BA1DF23B95F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Economía</c:v>
                </c:pt>
                <c:pt idx="1">
                  <c:v>Desarrollo</c:v>
                </c:pt>
                <c:pt idx="2">
                  <c:v>Agricultura</c:v>
                </c:pt>
                <c:pt idx="3">
                  <c:v>Cultura</c:v>
                </c:pt>
                <c:pt idx="4">
                  <c:v>Secretarías</c:v>
                </c:pt>
                <c:pt idx="5">
                  <c:v>Finanzas</c:v>
                </c:pt>
                <c:pt idx="6">
                  <c:v>Presidencia</c:v>
                </c:pt>
                <c:pt idx="7">
                  <c:v>Obligaciones </c:v>
                </c:pt>
                <c:pt idx="8">
                  <c:v>Comunicaciones</c:v>
                </c:pt>
                <c:pt idx="9">
                  <c:v>Defensa </c:v>
                </c:pt>
                <c:pt idx="10">
                  <c:v>Energía</c:v>
                </c:pt>
                <c:pt idx="11">
                  <c:v>Total</c:v>
                </c:pt>
                <c:pt idx="12">
                  <c:v>MINREX</c:v>
                </c:pt>
                <c:pt idx="13">
                  <c:v>Trabajo </c:v>
                </c:pt>
                <c:pt idx="14">
                  <c:v>Gobernación</c:v>
                </c:pt>
                <c:pt idx="15">
                  <c:v>Salud Pública </c:v>
                </c:pt>
                <c:pt idx="16">
                  <c:v>Educación </c:v>
                </c:pt>
                <c:pt idx="17">
                  <c:v>Ambiente </c:v>
                </c:pt>
                <c:pt idx="18">
                  <c:v>Deuda Pública</c:v>
                </c:pt>
                <c:pt idx="19">
                  <c:v>PGN</c:v>
                </c:pt>
              </c:strCache>
            </c:strRef>
          </c:cat>
          <c:val>
            <c:numRef>
              <c:f>Hoja1!$B$2:$B$21</c:f>
              <c:numCache>
                <c:formatCode>0.0</c:formatCode>
                <c:ptCount val="20"/>
                <c:pt idx="0">
                  <c:v>3.4630466964975577</c:v>
                </c:pt>
                <c:pt idx="1">
                  <c:v>4.8679793046306399</c:v>
                </c:pt>
                <c:pt idx="2">
                  <c:v>21.245362221289479</c:v>
                </c:pt>
                <c:pt idx="3">
                  <c:v>23.168224427289754</c:v>
                </c:pt>
                <c:pt idx="4">
                  <c:v>25.266393188917352</c:v>
                </c:pt>
                <c:pt idx="5">
                  <c:v>29.276316191900115</c:v>
                </c:pt>
                <c:pt idx="6">
                  <c:v>29.823724666666667</c:v>
                </c:pt>
                <c:pt idx="7">
                  <c:v>30.119554805463927</c:v>
                </c:pt>
                <c:pt idx="8">
                  <c:v>30.938943835080813</c:v>
                </c:pt>
                <c:pt idx="9">
                  <c:v>31.553087188448902</c:v>
                </c:pt>
                <c:pt idx="10">
                  <c:v>31.714135173844333</c:v>
                </c:pt>
                <c:pt idx="11">
                  <c:v>31.957981608667463</c:v>
                </c:pt>
                <c:pt idx="12">
                  <c:v>33.102210514927854</c:v>
                </c:pt>
                <c:pt idx="13">
                  <c:v>33.876479719184871</c:v>
                </c:pt>
                <c:pt idx="14">
                  <c:v>35.962449325580522</c:v>
                </c:pt>
                <c:pt idx="15">
                  <c:v>36.834321216468688</c:v>
                </c:pt>
                <c:pt idx="16">
                  <c:v>39.230207868353503</c:v>
                </c:pt>
                <c:pt idx="17">
                  <c:v>40.691685262876724</c:v>
                </c:pt>
                <c:pt idx="18">
                  <c:v>41.238852859010329</c:v>
                </c:pt>
                <c:pt idx="19">
                  <c:v>46.155908291964053</c:v>
                </c:pt>
              </c:numCache>
            </c:numRef>
          </c:val>
          <c:extLst>
            <c:ext xmlns:c16="http://schemas.microsoft.com/office/drawing/2014/chart" uri="{C3380CC4-5D6E-409C-BE32-E72D297353CC}">
              <c16:uniqueId val="{00000011-55E9-4BEB-937F-BA1DF23B95F5}"/>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5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dLbls>
            <c:dLbl>
              <c:idx val="0"/>
              <c:layout>
                <c:manualLayout>
                  <c:x val="7.9930184585772307E-2"/>
                  <c:y val="2.738313543781629E-2"/>
                </c:manualLayout>
              </c:layout>
              <c:spPr/>
              <c:txPr>
                <a:bodyPr/>
                <a:lstStyle/>
                <a:p>
                  <a:pPr>
                    <a:defRPr sz="900" b="1">
                      <a:solidFill>
                        <a:schemeClr val="bg1"/>
                      </a:solidFill>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7068677300946231"/>
                      <c:h val="0.44471486518730613"/>
                    </c:manualLayout>
                  </c15:layout>
                </c:ext>
                <c:ext xmlns:c16="http://schemas.microsoft.com/office/drawing/2014/chart" uri="{C3380CC4-5D6E-409C-BE32-E72D297353CC}">
                  <c16:uniqueId val="{00000000-D9EC-4E15-B005-0FB9FC7C5DD9}"/>
                </c:ext>
              </c:extLst>
            </c:dLbl>
            <c:dLbl>
              <c:idx val="1"/>
              <c:delete val="1"/>
              <c:extLst>
                <c:ext xmlns:c15="http://schemas.microsoft.com/office/drawing/2012/chart" uri="{CE6537A1-D6FC-4f65-9D91-7224C49458BB}"/>
                <c:ext xmlns:c16="http://schemas.microsoft.com/office/drawing/2014/chart" uri="{C3380CC4-5D6E-409C-BE32-E72D297353CC}">
                  <c16:uniqueId val="{00000001-D9EC-4E15-B005-0FB9FC7C5DD9}"/>
                </c:ext>
              </c:extLst>
            </c:dLbl>
            <c:dLbl>
              <c:idx val="2"/>
              <c:layout>
                <c:manualLayout>
                  <c:x val="-4.3848844309073647E-2"/>
                  <c:y val="-6.143129700239839E-2"/>
                </c:manualLayout>
              </c:layout>
              <c:spPr/>
              <c:txPr>
                <a:bodyPr/>
                <a:lstStyle/>
                <a:p>
                  <a:pPr>
                    <a:defRPr sz="800" b="1"/>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9017000956458211"/>
                      <c:h val="0.29298924559457229"/>
                    </c:manualLayout>
                  </c15:layout>
                </c:ext>
                <c:ext xmlns:c16="http://schemas.microsoft.com/office/drawing/2014/chart" uri="{C3380CC4-5D6E-409C-BE32-E72D297353CC}">
                  <c16:uniqueId val="{00000002-D9EC-4E15-B005-0FB9FC7C5DD9}"/>
                </c:ext>
              </c:extLst>
            </c:dLbl>
            <c:dLbl>
              <c:idx val="3"/>
              <c:layout>
                <c:manualLayout>
                  <c:x val="-3.0328335518087085E-2"/>
                  <c:y val="7.567148442992655E-2"/>
                </c:manualLayout>
              </c:layout>
              <c:spPr>
                <a:noFill/>
                <a:ln>
                  <a:noFill/>
                </a:ln>
                <a:effectLst/>
              </c:spPr>
              <c:txPr>
                <a:bodyPr/>
                <a:lstStyle/>
                <a:p>
                  <a:pPr>
                    <a:defRPr sz="800" b="1"/>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117451461357702"/>
                      <c:h val="0.21409255612312345"/>
                    </c:manualLayout>
                  </c15:layout>
                </c:ext>
                <c:ext xmlns:c16="http://schemas.microsoft.com/office/drawing/2014/chart" uri="{C3380CC4-5D6E-409C-BE32-E72D297353CC}">
                  <c16:uniqueId val="{00000003-D9EC-4E15-B005-0FB9FC7C5DD9}"/>
                </c:ext>
              </c:extLst>
            </c:dLbl>
            <c:dLbl>
              <c:idx val="4"/>
              <c:layout>
                <c:manualLayout>
                  <c:x val="-0.26699689768720647"/>
                  <c:y val="-8.2316403676632056E-3"/>
                </c:manualLayout>
              </c:layout>
              <c:tx>
                <c:rich>
                  <a:bodyPr/>
                  <a:lstStyle/>
                  <a:p>
                    <a:pPr>
                      <a:defRPr sz="900" b="1"/>
                    </a:pPr>
                    <a:r>
                      <a:rPr lang="en-US" sz="900" b="1"/>
                      <a:t>Colocado</a:t>
                    </a:r>
                    <a:r>
                      <a:rPr lang="en-US" sz="900" b="1" baseline="0"/>
                      <a:t>; </a:t>
                    </a:r>
                    <a:fld id="{B1725B05-51F7-4F5A-AE6D-1738DF120E59}" type="VALUE">
                      <a:rPr lang="en-US" sz="900" b="1" baseline="0"/>
                      <a:pPr>
                        <a:defRPr sz="900" b="1"/>
                      </a:pPr>
                      <a:t>[VALOR]</a:t>
                    </a:fld>
                    <a:r>
                      <a:rPr lang="en-US" sz="900" b="1" baseline="0"/>
                      <a:t>; </a:t>
                    </a:r>
                    <a:fld id="{4BB50BCE-B587-4D53-B6A5-0BF47E776F3A}" type="PERCENTAGE">
                      <a:rPr lang="en-US" sz="900" b="1" baseline="0"/>
                      <a:pPr>
                        <a:defRPr sz="900" b="1"/>
                      </a:pPr>
                      <a:t>[PORCENTAJE]</a:t>
                    </a:fld>
                    <a:endParaRPr lang="en-US" sz="900" b="1"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338253382533826"/>
                      <c:h val="0.38424242424242422"/>
                    </c:manualLayout>
                  </c15:layout>
                  <c15:dlblFieldTable/>
                  <c15:showDataLabelsRange val="0"/>
                </c:ext>
                <c:ext xmlns:c16="http://schemas.microsoft.com/office/drawing/2014/chart" uri="{C3380CC4-5D6E-409C-BE32-E72D297353CC}">
                  <c16:uniqueId val="{00000004-D9EC-4E15-B005-0FB9FC7C5DD9}"/>
                </c:ext>
              </c:extLst>
            </c:dLbl>
            <c:spPr>
              <a:noFill/>
              <a:ln>
                <a:noFill/>
              </a:ln>
              <a:effectLst/>
            </c:spPr>
            <c:txPr>
              <a:bodyPr wrap="square" lIns="38100" tIns="19050" rIns="38100" bIns="19050" anchor="ctr">
                <a:spAutoFit/>
              </a:bodyPr>
              <a:lstStyle/>
              <a:p>
                <a:pPr>
                  <a:defRPr sz="600"/>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Dash'!$Q$79:$Q$82</c:f>
              <c:strCache>
                <c:ptCount val="4"/>
                <c:pt idx="0">
                  <c:v>Por Colocar</c:v>
                </c:pt>
                <c:pt idx="1">
                  <c:v>Colocado</c:v>
                </c:pt>
                <c:pt idx="2">
                  <c:v>Nuevo Endeudamiento</c:v>
                </c:pt>
                <c:pt idx="3">
                  <c:v>Roll Over</c:v>
                </c:pt>
              </c:strCache>
            </c:strRef>
          </c:cat>
          <c:val>
            <c:numRef>
              <c:f>'Bonos Dash'!$R$79:$R$82</c:f>
              <c:numCache>
                <c:formatCode>General</c:formatCode>
                <c:ptCount val="4"/>
                <c:pt idx="0" formatCode="#,##0.0">
                  <c:v>15759.626</c:v>
                </c:pt>
                <c:pt idx="2" formatCode="#,##0.0">
                  <c:v>8135.5559999999987</c:v>
                </c:pt>
                <c:pt idx="3" formatCode="#,##0.0">
                  <c:v>583.28800000000001</c:v>
                </c:pt>
              </c:numCache>
            </c:numRef>
          </c:val>
          <c:extLst>
            <c:ext xmlns:c16="http://schemas.microsoft.com/office/drawing/2014/chart" uri="{C3380CC4-5D6E-409C-BE32-E72D297353CC}">
              <c16:uniqueId val="{00000005-D9EC-4E15-B005-0FB9FC7C5DD9}"/>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8843047973636"/>
          <c:y val="1.9759260690094382E-2"/>
          <c:w val="0.87155221493945989"/>
          <c:h val="0.88952215049835981"/>
        </c:manualLayout>
      </c:layout>
      <c:barChart>
        <c:barDir val="col"/>
        <c:grouping val="clustered"/>
        <c:varyColors val="0"/>
        <c:ser>
          <c:idx val="1"/>
          <c:order val="0"/>
          <c:tx>
            <c:strRef>
              <c:f>Sheet1!$B$1</c:f>
              <c:strCache>
                <c:ptCount val="1"/>
                <c:pt idx="0">
                  <c:v>Ejecución</c:v>
                </c:pt>
              </c:strCache>
            </c:strRef>
          </c:tx>
          <c:spPr>
            <a:solidFill>
              <a:schemeClr val="accent3"/>
            </a:solidFill>
            <a:ln>
              <a:noFill/>
            </a:ln>
            <a:effectLst/>
            <a:scene3d>
              <a:camera prst="orthographicFront"/>
              <a:lightRig rig="threePt" dir="t"/>
            </a:scene3d>
            <a:sp3d>
              <a:bevelT w="165100" prst="coolSlant"/>
            </a:sp3d>
          </c:spPr>
          <c:invertIfNegative val="0"/>
          <c:dLbls>
            <c:dLbl>
              <c:idx val="2"/>
              <c:layout>
                <c:manualLayout>
                  <c:x val="4.2598509052182388E-3"/>
                  <c:y val="7.18313926975344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49-4D96-8C7B-0663C2BBAF4B}"/>
                </c:ext>
              </c:extLst>
            </c:dLbl>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Enero</c:v>
                </c:pt>
                <c:pt idx="1">
                  <c:v>Febrero</c:v>
                </c:pt>
                <c:pt idx="2">
                  <c:v>Marzo</c:v>
                </c:pt>
                <c:pt idx="3">
                  <c:v>Abril </c:v>
                </c:pt>
                <c:pt idx="4">
                  <c:v>Mayo</c:v>
                </c:pt>
              </c:strCache>
            </c:strRef>
          </c:cat>
          <c:val>
            <c:numRef>
              <c:f>Sheet1!$B$2:$B$6</c:f>
              <c:numCache>
                <c:formatCode>#,##0.0</c:formatCode>
                <c:ptCount val="5"/>
                <c:pt idx="0">
                  <c:v>4.03</c:v>
                </c:pt>
                <c:pt idx="1">
                  <c:v>22.38</c:v>
                </c:pt>
                <c:pt idx="2">
                  <c:v>139.29</c:v>
                </c:pt>
                <c:pt idx="3">
                  <c:v>1010.3</c:v>
                </c:pt>
                <c:pt idx="4">
                  <c:v>1099.8</c:v>
                </c:pt>
              </c:numCache>
            </c:numRef>
          </c:val>
          <c:extLst>
            <c:ext xmlns:c16="http://schemas.microsoft.com/office/drawing/2014/chart" uri="{C3380CC4-5D6E-409C-BE32-E72D297353CC}">
              <c16:uniqueId val="{00000001-8F49-4D96-8C7B-0663C2BBAF4B}"/>
            </c:ext>
          </c:extLst>
        </c:ser>
        <c:dLbls>
          <c:showLegendKey val="0"/>
          <c:showVal val="0"/>
          <c:showCatName val="0"/>
          <c:showSerName val="0"/>
          <c:showPercent val="0"/>
          <c:showBubbleSize val="0"/>
        </c:dLbls>
        <c:gapWidth val="68"/>
        <c:axId val="254445056"/>
        <c:axId val="254446592"/>
      </c:barChart>
      <c:catAx>
        <c:axId val="254445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54446592"/>
        <c:crosses val="autoZero"/>
        <c:auto val="1"/>
        <c:lblAlgn val="ctr"/>
        <c:lblOffset val="100"/>
        <c:noMultiLvlLbl val="0"/>
      </c:catAx>
      <c:valAx>
        <c:axId val="25444659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5444505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5363101976470195"/>
          <c:y val="9.8594305779345165E-2"/>
          <c:w val="0.40306809891575057"/>
          <c:h val="0.187119979934940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8C7BE-73E0-4DFA-80ED-A4BB78E41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3709</Words>
  <Characters>20402</Characters>
  <Application>Microsoft Office Word</Application>
  <DocSecurity>0</DocSecurity>
  <Lines>170</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Myriam Adelaida Galvez García</cp:lastModifiedBy>
  <cp:revision>2</cp:revision>
  <cp:lastPrinted>2021-04-13T21:28:00Z</cp:lastPrinted>
  <dcterms:created xsi:type="dcterms:W3CDTF">2021-06-15T17:27:00Z</dcterms:created>
  <dcterms:modified xsi:type="dcterms:W3CDTF">2021-06-15T17:27:00Z</dcterms:modified>
</cp:coreProperties>
</file>