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1A18B" w14:textId="77777777" w:rsidR="007D4651" w:rsidRPr="00DF6416" w:rsidRDefault="00B63567"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DF6416"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DF6416">
        <w:rPr>
          <w:rFonts w:ascii="Times New Roman" w:hAnsi="Times New Roman" w:cs="Times New Roman"/>
          <w:b/>
          <w:lang w:val="es-MX"/>
        </w:rPr>
        <w:t>Marzo continúa reportando</w:t>
      </w:r>
      <w:r w:rsidR="00E37543" w:rsidRPr="00DF6416">
        <w:rPr>
          <w:rFonts w:ascii="Times New Roman" w:hAnsi="Times New Roman" w:cs="Times New Roman"/>
          <w:b/>
          <w:lang w:val="es-MX"/>
        </w:rPr>
        <w:t xml:space="preserve"> superávit </w:t>
      </w:r>
      <w:r w:rsidR="004B799B" w:rsidRPr="00DF6416">
        <w:rPr>
          <w:rFonts w:ascii="Times New Roman" w:hAnsi="Times New Roman" w:cs="Times New Roman"/>
          <w:b/>
          <w:lang w:val="es-MX"/>
        </w:rPr>
        <w:t>fiscal</w:t>
      </w:r>
    </w:p>
    <w:p w14:paraId="4BAF4137" w14:textId="77777777" w:rsidR="007D4651" w:rsidRPr="00603C67" w:rsidRDefault="007D4651" w:rsidP="007D4651">
      <w:pPr>
        <w:pStyle w:val="Sinespaciado"/>
        <w:rPr>
          <w:rFonts w:ascii="Times New Roman" w:hAnsi="Times New Roman" w:cs="Times New Roman"/>
          <w:b/>
          <w:color w:val="FF0000"/>
          <w:sz w:val="6"/>
          <w:lang w:val="es-MX"/>
        </w:rPr>
      </w:pPr>
    </w:p>
    <w:p w14:paraId="1D65AE3A" w14:textId="77777777" w:rsidR="007D4651" w:rsidRPr="00603C67" w:rsidRDefault="007D4651" w:rsidP="007D4651">
      <w:pPr>
        <w:pStyle w:val="Sinespaciado"/>
        <w:jc w:val="center"/>
        <w:rPr>
          <w:rFonts w:ascii="Times New Roman" w:hAnsi="Times New Roman" w:cs="Times New Roman"/>
          <w:b/>
          <w:color w:val="FF0000"/>
          <w:sz w:val="16"/>
          <w:lang w:val="es-MX"/>
        </w:rPr>
      </w:pPr>
    </w:p>
    <w:p w14:paraId="60D9B957" w14:textId="77777777" w:rsidR="009C4027" w:rsidRPr="00603C67" w:rsidRDefault="009C4027" w:rsidP="007D4651">
      <w:pPr>
        <w:pStyle w:val="Sinespaciado"/>
        <w:jc w:val="center"/>
        <w:rPr>
          <w:rFonts w:ascii="Times New Roman" w:hAnsi="Times New Roman" w:cs="Times New Roman"/>
          <w:b/>
          <w:color w:val="FF0000"/>
          <w:lang w:val="es-MX"/>
        </w:rPr>
        <w:sectPr w:rsidR="009C4027" w:rsidRPr="00603C67" w:rsidSect="004E358C">
          <w:type w:val="continuous"/>
          <w:pgSz w:w="12240" w:h="15840"/>
          <w:pgMar w:top="1417" w:right="1701" w:bottom="1417" w:left="1701" w:header="708" w:footer="708" w:gutter="0"/>
          <w:cols w:space="708"/>
          <w:docGrid w:linePitch="360"/>
        </w:sectPr>
      </w:pPr>
    </w:p>
    <w:p w14:paraId="12156AEA" w14:textId="7C8DF078" w:rsidR="00603C67" w:rsidRPr="00B63567" w:rsidRDefault="00603C67" w:rsidP="00603C67">
      <w:pPr>
        <w:pStyle w:val="Sinespaciado"/>
        <w:ind w:left="284"/>
        <w:jc w:val="both"/>
        <w:rPr>
          <w:rFonts w:ascii="Times New Roman" w:hAnsi="Times New Roman" w:cs="Times New Roman"/>
          <w:lang w:val="es-MX"/>
        </w:rPr>
      </w:pPr>
      <w:r w:rsidRPr="00B63567">
        <w:rPr>
          <w:rFonts w:ascii="Times New Roman" w:hAnsi="Times New Roman" w:cs="Times New Roman"/>
          <w:lang w:val="es-MX"/>
        </w:rPr>
        <w:lastRenderedPageBreak/>
        <w:t>El resultado presupuestario del gobierno central muestra un superávit fiscal que se sitúa al 31 de marzo de 2021 en Q1,</w:t>
      </w:r>
      <w:r>
        <w:rPr>
          <w:rFonts w:ascii="Times New Roman" w:hAnsi="Times New Roman" w:cs="Times New Roman"/>
          <w:lang w:val="es-MX"/>
        </w:rPr>
        <w:t>544</w:t>
      </w:r>
      <w:r w:rsidR="00F35BA3">
        <w:rPr>
          <w:rFonts w:ascii="Times New Roman" w:hAnsi="Times New Roman" w:cs="Times New Roman"/>
          <w:lang w:val="es-MX"/>
        </w:rPr>
        <w:t>.0 millones mientras que, e</w:t>
      </w:r>
      <w:r w:rsidRPr="00B63567">
        <w:rPr>
          <w:rFonts w:ascii="Times New Roman" w:hAnsi="Times New Roman" w:cs="Times New Roman"/>
          <w:lang w:val="es-MX"/>
        </w:rPr>
        <w:t xml:space="preserve">n los años anteriores </w:t>
      </w:r>
      <w:r w:rsidR="00F35BA3">
        <w:rPr>
          <w:rFonts w:ascii="Times New Roman" w:hAnsi="Times New Roman" w:cs="Times New Roman"/>
          <w:lang w:val="es-MX"/>
        </w:rPr>
        <w:t xml:space="preserve">2019 y 2020, a la misma fecha, </w:t>
      </w:r>
      <w:r w:rsidRPr="00B63567">
        <w:rPr>
          <w:rFonts w:ascii="Times New Roman" w:hAnsi="Times New Roman" w:cs="Times New Roman"/>
          <w:lang w:val="es-MX"/>
        </w:rPr>
        <w:t>reportaba</w:t>
      </w:r>
      <w:r w:rsidR="00F35BA3">
        <w:rPr>
          <w:rFonts w:ascii="Times New Roman" w:hAnsi="Times New Roman" w:cs="Times New Roman"/>
          <w:lang w:val="es-MX"/>
        </w:rPr>
        <w:t>n</w:t>
      </w:r>
      <w:r w:rsidRPr="00B63567">
        <w:rPr>
          <w:rFonts w:ascii="Times New Roman" w:hAnsi="Times New Roman" w:cs="Times New Roman"/>
          <w:lang w:val="es-MX"/>
        </w:rPr>
        <w:t xml:space="preserve"> déficit fiscal</w:t>
      </w:r>
      <w:r w:rsidR="00F35BA3">
        <w:rPr>
          <w:rFonts w:ascii="Times New Roman" w:hAnsi="Times New Roman" w:cs="Times New Roman"/>
          <w:lang w:val="es-MX"/>
        </w:rPr>
        <w:t>.</w:t>
      </w:r>
      <w:r w:rsidRPr="00B63567">
        <w:rPr>
          <w:rFonts w:ascii="Times New Roman" w:hAnsi="Times New Roman" w:cs="Times New Roman"/>
          <w:lang w:val="es-MX"/>
        </w:rPr>
        <w:t xml:space="preserve"> </w:t>
      </w:r>
    </w:p>
    <w:p w14:paraId="5AB35C5C" w14:textId="77777777" w:rsidR="00603C67" w:rsidRPr="00B63567" w:rsidRDefault="00603C67" w:rsidP="00603C67">
      <w:pPr>
        <w:pStyle w:val="Sinespaciado"/>
        <w:ind w:left="284"/>
        <w:jc w:val="both"/>
        <w:rPr>
          <w:rFonts w:ascii="Times New Roman" w:hAnsi="Times New Roman" w:cs="Times New Roman"/>
          <w:lang w:val="es-MX"/>
        </w:rPr>
      </w:pPr>
    </w:p>
    <w:p w14:paraId="2DEB2EF5" w14:textId="1185402F" w:rsidR="00603C67" w:rsidRPr="00B63567" w:rsidRDefault="00603C67" w:rsidP="00603C67">
      <w:pPr>
        <w:pStyle w:val="Sinespaciado"/>
        <w:ind w:left="284"/>
        <w:jc w:val="both"/>
        <w:rPr>
          <w:rFonts w:ascii="Times New Roman" w:hAnsi="Times New Roman" w:cs="Times New Roman"/>
          <w:lang w:val="es-MX"/>
        </w:rPr>
      </w:pPr>
      <w:r w:rsidRPr="00B63567">
        <w:rPr>
          <w:rFonts w:ascii="Times New Roman" w:hAnsi="Times New Roman" w:cs="Times New Roman"/>
          <w:lang w:val="es-MX"/>
        </w:rPr>
        <w:t xml:space="preserve">Dada la dinámica entre los ingresos y los gastos, este superávit fiscal se </w:t>
      </w:r>
      <w:r w:rsidR="00F35BA3">
        <w:rPr>
          <w:rFonts w:ascii="Times New Roman" w:hAnsi="Times New Roman" w:cs="Times New Roman"/>
          <w:lang w:val="es-MX"/>
        </w:rPr>
        <w:t>explica</w:t>
      </w:r>
      <w:r w:rsidRPr="00B63567">
        <w:rPr>
          <w:rFonts w:ascii="Times New Roman" w:hAnsi="Times New Roman" w:cs="Times New Roman"/>
          <w:lang w:val="es-MX"/>
        </w:rPr>
        <w:t xml:space="preserve"> debido a que los ingresos tributarios continúan mostrado un buen d</w:t>
      </w:r>
      <w:r w:rsidR="00F35BA3">
        <w:rPr>
          <w:rFonts w:ascii="Times New Roman" w:hAnsi="Times New Roman" w:cs="Times New Roman"/>
          <w:lang w:val="es-MX"/>
        </w:rPr>
        <w:t>esempeño</w:t>
      </w:r>
      <w:r w:rsidRPr="00B63567">
        <w:rPr>
          <w:rFonts w:ascii="Times New Roman" w:hAnsi="Times New Roman" w:cs="Times New Roman"/>
          <w:lang w:val="es-MX"/>
        </w:rPr>
        <w:t>,</w:t>
      </w:r>
      <w:r w:rsidR="00F35BA3">
        <w:rPr>
          <w:rFonts w:ascii="Times New Roman" w:hAnsi="Times New Roman" w:cs="Times New Roman"/>
          <w:lang w:val="es-MX"/>
        </w:rPr>
        <w:t xml:space="preserve"> superando por tres meses consecutivos</w:t>
      </w:r>
      <w:r w:rsidRPr="00B63567">
        <w:rPr>
          <w:rFonts w:ascii="Times New Roman" w:hAnsi="Times New Roman" w:cs="Times New Roman"/>
          <w:lang w:val="es-MX"/>
        </w:rPr>
        <w:t xml:space="preserve"> la meta de recaudación prevista p</w:t>
      </w:r>
      <w:r>
        <w:rPr>
          <w:rFonts w:ascii="Times New Roman" w:hAnsi="Times New Roman" w:cs="Times New Roman"/>
          <w:lang w:val="es-MX"/>
        </w:rPr>
        <w:t xml:space="preserve">ara cada mes. </w:t>
      </w:r>
    </w:p>
    <w:p w14:paraId="1AE393A8" w14:textId="7E3FF4E4" w:rsidR="00F54627" w:rsidRPr="00603C67" w:rsidRDefault="00F35BA3" w:rsidP="00DF6416">
      <w:pPr>
        <w:pStyle w:val="Sinespaciado"/>
        <w:jc w:val="both"/>
        <w:rPr>
          <w:rFonts w:ascii="Times New Roman" w:hAnsi="Times New Roman" w:cs="Times New Roman"/>
          <w:b/>
          <w:color w:val="FF0000"/>
          <w:sz w:val="4"/>
          <w:lang w:val="es-MX"/>
        </w:rPr>
      </w:pPr>
      <w:r>
        <w:rPr>
          <w:rFonts w:ascii="Times New Roman" w:hAnsi="Times New Roman" w:cs="Times New Roman"/>
          <w:lang w:val="es-MX"/>
        </w:rPr>
        <w:lastRenderedPageBreak/>
        <w:t>Por su parte,</w:t>
      </w:r>
      <w:r w:rsidR="00603C67" w:rsidRPr="00B63567">
        <w:rPr>
          <w:rFonts w:ascii="Times New Roman" w:hAnsi="Times New Roman" w:cs="Times New Roman"/>
          <w:lang w:val="es-MX"/>
        </w:rPr>
        <w:t xml:space="preserve"> el gasto público </w:t>
      </w:r>
      <w:r>
        <w:rPr>
          <w:rFonts w:ascii="Times New Roman" w:hAnsi="Times New Roman" w:cs="Times New Roman"/>
          <w:lang w:val="es-MX"/>
        </w:rPr>
        <w:t>registra</w:t>
      </w:r>
      <w:r w:rsidR="00603C67" w:rsidRPr="00B63567">
        <w:rPr>
          <w:rFonts w:ascii="Times New Roman" w:hAnsi="Times New Roman" w:cs="Times New Roman"/>
          <w:lang w:val="es-MX"/>
        </w:rPr>
        <w:t xml:space="preserve"> un crecimiento interanual </w:t>
      </w:r>
      <w:r>
        <w:rPr>
          <w:rFonts w:ascii="Times New Roman" w:hAnsi="Times New Roman" w:cs="Times New Roman"/>
          <w:lang w:val="es-MX"/>
        </w:rPr>
        <w:t>moderado;</w:t>
      </w:r>
      <w:r w:rsidR="00603C67" w:rsidRPr="00B63567">
        <w:rPr>
          <w:rFonts w:ascii="Times New Roman" w:hAnsi="Times New Roman" w:cs="Times New Roman"/>
          <w:lang w:val="es-MX"/>
        </w:rPr>
        <w:t xml:space="preserve"> se continúan realizando los ajustes presupuestarios que viabilicen la ejecución dada la no aprobación del presupuesto para el ejercicio fiscal 2021, así como cierta restricción en la asignación de cuotas financieras</w:t>
      </w:r>
      <w:r w:rsidR="00603C67">
        <w:rPr>
          <w:rFonts w:ascii="Times New Roman" w:hAnsi="Times New Roman" w:cs="Times New Roman"/>
          <w:lang w:val="es-MX"/>
        </w:rPr>
        <w:t>, ello</w:t>
      </w:r>
      <w:r w:rsidR="00603C67" w:rsidRPr="00B63567">
        <w:rPr>
          <w:rFonts w:ascii="Times New Roman" w:hAnsi="Times New Roman" w:cs="Times New Roman"/>
          <w:lang w:val="es-MX"/>
        </w:rPr>
        <w:t xml:space="preserve"> d</w:t>
      </w:r>
      <w:r w:rsidR="00603C67">
        <w:rPr>
          <w:rFonts w:ascii="Times New Roman" w:hAnsi="Times New Roman" w:cs="Times New Roman"/>
          <w:lang w:val="es-MX"/>
        </w:rPr>
        <w:t xml:space="preserve">ebido a la incertidumbre </w:t>
      </w:r>
      <w:r w:rsidR="00603C67" w:rsidRPr="00B63567">
        <w:rPr>
          <w:rFonts w:ascii="Times New Roman" w:hAnsi="Times New Roman" w:cs="Times New Roman"/>
          <w:lang w:val="es-MX"/>
        </w:rPr>
        <w:t>del desempeño de los ingresos tributarios</w:t>
      </w:r>
      <w:r w:rsidR="00603C67">
        <w:rPr>
          <w:rFonts w:ascii="Times New Roman" w:hAnsi="Times New Roman" w:cs="Times New Roman"/>
          <w:lang w:val="es-MX"/>
        </w:rPr>
        <w:t xml:space="preserve"> en los próximos meses</w:t>
      </w:r>
      <w:r w:rsidR="00603C67" w:rsidRPr="00B63567">
        <w:rPr>
          <w:rFonts w:ascii="Times New Roman" w:hAnsi="Times New Roman" w:cs="Times New Roman"/>
          <w:lang w:val="es-MX"/>
        </w:rPr>
        <w:t>, en la medida que la recaudación tributaria continúe mostrando un desempeño positivo, las entidades recibirían más recursos con lo cual la ejecución en los meses siguientes podría mostrar un mayor dinamismo.</w:t>
      </w:r>
      <w:r w:rsidR="00E829E3" w:rsidRPr="00603C67">
        <w:rPr>
          <w:rFonts w:ascii="Times New Roman" w:hAnsi="Times New Roman" w:cs="Times New Roman"/>
          <w:color w:val="FF0000"/>
          <w:lang w:val="es-MX"/>
        </w:rPr>
        <w:t xml:space="preserve"> </w:t>
      </w:r>
    </w:p>
    <w:p w14:paraId="27A44350" w14:textId="77777777" w:rsidR="00E37543" w:rsidRPr="00603C67" w:rsidRDefault="00E37543" w:rsidP="00E829E3">
      <w:pPr>
        <w:pStyle w:val="Sinespaciado"/>
        <w:rPr>
          <w:rFonts w:ascii="Times New Roman" w:hAnsi="Times New Roman" w:cs="Times New Roman"/>
          <w:b/>
          <w:color w:val="FF0000"/>
          <w:lang w:val="es-MX"/>
        </w:rPr>
        <w:sectPr w:rsidR="00E37543" w:rsidRPr="00603C67" w:rsidSect="007D4651">
          <w:type w:val="continuous"/>
          <w:pgSz w:w="12240" w:h="15840" w:code="1"/>
          <w:pgMar w:top="1418" w:right="1418" w:bottom="1418" w:left="1418" w:header="709" w:footer="709" w:gutter="0"/>
          <w:cols w:num="2" w:space="708"/>
          <w:docGrid w:linePitch="360"/>
        </w:sectPr>
      </w:pPr>
    </w:p>
    <w:p w14:paraId="63B71F24" w14:textId="77777777" w:rsidR="00E829E3" w:rsidRPr="001F429F" w:rsidRDefault="00E829E3" w:rsidP="00506BDB">
      <w:pPr>
        <w:pStyle w:val="Sinespaciado"/>
        <w:rPr>
          <w:rFonts w:ascii="Times New Roman" w:hAnsi="Times New Roman" w:cs="Times New Roman"/>
          <w:b/>
          <w:color w:val="FF0000"/>
          <w:lang w:val="es-MX"/>
        </w:rPr>
      </w:pPr>
    </w:p>
    <w:p w14:paraId="03328212" w14:textId="77777777" w:rsidR="006F5EA0" w:rsidRPr="00603C67" w:rsidRDefault="00950874" w:rsidP="006F5EA0">
      <w:pPr>
        <w:pStyle w:val="Sinespaciado"/>
        <w:jc w:val="center"/>
        <w:rPr>
          <w:rFonts w:ascii="Times New Roman" w:hAnsi="Times New Roman" w:cs="Times New Roman"/>
          <w:b/>
          <w:sz w:val="24"/>
          <w:lang w:val="es-MX"/>
        </w:rPr>
      </w:pPr>
      <w:r w:rsidRPr="00603C67">
        <w:rPr>
          <w:rFonts w:ascii="Times New Roman" w:hAnsi="Times New Roman" w:cs="Times New Roman"/>
          <w:b/>
          <w:sz w:val="24"/>
          <w:lang w:val="es-MX"/>
        </w:rPr>
        <w:t>Resultado Presupuestario</w:t>
      </w:r>
    </w:p>
    <w:p w14:paraId="43B4A5C9" w14:textId="77777777" w:rsidR="00E829E3" w:rsidRPr="00603C67" w:rsidRDefault="00E829E3" w:rsidP="006F5EA0">
      <w:pPr>
        <w:pStyle w:val="Sinespaciado"/>
        <w:jc w:val="center"/>
        <w:rPr>
          <w:rFonts w:ascii="Times New Roman" w:hAnsi="Times New Roman" w:cs="Times New Roman"/>
          <w:sz w:val="20"/>
          <w:lang w:val="es-MX"/>
        </w:rPr>
      </w:pPr>
      <w:r w:rsidRPr="00603C67">
        <w:rPr>
          <w:rFonts w:ascii="Times New Roman" w:hAnsi="Times New Roman" w:cs="Times New Roman"/>
          <w:sz w:val="20"/>
          <w:lang w:val="es-MX"/>
        </w:rPr>
        <w:t>Cifras en millones de quetzales</w:t>
      </w:r>
      <w:r w:rsidR="006F5EA0" w:rsidRPr="00603C67">
        <w:rPr>
          <w:rFonts w:ascii="Times New Roman" w:hAnsi="Times New Roman" w:cs="Times New Roman"/>
          <w:sz w:val="20"/>
          <w:lang w:val="es-MX"/>
        </w:rPr>
        <w:t xml:space="preserve">      </w:t>
      </w:r>
    </w:p>
    <w:p w14:paraId="0448E12C" w14:textId="77777777" w:rsidR="00950874" w:rsidRPr="00603C67" w:rsidRDefault="00E829E3" w:rsidP="006F5EA0">
      <w:pPr>
        <w:pStyle w:val="Sinespaciado"/>
        <w:jc w:val="center"/>
        <w:rPr>
          <w:rFonts w:ascii="Times New Roman" w:hAnsi="Times New Roman" w:cs="Times New Roman"/>
          <w:sz w:val="18"/>
          <w:lang w:val="es-MX"/>
        </w:rPr>
      </w:pPr>
      <w:r w:rsidRPr="00603C67">
        <w:rPr>
          <w:rFonts w:ascii="Times New Roman" w:hAnsi="Times New Roman" w:cs="Times New Roman"/>
          <w:sz w:val="20"/>
          <w:lang w:val="es-MX"/>
        </w:rPr>
        <w:t xml:space="preserve">     </w:t>
      </w:r>
      <w:r w:rsidR="006F5EA0" w:rsidRPr="00603C67">
        <w:rPr>
          <w:rFonts w:ascii="Times New Roman" w:hAnsi="Times New Roman" w:cs="Times New Roman"/>
          <w:sz w:val="20"/>
          <w:lang w:val="es-MX"/>
        </w:rPr>
        <w:t xml:space="preserve"> </w:t>
      </w:r>
      <w:r w:rsidR="00CE7A73" w:rsidRPr="00603C67">
        <w:rPr>
          <w:rFonts w:ascii="Times New Roman" w:hAnsi="Times New Roman" w:cs="Times New Roman"/>
          <w:sz w:val="20"/>
          <w:lang w:val="es-MX"/>
        </w:rPr>
        <w:t>Al 31</w:t>
      </w:r>
      <w:r w:rsidR="006F5EA0" w:rsidRPr="00603C67">
        <w:rPr>
          <w:rFonts w:ascii="Times New Roman" w:hAnsi="Times New Roman" w:cs="Times New Roman"/>
          <w:sz w:val="20"/>
          <w:lang w:val="es-MX"/>
        </w:rPr>
        <w:t xml:space="preserve"> de </w:t>
      </w:r>
      <w:r w:rsidR="00CE7A73" w:rsidRPr="00603C67">
        <w:rPr>
          <w:rFonts w:ascii="Times New Roman" w:hAnsi="Times New Roman" w:cs="Times New Roman"/>
          <w:sz w:val="20"/>
          <w:lang w:val="es-MX"/>
        </w:rPr>
        <w:t>marzo</w:t>
      </w:r>
      <w:r w:rsidR="006F5EA0" w:rsidRPr="00603C67">
        <w:rPr>
          <w:rFonts w:ascii="Times New Roman" w:hAnsi="Times New Roman" w:cs="Times New Roman"/>
          <w:sz w:val="20"/>
          <w:lang w:val="es-MX"/>
        </w:rPr>
        <w:t xml:space="preserve"> de cada año</w:t>
      </w:r>
      <w:r w:rsidR="00F27024" w:rsidRPr="00603C67">
        <w:rPr>
          <w:rFonts w:ascii="Times New Roman" w:hAnsi="Times New Roman" w:cs="Times New Roman"/>
          <w:b/>
          <w:lang w:val="es-MX"/>
        </w:rPr>
        <w:tab/>
      </w:r>
    </w:p>
    <w:p w14:paraId="7AF31498" w14:textId="6D4F8C61" w:rsidR="005C4C97" w:rsidRPr="00603C67" w:rsidRDefault="00603C67" w:rsidP="005F470C">
      <w:pPr>
        <w:pStyle w:val="Sinespaciado"/>
        <w:jc w:val="center"/>
        <w:rPr>
          <w:noProof/>
          <w:lang w:val="es-MX" w:eastAsia="es-GT"/>
        </w:rPr>
      </w:pPr>
      <w:r w:rsidRPr="00603C67">
        <w:rPr>
          <w:noProof/>
          <w:lang w:val="es-ES" w:eastAsia="es-ES"/>
        </w:rPr>
        <w:drawing>
          <wp:inline distT="0" distB="0" distL="0" distR="0" wp14:anchorId="1FC965E4" wp14:editId="63189DE2">
            <wp:extent cx="5743575" cy="2562225"/>
            <wp:effectExtent l="0" t="0" r="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6A1396" w14:textId="77777777" w:rsidR="00443689" w:rsidRPr="00603C67" w:rsidRDefault="007F443F" w:rsidP="00506BDB">
      <w:pPr>
        <w:pStyle w:val="Sinespaciado"/>
        <w:jc w:val="both"/>
        <w:rPr>
          <w:rFonts w:ascii="Times New Roman" w:hAnsi="Times New Roman" w:cs="Times New Roman"/>
          <w:sz w:val="16"/>
        </w:rPr>
      </w:pPr>
      <w:r w:rsidRPr="00603C67">
        <w:rPr>
          <w:rFonts w:ascii="Times New Roman" w:hAnsi="Times New Roman" w:cs="Times New Roman"/>
          <w:sz w:val="16"/>
        </w:rPr>
        <w:t xml:space="preserve">          </w:t>
      </w:r>
      <w:r w:rsidR="00157C3A" w:rsidRPr="00603C67">
        <w:rPr>
          <w:rFonts w:ascii="Times New Roman" w:hAnsi="Times New Roman" w:cs="Times New Roman"/>
          <w:sz w:val="16"/>
        </w:rPr>
        <w:t>F</w:t>
      </w:r>
      <w:r w:rsidR="007D4651" w:rsidRPr="00603C67">
        <w:rPr>
          <w:rFonts w:ascii="Times New Roman" w:hAnsi="Times New Roman" w:cs="Times New Roman"/>
          <w:sz w:val="16"/>
        </w:rPr>
        <w:t>uente: Dirección de Análisis y Política fiscal</w:t>
      </w:r>
    </w:p>
    <w:p w14:paraId="327E51D0" w14:textId="77777777" w:rsidR="00443689" w:rsidRPr="00603C67" w:rsidRDefault="00443689" w:rsidP="007D4651">
      <w:pPr>
        <w:spacing w:after="0" w:line="240" w:lineRule="auto"/>
        <w:rPr>
          <w:rFonts w:ascii="Times New Roman" w:hAnsi="Times New Roman" w:cs="Times New Roman"/>
          <w:color w:val="FF0000"/>
          <w:sz w:val="14"/>
          <w:lang w:val="es-MX"/>
        </w:rPr>
      </w:pPr>
    </w:p>
    <w:p w14:paraId="331556C1" w14:textId="77777777" w:rsidR="00506BDB" w:rsidRPr="00603C67" w:rsidRDefault="00506BDB" w:rsidP="007D4651">
      <w:pPr>
        <w:spacing w:after="0" w:line="240" w:lineRule="auto"/>
        <w:rPr>
          <w:rFonts w:ascii="Times New Roman" w:hAnsi="Times New Roman" w:cs="Times New Roman"/>
          <w:color w:val="FF0000"/>
          <w:sz w:val="14"/>
          <w:lang w:val="es-MX"/>
        </w:rPr>
      </w:pPr>
    </w:p>
    <w:p w14:paraId="54ADFACF" w14:textId="77777777" w:rsidR="00F54627" w:rsidRPr="00603C67" w:rsidRDefault="00F54627" w:rsidP="007D4651">
      <w:pPr>
        <w:spacing w:after="0" w:line="240" w:lineRule="auto"/>
        <w:rPr>
          <w:rFonts w:ascii="Times New Roman" w:hAnsi="Times New Roman" w:cs="Times New Roman"/>
          <w:color w:val="FF0000"/>
          <w:sz w:val="28"/>
          <w:lang w:val="es-MX"/>
        </w:rPr>
        <w:sectPr w:rsidR="00F54627" w:rsidRPr="00603C67" w:rsidSect="007D4651">
          <w:type w:val="continuous"/>
          <w:pgSz w:w="12240" w:h="15840" w:code="1"/>
          <w:pgMar w:top="1418" w:right="1418" w:bottom="1418" w:left="1418" w:header="709" w:footer="709" w:gutter="0"/>
          <w:cols w:space="708"/>
          <w:docGrid w:linePitch="360"/>
        </w:sectPr>
      </w:pPr>
    </w:p>
    <w:p w14:paraId="317BC917" w14:textId="41EBC76F" w:rsidR="00E16925" w:rsidRPr="00603C67" w:rsidRDefault="009E5BD2"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603C67" w:rsidSect="00E16925">
          <w:headerReference w:type="default" r:id="rId12"/>
          <w:footerReference w:type="default" r:id="rId13"/>
          <w:type w:val="continuous"/>
          <w:pgSz w:w="12240" w:h="15840" w:code="1"/>
          <w:pgMar w:top="1418" w:right="1418" w:bottom="1418" w:left="1418" w:header="709" w:footer="709" w:gutter="0"/>
          <w:cols w:space="708"/>
          <w:docGrid w:linePitch="360"/>
        </w:sectPr>
      </w:pPr>
      <w:r w:rsidRPr="00603C67">
        <w:rPr>
          <w:rFonts w:ascii="Times New Roman" w:hAnsi="Times New Roman" w:cs="Times New Roman"/>
          <w:b/>
          <w:lang w:val="es-MX"/>
        </w:rPr>
        <w:lastRenderedPageBreak/>
        <w:t>L</w:t>
      </w:r>
      <w:r w:rsidR="001F429F">
        <w:rPr>
          <w:rFonts w:ascii="Times New Roman" w:hAnsi="Times New Roman" w:cs="Times New Roman"/>
          <w:b/>
          <w:lang w:val="es-MX"/>
        </w:rPr>
        <w:t>a recaudación refleja una</w:t>
      </w:r>
      <w:r w:rsidRPr="00603C67">
        <w:rPr>
          <w:rFonts w:ascii="Times New Roman" w:hAnsi="Times New Roman" w:cs="Times New Roman"/>
          <w:b/>
          <w:lang w:val="es-MX"/>
        </w:rPr>
        <w:t xml:space="preserve"> brecha positiva respecto a la</w:t>
      </w:r>
      <w:r w:rsidR="00080B88" w:rsidRPr="00603C67">
        <w:rPr>
          <w:rFonts w:ascii="Times New Roman" w:hAnsi="Times New Roman" w:cs="Times New Roman"/>
          <w:b/>
          <w:lang w:val="es-MX"/>
        </w:rPr>
        <w:t xml:space="preserve"> meta de presupuesto</w:t>
      </w:r>
    </w:p>
    <w:p w14:paraId="74DE54CA" w14:textId="77777777" w:rsidR="00E16925" w:rsidRPr="00603C67" w:rsidRDefault="00E16925" w:rsidP="00E16925">
      <w:pPr>
        <w:pStyle w:val="Sinespaciado"/>
        <w:rPr>
          <w:rFonts w:ascii="Times New Roman" w:hAnsi="Times New Roman" w:cs="Times New Roman"/>
          <w:b/>
          <w:sz w:val="8"/>
          <w:lang w:val="es-MX"/>
        </w:rPr>
      </w:pPr>
    </w:p>
    <w:p w14:paraId="1067B6A2" w14:textId="77777777" w:rsidR="00E16925" w:rsidRPr="00603C67" w:rsidRDefault="00E16925" w:rsidP="00E16925">
      <w:pPr>
        <w:pStyle w:val="Sinespaciado"/>
        <w:jc w:val="center"/>
        <w:rPr>
          <w:rFonts w:ascii="Times New Roman" w:hAnsi="Times New Roman" w:cs="Times New Roman"/>
          <w:b/>
          <w:sz w:val="18"/>
          <w:lang w:val="es-MX"/>
        </w:rPr>
      </w:pPr>
    </w:p>
    <w:p w14:paraId="75D61208" w14:textId="77777777" w:rsidR="00343A5D" w:rsidRPr="00603C67" w:rsidRDefault="00343A5D" w:rsidP="00F25E21">
      <w:pPr>
        <w:pStyle w:val="Sinespaciado"/>
        <w:rPr>
          <w:rFonts w:ascii="Times New Roman" w:hAnsi="Times New Roman" w:cs="Times New Roman"/>
          <w:b/>
          <w:sz w:val="20"/>
          <w:lang w:val="es-MX"/>
        </w:rPr>
        <w:sectPr w:rsidR="00343A5D" w:rsidRPr="00603C67" w:rsidSect="004E358C">
          <w:type w:val="continuous"/>
          <w:pgSz w:w="12240" w:h="15840"/>
          <w:pgMar w:top="1417" w:right="1701" w:bottom="1417" w:left="1701" w:header="708" w:footer="708" w:gutter="0"/>
          <w:cols w:space="708"/>
          <w:docGrid w:linePitch="360"/>
        </w:sectPr>
      </w:pPr>
    </w:p>
    <w:p w14:paraId="307EAB0D" w14:textId="6BCBDED3" w:rsidR="00275F3F" w:rsidRPr="00603C67" w:rsidRDefault="007F525E" w:rsidP="00F54627">
      <w:pPr>
        <w:spacing w:after="0" w:line="240" w:lineRule="auto"/>
        <w:jc w:val="both"/>
        <w:rPr>
          <w:rFonts w:ascii="Times New Roman" w:hAnsi="Times New Roman" w:cs="Times New Roman"/>
        </w:rPr>
      </w:pPr>
      <w:r w:rsidRPr="00603C67">
        <w:rPr>
          <w:rFonts w:ascii="Times New Roman" w:hAnsi="Times New Roman" w:cs="Times New Roman"/>
        </w:rPr>
        <w:lastRenderedPageBreak/>
        <w:t>Datos acumulados al 31 de marzo dan cuenta de una brecha positiva de Q1,05</w:t>
      </w:r>
      <w:r w:rsidR="00017D60" w:rsidRPr="00603C67">
        <w:rPr>
          <w:rFonts w:ascii="Times New Roman" w:hAnsi="Times New Roman" w:cs="Times New Roman"/>
        </w:rPr>
        <w:t xml:space="preserve">4.4 </w:t>
      </w:r>
      <w:r w:rsidRPr="00603C67">
        <w:rPr>
          <w:rFonts w:ascii="Times New Roman" w:hAnsi="Times New Roman" w:cs="Times New Roman"/>
        </w:rPr>
        <w:t xml:space="preserve">millones respecto a lo programado en presupuesto, aspectos relevantes que permitieron superar la meta son producto de esfuerzos realizados por SAT para aumentar la percepción de </w:t>
      </w:r>
      <w:r w:rsidRPr="00603C67">
        <w:rPr>
          <w:rFonts w:ascii="Times New Roman" w:hAnsi="Times New Roman" w:cs="Times New Roman"/>
        </w:rPr>
        <w:lastRenderedPageBreak/>
        <w:t>riesgo de los contribuyentes</w:t>
      </w:r>
      <w:r w:rsidR="001F429F">
        <w:rPr>
          <w:rFonts w:ascii="Times New Roman" w:hAnsi="Times New Roman" w:cs="Times New Roman"/>
        </w:rPr>
        <w:t>,</w:t>
      </w:r>
      <w:r w:rsidRPr="00603C67">
        <w:rPr>
          <w:rFonts w:ascii="Times New Roman" w:hAnsi="Times New Roman" w:cs="Times New Roman"/>
        </w:rPr>
        <w:t xml:space="preserve"> los cuales deriva en acciones implementadas mediante mayor control en los principales puertos y carreteras, así como en el cumplimiento tributario, y en el cobro judicial.</w:t>
      </w:r>
    </w:p>
    <w:p w14:paraId="0674EC2A" w14:textId="77777777" w:rsidR="00506BDB" w:rsidRPr="00603C67" w:rsidRDefault="00506BDB" w:rsidP="00F54627">
      <w:pPr>
        <w:spacing w:after="0" w:line="240" w:lineRule="auto"/>
        <w:jc w:val="both"/>
        <w:rPr>
          <w:rFonts w:ascii="Times New Roman" w:hAnsi="Times New Roman" w:cs="Times New Roman"/>
        </w:rPr>
      </w:pPr>
    </w:p>
    <w:p w14:paraId="4E94C3F3" w14:textId="77777777" w:rsidR="00F25E21" w:rsidRPr="00603C67" w:rsidRDefault="00F25E21" w:rsidP="00F25E21">
      <w:pPr>
        <w:spacing w:after="0" w:line="240" w:lineRule="auto"/>
        <w:jc w:val="center"/>
        <w:rPr>
          <w:rFonts w:ascii="Times New Roman" w:hAnsi="Times New Roman" w:cs="Times New Roman"/>
          <w:b/>
        </w:rPr>
      </w:pPr>
      <w:r w:rsidRPr="00603C67">
        <w:rPr>
          <w:rFonts w:ascii="Times New Roman" w:hAnsi="Times New Roman" w:cs="Times New Roman"/>
          <w:b/>
        </w:rPr>
        <w:lastRenderedPageBreak/>
        <w:t>Recaudación Tributaria</w:t>
      </w:r>
    </w:p>
    <w:p w14:paraId="3C2E2010" w14:textId="77777777" w:rsidR="00F25E21" w:rsidRPr="00603C67" w:rsidRDefault="00F25E21" w:rsidP="00F25E21">
      <w:pPr>
        <w:spacing w:after="0" w:line="240" w:lineRule="auto"/>
        <w:jc w:val="center"/>
        <w:rPr>
          <w:rFonts w:ascii="Times New Roman" w:hAnsi="Times New Roman" w:cs="Times New Roman"/>
          <w:sz w:val="20"/>
        </w:rPr>
      </w:pPr>
      <w:r w:rsidRPr="00603C67">
        <w:rPr>
          <w:rFonts w:ascii="Times New Roman" w:hAnsi="Times New Roman" w:cs="Times New Roman"/>
          <w:sz w:val="20"/>
        </w:rPr>
        <w:t>Millones de quetzales</w:t>
      </w:r>
    </w:p>
    <w:p w14:paraId="5090D709" w14:textId="77777777" w:rsidR="00F25E21" w:rsidRPr="00603C67" w:rsidRDefault="007F525E" w:rsidP="00F25E21">
      <w:pPr>
        <w:spacing w:line="240" w:lineRule="auto"/>
        <w:jc w:val="both"/>
        <w:rPr>
          <w:rFonts w:ascii="Times New Roman" w:hAnsi="Times New Roman" w:cs="Times New Roman"/>
        </w:rPr>
      </w:pPr>
      <w:r w:rsidRPr="00603C67">
        <w:rPr>
          <w:rFonts w:ascii="Times New Roman" w:hAnsi="Times New Roman" w:cs="Times New Roman"/>
          <w:b/>
          <w:noProof/>
          <w:sz w:val="20"/>
          <w:lang w:val="es-ES" w:eastAsia="es-ES"/>
        </w:rPr>
        <w:drawing>
          <wp:inline distT="0" distB="0" distL="0" distR="0" wp14:anchorId="5A900F38" wp14:editId="204327CC">
            <wp:extent cx="2667000" cy="18669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964A36" w14:textId="77777777" w:rsidR="00F25E21" w:rsidRPr="00603C67" w:rsidRDefault="00F25E21" w:rsidP="001A6038">
      <w:pPr>
        <w:spacing w:after="0" w:line="240" w:lineRule="auto"/>
        <w:jc w:val="both"/>
        <w:rPr>
          <w:rFonts w:ascii="Times New Roman" w:hAnsi="Times New Roman" w:cs="Times New Roman"/>
          <w:sz w:val="16"/>
        </w:rPr>
      </w:pPr>
      <w:r w:rsidRPr="00603C67">
        <w:rPr>
          <w:rFonts w:ascii="Times New Roman" w:hAnsi="Times New Roman" w:cs="Times New Roman"/>
          <w:sz w:val="16"/>
        </w:rPr>
        <w:t>Fuente: Ministerio de Finanzas Públicas</w:t>
      </w:r>
      <w:r w:rsidR="00080B88" w:rsidRPr="00603C67">
        <w:rPr>
          <w:rFonts w:ascii="Times New Roman" w:hAnsi="Times New Roman" w:cs="Times New Roman"/>
          <w:sz w:val="16"/>
        </w:rPr>
        <w:t>.</w:t>
      </w:r>
    </w:p>
    <w:p w14:paraId="23A9E092" w14:textId="77777777" w:rsidR="001A6038" w:rsidRPr="00603C67" w:rsidRDefault="001A6038" w:rsidP="001A6038">
      <w:pPr>
        <w:spacing w:after="0" w:line="240" w:lineRule="auto"/>
        <w:jc w:val="both"/>
        <w:rPr>
          <w:rFonts w:ascii="Times New Roman" w:hAnsi="Times New Roman" w:cs="Times New Roman"/>
          <w:i/>
        </w:rPr>
      </w:pPr>
    </w:p>
    <w:p w14:paraId="47190A8B" w14:textId="6E43B8C3" w:rsidR="00DC711C" w:rsidRPr="00603C67" w:rsidRDefault="007B222D" w:rsidP="00DC711C">
      <w:pPr>
        <w:spacing w:after="0" w:line="240" w:lineRule="auto"/>
        <w:jc w:val="both"/>
        <w:rPr>
          <w:rFonts w:ascii="Times New Roman" w:hAnsi="Times New Roman" w:cs="Times New Roman"/>
        </w:rPr>
      </w:pPr>
      <w:r>
        <w:rPr>
          <w:rFonts w:ascii="Times New Roman" w:hAnsi="Times New Roman" w:cs="Times New Roman"/>
        </w:rPr>
        <w:t xml:space="preserve">La recaudación </w:t>
      </w:r>
      <w:r w:rsidR="00DC711C" w:rsidRPr="00603C67">
        <w:rPr>
          <w:rFonts w:ascii="Times New Roman" w:hAnsi="Times New Roman" w:cs="Times New Roman"/>
        </w:rPr>
        <w:t>e</w:t>
      </w:r>
      <w:r>
        <w:rPr>
          <w:rFonts w:ascii="Times New Roman" w:hAnsi="Times New Roman" w:cs="Times New Roman"/>
        </w:rPr>
        <w:t xml:space="preserve">n 2021 registró, respecto al año anterior, </w:t>
      </w:r>
      <w:r w:rsidR="00DC711C" w:rsidRPr="00603C67">
        <w:rPr>
          <w:rFonts w:ascii="Times New Roman" w:hAnsi="Times New Roman" w:cs="Times New Roman"/>
        </w:rPr>
        <w:t>un crecimiento de 23.2% (Q3,36</w:t>
      </w:r>
      <w:r w:rsidR="00017D60" w:rsidRPr="00603C67">
        <w:rPr>
          <w:rFonts w:ascii="Times New Roman" w:hAnsi="Times New Roman" w:cs="Times New Roman"/>
        </w:rPr>
        <w:t>1.6</w:t>
      </w:r>
      <w:r w:rsidR="00DC711C" w:rsidRPr="00603C67">
        <w:rPr>
          <w:rFonts w:ascii="Times New Roman" w:hAnsi="Times New Roman" w:cs="Times New Roman"/>
        </w:rPr>
        <w:t xml:space="preserve"> millones) de los cuales el impuesto a la renta y el IVA son los</w:t>
      </w:r>
      <w:r>
        <w:rPr>
          <w:rFonts w:ascii="Times New Roman" w:hAnsi="Times New Roman" w:cs="Times New Roman"/>
        </w:rPr>
        <w:t xml:space="preserve"> que explican en una buena parte este buen desempeño.</w:t>
      </w:r>
      <w:r w:rsidRPr="00603C67">
        <w:rPr>
          <w:rFonts w:ascii="Times New Roman" w:hAnsi="Times New Roman" w:cs="Times New Roman"/>
        </w:rPr>
        <w:t xml:space="preserve"> </w:t>
      </w:r>
      <w:r>
        <w:rPr>
          <w:rFonts w:ascii="Times New Roman" w:hAnsi="Times New Roman" w:cs="Times New Roman"/>
        </w:rPr>
        <w:t xml:space="preserve"> V</w:t>
      </w:r>
      <w:r w:rsidR="00DC711C" w:rsidRPr="00603C67">
        <w:rPr>
          <w:rFonts w:ascii="Times New Roman" w:hAnsi="Times New Roman" w:cs="Times New Roman"/>
        </w:rPr>
        <w:t>ale indicar que al realizar el ajuste a las cifras de 2020 por la vigencia de la resolución SAT 280-2020 que difirió el vencimiento del ISR e IVA para el mes de abril</w:t>
      </w:r>
      <w:r>
        <w:rPr>
          <w:rFonts w:ascii="Times New Roman" w:hAnsi="Times New Roman" w:cs="Times New Roman"/>
        </w:rPr>
        <w:t>,</w:t>
      </w:r>
      <w:r w:rsidR="00DC711C" w:rsidRPr="00603C67">
        <w:rPr>
          <w:rFonts w:ascii="Times New Roman" w:hAnsi="Times New Roman" w:cs="Times New Roman"/>
        </w:rPr>
        <w:t xml:space="preserve"> el crecimiento es de 12.5% (Q1,9</w:t>
      </w:r>
      <w:r w:rsidR="00017D60" w:rsidRPr="00603C67">
        <w:rPr>
          <w:rFonts w:ascii="Times New Roman" w:hAnsi="Times New Roman" w:cs="Times New Roman"/>
        </w:rPr>
        <w:t>78.0</w:t>
      </w:r>
      <w:r w:rsidR="00DC711C" w:rsidRPr="00603C67">
        <w:rPr>
          <w:rFonts w:ascii="Times New Roman" w:hAnsi="Times New Roman" w:cs="Times New Roman"/>
        </w:rPr>
        <w:t xml:space="preserve"> millones).</w:t>
      </w:r>
    </w:p>
    <w:p w14:paraId="26B6579B" w14:textId="77777777" w:rsidR="00DC711C" w:rsidRPr="00603C67" w:rsidRDefault="00DC711C" w:rsidP="00DC711C">
      <w:pPr>
        <w:spacing w:after="0" w:line="240" w:lineRule="auto"/>
        <w:jc w:val="both"/>
        <w:rPr>
          <w:rFonts w:ascii="Times New Roman" w:hAnsi="Times New Roman" w:cs="Times New Roman"/>
        </w:rPr>
      </w:pPr>
    </w:p>
    <w:p w14:paraId="3C4B985F" w14:textId="7EBDD3E6" w:rsidR="00DC711C" w:rsidRPr="00603C67" w:rsidRDefault="002638D4" w:rsidP="00DC711C">
      <w:pPr>
        <w:spacing w:after="0" w:line="240" w:lineRule="auto"/>
        <w:jc w:val="both"/>
        <w:rPr>
          <w:rFonts w:ascii="Times New Roman" w:hAnsi="Times New Roman" w:cs="Times New Roman"/>
        </w:rPr>
      </w:pPr>
      <w:r>
        <w:rPr>
          <w:rFonts w:ascii="Times New Roman" w:hAnsi="Times New Roman" w:cs="Times New Roman"/>
        </w:rPr>
        <w:t xml:space="preserve">Asimismo, </w:t>
      </w:r>
      <w:r w:rsidR="00DC711C" w:rsidRPr="00603C67">
        <w:rPr>
          <w:rFonts w:ascii="Times New Roman" w:hAnsi="Times New Roman" w:cs="Times New Roman"/>
        </w:rPr>
        <w:t xml:space="preserve">en la comparación interanual la recuperación de la recaudación asociada al comercio internacional </w:t>
      </w:r>
      <w:r>
        <w:rPr>
          <w:rFonts w:ascii="Times New Roman" w:hAnsi="Times New Roman" w:cs="Times New Roman"/>
        </w:rPr>
        <w:t>registra un crecimiento de 21%</w:t>
      </w:r>
      <w:r w:rsidR="00DC711C" w:rsidRPr="00603C67">
        <w:rPr>
          <w:rFonts w:ascii="Times New Roman" w:hAnsi="Times New Roman" w:cs="Times New Roman"/>
        </w:rPr>
        <w:t xml:space="preserve"> (Q872.9 millones) respecto a lo observado en</w:t>
      </w:r>
      <w:r>
        <w:rPr>
          <w:rFonts w:ascii="Times New Roman" w:hAnsi="Times New Roman" w:cs="Times New Roman"/>
        </w:rPr>
        <w:t xml:space="preserve"> marzo de 2020.  E</w:t>
      </w:r>
      <w:r w:rsidR="00DC711C" w:rsidRPr="00603C67">
        <w:rPr>
          <w:rFonts w:ascii="Times New Roman" w:hAnsi="Times New Roman" w:cs="Times New Roman"/>
        </w:rPr>
        <w:t xml:space="preserve">l IVA de importaciones supera lo observado en Q756.8 millones y los derechos </w:t>
      </w:r>
      <w:r w:rsidR="00304D33">
        <w:rPr>
          <w:rFonts w:ascii="Times New Roman" w:hAnsi="Times New Roman" w:cs="Times New Roman"/>
        </w:rPr>
        <w:t>arancelarios en Q116.1 millones;</w:t>
      </w:r>
      <w:r w:rsidR="00DC711C" w:rsidRPr="00603C67">
        <w:rPr>
          <w:rFonts w:ascii="Times New Roman" w:hAnsi="Times New Roman" w:cs="Times New Roman"/>
        </w:rPr>
        <w:t xml:space="preserve"> al mes de febrero se observa según cifras del Banco de Guatemala que el valor de las importaciones de combustibles y lubricantes creció en 7.2%, el volumen en 1.4% y el precio en 5.7%, de igual manera se observan crecimientos a la misma fecha en las importaciones de bienes de capital, bienes de consumo y materias primas y productos intermedios.</w:t>
      </w:r>
    </w:p>
    <w:p w14:paraId="3B213DCB" w14:textId="77777777" w:rsidR="00F25E21" w:rsidRPr="00603C67" w:rsidRDefault="00F25E21" w:rsidP="00DC711C">
      <w:pPr>
        <w:spacing w:after="0" w:line="240" w:lineRule="auto"/>
        <w:jc w:val="center"/>
        <w:rPr>
          <w:rFonts w:ascii="Times New Roman" w:hAnsi="Times New Roman" w:cs="Times New Roman"/>
          <w:b/>
        </w:rPr>
      </w:pPr>
      <w:r w:rsidRPr="00603C67">
        <w:rPr>
          <w:rFonts w:ascii="Times New Roman" w:hAnsi="Times New Roman" w:cs="Times New Roman"/>
          <w:b/>
        </w:rPr>
        <w:lastRenderedPageBreak/>
        <w:t>Variación interanual de la recaudación</w:t>
      </w:r>
      <w:r w:rsidR="00DC711C" w:rsidRPr="00603C67">
        <w:rPr>
          <w:rFonts w:ascii="Times New Roman" w:hAnsi="Times New Roman" w:cs="Times New Roman"/>
          <w:b/>
        </w:rPr>
        <w:t xml:space="preserve"> tributaria neta </w:t>
      </w:r>
      <w:r w:rsidR="00F54627" w:rsidRPr="00603C67">
        <w:rPr>
          <w:rFonts w:ascii="Times New Roman" w:hAnsi="Times New Roman" w:cs="Times New Roman"/>
          <w:b/>
        </w:rPr>
        <w:t>2012-2021</w:t>
      </w:r>
    </w:p>
    <w:p w14:paraId="054C60F4" w14:textId="77777777" w:rsidR="00F25E21" w:rsidRPr="00603C67" w:rsidRDefault="00F25E21" w:rsidP="00F25E21">
      <w:pPr>
        <w:spacing w:after="0" w:line="240" w:lineRule="auto"/>
        <w:jc w:val="center"/>
        <w:rPr>
          <w:rFonts w:ascii="Times New Roman" w:hAnsi="Times New Roman" w:cs="Times New Roman"/>
          <w:sz w:val="20"/>
        </w:rPr>
      </w:pPr>
      <w:r w:rsidRPr="00603C67">
        <w:rPr>
          <w:rFonts w:ascii="Times New Roman" w:hAnsi="Times New Roman" w:cs="Times New Roman"/>
          <w:sz w:val="20"/>
        </w:rPr>
        <w:t>Porcentajes</w:t>
      </w:r>
    </w:p>
    <w:p w14:paraId="5E3019B3" w14:textId="77777777" w:rsidR="00F25E21" w:rsidRPr="00603C67" w:rsidRDefault="00DC711C" w:rsidP="00F25E21">
      <w:pPr>
        <w:spacing w:after="0" w:line="240" w:lineRule="auto"/>
        <w:jc w:val="both"/>
        <w:rPr>
          <w:rFonts w:ascii="Times New Roman" w:hAnsi="Times New Roman" w:cs="Times New Roman"/>
        </w:rPr>
      </w:pPr>
      <w:r w:rsidRPr="00603C67">
        <w:rPr>
          <w:rFonts w:ascii="Times New Roman" w:hAnsi="Times New Roman" w:cs="Times New Roman"/>
          <w:noProof/>
          <w:lang w:val="es-ES" w:eastAsia="es-ES"/>
        </w:rPr>
        <w:drawing>
          <wp:inline distT="0" distB="0" distL="0" distR="0" wp14:anchorId="437E2398" wp14:editId="2C9DFC7C">
            <wp:extent cx="2724150" cy="1704975"/>
            <wp:effectExtent l="0" t="0" r="0" b="0"/>
            <wp:docPr id="248"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56D68B" w14:textId="77777777" w:rsidR="00F25E21" w:rsidRPr="00603C67" w:rsidRDefault="00F25E21" w:rsidP="00F54627">
      <w:pPr>
        <w:spacing w:after="0" w:line="240" w:lineRule="auto"/>
        <w:jc w:val="both"/>
        <w:rPr>
          <w:rFonts w:ascii="Times New Roman" w:hAnsi="Times New Roman" w:cs="Times New Roman"/>
          <w:sz w:val="16"/>
        </w:rPr>
      </w:pPr>
      <w:r w:rsidRPr="00603C67">
        <w:rPr>
          <w:rFonts w:ascii="Times New Roman" w:hAnsi="Times New Roman" w:cs="Times New Roman"/>
          <w:sz w:val="16"/>
        </w:rPr>
        <w:t>Fuente: Ministerio de Finanzas Públicas</w:t>
      </w:r>
      <w:r w:rsidR="00080B88" w:rsidRPr="00603C67">
        <w:rPr>
          <w:rFonts w:ascii="Times New Roman" w:hAnsi="Times New Roman" w:cs="Times New Roman"/>
          <w:sz w:val="16"/>
        </w:rPr>
        <w:t>.</w:t>
      </w:r>
    </w:p>
    <w:p w14:paraId="7C718F9F" w14:textId="77777777" w:rsidR="00F54627" w:rsidRPr="00603C67" w:rsidRDefault="00F54627" w:rsidP="00F54627">
      <w:pPr>
        <w:spacing w:after="0" w:line="240" w:lineRule="auto"/>
        <w:jc w:val="both"/>
        <w:rPr>
          <w:rFonts w:ascii="Times New Roman" w:hAnsi="Times New Roman" w:cs="Times New Roman"/>
          <w:sz w:val="16"/>
        </w:rPr>
      </w:pPr>
    </w:p>
    <w:p w14:paraId="2B9FD427" w14:textId="75ACF5FF" w:rsidR="00DC711C" w:rsidRPr="00603C67" w:rsidRDefault="00304D33" w:rsidP="00DC711C">
      <w:pPr>
        <w:spacing w:after="0" w:line="240" w:lineRule="auto"/>
        <w:jc w:val="both"/>
        <w:rPr>
          <w:rFonts w:ascii="Times New Roman" w:hAnsi="Times New Roman" w:cs="Times New Roman"/>
        </w:rPr>
      </w:pPr>
      <w:r>
        <w:rPr>
          <w:rFonts w:ascii="Times New Roman" w:hAnsi="Times New Roman" w:cs="Times New Roman"/>
        </w:rPr>
        <w:t xml:space="preserve">Así en el mes de marzo, se </w:t>
      </w:r>
      <w:r w:rsidR="00DC711C" w:rsidRPr="00603C67">
        <w:rPr>
          <w:rFonts w:ascii="Times New Roman" w:hAnsi="Times New Roman" w:cs="Times New Roman"/>
        </w:rPr>
        <w:t>superó la meta establecida en presupuesto en casi todos los impuestos excepto el IVA asociado al consumo interno el cual dejó de percibir Q28.</w:t>
      </w:r>
      <w:r w:rsidR="00017D60" w:rsidRPr="00603C67">
        <w:rPr>
          <w:rFonts w:ascii="Times New Roman" w:hAnsi="Times New Roman" w:cs="Times New Roman"/>
        </w:rPr>
        <w:t>8</w:t>
      </w:r>
      <w:r w:rsidR="00DC711C" w:rsidRPr="00603C67">
        <w:rPr>
          <w:rFonts w:ascii="Times New Roman" w:hAnsi="Times New Roman" w:cs="Times New Roman"/>
        </w:rPr>
        <w:t xml:space="preserve"> millones.</w:t>
      </w:r>
    </w:p>
    <w:p w14:paraId="2D9AACB8" w14:textId="77777777" w:rsidR="00DC711C" w:rsidRPr="00603C67" w:rsidRDefault="00DC711C" w:rsidP="00080B88">
      <w:pPr>
        <w:spacing w:after="0" w:line="240" w:lineRule="auto"/>
        <w:jc w:val="both"/>
        <w:rPr>
          <w:rFonts w:ascii="Times New Roman" w:hAnsi="Times New Roman" w:cs="Times New Roman"/>
          <w:b/>
        </w:rPr>
      </w:pPr>
    </w:p>
    <w:p w14:paraId="21E0CC70" w14:textId="77777777" w:rsidR="00DC711C" w:rsidRPr="00603C67" w:rsidRDefault="00DC711C" w:rsidP="00DC711C">
      <w:pPr>
        <w:spacing w:after="0" w:line="240" w:lineRule="auto"/>
        <w:jc w:val="center"/>
        <w:rPr>
          <w:rFonts w:ascii="Times New Roman" w:hAnsi="Times New Roman" w:cs="Times New Roman"/>
          <w:b/>
          <w:bCs/>
        </w:rPr>
      </w:pPr>
      <w:r w:rsidRPr="00603C67">
        <w:rPr>
          <w:rFonts w:ascii="Times New Roman" w:hAnsi="Times New Roman" w:cs="Times New Roman"/>
          <w:b/>
          <w:bCs/>
        </w:rPr>
        <w:t>Recaudación de marzo 2021</w:t>
      </w:r>
    </w:p>
    <w:p w14:paraId="480FA400" w14:textId="77777777" w:rsidR="00DC711C" w:rsidRPr="00603C67" w:rsidRDefault="00DC711C" w:rsidP="00DC711C">
      <w:pPr>
        <w:spacing w:after="0" w:line="240" w:lineRule="auto"/>
        <w:jc w:val="center"/>
        <w:rPr>
          <w:rFonts w:ascii="Times New Roman" w:hAnsi="Times New Roman" w:cs="Times New Roman"/>
          <w:bCs/>
          <w:sz w:val="18"/>
        </w:rPr>
      </w:pPr>
      <w:r w:rsidRPr="00603C67">
        <w:rPr>
          <w:rFonts w:ascii="Times New Roman" w:hAnsi="Times New Roman" w:cs="Times New Roman"/>
          <w:bCs/>
          <w:sz w:val="18"/>
        </w:rPr>
        <w:t>Millones de quetzales</w:t>
      </w:r>
    </w:p>
    <w:p w14:paraId="1B138080" w14:textId="3C76EB9E" w:rsidR="00DC711C" w:rsidRPr="00603C67" w:rsidRDefault="00017D60" w:rsidP="00DC711C">
      <w:pPr>
        <w:spacing w:after="0" w:line="240" w:lineRule="auto"/>
        <w:jc w:val="both"/>
        <w:rPr>
          <w:rFonts w:ascii="Times New Roman" w:hAnsi="Times New Roman" w:cs="Times New Roman"/>
        </w:rPr>
      </w:pPr>
      <w:r w:rsidRPr="00603C67">
        <w:rPr>
          <w:noProof/>
          <w:lang w:val="es-ES" w:eastAsia="es-ES"/>
        </w:rPr>
        <w:drawing>
          <wp:inline distT="0" distB="0" distL="0" distR="0" wp14:anchorId="539855EE" wp14:editId="2ECB3CC0">
            <wp:extent cx="2784475"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207" cy="1791814"/>
                    </a:xfrm>
                    <a:prstGeom prst="rect">
                      <a:avLst/>
                    </a:prstGeom>
                    <a:noFill/>
                    <a:ln>
                      <a:noFill/>
                    </a:ln>
                  </pic:spPr>
                </pic:pic>
              </a:graphicData>
            </a:graphic>
          </wp:inline>
        </w:drawing>
      </w:r>
    </w:p>
    <w:p w14:paraId="56356293" w14:textId="77777777" w:rsidR="00DC711C" w:rsidRPr="00603C67" w:rsidRDefault="00DC711C" w:rsidP="00DC711C">
      <w:pPr>
        <w:spacing w:after="0" w:line="240" w:lineRule="auto"/>
        <w:jc w:val="both"/>
        <w:rPr>
          <w:rFonts w:ascii="Times New Roman" w:hAnsi="Times New Roman" w:cs="Times New Roman"/>
          <w:sz w:val="16"/>
        </w:rPr>
      </w:pPr>
      <w:r w:rsidRPr="00603C67">
        <w:rPr>
          <w:rFonts w:ascii="Times New Roman" w:hAnsi="Times New Roman" w:cs="Times New Roman"/>
          <w:sz w:val="16"/>
        </w:rPr>
        <w:t>Fuente: Ministerio de Finanzas Públicas</w:t>
      </w:r>
    </w:p>
    <w:p w14:paraId="59138475" w14:textId="77777777" w:rsidR="00DC711C" w:rsidRPr="00603C67" w:rsidRDefault="00DC711C" w:rsidP="00080B88">
      <w:pPr>
        <w:spacing w:after="0" w:line="240" w:lineRule="auto"/>
        <w:jc w:val="both"/>
        <w:rPr>
          <w:rFonts w:ascii="Times New Roman" w:hAnsi="Times New Roman" w:cs="Times New Roman"/>
          <w:b/>
        </w:rPr>
      </w:pPr>
    </w:p>
    <w:p w14:paraId="5CCD5B49" w14:textId="77777777" w:rsidR="00F25E21" w:rsidRPr="00603C67" w:rsidRDefault="00F25E21" w:rsidP="00080B88">
      <w:pPr>
        <w:spacing w:after="0" w:line="240" w:lineRule="auto"/>
        <w:jc w:val="both"/>
        <w:rPr>
          <w:rFonts w:ascii="Times New Roman" w:hAnsi="Times New Roman" w:cs="Times New Roman"/>
          <w:b/>
        </w:rPr>
      </w:pPr>
      <w:r w:rsidRPr="00603C67">
        <w:rPr>
          <w:rFonts w:ascii="Times New Roman" w:hAnsi="Times New Roman" w:cs="Times New Roman"/>
          <w:b/>
        </w:rPr>
        <w:t>El Impuesto a la renta y el ISO</w:t>
      </w:r>
    </w:p>
    <w:p w14:paraId="4D33F71B" w14:textId="77777777" w:rsidR="00080B88" w:rsidRPr="00603C67" w:rsidRDefault="00080B88" w:rsidP="00080B88">
      <w:pPr>
        <w:spacing w:after="0" w:line="240" w:lineRule="auto"/>
        <w:jc w:val="both"/>
        <w:rPr>
          <w:rFonts w:ascii="Times New Roman" w:hAnsi="Times New Roman" w:cs="Times New Roman"/>
          <w:b/>
        </w:rPr>
      </w:pPr>
    </w:p>
    <w:p w14:paraId="5D9B9CC0" w14:textId="0CA95093" w:rsidR="00DC711C" w:rsidRPr="00603C67" w:rsidRDefault="00304D33" w:rsidP="00DC711C">
      <w:pPr>
        <w:spacing w:after="0" w:line="240" w:lineRule="auto"/>
        <w:jc w:val="both"/>
        <w:rPr>
          <w:rFonts w:ascii="Times New Roman" w:hAnsi="Times New Roman" w:cs="Times New Roman"/>
        </w:rPr>
      </w:pPr>
      <w:r>
        <w:rPr>
          <w:rFonts w:ascii="Times New Roman" w:hAnsi="Times New Roman" w:cs="Times New Roman"/>
        </w:rPr>
        <w:t>El impuesto sobre la renta</w:t>
      </w:r>
      <w:r w:rsidR="00DC711C" w:rsidRPr="00603C67">
        <w:rPr>
          <w:rFonts w:ascii="Times New Roman" w:hAnsi="Times New Roman" w:cs="Times New Roman"/>
        </w:rPr>
        <w:t xml:space="preserve"> de marzo superó la meta de presupuesto en Q249.2 millones, vale indicar que en este mes </w:t>
      </w:r>
      <w:r>
        <w:rPr>
          <w:rFonts w:ascii="Times New Roman" w:hAnsi="Times New Roman" w:cs="Times New Roman"/>
        </w:rPr>
        <w:t xml:space="preserve">fue el vencimiento de </w:t>
      </w:r>
      <w:r w:rsidR="00DC711C" w:rsidRPr="00603C67">
        <w:rPr>
          <w:rFonts w:ascii="Times New Roman" w:hAnsi="Times New Roman" w:cs="Times New Roman"/>
        </w:rPr>
        <w:t xml:space="preserve">la declaración </w:t>
      </w:r>
      <w:r w:rsidR="0029410F">
        <w:rPr>
          <w:rFonts w:ascii="Times New Roman" w:hAnsi="Times New Roman" w:cs="Times New Roman"/>
        </w:rPr>
        <w:t>jurada anual del ejercicio 2020. C</w:t>
      </w:r>
      <w:r w:rsidR="00DC711C" w:rsidRPr="00603C67">
        <w:rPr>
          <w:rFonts w:ascii="Times New Roman" w:hAnsi="Times New Roman" w:cs="Times New Roman"/>
        </w:rPr>
        <w:t>on relación al ISO</w:t>
      </w:r>
      <w:r w:rsidR="0029410F">
        <w:rPr>
          <w:rFonts w:ascii="Times New Roman" w:hAnsi="Times New Roman" w:cs="Times New Roman"/>
        </w:rPr>
        <w:t>, en</w:t>
      </w:r>
      <w:r w:rsidR="00DC711C" w:rsidRPr="00603C67">
        <w:rPr>
          <w:rFonts w:ascii="Times New Roman" w:hAnsi="Times New Roman" w:cs="Times New Roman"/>
        </w:rPr>
        <w:t xml:space="preserve"> </w:t>
      </w:r>
      <w:r w:rsidR="0029410F">
        <w:rPr>
          <w:rFonts w:ascii="Times New Roman" w:hAnsi="Times New Roman" w:cs="Times New Roman"/>
        </w:rPr>
        <w:t>marzo se</w:t>
      </w:r>
      <w:r w:rsidR="00DC711C" w:rsidRPr="00603C67">
        <w:rPr>
          <w:rFonts w:ascii="Times New Roman" w:hAnsi="Times New Roman" w:cs="Times New Roman"/>
        </w:rPr>
        <w:t xml:space="preserve"> superó la meta de presupuesto en Q5</w:t>
      </w:r>
      <w:r w:rsidR="00017D60" w:rsidRPr="00603C67">
        <w:rPr>
          <w:rFonts w:ascii="Times New Roman" w:hAnsi="Times New Roman" w:cs="Times New Roman"/>
        </w:rPr>
        <w:t>0.9</w:t>
      </w:r>
      <w:r w:rsidR="00DC711C" w:rsidRPr="00603C67">
        <w:rPr>
          <w:rFonts w:ascii="Times New Roman" w:hAnsi="Times New Roman" w:cs="Times New Roman"/>
        </w:rPr>
        <w:t xml:space="preserve"> millones.</w:t>
      </w:r>
    </w:p>
    <w:p w14:paraId="6E2CBAE5" w14:textId="16C01DE8" w:rsidR="00F54627" w:rsidRPr="00603C67" w:rsidRDefault="00DC711C" w:rsidP="00DC711C">
      <w:pPr>
        <w:spacing w:after="0" w:line="240" w:lineRule="auto"/>
        <w:jc w:val="both"/>
        <w:rPr>
          <w:rFonts w:ascii="Times New Roman" w:hAnsi="Times New Roman" w:cs="Times New Roman"/>
        </w:rPr>
      </w:pPr>
      <w:r w:rsidRPr="00603C67">
        <w:rPr>
          <w:rFonts w:ascii="Times New Roman" w:hAnsi="Times New Roman" w:cs="Times New Roman"/>
        </w:rPr>
        <w:lastRenderedPageBreak/>
        <w:t>De manera acumula estos dos impuestos generan una brecha positiva al 31 de marzo de Q5</w:t>
      </w:r>
      <w:r w:rsidR="00014C82" w:rsidRPr="00603C67">
        <w:rPr>
          <w:rFonts w:ascii="Times New Roman" w:hAnsi="Times New Roman" w:cs="Times New Roman"/>
        </w:rPr>
        <w:t xml:space="preserve">08.1 </w:t>
      </w:r>
      <w:r w:rsidRPr="00603C67">
        <w:rPr>
          <w:rFonts w:ascii="Times New Roman" w:hAnsi="Times New Roman" w:cs="Times New Roman"/>
        </w:rPr>
        <w:t>millones respecto a la meta de presupuesto</w:t>
      </w:r>
      <w:r w:rsidR="0029410F">
        <w:rPr>
          <w:rFonts w:ascii="Times New Roman" w:hAnsi="Times New Roman" w:cs="Times New Roman"/>
        </w:rPr>
        <w:t>.  Con relación al año 2020 sin ajustes por el diferimiento</w:t>
      </w:r>
      <w:r w:rsidRPr="00603C67">
        <w:rPr>
          <w:rFonts w:ascii="Times New Roman" w:hAnsi="Times New Roman" w:cs="Times New Roman"/>
        </w:rPr>
        <w:t xml:space="preserve"> se observa una brecha de Q1,</w:t>
      </w:r>
      <w:r w:rsidR="00014C82" w:rsidRPr="00603C67">
        <w:rPr>
          <w:rFonts w:ascii="Times New Roman" w:hAnsi="Times New Roman" w:cs="Times New Roman"/>
        </w:rPr>
        <w:t>297.9</w:t>
      </w:r>
      <w:r w:rsidRPr="00603C67">
        <w:rPr>
          <w:rFonts w:ascii="Times New Roman" w:hAnsi="Times New Roman" w:cs="Times New Roman"/>
        </w:rPr>
        <w:t xml:space="preserve"> millones, con datos ajustados de 2020 la brecha se ubica en Q5</w:t>
      </w:r>
      <w:r w:rsidR="00014C82" w:rsidRPr="00603C67">
        <w:rPr>
          <w:rFonts w:ascii="Times New Roman" w:hAnsi="Times New Roman" w:cs="Times New Roman"/>
        </w:rPr>
        <w:t xml:space="preserve">08.7 </w:t>
      </w:r>
      <w:r w:rsidRPr="00603C67">
        <w:rPr>
          <w:rFonts w:ascii="Times New Roman" w:hAnsi="Times New Roman" w:cs="Times New Roman"/>
        </w:rPr>
        <w:t>millones, sigue siendo positiva, pero es menor.</w:t>
      </w:r>
    </w:p>
    <w:p w14:paraId="450AC44C" w14:textId="77777777" w:rsidR="00DC711C" w:rsidRPr="00603C67" w:rsidRDefault="00DC711C" w:rsidP="00DC711C">
      <w:pPr>
        <w:spacing w:after="0" w:line="240" w:lineRule="auto"/>
        <w:jc w:val="both"/>
        <w:rPr>
          <w:rFonts w:ascii="Times New Roman" w:hAnsi="Times New Roman" w:cs="Times New Roman"/>
        </w:rPr>
      </w:pPr>
    </w:p>
    <w:p w14:paraId="49198109" w14:textId="77777777" w:rsidR="00F25E21" w:rsidRPr="00603C67" w:rsidRDefault="00F25E21" w:rsidP="00080B88">
      <w:pPr>
        <w:spacing w:after="0" w:line="240" w:lineRule="auto"/>
        <w:jc w:val="both"/>
        <w:rPr>
          <w:rFonts w:ascii="Times New Roman" w:hAnsi="Times New Roman" w:cs="Times New Roman"/>
          <w:b/>
        </w:rPr>
      </w:pPr>
      <w:r w:rsidRPr="00603C67">
        <w:rPr>
          <w:rFonts w:ascii="Times New Roman" w:hAnsi="Times New Roman" w:cs="Times New Roman"/>
          <w:b/>
        </w:rPr>
        <w:t>El impuesto al valor agregado</w:t>
      </w:r>
    </w:p>
    <w:p w14:paraId="7277FF8C" w14:textId="77777777" w:rsidR="00080B88" w:rsidRPr="00603C67" w:rsidRDefault="00080B88" w:rsidP="00080B88">
      <w:pPr>
        <w:spacing w:after="0" w:line="240" w:lineRule="auto"/>
        <w:jc w:val="both"/>
        <w:rPr>
          <w:rFonts w:ascii="Times New Roman" w:hAnsi="Times New Roman" w:cs="Times New Roman"/>
          <w:b/>
        </w:rPr>
      </w:pPr>
    </w:p>
    <w:p w14:paraId="1D510F36" w14:textId="6FDEBF36" w:rsidR="00DC711C" w:rsidRPr="00603C67" w:rsidRDefault="0029410F" w:rsidP="00DC711C">
      <w:pPr>
        <w:spacing w:after="0" w:line="240" w:lineRule="auto"/>
        <w:jc w:val="both"/>
        <w:rPr>
          <w:rFonts w:ascii="Times New Roman" w:hAnsi="Times New Roman" w:cs="Times New Roman"/>
        </w:rPr>
      </w:pPr>
      <w:r>
        <w:rPr>
          <w:rFonts w:ascii="Times New Roman" w:hAnsi="Times New Roman" w:cs="Times New Roman"/>
        </w:rPr>
        <w:t xml:space="preserve">La dinámica de ese impuesto en el primer trimestre fue influenciada, entre otros aspectos, por el aumento en el consumo, por la </w:t>
      </w:r>
      <w:r w:rsidR="00DC711C" w:rsidRPr="00603C67">
        <w:rPr>
          <w:rFonts w:ascii="Times New Roman" w:hAnsi="Times New Roman" w:cs="Times New Roman"/>
        </w:rPr>
        <w:t xml:space="preserve">recuperación en las remesas familiares que a marzo </w:t>
      </w:r>
      <w:r>
        <w:rPr>
          <w:rFonts w:ascii="Times New Roman" w:hAnsi="Times New Roman" w:cs="Times New Roman"/>
        </w:rPr>
        <w:t xml:space="preserve">registran un crecimiento de </w:t>
      </w:r>
      <w:r w:rsidR="00DC711C" w:rsidRPr="00603C67">
        <w:rPr>
          <w:rFonts w:ascii="Times New Roman" w:hAnsi="Times New Roman" w:cs="Times New Roman"/>
        </w:rPr>
        <w:t>31%</w:t>
      </w:r>
      <w:r>
        <w:rPr>
          <w:rFonts w:ascii="Times New Roman" w:hAnsi="Times New Roman" w:cs="Times New Roman"/>
        </w:rPr>
        <w:t xml:space="preserve"> (el promedio de los últimos 10 años es de 10%), e</w:t>
      </w:r>
      <w:r w:rsidR="00DC711C" w:rsidRPr="00603C67">
        <w:rPr>
          <w:rFonts w:ascii="Times New Roman" w:hAnsi="Times New Roman" w:cs="Times New Roman"/>
        </w:rPr>
        <w:t>l</w:t>
      </w:r>
      <w:r>
        <w:rPr>
          <w:rFonts w:ascii="Times New Roman" w:hAnsi="Times New Roman" w:cs="Times New Roman"/>
        </w:rPr>
        <w:t xml:space="preserve"> IVA total registró</w:t>
      </w:r>
      <w:r w:rsidR="00DC711C" w:rsidRPr="00603C67">
        <w:rPr>
          <w:rFonts w:ascii="Times New Roman" w:hAnsi="Times New Roman" w:cs="Times New Roman"/>
        </w:rPr>
        <w:t xml:space="preserve"> una brecha mensual de Q343.</w:t>
      </w:r>
      <w:r w:rsidR="00014C82" w:rsidRPr="00603C67">
        <w:rPr>
          <w:rFonts w:ascii="Times New Roman" w:hAnsi="Times New Roman" w:cs="Times New Roman"/>
        </w:rPr>
        <w:t>5</w:t>
      </w:r>
      <w:r w:rsidR="00DC711C" w:rsidRPr="00603C67">
        <w:rPr>
          <w:rFonts w:ascii="Times New Roman" w:hAnsi="Times New Roman" w:cs="Times New Roman"/>
        </w:rPr>
        <w:t xml:space="preserve"> millones respecto a la meta de presupuesto, el impuesto al valor agregado asociado al consumo interno de marzo no alcanzó la meta de presupuesto</w:t>
      </w:r>
      <w:r>
        <w:rPr>
          <w:rFonts w:ascii="Times New Roman" w:hAnsi="Times New Roman" w:cs="Times New Roman"/>
        </w:rPr>
        <w:t>,</w:t>
      </w:r>
      <w:r w:rsidR="00DC711C" w:rsidRPr="00603C67">
        <w:rPr>
          <w:rFonts w:ascii="Times New Roman" w:hAnsi="Times New Roman" w:cs="Times New Roman"/>
        </w:rPr>
        <w:t xml:space="preserve"> se dejó de percibir Q28.</w:t>
      </w:r>
      <w:r w:rsidR="00014C82" w:rsidRPr="00603C67">
        <w:rPr>
          <w:rFonts w:ascii="Times New Roman" w:hAnsi="Times New Roman" w:cs="Times New Roman"/>
        </w:rPr>
        <w:t>8</w:t>
      </w:r>
      <w:r w:rsidR="00DC711C" w:rsidRPr="00603C67">
        <w:rPr>
          <w:rFonts w:ascii="Times New Roman" w:hAnsi="Times New Roman" w:cs="Times New Roman"/>
        </w:rPr>
        <w:t xml:space="preserve"> millones (el resultado de marzo obedece</w:t>
      </w:r>
      <w:r>
        <w:rPr>
          <w:rFonts w:ascii="Times New Roman" w:hAnsi="Times New Roman" w:cs="Times New Roman"/>
        </w:rPr>
        <w:t xml:space="preserve"> al consumo del mes de febrero);</w:t>
      </w:r>
      <w:r w:rsidR="00DC711C" w:rsidRPr="00603C67">
        <w:rPr>
          <w:rFonts w:ascii="Times New Roman" w:hAnsi="Times New Roman" w:cs="Times New Roman"/>
        </w:rPr>
        <w:t xml:space="preserve"> el IVA asociado al comercio exterior supera lo programado en</w:t>
      </w:r>
      <w:r>
        <w:rPr>
          <w:rFonts w:ascii="Times New Roman" w:hAnsi="Times New Roman" w:cs="Times New Roman"/>
        </w:rPr>
        <w:t xml:space="preserve"> presupuesto en Q372.3 millones</w:t>
      </w:r>
      <w:r w:rsidR="00DC711C" w:rsidRPr="00603C67">
        <w:rPr>
          <w:rFonts w:ascii="Times New Roman" w:hAnsi="Times New Roman" w:cs="Times New Roman"/>
        </w:rPr>
        <w:t>, con relación al año anterior la brecha de estos dos impuestos es de Q1,216.</w:t>
      </w:r>
      <w:r w:rsidR="00014C82" w:rsidRPr="00603C67">
        <w:rPr>
          <w:rFonts w:ascii="Times New Roman" w:hAnsi="Times New Roman" w:cs="Times New Roman"/>
        </w:rPr>
        <w:t>7</w:t>
      </w:r>
      <w:r w:rsidR="00DC711C" w:rsidRPr="00603C67">
        <w:rPr>
          <w:rFonts w:ascii="Times New Roman" w:hAnsi="Times New Roman" w:cs="Times New Roman"/>
        </w:rPr>
        <w:t xml:space="preserve"> millones esto sin ajustar (la brecha ajustada es de Q622.</w:t>
      </w:r>
      <w:r w:rsidR="00014C82" w:rsidRPr="00603C67">
        <w:rPr>
          <w:rFonts w:ascii="Times New Roman" w:hAnsi="Times New Roman" w:cs="Times New Roman"/>
        </w:rPr>
        <w:t>3</w:t>
      </w:r>
      <w:r w:rsidR="00DC711C" w:rsidRPr="00603C67">
        <w:rPr>
          <w:rFonts w:ascii="Times New Roman" w:hAnsi="Times New Roman" w:cs="Times New Roman"/>
        </w:rPr>
        <w:t xml:space="preserve"> millones).</w:t>
      </w:r>
    </w:p>
    <w:p w14:paraId="49C1425D" w14:textId="77777777" w:rsidR="00DC711C" w:rsidRPr="00603C67" w:rsidRDefault="00DC711C" w:rsidP="00DC711C">
      <w:pPr>
        <w:spacing w:after="0" w:line="240" w:lineRule="auto"/>
        <w:jc w:val="both"/>
        <w:rPr>
          <w:rFonts w:ascii="Times New Roman" w:hAnsi="Times New Roman" w:cs="Times New Roman"/>
        </w:rPr>
      </w:pPr>
    </w:p>
    <w:p w14:paraId="161BC906" w14:textId="639F4010" w:rsidR="00DC711C" w:rsidRDefault="00DC711C" w:rsidP="00DC711C">
      <w:pPr>
        <w:spacing w:after="0" w:line="240" w:lineRule="auto"/>
        <w:jc w:val="both"/>
        <w:rPr>
          <w:rFonts w:ascii="Times New Roman" w:hAnsi="Times New Roman" w:cs="Times New Roman"/>
        </w:rPr>
      </w:pPr>
      <w:r w:rsidRPr="00603C67">
        <w:rPr>
          <w:rFonts w:ascii="Times New Roman" w:hAnsi="Times New Roman" w:cs="Times New Roman"/>
        </w:rPr>
        <w:t>De manera acumulada este impuesto genera brecha positiva de Q</w:t>
      </w:r>
      <w:r w:rsidR="00014C82" w:rsidRPr="00603C67">
        <w:rPr>
          <w:rFonts w:ascii="Times New Roman" w:hAnsi="Times New Roman" w:cs="Times New Roman"/>
        </w:rPr>
        <w:t>399.9</w:t>
      </w:r>
      <w:r w:rsidRPr="00603C67">
        <w:rPr>
          <w:rFonts w:ascii="Times New Roman" w:hAnsi="Times New Roman" w:cs="Times New Roman"/>
        </w:rPr>
        <w:t xml:space="preserve"> millones respecto a la meta de presupuesto y de Q1,77</w:t>
      </w:r>
      <w:r w:rsidR="00014C82" w:rsidRPr="00603C67">
        <w:rPr>
          <w:rFonts w:ascii="Times New Roman" w:hAnsi="Times New Roman" w:cs="Times New Roman"/>
        </w:rPr>
        <w:t>4.9</w:t>
      </w:r>
      <w:r w:rsidRPr="00603C67">
        <w:rPr>
          <w:rFonts w:ascii="Times New Roman" w:hAnsi="Times New Roman" w:cs="Times New Roman"/>
        </w:rPr>
        <w:t xml:space="preserve"> </w:t>
      </w:r>
      <w:r w:rsidRPr="00603C67">
        <w:rPr>
          <w:rFonts w:ascii="Times New Roman" w:hAnsi="Times New Roman" w:cs="Times New Roman"/>
        </w:rPr>
        <w:lastRenderedPageBreak/>
        <w:t>millones respecto a 2020 sin ajustar (Q1,180.</w:t>
      </w:r>
      <w:r w:rsidR="00014C82" w:rsidRPr="00603C67">
        <w:rPr>
          <w:rFonts w:ascii="Times New Roman" w:hAnsi="Times New Roman" w:cs="Times New Roman"/>
        </w:rPr>
        <w:t>5</w:t>
      </w:r>
      <w:r w:rsidRPr="00603C67">
        <w:rPr>
          <w:rFonts w:ascii="Times New Roman" w:hAnsi="Times New Roman" w:cs="Times New Roman"/>
        </w:rPr>
        <w:t xml:space="preserve"> millones </w:t>
      </w:r>
      <w:r w:rsidR="00014C82" w:rsidRPr="00603C67">
        <w:rPr>
          <w:rFonts w:ascii="Times New Roman" w:hAnsi="Times New Roman" w:cs="Times New Roman"/>
        </w:rPr>
        <w:t xml:space="preserve">con datos </w:t>
      </w:r>
      <w:r w:rsidRPr="00603C67">
        <w:rPr>
          <w:rFonts w:ascii="Times New Roman" w:hAnsi="Times New Roman" w:cs="Times New Roman"/>
        </w:rPr>
        <w:t>ajustados).</w:t>
      </w:r>
    </w:p>
    <w:p w14:paraId="493C0DA0" w14:textId="70C3229C" w:rsidR="00F25E21" w:rsidRPr="00603C67" w:rsidRDefault="00F25E21" w:rsidP="00080B88">
      <w:pPr>
        <w:spacing w:after="0" w:line="240" w:lineRule="auto"/>
        <w:jc w:val="both"/>
        <w:rPr>
          <w:rFonts w:ascii="Times New Roman" w:hAnsi="Times New Roman" w:cs="Times New Roman"/>
          <w:b/>
          <w:bCs/>
        </w:rPr>
      </w:pPr>
      <w:r w:rsidRPr="00603C67">
        <w:rPr>
          <w:rFonts w:ascii="Times New Roman" w:hAnsi="Times New Roman" w:cs="Times New Roman"/>
          <w:b/>
          <w:bCs/>
        </w:rPr>
        <w:t>Los demás impuestos</w:t>
      </w:r>
    </w:p>
    <w:p w14:paraId="1FE39C54" w14:textId="77777777" w:rsidR="00DC711C" w:rsidRPr="00603C67" w:rsidRDefault="00DC711C" w:rsidP="00080B88">
      <w:pPr>
        <w:spacing w:after="0" w:line="240" w:lineRule="auto"/>
        <w:jc w:val="both"/>
        <w:rPr>
          <w:rFonts w:ascii="Times New Roman" w:hAnsi="Times New Roman" w:cs="Times New Roman"/>
          <w:b/>
          <w:bCs/>
        </w:rPr>
      </w:pPr>
    </w:p>
    <w:p w14:paraId="79F0F6E3" w14:textId="073BE2E2" w:rsidR="00DC711C" w:rsidRPr="00603C67" w:rsidRDefault="00DC711C" w:rsidP="00DC711C">
      <w:pPr>
        <w:spacing w:after="0" w:line="240" w:lineRule="auto"/>
        <w:jc w:val="both"/>
        <w:rPr>
          <w:rFonts w:ascii="Times New Roman" w:hAnsi="Times New Roman" w:cs="Times New Roman"/>
          <w:noProof/>
        </w:rPr>
      </w:pPr>
      <w:r w:rsidRPr="00603C67">
        <w:rPr>
          <w:rFonts w:ascii="Times New Roman" w:hAnsi="Times New Roman" w:cs="Times New Roman"/>
        </w:rPr>
        <w:t xml:space="preserve">De los demás impuestos, en marzo destaca que </w:t>
      </w:r>
      <w:r w:rsidR="00A23717" w:rsidRPr="00603C67">
        <w:rPr>
          <w:rFonts w:ascii="Times New Roman" w:hAnsi="Times New Roman" w:cs="Times New Roman"/>
        </w:rPr>
        <w:t xml:space="preserve">el impuesto al patrimonio y </w:t>
      </w:r>
      <w:r w:rsidRPr="00603C67">
        <w:rPr>
          <w:rFonts w:ascii="Times New Roman" w:hAnsi="Times New Roman" w:cs="Times New Roman"/>
        </w:rPr>
        <w:t xml:space="preserve">el impuesto a las salidas del país no logró superar la meta de presupuesto </w:t>
      </w:r>
      <w:r w:rsidR="00DF0162">
        <w:rPr>
          <w:rFonts w:ascii="Times New Roman" w:hAnsi="Times New Roman" w:cs="Times New Roman"/>
        </w:rPr>
        <w:t xml:space="preserve">dejándose </w:t>
      </w:r>
      <w:r w:rsidRPr="00603C67">
        <w:rPr>
          <w:rFonts w:ascii="Times New Roman" w:hAnsi="Times New Roman" w:cs="Times New Roman"/>
        </w:rPr>
        <w:t>de percibir</w:t>
      </w:r>
      <w:r w:rsidR="00A23717" w:rsidRPr="00603C67">
        <w:rPr>
          <w:rFonts w:ascii="Times New Roman" w:hAnsi="Times New Roman" w:cs="Times New Roman"/>
        </w:rPr>
        <w:t xml:space="preserve"> en conjunto </w:t>
      </w:r>
      <w:r w:rsidRPr="00603C67">
        <w:rPr>
          <w:rFonts w:ascii="Times New Roman" w:hAnsi="Times New Roman" w:cs="Times New Roman"/>
        </w:rPr>
        <w:t>Q</w:t>
      </w:r>
      <w:r w:rsidR="00014C82" w:rsidRPr="00603C67">
        <w:rPr>
          <w:rFonts w:ascii="Times New Roman" w:hAnsi="Times New Roman" w:cs="Times New Roman"/>
        </w:rPr>
        <w:t>1</w:t>
      </w:r>
      <w:r w:rsidR="00A23717" w:rsidRPr="00603C67">
        <w:rPr>
          <w:rFonts w:ascii="Times New Roman" w:hAnsi="Times New Roman" w:cs="Times New Roman"/>
        </w:rPr>
        <w:t>9.3</w:t>
      </w:r>
      <w:r w:rsidR="00DF0162">
        <w:rPr>
          <w:rFonts w:ascii="Times New Roman" w:hAnsi="Times New Roman" w:cs="Times New Roman"/>
        </w:rPr>
        <w:t xml:space="preserve"> millones. E</w:t>
      </w:r>
      <w:r w:rsidRPr="00603C67">
        <w:rPr>
          <w:rFonts w:ascii="Times New Roman" w:hAnsi="Times New Roman" w:cs="Times New Roman"/>
        </w:rPr>
        <w:t>l impuesto a las regalías e hidrocarburos compartibles superaron lo programado en Q1.7 millones</w:t>
      </w:r>
      <w:r w:rsidR="00DF0162">
        <w:rPr>
          <w:rFonts w:ascii="Times New Roman" w:hAnsi="Times New Roman" w:cs="Times New Roman"/>
        </w:rPr>
        <w:t>;</w:t>
      </w:r>
      <w:r w:rsidRPr="00603C67">
        <w:rPr>
          <w:rFonts w:ascii="Times New Roman" w:hAnsi="Times New Roman" w:cs="Times New Roman"/>
        </w:rPr>
        <w:t xml:space="preserve"> los demás impuestos superaron la meta, de manera acumulada la lectura es diferente el impuesto </w:t>
      </w:r>
      <w:r w:rsidR="00014C82" w:rsidRPr="00603C67">
        <w:rPr>
          <w:rFonts w:ascii="Times New Roman" w:hAnsi="Times New Roman" w:cs="Times New Roman"/>
        </w:rPr>
        <w:t xml:space="preserve">al patrimonio, el de </w:t>
      </w:r>
      <w:r w:rsidRPr="00603C67">
        <w:rPr>
          <w:rFonts w:ascii="Times New Roman" w:hAnsi="Times New Roman" w:cs="Times New Roman"/>
        </w:rPr>
        <w:t xml:space="preserve">los timbres fiscales y el de tabacos </w:t>
      </w:r>
      <w:r w:rsidR="00014C82" w:rsidRPr="00603C67">
        <w:rPr>
          <w:rFonts w:ascii="Times New Roman" w:hAnsi="Times New Roman" w:cs="Times New Roman"/>
        </w:rPr>
        <w:t>no alcanza la meta de presupuesto en conjunto generan una brecha de Q35.3 millones</w:t>
      </w:r>
      <w:r w:rsidR="00A23717" w:rsidRPr="00603C67">
        <w:rPr>
          <w:rFonts w:ascii="Times New Roman" w:hAnsi="Times New Roman" w:cs="Times New Roman"/>
        </w:rPr>
        <w:t xml:space="preserve">, además </w:t>
      </w:r>
      <w:r w:rsidRPr="00603C67">
        <w:rPr>
          <w:rFonts w:ascii="Times New Roman" w:hAnsi="Times New Roman" w:cs="Times New Roman"/>
        </w:rPr>
        <w:t>los impuestos no administrados por SAT de manera acumulada no alcanzan la meta de presupuesto y generan una brecha negativa de Q</w:t>
      </w:r>
      <w:r w:rsidR="00A23717" w:rsidRPr="00603C67">
        <w:rPr>
          <w:rFonts w:ascii="Times New Roman" w:hAnsi="Times New Roman" w:cs="Times New Roman"/>
        </w:rPr>
        <w:t>68.9</w:t>
      </w:r>
      <w:r w:rsidRPr="00603C67">
        <w:rPr>
          <w:rFonts w:ascii="Times New Roman" w:hAnsi="Times New Roman" w:cs="Times New Roman"/>
        </w:rPr>
        <w:t xml:space="preserve"> millones.</w:t>
      </w:r>
      <w:r w:rsidRPr="00603C67">
        <w:rPr>
          <w:rFonts w:ascii="Times New Roman" w:hAnsi="Times New Roman" w:cs="Times New Roman"/>
          <w:noProof/>
        </w:rPr>
        <w:t xml:space="preserve"> </w:t>
      </w:r>
    </w:p>
    <w:p w14:paraId="2C3C6165" w14:textId="77777777" w:rsidR="00DC711C" w:rsidRPr="00603C67" w:rsidRDefault="00DC711C" w:rsidP="00DC711C">
      <w:pPr>
        <w:spacing w:after="0" w:line="240" w:lineRule="auto"/>
        <w:jc w:val="both"/>
        <w:rPr>
          <w:rFonts w:ascii="Times New Roman" w:hAnsi="Times New Roman" w:cs="Times New Roman"/>
          <w:noProof/>
        </w:rPr>
      </w:pPr>
    </w:p>
    <w:p w14:paraId="23712E25" w14:textId="77777777" w:rsidR="00DC711C" w:rsidRPr="00603C67" w:rsidRDefault="00DC711C" w:rsidP="00DC711C">
      <w:pPr>
        <w:spacing w:after="0" w:line="240" w:lineRule="auto"/>
        <w:jc w:val="center"/>
        <w:rPr>
          <w:rFonts w:ascii="Times New Roman" w:hAnsi="Times New Roman" w:cs="Times New Roman"/>
          <w:b/>
          <w:bCs/>
          <w:noProof/>
        </w:rPr>
      </w:pPr>
      <w:r w:rsidRPr="00603C67">
        <w:rPr>
          <w:rFonts w:ascii="Times New Roman" w:hAnsi="Times New Roman" w:cs="Times New Roman"/>
          <w:b/>
          <w:bCs/>
          <w:noProof/>
        </w:rPr>
        <w:t>Recaudación tributaria acumulada al 31 de marzo (sin ajustar)</w:t>
      </w:r>
    </w:p>
    <w:p w14:paraId="4803FBBC" w14:textId="77777777" w:rsidR="00DC711C" w:rsidRPr="00603C67" w:rsidRDefault="00DC711C" w:rsidP="00DC711C">
      <w:pPr>
        <w:spacing w:after="0" w:line="240" w:lineRule="auto"/>
        <w:jc w:val="center"/>
        <w:rPr>
          <w:rFonts w:ascii="Times New Roman" w:hAnsi="Times New Roman" w:cs="Times New Roman"/>
          <w:bCs/>
          <w:noProof/>
          <w:sz w:val="18"/>
        </w:rPr>
      </w:pPr>
      <w:r w:rsidRPr="00603C67">
        <w:rPr>
          <w:rFonts w:ascii="Times New Roman" w:hAnsi="Times New Roman" w:cs="Times New Roman"/>
          <w:bCs/>
          <w:noProof/>
          <w:sz w:val="18"/>
        </w:rPr>
        <w:t>Millones de quetzales</w:t>
      </w:r>
    </w:p>
    <w:p w14:paraId="5BDD4146" w14:textId="5D3CC2D9" w:rsidR="00DC711C" w:rsidRPr="00603C67" w:rsidRDefault="00A23717" w:rsidP="00DC711C">
      <w:pPr>
        <w:spacing w:after="0" w:line="240" w:lineRule="auto"/>
        <w:jc w:val="both"/>
        <w:rPr>
          <w:rFonts w:ascii="Times New Roman" w:hAnsi="Times New Roman" w:cs="Times New Roman"/>
        </w:rPr>
      </w:pPr>
      <w:r w:rsidRPr="00603C67">
        <w:rPr>
          <w:noProof/>
          <w:lang w:val="es-ES" w:eastAsia="es-ES"/>
        </w:rPr>
        <w:drawing>
          <wp:inline distT="0" distB="0" distL="0" distR="0" wp14:anchorId="58C143EC" wp14:editId="72AFEB1C">
            <wp:extent cx="2790825" cy="1638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414" cy="1645103"/>
                    </a:xfrm>
                    <a:prstGeom prst="rect">
                      <a:avLst/>
                    </a:prstGeom>
                    <a:noFill/>
                    <a:ln>
                      <a:noFill/>
                    </a:ln>
                  </pic:spPr>
                </pic:pic>
              </a:graphicData>
            </a:graphic>
          </wp:inline>
        </w:drawing>
      </w:r>
    </w:p>
    <w:p w14:paraId="521DFC6F" w14:textId="77777777" w:rsidR="00DC711C" w:rsidRPr="00603C67" w:rsidRDefault="00DC711C" w:rsidP="00DC711C">
      <w:pPr>
        <w:spacing w:after="0" w:line="240" w:lineRule="auto"/>
        <w:jc w:val="both"/>
        <w:rPr>
          <w:rFonts w:ascii="Times New Roman" w:hAnsi="Times New Roman" w:cs="Times New Roman"/>
          <w:sz w:val="16"/>
        </w:rPr>
      </w:pPr>
      <w:r w:rsidRPr="00603C67">
        <w:rPr>
          <w:rFonts w:ascii="Times New Roman" w:hAnsi="Times New Roman" w:cs="Times New Roman"/>
          <w:sz w:val="16"/>
        </w:rPr>
        <w:t>Fuente: Ministerio de Finanzas Públicas</w:t>
      </w:r>
    </w:p>
    <w:p w14:paraId="636A1EA4" w14:textId="1F424B1E" w:rsidR="00A23717" w:rsidRPr="006B7BA0" w:rsidRDefault="00A23717">
      <w:pPr>
        <w:rPr>
          <w:rFonts w:ascii="Times New Roman" w:hAnsi="Times New Roman" w:cs="Times New Roman"/>
          <w:color w:val="FF0000"/>
          <w:sz w:val="16"/>
          <w:szCs w:val="18"/>
          <w:lang w:val="es-MX"/>
        </w:rPr>
      </w:pPr>
    </w:p>
    <w:p w14:paraId="1DDAFA2F" w14:textId="77777777" w:rsidR="001A6038" w:rsidRPr="00603C67" w:rsidRDefault="001A6038" w:rsidP="00674EAE">
      <w:pPr>
        <w:pStyle w:val="Sinespaciado"/>
        <w:jc w:val="both"/>
        <w:rPr>
          <w:rFonts w:ascii="Times New Roman" w:hAnsi="Times New Roman" w:cs="Times New Roman"/>
          <w:color w:val="FF0000"/>
          <w:szCs w:val="18"/>
          <w:lang w:val="es-MX"/>
        </w:rPr>
        <w:sectPr w:rsidR="001A6038" w:rsidRPr="00603C67" w:rsidSect="005A03A9">
          <w:headerReference w:type="default" r:id="rId18"/>
          <w:footerReference w:type="default" r:id="rId19"/>
          <w:type w:val="continuous"/>
          <w:pgSz w:w="12240" w:h="15840"/>
          <w:pgMar w:top="1417" w:right="1701" w:bottom="1417" w:left="1701" w:header="708" w:footer="708" w:gutter="0"/>
          <w:cols w:num="2" w:space="708"/>
          <w:docGrid w:linePitch="360"/>
        </w:sectPr>
      </w:pPr>
    </w:p>
    <w:p w14:paraId="79265E21" w14:textId="77777777" w:rsidR="00FA3B81" w:rsidRPr="00814020" w:rsidRDefault="00924740"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814020" w:rsidSect="00FA3B81">
          <w:headerReference w:type="default" r:id="rId20"/>
          <w:footerReference w:type="default" r:id="rId21"/>
          <w:type w:val="continuous"/>
          <w:pgSz w:w="12240" w:h="15840" w:code="1"/>
          <w:pgMar w:top="1418" w:right="1418" w:bottom="1418" w:left="1418" w:header="709" w:footer="709" w:gutter="0"/>
          <w:cols w:space="708"/>
          <w:docGrid w:linePitch="360"/>
        </w:sectPr>
      </w:pPr>
      <w:r w:rsidRPr="00814020">
        <w:rPr>
          <w:rFonts w:ascii="Times New Roman" w:hAnsi="Times New Roman" w:cs="Times New Roman"/>
          <w:b/>
          <w:lang w:val="es-MX"/>
        </w:rPr>
        <w:lastRenderedPageBreak/>
        <w:t xml:space="preserve">Se observa </w:t>
      </w:r>
      <w:r w:rsidR="002F0EAF" w:rsidRPr="00814020">
        <w:rPr>
          <w:rFonts w:ascii="Times New Roman" w:hAnsi="Times New Roman" w:cs="Times New Roman"/>
          <w:b/>
          <w:lang w:val="es-MX"/>
        </w:rPr>
        <w:t>un bajo</w:t>
      </w:r>
      <w:r w:rsidRPr="00814020">
        <w:rPr>
          <w:rFonts w:ascii="Times New Roman" w:hAnsi="Times New Roman" w:cs="Times New Roman"/>
          <w:b/>
          <w:lang w:val="es-MX"/>
        </w:rPr>
        <w:t xml:space="preserve"> dinamismo en el </w:t>
      </w:r>
      <w:r w:rsidR="00E37543" w:rsidRPr="00814020">
        <w:rPr>
          <w:rFonts w:ascii="Times New Roman" w:hAnsi="Times New Roman" w:cs="Times New Roman"/>
          <w:b/>
          <w:lang w:val="es-MX"/>
        </w:rPr>
        <w:t xml:space="preserve">gasto </w:t>
      </w:r>
      <w:r w:rsidR="0041262B" w:rsidRPr="00814020">
        <w:rPr>
          <w:rFonts w:ascii="Times New Roman" w:hAnsi="Times New Roman" w:cs="Times New Roman"/>
          <w:b/>
          <w:lang w:val="es-MX"/>
        </w:rPr>
        <w:t>público</w:t>
      </w:r>
    </w:p>
    <w:p w14:paraId="4FF60F0C" w14:textId="77777777" w:rsidR="00FA3B81" w:rsidRPr="00603C67" w:rsidRDefault="00FA3B81" w:rsidP="00FA3B81">
      <w:pPr>
        <w:pStyle w:val="Sinespaciado"/>
        <w:rPr>
          <w:rFonts w:ascii="Times New Roman" w:hAnsi="Times New Roman" w:cs="Times New Roman"/>
          <w:b/>
          <w:color w:val="FF0000"/>
          <w:sz w:val="18"/>
          <w:lang w:val="es-MX"/>
        </w:rPr>
      </w:pPr>
    </w:p>
    <w:p w14:paraId="2DAC3154" w14:textId="77777777" w:rsidR="00FA3B81" w:rsidRPr="00603C67" w:rsidRDefault="00FA3B81" w:rsidP="0041262B">
      <w:pPr>
        <w:pStyle w:val="Sinespaciado"/>
        <w:rPr>
          <w:rFonts w:ascii="Times New Roman" w:hAnsi="Times New Roman" w:cs="Times New Roman"/>
          <w:b/>
          <w:color w:val="FF0000"/>
          <w:lang w:val="es-MX"/>
        </w:rPr>
        <w:sectPr w:rsidR="00FA3B81" w:rsidRPr="00603C67" w:rsidSect="004E358C">
          <w:type w:val="continuous"/>
          <w:pgSz w:w="12240" w:h="15840"/>
          <w:pgMar w:top="1417" w:right="1701" w:bottom="1417" w:left="1701" w:header="708" w:footer="708" w:gutter="0"/>
          <w:cols w:space="708"/>
          <w:docGrid w:linePitch="360"/>
        </w:sectPr>
      </w:pPr>
    </w:p>
    <w:p w14:paraId="46B2F4EB" w14:textId="37F4BE54" w:rsidR="00924A44" w:rsidRDefault="00924A44" w:rsidP="00924A44">
      <w:pPr>
        <w:pStyle w:val="Sinespaciado"/>
        <w:jc w:val="both"/>
        <w:rPr>
          <w:rFonts w:ascii="Times New Roman" w:hAnsi="Times New Roman" w:cs="Times New Roman"/>
          <w:lang w:val="es-MX"/>
        </w:rPr>
      </w:pPr>
      <w:r w:rsidRPr="001E2D24">
        <w:rPr>
          <w:rFonts w:ascii="Times New Roman" w:hAnsi="Times New Roman" w:cs="Times New Roman"/>
          <w:lang w:val="es-MX"/>
        </w:rPr>
        <w:lastRenderedPageBreak/>
        <w:t xml:space="preserve">La ejecución del gasto público </w:t>
      </w:r>
      <w:r>
        <w:rPr>
          <w:rFonts w:ascii="Times New Roman" w:hAnsi="Times New Roman" w:cs="Times New Roman"/>
          <w:lang w:val="es-MX"/>
        </w:rPr>
        <w:t xml:space="preserve">a marzo </w:t>
      </w:r>
      <w:r w:rsidRPr="001E2D24">
        <w:rPr>
          <w:rFonts w:ascii="Times New Roman" w:hAnsi="Times New Roman" w:cs="Times New Roman"/>
          <w:lang w:val="es-MX"/>
        </w:rPr>
        <w:t>sin incluir las amortizaciones de</w:t>
      </w:r>
      <w:r>
        <w:rPr>
          <w:rFonts w:ascii="Times New Roman" w:hAnsi="Times New Roman" w:cs="Times New Roman"/>
          <w:lang w:val="es-MX"/>
        </w:rPr>
        <w:t xml:space="preserve"> la deuda pública se ubicó en Q17</w:t>
      </w:r>
      <w:r w:rsidRPr="001E2D24">
        <w:rPr>
          <w:rFonts w:ascii="Times New Roman" w:hAnsi="Times New Roman" w:cs="Times New Roman"/>
          <w:lang w:val="es-MX"/>
        </w:rPr>
        <w:t>,</w:t>
      </w:r>
      <w:r>
        <w:rPr>
          <w:rFonts w:ascii="Times New Roman" w:hAnsi="Times New Roman" w:cs="Times New Roman"/>
          <w:lang w:val="es-MX"/>
        </w:rPr>
        <w:t>225.7 millones</w:t>
      </w:r>
      <w:r w:rsidRPr="001E2D24">
        <w:rPr>
          <w:rFonts w:ascii="Times New Roman" w:hAnsi="Times New Roman" w:cs="Times New Roman"/>
          <w:lang w:val="es-MX"/>
        </w:rPr>
        <w:t xml:space="preserve"> con un crecimiento interanual</w:t>
      </w:r>
      <w:r>
        <w:rPr>
          <w:rFonts w:ascii="Times New Roman" w:hAnsi="Times New Roman" w:cs="Times New Roman"/>
          <w:lang w:val="es-MX"/>
        </w:rPr>
        <w:t xml:space="preserve"> de 2.0% (equivalente a Q329.8 millones), mostrando una </w:t>
      </w:r>
      <w:r>
        <w:rPr>
          <w:rFonts w:ascii="Times New Roman" w:hAnsi="Times New Roman" w:cs="Times New Roman"/>
          <w:lang w:val="es-MX"/>
        </w:rPr>
        <w:lastRenderedPageBreak/>
        <w:t>desaceleración respecto al dinami</w:t>
      </w:r>
      <w:r w:rsidR="00856967">
        <w:rPr>
          <w:rFonts w:ascii="Times New Roman" w:hAnsi="Times New Roman" w:cs="Times New Roman"/>
          <w:lang w:val="es-MX"/>
        </w:rPr>
        <w:t>smo observado en febrero (6.1%), sin embargo,</w:t>
      </w:r>
      <w:r>
        <w:rPr>
          <w:rFonts w:ascii="Times New Roman" w:hAnsi="Times New Roman" w:cs="Times New Roman"/>
          <w:lang w:val="es-MX"/>
        </w:rPr>
        <w:t xml:space="preserve"> el crecimiento observado en este año es </w:t>
      </w:r>
      <w:r w:rsidR="00856967">
        <w:rPr>
          <w:rFonts w:ascii="Times New Roman" w:hAnsi="Times New Roman" w:cs="Times New Roman"/>
          <w:lang w:val="es-MX"/>
        </w:rPr>
        <w:t>superior</w:t>
      </w:r>
      <w:r>
        <w:rPr>
          <w:rFonts w:ascii="Times New Roman" w:hAnsi="Times New Roman" w:cs="Times New Roman"/>
          <w:lang w:val="es-MX"/>
        </w:rPr>
        <w:t xml:space="preserve"> al reportado en 2020, cuando el gasto se encontraba creciendo en 2.4%. </w:t>
      </w:r>
    </w:p>
    <w:p w14:paraId="41ED218E" w14:textId="4EA2F3D3" w:rsidR="002F0EAF" w:rsidRPr="00603C67" w:rsidRDefault="00924A44" w:rsidP="00924A44">
      <w:pPr>
        <w:pStyle w:val="Sinespaciado"/>
        <w:jc w:val="both"/>
        <w:rPr>
          <w:rFonts w:ascii="Times New Roman" w:hAnsi="Times New Roman" w:cs="Times New Roman"/>
          <w:color w:val="FF0000"/>
          <w:lang w:val="es-MX"/>
        </w:rPr>
      </w:pPr>
      <w:r w:rsidRPr="002455D2">
        <w:rPr>
          <w:rFonts w:ascii="Times New Roman" w:hAnsi="Times New Roman" w:cs="Times New Roman"/>
          <w:lang w:val="es-MX"/>
        </w:rPr>
        <w:lastRenderedPageBreak/>
        <w:t>Dada la evolución de los ingresos fiscales y de</w:t>
      </w:r>
      <w:r>
        <w:rPr>
          <w:rFonts w:ascii="Times New Roman" w:hAnsi="Times New Roman" w:cs="Times New Roman"/>
          <w:lang w:val="es-MX"/>
        </w:rPr>
        <w:t xml:space="preserve"> </w:t>
      </w:r>
      <w:r w:rsidRPr="002455D2">
        <w:rPr>
          <w:rFonts w:ascii="Times New Roman" w:hAnsi="Times New Roman" w:cs="Times New Roman"/>
          <w:lang w:val="es-MX"/>
        </w:rPr>
        <w:t>mantenerse dicha dinámica, la ejecución de</w:t>
      </w:r>
      <w:r>
        <w:rPr>
          <w:rFonts w:ascii="Times New Roman" w:hAnsi="Times New Roman" w:cs="Times New Roman"/>
          <w:lang w:val="es-MX"/>
        </w:rPr>
        <w:t xml:space="preserve"> </w:t>
      </w:r>
      <w:r w:rsidRPr="002455D2">
        <w:rPr>
          <w:rFonts w:ascii="Times New Roman" w:hAnsi="Times New Roman" w:cs="Times New Roman"/>
          <w:lang w:val="es-MX"/>
        </w:rPr>
        <w:t>gasto público podría repuntar en el segundo</w:t>
      </w:r>
      <w:r>
        <w:rPr>
          <w:rFonts w:ascii="Times New Roman" w:hAnsi="Times New Roman" w:cs="Times New Roman"/>
          <w:lang w:val="es-MX"/>
        </w:rPr>
        <w:t xml:space="preserve"> </w:t>
      </w:r>
      <w:r w:rsidRPr="002455D2">
        <w:rPr>
          <w:rFonts w:ascii="Times New Roman" w:hAnsi="Times New Roman" w:cs="Times New Roman"/>
          <w:lang w:val="es-MX"/>
        </w:rPr>
        <w:t>semestre.</w:t>
      </w:r>
      <w:r w:rsidR="002F0EAF" w:rsidRPr="00603C67">
        <w:rPr>
          <w:rFonts w:ascii="Times New Roman" w:hAnsi="Times New Roman" w:cs="Times New Roman"/>
          <w:color w:val="FF0000"/>
          <w:lang w:val="es-MX"/>
        </w:rPr>
        <w:t xml:space="preserve"> </w:t>
      </w:r>
    </w:p>
    <w:p w14:paraId="412D2DB6" w14:textId="77777777" w:rsidR="002F0EAF" w:rsidRPr="00603C67" w:rsidRDefault="002F0EAF" w:rsidP="002F0EAF">
      <w:pPr>
        <w:pStyle w:val="Sinespaciado"/>
        <w:jc w:val="both"/>
        <w:rPr>
          <w:rFonts w:ascii="Times New Roman" w:hAnsi="Times New Roman" w:cs="Times New Roman"/>
          <w:color w:val="FF0000"/>
          <w:lang w:val="es-MX"/>
        </w:rPr>
      </w:pPr>
    </w:p>
    <w:p w14:paraId="7D3F72E2" w14:textId="77777777" w:rsidR="002F0EAF" w:rsidRPr="00924A44" w:rsidRDefault="002F0EAF" w:rsidP="002F0EAF">
      <w:pPr>
        <w:pStyle w:val="Sinespaciado"/>
        <w:jc w:val="center"/>
        <w:rPr>
          <w:rFonts w:ascii="Times New Roman" w:hAnsi="Times New Roman" w:cs="Times New Roman"/>
          <w:b/>
          <w:lang w:val="es-MX"/>
        </w:rPr>
      </w:pPr>
      <w:r w:rsidRPr="00924A44">
        <w:rPr>
          <w:rFonts w:ascii="Times New Roman" w:hAnsi="Times New Roman" w:cs="Times New Roman"/>
          <w:b/>
          <w:lang w:val="es-MX"/>
        </w:rPr>
        <w:t>Ritmo de Ejecución del Gasto</w:t>
      </w:r>
    </w:p>
    <w:p w14:paraId="06274B28" w14:textId="77777777" w:rsidR="002F0EAF" w:rsidRPr="00924A44" w:rsidRDefault="002F0EAF" w:rsidP="002F0EAF">
      <w:pPr>
        <w:pStyle w:val="Sinespaciado"/>
        <w:jc w:val="center"/>
        <w:rPr>
          <w:rFonts w:ascii="Times New Roman" w:hAnsi="Times New Roman" w:cs="Times New Roman"/>
          <w:sz w:val="18"/>
          <w:lang w:val="es-MX"/>
        </w:rPr>
      </w:pPr>
      <w:r w:rsidRPr="00924A44">
        <w:rPr>
          <w:rFonts w:ascii="Times New Roman" w:hAnsi="Times New Roman" w:cs="Times New Roman"/>
          <w:noProof/>
          <w:sz w:val="18"/>
          <w:lang w:val="es-ES" w:eastAsia="es-ES"/>
        </w:rPr>
        <w:drawing>
          <wp:anchor distT="0" distB="0" distL="114300" distR="114300" simplePos="0" relativeHeight="251772928" behindDoc="0" locked="0" layoutInCell="1" allowOverlap="1" wp14:anchorId="533D4F5B" wp14:editId="76231329">
            <wp:simplePos x="0" y="0"/>
            <wp:positionH relativeFrom="column">
              <wp:posOffset>-175260</wp:posOffset>
            </wp:positionH>
            <wp:positionV relativeFrom="paragraph">
              <wp:posOffset>187325</wp:posOffset>
            </wp:positionV>
            <wp:extent cx="2886075" cy="1924050"/>
            <wp:effectExtent l="0" t="0" r="0" b="0"/>
            <wp:wrapSquare wrapText="bothSides"/>
            <wp:docPr id="1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924A44">
        <w:rPr>
          <w:rFonts w:ascii="Times New Roman" w:hAnsi="Times New Roman" w:cs="Times New Roman"/>
          <w:sz w:val="18"/>
          <w:lang w:val="es-MX"/>
        </w:rPr>
        <w:t>Variación Interanual*</w:t>
      </w:r>
    </w:p>
    <w:p w14:paraId="2C7AE52B" w14:textId="77777777" w:rsidR="002F0EAF" w:rsidRPr="00924A44" w:rsidRDefault="002F0EAF" w:rsidP="002F0EAF">
      <w:pPr>
        <w:pStyle w:val="Sinespaciado"/>
        <w:rPr>
          <w:rFonts w:ascii="Times New Roman" w:hAnsi="Times New Roman" w:cs="Times New Roman"/>
          <w:sz w:val="16"/>
          <w:lang w:val="es-MX"/>
        </w:rPr>
      </w:pPr>
      <w:r w:rsidRPr="00924A44">
        <w:rPr>
          <w:rFonts w:ascii="Times New Roman" w:hAnsi="Times New Roman" w:cs="Times New Roman"/>
          <w:sz w:val="16"/>
          <w:lang w:val="es-MX"/>
        </w:rPr>
        <w:t>*No incluye amortizaciones de la deuda pública</w:t>
      </w:r>
    </w:p>
    <w:p w14:paraId="01B67FD6" w14:textId="77777777" w:rsidR="002F0EAF" w:rsidRPr="00924A44" w:rsidRDefault="002F0EAF" w:rsidP="002F0EAF">
      <w:pPr>
        <w:spacing w:after="0" w:line="240" w:lineRule="auto"/>
        <w:jc w:val="both"/>
        <w:rPr>
          <w:rFonts w:ascii="Times New Roman" w:hAnsi="Times New Roman" w:cs="Times New Roman"/>
          <w:sz w:val="16"/>
        </w:rPr>
      </w:pPr>
      <w:r w:rsidRPr="00924A44">
        <w:rPr>
          <w:rFonts w:ascii="Times New Roman" w:hAnsi="Times New Roman" w:cs="Times New Roman"/>
          <w:sz w:val="16"/>
        </w:rPr>
        <w:t>Fuente: Dirección de Análisis y Política Fiscal</w:t>
      </w:r>
    </w:p>
    <w:p w14:paraId="5152E6B8" w14:textId="77777777" w:rsidR="002F0EAF" w:rsidRPr="00603C67" w:rsidRDefault="002F0EAF" w:rsidP="002F0EAF">
      <w:pPr>
        <w:pStyle w:val="Sinespaciado"/>
        <w:jc w:val="both"/>
        <w:rPr>
          <w:rFonts w:ascii="Times New Roman" w:hAnsi="Times New Roman" w:cs="Times New Roman"/>
          <w:color w:val="FF0000"/>
          <w:lang w:val="es-MX"/>
        </w:rPr>
      </w:pPr>
    </w:p>
    <w:p w14:paraId="20BB662E" w14:textId="77777777"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absoluto se reporta en los bienes y servicios con una ejecución mayor en Q375.7 millones (equivalente a un crecimiento interanual de 27.5%), explicado principalmente por un aumento de Q278.9 millones en el Ministerio de Salud Pública y Asistencia Social asociados a los servicios médicos y sanitarios que además de las retribuciones por servicios profesionales y técnicos incluye pruebas de laboratorio, que contiene las asociadas al COVID-19. Así mismo, los productos medicinales y farmacéuticos, los útiles menores, instrumental médico y quirúrgico, de laboratorio y cuidado de la salud y otros estudios o servicios también reportan crecimientos interanuales importantes. </w:t>
      </w:r>
    </w:p>
    <w:p w14:paraId="504BAE34" w14:textId="77777777" w:rsidR="00654F4D" w:rsidRDefault="00654F4D" w:rsidP="00654F4D">
      <w:pPr>
        <w:pStyle w:val="Sinespaciado"/>
        <w:jc w:val="both"/>
        <w:rPr>
          <w:rFonts w:ascii="Times New Roman" w:hAnsi="Times New Roman" w:cs="Times New Roman"/>
          <w:lang w:val="es-MX"/>
        </w:rPr>
      </w:pPr>
    </w:p>
    <w:p w14:paraId="0266E347" w14:textId="77777777"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Por su parte, el Ministerio de Gobernación reporta un crecimiento interanual en el rubro de bienes y servicios de Q67.4 millones </w:t>
      </w:r>
      <w:r w:rsidRPr="00BC1A2D">
        <w:rPr>
          <w:rFonts w:ascii="Times New Roman" w:hAnsi="Times New Roman" w:cs="Times New Roman"/>
          <w:lang w:val="es-MX"/>
        </w:rPr>
        <w:t xml:space="preserve">(equivalente a </w:t>
      </w:r>
      <w:r>
        <w:rPr>
          <w:rFonts w:ascii="Times New Roman" w:hAnsi="Times New Roman" w:cs="Times New Roman"/>
          <w:lang w:val="es-MX"/>
        </w:rPr>
        <w:t>57</w:t>
      </w:r>
      <w:r w:rsidRPr="00BC1A2D">
        <w:rPr>
          <w:rFonts w:ascii="Times New Roman" w:hAnsi="Times New Roman" w:cs="Times New Roman"/>
          <w:lang w:val="es-MX"/>
        </w:rPr>
        <w:t>.</w:t>
      </w:r>
      <w:r>
        <w:rPr>
          <w:rFonts w:ascii="Times New Roman" w:hAnsi="Times New Roman" w:cs="Times New Roman"/>
          <w:lang w:val="es-MX"/>
        </w:rPr>
        <w:t>8</w:t>
      </w:r>
      <w:r w:rsidRPr="00BC1A2D">
        <w:rPr>
          <w:rFonts w:ascii="Times New Roman" w:hAnsi="Times New Roman" w:cs="Times New Roman"/>
          <w:lang w:val="es-MX"/>
        </w:rPr>
        <w:t>%</w:t>
      </w:r>
      <w:r>
        <w:rPr>
          <w:rFonts w:ascii="Times New Roman" w:hAnsi="Times New Roman" w:cs="Times New Roman"/>
          <w:lang w:val="es-MX"/>
        </w:rPr>
        <w:t xml:space="preserve">) como resultado de una mayor ejecución en las primas y gastos de seguros y fianzas, alimento para personas y </w:t>
      </w:r>
      <w:r>
        <w:rPr>
          <w:rFonts w:ascii="Times New Roman" w:hAnsi="Times New Roman" w:cs="Times New Roman"/>
          <w:lang w:val="es-MX"/>
        </w:rPr>
        <w:lastRenderedPageBreak/>
        <w:t xml:space="preserve">arrendamiento de edificios y locales. Mientras que los combustibles y lubricantes reportan una menor </w:t>
      </w:r>
      <w:r w:rsidRPr="001820BE">
        <w:rPr>
          <w:rFonts w:ascii="Times New Roman" w:hAnsi="Times New Roman" w:cs="Times New Roman"/>
          <w:lang w:val="es-MX"/>
        </w:rPr>
        <w:t xml:space="preserve">ejecución </w:t>
      </w:r>
      <w:r>
        <w:rPr>
          <w:rFonts w:ascii="Times New Roman" w:hAnsi="Times New Roman" w:cs="Times New Roman"/>
          <w:lang w:val="es-MX"/>
        </w:rPr>
        <w:t xml:space="preserve">contrayéndose un 49.0%. </w:t>
      </w:r>
    </w:p>
    <w:p w14:paraId="4029BADD" w14:textId="77777777" w:rsidR="00654F4D" w:rsidRDefault="00654F4D" w:rsidP="00654F4D">
      <w:pPr>
        <w:pStyle w:val="Sinespaciado"/>
        <w:jc w:val="both"/>
        <w:rPr>
          <w:rFonts w:ascii="Times New Roman" w:hAnsi="Times New Roman" w:cs="Times New Roman"/>
          <w:lang w:val="es-MX"/>
        </w:rPr>
      </w:pPr>
    </w:p>
    <w:p w14:paraId="1BF2803D" w14:textId="77777777"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Respecto al rubro de la inversión real directa, este reporta una mayor ejecución en Q281.6 millones respecto a lo reportado en 2020 (equivalente a 137.9% de incremento), explicado por un aumento de Q238.0 millones en la construcción de bienes nacionales de uso común a cargo del Ministerio de Comunicaciones, Infraestructura y Vivienda, lo cual incluye construcción de calles, caminos, puentes, entre otros. </w:t>
      </w:r>
    </w:p>
    <w:p w14:paraId="412E675F" w14:textId="77777777" w:rsidR="00654F4D" w:rsidRDefault="00654F4D" w:rsidP="00654F4D">
      <w:pPr>
        <w:pStyle w:val="Sinespaciado"/>
        <w:jc w:val="both"/>
        <w:rPr>
          <w:rFonts w:ascii="Times New Roman" w:hAnsi="Times New Roman" w:cs="Times New Roman"/>
          <w:lang w:val="es-MX"/>
        </w:rPr>
      </w:pPr>
    </w:p>
    <w:p w14:paraId="2C407EBB" w14:textId="77777777"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El rubro de las remuneraciones reporta una ejecución mayor en Q222.7 millones a la reportada en 2020, equivalente a un crecimiento de 3.4%. El Ministerio de Educación reporta un crecimiento interanual de 9.1% (equivalente a Q273.1 millones), esto se debe principalmente </w:t>
      </w:r>
      <w:r w:rsidRPr="00AE0BB5">
        <w:rPr>
          <w:rFonts w:ascii="Times New Roman" w:hAnsi="Times New Roman" w:cs="Times New Roman"/>
          <w:lang w:val="es-MX"/>
        </w:rPr>
        <w:t>al aumento salarial al Magisterio Nacional</w:t>
      </w:r>
      <w:r>
        <w:rPr>
          <w:rFonts w:ascii="Times New Roman" w:hAnsi="Times New Roman" w:cs="Times New Roman"/>
          <w:lang w:val="es-MX"/>
        </w:rPr>
        <w:t xml:space="preserve"> </w:t>
      </w:r>
      <w:r w:rsidRPr="00AE0BB5">
        <w:rPr>
          <w:rFonts w:ascii="Times New Roman" w:hAnsi="Times New Roman" w:cs="Times New Roman"/>
          <w:lang w:val="es-MX"/>
        </w:rPr>
        <w:t>otorgado en este año a los maestros, así como el</w:t>
      </w:r>
      <w:r>
        <w:rPr>
          <w:rFonts w:ascii="Times New Roman" w:hAnsi="Times New Roman" w:cs="Times New Roman"/>
          <w:lang w:val="es-MX"/>
        </w:rPr>
        <w:t xml:space="preserve"> </w:t>
      </w:r>
      <w:r w:rsidRPr="00AE0BB5">
        <w:rPr>
          <w:rFonts w:ascii="Times New Roman" w:hAnsi="Times New Roman" w:cs="Times New Roman"/>
          <w:lang w:val="es-MX"/>
        </w:rPr>
        <w:t>aumento por derechos escalafonarios al cual</w:t>
      </w:r>
      <w:r>
        <w:rPr>
          <w:rFonts w:ascii="Times New Roman" w:hAnsi="Times New Roman" w:cs="Times New Roman"/>
          <w:lang w:val="es-MX"/>
        </w:rPr>
        <w:t xml:space="preserve"> </w:t>
      </w:r>
      <w:r w:rsidRPr="00AE0BB5">
        <w:rPr>
          <w:rFonts w:ascii="Times New Roman" w:hAnsi="Times New Roman" w:cs="Times New Roman"/>
          <w:lang w:val="es-MX"/>
        </w:rPr>
        <w:t>tienen derecho algunos maestros por el tiempo</w:t>
      </w:r>
      <w:r>
        <w:rPr>
          <w:rFonts w:ascii="Times New Roman" w:hAnsi="Times New Roman" w:cs="Times New Roman"/>
          <w:lang w:val="es-MX"/>
        </w:rPr>
        <w:t xml:space="preserve"> </w:t>
      </w:r>
      <w:r w:rsidRPr="00AE0BB5">
        <w:rPr>
          <w:rFonts w:ascii="Times New Roman" w:hAnsi="Times New Roman" w:cs="Times New Roman"/>
          <w:lang w:val="es-MX"/>
        </w:rPr>
        <w:t>de servicio.</w:t>
      </w:r>
      <w:r>
        <w:rPr>
          <w:rFonts w:ascii="Times New Roman" w:hAnsi="Times New Roman" w:cs="Times New Roman"/>
          <w:lang w:val="es-MX"/>
        </w:rPr>
        <w:t xml:space="preserve"> Por su parte, las secretarias y otras dependencias del ejecutivo reportan una caída de 17.9% (equivalente a Q37.1 millones), como resultado principalmente de una menor ejecución del renglón 029 “otras remuneraciones del personal temporal”, con una variación interanual negativa de 46.7%. En cuanto a las prestaciones a la seguridad social, están reportan un crecimiento interanual de 5.3%, equivalente a Q63.0 millones.</w:t>
      </w:r>
    </w:p>
    <w:p w14:paraId="414A8FE5" w14:textId="77777777" w:rsidR="00654F4D" w:rsidRDefault="00654F4D" w:rsidP="00654F4D">
      <w:pPr>
        <w:pStyle w:val="Sinespaciado"/>
        <w:jc w:val="both"/>
        <w:rPr>
          <w:rFonts w:ascii="Times New Roman" w:hAnsi="Times New Roman" w:cs="Times New Roman"/>
          <w:lang w:val="es-MX"/>
        </w:rPr>
      </w:pPr>
    </w:p>
    <w:p w14:paraId="647F145D" w14:textId="77777777"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En los intereses de la deuda interna y externa se registra un crecimiento de 1.3%, equivalente a Q23.8 millones. En la deuda interna el desembolso es mayor en Q78 millones, mientras que en la deuda externa hay una menor ejecución de Q54.2 millones, explicado por los préstamos con organismos </w:t>
      </w:r>
      <w:r>
        <w:rPr>
          <w:rFonts w:ascii="Times New Roman" w:hAnsi="Times New Roman" w:cs="Times New Roman"/>
          <w:lang w:val="es-MX"/>
        </w:rPr>
        <w:lastRenderedPageBreak/>
        <w:t xml:space="preserve">internacionales, no obstante, se espera que este comportamiento varíe en los próximos meses. </w:t>
      </w:r>
    </w:p>
    <w:p w14:paraId="154BAD43" w14:textId="4088EA79" w:rsidR="00654F4D" w:rsidRDefault="00654F4D" w:rsidP="00654F4D">
      <w:pPr>
        <w:pStyle w:val="Sinespaciado"/>
        <w:jc w:val="both"/>
        <w:rPr>
          <w:rFonts w:ascii="Times New Roman" w:hAnsi="Times New Roman" w:cs="Times New Roman"/>
          <w:lang w:val="es-MX"/>
        </w:rPr>
      </w:pPr>
      <w:r>
        <w:rPr>
          <w:rFonts w:ascii="Times New Roman" w:hAnsi="Times New Roman" w:cs="Times New Roman"/>
          <w:lang w:val="es-MX"/>
        </w:rPr>
        <w:t xml:space="preserve">Por su parte, las transferencias de capital y las transferencias corrientes reportan variaciones interanuales negativas de 6.6% y 14.2%, respectivamente. </w:t>
      </w:r>
      <w:r w:rsidR="000F7A5E">
        <w:rPr>
          <w:rFonts w:ascii="Times New Roman" w:hAnsi="Times New Roman" w:cs="Times New Roman"/>
          <w:lang w:val="es-MX"/>
        </w:rPr>
        <w:t xml:space="preserve"> </w:t>
      </w:r>
      <w:r w:rsidRPr="002B0411">
        <w:rPr>
          <w:rFonts w:ascii="Times New Roman" w:hAnsi="Times New Roman" w:cs="Times New Roman"/>
          <w:lang w:val="es-MX"/>
        </w:rPr>
        <w:t>En el caso de las transferencias de capital, el menor desempeño se debe a las transferencias al sector público, las cuales reportan una variación interanual negativa de 7.9%, esto se debe a una disminución en la transferencia hacia las municipalidades (Q62.9 millones), hacia los Consejos de Desarrollo (Q51.5 millones), hacia la Universidad de San Carlos (Q37.4 millones) y hacia Empresas públicas municipales financieras (Q16 millones).</w:t>
      </w:r>
      <w:r>
        <w:rPr>
          <w:rFonts w:ascii="Times New Roman" w:hAnsi="Times New Roman" w:cs="Times New Roman"/>
          <w:lang w:val="es-MX"/>
        </w:rPr>
        <w:t xml:space="preserve">  </w:t>
      </w:r>
    </w:p>
    <w:p w14:paraId="1342A79A" w14:textId="77777777" w:rsidR="00654F4D" w:rsidRDefault="00654F4D" w:rsidP="00654F4D">
      <w:pPr>
        <w:pStyle w:val="Sinespaciado"/>
        <w:jc w:val="both"/>
        <w:rPr>
          <w:rFonts w:ascii="Times New Roman" w:hAnsi="Times New Roman" w:cs="Times New Roman"/>
          <w:lang w:val="es-MX"/>
        </w:rPr>
      </w:pPr>
    </w:p>
    <w:p w14:paraId="7F2484A0" w14:textId="77777777" w:rsidR="00654F4D" w:rsidRPr="00584C93" w:rsidRDefault="00654F4D" w:rsidP="00654F4D">
      <w:pPr>
        <w:pStyle w:val="Sinespaciado"/>
        <w:jc w:val="both"/>
        <w:rPr>
          <w:rFonts w:ascii="Times New Roman" w:hAnsi="Times New Roman" w:cs="Times New Roman"/>
          <w:lang w:val="es-MX"/>
        </w:rPr>
      </w:pPr>
      <w:r w:rsidRPr="00584C93">
        <w:rPr>
          <w:rFonts w:ascii="Times New Roman" w:hAnsi="Times New Roman" w:cs="Times New Roman"/>
          <w:lang w:val="es-MX"/>
        </w:rPr>
        <w:t>En el caso de las transferencias corrientes</w:t>
      </w:r>
      <w:r>
        <w:rPr>
          <w:rFonts w:ascii="Times New Roman" w:hAnsi="Times New Roman" w:cs="Times New Roman"/>
          <w:lang w:val="es-MX"/>
        </w:rPr>
        <w:t>, estas muestran una caída de Q517.8 millones, la cual se compone por una disminución a las orientadas</w:t>
      </w:r>
      <w:r w:rsidRPr="00584C93">
        <w:rPr>
          <w:rFonts w:ascii="Times New Roman" w:hAnsi="Times New Roman" w:cs="Times New Roman"/>
          <w:lang w:val="es-MX"/>
        </w:rPr>
        <w:t xml:space="preserve"> al sector público </w:t>
      </w:r>
      <w:r>
        <w:rPr>
          <w:rFonts w:ascii="Times New Roman" w:hAnsi="Times New Roman" w:cs="Times New Roman"/>
          <w:lang w:val="es-MX"/>
        </w:rPr>
        <w:t xml:space="preserve">en </w:t>
      </w:r>
      <w:r w:rsidRPr="00584C93">
        <w:rPr>
          <w:rFonts w:ascii="Times New Roman" w:hAnsi="Times New Roman" w:cs="Times New Roman"/>
          <w:lang w:val="es-MX"/>
        </w:rPr>
        <w:t>Q168.1 millones, como resultado de un menor desembolso de recursos para el</w:t>
      </w:r>
      <w:r w:rsidRPr="00584C93">
        <w:t xml:space="preserve"> </w:t>
      </w:r>
      <w:r w:rsidRPr="00584C93">
        <w:rPr>
          <w:rFonts w:ascii="Times New Roman" w:hAnsi="Times New Roman" w:cs="Times New Roman"/>
          <w:lang w:val="es-MX"/>
        </w:rPr>
        <w:t xml:space="preserve">Organismo Judicial (Q249.5 millones) y el Ministerio Público (Q41.8 millones), principalmente. Mientras que el Ministerio de Gobernación realizó una transferencia hacia el Instituto Guatemalteco de Migración por Q191.9 millones, que compensa en alguna medida la caída reportada en las transferencias al sector público. Por medio del </w:t>
      </w:r>
      <w:r>
        <w:rPr>
          <w:rFonts w:ascii="Times New Roman" w:hAnsi="Times New Roman" w:cs="Times New Roman"/>
          <w:lang w:val="es-MX"/>
        </w:rPr>
        <w:t>D</w:t>
      </w:r>
      <w:r w:rsidRPr="00584C93">
        <w:rPr>
          <w:rFonts w:ascii="Times New Roman" w:hAnsi="Times New Roman" w:cs="Times New Roman"/>
          <w:lang w:val="es-MX"/>
        </w:rPr>
        <w:t xml:space="preserve">ecreto 44-2016 se creó el Instituto Guatemalteco de Migración (IGM) como una dependencia descentralizada del Organismo Ejecutivo sustituyendo a la Dirección General de Migración (DGM), la gradualidad de esta transición considera un período máximo de dos años luego de aprobado el plan de transición y nombrado un Director, </w:t>
      </w:r>
      <w:r>
        <w:rPr>
          <w:rFonts w:ascii="Times New Roman" w:hAnsi="Times New Roman" w:cs="Times New Roman"/>
          <w:lang w:val="es-MX"/>
        </w:rPr>
        <w:t xml:space="preserve">quedando </w:t>
      </w:r>
      <w:r w:rsidRPr="00584C93">
        <w:rPr>
          <w:rFonts w:ascii="Times New Roman" w:hAnsi="Times New Roman" w:cs="Times New Roman"/>
          <w:lang w:val="es-MX"/>
        </w:rPr>
        <w:t xml:space="preserve">el Ministerio de Gobernación </w:t>
      </w:r>
      <w:r>
        <w:rPr>
          <w:rFonts w:ascii="Times New Roman" w:hAnsi="Times New Roman" w:cs="Times New Roman"/>
          <w:lang w:val="es-MX"/>
        </w:rPr>
        <w:t xml:space="preserve">a cargo </w:t>
      </w:r>
      <w:r w:rsidRPr="00584C93">
        <w:rPr>
          <w:rFonts w:ascii="Times New Roman" w:hAnsi="Times New Roman" w:cs="Times New Roman"/>
          <w:lang w:val="es-MX"/>
        </w:rPr>
        <w:t xml:space="preserve">de trasladar los fondos que le fueron asignados para la </w:t>
      </w:r>
      <w:r>
        <w:rPr>
          <w:rFonts w:ascii="Times New Roman" w:hAnsi="Times New Roman" w:cs="Times New Roman"/>
          <w:lang w:val="es-MX"/>
        </w:rPr>
        <w:t>DGM al IGM, mediante aportes</w:t>
      </w:r>
      <w:r w:rsidRPr="00584C93">
        <w:rPr>
          <w:rFonts w:ascii="Times New Roman" w:hAnsi="Times New Roman" w:cs="Times New Roman"/>
          <w:lang w:val="es-MX"/>
        </w:rPr>
        <w:t>.</w:t>
      </w:r>
    </w:p>
    <w:p w14:paraId="3700EB7B" w14:textId="77777777" w:rsidR="00654F4D" w:rsidRPr="00584C93" w:rsidRDefault="00654F4D" w:rsidP="00654F4D">
      <w:pPr>
        <w:pStyle w:val="Sinespaciado"/>
        <w:jc w:val="both"/>
        <w:rPr>
          <w:rFonts w:ascii="Times New Roman" w:hAnsi="Times New Roman" w:cs="Times New Roman"/>
          <w:lang w:val="es-MX"/>
        </w:rPr>
      </w:pPr>
    </w:p>
    <w:p w14:paraId="60273828" w14:textId="1AB0D4FF" w:rsidR="002F0EAF" w:rsidRPr="00603C67" w:rsidRDefault="000F7A5E" w:rsidP="00654F4D">
      <w:pPr>
        <w:pStyle w:val="Sinespaciado"/>
        <w:jc w:val="both"/>
        <w:rPr>
          <w:rFonts w:ascii="Times New Roman" w:hAnsi="Times New Roman" w:cs="Times New Roman"/>
          <w:color w:val="FF0000"/>
          <w:lang w:val="es-MX"/>
        </w:rPr>
      </w:pPr>
      <w:r>
        <w:rPr>
          <w:rFonts w:ascii="Times New Roman" w:hAnsi="Times New Roman" w:cs="Times New Roman"/>
          <w:lang w:val="es-MX"/>
        </w:rPr>
        <w:t>Y e</w:t>
      </w:r>
      <w:r w:rsidR="00654F4D" w:rsidRPr="00584C93">
        <w:rPr>
          <w:rFonts w:ascii="Times New Roman" w:hAnsi="Times New Roman" w:cs="Times New Roman"/>
          <w:lang w:val="es-MX"/>
        </w:rPr>
        <w:t xml:space="preserve">n lo que respecta a las transferencias corrientes al sector privado, estas caen en </w:t>
      </w:r>
      <w:r w:rsidR="00654F4D" w:rsidRPr="00584C93">
        <w:rPr>
          <w:rFonts w:ascii="Times New Roman" w:hAnsi="Times New Roman" w:cs="Times New Roman"/>
          <w:lang w:val="es-MX"/>
        </w:rPr>
        <w:lastRenderedPageBreak/>
        <w:t>27.1%, equivalente a Q354.3 m</w:t>
      </w:r>
      <w:r w:rsidR="00654F4D">
        <w:rPr>
          <w:rFonts w:ascii="Times New Roman" w:hAnsi="Times New Roman" w:cs="Times New Roman"/>
          <w:lang w:val="es-MX"/>
        </w:rPr>
        <w:t>illones, explicado por una menor ejecución en el Ministerio de Educación por Q381.4 millones, debido a una caída en las transferencias que se realizan a las instituciones sin fines de lucro que corresponde a Organizaciones de Padres Familia, Juntas Escolares, Consejos Educativos e Institutos por Cooperativas, entre otras.</w:t>
      </w:r>
      <w:r w:rsidR="002F0EAF" w:rsidRPr="00603C67">
        <w:rPr>
          <w:rFonts w:ascii="Times New Roman" w:hAnsi="Times New Roman" w:cs="Times New Roman"/>
          <w:color w:val="FF0000"/>
          <w:lang w:val="es-MX"/>
        </w:rPr>
        <w:t xml:space="preserve"> </w:t>
      </w:r>
    </w:p>
    <w:p w14:paraId="5BA246D9" w14:textId="77777777" w:rsidR="002F0EAF" w:rsidRPr="00654F4D" w:rsidRDefault="002F0EAF" w:rsidP="002F0EAF">
      <w:pPr>
        <w:pStyle w:val="Sinespaciado"/>
        <w:jc w:val="both"/>
        <w:rPr>
          <w:rFonts w:ascii="Times New Roman" w:hAnsi="Times New Roman" w:cs="Times New Roman"/>
          <w:lang w:val="es-MX"/>
        </w:rPr>
      </w:pPr>
    </w:p>
    <w:p w14:paraId="7B84D762" w14:textId="56A928EA" w:rsidR="002F0EAF" w:rsidRPr="00654F4D" w:rsidRDefault="002F0EAF" w:rsidP="002F0EAF">
      <w:pPr>
        <w:pStyle w:val="Sinespaciado"/>
        <w:jc w:val="center"/>
        <w:rPr>
          <w:rFonts w:ascii="Times New Roman" w:hAnsi="Times New Roman" w:cs="Times New Roman"/>
          <w:sz w:val="18"/>
          <w:lang w:val="es-MX"/>
        </w:rPr>
      </w:pPr>
      <w:r w:rsidRPr="00654F4D">
        <w:rPr>
          <w:rFonts w:ascii="Times New Roman" w:hAnsi="Times New Roman" w:cs="Times New Roman"/>
          <w:b/>
          <w:lang w:val="es-MX"/>
        </w:rPr>
        <w:t>Ejecución por rubro de Cuenta Económica</w:t>
      </w:r>
      <w:r w:rsidRPr="00654F4D">
        <w:t xml:space="preserve"> </w:t>
      </w:r>
      <w:r w:rsidRPr="00654F4D">
        <w:rPr>
          <w:rFonts w:ascii="Times New Roman" w:hAnsi="Times New Roman" w:cs="Times New Roman"/>
          <w:sz w:val="18"/>
          <w:lang w:val="es-MX"/>
        </w:rPr>
        <w:t>2021 – 2020</w:t>
      </w:r>
    </w:p>
    <w:p w14:paraId="3247C1AA" w14:textId="32937505" w:rsidR="002F0EAF" w:rsidRPr="00654F4D" w:rsidRDefault="00654F4D" w:rsidP="002F0EAF">
      <w:pPr>
        <w:pStyle w:val="Sinespaciado"/>
        <w:jc w:val="center"/>
        <w:rPr>
          <w:rFonts w:ascii="Times New Roman" w:hAnsi="Times New Roman" w:cs="Times New Roman"/>
          <w:sz w:val="18"/>
          <w:lang w:val="es-MX"/>
        </w:rPr>
      </w:pPr>
      <w:r w:rsidRPr="00654F4D">
        <w:rPr>
          <w:rFonts w:ascii="Times New Roman" w:hAnsi="Times New Roman" w:cs="Times New Roman"/>
          <w:noProof/>
          <w:sz w:val="18"/>
          <w:lang w:val="es-ES" w:eastAsia="es-ES"/>
        </w:rPr>
        <w:drawing>
          <wp:anchor distT="0" distB="0" distL="114300" distR="114300" simplePos="0" relativeHeight="251784192" behindDoc="0" locked="0" layoutInCell="1" allowOverlap="1" wp14:anchorId="292621C6" wp14:editId="7A434B30">
            <wp:simplePos x="0" y="0"/>
            <wp:positionH relativeFrom="column">
              <wp:posOffset>0</wp:posOffset>
            </wp:positionH>
            <wp:positionV relativeFrom="paragraph">
              <wp:posOffset>180975</wp:posOffset>
            </wp:positionV>
            <wp:extent cx="2800350" cy="2000250"/>
            <wp:effectExtent l="0" t="0" r="0" b="0"/>
            <wp:wrapSquare wrapText="bothSides"/>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F0EAF" w:rsidRPr="00654F4D">
        <w:rPr>
          <w:rFonts w:ascii="Times New Roman" w:hAnsi="Times New Roman" w:cs="Times New Roman"/>
          <w:sz w:val="18"/>
          <w:lang w:val="es-MX"/>
        </w:rPr>
        <w:t>Variación absoluta interanual</w:t>
      </w:r>
    </w:p>
    <w:p w14:paraId="05DD625D" w14:textId="77777777" w:rsidR="002F0EAF" w:rsidRPr="00654F4D" w:rsidRDefault="002F0EAF" w:rsidP="00506BDB">
      <w:pPr>
        <w:spacing w:after="0" w:line="240" w:lineRule="auto"/>
        <w:jc w:val="both"/>
        <w:rPr>
          <w:rFonts w:ascii="Times New Roman" w:hAnsi="Times New Roman" w:cs="Times New Roman"/>
          <w:sz w:val="16"/>
        </w:rPr>
      </w:pPr>
      <w:r w:rsidRPr="00654F4D">
        <w:rPr>
          <w:rFonts w:ascii="Times New Roman" w:hAnsi="Times New Roman" w:cs="Times New Roman"/>
          <w:sz w:val="16"/>
        </w:rPr>
        <w:t>Fuente: Dirección de Análisis y Política Fiscal</w:t>
      </w:r>
    </w:p>
    <w:p w14:paraId="60F3B9A7" w14:textId="77777777" w:rsidR="00654F4D" w:rsidRDefault="00654F4D" w:rsidP="002F0EAF">
      <w:pPr>
        <w:pStyle w:val="Sinespaciado"/>
        <w:jc w:val="both"/>
        <w:rPr>
          <w:rFonts w:ascii="Times New Roman" w:hAnsi="Times New Roman" w:cs="Times New Roman"/>
          <w:color w:val="FF0000"/>
          <w:lang w:val="es-MX"/>
        </w:rPr>
      </w:pPr>
    </w:p>
    <w:p w14:paraId="4F9EA8EC" w14:textId="77777777" w:rsidR="00EE30E6" w:rsidRDefault="00EE30E6" w:rsidP="00EE30E6">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18</w:t>
      </w:r>
      <w:r w:rsidRPr="006220B2">
        <w:rPr>
          <w:rFonts w:ascii="Times New Roman" w:hAnsi="Times New Roman" w:cs="Times New Roman"/>
          <w:lang w:val="es-MX"/>
        </w:rPr>
        <w:t>,</w:t>
      </w:r>
      <w:r>
        <w:rPr>
          <w:rFonts w:ascii="Times New Roman" w:hAnsi="Times New Roman" w:cs="Times New Roman"/>
          <w:lang w:val="es-MX"/>
        </w:rPr>
        <w:t xml:space="preserve">065.3 </w:t>
      </w:r>
      <w:r w:rsidRPr="006220B2">
        <w:rPr>
          <w:rFonts w:ascii="Times New Roman" w:hAnsi="Times New Roman" w:cs="Times New Roman"/>
          <w:lang w:val="es-MX"/>
        </w:rPr>
        <w:t>millones</w:t>
      </w:r>
      <w:r>
        <w:rPr>
          <w:rFonts w:ascii="Times New Roman" w:hAnsi="Times New Roman" w:cs="Times New Roman"/>
          <w:lang w:val="es-MX"/>
        </w:rPr>
        <w:t>, con un grado de ejecución de 16.8% y una variación interanual de 1.7%.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19.5</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w:t>
      </w:r>
    </w:p>
    <w:p w14:paraId="14C34113" w14:textId="77777777" w:rsidR="00EE30E6" w:rsidRDefault="00EE30E6" w:rsidP="00EE30E6">
      <w:pPr>
        <w:pStyle w:val="Sinespaciado"/>
        <w:jc w:val="both"/>
        <w:rPr>
          <w:rFonts w:ascii="Times New Roman" w:hAnsi="Times New Roman" w:cs="Times New Roman"/>
          <w:lang w:val="es-MX"/>
        </w:rPr>
      </w:pPr>
    </w:p>
    <w:p w14:paraId="7AEF700F" w14:textId="629D2BB5" w:rsidR="002F0EAF" w:rsidRDefault="00EE30E6" w:rsidP="00EE30E6">
      <w:pPr>
        <w:pStyle w:val="Sinespaciado"/>
        <w:jc w:val="both"/>
        <w:rPr>
          <w:rFonts w:ascii="Times New Roman" w:hAnsi="Times New Roman" w:cs="Times New Roman"/>
          <w:color w:val="FF0000"/>
          <w:lang w:val="es-MX"/>
        </w:rPr>
      </w:pPr>
      <w:r>
        <w:rPr>
          <w:rFonts w:ascii="Times New Roman" w:hAnsi="Times New Roman" w:cs="Times New Roman"/>
          <w:lang w:val="es-MX"/>
        </w:rPr>
        <w:t>El grado de ejecución se percibe bajo por el efecto de contar con un presupuesto vigente de Q107,521.5 millones, el cual responde a la coyuntura atípica a causa del COVID-19 del año 2020. E</w:t>
      </w:r>
      <w:r w:rsidRPr="00034070">
        <w:rPr>
          <w:rFonts w:ascii="Times New Roman" w:hAnsi="Times New Roman" w:cs="Times New Roman"/>
          <w:lang w:val="es-MX"/>
        </w:rPr>
        <w:t xml:space="preserve">l Ejecutivo comunicó que el gasto máximo en el que se puede incurrir durante el presente ejercicio fiscal asciende a Q94,354.0 millones, </w:t>
      </w:r>
      <w:r>
        <w:rPr>
          <w:rFonts w:ascii="Times New Roman" w:hAnsi="Times New Roman" w:cs="Times New Roman"/>
          <w:lang w:val="es-MX"/>
        </w:rPr>
        <w:t xml:space="preserve">tomando en consideración este techo presupuestario, la ejecución se ubicaría en 19.1%, siendo aún inferior al promedio de los </w:t>
      </w:r>
      <w:r>
        <w:rPr>
          <w:rFonts w:ascii="Times New Roman" w:hAnsi="Times New Roman" w:cs="Times New Roman"/>
          <w:lang w:val="es-MX"/>
        </w:rPr>
        <w:lastRenderedPageBreak/>
        <w:t>últimos 5 años, pero superior a la reportada en 2017 y 2018.</w:t>
      </w:r>
      <w:r w:rsidR="002F0EAF" w:rsidRPr="00603C67">
        <w:rPr>
          <w:rFonts w:ascii="Times New Roman" w:hAnsi="Times New Roman" w:cs="Times New Roman"/>
          <w:color w:val="FF0000"/>
          <w:lang w:val="es-MX"/>
        </w:rPr>
        <w:t xml:space="preserve"> </w:t>
      </w:r>
    </w:p>
    <w:p w14:paraId="42A2BA89" w14:textId="77777777" w:rsidR="006B7BA0" w:rsidRPr="00603C67" w:rsidRDefault="006B7BA0" w:rsidP="00EE30E6">
      <w:pPr>
        <w:pStyle w:val="Sinespaciado"/>
        <w:jc w:val="both"/>
        <w:rPr>
          <w:rFonts w:ascii="Times New Roman" w:hAnsi="Times New Roman" w:cs="Times New Roman"/>
          <w:color w:val="FF0000"/>
          <w:lang w:val="es-MX"/>
        </w:rPr>
      </w:pPr>
    </w:p>
    <w:p w14:paraId="3C0899B6" w14:textId="1815DB4C" w:rsidR="002F0EAF" w:rsidRPr="00EE30E6" w:rsidRDefault="002F0EAF" w:rsidP="006B7BA0">
      <w:pPr>
        <w:spacing w:after="0" w:line="240" w:lineRule="auto"/>
        <w:jc w:val="center"/>
        <w:rPr>
          <w:rFonts w:ascii="Times New Roman" w:hAnsi="Times New Roman" w:cs="Times New Roman"/>
          <w:b/>
          <w:lang w:val="es-MX"/>
        </w:rPr>
      </w:pPr>
      <w:r w:rsidRPr="00EE30E6">
        <w:rPr>
          <w:rFonts w:ascii="Times New Roman" w:hAnsi="Times New Roman" w:cs="Times New Roman"/>
          <w:b/>
          <w:lang w:val="es-MX"/>
        </w:rPr>
        <w:t>Grado de Ejecución de los últimos 5 años</w:t>
      </w:r>
    </w:p>
    <w:p w14:paraId="30FDB375" w14:textId="0744B05B" w:rsidR="002F0EAF" w:rsidRPr="00EE30E6" w:rsidRDefault="002F0EAF" w:rsidP="002F0EAF">
      <w:pPr>
        <w:pStyle w:val="Sinespaciado"/>
        <w:jc w:val="center"/>
        <w:rPr>
          <w:rFonts w:ascii="Times New Roman" w:hAnsi="Times New Roman" w:cs="Times New Roman"/>
          <w:sz w:val="18"/>
          <w:szCs w:val="18"/>
          <w:lang w:val="es-MX"/>
        </w:rPr>
      </w:pPr>
      <w:r w:rsidRPr="00EE30E6">
        <w:rPr>
          <w:rFonts w:ascii="Times New Roman" w:hAnsi="Times New Roman" w:cs="Times New Roman"/>
          <w:sz w:val="18"/>
          <w:szCs w:val="18"/>
          <w:lang w:val="es-MX"/>
        </w:rPr>
        <w:t>Al 31 de marzo de cada año</w:t>
      </w:r>
    </w:p>
    <w:p w14:paraId="0FDA6F44" w14:textId="712E41F6" w:rsidR="002F0EAF" w:rsidRPr="00EE30E6" w:rsidRDefault="006B7BA0" w:rsidP="002F0EAF">
      <w:pPr>
        <w:pStyle w:val="Sinespaciado"/>
        <w:jc w:val="center"/>
        <w:rPr>
          <w:rFonts w:ascii="Times New Roman" w:hAnsi="Times New Roman" w:cs="Times New Roman"/>
          <w:sz w:val="18"/>
          <w:szCs w:val="18"/>
          <w:lang w:val="es-MX"/>
        </w:rPr>
      </w:pPr>
      <w:r w:rsidRPr="00EE30E6">
        <w:rPr>
          <w:rFonts w:ascii="Times New Roman" w:hAnsi="Times New Roman" w:cs="Times New Roman"/>
          <w:noProof/>
          <w:sz w:val="18"/>
          <w:szCs w:val="18"/>
          <w:lang w:val="es-ES" w:eastAsia="es-ES"/>
        </w:rPr>
        <w:drawing>
          <wp:anchor distT="0" distB="0" distL="114300" distR="114300" simplePos="0" relativeHeight="251786240" behindDoc="0" locked="0" layoutInCell="1" allowOverlap="1" wp14:anchorId="22DBEBC9" wp14:editId="16A56F55">
            <wp:simplePos x="0" y="0"/>
            <wp:positionH relativeFrom="column">
              <wp:posOffset>-3810</wp:posOffset>
            </wp:positionH>
            <wp:positionV relativeFrom="paragraph">
              <wp:posOffset>173355</wp:posOffset>
            </wp:positionV>
            <wp:extent cx="2828925" cy="1495425"/>
            <wp:effectExtent l="0" t="0" r="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F0EAF" w:rsidRPr="00EE30E6">
        <w:rPr>
          <w:rFonts w:ascii="Times New Roman" w:hAnsi="Times New Roman" w:cs="Times New Roman"/>
          <w:sz w:val="18"/>
          <w:szCs w:val="18"/>
          <w:lang w:val="es-MX"/>
        </w:rPr>
        <w:t>Cifras en porcentajes</w:t>
      </w:r>
    </w:p>
    <w:p w14:paraId="49EB3C6C" w14:textId="24343012" w:rsidR="002F0EAF" w:rsidRPr="00EE30E6" w:rsidRDefault="002F0EAF" w:rsidP="002F0EAF">
      <w:pPr>
        <w:spacing w:after="0" w:line="240" w:lineRule="auto"/>
        <w:jc w:val="both"/>
        <w:rPr>
          <w:rFonts w:ascii="Times New Roman" w:hAnsi="Times New Roman" w:cs="Times New Roman"/>
          <w:b/>
          <w:i/>
          <w:sz w:val="16"/>
        </w:rPr>
      </w:pPr>
      <w:r w:rsidRPr="00EE30E6">
        <w:rPr>
          <w:rFonts w:ascii="Times New Roman" w:hAnsi="Times New Roman" w:cs="Times New Roman"/>
          <w:b/>
          <w:i/>
          <w:sz w:val="16"/>
        </w:rPr>
        <w:t>*Con presupuesto 2021 ajustado Q94,354.0 millones</w:t>
      </w:r>
    </w:p>
    <w:p w14:paraId="6079E854" w14:textId="6604435D" w:rsidR="002F0EAF" w:rsidRPr="00603C67" w:rsidRDefault="002F0EAF" w:rsidP="002F0EAF">
      <w:pPr>
        <w:spacing w:after="0" w:line="240" w:lineRule="auto"/>
        <w:jc w:val="both"/>
        <w:rPr>
          <w:rFonts w:ascii="Times New Roman" w:hAnsi="Times New Roman" w:cs="Times New Roman"/>
          <w:color w:val="FF0000"/>
          <w:sz w:val="16"/>
        </w:rPr>
      </w:pPr>
      <w:r w:rsidRPr="00EE30E6">
        <w:rPr>
          <w:rFonts w:ascii="Times New Roman" w:hAnsi="Times New Roman" w:cs="Times New Roman"/>
          <w:sz w:val="16"/>
        </w:rPr>
        <w:t>Fuente: Dirección de Análisis y Política Fiscal</w:t>
      </w:r>
    </w:p>
    <w:p w14:paraId="3FD2CA56" w14:textId="0F6412EB" w:rsidR="002F0EAF" w:rsidRPr="006B7BA0" w:rsidRDefault="002F0EAF" w:rsidP="002F0EAF">
      <w:pPr>
        <w:pStyle w:val="Sinespaciado"/>
        <w:jc w:val="both"/>
        <w:rPr>
          <w:rFonts w:ascii="Times New Roman" w:hAnsi="Times New Roman" w:cs="Times New Roman"/>
          <w:color w:val="FF0000"/>
          <w:sz w:val="16"/>
        </w:rPr>
      </w:pPr>
    </w:p>
    <w:p w14:paraId="219D5D5E" w14:textId="2B0D90FB" w:rsidR="00814020" w:rsidRPr="00904449" w:rsidRDefault="00814020" w:rsidP="00814020">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(28.1%),</w:t>
      </w:r>
      <w:r w:rsidRPr="00904449">
        <w:t xml:space="preserve"> </w:t>
      </w:r>
      <w:r w:rsidRPr="00904449">
        <w:rPr>
          <w:rFonts w:ascii="Times New Roman" w:hAnsi="Times New Roman" w:cs="Times New Roman"/>
        </w:rPr>
        <w:t>Educación (</w:t>
      </w:r>
      <w:r>
        <w:rPr>
          <w:rFonts w:ascii="Times New Roman" w:hAnsi="Times New Roman" w:cs="Times New Roman"/>
        </w:rPr>
        <w:t>23</w:t>
      </w:r>
      <w:r w:rsidRPr="00904449">
        <w:rPr>
          <w:rFonts w:ascii="Times New Roman" w:hAnsi="Times New Roman" w:cs="Times New Roman"/>
        </w:rPr>
        <w:t>.</w:t>
      </w:r>
      <w:r>
        <w:rPr>
          <w:rFonts w:ascii="Times New Roman" w:hAnsi="Times New Roman" w:cs="Times New Roman"/>
        </w:rPr>
        <w:t>7%), Gobernación (2</w:t>
      </w:r>
      <w:r w:rsidRPr="00904449">
        <w:rPr>
          <w:rFonts w:ascii="Times New Roman" w:hAnsi="Times New Roman" w:cs="Times New Roman"/>
        </w:rPr>
        <w:t>3</w:t>
      </w:r>
      <w:r>
        <w:rPr>
          <w:rFonts w:ascii="Times New Roman" w:hAnsi="Times New Roman" w:cs="Times New Roman"/>
        </w:rPr>
        <w:t>.4</w:t>
      </w:r>
      <w:r w:rsidRPr="00904449">
        <w:rPr>
          <w:rFonts w:ascii="Times New Roman" w:hAnsi="Times New Roman" w:cs="Times New Roman"/>
        </w:rPr>
        <w:t>%),</w:t>
      </w:r>
      <w:r>
        <w:rPr>
          <w:rFonts w:ascii="Times New Roman" w:hAnsi="Times New Roman" w:cs="Times New Roman"/>
        </w:rPr>
        <w:t xml:space="preserve"> Ambiente (21.1%),</w:t>
      </w:r>
      <w:r w:rsidRPr="00904449">
        <w:t xml:space="preserve"> </w:t>
      </w:r>
      <w:r w:rsidRPr="00904449">
        <w:rPr>
          <w:rFonts w:ascii="Times New Roman" w:hAnsi="Times New Roman" w:cs="Times New Roman"/>
        </w:rPr>
        <w:t>Trabajo (</w:t>
      </w:r>
      <w:r>
        <w:rPr>
          <w:rFonts w:ascii="Times New Roman" w:hAnsi="Times New Roman" w:cs="Times New Roman"/>
        </w:rPr>
        <w:t>20</w:t>
      </w:r>
      <w:r w:rsidRPr="00904449">
        <w:rPr>
          <w:rFonts w:ascii="Times New Roman" w:hAnsi="Times New Roman" w:cs="Times New Roman"/>
        </w:rPr>
        <w:t>.</w:t>
      </w:r>
      <w:r>
        <w:rPr>
          <w:rFonts w:ascii="Times New Roman" w:hAnsi="Times New Roman" w:cs="Times New Roman"/>
        </w:rPr>
        <w:t>2</w:t>
      </w:r>
      <w:r w:rsidRPr="00904449">
        <w:rPr>
          <w:rFonts w:ascii="Times New Roman" w:hAnsi="Times New Roman" w:cs="Times New Roman"/>
        </w:rPr>
        <w:t>%),</w:t>
      </w:r>
    </w:p>
    <w:p w14:paraId="394AC115" w14:textId="2D63B78F" w:rsidR="002F0EAF" w:rsidRPr="00603C67" w:rsidRDefault="00814020" w:rsidP="00814020">
      <w:pPr>
        <w:pStyle w:val="Sinespaciado"/>
        <w:jc w:val="both"/>
        <w:rPr>
          <w:rFonts w:ascii="Times New Roman" w:hAnsi="Times New Roman" w:cs="Times New Roman"/>
          <w:color w:val="FF0000"/>
        </w:rPr>
      </w:pPr>
      <w:r>
        <w:rPr>
          <w:rFonts w:ascii="Times New Roman" w:hAnsi="Times New Roman" w:cs="Times New Roman"/>
        </w:rPr>
        <w:t>Defensa (19.0%), Energía (18.4%),</w:t>
      </w:r>
      <w:r w:rsidRPr="00904449">
        <w:t xml:space="preserve"> </w:t>
      </w:r>
      <w:r w:rsidRPr="00904449">
        <w:rPr>
          <w:rFonts w:ascii="Times New Roman" w:hAnsi="Times New Roman" w:cs="Times New Roman"/>
        </w:rPr>
        <w:t>Relaciones Exteriores (1</w:t>
      </w:r>
      <w:r>
        <w:rPr>
          <w:rFonts w:ascii="Times New Roman" w:hAnsi="Times New Roman" w:cs="Times New Roman"/>
        </w:rPr>
        <w:t>8</w:t>
      </w:r>
      <w:r w:rsidRPr="00904449">
        <w:rPr>
          <w:rFonts w:ascii="Times New Roman" w:hAnsi="Times New Roman" w:cs="Times New Roman"/>
        </w:rPr>
        <w:t>.4%),</w:t>
      </w:r>
      <w:r>
        <w:rPr>
          <w:rFonts w:ascii="Times New Roman" w:hAnsi="Times New Roman" w:cs="Times New Roman"/>
        </w:rPr>
        <w:t xml:space="preserve"> Servicio de la Deuda Pública (18.2%), Finanzas Públicas (17.8%), Presidencia (17.8%) y Salud Pública (17.0%) todas estas entidades se encuentran por arriba de la ejecución institucional total.</w:t>
      </w:r>
      <w:r w:rsidR="002F0EAF" w:rsidRPr="00603C67">
        <w:rPr>
          <w:rFonts w:ascii="Times New Roman" w:hAnsi="Times New Roman" w:cs="Times New Roman"/>
          <w:color w:val="FF0000"/>
        </w:rPr>
        <w:t xml:space="preserve"> </w:t>
      </w:r>
    </w:p>
    <w:p w14:paraId="03DE1E0C" w14:textId="66BA14B6" w:rsidR="00506BDB" w:rsidRPr="006B7BA0" w:rsidRDefault="00506BDB" w:rsidP="002F0EAF">
      <w:pPr>
        <w:pStyle w:val="Sinespaciado"/>
        <w:jc w:val="both"/>
        <w:rPr>
          <w:rFonts w:ascii="Times New Roman" w:hAnsi="Times New Roman" w:cs="Times New Roman"/>
          <w:sz w:val="14"/>
        </w:rPr>
      </w:pPr>
    </w:p>
    <w:p w14:paraId="7B33568C" w14:textId="0DB7B610" w:rsidR="002F0EAF" w:rsidRPr="00814020" w:rsidRDefault="002F0EAF" w:rsidP="002F0EAF">
      <w:pPr>
        <w:spacing w:after="0" w:line="240" w:lineRule="auto"/>
        <w:jc w:val="center"/>
        <w:rPr>
          <w:rFonts w:ascii="Times New Roman" w:hAnsi="Times New Roman" w:cs="Times New Roman"/>
          <w:b/>
          <w:lang w:val="es-MX"/>
        </w:rPr>
      </w:pPr>
      <w:r w:rsidRPr="00814020">
        <w:rPr>
          <w:rFonts w:ascii="Times New Roman" w:hAnsi="Times New Roman" w:cs="Times New Roman"/>
          <w:b/>
          <w:lang w:val="es-MX"/>
        </w:rPr>
        <w:t>Grado de Ejecución por Entidad</w:t>
      </w:r>
    </w:p>
    <w:p w14:paraId="7B8C2ECB" w14:textId="62401D4D" w:rsidR="002F0EAF" w:rsidRPr="00814020" w:rsidRDefault="002F0EAF" w:rsidP="002F0EAF">
      <w:pPr>
        <w:spacing w:after="0" w:line="240" w:lineRule="auto"/>
        <w:jc w:val="center"/>
        <w:rPr>
          <w:rFonts w:ascii="Times New Roman" w:hAnsi="Times New Roman" w:cs="Times New Roman"/>
          <w:sz w:val="18"/>
          <w:szCs w:val="18"/>
          <w:lang w:val="es-MX"/>
        </w:rPr>
      </w:pPr>
      <w:r w:rsidRPr="00814020">
        <w:rPr>
          <w:rFonts w:ascii="Times New Roman" w:hAnsi="Times New Roman" w:cs="Times New Roman"/>
          <w:sz w:val="18"/>
          <w:szCs w:val="18"/>
          <w:lang w:val="es-MX"/>
        </w:rPr>
        <w:t>Al 31 de marzo del 2021</w:t>
      </w:r>
    </w:p>
    <w:p w14:paraId="4BEC1E5A" w14:textId="5BD043F3" w:rsidR="002F0EAF" w:rsidRPr="00814020" w:rsidRDefault="006B7BA0" w:rsidP="002F0EAF">
      <w:pPr>
        <w:spacing w:after="0" w:line="240" w:lineRule="auto"/>
        <w:jc w:val="center"/>
        <w:rPr>
          <w:rFonts w:ascii="Times New Roman" w:hAnsi="Times New Roman" w:cs="Times New Roman"/>
          <w:sz w:val="18"/>
          <w:szCs w:val="18"/>
          <w:lang w:val="es-MX"/>
        </w:rPr>
      </w:pPr>
      <w:r w:rsidRPr="00814020">
        <w:rPr>
          <w:rFonts w:ascii="Times New Roman" w:hAnsi="Times New Roman" w:cs="Times New Roman"/>
          <w:noProof/>
          <w:sz w:val="18"/>
          <w:szCs w:val="18"/>
          <w:lang w:val="es-ES" w:eastAsia="es-ES"/>
        </w:rPr>
        <w:drawing>
          <wp:anchor distT="0" distB="0" distL="114300" distR="114300" simplePos="0" relativeHeight="251770880" behindDoc="0" locked="0" layoutInCell="1" allowOverlap="1" wp14:anchorId="327E19C0" wp14:editId="4C8AFE8C">
            <wp:simplePos x="0" y="0"/>
            <wp:positionH relativeFrom="column">
              <wp:posOffset>-13335</wp:posOffset>
            </wp:positionH>
            <wp:positionV relativeFrom="paragraph">
              <wp:posOffset>143510</wp:posOffset>
            </wp:positionV>
            <wp:extent cx="2743200" cy="2771775"/>
            <wp:effectExtent l="0" t="0" r="0" b="0"/>
            <wp:wrapSquare wrapText="bothSides"/>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F0EAF" w:rsidRPr="00814020">
        <w:rPr>
          <w:rFonts w:ascii="Times New Roman" w:hAnsi="Times New Roman" w:cs="Times New Roman"/>
          <w:sz w:val="18"/>
          <w:szCs w:val="18"/>
          <w:lang w:val="es-MX"/>
        </w:rPr>
        <w:t>Millones de quetzales</w:t>
      </w:r>
    </w:p>
    <w:p w14:paraId="2D67A0C9" w14:textId="6E8BE05F" w:rsidR="002F0EAF" w:rsidRPr="00814020" w:rsidRDefault="002F0EAF" w:rsidP="002F0EAF">
      <w:pPr>
        <w:spacing w:after="0" w:line="240" w:lineRule="auto"/>
        <w:jc w:val="both"/>
        <w:rPr>
          <w:rFonts w:ascii="Times New Roman" w:hAnsi="Times New Roman" w:cs="Times New Roman"/>
          <w:sz w:val="16"/>
        </w:rPr>
      </w:pPr>
      <w:r w:rsidRPr="00814020">
        <w:rPr>
          <w:rFonts w:ascii="Times New Roman" w:hAnsi="Times New Roman" w:cs="Times New Roman"/>
          <w:sz w:val="16"/>
        </w:rPr>
        <w:lastRenderedPageBreak/>
        <w:t>Fuente: Dirección de Análisis y Política Fiscal</w:t>
      </w:r>
    </w:p>
    <w:p w14:paraId="48A02250" w14:textId="58E09364" w:rsidR="00814020" w:rsidRPr="00506BDB" w:rsidRDefault="00814020" w:rsidP="00814020">
      <w:pPr>
        <w:pStyle w:val="Sinespaciado"/>
        <w:jc w:val="both"/>
        <w:rPr>
          <w:rFonts w:ascii="Times New Roman" w:hAnsi="Times New Roman" w:cs="Times New Roman"/>
          <w:lang w:val="es-MX"/>
        </w:rPr>
      </w:pPr>
      <w:r>
        <w:rPr>
          <w:rFonts w:ascii="Times New Roman" w:hAnsi="Times New Roman" w:cs="Times New Roman"/>
        </w:rPr>
        <w:t>Por su parte, el resto de las entidades se encuentran por debajo de la ejecución total, resalta el caso de dos entidades, siendo Economía (1</w:t>
      </w:r>
      <w:r w:rsidRPr="00241093">
        <w:rPr>
          <w:rFonts w:ascii="Times New Roman" w:hAnsi="Times New Roman" w:cs="Times New Roman"/>
        </w:rPr>
        <w:t>.</w:t>
      </w:r>
      <w:r>
        <w:rPr>
          <w:rFonts w:ascii="Times New Roman" w:hAnsi="Times New Roman" w:cs="Times New Roman"/>
        </w:rPr>
        <w:t>9</w:t>
      </w:r>
      <w:r w:rsidRPr="00241093">
        <w:rPr>
          <w:rFonts w:ascii="Times New Roman" w:hAnsi="Times New Roman" w:cs="Times New Roman"/>
        </w:rPr>
        <w:t>%)</w:t>
      </w:r>
      <w:r>
        <w:rPr>
          <w:rFonts w:ascii="Times New Roman" w:hAnsi="Times New Roman" w:cs="Times New Roman"/>
        </w:rPr>
        <w:t xml:space="preserve"> y Desarrollo Social (1.3%). </w:t>
      </w:r>
      <w:r w:rsidRPr="00506BDB">
        <w:rPr>
          <w:rFonts w:ascii="Times New Roman" w:hAnsi="Times New Roman" w:cs="Times New Roman"/>
          <w:lang w:val="es-MX"/>
        </w:rPr>
        <w:t xml:space="preserve">En ambas entidades, la baja ejecución se debe a un presupuesto que responde a los programas asociados a la atención de la crisis ocasionada por el COVID-19 y por ello el presupuesto vigente supera ampliamente al presupuesto histórico de dichas entidades. Únicamente en Desarrollo Social se reporta un recorte en su presupuesto, siendo por el equivalente a Q1,530.0 millones, el cual es reorientado hacia el Ministerio de Salud Pública y Asistencia Social, destinado a la adquisición de la vacuna contra el COVID-19 y gastos relacionados.  </w:t>
      </w:r>
    </w:p>
    <w:p w14:paraId="425125AA" w14:textId="77777777" w:rsidR="00814020" w:rsidRDefault="00814020" w:rsidP="00814020">
      <w:pPr>
        <w:pStyle w:val="Sinespaciado"/>
        <w:jc w:val="both"/>
        <w:rPr>
          <w:rFonts w:ascii="Times New Roman" w:hAnsi="Times New Roman" w:cs="Times New Roman"/>
        </w:rPr>
      </w:pPr>
    </w:p>
    <w:p w14:paraId="3E1EB2FD" w14:textId="77777777" w:rsidR="00814020" w:rsidRPr="006562C1" w:rsidRDefault="00814020" w:rsidP="00814020">
      <w:pPr>
        <w:pStyle w:val="Sinespaciado"/>
        <w:jc w:val="both"/>
        <w:rPr>
          <w:rFonts w:ascii="Times New Roman" w:hAnsi="Times New Roman" w:cs="Times New Roman"/>
        </w:rPr>
      </w:pPr>
      <w:r>
        <w:rPr>
          <w:rFonts w:ascii="Times New Roman" w:hAnsi="Times New Roman" w:cs="Times New Roman"/>
        </w:rPr>
        <w:t xml:space="preserve">En el caso del </w:t>
      </w:r>
      <w:r w:rsidRPr="00A2006E">
        <w:rPr>
          <w:rFonts w:ascii="Times New Roman" w:hAnsi="Times New Roman" w:cs="Times New Roman"/>
        </w:rPr>
        <w:t>Ministerio de Comunicaciones, Infraestructura</w:t>
      </w:r>
      <w:r>
        <w:rPr>
          <w:rFonts w:ascii="Times New Roman" w:hAnsi="Times New Roman" w:cs="Times New Roman"/>
        </w:rPr>
        <w:t xml:space="preserve"> y Vivienda,</w:t>
      </w:r>
      <w:r w:rsidRPr="00A2006E">
        <w:rPr>
          <w:rFonts w:ascii="Times New Roman" w:hAnsi="Times New Roman" w:cs="Times New Roman"/>
        </w:rPr>
        <w:t xml:space="preserve"> </w:t>
      </w:r>
      <w:r>
        <w:rPr>
          <w:rFonts w:ascii="Times New Roman" w:hAnsi="Times New Roman" w:cs="Times New Roman"/>
        </w:rPr>
        <w:t xml:space="preserve">aunque la ejecución puede percibirse baja al ser de 11.8%, es la entidad que reporta el mayor crecimiento interanual, siendo equivalente a 47.5% (Q257.3 millones) dado una mejora que es visible en el rubro de la inversión real directa. </w:t>
      </w:r>
      <w:r w:rsidRPr="006562C1">
        <w:rPr>
          <w:rFonts w:ascii="Times New Roman" w:hAnsi="Times New Roman" w:cs="Times New Roman"/>
        </w:rPr>
        <w:t>Al respecto,</w:t>
      </w:r>
      <w:r>
        <w:rPr>
          <w:rFonts w:ascii="Times New Roman" w:hAnsi="Times New Roman" w:cs="Times New Roman"/>
        </w:rPr>
        <w:t xml:space="preserve"> </w:t>
      </w:r>
      <w:r w:rsidRPr="006562C1">
        <w:rPr>
          <w:rFonts w:ascii="Times New Roman" w:hAnsi="Times New Roman" w:cs="Times New Roman"/>
        </w:rPr>
        <w:t>en el año 2020 debido a las restricciones de</w:t>
      </w:r>
      <w:r>
        <w:rPr>
          <w:rFonts w:ascii="Times New Roman" w:hAnsi="Times New Roman" w:cs="Times New Roman"/>
        </w:rPr>
        <w:t xml:space="preserve"> </w:t>
      </w:r>
      <w:r w:rsidRPr="006562C1">
        <w:rPr>
          <w:rFonts w:ascii="Times New Roman" w:hAnsi="Times New Roman" w:cs="Times New Roman"/>
        </w:rPr>
        <w:t>movilidad por la pandemia COVID-19, muchos</w:t>
      </w:r>
    </w:p>
    <w:p w14:paraId="3AC571A5" w14:textId="77777777" w:rsidR="00814020" w:rsidRPr="006562C1" w:rsidRDefault="00814020" w:rsidP="00814020">
      <w:pPr>
        <w:pStyle w:val="Sinespaciado"/>
        <w:jc w:val="both"/>
        <w:rPr>
          <w:rFonts w:ascii="Times New Roman" w:hAnsi="Times New Roman" w:cs="Times New Roman"/>
        </w:rPr>
      </w:pPr>
      <w:r w:rsidRPr="006562C1">
        <w:rPr>
          <w:rFonts w:ascii="Times New Roman" w:hAnsi="Times New Roman" w:cs="Times New Roman"/>
        </w:rPr>
        <w:t>proyectos bajo la responsabilidad del CIV</w:t>
      </w:r>
      <w:r>
        <w:rPr>
          <w:rFonts w:ascii="Times New Roman" w:hAnsi="Times New Roman" w:cs="Times New Roman"/>
        </w:rPr>
        <w:t xml:space="preserve"> </w:t>
      </w:r>
      <w:r w:rsidRPr="006562C1">
        <w:rPr>
          <w:rFonts w:ascii="Times New Roman" w:hAnsi="Times New Roman" w:cs="Times New Roman"/>
        </w:rPr>
        <w:t>tuvieron bajos niveles de ejecución y en el peor</w:t>
      </w:r>
    </w:p>
    <w:p w14:paraId="43A5A9B2" w14:textId="77777777" w:rsidR="00814020" w:rsidRDefault="00814020" w:rsidP="00814020">
      <w:pPr>
        <w:pStyle w:val="Sinespaciado"/>
        <w:jc w:val="both"/>
        <w:rPr>
          <w:rFonts w:ascii="Times New Roman" w:hAnsi="Times New Roman" w:cs="Times New Roman"/>
        </w:rPr>
      </w:pPr>
      <w:r w:rsidRPr="006562C1">
        <w:rPr>
          <w:rFonts w:ascii="Times New Roman" w:hAnsi="Times New Roman" w:cs="Times New Roman"/>
        </w:rPr>
        <w:t>de los casos, no pudieron desarrollarse.</w:t>
      </w:r>
    </w:p>
    <w:p w14:paraId="5A86AAE5" w14:textId="423C2A96" w:rsidR="00814020" w:rsidRDefault="00814020" w:rsidP="00814020">
      <w:pPr>
        <w:pStyle w:val="Sinespaciado"/>
        <w:jc w:val="both"/>
        <w:rPr>
          <w:rFonts w:ascii="Times New Roman" w:hAnsi="Times New Roman" w:cs="Times New Roman"/>
          <w:lang w:val="es-MX"/>
        </w:rPr>
      </w:pPr>
    </w:p>
    <w:p w14:paraId="7B56E7A2" w14:textId="77777777" w:rsidR="00814020" w:rsidRDefault="00814020" w:rsidP="00814020">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este reporta un menor dinamismo respecto al año previo, con una variació</w:t>
      </w:r>
      <w:r w:rsidRPr="00321A9C">
        <w:rPr>
          <w:rFonts w:ascii="Times New Roman" w:hAnsi="Times New Roman" w:cs="Times New Roman"/>
          <w:lang w:val="es-MX"/>
        </w:rPr>
        <w:t>n interanual</w:t>
      </w:r>
      <w:r>
        <w:rPr>
          <w:rFonts w:ascii="Times New Roman" w:hAnsi="Times New Roman" w:cs="Times New Roman"/>
          <w:lang w:val="es-MX"/>
        </w:rPr>
        <w:t xml:space="preserve"> negativa</w:t>
      </w:r>
      <w:r w:rsidRPr="00321A9C">
        <w:rPr>
          <w:rFonts w:ascii="Times New Roman" w:hAnsi="Times New Roman" w:cs="Times New Roman"/>
          <w:lang w:val="es-MX"/>
        </w:rPr>
        <w:t xml:space="preserve"> de </w:t>
      </w:r>
      <w:r>
        <w:rPr>
          <w:rFonts w:ascii="Times New Roman" w:hAnsi="Times New Roman" w:cs="Times New Roman"/>
          <w:lang w:val="es-MX"/>
        </w:rPr>
        <w:t>0.8</w:t>
      </w:r>
      <w:r w:rsidRPr="00321A9C">
        <w:rPr>
          <w:rFonts w:ascii="Times New Roman" w:hAnsi="Times New Roman" w:cs="Times New Roman"/>
          <w:lang w:val="es-MX"/>
        </w:rPr>
        <w:t>%</w:t>
      </w:r>
      <w:r>
        <w:rPr>
          <w:rFonts w:ascii="Times New Roman" w:hAnsi="Times New Roman" w:cs="Times New Roman"/>
          <w:lang w:val="es-MX"/>
        </w:rPr>
        <w:t>, equivalente a Q71.6 millones</w:t>
      </w:r>
      <w:r w:rsidRPr="00321A9C">
        <w:rPr>
          <w:rFonts w:ascii="Times New Roman" w:hAnsi="Times New Roman" w:cs="Times New Roman"/>
          <w:lang w:val="es-MX"/>
        </w:rPr>
        <w:t xml:space="preserve">. </w:t>
      </w:r>
    </w:p>
    <w:p w14:paraId="500126E4" w14:textId="77777777" w:rsidR="00814020" w:rsidRDefault="00814020" w:rsidP="00814020">
      <w:pPr>
        <w:pStyle w:val="Sinespaciado"/>
        <w:jc w:val="both"/>
        <w:rPr>
          <w:rFonts w:ascii="Times New Roman" w:hAnsi="Times New Roman" w:cs="Times New Roman"/>
          <w:lang w:val="es-MX"/>
        </w:rPr>
      </w:pPr>
    </w:p>
    <w:p w14:paraId="573DC82D" w14:textId="77777777" w:rsidR="00814020" w:rsidRDefault="00814020" w:rsidP="00814020">
      <w:pPr>
        <w:pStyle w:val="Sinespaciado"/>
        <w:jc w:val="both"/>
        <w:rPr>
          <w:rFonts w:ascii="Times New Roman" w:hAnsi="Times New Roman" w:cs="Times New Roman"/>
          <w:lang w:val="es-MX"/>
        </w:rPr>
      </w:pPr>
      <w:r>
        <w:rPr>
          <w:rFonts w:ascii="Times New Roman" w:hAnsi="Times New Roman" w:cs="Times New Roman"/>
          <w:lang w:val="es-MX"/>
        </w:rPr>
        <w:t xml:space="preserve">Del gasto social asociado a los compromisos de los Acuerdos de Paz, el aporte al Organismo Judicial y a la Corte de Constitucionalidad se encuentra cayendo en Q252.5 millones, que se ve reflejado en un menor desempeño de las transferencias corrientes al sector público. </w:t>
      </w:r>
    </w:p>
    <w:p w14:paraId="78354DE5" w14:textId="77777777" w:rsidR="00814020" w:rsidRDefault="00814020" w:rsidP="00814020">
      <w:pPr>
        <w:pStyle w:val="Sinespaciado"/>
        <w:jc w:val="both"/>
        <w:rPr>
          <w:rFonts w:ascii="Times New Roman" w:hAnsi="Times New Roman" w:cs="Times New Roman"/>
          <w:lang w:val="es-MX"/>
        </w:rPr>
      </w:pPr>
    </w:p>
    <w:p w14:paraId="2FFA4B72" w14:textId="77777777" w:rsidR="00814020" w:rsidRDefault="00814020" w:rsidP="00814020">
      <w:pPr>
        <w:pStyle w:val="Sinespaciado"/>
        <w:jc w:val="both"/>
        <w:rPr>
          <w:rFonts w:ascii="Times New Roman" w:hAnsi="Times New Roman" w:cs="Times New Roman"/>
          <w:lang w:val="es-MX"/>
        </w:rPr>
      </w:pPr>
      <w:r>
        <w:rPr>
          <w:rFonts w:ascii="Times New Roman" w:hAnsi="Times New Roman" w:cs="Times New Roman"/>
          <w:lang w:val="es-MX"/>
        </w:rPr>
        <w:t xml:space="preserve">Por su parte, el sector de Educación, Ciencia y Cultura también reporta una caída importante </w:t>
      </w:r>
      <w:r>
        <w:rPr>
          <w:rFonts w:ascii="Times New Roman" w:hAnsi="Times New Roman" w:cs="Times New Roman"/>
          <w:lang w:val="es-MX"/>
        </w:rPr>
        <w:lastRenderedPageBreak/>
        <w:t xml:space="preserve">de Q178.5 millones, seguido del aporte al Ministerio Público con Q47.5 millones. </w:t>
      </w:r>
    </w:p>
    <w:p w14:paraId="302D14A1" w14:textId="77777777" w:rsidR="00814020" w:rsidRDefault="00814020" w:rsidP="00814020">
      <w:pPr>
        <w:pStyle w:val="Sinespaciado"/>
        <w:jc w:val="both"/>
        <w:rPr>
          <w:rFonts w:ascii="Times New Roman" w:hAnsi="Times New Roman" w:cs="Times New Roman"/>
          <w:lang w:val="es-MX"/>
        </w:rPr>
      </w:pPr>
      <w:r>
        <w:rPr>
          <w:rFonts w:ascii="Times New Roman" w:hAnsi="Times New Roman" w:cs="Times New Roman"/>
          <w:lang w:val="es-MX"/>
        </w:rPr>
        <w:t xml:space="preserve"> </w:t>
      </w:r>
    </w:p>
    <w:p w14:paraId="3A806694" w14:textId="4C7D3184" w:rsidR="002F0EAF" w:rsidRPr="00603C67" w:rsidRDefault="00814020" w:rsidP="00814020">
      <w:pPr>
        <w:pStyle w:val="Sinespaciado"/>
        <w:jc w:val="both"/>
        <w:rPr>
          <w:rFonts w:ascii="Times New Roman" w:hAnsi="Times New Roman" w:cs="Times New Roman"/>
          <w:color w:val="FF0000"/>
          <w:lang w:val="es-MX"/>
        </w:rPr>
      </w:pPr>
      <w:r>
        <w:rPr>
          <w:rFonts w:ascii="Times New Roman" w:hAnsi="Times New Roman" w:cs="Times New Roman"/>
          <w:lang w:val="es-MX"/>
        </w:rPr>
        <w:t>El resto de los sectores que conforman el gasto social reportan una mayor ejecución respecto al año previo, resalta el caso de la vivienda con un crecimiento interanual de 89.4% y seguridad interna con 20.1%.</w:t>
      </w:r>
    </w:p>
    <w:p w14:paraId="06D7C8EC" w14:textId="47F2C619" w:rsidR="00506BDB" w:rsidRDefault="00506BDB" w:rsidP="002F0EAF">
      <w:pPr>
        <w:pStyle w:val="Sinespaciado"/>
        <w:jc w:val="both"/>
        <w:rPr>
          <w:rFonts w:ascii="Times New Roman" w:hAnsi="Times New Roman" w:cs="Times New Roman"/>
          <w:color w:val="FF0000"/>
          <w:lang w:val="es-MX"/>
        </w:rPr>
      </w:pPr>
    </w:p>
    <w:p w14:paraId="47A6784F" w14:textId="477089C6" w:rsidR="006B7BA0" w:rsidRDefault="006B7BA0" w:rsidP="002F0EAF">
      <w:pPr>
        <w:pStyle w:val="Sinespaciado"/>
        <w:jc w:val="both"/>
        <w:rPr>
          <w:rFonts w:ascii="Times New Roman" w:hAnsi="Times New Roman" w:cs="Times New Roman"/>
          <w:color w:val="FF0000"/>
          <w:lang w:val="es-MX"/>
        </w:rPr>
      </w:pPr>
    </w:p>
    <w:p w14:paraId="43624945" w14:textId="7BEBC9D9" w:rsidR="006B7BA0" w:rsidRDefault="006B7BA0" w:rsidP="002F0EAF">
      <w:pPr>
        <w:pStyle w:val="Sinespaciado"/>
        <w:jc w:val="both"/>
        <w:rPr>
          <w:rFonts w:ascii="Times New Roman" w:hAnsi="Times New Roman" w:cs="Times New Roman"/>
          <w:color w:val="FF0000"/>
          <w:lang w:val="es-MX"/>
        </w:rPr>
      </w:pPr>
    </w:p>
    <w:p w14:paraId="1FAB719C" w14:textId="3D18C54B" w:rsidR="006B7BA0" w:rsidRPr="006B7BA0" w:rsidRDefault="006B7BA0" w:rsidP="002F0EAF">
      <w:pPr>
        <w:pStyle w:val="Sinespaciado"/>
        <w:jc w:val="both"/>
        <w:rPr>
          <w:rFonts w:ascii="Times New Roman" w:hAnsi="Times New Roman" w:cs="Times New Roman"/>
          <w:color w:val="FF0000"/>
          <w:sz w:val="18"/>
          <w:lang w:val="es-MX"/>
        </w:rPr>
      </w:pPr>
    </w:p>
    <w:p w14:paraId="2779B15C" w14:textId="3AD8E022" w:rsidR="006B7BA0" w:rsidRPr="006B7BA0" w:rsidRDefault="006B7BA0" w:rsidP="002F0EAF">
      <w:pPr>
        <w:pStyle w:val="Sinespaciado"/>
        <w:jc w:val="both"/>
        <w:rPr>
          <w:rFonts w:ascii="Times New Roman" w:hAnsi="Times New Roman" w:cs="Times New Roman"/>
          <w:color w:val="FF0000"/>
          <w:sz w:val="12"/>
          <w:lang w:val="es-MX"/>
        </w:rPr>
      </w:pPr>
    </w:p>
    <w:p w14:paraId="1F43B2C5" w14:textId="77777777" w:rsidR="002F0EAF" w:rsidRPr="00814020" w:rsidRDefault="002F0EAF" w:rsidP="002F0EAF">
      <w:pPr>
        <w:pStyle w:val="Sinespaciado"/>
        <w:jc w:val="center"/>
        <w:rPr>
          <w:rFonts w:ascii="Times New Roman" w:hAnsi="Times New Roman" w:cs="Times New Roman"/>
          <w:b/>
          <w:lang w:val="es-MX"/>
        </w:rPr>
      </w:pPr>
      <w:r w:rsidRPr="00814020">
        <w:rPr>
          <w:rFonts w:ascii="Times New Roman" w:hAnsi="Times New Roman" w:cs="Times New Roman"/>
          <w:b/>
          <w:lang w:val="es-MX"/>
        </w:rPr>
        <w:lastRenderedPageBreak/>
        <w:t xml:space="preserve">Ejecución y crecimiento del Gasto Social </w:t>
      </w:r>
    </w:p>
    <w:p w14:paraId="032DE96A" w14:textId="474B7B7D" w:rsidR="002F0EAF" w:rsidRPr="00814020" w:rsidRDefault="002F0EAF" w:rsidP="002F0EAF">
      <w:pPr>
        <w:pStyle w:val="Sinespaciado"/>
        <w:jc w:val="center"/>
        <w:rPr>
          <w:rFonts w:ascii="Times New Roman" w:hAnsi="Times New Roman" w:cs="Times New Roman"/>
          <w:sz w:val="18"/>
          <w:szCs w:val="18"/>
          <w:lang w:val="es-MX"/>
        </w:rPr>
      </w:pPr>
      <w:r w:rsidRPr="00814020">
        <w:rPr>
          <w:rFonts w:ascii="Times New Roman" w:hAnsi="Times New Roman" w:cs="Times New Roman"/>
          <w:sz w:val="18"/>
          <w:szCs w:val="18"/>
          <w:lang w:val="es-MX"/>
        </w:rPr>
        <w:t>Al 31 de marzo 2021</w:t>
      </w:r>
    </w:p>
    <w:p w14:paraId="136043AE" w14:textId="35CD3CAF" w:rsidR="002F0EAF" w:rsidRPr="00814020" w:rsidRDefault="006B7BA0" w:rsidP="002F0EAF">
      <w:pPr>
        <w:pStyle w:val="Sinespaciado"/>
        <w:jc w:val="center"/>
        <w:rPr>
          <w:rFonts w:ascii="Times New Roman" w:hAnsi="Times New Roman" w:cs="Times New Roman"/>
          <w:sz w:val="18"/>
          <w:szCs w:val="18"/>
          <w:lang w:val="es-MX"/>
        </w:rPr>
      </w:pPr>
      <w:r w:rsidRPr="00814020">
        <w:rPr>
          <w:noProof/>
          <w:lang w:val="es-ES" w:eastAsia="es-ES"/>
        </w:rPr>
        <w:drawing>
          <wp:anchor distT="0" distB="0" distL="114300" distR="114300" simplePos="0" relativeHeight="251788288" behindDoc="0" locked="0" layoutInCell="1" allowOverlap="1" wp14:anchorId="486052FA" wp14:editId="63BECD9E">
            <wp:simplePos x="0" y="0"/>
            <wp:positionH relativeFrom="column">
              <wp:posOffset>85725</wp:posOffset>
            </wp:positionH>
            <wp:positionV relativeFrom="paragraph">
              <wp:posOffset>131445</wp:posOffset>
            </wp:positionV>
            <wp:extent cx="2695575" cy="1360170"/>
            <wp:effectExtent l="0" t="0" r="9525" b="0"/>
            <wp:wrapSquare wrapText="bothSides"/>
            <wp:docPr id="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EAF" w:rsidRPr="00814020">
        <w:rPr>
          <w:rFonts w:ascii="Times New Roman" w:hAnsi="Times New Roman" w:cs="Times New Roman"/>
          <w:sz w:val="18"/>
          <w:szCs w:val="18"/>
          <w:lang w:val="es-MX"/>
        </w:rPr>
        <w:t>Cifras en porcentajes y en millones de quetzales</w:t>
      </w:r>
    </w:p>
    <w:p w14:paraId="6F111837" w14:textId="37875938" w:rsidR="00506BDB" w:rsidRDefault="002F0EAF" w:rsidP="00506BDB">
      <w:pPr>
        <w:pStyle w:val="Sinespaciado"/>
        <w:rPr>
          <w:rFonts w:ascii="Times New Roman" w:hAnsi="Times New Roman" w:cs="Times New Roman"/>
          <w:sz w:val="16"/>
        </w:rPr>
      </w:pPr>
      <w:r w:rsidRPr="00814020">
        <w:rPr>
          <w:rFonts w:ascii="Times New Roman" w:hAnsi="Times New Roman" w:cs="Times New Roman"/>
          <w:sz w:val="16"/>
        </w:rPr>
        <w:t>Fuente: Dirección de Análisis y Política Fiscal</w:t>
      </w:r>
    </w:p>
    <w:p w14:paraId="5E768013" w14:textId="24882D58" w:rsidR="000F7A5E" w:rsidRPr="006B7BA0" w:rsidRDefault="000F7A5E" w:rsidP="00506BDB">
      <w:pPr>
        <w:pStyle w:val="Sinespaciado"/>
        <w:rPr>
          <w:rFonts w:ascii="Times New Roman" w:hAnsi="Times New Roman" w:cs="Times New Roman"/>
          <w:sz w:val="10"/>
        </w:rPr>
      </w:pPr>
    </w:p>
    <w:p w14:paraId="54DE1257" w14:textId="797FCC12" w:rsidR="00506BDB" w:rsidRPr="00603C67" w:rsidRDefault="00506BDB" w:rsidP="00BA782D">
      <w:pPr>
        <w:pStyle w:val="Sinespaciado"/>
        <w:jc w:val="both"/>
        <w:rPr>
          <w:rFonts w:ascii="Times New Roman" w:hAnsi="Times New Roman" w:cs="Times New Roman"/>
          <w:color w:val="FF0000"/>
          <w:sz w:val="16"/>
        </w:rPr>
        <w:sectPr w:rsidR="00506BDB" w:rsidRPr="00603C67" w:rsidSect="00040C99">
          <w:headerReference w:type="default" r:id="rId27"/>
          <w:footerReference w:type="default" r:id="rId28"/>
          <w:type w:val="continuous"/>
          <w:pgSz w:w="12240" w:h="15840" w:code="1"/>
          <w:pgMar w:top="1418" w:right="1418" w:bottom="1418" w:left="1701" w:header="709" w:footer="709" w:gutter="0"/>
          <w:cols w:num="2" w:space="708"/>
          <w:docGrid w:linePitch="360"/>
        </w:sectPr>
      </w:pPr>
    </w:p>
    <w:p w14:paraId="66726DBE" w14:textId="77777777" w:rsidR="00BA782D" w:rsidRPr="00603C67" w:rsidRDefault="00BA782D" w:rsidP="00216605">
      <w:pPr>
        <w:pStyle w:val="Sinespaciado"/>
        <w:jc w:val="both"/>
        <w:rPr>
          <w:rFonts w:ascii="Times New Roman" w:hAnsi="Times New Roman" w:cs="Times New Roman"/>
          <w:color w:val="FF0000"/>
          <w:sz w:val="2"/>
          <w:lang w:val="es-MX"/>
        </w:rPr>
      </w:pPr>
    </w:p>
    <w:p w14:paraId="4EE8FF91" w14:textId="77777777" w:rsidR="00216605" w:rsidRPr="00814020" w:rsidRDefault="00AD7F64"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814020" w:rsidSect="00FA3B81">
          <w:type w:val="continuous"/>
          <w:pgSz w:w="12240" w:h="15840" w:code="1"/>
          <w:pgMar w:top="1418" w:right="1418" w:bottom="1418" w:left="1418" w:header="709" w:footer="709" w:gutter="0"/>
          <w:cols w:space="708"/>
          <w:docGrid w:linePitch="360"/>
        </w:sectPr>
      </w:pPr>
      <w:r w:rsidRPr="00814020">
        <w:rPr>
          <w:rFonts w:ascii="Times New Roman" w:hAnsi="Times New Roman" w:cs="Times New Roman"/>
          <w:b/>
          <w:lang w:val="es-MX"/>
        </w:rPr>
        <w:t>Colocación de Bonos en el mercado interno</w:t>
      </w:r>
    </w:p>
    <w:p w14:paraId="5BA14CF1" w14:textId="77777777" w:rsidR="00216605" w:rsidRPr="00603C67" w:rsidRDefault="00216605" w:rsidP="00216605">
      <w:pPr>
        <w:pStyle w:val="Sinespaciado"/>
        <w:rPr>
          <w:rFonts w:ascii="Times New Roman" w:hAnsi="Times New Roman" w:cs="Times New Roman"/>
          <w:b/>
          <w:color w:val="FF0000"/>
          <w:sz w:val="24"/>
          <w:lang w:val="es-MX"/>
        </w:rPr>
      </w:pPr>
    </w:p>
    <w:p w14:paraId="5611AFA3" w14:textId="77777777" w:rsidR="00216605" w:rsidRPr="00603C67" w:rsidRDefault="00216605" w:rsidP="00216605">
      <w:pPr>
        <w:pStyle w:val="Sinespaciado"/>
        <w:rPr>
          <w:rFonts w:ascii="Times New Roman" w:hAnsi="Times New Roman" w:cs="Times New Roman"/>
          <w:b/>
          <w:color w:val="FF0000"/>
          <w:lang w:val="es-MX"/>
        </w:rPr>
        <w:sectPr w:rsidR="00216605" w:rsidRPr="00603C67" w:rsidSect="004E358C">
          <w:type w:val="continuous"/>
          <w:pgSz w:w="12240" w:h="15840"/>
          <w:pgMar w:top="1417" w:right="1701" w:bottom="1417" w:left="1701" w:header="708" w:footer="708" w:gutter="0"/>
          <w:cols w:space="708"/>
          <w:docGrid w:linePitch="360"/>
        </w:sectPr>
      </w:pPr>
    </w:p>
    <w:p w14:paraId="2C3090CF" w14:textId="003FC157" w:rsidR="00814020" w:rsidRPr="00CA7BD6" w:rsidRDefault="00814020" w:rsidP="00814020">
      <w:pPr>
        <w:pStyle w:val="Sinespaciado"/>
        <w:jc w:val="both"/>
        <w:rPr>
          <w:rFonts w:ascii="Times New Roman" w:hAnsi="Times New Roman" w:cs="Times New Roman"/>
        </w:rPr>
      </w:pPr>
      <w:r w:rsidRPr="00CA7BD6">
        <w:rPr>
          <w:rFonts w:ascii="Times New Roman" w:hAnsi="Times New Roman" w:cs="Times New Roman"/>
        </w:rPr>
        <w:lastRenderedPageBreak/>
        <w:t>Respecto al financiamiento del gasto público, los desembolsos de présta</w:t>
      </w:r>
      <w:r w:rsidR="000F7A5E">
        <w:rPr>
          <w:rFonts w:ascii="Times New Roman" w:hAnsi="Times New Roman" w:cs="Times New Roman"/>
        </w:rPr>
        <w:t>mos se mantienen en un nivel</w:t>
      </w:r>
      <w:r w:rsidRPr="00CA7BD6">
        <w:rPr>
          <w:rFonts w:ascii="Times New Roman" w:hAnsi="Times New Roman" w:cs="Times New Roman"/>
        </w:rPr>
        <w:t xml:space="preserve"> bajo, siendo de Q2.8 millones, mientras las amortizaciones alcanzaron los Q839.6 millones y de esa cuenta el financiamiento externo neto es negativo en Q836.8 millones.</w:t>
      </w:r>
    </w:p>
    <w:p w14:paraId="5E300D9E" w14:textId="2770A615" w:rsidR="00814020" w:rsidRPr="00CA7BD6" w:rsidRDefault="00814020" w:rsidP="00814020">
      <w:pPr>
        <w:pStyle w:val="Sinespaciado"/>
        <w:jc w:val="both"/>
        <w:rPr>
          <w:rFonts w:ascii="Times New Roman" w:hAnsi="Times New Roman" w:cs="Times New Roman"/>
        </w:rPr>
      </w:pPr>
    </w:p>
    <w:p w14:paraId="2334775C" w14:textId="1DE33778" w:rsidR="00CA1458" w:rsidRPr="006B7BA0" w:rsidRDefault="00814020" w:rsidP="00AD7F64">
      <w:pPr>
        <w:pStyle w:val="Sinespaciado"/>
        <w:jc w:val="both"/>
        <w:rPr>
          <w:rFonts w:ascii="Times New Roman" w:hAnsi="Times New Roman" w:cs="Times New Roman"/>
          <w:color w:val="FF0000"/>
          <w:sz w:val="20"/>
        </w:rPr>
      </w:pPr>
      <w:r w:rsidRPr="00CA7BD6">
        <w:rPr>
          <w:rFonts w:ascii="Times New Roman" w:hAnsi="Times New Roman" w:cs="Times New Roman"/>
        </w:rPr>
        <w:t>En cuanto al financiamiento interno, durante marzo iniciaron las colocaciones de bonos del tesoro, el valor autorizado mediante el Decreto 25-2018 asciende a Q24,478.5 millones, de los cuales</w:t>
      </w:r>
      <w:r w:rsidR="000F7A5E">
        <w:rPr>
          <w:rFonts w:ascii="Times New Roman" w:hAnsi="Times New Roman" w:cs="Times New Roman"/>
        </w:rPr>
        <w:t>, al cierre de marzo</w:t>
      </w:r>
      <w:r w:rsidRPr="00CA7BD6">
        <w:rPr>
          <w:rFonts w:ascii="Times New Roman" w:hAnsi="Times New Roman" w:cs="Times New Roman"/>
        </w:rPr>
        <w:t xml:space="preserve"> se han colocado Q6,230.7 millones, correspondiente al 25.5% del total autorizado, donde el 91.7% corresponde a nuevo endeudamiento y 8.3% roll over.</w:t>
      </w:r>
      <w:r w:rsidR="00AD7F64" w:rsidRPr="00603C67">
        <w:rPr>
          <w:rFonts w:ascii="Times New Roman" w:hAnsi="Times New Roman" w:cs="Times New Roman"/>
          <w:color w:val="FF0000"/>
        </w:rPr>
        <w:t xml:space="preserve">  </w:t>
      </w:r>
    </w:p>
    <w:p w14:paraId="2ED3D160" w14:textId="77777777" w:rsidR="00AD7F64" w:rsidRPr="00814020" w:rsidRDefault="00AD7F64" w:rsidP="00AD7F64">
      <w:pPr>
        <w:spacing w:after="0" w:line="240" w:lineRule="auto"/>
        <w:jc w:val="center"/>
        <w:rPr>
          <w:rFonts w:ascii="Times New Roman" w:hAnsi="Times New Roman" w:cs="Times New Roman"/>
          <w:b/>
        </w:rPr>
      </w:pPr>
      <w:r w:rsidRPr="00814020">
        <w:rPr>
          <w:rFonts w:ascii="Times New Roman" w:hAnsi="Times New Roman" w:cs="Times New Roman"/>
          <w:b/>
        </w:rPr>
        <w:lastRenderedPageBreak/>
        <w:t>Colocación de Bonos del Tesoro</w:t>
      </w:r>
    </w:p>
    <w:p w14:paraId="0F141842" w14:textId="77777777" w:rsidR="00AD7F64" w:rsidRPr="00814020" w:rsidRDefault="00AD7F64" w:rsidP="00AD7F64">
      <w:pPr>
        <w:pStyle w:val="Sinespaciado"/>
        <w:jc w:val="center"/>
        <w:rPr>
          <w:rFonts w:ascii="Times New Roman" w:hAnsi="Times New Roman" w:cs="Times New Roman"/>
          <w:sz w:val="18"/>
        </w:rPr>
      </w:pPr>
      <w:r w:rsidRPr="00814020">
        <w:rPr>
          <w:rFonts w:ascii="Times New Roman" w:hAnsi="Times New Roman" w:cs="Times New Roman"/>
          <w:sz w:val="18"/>
        </w:rPr>
        <w:t>A marzo 2021</w:t>
      </w:r>
    </w:p>
    <w:p w14:paraId="63E80808" w14:textId="41FD95C1" w:rsidR="00AD7F64" w:rsidRPr="00DF6416" w:rsidRDefault="00DF6416" w:rsidP="00DF6416">
      <w:pPr>
        <w:pStyle w:val="Sinespaciado"/>
        <w:jc w:val="center"/>
        <w:rPr>
          <w:rFonts w:ascii="Times New Roman" w:hAnsi="Times New Roman" w:cs="Times New Roman"/>
          <w:sz w:val="18"/>
        </w:rPr>
      </w:pPr>
      <w:r w:rsidRPr="00814020">
        <w:rPr>
          <w:rFonts w:ascii="Times New Roman" w:hAnsi="Times New Roman" w:cs="Times New Roman"/>
          <w:noProof/>
          <w:sz w:val="18"/>
          <w:lang w:val="es-ES" w:eastAsia="es-ES"/>
        </w:rPr>
        <w:drawing>
          <wp:anchor distT="0" distB="0" distL="114300" distR="114300" simplePos="0" relativeHeight="251778048" behindDoc="0" locked="0" layoutInCell="1" allowOverlap="1" wp14:anchorId="2090FA53" wp14:editId="06E807A6">
            <wp:simplePos x="0" y="0"/>
            <wp:positionH relativeFrom="column">
              <wp:posOffset>-38100</wp:posOffset>
            </wp:positionH>
            <wp:positionV relativeFrom="paragraph">
              <wp:posOffset>147955</wp:posOffset>
            </wp:positionV>
            <wp:extent cx="2943225" cy="1762125"/>
            <wp:effectExtent l="0" t="0" r="0" b="0"/>
            <wp:wrapSquare wrapText="bothSides"/>
            <wp:docPr id="245"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AD7F64" w:rsidRPr="00814020">
        <w:rPr>
          <w:rFonts w:ascii="Times New Roman" w:hAnsi="Times New Roman" w:cs="Times New Roman"/>
          <w:sz w:val="18"/>
        </w:rPr>
        <w:t>Millones de quetzales y porcentajes</w:t>
      </w:r>
    </w:p>
    <w:p w14:paraId="0DB219EC" w14:textId="31777B49" w:rsidR="00DF6416" w:rsidRPr="00814020" w:rsidRDefault="00DF6416" w:rsidP="00DF6416">
      <w:pPr>
        <w:pStyle w:val="Sinespaciado"/>
        <w:rPr>
          <w:rFonts w:ascii="Times New Roman" w:hAnsi="Times New Roman" w:cs="Times New Roman"/>
          <w:sz w:val="16"/>
        </w:rPr>
      </w:pPr>
      <w:r w:rsidRPr="00814020">
        <w:rPr>
          <w:rFonts w:ascii="Times New Roman" w:hAnsi="Times New Roman" w:cs="Times New Roman"/>
          <w:sz w:val="16"/>
        </w:rPr>
        <w:t>Fuente: Dirección de Análisis y Política Fiscal</w:t>
      </w:r>
    </w:p>
    <w:p w14:paraId="2D029A52" w14:textId="77777777" w:rsidR="00DF6416" w:rsidRPr="00603C67" w:rsidRDefault="00DF6416" w:rsidP="000C65AB">
      <w:pPr>
        <w:pStyle w:val="Sinespaciado"/>
        <w:jc w:val="both"/>
        <w:rPr>
          <w:rFonts w:ascii="Times New Roman" w:hAnsi="Times New Roman" w:cs="Times New Roman"/>
          <w:color w:val="FF0000"/>
        </w:rPr>
        <w:sectPr w:rsidR="00DF6416" w:rsidRPr="00603C67" w:rsidSect="00040C99">
          <w:headerReference w:type="default" r:id="rId30"/>
          <w:footerReference w:type="default" r:id="rId31"/>
          <w:type w:val="continuous"/>
          <w:pgSz w:w="12240" w:h="15840" w:code="1"/>
          <w:pgMar w:top="1418" w:right="1418" w:bottom="1418" w:left="1701" w:header="709" w:footer="709" w:gutter="0"/>
          <w:cols w:num="2" w:space="708"/>
          <w:docGrid w:linePitch="360"/>
        </w:sectPr>
      </w:pPr>
    </w:p>
    <w:p w14:paraId="3E8EF920" w14:textId="77777777" w:rsidR="001E4CD2" w:rsidRPr="006B7BA0" w:rsidRDefault="001E4CD2" w:rsidP="00BC7539">
      <w:pPr>
        <w:pStyle w:val="Sinespaciado"/>
        <w:jc w:val="both"/>
        <w:rPr>
          <w:rFonts w:ascii="Times New Roman" w:hAnsi="Times New Roman" w:cs="Times New Roman"/>
          <w:color w:val="FF0000"/>
          <w:sz w:val="4"/>
        </w:rPr>
      </w:pPr>
    </w:p>
    <w:p w14:paraId="47AC3BB9" w14:textId="77777777" w:rsidR="00494D1D" w:rsidRPr="00DF6416"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DF6416" w:rsidSect="00FA3B81">
          <w:headerReference w:type="default" r:id="rId32"/>
          <w:footerReference w:type="default" r:id="rId33"/>
          <w:type w:val="continuous"/>
          <w:pgSz w:w="12240" w:h="15840" w:code="1"/>
          <w:pgMar w:top="1418" w:right="1418" w:bottom="1418" w:left="1418" w:header="709" w:footer="709" w:gutter="0"/>
          <w:cols w:space="708"/>
          <w:docGrid w:linePitch="360"/>
        </w:sectPr>
      </w:pPr>
      <w:r w:rsidRPr="00DF6416">
        <w:rPr>
          <w:rFonts w:ascii="Times New Roman" w:hAnsi="Times New Roman" w:cs="Times New Roman"/>
          <w:b/>
          <w:lang w:val="es-MX"/>
        </w:rPr>
        <w:t>Ambientes macroeconómicos (externo e interno)</w:t>
      </w:r>
    </w:p>
    <w:p w14:paraId="357BF995" w14:textId="77777777" w:rsidR="00494D1D" w:rsidRPr="00DF6416" w:rsidRDefault="00494D1D" w:rsidP="00494D1D">
      <w:pPr>
        <w:pStyle w:val="Sinespaciado"/>
        <w:rPr>
          <w:rFonts w:ascii="Times New Roman" w:hAnsi="Times New Roman" w:cs="Times New Roman"/>
          <w:b/>
          <w:sz w:val="18"/>
          <w:lang w:val="es-MX"/>
        </w:rPr>
      </w:pPr>
    </w:p>
    <w:p w14:paraId="702286A4" w14:textId="77777777" w:rsidR="00494D1D" w:rsidRPr="00DF6416" w:rsidRDefault="00494D1D" w:rsidP="00494D1D">
      <w:pPr>
        <w:pStyle w:val="Sinespaciado"/>
        <w:rPr>
          <w:rFonts w:ascii="Times New Roman" w:hAnsi="Times New Roman" w:cs="Times New Roman"/>
          <w:b/>
          <w:sz w:val="28"/>
          <w:lang w:val="es-MX"/>
        </w:rPr>
        <w:sectPr w:rsidR="00494D1D" w:rsidRPr="00DF6416" w:rsidSect="004E358C">
          <w:type w:val="continuous"/>
          <w:pgSz w:w="12240" w:h="15840"/>
          <w:pgMar w:top="1417" w:right="1701" w:bottom="1417" w:left="1701" w:header="708" w:footer="708" w:gutter="0"/>
          <w:cols w:space="708"/>
          <w:docGrid w:linePitch="360"/>
        </w:sectPr>
      </w:pPr>
    </w:p>
    <w:p w14:paraId="3E1B4C08" w14:textId="77777777" w:rsidR="00425FA9" w:rsidRDefault="00425FA9" w:rsidP="00425FA9">
      <w:pPr>
        <w:pStyle w:val="Textodeglobo"/>
        <w:jc w:val="both"/>
        <w:rPr>
          <w:noProof/>
        </w:rPr>
      </w:pPr>
      <w:r>
        <w:rPr>
          <w:rFonts w:ascii="Times New Roman" w:hAnsi="Times New Roman" w:cs="Times New Roman"/>
          <w:b/>
          <w:bCs/>
          <w:sz w:val="22"/>
          <w:szCs w:val="22"/>
        </w:rPr>
        <w:lastRenderedPageBreak/>
        <w:t>Resumen ejecutivo del informe de</w:t>
      </w:r>
      <w:r w:rsidRPr="00D00395">
        <w:rPr>
          <w:rFonts w:ascii="Times New Roman" w:hAnsi="Times New Roman" w:cs="Times New Roman"/>
          <w:b/>
          <w:bCs/>
          <w:sz w:val="22"/>
          <w:szCs w:val="22"/>
        </w:rPr>
        <w:t xml:space="preserve"> Perspectivas de la economía mundial</w:t>
      </w:r>
      <w:r>
        <w:rPr>
          <w:rFonts w:ascii="Times New Roman" w:hAnsi="Times New Roman" w:cs="Times New Roman"/>
          <w:b/>
          <w:bCs/>
          <w:sz w:val="22"/>
          <w:szCs w:val="22"/>
        </w:rPr>
        <w:t>, elaborado por el FMI</w:t>
      </w:r>
      <w:r w:rsidRPr="00D00395">
        <w:rPr>
          <w:rFonts w:ascii="Times New Roman" w:hAnsi="Times New Roman" w:cs="Times New Roman"/>
          <w:b/>
          <w:bCs/>
          <w:sz w:val="22"/>
          <w:szCs w:val="22"/>
        </w:rPr>
        <w:t>.</w:t>
      </w:r>
      <w:r w:rsidRPr="00D00395">
        <w:rPr>
          <w:noProof/>
        </w:rPr>
        <w:t xml:space="preserve"> </w:t>
      </w:r>
    </w:p>
    <w:p w14:paraId="3840B4BC" w14:textId="77777777" w:rsidR="00425FA9" w:rsidRDefault="00425FA9" w:rsidP="00425FA9">
      <w:pPr>
        <w:pStyle w:val="Textodeglobo"/>
        <w:jc w:val="both"/>
        <w:rPr>
          <w:noProof/>
        </w:rPr>
      </w:pPr>
    </w:p>
    <w:p w14:paraId="2562645E" w14:textId="77777777" w:rsidR="00425FA9" w:rsidRPr="00BD6CCD" w:rsidRDefault="00425FA9" w:rsidP="00425FA9">
      <w:pPr>
        <w:pStyle w:val="Textodeglobo"/>
        <w:jc w:val="both"/>
        <w:rPr>
          <w:rFonts w:ascii="Times New Roman" w:hAnsi="Times New Roman" w:cs="Times New Roman"/>
          <w:b/>
          <w:sz w:val="22"/>
          <w:szCs w:val="22"/>
        </w:rPr>
      </w:pPr>
      <w:r w:rsidRPr="00BD6CCD">
        <w:rPr>
          <w:rFonts w:ascii="Times New Roman" w:hAnsi="Times New Roman" w:cs="Times New Roman"/>
          <w:b/>
          <w:sz w:val="22"/>
          <w:szCs w:val="22"/>
        </w:rPr>
        <w:t>Contexto del COVID-19.</w:t>
      </w:r>
    </w:p>
    <w:p w14:paraId="4AB13C58" w14:textId="77777777" w:rsidR="00425FA9" w:rsidRPr="00BD6CCD" w:rsidRDefault="00425FA9" w:rsidP="00425FA9">
      <w:pPr>
        <w:pStyle w:val="Prrafodelista"/>
        <w:numPr>
          <w:ilvl w:val="0"/>
          <w:numId w:val="18"/>
        </w:numPr>
        <w:ind w:left="0" w:hanging="284"/>
        <w:jc w:val="both"/>
        <w:rPr>
          <w:rFonts w:ascii="Times New Roman" w:hAnsi="Times New Roman" w:cs="Times New Roman"/>
        </w:rPr>
      </w:pPr>
      <w:r w:rsidRPr="00BD6CCD">
        <w:rPr>
          <w:rFonts w:ascii="Times New Roman" w:hAnsi="Times New Roman" w:cs="Times New Roman"/>
        </w:rPr>
        <w:t>Un año después de la pandemia de COVID-19, la acumulación de víctimas mortales sigue siendo motivo de preocupación, incluso cuando la creciente cobertura de vacunas eleva la confianza.</w:t>
      </w:r>
    </w:p>
    <w:p w14:paraId="0C64DFC7" w14:textId="77777777" w:rsidR="00425FA9" w:rsidRPr="00BD6CCD" w:rsidRDefault="00425FA9" w:rsidP="00425FA9">
      <w:pPr>
        <w:pStyle w:val="Prrafodelista"/>
        <w:numPr>
          <w:ilvl w:val="0"/>
          <w:numId w:val="18"/>
        </w:numPr>
        <w:ind w:left="0" w:hanging="284"/>
        <w:jc w:val="both"/>
        <w:rPr>
          <w:rFonts w:ascii="Times New Roman" w:hAnsi="Times New Roman" w:cs="Times New Roman"/>
        </w:rPr>
      </w:pPr>
      <w:r w:rsidRPr="00BD6CCD">
        <w:rPr>
          <w:rFonts w:ascii="Times New Roman" w:hAnsi="Times New Roman" w:cs="Times New Roman"/>
        </w:rPr>
        <w:t xml:space="preserve">Existe elevada incertidumbre que rodea las perspectivas económicas mundiales, </w:t>
      </w:r>
      <w:r w:rsidRPr="00BD6CCD">
        <w:rPr>
          <w:rFonts w:ascii="Times New Roman" w:hAnsi="Times New Roman" w:cs="Times New Roman"/>
        </w:rPr>
        <w:lastRenderedPageBreak/>
        <w:t>principalmente en lo relacionado con la trayectoria de la pandemia.</w:t>
      </w:r>
    </w:p>
    <w:p w14:paraId="14E986AC" w14:textId="77777777" w:rsidR="00425FA9" w:rsidRPr="00BD6CCD" w:rsidRDefault="00425FA9" w:rsidP="00425FA9">
      <w:pPr>
        <w:pStyle w:val="Prrafodelista"/>
        <w:numPr>
          <w:ilvl w:val="1"/>
          <w:numId w:val="18"/>
        </w:numPr>
        <w:ind w:left="284" w:hanging="284"/>
        <w:jc w:val="both"/>
        <w:rPr>
          <w:rFonts w:ascii="Times New Roman" w:hAnsi="Times New Roman" w:cs="Times New Roman"/>
        </w:rPr>
      </w:pPr>
      <w:r w:rsidRPr="00BD6CCD">
        <w:rPr>
          <w:rFonts w:ascii="Times New Roman" w:hAnsi="Times New Roman" w:cs="Times New Roman"/>
        </w:rPr>
        <w:t>La contracción de la actividad económica en 2020 no ha tenido precedentes en la historia -en su velocidad y naturaleza sincronizada</w:t>
      </w:r>
      <w:r>
        <w:rPr>
          <w:rFonts w:ascii="Times New Roman" w:hAnsi="Times New Roman" w:cs="Times New Roman"/>
        </w:rPr>
        <w:t>-</w:t>
      </w:r>
      <w:r w:rsidRPr="00BD6CCD">
        <w:rPr>
          <w:rFonts w:ascii="Times New Roman" w:hAnsi="Times New Roman" w:cs="Times New Roman"/>
        </w:rPr>
        <w:t>.</w:t>
      </w:r>
    </w:p>
    <w:p w14:paraId="7F71CB9C" w14:textId="3062B309" w:rsidR="00425FA9" w:rsidRPr="006B7BA0" w:rsidRDefault="00425FA9" w:rsidP="006B7BA0">
      <w:pPr>
        <w:pStyle w:val="Prrafodelista"/>
        <w:numPr>
          <w:ilvl w:val="1"/>
          <w:numId w:val="18"/>
        </w:numPr>
        <w:ind w:left="284" w:hanging="284"/>
        <w:jc w:val="both"/>
        <w:rPr>
          <w:rFonts w:ascii="Times New Roman" w:hAnsi="Times New Roman" w:cs="Times New Roman"/>
          <w:color w:val="FF0000"/>
        </w:rPr>
      </w:pPr>
      <w:r w:rsidRPr="00BD6CCD">
        <w:rPr>
          <w:rFonts w:ascii="Times New Roman" w:hAnsi="Times New Roman" w:cs="Times New Roman"/>
        </w:rPr>
        <w:t xml:space="preserve">No obstante, la contracción económica podría haber sido mucho peor. Aunque es difícil de precisar, las estimaciones del personal técnico del FMI sugieren que la contracción podría haber sido tres veces </w:t>
      </w:r>
      <w:r w:rsidRPr="00BD6CCD">
        <w:rPr>
          <w:rFonts w:ascii="Times New Roman" w:hAnsi="Times New Roman" w:cs="Times New Roman"/>
        </w:rPr>
        <w:lastRenderedPageBreak/>
        <w:t>mayor si no fuera por el apoyo extraordinario de políticas.</w:t>
      </w:r>
    </w:p>
    <w:p w14:paraId="4B9D09C5" w14:textId="77777777" w:rsidR="00425FA9" w:rsidRPr="00BD6CCD" w:rsidRDefault="00425FA9" w:rsidP="00425FA9">
      <w:pPr>
        <w:spacing w:after="0" w:line="240" w:lineRule="auto"/>
        <w:jc w:val="both"/>
        <w:rPr>
          <w:rFonts w:ascii="Times New Roman" w:hAnsi="Times New Roman" w:cs="Times New Roman"/>
          <w:b/>
          <w:lang w:val="es-MX"/>
        </w:rPr>
      </w:pPr>
      <w:r w:rsidRPr="00BD6CCD">
        <w:rPr>
          <w:rFonts w:ascii="Times New Roman" w:hAnsi="Times New Roman" w:cs="Times New Roman"/>
          <w:b/>
          <w:lang w:val="es-MX"/>
        </w:rPr>
        <w:t>Perspectiva mejorada.</w:t>
      </w:r>
    </w:p>
    <w:p w14:paraId="628CAC32" w14:textId="77777777" w:rsidR="00425FA9" w:rsidRDefault="00425FA9" w:rsidP="00425FA9">
      <w:pPr>
        <w:pStyle w:val="Prrafodelista"/>
        <w:numPr>
          <w:ilvl w:val="0"/>
          <w:numId w:val="19"/>
        </w:numPr>
        <w:ind w:left="0" w:hanging="284"/>
        <w:jc w:val="both"/>
        <w:rPr>
          <w:rFonts w:ascii="Times New Roman" w:hAnsi="Times New Roman" w:cs="Times New Roman"/>
        </w:rPr>
      </w:pPr>
      <w:r w:rsidRPr="00BD6CCD">
        <w:rPr>
          <w:rFonts w:ascii="Times New Roman" w:hAnsi="Times New Roman" w:cs="Times New Roman"/>
        </w:rPr>
        <w:t>Después de una contracción estimada de -3,3 por ciento en 2020, la economía mundial está proyectada para crecer al 6 por ciento en 2021, moderándose al 4,4 por ciento en 2022.</w:t>
      </w:r>
    </w:p>
    <w:p w14:paraId="49B6EE01" w14:textId="77777777" w:rsidR="00425FA9" w:rsidRDefault="00425FA9" w:rsidP="00425FA9">
      <w:pPr>
        <w:pStyle w:val="Prrafodelista"/>
        <w:numPr>
          <w:ilvl w:val="0"/>
          <w:numId w:val="19"/>
        </w:numPr>
        <w:ind w:left="0" w:hanging="284"/>
        <w:jc w:val="both"/>
        <w:rPr>
          <w:rFonts w:ascii="Times New Roman" w:hAnsi="Times New Roman" w:cs="Times New Roman"/>
        </w:rPr>
      </w:pPr>
      <w:r w:rsidRPr="00BD6CCD">
        <w:rPr>
          <w:rFonts w:ascii="Times New Roman" w:hAnsi="Times New Roman" w:cs="Times New Roman"/>
        </w:rPr>
        <w:t>La contracción para 2020 es 1,1 puntos porcentuales menor que lo proyectado en el WEO de octubre de 2020, que refleja un crecimiento superior al esperado en la segunda mitad del año para la mayoría de las regiones después de que se suavizaron los cierres y las economías se adaptaron a las nuevas formas de trabajar.</w:t>
      </w:r>
    </w:p>
    <w:p w14:paraId="09D56F2A" w14:textId="77777777" w:rsidR="00425FA9" w:rsidRDefault="00425FA9" w:rsidP="00425FA9">
      <w:pPr>
        <w:pStyle w:val="Prrafodelista"/>
        <w:numPr>
          <w:ilvl w:val="0"/>
          <w:numId w:val="19"/>
        </w:numPr>
        <w:ind w:left="0" w:hanging="284"/>
        <w:jc w:val="both"/>
        <w:rPr>
          <w:rFonts w:ascii="Times New Roman" w:hAnsi="Times New Roman" w:cs="Times New Roman"/>
        </w:rPr>
      </w:pPr>
      <w:r w:rsidRPr="00BD6CCD">
        <w:rPr>
          <w:rFonts w:ascii="Times New Roman" w:hAnsi="Times New Roman" w:cs="Times New Roman"/>
        </w:rPr>
        <w:t>Las proyecciones para 2021 y 2022 son 0,8 puntos porcentuales y 0,2 puntos porcentuales más fuertes que en el informe WEO de octubre de 2020, reflejando apoyo fiscal adicional en unas pocas economías grandes y la recuperación anticipada impulsada por la vacuna.</w:t>
      </w:r>
    </w:p>
    <w:p w14:paraId="5C1646B8" w14:textId="77777777" w:rsidR="00425FA9" w:rsidRDefault="00425FA9" w:rsidP="00425FA9">
      <w:pPr>
        <w:pStyle w:val="Prrafodelista"/>
        <w:numPr>
          <w:ilvl w:val="0"/>
          <w:numId w:val="19"/>
        </w:numPr>
        <w:ind w:left="0" w:hanging="284"/>
        <w:jc w:val="both"/>
        <w:rPr>
          <w:rFonts w:ascii="Times New Roman" w:hAnsi="Times New Roman" w:cs="Times New Roman"/>
        </w:rPr>
      </w:pPr>
      <w:r w:rsidRPr="00BD6CCD">
        <w:rPr>
          <w:rFonts w:ascii="Times New Roman" w:hAnsi="Times New Roman" w:cs="Times New Roman"/>
        </w:rPr>
        <w:t>Se espera que el crecimiento mundial se modere al 3.3 por ciento a mediano plazo, lo que refleja el daño proyectado al potencial de suministro y fuerzas que son anteriores a la pandemia.</w:t>
      </w:r>
    </w:p>
    <w:p w14:paraId="5DA3DDFA" w14:textId="77777777" w:rsidR="00425FA9" w:rsidRDefault="00425FA9" w:rsidP="00425FA9">
      <w:pPr>
        <w:pStyle w:val="Prrafodelista"/>
        <w:numPr>
          <w:ilvl w:val="0"/>
          <w:numId w:val="19"/>
        </w:numPr>
        <w:ind w:left="0" w:hanging="284"/>
        <w:jc w:val="both"/>
        <w:rPr>
          <w:rFonts w:ascii="Times New Roman" w:hAnsi="Times New Roman" w:cs="Times New Roman"/>
        </w:rPr>
      </w:pPr>
      <w:r w:rsidRPr="00BD6CCD">
        <w:rPr>
          <w:rFonts w:ascii="Times New Roman" w:hAnsi="Times New Roman" w:cs="Times New Roman"/>
        </w:rPr>
        <w:t>Gracias a una respuesta de políticas sin precedentes, es probable que la recesión del COVID-19 deje cicatrices más pequeñas que la crisis financiera mundial de 2008.  Sin embargo, las economías de mercados emergentes y los de bajos ingresos de los países en desarrollo se han visto más afectados y se espera que sufran las pérdidas más importantes a medio plazo.</w:t>
      </w:r>
    </w:p>
    <w:p w14:paraId="7287B78E" w14:textId="77777777" w:rsidR="00425FA9" w:rsidRPr="00BD6CCD" w:rsidRDefault="00425FA9" w:rsidP="00425FA9">
      <w:pPr>
        <w:pStyle w:val="Prrafodelista"/>
        <w:ind w:left="0"/>
        <w:jc w:val="both"/>
        <w:rPr>
          <w:rFonts w:ascii="Times New Roman" w:hAnsi="Times New Roman" w:cs="Times New Roman"/>
        </w:rPr>
      </w:pPr>
    </w:p>
    <w:p w14:paraId="5B99A677" w14:textId="77777777" w:rsidR="00425FA9" w:rsidRDefault="00425FA9" w:rsidP="00425FA9">
      <w:pPr>
        <w:spacing w:after="0" w:line="240" w:lineRule="auto"/>
        <w:jc w:val="both"/>
        <w:rPr>
          <w:rFonts w:ascii="Times New Roman" w:hAnsi="Times New Roman" w:cs="Times New Roman"/>
          <w:b/>
          <w:lang w:val="es-MX"/>
        </w:rPr>
      </w:pPr>
      <w:r>
        <w:rPr>
          <w:rFonts w:ascii="Times New Roman" w:hAnsi="Times New Roman" w:cs="Times New Roman"/>
          <w:b/>
        </w:rPr>
        <w:t>Impactos Divergentes</w:t>
      </w:r>
      <w:r w:rsidRPr="00BD6CCD">
        <w:rPr>
          <w:rFonts w:ascii="Times New Roman" w:hAnsi="Times New Roman" w:cs="Times New Roman"/>
          <w:b/>
          <w:lang w:val="es-MX"/>
        </w:rPr>
        <w:t>.</w:t>
      </w:r>
    </w:p>
    <w:p w14:paraId="30940204"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Las pérdidas de producción han sido particularmente grandes para los países que dependen del turismo y exportaciones de productos básicos y para aquellos con limitado espacio de políticas para poder responder.</w:t>
      </w:r>
    </w:p>
    <w:p w14:paraId="391E24AD"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 xml:space="preserve">Muchos de estos países entraron a la crisis en una situación fiscal precaria y con menos </w:t>
      </w:r>
      <w:r w:rsidRPr="00E6202B">
        <w:rPr>
          <w:rFonts w:ascii="Times New Roman" w:hAnsi="Times New Roman" w:cs="Times New Roman"/>
        </w:rPr>
        <w:lastRenderedPageBreak/>
        <w:t>capacidad para montar importantes respuestas de política sanitaria o apoyar los medios de vida.</w:t>
      </w:r>
    </w:p>
    <w:p w14:paraId="5471D6CA"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Los jóvenes, las mujeres, los trabajadores con un nivel educativo relativamente más bajo y los empleados informales en general, han sido los grupos más afectados</w:t>
      </w:r>
      <w:r>
        <w:rPr>
          <w:rFonts w:ascii="Times New Roman" w:hAnsi="Times New Roman" w:cs="Times New Roman"/>
        </w:rPr>
        <w:t>.</w:t>
      </w:r>
    </w:p>
    <w:p w14:paraId="2E49EA56"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Es probable que la desigualdad de ingresos aumente significativamente debido a la pandemia.</w:t>
      </w:r>
    </w:p>
    <w:p w14:paraId="64AFAEBF"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Se estima que cerca de 95 millones de personas más caigan por debajo del umbral de la pobreza extrema en 2020 en comparación con las proyecciones pre-pandémicas.</w:t>
      </w:r>
    </w:p>
    <w:p w14:paraId="42CFB67E" w14:textId="77777777" w:rsidR="00425FA9" w:rsidRDefault="00425FA9" w:rsidP="00425FA9">
      <w:pPr>
        <w:pStyle w:val="Prrafodelista"/>
        <w:numPr>
          <w:ilvl w:val="0"/>
          <w:numId w:val="20"/>
        </w:numPr>
        <w:ind w:left="0" w:hanging="284"/>
        <w:jc w:val="both"/>
        <w:rPr>
          <w:rFonts w:ascii="Times New Roman" w:hAnsi="Times New Roman" w:cs="Times New Roman"/>
        </w:rPr>
      </w:pPr>
      <w:r w:rsidRPr="00E6202B">
        <w:rPr>
          <w:rFonts w:ascii="Times New Roman" w:hAnsi="Times New Roman" w:cs="Times New Roman"/>
        </w:rPr>
        <w:t>Las pérdidas de aprendizaje han sido más severas en personas de bajos ingresos y países en desarrollo, a los que les ha resultado más difícil hacer frente a los cierres de escuelas, especialmente para las niñas y estudiantes de hogares de bajos ingresos. Estos contratiempos en la educación podrían amplificar aún más la desigualdad de los ingresos.</w:t>
      </w:r>
    </w:p>
    <w:p w14:paraId="3598E933" w14:textId="77777777" w:rsidR="00425FA9" w:rsidRDefault="00425FA9" w:rsidP="00425FA9">
      <w:pPr>
        <w:pStyle w:val="Prrafodelista"/>
        <w:ind w:left="0"/>
        <w:jc w:val="both"/>
        <w:rPr>
          <w:rFonts w:ascii="Times New Roman" w:hAnsi="Times New Roman" w:cs="Times New Roman"/>
        </w:rPr>
      </w:pPr>
    </w:p>
    <w:p w14:paraId="463712CF" w14:textId="77777777" w:rsidR="00425FA9" w:rsidRDefault="00425FA9" w:rsidP="00425FA9">
      <w:pPr>
        <w:spacing w:after="0" w:line="240" w:lineRule="auto"/>
        <w:jc w:val="both"/>
        <w:rPr>
          <w:rFonts w:ascii="Times New Roman" w:hAnsi="Times New Roman" w:cs="Times New Roman"/>
          <w:b/>
          <w:lang w:val="es-MX"/>
        </w:rPr>
      </w:pPr>
      <w:r>
        <w:rPr>
          <w:rFonts w:ascii="Times New Roman" w:hAnsi="Times New Roman" w:cs="Times New Roman"/>
          <w:b/>
        </w:rPr>
        <w:t>Una gran incertidumbre rodea el panorama mundial</w:t>
      </w:r>
      <w:r w:rsidRPr="00BD6CCD">
        <w:rPr>
          <w:rFonts w:ascii="Times New Roman" w:hAnsi="Times New Roman" w:cs="Times New Roman"/>
          <w:b/>
          <w:lang w:val="es-MX"/>
        </w:rPr>
        <w:t>.</w:t>
      </w:r>
    </w:p>
    <w:p w14:paraId="49D95B67" w14:textId="77777777" w:rsidR="00425FA9" w:rsidRDefault="00425FA9" w:rsidP="00425FA9">
      <w:pPr>
        <w:pStyle w:val="Prrafodelista"/>
        <w:numPr>
          <w:ilvl w:val="0"/>
          <w:numId w:val="21"/>
        </w:numPr>
        <w:ind w:left="0" w:hanging="284"/>
        <w:jc w:val="both"/>
        <w:rPr>
          <w:rFonts w:ascii="Times New Roman" w:hAnsi="Times New Roman" w:cs="Times New Roman"/>
        </w:rPr>
      </w:pPr>
      <w:r w:rsidRPr="00E6202B">
        <w:rPr>
          <w:rFonts w:ascii="Times New Roman" w:hAnsi="Times New Roman" w:cs="Times New Roman"/>
        </w:rPr>
        <w:t>El desarrollo futuro de eventos dependerá del camino de la crisis de salud, incluso si las nuevas cepas de COVID-19 resultan susceptibles a las vacunas o prolongan la pandemia; la eficacia de las acciones políticas para limitar el daño económico persistente (cicatrices); la evolución de las condiciones financieras y de los precios de las materias primas; y la capacidad de ajuste de la economía.</w:t>
      </w:r>
    </w:p>
    <w:p w14:paraId="32944DD8" w14:textId="77777777" w:rsidR="00425FA9" w:rsidRDefault="00425FA9" w:rsidP="00425FA9">
      <w:pPr>
        <w:pStyle w:val="Prrafodelista"/>
        <w:numPr>
          <w:ilvl w:val="0"/>
          <w:numId w:val="21"/>
        </w:numPr>
        <w:ind w:left="0" w:hanging="284"/>
        <w:jc w:val="both"/>
        <w:rPr>
          <w:rFonts w:ascii="Times New Roman" w:hAnsi="Times New Roman" w:cs="Times New Roman"/>
        </w:rPr>
      </w:pPr>
      <w:r w:rsidRPr="00E6202B">
        <w:rPr>
          <w:rFonts w:ascii="Times New Roman" w:hAnsi="Times New Roman" w:cs="Times New Roman"/>
        </w:rPr>
        <w:t>Considerando la gran incertidumbre que rodea las perspectivas, los responsables de la formulación de políticas deberían priorizar políticas que sean prudentes, por ejemplo: el fortalecimiento social, la protección con una mayor elegibilidad para el desempleo, seguro para cubrir a los autónomos e informales, entre otras.</w:t>
      </w:r>
    </w:p>
    <w:p w14:paraId="7E7B1F9F" w14:textId="77777777" w:rsidR="00425FA9" w:rsidRDefault="00425FA9" w:rsidP="00425FA9">
      <w:pPr>
        <w:pStyle w:val="Prrafodelista"/>
        <w:numPr>
          <w:ilvl w:val="0"/>
          <w:numId w:val="21"/>
        </w:numPr>
        <w:ind w:left="0" w:hanging="284"/>
        <w:jc w:val="both"/>
        <w:rPr>
          <w:rFonts w:ascii="Times New Roman" w:hAnsi="Times New Roman" w:cs="Times New Roman"/>
        </w:rPr>
      </w:pPr>
      <w:r w:rsidRPr="00E6202B">
        <w:rPr>
          <w:rFonts w:ascii="Times New Roman" w:hAnsi="Times New Roman" w:cs="Times New Roman"/>
        </w:rPr>
        <w:lastRenderedPageBreak/>
        <w:t>Cuando los niveles elevados de deuda limiten el alcance de la acción, los esfuerzos deben estar dirigidos a crear espacio a través de un aumento en la recaudación de ingresos, una mayor progresividad fiscal y la reducción de los subsidios innecesarios.</w:t>
      </w:r>
    </w:p>
    <w:p w14:paraId="547913E4" w14:textId="77777777" w:rsidR="00425FA9" w:rsidRDefault="00425FA9" w:rsidP="00425FA9">
      <w:pPr>
        <w:pStyle w:val="Prrafodelista"/>
        <w:numPr>
          <w:ilvl w:val="0"/>
          <w:numId w:val="21"/>
        </w:numPr>
        <w:ind w:left="0" w:hanging="284"/>
        <w:jc w:val="both"/>
        <w:rPr>
          <w:rFonts w:ascii="Times New Roman" w:hAnsi="Times New Roman" w:cs="Times New Roman"/>
        </w:rPr>
      </w:pPr>
      <w:r w:rsidRPr="00E6202B">
        <w:rPr>
          <w:rFonts w:ascii="Times New Roman" w:hAnsi="Times New Roman" w:cs="Times New Roman"/>
        </w:rPr>
        <w:t>Los desafíos de largo plazo no pueden ser ignorados: aumentar la productividad, mejorar los marcos de políticas y abordar el cambio climático.</w:t>
      </w:r>
    </w:p>
    <w:p w14:paraId="43FCF8DB" w14:textId="77777777" w:rsidR="00425FA9" w:rsidRDefault="00425FA9" w:rsidP="00425FA9">
      <w:pPr>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92384" behindDoc="0" locked="0" layoutInCell="1" allowOverlap="1" wp14:anchorId="34A283A3" wp14:editId="59A0D343">
            <wp:simplePos x="0" y="0"/>
            <wp:positionH relativeFrom="column">
              <wp:posOffset>6985</wp:posOffset>
            </wp:positionH>
            <wp:positionV relativeFrom="paragraph">
              <wp:posOffset>115984</wp:posOffset>
            </wp:positionV>
            <wp:extent cx="2651711" cy="1423283"/>
            <wp:effectExtent l="19050" t="19050" r="15875" b="247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50557"/>
                    <a:stretch/>
                  </pic:blipFill>
                  <pic:spPr bwMode="auto">
                    <a:xfrm>
                      <a:off x="0" y="0"/>
                      <a:ext cx="2651711" cy="1423283"/>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3BA08" w14:textId="77777777" w:rsidR="00425FA9" w:rsidRDefault="00425FA9" w:rsidP="00425FA9">
      <w:pPr>
        <w:jc w:val="both"/>
        <w:rPr>
          <w:rFonts w:ascii="Times New Roman" w:hAnsi="Times New Roman" w:cs="Times New Roman"/>
        </w:rPr>
      </w:pPr>
    </w:p>
    <w:p w14:paraId="6D64A1E4" w14:textId="77777777" w:rsidR="00425FA9" w:rsidRPr="00B807A2" w:rsidRDefault="00425FA9" w:rsidP="00425FA9">
      <w:pPr>
        <w:jc w:val="both"/>
        <w:rPr>
          <w:rFonts w:ascii="Times New Roman" w:hAnsi="Times New Roman" w:cs="Times New Roman"/>
        </w:rPr>
      </w:pPr>
    </w:p>
    <w:p w14:paraId="48A391A0" w14:textId="77777777" w:rsidR="00425FA9" w:rsidRDefault="00425FA9" w:rsidP="00425FA9">
      <w:pPr>
        <w:pStyle w:val="Prrafodelista"/>
        <w:ind w:left="0"/>
        <w:jc w:val="both"/>
        <w:rPr>
          <w:rFonts w:ascii="Times New Roman" w:hAnsi="Times New Roman" w:cs="Times New Roman"/>
        </w:rPr>
      </w:pPr>
    </w:p>
    <w:p w14:paraId="4616933F" w14:textId="77777777" w:rsidR="00425FA9" w:rsidRPr="00E6202B" w:rsidRDefault="00425FA9" w:rsidP="00425FA9">
      <w:pPr>
        <w:pStyle w:val="Prrafodelista"/>
        <w:ind w:left="0"/>
        <w:jc w:val="both"/>
        <w:rPr>
          <w:rFonts w:ascii="Times New Roman" w:hAnsi="Times New Roman" w:cs="Times New Roman"/>
        </w:rPr>
      </w:pPr>
    </w:p>
    <w:p w14:paraId="211C1722" w14:textId="7B0E06F3" w:rsidR="00425FA9" w:rsidRDefault="00425FA9" w:rsidP="00425FA9">
      <w:pPr>
        <w:jc w:val="both"/>
        <w:rPr>
          <w:rFonts w:ascii="Times New Roman" w:hAnsi="Times New Roman" w:cs="Times New Roman"/>
        </w:rPr>
      </w:pPr>
    </w:p>
    <w:p w14:paraId="4DB029F9" w14:textId="77777777" w:rsidR="00425FA9" w:rsidRDefault="00425FA9" w:rsidP="00425FA9">
      <w:pPr>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793408" behindDoc="0" locked="0" layoutInCell="1" allowOverlap="1" wp14:anchorId="09D5A362" wp14:editId="060A7935">
            <wp:simplePos x="0" y="0"/>
            <wp:positionH relativeFrom="column">
              <wp:posOffset>5714</wp:posOffset>
            </wp:positionH>
            <wp:positionV relativeFrom="paragraph">
              <wp:posOffset>43815</wp:posOffset>
            </wp:positionV>
            <wp:extent cx="2648329" cy="1421765"/>
            <wp:effectExtent l="19050" t="19050" r="19050" b="260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49676"/>
                    <a:stretch/>
                  </pic:blipFill>
                  <pic:spPr bwMode="auto">
                    <a:xfrm>
                      <a:off x="0" y="0"/>
                      <a:ext cx="2649523" cy="1422406"/>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71F41" w14:textId="77777777" w:rsidR="00425FA9" w:rsidRDefault="00425FA9" w:rsidP="00425FA9">
      <w:pPr>
        <w:jc w:val="both"/>
        <w:rPr>
          <w:rFonts w:ascii="Times New Roman" w:hAnsi="Times New Roman" w:cs="Times New Roman"/>
        </w:rPr>
      </w:pPr>
    </w:p>
    <w:p w14:paraId="1586ECBD" w14:textId="77777777" w:rsidR="00425FA9" w:rsidRDefault="00425FA9" w:rsidP="00425FA9">
      <w:pPr>
        <w:jc w:val="both"/>
        <w:rPr>
          <w:rFonts w:ascii="Times New Roman" w:hAnsi="Times New Roman" w:cs="Times New Roman"/>
        </w:rPr>
      </w:pPr>
    </w:p>
    <w:p w14:paraId="7434C654" w14:textId="77777777" w:rsidR="00425FA9" w:rsidRDefault="00425FA9" w:rsidP="00425FA9">
      <w:pPr>
        <w:jc w:val="both"/>
        <w:rPr>
          <w:rFonts w:ascii="Times New Roman" w:hAnsi="Times New Roman" w:cs="Times New Roman"/>
        </w:rPr>
      </w:pPr>
    </w:p>
    <w:p w14:paraId="27A98325" w14:textId="77777777" w:rsidR="00425FA9" w:rsidRPr="00E6202B" w:rsidRDefault="00425FA9" w:rsidP="00425FA9">
      <w:pPr>
        <w:jc w:val="both"/>
        <w:rPr>
          <w:rFonts w:ascii="Times New Roman" w:hAnsi="Times New Roman" w:cs="Times New Roman"/>
        </w:rPr>
      </w:pPr>
    </w:p>
    <w:p w14:paraId="45046382" w14:textId="77777777" w:rsidR="006B7BA0" w:rsidRDefault="006B7BA0" w:rsidP="00425FA9">
      <w:pPr>
        <w:spacing w:after="0" w:line="240" w:lineRule="auto"/>
        <w:jc w:val="both"/>
        <w:rPr>
          <w:rFonts w:ascii="Times New Roman" w:hAnsi="Times New Roman" w:cs="Times New Roman"/>
          <w:b/>
          <w:lang w:val="es-MX"/>
        </w:rPr>
      </w:pPr>
    </w:p>
    <w:p w14:paraId="12827022" w14:textId="77777777" w:rsidR="006B7BA0" w:rsidRDefault="006B7BA0" w:rsidP="00425FA9">
      <w:pPr>
        <w:spacing w:after="0" w:line="240" w:lineRule="auto"/>
        <w:jc w:val="both"/>
        <w:rPr>
          <w:rFonts w:ascii="Times New Roman" w:hAnsi="Times New Roman" w:cs="Times New Roman"/>
          <w:b/>
          <w:lang w:val="es-MX"/>
        </w:rPr>
      </w:pPr>
    </w:p>
    <w:p w14:paraId="3633D571" w14:textId="77777777" w:rsidR="006B7BA0" w:rsidRDefault="006B7BA0" w:rsidP="00425FA9">
      <w:pPr>
        <w:spacing w:after="0" w:line="240" w:lineRule="auto"/>
        <w:jc w:val="both"/>
        <w:rPr>
          <w:rFonts w:ascii="Times New Roman" w:hAnsi="Times New Roman" w:cs="Times New Roman"/>
          <w:b/>
          <w:lang w:val="es-MX"/>
        </w:rPr>
      </w:pPr>
    </w:p>
    <w:p w14:paraId="5E38B6DD" w14:textId="77777777" w:rsidR="006B7BA0" w:rsidRDefault="006B7BA0" w:rsidP="00425FA9">
      <w:pPr>
        <w:spacing w:after="0" w:line="240" w:lineRule="auto"/>
        <w:jc w:val="both"/>
        <w:rPr>
          <w:rFonts w:ascii="Times New Roman" w:hAnsi="Times New Roman" w:cs="Times New Roman"/>
          <w:b/>
          <w:lang w:val="es-MX"/>
        </w:rPr>
      </w:pPr>
    </w:p>
    <w:p w14:paraId="4B63CD9B" w14:textId="77777777" w:rsidR="006B7BA0" w:rsidRDefault="006B7BA0" w:rsidP="00425FA9">
      <w:pPr>
        <w:spacing w:after="0" w:line="240" w:lineRule="auto"/>
        <w:jc w:val="both"/>
        <w:rPr>
          <w:rFonts w:ascii="Times New Roman" w:hAnsi="Times New Roman" w:cs="Times New Roman"/>
          <w:b/>
          <w:lang w:val="es-MX"/>
        </w:rPr>
      </w:pPr>
    </w:p>
    <w:p w14:paraId="472819CE" w14:textId="77777777" w:rsidR="006B7BA0" w:rsidRDefault="006B7BA0" w:rsidP="00425FA9">
      <w:pPr>
        <w:spacing w:after="0" w:line="240" w:lineRule="auto"/>
        <w:jc w:val="both"/>
        <w:rPr>
          <w:rFonts w:ascii="Times New Roman" w:hAnsi="Times New Roman" w:cs="Times New Roman"/>
          <w:b/>
          <w:lang w:val="es-MX"/>
        </w:rPr>
      </w:pPr>
    </w:p>
    <w:p w14:paraId="37ECE59D" w14:textId="77777777" w:rsidR="006B7BA0" w:rsidRDefault="006B7BA0" w:rsidP="00425FA9">
      <w:pPr>
        <w:spacing w:after="0" w:line="240" w:lineRule="auto"/>
        <w:jc w:val="both"/>
        <w:rPr>
          <w:rFonts w:ascii="Times New Roman" w:hAnsi="Times New Roman" w:cs="Times New Roman"/>
          <w:b/>
          <w:lang w:val="es-MX"/>
        </w:rPr>
      </w:pPr>
    </w:p>
    <w:p w14:paraId="129A1648" w14:textId="77777777" w:rsidR="006B7BA0" w:rsidRDefault="006B7BA0" w:rsidP="00425FA9">
      <w:pPr>
        <w:spacing w:after="0" w:line="240" w:lineRule="auto"/>
        <w:jc w:val="both"/>
        <w:rPr>
          <w:rFonts w:ascii="Times New Roman" w:hAnsi="Times New Roman" w:cs="Times New Roman"/>
          <w:b/>
          <w:lang w:val="es-MX"/>
        </w:rPr>
      </w:pPr>
    </w:p>
    <w:p w14:paraId="04B4634E" w14:textId="77777777" w:rsidR="006B7BA0" w:rsidRDefault="006B7BA0" w:rsidP="00425FA9">
      <w:pPr>
        <w:spacing w:after="0" w:line="240" w:lineRule="auto"/>
        <w:jc w:val="both"/>
        <w:rPr>
          <w:rFonts w:ascii="Times New Roman" w:hAnsi="Times New Roman" w:cs="Times New Roman"/>
          <w:b/>
          <w:lang w:val="es-MX"/>
        </w:rPr>
      </w:pPr>
    </w:p>
    <w:p w14:paraId="4D57A99B" w14:textId="77777777" w:rsidR="006B7BA0" w:rsidRDefault="006B7BA0" w:rsidP="00425FA9">
      <w:pPr>
        <w:spacing w:after="0" w:line="240" w:lineRule="auto"/>
        <w:jc w:val="both"/>
        <w:rPr>
          <w:rFonts w:ascii="Times New Roman" w:hAnsi="Times New Roman" w:cs="Times New Roman"/>
          <w:b/>
          <w:lang w:val="es-MX"/>
        </w:rPr>
      </w:pPr>
    </w:p>
    <w:p w14:paraId="4B8FFD80" w14:textId="77777777" w:rsidR="006B7BA0" w:rsidRDefault="006B7BA0" w:rsidP="00425FA9">
      <w:pPr>
        <w:spacing w:after="0" w:line="240" w:lineRule="auto"/>
        <w:jc w:val="both"/>
        <w:rPr>
          <w:rFonts w:ascii="Times New Roman" w:hAnsi="Times New Roman" w:cs="Times New Roman"/>
          <w:b/>
          <w:lang w:val="es-MX"/>
        </w:rPr>
      </w:pPr>
    </w:p>
    <w:p w14:paraId="6374BBDD" w14:textId="77777777" w:rsidR="006B7BA0" w:rsidRDefault="006B7BA0" w:rsidP="00425FA9">
      <w:pPr>
        <w:spacing w:after="0" w:line="240" w:lineRule="auto"/>
        <w:jc w:val="both"/>
        <w:rPr>
          <w:rFonts w:ascii="Times New Roman" w:hAnsi="Times New Roman" w:cs="Times New Roman"/>
          <w:b/>
          <w:lang w:val="es-MX"/>
        </w:rPr>
      </w:pPr>
    </w:p>
    <w:p w14:paraId="5347074E" w14:textId="77777777" w:rsidR="006B7BA0" w:rsidRDefault="006B7BA0" w:rsidP="00425FA9">
      <w:pPr>
        <w:spacing w:after="0" w:line="240" w:lineRule="auto"/>
        <w:jc w:val="both"/>
        <w:rPr>
          <w:rFonts w:ascii="Times New Roman" w:hAnsi="Times New Roman" w:cs="Times New Roman"/>
          <w:b/>
          <w:lang w:val="es-MX"/>
        </w:rPr>
      </w:pPr>
    </w:p>
    <w:p w14:paraId="63430342" w14:textId="77777777" w:rsidR="006B7BA0" w:rsidRDefault="006B7BA0" w:rsidP="00425FA9">
      <w:pPr>
        <w:spacing w:after="0" w:line="240" w:lineRule="auto"/>
        <w:jc w:val="both"/>
        <w:rPr>
          <w:rFonts w:ascii="Times New Roman" w:hAnsi="Times New Roman" w:cs="Times New Roman"/>
          <w:b/>
          <w:lang w:val="es-MX"/>
        </w:rPr>
      </w:pPr>
    </w:p>
    <w:p w14:paraId="0E391D49" w14:textId="77777777" w:rsidR="006B7BA0" w:rsidRDefault="006B7BA0" w:rsidP="00425FA9">
      <w:pPr>
        <w:spacing w:after="0" w:line="240" w:lineRule="auto"/>
        <w:jc w:val="both"/>
        <w:rPr>
          <w:rFonts w:ascii="Times New Roman" w:hAnsi="Times New Roman" w:cs="Times New Roman"/>
          <w:b/>
          <w:lang w:val="es-MX"/>
        </w:rPr>
      </w:pPr>
    </w:p>
    <w:p w14:paraId="31C6D498" w14:textId="77777777" w:rsidR="006B7BA0" w:rsidRDefault="006B7BA0" w:rsidP="00425FA9">
      <w:pPr>
        <w:spacing w:after="0" w:line="240" w:lineRule="auto"/>
        <w:jc w:val="both"/>
        <w:rPr>
          <w:rFonts w:ascii="Times New Roman" w:hAnsi="Times New Roman" w:cs="Times New Roman"/>
          <w:b/>
          <w:lang w:val="es-MX"/>
        </w:rPr>
      </w:pPr>
    </w:p>
    <w:p w14:paraId="54ED4594" w14:textId="77777777" w:rsidR="006B7BA0" w:rsidRDefault="006B7BA0" w:rsidP="00425FA9">
      <w:pPr>
        <w:spacing w:after="0" w:line="240" w:lineRule="auto"/>
        <w:jc w:val="both"/>
        <w:rPr>
          <w:rFonts w:ascii="Times New Roman" w:hAnsi="Times New Roman" w:cs="Times New Roman"/>
          <w:b/>
          <w:lang w:val="es-MX"/>
        </w:rPr>
      </w:pPr>
    </w:p>
    <w:p w14:paraId="5E03D16D" w14:textId="77777777" w:rsidR="006B7BA0" w:rsidRDefault="006B7BA0" w:rsidP="00425FA9">
      <w:pPr>
        <w:spacing w:after="0" w:line="240" w:lineRule="auto"/>
        <w:jc w:val="both"/>
        <w:rPr>
          <w:rFonts w:ascii="Times New Roman" w:hAnsi="Times New Roman" w:cs="Times New Roman"/>
          <w:b/>
          <w:lang w:val="es-MX"/>
        </w:rPr>
      </w:pPr>
    </w:p>
    <w:p w14:paraId="2D18FB62" w14:textId="7760F780" w:rsidR="00425FA9" w:rsidRPr="00B807A2" w:rsidRDefault="00425FA9" w:rsidP="00425FA9">
      <w:pPr>
        <w:spacing w:after="0" w:line="240" w:lineRule="auto"/>
        <w:jc w:val="both"/>
        <w:rPr>
          <w:rFonts w:ascii="Times New Roman" w:hAnsi="Times New Roman" w:cs="Times New Roman"/>
          <w:b/>
          <w:lang w:val="es-MX"/>
        </w:rPr>
      </w:pPr>
      <w:r w:rsidRPr="00B807A2">
        <w:rPr>
          <w:rFonts w:ascii="Times New Roman" w:hAnsi="Times New Roman" w:cs="Times New Roman"/>
          <w:b/>
          <w:lang w:val="es-MX"/>
        </w:rPr>
        <w:t>Panorama general de las proyecciones de Perspectivas de la economía mundial</w:t>
      </w:r>
    </w:p>
    <w:p w14:paraId="3270A962" w14:textId="77777777" w:rsidR="00425FA9" w:rsidRDefault="00425FA9" w:rsidP="00425FA9">
      <w:pPr>
        <w:spacing w:after="0" w:line="240" w:lineRule="auto"/>
        <w:jc w:val="center"/>
        <w:rPr>
          <w:rFonts w:ascii="Times New Roman" w:hAnsi="Times New Roman" w:cs="Times New Roman"/>
          <w:sz w:val="18"/>
          <w:lang w:val="es-MX"/>
        </w:rPr>
      </w:pPr>
      <w:r w:rsidRPr="00965239">
        <w:rPr>
          <w:noProof/>
          <w:lang w:val="es-ES" w:eastAsia="es-ES"/>
        </w:rPr>
        <w:drawing>
          <wp:inline distT="0" distB="0" distL="0" distR="0" wp14:anchorId="166964AE" wp14:editId="644814FE">
            <wp:extent cx="2625522" cy="42672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0915" cy="4275965"/>
                    </a:xfrm>
                    <a:prstGeom prst="rect">
                      <a:avLst/>
                    </a:prstGeom>
                    <a:noFill/>
                    <a:ln>
                      <a:noFill/>
                    </a:ln>
                  </pic:spPr>
                </pic:pic>
              </a:graphicData>
            </a:graphic>
          </wp:inline>
        </w:drawing>
      </w:r>
    </w:p>
    <w:p w14:paraId="271ED2B8" w14:textId="77777777" w:rsidR="00425FA9" w:rsidRPr="00867436" w:rsidRDefault="00425FA9" w:rsidP="00425FA9">
      <w:pPr>
        <w:spacing w:after="0" w:line="240" w:lineRule="auto"/>
        <w:jc w:val="both"/>
        <w:rPr>
          <w:rFonts w:ascii="Times New Roman" w:hAnsi="Times New Roman" w:cs="Times New Roman"/>
          <w:sz w:val="16"/>
          <w:lang w:val="es-MX"/>
        </w:rPr>
      </w:pPr>
      <w:r w:rsidRPr="00867436">
        <w:rPr>
          <w:rFonts w:ascii="Times New Roman" w:hAnsi="Times New Roman" w:cs="Times New Roman"/>
          <w:sz w:val="16"/>
          <w:lang w:val="es-MX"/>
        </w:rPr>
        <w:t>Fuente: FMI, abril 2021.</w:t>
      </w:r>
    </w:p>
    <w:p w14:paraId="171B0B03" w14:textId="46BE71F5" w:rsidR="00425FA9" w:rsidRPr="006B7BA0" w:rsidRDefault="00425FA9" w:rsidP="006B7BA0">
      <w:pPr>
        <w:spacing w:after="0" w:line="240" w:lineRule="auto"/>
        <w:jc w:val="both"/>
        <w:rPr>
          <w:rFonts w:ascii="Times New Roman" w:hAnsi="Times New Roman" w:cs="Times New Roman"/>
          <w:sz w:val="16"/>
          <w:lang w:val="es-MX"/>
        </w:rPr>
      </w:pPr>
      <w:r w:rsidRPr="00867436">
        <w:rPr>
          <w:rFonts w:ascii="Times New Roman" w:hAnsi="Times New Roman" w:cs="Times New Roman"/>
          <w:sz w:val="16"/>
          <w:lang w:val="es-MX"/>
        </w:rPr>
        <w:t>*En la actualidad está integrada por 10 países de la región del sudeste asiático.</w:t>
      </w:r>
    </w:p>
    <w:p w14:paraId="7B0CC9B1" w14:textId="08EDF914" w:rsidR="00425FA9" w:rsidRDefault="00425FA9" w:rsidP="00425FA9">
      <w:pPr>
        <w:pStyle w:val="Sinespaciado"/>
        <w:ind w:right="-188"/>
        <w:jc w:val="both"/>
        <w:rPr>
          <w:rFonts w:ascii="Times New Roman" w:hAnsi="Times New Roman" w:cs="Times New Roman"/>
          <w:sz w:val="16"/>
        </w:rPr>
      </w:pPr>
    </w:p>
    <w:p w14:paraId="30057469" w14:textId="7236DF24" w:rsidR="00F062BF" w:rsidRPr="00603C67" w:rsidRDefault="006F1B31" w:rsidP="0073017B">
      <w:pPr>
        <w:pStyle w:val="Sinespaciado"/>
        <w:jc w:val="both"/>
        <w:rPr>
          <w:rFonts w:ascii="Times New Roman" w:eastAsia="Times New Roman" w:hAnsi="Times New Roman" w:cs="Times New Roman"/>
          <w:color w:val="FF0000"/>
          <w:lang w:val="es-MX"/>
        </w:rPr>
        <w:sectPr w:rsidR="00F062BF" w:rsidRPr="00603C67" w:rsidSect="00080B88">
          <w:headerReference w:type="default" r:id="rId36"/>
          <w:footerReference w:type="default" r:id="rId37"/>
          <w:type w:val="continuous"/>
          <w:pgSz w:w="12240" w:h="15840" w:code="1"/>
          <w:pgMar w:top="1418" w:right="1467" w:bottom="1418" w:left="1701" w:header="709" w:footer="709" w:gutter="0"/>
          <w:cols w:num="2" w:space="802"/>
          <w:docGrid w:linePitch="360"/>
        </w:sectPr>
      </w:pPr>
      <w:r w:rsidRPr="00DF6416">
        <w:rPr>
          <w:rFonts w:ascii="Times New Roman" w:eastAsia="Times New Roman" w:hAnsi="Times New Roman" w:cs="Times New Roman"/>
          <w:lang w:val="es-MX"/>
        </w:rPr>
        <w:t xml:space="preserve"> </w:t>
      </w:r>
    </w:p>
    <w:p w14:paraId="6B0EF257" w14:textId="671ACDF4" w:rsidR="00A23717" w:rsidRPr="00603C67" w:rsidRDefault="00A23717" w:rsidP="00A23717">
      <w:pPr>
        <w:tabs>
          <w:tab w:val="center" w:pos="6502"/>
        </w:tabs>
        <w:rPr>
          <w:rFonts w:ascii="Times New Roman" w:hAnsi="Times New Roman" w:cs="Times New Roman"/>
          <w:color w:val="FF0000"/>
          <w:lang w:val="es-MX"/>
        </w:rPr>
        <w:sectPr w:rsidR="00A23717" w:rsidRPr="00603C67" w:rsidSect="00DF6416">
          <w:headerReference w:type="default" r:id="rId38"/>
          <w:footerReference w:type="default" r:id="rId39"/>
          <w:pgSz w:w="12240" w:h="15840" w:code="1"/>
          <w:pgMar w:top="1418" w:right="1418" w:bottom="1418" w:left="1418" w:header="709" w:footer="709" w:gutter="0"/>
          <w:cols w:space="708"/>
          <w:docGrid w:linePitch="360"/>
        </w:sectPr>
      </w:pPr>
    </w:p>
    <w:p w14:paraId="791DC34F" w14:textId="77777777" w:rsidR="00814020" w:rsidRDefault="00814020" w:rsidP="003557AF">
      <w:pPr>
        <w:pStyle w:val="Sinespaciado"/>
        <w:rPr>
          <w:rFonts w:ascii="Times New Roman" w:hAnsi="Times New Roman" w:cs="Times New Roman"/>
          <w:color w:val="FF0000"/>
        </w:rPr>
      </w:pPr>
    </w:p>
    <w:p w14:paraId="5B9FB10C" w14:textId="77777777" w:rsidR="00814020" w:rsidRDefault="00814020" w:rsidP="003557AF">
      <w:pPr>
        <w:pStyle w:val="Sinespaciado"/>
        <w:rPr>
          <w:rFonts w:ascii="Times New Roman" w:hAnsi="Times New Roman" w:cs="Times New Roman"/>
          <w:color w:val="FF0000"/>
        </w:rPr>
      </w:pPr>
    </w:p>
    <w:p w14:paraId="75850D36" w14:textId="77777777" w:rsidR="00814020" w:rsidRDefault="00814020" w:rsidP="0081402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FF0000"/>
          <w:lang w:val="es-MX"/>
        </w:rPr>
        <w:sectPr w:rsidR="00814020" w:rsidSect="00986297">
          <w:headerReference w:type="default" r:id="rId40"/>
          <w:footerReference w:type="default" r:id="rId41"/>
          <w:type w:val="continuous"/>
          <w:pgSz w:w="12240" w:h="15840" w:code="1"/>
          <w:pgMar w:top="1418" w:right="1418" w:bottom="1418" w:left="1418" w:header="709" w:footer="709" w:gutter="0"/>
          <w:cols w:num="2" w:space="708"/>
          <w:docGrid w:linePitch="360"/>
        </w:sectPr>
      </w:pPr>
    </w:p>
    <w:p w14:paraId="68C6A77F" w14:textId="0AD70A1F" w:rsidR="00814020" w:rsidRPr="00DF6416" w:rsidRDefault="006B7BA0" w:rsidP="0081402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6562C1">
        <w:rPr>
          <w:noProof/>
          <w:lang w:val="es-ES" w:eastAsia="es-ES"/>
        </w:rPr>
        <w:lastRenderedPageBreak/>
        <w:drawing>
          <wp:anchor distT="0" distB="0" distL="114300" distR="114300" simplePos="0" relativeHeight="251790336" behindDoc="0" locked="0" layoutInCell="1" allowOverlap="1" wp14:anchorId="5D20E1D5" wp14:editId="613D9CC7">
            <wp:simplePos x="0" y="0"/>
            <wp:positionH relativeFrom="column">
              <wp:posOffset>-224155</wp:posOffset>
            </wp:positionH>
            <wp:positionV relativeFrom="paragraph">
              <wp:posOffset>335915</wp:posOffset>
            </wp:positionV>
            <wp:extent cx="6501765" cy="5162550"/>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01765"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20" w:rsidRPr="00DF6416">
        <w:rPr>
          <w:rFonts w:ascii="Times New Roman" w:hAnsi="Times New Roman" w:cs="Times New Roman"/>
          <w:b/>
          <w:lang w:val="es-MX"/>
        </w:rPr>
        <w:t>Anexo</w:t>
      </w:r>
    </w:p>
    <w:p w14:paraId="448C8E6A" w14:textId="77777777" w:rsidR="00814020" w:rsidRDefault="00814020" w:rsidP="003557AF">
      <w:pPr>
        <w:pStyle w:val="Sinespaciado"/>
        <w:rPr>
          <w:rFonts w:ascii="Times New Roman" w:hAnsi="Times New Roman" w:cs="Times New Roman"/>
          <w:color w:val="FF0000"/>
        </w:rPr>
        <w:sectPr w:rsidR="00814020" w:rsidSect="00814020">
          <w:type w:val="continuous"/>
          <w:pgSz w:w="12240" w:h="15840" w:code="1"/>
          <w:pgMar w:top="1418" w:right="1418" w:bottom="1418" w:left="1418" w:header="709" w:footer="709" w:gutter="0"/>
          <w:cols w:space="708"/>
          <w:docGrid w:linePitch="360"/>
        </w:sectPr>
      </w:pPr>
    </w:p>
    <w:p w14:paraId="302AEB37" w14:textId="37B08B26" w:rsidR="006470E2" w:rsidRPr="00603C67" w:rsidRDefault="006470E2" w:rsidP="003557AF">
      <w:pPr>
        <w:pStyle w:val="Sinespaciado"/>
        <w:rPr>
          <w:rFonts w:ascii="Times New Roman" w:hAnsi="Times New Roman" w:cs="Times New Roman"/>
          <w:color w:val="FF0000"/>
        </w:rPr>
      </w:pPr>
    </w:p>
    <w:sectPr w:rsidR="006470E2" w:rsidRPr="00603C67"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E3C99" w14:textId="77777777" w:rsidR="00D7608E" w:rsidRDefault="00D7608E" w:rsidP="007D4651">
      <w:pPr>
        <w:spacing w:after="0" w:line="240" w:lineRule="auto"/>
      </w:pPr>
      <w:r>
        <w:separator/>
      </w:r>
    </w:p>
  </w:endnote>
  <w:endnote w:type="continuationSeparator" w:id="0">
    <w:p w14:paraId="43B00B8B" w14:textId="77777777" w:rsidR="00D7608E" w:rsidRDefault="00D7608E"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37366140"/>
      <w:docPartObj>
        <w:docPartGallery w:val="Page Numbers (Bottom of Page)"/>
        <w:docPartUnique/>
      </w:docPartObj>
    </w:sdtPr>
    <w:sdtEndPr/>
    <w:sdtContent>
      <w:p w14:paraId="18A8D659" w14:textId="77777777" w:rsidR="00CA1458" w:rsidRDefault="00CA1458">
        <w:pPr>
          <w:pStyle w:val="Piedepgina"/>
          <w:jc w:val="right"/>
          <w:rPr>
            <w:lang w:val="es-ES"/>
          </w:rPr>
        </w:pPr>
      </w:p>
      <w:p w14:paraId="2033E183"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3360" behindDoc="0" locked="0" layoutInCell="1" allowOverlap="1" wp14:anchorId="2B42AF03" wp14:editId="3840CE06">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797673A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015F1584" w14:textId="622E8AF1"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C4222" w:rsidRPr="002C4222">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14:paraId="37C921E6" w14:textId="77777777" w:rsidR="00CA1458" w:rsidRDefault="00CA1458" w:rsidP="007D4651">
    <w:pPr>
      <w:pStyle w:val="Piedepgina"/>
      <w:tabs>
        <w:tab w:val="clear" w:pos="4419"/>
        <w:tab w:val="clear" w:pos="8838"/>
        <w:tab w:val="left" w:pos="5777"/>
      </w:tabs>
    </w:pPr>
  </w:p>
  <w:p w14:paraId="3A265032" w14:textId="77777777" w:rsidR="00CA1458" w:rsidRDefault="00CA145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390385153"/>
      <w:docPartObj>
        <w:docPartGallery w:val="Page Numbers (Bottom of Page)"/>
        <w:docPartUnique/>
      </w:docPartObj>
    </w:sdtPr>
    <w:sdtEndPr/>
    <w:sdtContent>
      <w:p w14:paraId="54C6302A" w14:textId="77777777" w:rsidR="00CA1458" w:rsidRDefault="00CA1458">
        <w:pPr>
          <w:pStyle w:val="Piedepgina"/>
          <w:jc w:val="right"/>
          <w:rPr>
            <w:lang w:val="es-ES"/>
          </w:rPr>
        </w:pPr>
      </w:p>
      <w:p w14:paraId="52329B64"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83840" behindDoc="0" locked="0" layoutInCell="1" allowOverlap="1" wp14:anchorId="4FB78465" wp14:editId="4E5F030A">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24451215"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7A8026E3" w14:textId="73FCA7F4"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F6416" w:rsidRPr="00DF6416">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14:paraId="2160D152" w14:textId="77777777" w:rsidR="00CA1458" w:rsidRDefault="00CA1458" w:rsidP="007D4651">
    <w:pPr>
      <w:pStyle w:val="Piedepgina"/>
      <w:tabs>
        <w:tab w:val="clear" w:pos="4419"/>
        <w:tab w:val="clear" w:pos="8838"/>
        <w:tab w:val="left" w:pos="5777"/>
      </w:tabs>
    </w:pPr>
  </w:p>
  <w:p w14:paraId="1A4AFE33" w14:textId="77777777" w:rsidR="00CA1458" w:rsidRDefault="00CA14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5034144"/>
      <w:docPartObj>
        <w:docPartGallery w:val="Page Numbers (Bottom of Page)"/>
        <w:docPartUnique/>
      </w:docPartObj>
    </w:sdtPr>
    <w:sdtEndPr/>
    <w:sdtContent>
      <w:p w14:paraId="0ADD548C" w14:textId="77777777" w:rsidR="00CA1458" w:rsidRDefault="00CA1458">
        <w:pPr>
          <w:pStyle w:val="Piedepgina"/>
          <w:jc w:val="right"/>
          <w:rPr>
            <w:lang w:val="es-ES"/>
          </w:rPr>
        </w:pPr>
      </w:p>
      <w:p w14:paraId="68014584"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202995B4" wp14:editId="7660E192">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1862E901"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13D4BDCF" w14:textId="77777777"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E5BD2">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14:paraId="63827468" w14:textId="77777777" w:rsidR="00CA1458" w:rsidRDefault="00CA1458" w:rsidP="007D4651">
    <w:pPr>
      <w:pStyle w:val="Piedepgina"/>
      <w:tabs>
        <w:tab w:val="clear" w:pos="4419"/>
        <w:tab w:val="clear" w:pos="8838"/>
        <w:tab w:val="left" w:pos="5777"/>
      </w:tabs>
    </w:pPr>
  </w:p>
  <w:p w14:paraId="1EB89B31" w14:textId="77777777" w:rsidR="00CA1458" w:rsidRDefault="00CA14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358082904"/>
      <w:docPartObj>
        <w:docPartGallery w:val="Page Numbers (Bottom of Page)"/>
        <w:docPartUnique/>
      </w:docPartObj>
    </w:sdtPr>
    <w:sdtEndPr/>
    <w:sdtContent>
      <w:p w14:paraId="333C445F" w14:textId="77777777" w:rsidR="00CA1458" w:rsidRDefault="00CA1458">
        <w:pPr>
          <w:pStyle w:val="Piedepgina"/>
          <w:jc w:val="right"/>
          <w:rPr>
            <w:lang w:val="es-ES"/>
          </w:rPr>
        </w:pPr>
      </w:p>
      <w:p w14:paraId="2A17C03D"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08416" behindDoc="0" locked="0" layoutInCell="1" allowOverlap="1" wp14:anchorId="29B1E9E3" wp14:editId="29667D03">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5A9348FB"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6C36A1D3" w14:textId="76E7726A"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C4222" w:rsidRPr="002C4222">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14:paraId="06EB084D" w14:textId="77777777" w:rsidR="00CA1458" w:rsidRDefault="00CA1458" w:rsidP="007D4651">
    <w:pPr>
      <w:pStyle w:val="Piedepgina"/>
      <w:tabs>
        <w:tab w:val="clear" w:pos="4419"/>
        <w:tab w:val="clear" w:pos="8838"/>
        <w:tab w:val="left" w:pos="5777"/>
      </w:tabs>
    </w:pPr>
  </w:p>
  <w:p w14:paraId="01AA3423" w14:textId="77777777" w:rsidR="00CA1458" w:rsidRDefault="00CA1458"/>
  <w:p w14:paraId="799EE519" w14:textId="77777777" w:rsidR="00CA1458" w:rsidRDefault="00CA145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57080796"/>
      <w:docPartObj>
        <w:docPartGallery w:val="Page Numbers (Bottom of Page)"/>
        <w:docPartUnique/>
      </w:docPartObj>
    </w:sdtPr>
    <w:sdtEndPr/>
    <w:sdtContent>
      <w:p w14:paraId="4B78CAF3" w14:textId="77777777" w:rsidR="00CA1458" w:rsidRDefault="00CA1458">
        <w:pPr>
          <w:pStyle w:val="Piedepgina"/>
          <w:jc w:val="right"/>
          <w:rPr>
            <w:lang w:val="es-ES"/>
          </w:rPr>
        </w:pPr>
      </w:p>
      <w:p w14:paraId="740EA85D"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1552" behindDoc="0" locked="0" layoutInCell="1" allowOverlap="1" wp14:anchorId="4526D813" wp14:editId="7E3C2DE3">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1D4AD53E"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715DDAB0" w14:textId="1C8B6A0E"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B7BA0" w:rsidRPr="006B7BA0">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14:paraId="389B8926" w14:textId="77777777" w:rsidR="00CA1458" w:rsidRDefault="00CA1458" w:rsidP="007D4651">
    <w:pPr>
      <w:pStyle w:val="Piedepgina"/>
      <w:tabs>
        <w:tab w:val="clear" w:pos="4419"/>
        <w:tab w:val="clear" w:pos="8838"/>
        <w:tab w:val="left" w:pos="5777"/>
      </w:tabs>
    </w:pPr>
  </w:p>
  <w:p w14:paraId="41E95058" w14:textId="77777777" w:rsidR="00CA1458" w:rsidRDefault="00CA145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100707382"/>
      <w:docPartObj>
        <w:docPartGallery w:val="Page Numbers (Bottom of Page)"/>
        <w:docPartUnique/>
      </w:docPartObj>
    </w:sdtPr>
    <w:sdtEndPr/>
    <w:sdtContent>
      <w:p w14:paraId="1AFEA411" w14:textId="77777777" w:rsidR="00CA1458" w:rsidRDefault="00CA1458">
        <w:pPr>
          <w:pStyle w:val="Piedepgina"/>
          <w:jc w:val="right"/>
          <w:rPr>
            <w:lang w:val="es-ES"/>
          </w:rPr>
        </w:pPr>
      </w:p>
      <w:p w14:paraId="35E8D381"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8896" behindDoc="0" locked="0" layoutInCell="1" allowOverlap="1" wp14:anchorId="165E090D" wp14:editId="308DFB29">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401260E6"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4006BF99" w14:textId="053789E0"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C4222" w:rsidRPr="002C4222">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14:paraId="5DF13236" w14:textId="77777777" w:rsidR="00CA1458" w:rsidRDefault="00CA1458" w:rsidP="007D4651">
    <w:pPr>
      <w:pStyle w:val="Piedepgina"/>
      <w:tabs>
        <w:tab w:val="clear" w:pos="4419"/>
        <w:tab w:val="clear" w:pos="8838"/>
        <w:tab w:val="left" w:pos="5777"/>
      </w:tabs>
    </w:pPr>
  </w:p>
  <w:p w14:paraId="09203576" w14:textId="77777777" w:rsidR="00CA1458" w:rsidRDefault="00CA145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067141729"/>
      <w:docPartObj>
        <w:docPartGallery w:val="Page Numbers (Bottom of Page)"/>
        <w:docPartUnique/>
      </w:docPartObj>
    </w:sdtPr>
    <w:sdtEndPr/>
    <w:sdtContent>
      <w:p w14:paraId="05A0143A" w14:textId="77777777" w:rsidR="00CA1458" w:rsidRDefault="00CA1458">
        <w:pPr>
          <w:pStyle w:val="Piedepgina"/>
          <w:jc w:val="right"/>
          <w:rPr>
            <w:lang w:val="es-ES"/>
          </w:rPr>
        </w:pPr>
      </w:p>
      <w:p w14:paraId="6934A0AD"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5648" behindDoc="0" locked="0" layoutInCell="1" allowOverlap="1" wp14:anchorId="091A1894" wp14:editId="492D8D67">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0715D6D5"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2305021D" w14:textId="671CB2A0"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F6416" w:rsidRPr="00DF6416">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14:paraId="122ED047" w14:textId="77777777" w:rsidR="00CA1458" w:rsidRDefault="00CA1458" w:rsidP="007D4651">
    <w:pPr>
      <w:pStyle w:val="Piedepgina"/>
      <w:tabs>
        <w:tab w:val="clear" w:pos="4419"/>
        <w:tab w:val="clear" w:pos="8838"/>
        <w:tab w:val="left" w:pos="5777"/>
      </w:tabs>
    </w:pPr>
  </w:p>
  <w:p w14:paraId="28F9010C" w14:textId="77777777" w:rsidR="00CA1458" w:rsidRDefault="00CA145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567338240"/>
      <w:docPartObj>
        <w:docPartGallery w:val="Page Numbers (Bottom of Page)"/>
        <w:docPartUnique/>
      </w:docPartObj>
    </w:sdtPr>
    <w:sdtEndPr/>
    <w:sdtContent>
      <w:p w14:paraId="7CEE932E" w14:textId="77777777" w:rsidR="00CA1458" w:rsidRDefault="00CA1458">
        <w:pPr>
          <w:pStyle w:val="Piedepgina"/>
          <w:jc w:val="right"/>
          <w:rPr>
            <w:lang w:val="es-ES"/>
          </w:rPr>
        </w:pPr>
      </w:p>
      <w:p w14:paraId="6791355C"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9744" behindDoc="0" locked="0" layoutInCell="1" allowOverlap="1" wp14:anchorId="3E6C59F2" wp14:editId="5DC380FD">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25FD7912"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48B8E8C2" w14:textId="1234F4CC"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B7BA0" w:rsidRPr="006B7BA0">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14:paraId="78C62840" w14:textId="77777777" w:rsidR="00CA1458" w:rsidRDefault="00CA1458" w:rsidP="007D4651">
    <w:pPr>
      <w:pStyle w:val="Piedepgina"/>
      <w:tabs>
        <w:tab w:val="clear" w:pos="4419"/>
        <w:tab w:val="clear" w:pos="8838"/>
        <w:tab w:val="left" w:pos="5777"/>
      </w:tabs>
    </w:pPr>
  </w:p>
  <w:p w14:paraId="65030DEB" w14:textId="77777777" w:rsidR="00CA1458" w:rsidRDefault="00CA145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47607362"/>
      <w:docPartObj>
        <w:docPartGallery w:val="Page Numbers (Bottom of Page)"/>
        <w:docPartUnique/>
      </w:docPartObj>
    </w:sdtPr>
    <w:sdtEndPr/>
    <w:sdtContent>
      <w:p w14:paraId="19050C9C" w14:textId="77777777" w:rsidR="00CA1458" w:rsidRDefault="00CA1458">
        <w:pPr>
          <w:pStyle w:val="Piedepgina"/>
          <w:jc w:val="right"/>
          <w:rPr>
            <w:lang w:val="es-ES"/>
          </w:rPr>
        </w:pPr>
      </w:p>
      <w:p w14:paraId="71C18EDE" w14:textId="77777777" w:rsidR="00CA1458" w:rsidRDefault="00CA1458" w:rsidP="00AF4290">
        <w:pPr>
          <w:pStyle w:val="Piedepgina"/>
          <w:tabs>
            <w:tab w:val="left" w:pos="2694"/>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4800" behindDoc="0" locked="0" layoutInCell="1" allowOverlap="1" wp14:anchorId="6FAC55B8" wp14:editId="41615E18">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0F8A5D1D"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2992BE74" w14:textId="5245E634"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C4222" w:rsidRPr="002C4222">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14:paraId="7DA13FE1" w14:textId="77777777" w:rsidR="00CA1458" w:rsidRDefault="00CA1458" w:rsidP="007D4651">
    <w:pPr>
      <w:pStyle w:val="Piedepgina"/>
      <w:tabs>
        <w:tab w:val="clear" w:pos="4419"/>
        <w:tab w:val="clear" w:pos="8838"/>
        <w:tab w:val="left" w:pos="5777"/>
      </w:tabs>
    </w:pPr>
  </w:p>
  <w:p w14:paraId="2E1C8F7A" w14:textId="77777777" w:rsidR="00CA1458" w:rsidRDefault="00CA145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46127776"/>
      <w:docPartObj>
        <w:docPartGallery w:val="Page Numbers (Bottom of Page)"/>
        <w:docPartUnique/>
      </w:docPartObj>
    </w:sdtPr>
    <w:sdtEndPr/>
    <w:sdtContent>
      <w:p w14:paraId="3D4B770F" w14:textId="77777777" w:rsidR="00CA1458" w:rsidRDefault="00CA1458">
        <w:pPr>
          <w:pStyle w:val="Piedepgina"/>
          <w:jc w:val="right"/>
          <w:rPr>
            <w:lang w:val="es-ES"/>
          </w:rPr>
        </w:pPr>
      </w:p>
      <w:p w14:paraId="13235378" w14:textId="77777777" w:rsidR="00CA1458" w:rsidRDefault="00CA1458"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0944" behindDoc="0" locked="0" layoutInCell="1" allowOverlap="1" wp14:anchorId="14141D24" wp14:editId="62AEAB38">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4E08CD77"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14:paraId="4D45CDFA" w14:textId="509C268B" w:rsidR="00CA1458" w:rsidRDefault="00CA145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C4222" w:rsidRPr="002C4222">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14:paraId="09FBD02F" w14:textId="77777777" w:rsidR="00CA1458" w:rsidRDefault="00CA1458" w:rsidP="007D4651">
    <w:pPr>
      <w:pStyle w:val="Piedepgina"/>
      <w:tabs>
        <w:tab w:val="clear" w:pos="4419"/>
        <w:tab w:val="clear" w:pos="8838"/>
        <w:tab w:val="left" w:pos="5777"/>
      </w:tabs>
    </w:pPr>
  </w:p>
  <w:p w14:paraId="1C6E3ED1" w14:textId="77777777" w:rsidR="00CA1458" w:rsidRDefault="00CA14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258C1" w14:textId="77777777" w:rsidR="00D7608E" w:rsidRDefault="00D7608E" w:rsidP="007D4651">
      <w:pPr>
        <w:spacing w:after="0" w:line="240" w:lineRule="auto"/>
      </w:pPr>
      <w:r>
        <w:separator/>
      </w:r>
    </w:p>
  </w:footnote>
  <w:footnote w:type="continuationSeparator" w:id="0">
    <w:p w14:paraId="7F374F8A" w14:textId="77777777" w:rsidR="00D7608E" w:rsidRDefault="00D7608E"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9FB56" w14:textId="77777777" w:rsidR="00CA1458" w:rsidRPr="007D4651" w:rsidRDefault="00CA1458"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39136" behindDoc="0" locked="0" layoutInCell="1" allowOverlap="1" wp14:anchorId="140044DE" wp14:editId="695EB484">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080BE9C3" w14:textId="77777777" w:rsidR="00CA1458" w:rsidRDefault="00CA145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4C13974F"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4560" behindDoc="0" locked="0" layoutInCell="1" allowOverlap="1" wp14:anchorId="71400ACF" wp14:editId="40EBA5C1">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33B48ABE"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26A097C1" w14:textId="77777777" w:rsidR="00CA1458" w:rsidRPr="0073581B" w:rsidRDefault="00CA1458"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14:paraId="79EA89B9" w14:textId="77777777" w:rsidR="00CA1458" w:rsidRPr="00E16925" w:rsidRDefault="00CA1458"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E758A" w14:textId="77777777" w:rsidR="00CA1458" w:rsidRPr="007D4651" w:rsidRDefault="00CA1458"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9376" behindDoc="0" locked="0" layoutInCell="1" allowOverlap="1" wp14:anchorId="61EB6593" wp14:editId="1EA49744">
          <wp:simplePos x="0" y="0"/>
          <wp:positionH relativeFrom="column">
            <wp:posOffset>0</wp:posOffset>
          </wp:positionH>
          <wp:positionV relativeFrom="paragraph">
            <wp:posOffset>-635</wp:posOffset>
          </wp:positionV>
          <wp:extent cx="1598212" cy="723976"/>
          <wp:effectExtent l="0" t="0" r="2540" b="0"/>
          <wp:wrapNone/>
          <wp:docPr id="227" name="Imagen 22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375021C6" w14:textId="77777777" w:rsidR="00CA1458" w:rsidRDefault="00CA145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182C7F7A"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81792" behindDoc="0" locked="0" layoutInCell="1" allowOverlap="1" wp14:anchorId="2B4BBD88" wp14:editId="13B2DC3B">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22DD716F"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7E2316ED" w14:textId="77777777" w:rsidR="00CA1458" w:rsidRDefault="00CA145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2333775D" w14:textId="77777777" w:rsidR="00CA1458" w:rsidRPr="00E16925" w:rsidRDefault="00CA1458"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64C4" w14:textId="77777777" w:rsidR="00CA1458" w:rsidRPr="007D4651" w:rsidRDefault="00CA1458" w:rsidP="00B97122">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60640" behindDoc="0" locked="0" layoutInCell="1" allowOverlap="1" wp14:anchorId="292C7E0B" wp14:editId="2AEC38E0">
          <wp:simplePos x="0" y="0"/>
          <wp:positionH relativeFrom="column">
            <wp:posOffset>0</wp:posOffset>
          </wp:positionH>
          <wp:positionV relativeFrom="paragraph">
            <wp:posOffset>-635</wp:posOffset>
          </wp:positionV>
          <wp:extent cx="1598212" cy="723976"/>
          <wp:effectExtent l="0" t="0" r="2540" b="0"/>
          <wp:wrapNone/>
          <wp:docPr id="238" name="Imagen 23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76A779DC" w14:textId="77777777" w:rsidR="00CA1458" w:rsidRDefault="00CA1458" w:rsidP="00B97122">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11FAD1C7" w14:textId="77777777" w:rsidR="00CA1458" w:rsidRDefault="00CA1458" w:rsidP="00B97122">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59616" behindDoc="0" locked="0" layoutInCell="1" allowOverlap="1" wp14:anchorId="434EAACA" wp14:editId="3BFAD0D0">
              <wp:simplePos x="0" y="0"/>
              <wp:positionH relativeFrom="column">
                <wp:posOffset>1720884</wp:posOffset>
              </wp:positionH>
              <wp:positionV relativeFrom="paragraph">
                <wp:posOffset>7980</wp:posOffset>
              </wp:positionV>
              <wp:extent cx="5155894" cy="45719"/>
              <wp:effectExtent l="38100" t="38100" r="64135" b="88265"/>
              <wp:wrapNone/>
              <wp:docPr id="232"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6164B6C1" id="11 Rectángulo" o:spid="_x0000_s1026" style="position:absolute;margin-left:135.5pt;margin-top:.65pt;width:406pt;height:3.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2PwMAAKg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5E4E85A6" w14:textId="77777777" w:rsidR="00CA1458" w:rsidRPr="0073581B" w:rsidRDefault="00CA1458" w:rsidP="00B97122">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14:paraId="056A20A7" w14:textId="77777777" w:rsidR="00CA1458" w:rsidRPr="00E16925" w:rsidRDefault="00CA1458"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59EAB" w14:textId="77777777" w:rsidR="00CA1458" w:rsidRPr="007D4651" w:rsidRDefault="00CA1458"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1184" behindDoc="0" locked="0" layoutInCell="1" allowOverlap="1" wp14:anchorId="7DBA8D4E" wp14:editId="78CBDF7F">
          <wp:simplePos x="0" y="0"/>
          <wp:positionH relativeFrom="column">
            <wp:posOffset>0</wp:posOffset>
          </wp:positionH>
          <wp:positionV relativeFrom="paragraph">
            <wp:posOffset>-635</wp:posOffset>
          </wp:positionV>
          <wp:extent cx="1598212" cy="723976"/>
          <wp:effectExtent l="0" t="0" r="2540" b="0"/>
          <wp:wrapNone/>
          <wp:docPr id="28" name="Imagen 2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1044FA30" w14:textId="77777777" w:rsidR="00CA1458" w:rsidRDefault="00CA145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413EC4DA"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06368" behindDoc="0" locked="0" layoutInCell="1" allowOverlap="1" wp14:anchorId="4049F636" wp14:editId="70773ED2">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13E5657C"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2012A8A1" w14:textId="77777777" w:rsidR="00CA1458" w:rsidRDefault="00CA1458"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06DBDC44" w14:textId="77777777" w:rsidR="00CA1458" w:rsidRPr="0001624A" w:rsidRDefault="00CA1458"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4235" w14:textId="77777777" w:rsidR="00CA1458" w:rsidRPr="007D4651" w:rsidRDefault="00CA1458" w:rsidP="00B97122">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63712" behindDoc="0" locked="0" layoutInCell="1" allowOverlap="1" wp14:anchorId="5BD6A3DF" wp14:editId="54597C4D">
          <wp:simplePos x="0" y="0"/>
          <wp:positionH relativeFrom="column">
            <wp:posOffset>0</wp:posOffset>
          </wp:positionH>
          <wp:positionV relativeFrom="paragraph">
            <wp:posOffset>-635</wp:posOffset>
          </wp:positionV>
          <wp:extent cx="1598212" cy="723976"/>
          <wp:effectExtent l="0" t="0" r="2540" b="0"/>
          <wp:wrapNone/>
          <wp:docPr id="244" name="Imagen 24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361096DD" w14:textId="77777777" w:rsidR="00CA1458" w:rsidRDefault="00CA1458" w:rsidP="00B97122">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35786B30" w14:textId="77777777" w:rsidR="00CA1458" w:rsidRDefault="00CA1458" w:rsidP="00B97122">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62688" behindDoc="0" locked="0" layoutInCell="1" allowOverlap="1" wp14:anchorId="08026B18" wp14:editId="5FD33861">
              <wp:simplePos x="0" y="0"/>
              <wp:positionH relativeFrom="column">
                <wp:posOffset>1720884</wp:posOffset>
              </wp:positionH>
              <wp:positionV relativeFrom="paragraph">
                <wp:posOffset>7980</wp:posOffset>
              </wp:positionV>
              <wp:extent cx="5155894" cy="45719"/>
              <wp:effectExtent l="38100" t="38100" r="64135" b="88265"/>
              <wp:wrapNone/>
              <wp:docPr id="240"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101ABF16" id="11 Rectángulo" o:spid="_x0000_s1026" style="position:absolute;margin-left:135.5pt;margin-top:.65pt;width:406pt;height:3.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67B4CE2D" w14:textId="77777777" w:rsidR="00CA1458" w:rsidRPr="0073581B" w:rsidRDefault="00CA1458" w:rsidP="00B97122">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14:paraId="1E5687F7" w14:textId="77777777" w:rsidR="00CA1458" w:rsidRPr="00E16925" w:rsidRDefault="00CA1458"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07DE" w14:textId="77777777" w:rsidR="00CA1458" w:rsidRPr="007D4651" w:rsidRDefault="00CA1458"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3232" behindDoc="0" locked="0" layoutInCell="1" allowOverlap="1" wp14:anchorId="65B94743" wp14:editId="0FEFC177">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0D8A7604" w14:textId="77777777" w:rsidR="00CA1458" w:rsidRDefault="00CA145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13DE2AEF"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26848" behindDoc="0" locked="0" layoutInCell="1" allowOverlap="1" wp14:anchorId="7BDDA9D3" wp14:editId="01C8FB51">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05972BCD"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4D21C9A2" w14:textId="77777777" w:rsidR="00CA1458" w:rsidRDefault="00CA145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244133E4" w14:textId="77777777" w:rsidR="00CA1458" w:rsidRPr="00E16925" w:rsidRDefault="00CA1458"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C04CB" w14:textId="77777777" w:rsidR="00CA1458" w:rsidRPr="007D4651" w:rsidRDefault="00CA1458"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5280" behindDoc="0" locked="0" layoutInCell="1" allowOverlap="1" wp14:anchorId="51E930A8" wp14:editId="79FC71EC">
          <wp:simplePos x="0" y="0"/>
          <wp:positionH relativeFrom="column">
            <wp:posOffset>0</wp:posOffset>
          </wp:positionH>
          <wp:positionV relativeFrom="paragraph">
            <wp:posOffset>-635</wp:posOffset>
          </wp:positionV>
          <wp:extent cx="1598212" cy="723976"/>
          <wp:effectExtent l="0" t="0" r="2540" b="0"/>
          <wp:wrapNone/>
          <wp:docPr id="13" name="Imagen 1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2F20E33F" w14:textId="77777777" w:rsidR="00CA1458" w:rsidRDefault="00CA145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1BBAB956"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73600" behindDoc="0" locked="0" layoutInCell="1" allowOverlap="1" wp14:anchorId="64AB6338" wp14:editId="1E0A382F">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5CE2F45D"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6564DCBA" w14:textId="77777777" w:rsidR="00CA1458" w:rsidRDefault="00CA145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6974A628" w14:textId="77777777" w:rsidR="00CA1458" w:rsidRPr="00E16925" w:rsidRDefault="00CA1458"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95D70" w14:textId="77777777" w:rsidR="00CA1458" w:rsidRPr="007D4651" w:rsidRDefault="00CA1458" w:rsidP="00FE1AFF">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4496" behindDoc="0" locked="0" layoutInCell="1" allowOverlap="1" wp14:anchorId="739685A0" wp14:editId="709149D3">
          <wp:simplePos x="0" y="0"/>
          <wp:positionH relativeFrom="column">
            <wp:posOffset>0</wp:posOffset>
          </wp:positionH>
          <wp:positionV relativeFrom="paragraph">
            <wp:posOffset>-635</wp:posOffset>
          </wp:positionV>
          <wp:extent cx="1598212" cy="723976"/>
          <wp:effectExtent l="0" t="0" r="2540" b="0"/>
          <wp:wrapNone/>
          <wp:docPr id="229" name="Imagen 22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60226DC6" w14:textId="77777777" w:rsidR="00CA1458" w:rsidRDefault="00CA1458" w:rsidP="00FE1AFF">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Marzo 2021</w:t>
    </w:r>
  </w:p>
  <w:p w14:paraId="23DA27D6" w14:textId="77777777" w:rsidR="00CA1458" w:rsidRDefault="00CA1458" w:rsidP="00FE1AFF">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53472" behindDoc="0" locked="0" layoutInCell="1" allowOverlap="1" wp14:anchorId="10CA29DA" wp14:editId="36B44FF6">
              <wp:simplePos x="0" y="0"/>
              <wp:positionH relativeFrom="column">
                <wp:posOffset>1710568</wp:posOffset>
              </wp:positionH>
              <wp:positionV relativeFrom="paragraph">
                <wp:posOffset>29118</wp:posOffset>
              </wp:positionV>
              <wp:extent cx="5155894" cy="45719"/>
              <wp:effectExtent l="38100" t="38100" r="64135" b="88265"/>
              <wp:wrapNone/>
              <wp:docPr id="228"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056EAA71" id="22 Rectángulo" o:spid="_x0000_s1026" style="position:absolute;margin-left:134.7pt;margin-top:2.3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ofCb9j8DAACo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03370D98" w14:textId="77777777" w:rsidR="00CA1458" w:rsidRDefault="00CA1458" w:rsidP="00FE1AFF">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14:paraId="72113351" w14:textId="77777777" w:rsidR="00CA1458" w:rsidRPr="007452E2" w:rsidRDefault="00CA1458"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F868" w14:textId="77777777" w:rsidR="00CA1458" w:rsidRPr="007D4651" w:rsidRDefault="00CA1458"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7328" behindDoc="0" locked="0" layoutInCell="1" allowOverlap="1" wp14:anchorId="30384F37" wp14:editId="7B43BAA2">
          <wp:simplePos x="0" y="0"/>
          <wp:positionH relativeFrom="column">
            <wp:posOffset>0</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06F09350" w14:textId="77777777" w:rsidR="00CA1458" w:rsidRDefault="00CA145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56501C42" w14:textId="77777777" w:rsidR="00CA1458" w:rsidRDefault="00CA1458"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22752" behindDoc="0" locked="0" layoutInCell="1" allowOverlap="1" wp14:anchorId="705BC7E5" wp14:editId="0C107D87">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2E01933B"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5A58F2A8" w14:textId="77777777" w:rsidR="00CA1458" w:rsidRDefault="00CA1458"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14:paraId="2161F957" w14:textId="77777777" w:rsidR="00CA1458" w:rsidRPr="00E16925" w:rsidRDefault="00CA1458"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38FC6" w14:textId="77777777" w:rsidR="00CA1458" w:rsidRPr="007D4651" w:rsidRDefault="00CA1458" w:rsidP="003762C5">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7568" behindDoc="0" locked="0" layoutInCell="1" allowOverlap="1" wp14:anchorId="48F6FC3B" wp14:editId="4637370E">
          <wp:simplePos x="0" y="0"/>
          <wp:positionH relativeFrom="column">
            <wp:posOffset>0</wp:posOffset>
          </wp:positionH>
          <wp:positionV relativeFrom="paragraph">
            <wp:posOffset>-635</wp:posOffset>
          </wp:positionV>
          <wp:extent cx="1598212" cy="723976"/>
          <wp:effectExtent l="0" t="0" r="2540" b="0"/>
          <wp:wrapNone/>
          <wp:docPr id="35" name="Imagen 3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14:paraId="778F753E" w14:textId="77777777" w:rsidR="00CA1458" w:rsidRDefault="00CA1458" w:rsidP="003762C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2021</w:t>
    </w:r>
  </w:p>
  <w:p w14:paraId="5591D551" w14:textId="77777777" w:rsidR="00CA1458" w:rsidRDefault="00CA1458" w:rsidP="003762C5">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56544" behindDoc="0" locked="0" layoutInCell="1" allowOverlap="1" wp14:anchorId="4F47E2D6" wp14:editId="13D601EA">
              <wp:simplePos x="0" y="0"/>
              <wp:positionH relativeFrom="column">
                <wp:posOffset>1710568</wp:posOffset>
              </wp:positionH>
              <wp:positionV relativeFrom="paragraph">
                <wp:posOffset>29118</wp:posOffset>
              </wp:positionV>
              <wp:extent cx="5155894" cy="45719"/>
              <wp:effectExtent l="38100" t="38100" r="64135" b="88265"/>
              <wp:wrapNone/>
              <wp:docPr id="23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69B0280D" id="20 Rectángulo" o:spid="_x0000_s1026" style="position:absolute;margin-left:134.7pt;margin-top:2.3pt;width:406pt;height:3.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iHsD5D8DAACo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14:paraId="56B15FC3" w14:textId="77777777" w:rsidR="00CA1458" w:rsidRDefault="00CA1458" w:rsidP="003762C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14:paraId="6DB3A5C9" w14:textId="77777777" w:rsidR="00CA1458" w:rsidRPr="007452E2" w:rsidRDefault="00CA1458"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
  </w:num>
  <w:num w:numId="5">
    <w:abstractNumId w:val="17"/>
  </w:num>
  <w:num w:numId="6">
    <w:abstractNumId w:val="20"/>
  </w:num>
  <w:num w:numId="7">
    <w:abstractNumId w:val="19"/>
  </w:num>
  <w:num w:numId="8">
    <w:abstractNumId w:val="3"/>
  </w:num>
  <w:num w:numId="9">
    <w:abstractNumId w:val="11"/>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8"/>
  </w:num>
  <w:num w:numId="17">
    <w:abstractNumId w:val="12"/>
  </w:num>
  <w:num w:numId="18">
    <w:abstractNumId w:val="13"/>
  </w:num>
  <w:num w:numId="19">
    <w:abstractNumId w:val="14"/>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3A7F"/>
    <w:rsid w:val="00013C63"/>
    <w:rsid w:val="00014C82"/>
    <w:rsid w:val="0001624A"/>
    <w:rsid w:val="00017D60"/>
    <w:rsid w:val="00020E23"/>
    <w:rsid w:val="00022E98"/>
    <w:rsid w:val="00025121"/>
    <w:rsid w:val="00025788"/>
    <w:rsid w:val="00025D1E"/>
    <w:rsid w:val="0002658D"/>
    <w:rsid w:val="00035835"/>
    <w:rsid w:val="000378CF"/>
    <w:rsid w:val="00040C99"/>
    <w:rsid w:val="00042B27"/>
    <w:rsid w:val="00045D14"/>
    <w:rsid w:val="00051776"/>
    <w:rsid w:val="00051A92"/>
    <w:rsid w:val="000530BD"/>
    <w:rsid w:val="00053517"/>
    <w:rsid w:val="0006261A"/>
    <w:rsid w:val="00063120"/>
    <w:rsid w:val="0006646A"/>
    <w:rsid w:val="00067F82"/>
    <w:rsid w:val="000723B2"/>
    <w:rsid w:val="00072EEB"/>
    <w:rsid w:val="00074BC6"/>
    <w:rsid w:val="00076AB4"/>
    <w:rsid w:val="00076AD2"/>
    <w:rsid w:val="00076BF9"/>
    <w:rsid w:val="00080B88"/>
    <w:rsid w:val="00080BD8"/>
    <w:rsid w:val="0008320B"/>
    <w:rsid w:val="0008348D"/>
    <w:rsid w:val="00087ADE"/>
    <w:rsid w:val="00091917"/>
    <w:rsid w:val="000A0A4F"/>
    <w:rsid w:val="000A6E8E"/>
    <w:rsid w:val="000B0279"/>
    <w:rsid w:val="000B56CE"/>
    <w:rsid w:val="000B6744"/>
    <w:rsid w:val="000C1547"/>
    <w:rsid w:val="000C1FF2"/>
    <w:rsid w:val="000C21E1"/>
    <w:rsid w:val="000C2C25"/>
    <w:rsid w:val="000C4EC0"/>
    <w:rsid w:val="000C65AB"/>
    <w:rsid w:val="000D016D"/>
    <w:rsid w:val="000D2FA4"/>
    <w:rsid w:val="000D489E"/>
    <w:rsid w:val="000E164F"/>
    <w:rsid w:val="000E43A8"/>
    <w:rsid w:val="000E5E43"/>
    <w:rsid w:val="000F1314"/>
    <w:rsid w:val="000F3B7F"/>
    <w:rsid w:val="000F4520"/>
    <w:rsid w:val="000F509C"/>
    <w:rsid w:val="000F5A9A"/>
    <w:rsid w:val="000F5F87"/>
    <w:rsid w:val="000F7A5E"/>
    <w:rsid w:val="000F7F65"/>
    <w:rsid w:val="00102939"/>
    <w:rsid w:val="00103DA9"/>
    <w:rsid w:val="001045CE"/>
    <w:rsid w:val="00106793"/>
    <w:rsid w:val="00107309"/>
    <w:rsid w:val="0011194C"/>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4A4C"/>
    <w:rsid w:val="001B5046"/>
    <w:rsid w:val="001C2FF5"/>
    <w:rsid w:val="001C3649"/>
    <w:rsid w:val="001D0065"/>
    <w:rsid w:val="001D3345"/>
    <w:rsid w:val="001D46C3"/>
    <w:rsid w:val="001D4C8E"/>
    <w:rsid w:val="001D5A5B"/>
    <w:rsid w:val="001E05BE"/>
    <w:rsid w:val="001E0E10"/>
    <w:rsid w:val="001E0F86"/>
    <w:rsid w:val="001E3B99"/>
    <w:rsid w:val="001E4CD2"/>
    <w:rsid w:val="001E61BB"/>
    <w:rsid w:val="001F2EA3"/>
    <w:rsid w:val="001F34AD"/>
    <w:rsid w:val="001F429F"/>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35EE"/>
    <w:rsid w:val="0023642A"/>
    <w:rsid w:val="00240D86"/>
    <w:rsid w:val="00242202"/>
    <w:rsid w:val="00244AAA"/>
    <w:rsid w:val="002512EC"/>
    <w:rsid w:val="00252B28"/>
    <w:rsid w:val="00256F02"/>
    <w:rsid w:val="002610FC"/>
    <w:rsid w:val="00261B7A"/>
    <w:rsid w:val="00262E76"/>
    <w:rsid w:val="00263007"/>
    <w:rsid w:val="002638D4"/>
    <w:rsid w:val="00263CC4"/>
    <w:rsid w:val="00264C3A"/>
    <w:rsid w:val="00264FC5"/>
    <w:rsid w:val="002672D5"/>
    <w:rsid w:val="00270CAB"/>
    <w:rsid w:val="002719C8"/>
    <w:rsid w:val="00271EDC"/>
    <w:rsid w:val="00273E2C"/>
    <w:rsid w:val="002752BD"/>
    <w:rsid w:val="00275F3F"/>
    <w:rsid w:val="00276250"/>
    <w:rsid w:val="0027637A"/>
    <w:rsid w:val="00276A28"/>
    <w:rsid w:val="00281439"/>
    <w:rsid w:val="00281FB7"/>
    <w:rsid w:val="0028212F"/>
    <w:rsid w:val="00292AD2"/>
    <w:rsid w:val="00292AD8"/>
    <w:rsid w:val="0029321A"/>
    <w:rsid w:val="0029410F"/>
    <w:rsid w:val="00295365"/>
    <w:rsid w:val="00296D57"/>
    <w:rsid w:val="002977ED"/>
    <w:rsid w:val="002A076B"/>
    <w:rsid w:val="002A5B1B"/>
    <w:rsid w:val="002B5E9D"/>
    <w:rsid w:val="002B7644"/>
    <w:rsid w:val="002C0021"/>
    <w:rsid w:val="002C2547"/>
    <w:rsid w:val="002C4222"/>
    <w:rsid w:val="002C482A"/>
    <w:rsid w:val="002C6478"/>
    <w:rsid w:val="002C68B8"/>
    <w:rsid w:val="002C7F2B"/>
    <w:rsid w:val="002D11E8"/>
    <w:rsid w:val="002D1C01"/>
    <w:rsid w:val="002D3469"/>
    <w:rsid w:val="002D54E6"/>
    <w:rsid w:val="002E3F4C"/>
    <w:rsid w:val="002F0EAF"/>
    <w:rsid w:val="002F14AA"/>
    <w:rsid w:val="002F29DE"/>
    <w:rsid w:val="002F2A42"/>
    <w:rsid w:val="002F5408"/>
    <w:rsid w:val="002F7E08"/>
    <w:rsid w:val="0030020D"/>
    <w:rsid w:val="00302D40"/>
    <w:rsid w:val="00304D33"/>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57AF"/>
    <w:rsid w:val="003566E1"/>
    <w:rsid w:val="003649D9"/>
    <w:rsid w:val="00364DD6"/>
    <w:rsid w:val="00366770"/>
    <w:rsid w:val="00367E12"/>
    <w:rsid w:val="00374D44"/>
    <w:rsid w:val="003762C5"/>
    <w:rsid w:val="00376802"/>
    <w:rsid w:val="00376FE9"/>
    <w:rsid w:val="0038008D"/>
    <w:rsid w:val="003804E5"/>
    <w:rsid w:val="00381A4F"/>
    <w:rsid w:val="0038488D"/>
    <w:rsid w:val="00385BA8"/>
    <w:rsid w:val="00387AFB"/>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80B"/>
    <w:rsid w:val="00410690"/>
    <w:rsid w:val="0041262B"/>
    <w:rsid w:val="00413FBE"/>
    <w:rsid w:val="00416D41"/>
    <w:rsid w:val="00421BA0"/>
    <w:rsid w:val="0042387A"/>
    <w:rsid w:val="00425FA9"/>
    <w:rsid w:val="0042628E"/>
    <w:rsid w:val="00426F4F"/>
    <w:rsid w:val="00434FC6"/>
    <w:rsid w:val="00443336"/>
    <w:rsid w:val="00443385"/>
    <w:rsid w:val="00443621"/>
    <w:rsid w:val="00443689"/>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6BDB"/>
    <w:rsid w:val="005077A5"/>
    <w:rsid w:val="00507E67"/>
    <w:rsid w:val="005104DC"/>
    <w:rsid w:val="00511C93"/>
    <w:rsid w:val="00512601"/>
    <w:rsid w:val="0051308A"/>
    <w:rsid w:val="005136F3"/>
    <w:rsid w:val="00514CFD"/>
    <w:rsid w:val="00515CE6"/>
    <w:rsid w:val="00517930"/>
    <w:rsid w:val="00520351"/>
    <w:rsid w:val="00520FB0"/>
    <w:rsid w:val="005226CD"/>
    <w:rsid w:val="00523738"/>
    <w:rsid w:val="00530EAC"/>
    <w:rsid w:val="00532025"/>
    <w:rsid w:val="0053566F"/>
    <w:rsid w:val="005364DE"/>
    <w:rsid w:val="005428C6"/>
    <w:rsid w:val="00544E9A"/>
    <w:rsid w:val="00546650"/>
    <w:rsid w:val="0055248B"/>
    <w:rsid w:val="005537D0"/>
    <w:rsid w:val="005550D8"/>
    <w:rsid w:val="0055590E"/>
    <w:rsid w:val="00561402"/>
    <w:rsid w:val="00573AB0"/>
    <w:rsid w:val="005755E9"/>
    <w:rsid w:val="00575DFA"/>
    <w:rsid w:val="00580234"/>
    <w:rsid w:val="00580D47"/>
    <w:rsid w:val="00582F9F"/>
    <w:rsid w:val="005831AA"/>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33"/>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5D5D"/>
    <w:rsid w:val="005E6BD0"/>
    <w:rsid w:val="005E7E89"/>
    <w:rsid w:val="005F01EF"/>
    <w:rsid w:val="005F04EC"/>
    <w:rsid w:val="005F18DE"/>
    <w:rsid w:val="005F470C"/>
    <w:rsid w:val="005F591A"/>
    <w:rsid w:val="0060094A"/>
    <w:rsid w:val="0060136C"/>
    <w:rsid w:val="006014EC"/>
    <w:rsid w:val="00601C99"/>
    <w:rsid w:val="00603743"/>
    <w:rsid w:val="00603C67"/>
    <w:rsid w:val="00604F51"/>
    <w:rsid w:val="006060AD"/>
    <w:rsid w:val="00606D70"/>
    <w:rsid w:val="00610F84"/>
    <w:rsid w:val="0062255C"/>
    <w:rsid w:val="00622FB1"/>
    <w:rsid w:val="00623DEA"/>
    <w:rsid w:val="00623EC9"/>
    <w:rsid w:val="00624417"/>
    <w:rsid w:val="00625AA5"/>
    <w:rsid w:val="00632EE6"/>
    <w:rsid w:val="00633616"/>
    <w:rsid w:val="00637772"/>
    <w:rsid w:val="00637AC9"/>
    <w:rsid w:val="00640B12"/>
    <w:rsid w:val="0064258A"/>
    <w:rsid w:val="00643685"/>
    <w:rsid w:val="00643FB6"/>
    <w:rsid w:val="006470E2"/>
    <w:rsid w:val="00651522"/>
    <w:rsid w:val="006525C5"/>
    <w:rsid w:val="006530FD"/>
    <w:rsid w:val="00654855"/>
    <w:rsid w:val="00654F4D"/>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B7BA0"/>
    <w:rsid w:val="006C0680"/>
    <w:rsid w:val="006C2F15"/>
    <w:rsid w:val="006C7015"/>
    <w:rsid w:val="006D1857"/>
    <w:rsid w:val="006D7959"/>
    <w:rsid w:val="006D7B6E"/>
    <w:rsid w:val="006D7BB6"/>
    <w:rsid w:val="006E082A"/>
    <w:rsid w:val="006E1D11"/>
    <w:rsid w:val="006E27A5"/>
    <w:rsid w:val="006E4937"/>
    <w:rsid w:val="006E63F3"/>
    <w:rsid w:val="006E6A13"/>
    <w:rsid w:val="006F157C"/>
    <w:rsid w:val="006F1B31"/>
    <w:rsid w:val="006F202E"/>
    <w:rsid w:val="006F20A4"/>
    <w:rsid w:val="006F3C0D"/>
    <w:rsid w:val="006F3FF3"/>
    <w:rsid w:val="006F410A"/>
    <w:rsid w:val="006F4891"/>
    <w:rsid w:val="006F5EA0"/>
    <w:rsid w:val="006F7575"/>
    <w:rsid w:val="00706A33"/>
    <w:rsid w:val="00712339"/>
    <w:rsid w:val="00714E40"/>
    <w:rsid w:val="00715429"/>
    <w:rsid w:val="00715C88"/>
    <w:rsid w:val="00715D8F"/>
    <w:rsid w:val="0071791E"/>
    <w:rsid w:val="007206C9"/>
    <w:rsid w:val="00720E64"/>
    <w:rsid w:val="00723F6E"/>
    <w:rsid w:val="00725F93"/>
    <w:rsid w:val="0073017B"/>
    <w:rsid w:val="0073367E"/>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345B"/>
    <w:rsid w:val="007A6523"/>
    <w:rsid w:val="007A7272"/>
    <w:rsid w:val="007A7814"/>
    <w:rsid w:val="007A7FB8"/>
    <w:rsid w:val="007B222D"/>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03A"/>
    <w:rsid w:val="007F126E"/>
    <w:rsid w:val="007F443F"/>
    <w:rsid w:val="007F4528"/>
    <w:rsid w:val="007F525E"/>
    <w:rsid w:val="007F63E7"/>
    <w:rsid w:val="007F6F57"/>
    <w:rsid w:val="008010A6"/>
    <w:rsid w:val="00804E1C"/>
    <w:rsid w:val="00805711"/>
    <w:rsid w:val="00806D75"/>
    <w:rsid w:val="0081055D"/>
    <w:rsid w:val="0081058F"/>
    <w:rsid w:val="00810A4C"/>
    <w:rsid w:val="008112C9"/>
    <w:rsid w:val="00813E3C"/>
    <w:rsid w:val="00814020"/>
    <w:rsid w:val="0081609E"/>
    <w:rsid w:val="00822C6B"/>
    <w:rsid w:val="00823719"/>
    <w:rsid w:val="00825110"/>
    <w:rsid w:val="00826AEC"/>
    <w:rsid w:val="00826D9D"/>
    <w:rsid w:val="008274C1"/>
    <w:rsid w:val="008277A9"/>
    <w:rsid w:val="008316E1"/>
    <w:rsid w:val="00833E90"/>
    <w:rsid w:val="00835216"/>
    <w:rsid w:val="00835D5C"/>
    <w:rsid w:val="0084006D"/>
    <w:rsid w:val="00842D8F"/>
    <w:rsid w:val="00842FFE"/>
    <w:rsid w:val="008501C7"/>
    <w:rsid w:val="00851B4B"/>
    <w:rsid w:val="00855D0B"/>
    <w:rsid w:val="00856967"/>
    <w:rsid w:val="00857302"/>
    <w:rsid w:val="00857341"/>
    <w:rsid w:val="0085741B"/>
    <w:rsid w:val="00861640"/>
    <w:rsid w:val="008662DB"/>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C2DDF"/>
    <w:rsid w:val="008D5E9E"/>
    <w:rsid w:val="008E0F73"/>
    <w:rsid w:val="008E5C4F"/>
    <w:rsid w:val="008E6162"/>
    <w:rsid w:val="008E66C1"/>
    <w:rsid w:val="008E7869"/>
    <w:rsid w:val="008E7927"/>
    <w:rsid w:val="008F312E"/>
    <w:rsid w:val="008F46B7"/>
    <w:rsid w:val="008F4BCE"/>
    <w:rsid w:val="008F5915"/>
    <w:rsid w:val="008F59E6"/>
    <w:rsid w:val="008F5DBB"/>
    <w:rsid w:val="0090034D"/>
    <w:rsid w:val="009060FA"/>
    <w:rsid w:val="009062A4"/>
    <w:rsid w:val="00910163"/>
    <w:rsid w:val="009121F7"/>
    <w:rsid w:val="00912A58"/>
    <w:rsid w:val="00916532"/>
    <w:rsid w:val="00917786"/>
    <w:rsid w:val="00924740"/>
    <w:rsid w:val="00924A44"/>
    <w:rsid w:val="00924E88"/>
    <w:rsid w:val="00934746"/>
    <w:rsid w:val="0093522C"/>
    <w:rsid w:val="00935D14"/>
    <w:rsid w:val="00936E17"/>
    <w:rsid w:val="00940C2E"/>
    <w:rsid w:val="00942163"/>
    <w:rsid w:val="0094219B"/>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530C"/>
    <w:rsid w:val="009F628A"/>
    <w:rsid w:val="00A00D30"/>
    <w:rsid w:val="00A0113A"/>
    <w:rsid w:val="00A07BE4"/>
    <w:rsid w:val="00A11B04"/>
    <w:rsid w:val="00A15244"/>
    <w:rsid w:val="00A159B6"/>
    <w:rsid w:val="00A2151F"/>
    <w:rsid w:val="00A21A6A"/>
    <w:rsid w:val="00A23717"/>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3A53"/>
    <w:rsid w:val="00A64AE4"/>
    <w:rsid w:val="00A67992"/>
    <w:rsid w:val="00A706A2"/>
    <w:rsid w:val="00A7383F"/>
    <w:rsid w:val="00A73B4D"/>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614D"/>
    <w:rsid w:val="00AC7961"/>
    <w:rsid w:val="00AD02C8"/>
    <w:rsid w:val="00AD3FF3"/>
    <w:rsid w:val="00AD4251"/>
    <w:rsid w:val="00AD4EF6"/>
    <w:rsid w:val="00AD55FD"/>
    <w:rsid w:val="00AD5816"/>
    <w:rsid w:val="00AD7F64"/>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11FD1"/>
    <w:rsid w:val="00B136D6"/>
    <w:rsid w:val="00B1448A"/>
    <w:rsid w:val="00B21010"/>
    <w:rsid w:val="00B21D47"/>
    <w:rsid w:val="00B26014"/>
    <w:rsid w:val="00B2709E"/>
    <w:rsid w:val="00B35FDC"/>
    <w:rsid w:val="00B368DA"/>
    <w:rsid w:val="00B42A82"/>
    <w:rsid w:val="00B43892"/>
    <w:rsid w:val="00B468EF"/>
    <w:rsid w:val="00B5017E"/>
    <w:rsid w:val="00B5079C"/>
    <w:rsid w:val="00B508E2"/>
    <w:rsid w:val="00B579BB"/>
    <w:rsid w:val="00B57AAB"/>
    <w:rsid w:val="00B57CED"/>
    <w:rsid w:val="00B606D0"/>
    <w:rsid w:val="00B632B3"/>
    <w:rsid w:val="00B63567"/>
    <w:rsid w:val="00B667BC"/>
    <w:rsid w:val="00B667E7"/>
    <w:rsid w:val="00B7015D"/>
    <w:rsid w:val="00B7136E"/>
    <w:rsid w:val="00B7616E"/>
    <w:rsid w:val="00B827E1"/>
    <w:rsid w:val="00B82ABC"/>
    <w:rsid w:val="00B83CAC"/>
    <w:rsid w:val="00B84995"/>
    <w:rsid w:val="00B85950"/>
    <w:rsid w:val="00B86812"/>
    <w:rsid w:val="00B91010"/>
    <w:rsid w:val="00B917E5"/>
    <w:rsid w:val="00B9286A"/>
    <w:rsid w:val="00B93470"/>
    <w:rsid w:val="00B95BBF"/>
    <w:rsid w:val="00B96036"/>
    <w:rsid w:val="00B96AC8"/>
    <w:rsid w:val="00B97122"/>
    <w:rsid w:val="00BA110D"/>
    <w:rsid w:val="00BA12CD"/>
    <w:rsid w:val="00BA25B6"/>
    <w:rsid w:val="00BA3920"/>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20B"/>
    <w:rsid w:val="00C10B42"/>
    <w:rsid w:val="00C12720"/>
    <w:rsid w:val="00C15432"/>
    <w:rsid w:val="00C15AC4"/>
    <w:rsid w:val="00C21149"/>
    <w:rsid w:val="00C2355D"/>
    <w:rsid w:val="00C2773E"/>
    <w:rsid w:val="00C3128B"/>
    <w:rsid w:val="00C33674"/>
    <w:rsid w:val="00C3385B"/>
    <w:rsid w:val="00C36B12"/>
    <w:rsid w:val="00C41470"/>
    <w:rsid w:val="00C41FF2"/>
    <w:rsid w:val="00C54747"/>
    <w:rsid w:val="00C5514E"/>
    <w:rsid w:val="00C56C98"/>
    <w:rsid w:val="00C61690"/>
    <w:rsid w:val="00C6254D"/>
    <w:rsid w:val="00C629B9"/>
    <w:rsid w:val="00C645BC"/>
    <w:rsid w:val="00C646C4"/>
    <w:rsid w:val="00C75935"/>
    <w:rsid w:val="00C76463"/>
    <w:rsid w:val="00C813D6"/>
    <w:rsid w:val="00C84EF0"/>
    <w:rsid w:val="00C85696"/>
    <w:rsid w:val="00C9002C"/>
    <w:rsid w:val="00C91204"/>
    <w:rsid w:val="00C922D7"/>
    <w:rsid w:val="00C935C2"/>
    <w:rsid w:val="00C93727"/>
    <w:rsid w:val="00C95BFB"/>
    <w:rsid w:val="00C97A4D"/>
    <w:rsid w:val="00CA1458"/>
    <w:rsid w:val="00CA19F5"/>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8C8"/>
    <w:rsid w:val="00CD7760"/>
    <w:rsid w:val="00CE0468"/>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31C"/>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147"/>
    <w:rsid w:val="00D66D34"/>
    <w:rsid w:val="00D716E4"/>
    <w:rsid w:val="00D73D1A"/>
    <w:rsid w:val="00D7427C"/>
    <w:rsid w:val="00D74499"/>
    <w:rsid w:val="00D75C74"/>
    <w:rsid w:val="00D75E95"/>
    <w:rsid w:val="00D7608E"/>
    <w:rsid w:val="00D858E5"/>
    <w:rsid w:val="00D92627"/>
    <w:rsid w:val="00DA13C8"/>
    <w:rsid w:val="00DA53C7"/>
    <w:rsid w:val="00DA5809"/>
    <w:rsid w:val="00DA58BF"/>
    <w:rsid w:val="00DA7B48"/>
    <w:rsid w:val="00DA7C18"/>
    <w:rsid w:val="00DB03B7"/>
    <w:rsid w:val="00DB2350"/>
    <w:rsid w:val="00DB4551"/>
    <w:rsid w:val="00DC1048"/>
    <w:rsid w:val="00DC44CF"/>
    <w:rsid w:val="00DC6DE1"/>
    <w:rsid w:val="00DC711C"/>
    <w:rsid w:val="00DD01C5"/>
    <w:rsid w:val="00DD23C0"/>
    <w:rsid w:val="00DD24D7"/>
    <w:rsid w:val="00DD4AB3"/>
    <w:rsid w:val="00DD4D5D"/>
    <w:rsid w:val="00DD517E"/>
    <w:rsid w:val="00DE17E2"/>
    <w:rsid w:val="00DE3020"/>
    <w:rsid w:val="00DE4D85"/>
    <w:rsid w:val="00DE6D9A"/>
    <w:rsid w:val="00DE6DD3"/>
    <w:rsid w:val="00DF0162"/>
    <w:rsid w:val="00DF18B6"/>
    <w:rsid w:val="00DF317F"/>
    <w:rsid w:val="00DF3C7A"/>
    <w:rsid w:val="00DF42DF"/>
    <w:rsid w:val="00DF57A6"/>
    <w:rsid w:val="00DF6416"/>
    <w:rsid w:val="00DF70C1"/>
    <w:rsid w:val="00DF71A8"/>
    <w:rsid w:val="00E027B0"/>
    <w:rsid w:val="00E02A24"/>
    <w:rsid w:val="00E06484"/>
    <w:rsid w:val="00E11403"/>
    <w:rsid w:val="00E11DA9"/>
    <w:rsid w:val="00E1309C"/>
    <w:rsid w:val="00E13E02"/>
    <w:rsid w:val="00E16303"/>
    <w:rsid w:val="00E16925"/>
    <w:rsid w:val="00E27247"/>
    <w:rsid w:val="00E31CA5"/>
    <w:rsid w:val="00E31D49"/>
    <w:rsid w:val="00E3382E"/>
    <w:rsid w:val="00E348DD"/>
    <w:rsid w:val="00E3492D"/>
    <w:rsid w:val="00E37512"/>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29E3"/>
    <w:rsid w:val="00E85293"/>
    <w:rsid w:val="00E871CE"/>
    <w:rsid w:val="00E87AC7"/>
    <w:rsid w:val="00E91D50"/>
    <w:rsid w:val="00E9315E"/>
    <w:rsid w:val="00E94F03"/>
    <w:rsid w:val="00E97903"/>
    <w:rsid w:val="00EA37FC"/>
    <w:rsid w:val="00EA68DF"/>
    <w:rsid w:val="00EA7845"/>
    <w:rsid w:val="00EB0687"/>
    <w:rsid w:val="00EB0FC5"/>
    <w:rsid w:val="00EB1910"/>
    <w:rsid w:val="00EB317F"/>
    <w:rsid w:val="00EB335D"/>
    <w:rsid w:val="00EB38A7"/>
    <w:rsid w:val="00EB62F2"/>
    <w:rsid w:val="00ED2C29"/>
    <w:rsid w:val="00ED3624"/>
    <w:rsid w:val="00ED7253"/>
    <w:rsid w:val="00EE02F0"/>
    <w:rsid w:val="00EE2F16"/>
    <w:rsid w:val="00EE30E6"/>
    <w:rsid w:val="00EE68A4"/>
    <w:rsid w:val="00EE6FBD"/>
    <w:rsid w:val="00EE72DB"/>
    <w:rsid w:val="00EE73CD"/>
    <w:rsid w:val="00EF1CB1"/>
    <w:rsid w:val="00EF56F9"/>
    <w:rsid w:val="00F00537"/>
    <w:rsid w:val="00F03418"/>
    <w:rsid w:val="00F04678"/>
    <w:rsid w:val="00F062BF"/>
    <w:rsid w:val="00F06437"/>
    <w:rsid w:val="00F0775B"/>
    <w:rsid w:val="00F07EED"/>
    <w:rsid w:val="00F10A29"/>
    <w:rsid w:val="00F10ACE"/>
    <w:rsid w:val="00F16658"/>
    <w:rsid w:val="00F16692"/>
    <w:rsid w:val="00F20D0D"/>
    <w:rsid w:val="00F229CE"/>
    <w:rsid w:val="00F23065"/>
    <w:rsid w:val="00F25E21"/>
    <w:rsid w:val="00F26087"/>
    <w:rsid w:val="00F27024"/>
    <w:rsid w:val="00F3088D"/>
    <w:rsid w:val="00F341FB"/>
    <w:rsid w:val="00F34933"/>
    <w:rsid w:val="00F35BA3"/>
    <w:rsid w:val="00F37AD2"/>
    <w:rsid w:val="00F43CF0"/>
    <w:rsid w:val="00F4680E"/>
    <w:rsid w:val="00F46EBB"/>
    <w:rsid w:val="00F47088"/>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5C84"/>
    <w:rsid w:val="00F75EDB"/>
    <w:rsid w:val="00F762E5"/>
    <w:rsid w:val="00F76491"/>
    <w:rsid w:val="00F8230E"/>
    <w:rsid w:val="00F8628C"/>
    <w:rsid w:val="00F930A8"/>
    <w:rsid w:val="00FA3B81"/>
    <w:rsid w:val="00FA5DE4"/>
    <w:rsid w:val="00FA5E7B"/>
    <w:rsid w:val="00FA7384"/>
    <w:rsid w:val="00FB2C2F"/>
    <w:rsid w:val="00FB5F5C"/>
    <w:rsid w:val="00FB6AF8"/>
    <w:rsid w:val="00FC0D3E"/>
    <w:rsid w:val="00FC319F"/>
    <w:rsid w:val="00FC3884"/>
    <w:rsid w:val="00FC4DC9"/>
    <w:rsid w:val="00FC4F6B"/>
    <w:rsid w:val="00FD36A3"/>
    <w:rsid w:val="00FD4333"/>
    <w:rsid w:val="00FD46E0"/>
    <w:rsid w:val="00FD61B9"/>
    <w:rsid w:val="00FD7FF0"/>
    <w:rsid w:val="00FE16D2"/>
    <w:rsid w:val="00FE1AFF"/>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4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676615519">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footer" Target="footer7.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29" Type="http://schemas.openxmlformats.org/officeDocument/2006/relationships/chart" Target="charts/chart8.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footer" Target="footer5.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6.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seargueta\Desktop\Informes%202021\Sitfin\Marzo\Sitfin%20al%20310321%20(0704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9734745248974E-2"/>
          <c:y val="3.9233663295943938E-2"/>
          <c:w val="0.88334533998989107"/>
          <c:h val="0.85035118544066279"/>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6A39-40C0-89BA-753C36EE36B7}"/>
              </c:ext>
            </c:extLst>
          </c:dPt>
          <c:dLbls>
            <c:dLbl>
              <c:idx val="2"/>
              <c:layout>
                <c:manualLayout>
                  <c:x val="0.11942844956280657"/>
                  <c:y val="6.2992125984251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39-40C0-89BA-753C36EE36B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1253.6076613600007</c:v>
                </c:pt>
                <c:pt idx="1">
                  <c:v>-532.44206624999879</c:v>
                </c:pt>
                <c:pt idx="2">
                  <c:v>-1384.2876836200012</c:v>
                </c:pt>
                <c:pt idx="3">
                  <c:v>1544.0235546300028</c:v>
                </c:pt>
              </c:numCache>
            </c:numRef>
          </c:val>
          <c:extLst xmlns:c16r2="http://schemas.microsoft.com/office/drawing/2015/06/chart">
            <c:ext xmlns:c16="http://schemas.microsoft.com/office/drawing/2014/chart" uri="{C3380CC4-5D6E-409C-BE32-E72D297353CC}">
              <c16:uniqueId val="{00000003-6A39-40C0-89BA-753C36EE36B7}"/>
            </c:ext>
          </c:extLst>
        </c:ser>
        <c:dLbls>
          <c:showLegendKey val="0"/>
          <c:showVal val="0"/>
          <c:showCatName val="0"/>
          <c:showSerName val="0"/>
          <c:showPercent val="0"/>
          <c:showBubbleSize val="0"/>
        </c:dLbls>
        <c:gapWidth val="63"/>
        <c:overlap val="-27"/>
        <c:axId val="85534976"/>
        <c:axId val="85536768"/>
      </c:barChart>
      <c:catAx>
        <c:axId val="85534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85536768"/>
        <c:crosses val="autoZero"/>
        <c:auto val="1"/>
        <c:lblAlgn val="ctr"/>
        <c:lblOffset val="100"/>
        <c:noMultiLvlLbl val="0"/>
      </c:catAx>
      <c:valAx>
        <c:axId val="85536768"/>
        <c:scaling>
          <c:orientation val="minMax"/>
          <c:min val="-15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8553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4081723709149"/>
          <c:y val="3.1475757507388943E-2"/>
          <c:w val="0.8221772167614303"/>
          <c:h val="0.78931796132933252"/>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70-4574-9CBD-2EDA7B8A5073}"/>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70-4574-9CBD-2EDA7B8A5073}"/>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70-4574-9CBD-2EDA7B8A507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Hoja1!$B$2:$B$4</c:f>
              <c:numCache>
                <c:formatCode>#,##0.0</c:formatCode>
                <c:ptCount val="3"/>
                <c:pt idx="0">
                  <c:v>14342.417337519997</c:v>
                </c:pt>
                <c:pt idx="1">
                  <c:v>17805.728655710001</c:v>
                </c:pt>
                <c:pt idx="2">
                  <c:v>16682.461004013574</c:v>
                </c:pt>
              </c:numCache>
            </c:numRef>
          </c:val>
          <c:extLst xmlns:c16r2="http://schemas.microsoft.com/office/drawing/2015/06/chart">
            <c:ext xmlns:c16="http://schemas.microsoft.com/office/drawing/2014/chart" uri="{C3380CC4-5D6E-409C-BE32-E72D297353CC}">
              <c16:uniqueId val="{00000003-6870-4574-9CBD-2EDA7B8A5073}"/>
            </c:ext>
          </c:extLst>
        </c:ser>
        <c:ser>
          <c:idx val="1"/>
          <c:order val="1"/>
          <c:tx>
            <c:strRef>
              <c:f>Hoja1!$C$1</c:f>
              <c:strCache>
                <c:ptCount val="1"/>
                <c:pt idx="0">
                  <c:v>No administrado por SAT</c:v>
                </c:pt>
              </c:strCache>
            </c:strRef>
          </c:tx>
          <c:spPr>
            <a:solidFill>
              <a:srgbClr val="FF0000"/>
            </a:solidFill>
            <a:ln>
              <a:noFill/>
            </a:ln>
            <a:effectLst/>
          </c:spPr>
          <c:invertIfNegative val="0"/>
          <c:dLbls>
            <c:dLbl>
              <c:idx val="0"/>
              <c:layout>
                <c:manualLayout>
                  <c:x val="0"/>
                  <c:y val="-4.0114613180515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70-4574-9CBD-2EDA7B8A5073}"/>
                </c:ext>
              </c:extLst>
            </c:dLbl>
            <c:dLbl>
              <c:idx val="1"/>
              <c:layout>
                <c:manualLayout>
                  <c:x val="-9.0333193138944519E-17"/>
                  <c:y val="-5.15759312320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70-4574-9CBD-2EDA7B8A5073}"/>
                </c:ext>
              </c:extLst>
            </c:dLbl>
            <c:dLbl>
              <c:idx val="2"/>
              <c:layout>
                <c:manualLayout>
                  <c:x val="0"/>
                  <c:y val="-5.15759312320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870-4574-9CBD-2EDA7B8A507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Hoja1!$C$2:$C$4</c:f>
              <c:numCache>
                <c:formatCode>#,##0.0</c:formatCode>
                <c:ptCount val="3"/>
                <c:pt idx="0">
                  <c:v>159.76188947999998</c:v>
                </c:pt>
                <c:pt idx="1">
                  <c:v>58.081578239999999</c:v>
                </c:pt>
                <c:pt idx="2">
                  <c:v>126.94051821152019</c:v>
                </c:pt>
              </c:numCache>
            </c:numRef>
          </c:val>
          <c:extLst xmlns:c16r2="http://schemas.microsoft.com/office/drawing/2015/06/chart">
            <c:ext xmlns:c16="http://schemas.microsoft.com/office/drawing/2014/chart" uri="{C3380CC4-5D6E-409C-BE32-E72D297353CC}">
              <c16:uniqueId val="{00000007-6870-4574-9CBD-2EDA7B8A5073}"/>
            </c:ext>
          </c:extLst>
        </c:ser>
        <c:dLbls>
          <c:showLegendKey val="0"/>
          <c:showVal val="0"/>
          <c:showCatName val="0"/>
          <c:showSerName val="0"/>
          <c:showPercent val="0"/>
          <c:showBubbleSize val="0"/>
        </c:dLbls>
        <c:gapWidth val="25"/>
        <c:overlap val="100"/>
        <c:axId val="85301888"/>
        <c:axId val="85308928"/>
      </c:barChart>
      <c:catAx>
        <c:axId val="85301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5308928"/>
        <c:crosses val="autoZero"/>
        <c:auto val="1"/>
        <c:lblAlgn val="ctr"/>
        <c:lblOffset val="100"/>
        <c:noMultiLvlLbl val="0"/>
      </c:catAx>
      <c:valAx>
        <c:axId val="85308928"/>
        <c:scaling>
          <c:orientation val="minMax"/>
          <c:min val="1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53018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574855526651186"/>
          <c:y val="0.93309486458562263"/>
          <c:w val="0.67661287350167698"/>
          <c:h val="6.690489119894496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0"/>
              <c:layout>
                <c:manualLayout>
                  <c:x val="-8.1621282927217251E-2"/>
                  <c:y val="8.59598972146830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89-4B73-B2EA-F93B9F2894CC}"/>
                </c:ext>
              </c:extLst>
            </c:dLbl>
            <c:dLbl>
              <c:idx val="1"/>
              <c:layout>
                <c:manualLayout>
                  <c:x val="-1.7566096920811729E-2"/>
                  <c:y val="-3.19955418416734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89-4B73-B2EA-F93B9F2894CC}"/>
                </c:ext>
              </c:extLst>
            </c:dLbl>
            <c:dLbl>
              <c:idx val="2"/>
              <c:layout>
                <c:manualLayout>
                  <c:x val="-0.16032264259650475"/>
                  <c:y val="4.66414175292308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89-4B73-B2EA-F93B9F2894CC}"/>
                </c:ext>
              </c:extLst>
            </c:dLbl>
            <c:dLbl>
              <c:idx val="3"/>
              <c:layout>
                <c:manualLayout>
                  <c:x val="-6.1776202586650064E-2"/>
                  <c:y val="-7.78671014747009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89-4B73-B2EA-F93B9F2894CC}"/>
                </c:ext>
              </c:extLst>
            </c:dLbl>
            <c:dLbl>
              <c:idx val="4"/>
              <c:layout>
                <c:manualLayout>
                  <c:x val="-1.2502982581722739E-2"/>
                  <c:y val="5.3194497476806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89-4B73-B2EA-F93B9F2894CC}"/>
                </c:ext>
              </c:extLst>
            </c:dLbl>
            <c:dLbl>
              <c:idx val="5"/>
              <c:layout>
                <c:manualLayout>
                  <c:x val="-0.14554067659502659"/>
                  <c:y val="-6.47609415795502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89-4B73-B2EA-F93B9F2894CC}"/>
                </c:ext>
              </c:extLst>
            </c:dLbl>
            <c:dLbl>
              <c:idx val="6"/>
              <c:layout>
                <c:manualLayout>
                  <c:x val="-5.192155858566469E-2"/>
                  <c:y val="-9.15023155752906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89-4B73-B2EA-F93B9F2894CC}"/>
                </c:ext>
              </c:extLst>
            </c:dLbl>
            <c:dLbl>
              <c:idx val="7"/>
              <c:layout>
                <c:manualLayout>
                  <c:x val="-0.10119477859059182"/>
                  <c:y val="9.9771621750511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89-4B73-B2EA-F93B9F2894CC}"/>
                </c:ext>
              </c:extLst>
            </c:dLbl>
            <c:dLbl>
              <c:idx val="8"/>
              <c:layout>
                <c:manualLayout>
                  <c:x val="1.1701419805892745E-3"/>
                  <c:y val="1.4249531056262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189-4B73-B2EA-F93B9F2894CC}"/>
                </c:ext>
              </c:extLst>
            </c:dLbl>
            <c:dLbl>
              <c:idx val="9"/>
              <c:layout>
                <c:manualLayout>
                  <c:x val="-0.10185977307160329"/>
                  <c:y val="-5.93889424656373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89-4B73-B2EA-F93B9F2894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6.0932908279420106E-2</c:v>
                </c:pt>
                <c:pt idx="1">
                  <c:v>7.8724328107667496E-2</c:v>
                </c:pt>
                <c:pt idx="2">
                  <c:v>2.1124778535352995E-2</c:v>
                </c:pt>
                <c:pt idx="3">
                  <c:v>3.3939202503295407E-2</c:v>
                </c:pt>
                <c:pt idx="4">
                  <c:v>1.5090896491614769E-2</c:v>
                </c:pt>
                <c:pt idx="5">
                  <c:v>0.10076874487525411</c:v>
                </c:pt>
                <c:pt idx="6">
                  <c:v>4.001668057667529E-2</c:v>
                </c:pt>
                <c:pt idx="7">
                  <c:v>4.677553999520967E-2</c:v>
                </c:pt>
                <c:pt idx="8">
                  <c:v>-3.3128637792832816E-2</c:v>
                </c:pt>
                <c:pt idx="9">
                  <c:v>0.23255736521226456</c:v>
                </c:pt>
              </c:numCache>
            </c:numRef>
          </c:val>
          <c:smooth val="0"/>
          <c:extLst xmlns:c16r2="http://schemas.microsoft.com/office/drawing/2015/06/chart">
            <c:ext xmlns:c16="http://schemas.microsoft.com/office/drawing/2014/chart" uri="{C3380CC4-5D6E-409C-BE32-E72D297353CC}">
              <c16:uniqueId val="{0000000A-E189-4B73-B2EA-F93B9F2894CC}"/>
            </c:ext>
          </c:extLst>
        </c:ser>
        <c:ser>
          <c:idx val="1"/>
          <c:order val="1"/>
          <c:tx>
            <c:strRef>
              <c:f>Hoja1!$C$1</c:f>
              <c:strCache>
                <c:ptCount val="1"/>
                <c:pt idx="0">
                  <c:v>Var Ajustada</c:v>
                </c:pt>
              </c:strCache>
            </c:strRef>
          </c:tx>
          <c:spPr>
            <a:ln w="22225" cap="rnd">
              <a:solidFill>
                <a:srgbClr val="FF0000"/>
              </a:solidFill>
              <a:round/>
            </a:ln>
            <a:effectLst/>
          </c:spPr>
          <c:marker>
            <c:symbol val="circle"/>
            <c:size val="6"/>
            <c:spPr>
              <a:solidFill>
                <a:schemeClr val="lt1"/>
              </a:solidFill>
              <a:ln w="15875">
                <a:solidFill>
                  <a:srgbClr val="FF0000"/>
                </a:solidFill>
                <a:round/>
              </a:ln>
              <a:effectLst/>
            </c:spPr>
          </c:marker>
          <c:dLbls>
            <c:dLbl>
              <c:idx val="8"/>
              <c:layout>
                <c:manualLayout>
                  <c:x val="-0.11332840601133284"/>
                  <c:y val="-0.100942126514131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89-4B73-B2EA-F93B9F2894CC}"/>
                </c:ext>
              </c:extLst>
            </c:dLbl>
            <c:dLbl>
              <c:idx val="9"/>
              <c:layout>
                <c:manualLayout>
                  <c:x val="0"/>
                  <c:y val="0.1816958277254373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89-4B73-B2EA-F93B9F2894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Hoja1!$C$2:$C$11</c:f>
              <c:numCache>
                <c:formatCode>General</c:formatCode>
                <c:ptCount val="10"/>
                <c:pt idx="7">
                  <c:v>4.677553999520967E-2</c:v>
                </c:pt>
                <c:pt idx="8">
                  <c:v>5.9117448233668046E-2</c:v>
                </c:pt>
                <c:pt idx="9">
                  <c:v>0.12451538797807915</c:v>
                </c:pt>
              </c:numCache>
            </c:numRef>
          </c:val>
          <c:smooth val="0"/>
          <c:extLst xmlns:c16r2="http://schemas.microsoft.com/office/drawing/2015/06/chart">
            <c:ext xmlns:c16="http://schemas.microsoft.com/office/drawing/2014/chart" uri="{C3380CC4-5D6E-409C-BE32-E72D297353CC}">
              <c16:uniqueId val="{0000000D-E189-4B73-B2EA-F93B9F2894CC}"/>
            </c:ext>
          </c:extLst>
        </c:ser>
        <c:dLbls>
          <c:showLegendKey val="0"/>
          <c:showVal val="0"/>
          <c:showCatName val="0"/>
          <c:showSerName val="0"/>
          <c:showPercent val="0"/>
          <c:showBubbleSize val="0"/>
        </c:dLbls>
        <c:marker val="1"/>
        <c:smooth val="0"/>
        <c:axId val="90088960"/>
        <c:axId val="90090496"/>
      </c:lineChart>
      <c:catAx>
        <c:axId val="900889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0090496"/>
        <c:crosses val="autoZero"/>
        <c:auto val="1"/>
        <c:lblAlgn val="ctr"/>
        <c:lblOffset val="100"/>
        <c:noMultiLvlLbl val="0"/>
      </c:catAx>
      <c:valAx>
        <c:axId val="900904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0088960"/>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11853119247012084"/>
          <c:y val="4.0376850605652756E-2"/>
          <c:w val="0.61504928291945771"/>
          <c:h val="0.1180657334939387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25571593584401E-2"/>
          <c:y val="2.0995385055541042E-2"/>
          <c:w val="0.89000925836118194"/>
          <c:h val="0.78999241208592996"/>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61-498B-902E-44E33A74EA6B}"/>
                </c:ext>
              </c:extLst>
            </c:dLbl>
            <c:dLbl>
              <c:idx val="1"/>
              <c:layout>
                <c:manualLayout>
                  <c:x val="0"/>
                  <c:y val="9.7251037344398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61-498B-902E-44E33A74EA6B}"/>
                </c:ext>
              </c:extLst>
            </c:dLbl>
            <c:dLbl>
              <c:idx val="2"/>
              <c:layout>
                <c:manualLayout>
                  <c:x val="0"/>
                  <c:y val="8.0687832848694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61-498B-902E-44E33A74EA6B}"/>
                </c:ext>
              </c:extLst>
            </c:dLbl>
            <c:dLbl>
              <c:idx val="3"/>
              <c:layout>
                <c:manualLayout>
                  <c:x val="0"/>
                  <c:y val="2.4685562753695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61-498B-902E-44E33A74EA6B}"/>
                </c:ext>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61-498B-902E-44E33A74EA6B}"/>
                </c:ext>
              </c:extLst>
            </c:dLbl>
            <c:dLbl>
              <c:idx val="9"/>
              <c:layout>
                <c:manualLayout>
                  <c:x val="0"/>
                  <c:y val="1.68568464730290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161-498B-902E-44E33A74EA6B}"/>
                </c:ext>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161-498B-902E-44E33A74EA6B}"/>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numCache>
            </c:numRef>
          </c:val>
          <c:extLst xmlns:c16r2="http://schemas.microsoft.com/office/drawing/2015/06/chart">
            <c:ext xmlns:c16="http://schemas.microsoft.com/office/drawing/2014/chart" uri="{C3380CC4-5D6E-409C-BE32-E72D297353CC}">
              <c16:uniqueId val="{00000007-F161-498B-902E-44E33A74EA6B}"/>
            </c:ext>
          </c:extLst>
        </c:ser>
        <c:dLbls>
          <c:showLegendKey val="0"/>
          <c:showVal val="0"/>
          <c:showCatName val="0"/>
          <c:showSerName val="0"/>
          <c:showPercent val="0"/>
          <c:showBubbleSize val="0"/>
        </c:dLbls>
        <c:gapWidth val="62"/>
        <c:overlap val="-27"/>
        <c:axId val="97883264"/>
        <c:axId val="97884800"/>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161-498B-902E-44E33A74EA6B}"/>
                </c:ext>
              </c:extLst>
            </c:dLbl>
            <c:dLbl>
              <c:idx val="1"/>
              <c:layout>
                <c:manualLayout>
                  <c:x val="-6.3041624640838081E-2"/>
                  <c:y val="5.0289149540954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161-498B-902E-44E33A74EA6B}"/>
                </c:ext>
              </c:extLst>
            </c:dLbl>
            <c:dLbl>
              <c:idx val="2"/>
              <c:layout>
                <c:manualLayout>
                  <c:x val="-5.235160997770865E-2"/>
                  <c:y val="-3.5720178390564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161-498B-902E-44E33A74EA6B}"/>
                </c:ext>
              </c:extLst>
            </c:dLbl>
            <c:dLbl>
              <c:idx val="3"/>
              <c:layout>
                <c:manualLayout>
                  <c:x val="-6.1378673198681163E-2"/>
                  <c:y val="3.1255105041330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161-498B-902E-44E33A74EA6B}"/>
                </c:ext>
              </c:extLst>
            </c:dLbl>
            <c:dLbl>
              <c:idx val="4"/>
              <c:layout>
                <c:manualLayout>
                  <c:x val="-7.860149343549494E-2"/>
                  <c:y val="-3.54506322083184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161-498B-902E-44E33A74EA6B}"/>
                </c:ext>
              </c:extLst>
            </c:dLbl>
            <c:dLbl>
              <c:idx val="5"/>
              <c:layout>
                <c:manualLayout>
                  <c:x val="-6.915877711195681E-2"/>
                  <c:y val="-4.0637354200019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161-498B-902E-44E33A74EA6B}"/>
                </c:ext>
              </c:extLst>
            </c:dLbl>
            <c:dLbl>
              <c:idx val="6"/>
              <c:layout>
                <c:manualLayout>
                  <c:x val="-6.1378659112370164E-2"/>
                  <c:y val="-4.7267355982274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161-498B-902E-44E33A74EA6B}"/>
                </c:ext>
              </c:extLst>
            </c:dLbl>
            <c:dLbl>
              <c:idx val="7"/>
              <c:layout>
                <c:manualLayout>
                  <c:x val="-6.9990083317087975E-2"/>
                  <c:y val="-4.6545724834188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161-498B-902E-44E33A74EA6B}"/>
                </c:ext>
              </c:extLst>
            </c:dLbl>
            <c:dLbl>
              <c:idx val="8"/>
              <c:layout>
                <c:manualLayout>
                  <c:x val="-4.9708856360662211E-2"/>
                  <c:y val="5.2454095468356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161-498B-902E-44E33A74EA6B}"/>
                </c:ext>
              </c:extLst>
            </c:dLbl>
            <c:dLbl>
              <c:idx val="9"/>
              <c:layout>
                <c:manualLayout>
                  <c:x val="-3.2486036123848351E-2"/>
                  <c:y val="4.0637354200019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161-498B-902E-44E33A74EA6B}"/>
                </c:ext>
              </c:extLst>
            </c:dLbl>
            <c:dLbl>
              <c:idx val="10"/>
              <c:layout>
                <c:manualLayout>
                  <c:x val="-7.0405736419653836E-2"/>
                  <c:y val="-3.6441827033031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161-498B-902E-44E33A74EA6B}"/>
                </c:ext>
              </c:extLst>
            </c:dLbl>
            <c:dLbl>
              <c:idx val="11"/>
              <c:layout>
                <c:manualLayout>
                  <c:x val="-8.3130620513124768E-4"/>
                  <c:y val="-4.2350197667200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161-498B-902E-44E33A74EA6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xmlns:c16r2="http://schemas.microsoft.com/office/drawing/2015/06/chart">
            <c:ext xmlns:c16="http://schemas.microsoft.com/office/drawing/2014/chart" uri="{C3380CC4-5D6E-409C-BE32-E72D297353CC}">
              <c16:uniqueId val="{00000014-F161-498B-902E-44E33A74EA6B}"/>
            </c:ext>
          </c:extLst>
        </c:ser>
        <c:dLbls>
          <c:showLegendKey val="0"/>
          <c:showVal val="0"/>
          <c:showCatName val="0"/>
          <c:showSerName val="0"/>
          <c:showPercent val="0"/>
          <c:showBubbleSize val="0"/>
        </c:dLbls>
        <c:marker val="1"/>
        <c:smooth val="0"/>
        <c:axId val="97883264"/>
        <c:axId val="97884800"/>
      </c:lineChart>
      <c:catAx>
        <c:axId val="97883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7884800"/>
        <c:crosses val="autoZero"/>
        <c:auto val="1"/>
        <c:lblAlgn val="ctr"/>
        <c:lblOffset val="100"/>
        <c:noMultiLvlLbl val="0"/>
      </c:catAx>
      <c:valAx>
        <c:axId val="97884800"/>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7883264"/>
        <c:crosses val="autoZero"/>
        <c:crossBetween val="between"/>
      </c:valAx>
      <c:spPr>
        <a:noFill/>
        <a:ln>
          <a:noFill/>
        </a:ln>
        <a:effectLst/>
      </c:spPr>
    </c:plotArea>
    <c:legend>
      <c:legendPos val="b"/>
      <c:layout>
        <c:manualLayout>
          <c:xMode val="edge"/>
          <c:yMode val="edge"/>
          <c:x val="0.1607285795411203"/>
          <c:y val="5.8858267716535434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0349599157247"/>
          <c:y val="0"/>
          <c:w val="0.60157337475672679"/>
          <c:h val="0.93495363079615046"/>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33-4502-A807-52A16D9C71D9}"/>
                </c:ext>
              </c:extLst>
            </c:dLbl>
            <c:dLbl>
              <c:idx val="1"/>
              <c:layout>
                <c:manualLayout>
                  <c:x val="-1.2869337278786098E-2"/>
                  <c:y val="1.4340344168260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33-4502-A807-52A16D9C71D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Intereses </c:v>
                </c:pt>
                <c:pt idx="3">
                  <c:v>Prestaciones a la S.S</c:v>
                </c:pt>
                <c:pt idx="4">
                  <c:v>Remuneraciones </c:v>
                </c:pt>
                <c:pt idx="5">
                  <c:v>Inversión Real Directa</c:v>
                </c:pt>
                <c:pt idx="6">
                  <c:v>Bienes y servicios </c:v>
                </c:pt>
              </c:strCache>
            </c:strRef>
          </c:cat>
          <c:val>
            <c:numRef>
              <c:f>Sheet1!$B$2:$B$8</c:f>
              <c:numCache>
                <c:formatCode>#,##0.0</c:formatCode>
                <c:ptCount val="7"/>
                <c:pt idx="0">
                  <c:v>-627.28999999999951</c:v>
                </c:pt>
                <c:pt idx="1">
                  <c:v>-1.7000000000002728</c:v>
                </c:pt>
                <c:pt idx="2">
                  <c:v>475.52</c:v>
                </c:pt>
                <c:pt idx="3">
                  <c:v>-16.1400000000001</c:v>
                </c:pt>
                <c:pt idx="4">
                  <c:v>828.63000000000011</c:v>
                </c:pt>
                <c:pt idx="5">
                  <c:v>-422.67000000000007</c:v>
                </c:pt>
                <c:pt idx="6">
                  <c:v>153.32999999999993</c:v>
                </c:pt>
              </c:numCache>
            </c:numRef>
          </c:val>
          <c:extLst xmlns:c16r2="http://schemas.microsoft.com/office/drawing/2015/06/chart">
            <c:ext xmlns:c16="http://schemas.microsoft.com/office/drawing/2014/chart" uri="{C3380CC4-5D6E-409C-BE32-E72D297353CC}">
              <c16:uniqueId val="{00000002-1133-4502-A807-52A16D9C71D9}"/>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5800085800085794E-3"/>
                  <c:y val="-9.560229445506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33-4502-A807-52A16D9C71D9}"/>
                </c:ext>
              </c:extLst>
            </c:dLbl>
            <c:dLbl>
              <c:idx val="2"/>
              <c:layout>
                <c:manualLayout>
                  <c:x val="-8.5800085800086592E-3"/>
                  <c:y val="-1.4340344168260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33-4502-A807-52A16D9C71D9}"/>
                </c:ext>
              </c:extLst>
            </c:dLbl>
            <c:dLbl>
              <c:idx val="4"/>
              <c:layout>
                <c:manualLayout>
                  <c:x val="0"/>
                  <c:y val="-9.560229445506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33-4502-A807-52A16D9C71D9}"/>
                </c:ext>
              </c:extLst>
            </c:dLbl>
            <c:dLbl>
              <c:idx val="6"/>
              <c:layout>
                <c:manualLayout>
                  <c:x val="-8.5800085800087373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33-4502-A807-52A16D9C71D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Intereses </c:v>
                </c:pt>
                <c:pt idx="3">
                  <c:v>Prestaciones a la S.S</c:v>
                </c:pt>
                <c:pt idx="4">
                  <c:v>Remuneraciones </c:v>
                </c:pt>
                <c:pt idx="5">
                  <c:v>Inversión Real Directa</c:v>
                </c:pt>
                <c:pt idx="6">
                  <c:v>Bienes y servicios </c:v>
                </c:pt>
              </c:strCache>
            </c:strRef>
          </c:cat>
          <c:val>
            <c:numRef>
              <c:f>Sheet1!$C$2:$C$8</c:f>
              <c:numCache>
                <c:formatCode>#,##0.0</c:formatCode>
                <c:ptCount val="7"/>
                <c:pt idx="0">
                  <c:v>-517.79381237000007</c:v>
                </c:pt>
                <c:pt idx="1">
                  <c:v>-141.53927200999988</c:v>
                </c:pt>
                <c:pt idx="2">
                  <c:v>23.782138420000138</c:v>
                </c:pt>
                <c:pt idx="3">
                  <c:v>63.045068399999991</c:v>
                </c:pt>
                <c:pt idx="4">
                  <c:v>222.70996213000035</c:v>
                </c:pt>
                <c:pt idx="5">
                  <c:v>281.56249924000002</c:v>
                </c:pt>
                <c:pt idx="6">
                  <c:v>375.73805275000018</c:v>
                </c:pt>
              </c:numCache>
            </c:numRef>
          </c:val>
          <c:extLst xmlns:c16r2="http://schemas.microsoft.com/office/drawing/2015/06/chart">
            <c:ext xmlns:c16="http://schemas.microsoft.com/office/drawing/2014/chart" uri="{C3380CC4-5D6E-409C-BE32-E72D297353CC}">
              <c16:uniqueId val="{00000007-1133-4502-A807-52A16D9C71D9}"/>
            </c:ext>
          </c:extLst>
        </c:ser>
        <c:dLbls>
          <c:showLegendKey val="0"/>
          <c:showVal val="0"/>
          <c:showCatName val="0"/>
          <c:showSerName val="0"/>
          <c:showPercent val="0"/>
          <c:showBubbleSize val="0"/>
        </c:dLbls>
        <c:gapWidth val="132"/>
        <c:axId val="98151424"/>
        <c:axId val="98157312"/>
      </c:barChart>
      <c:catAx>
        <c:axId val="98151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ES"/>
          </a:p>
        </c:txPr>
        <c:crossAx val="98157312"/>
        <c:crosses val="autoZero"/>
        <c:auto val="1"/>
        <c:lblAlgn val="ctr"/>
        <c:lblOffset val="100"/>
        <c:noMultiLvlLbl val="0"/>
      </c:catAx>
      <c:valAx>
        <c:axId val="98157312"/>
        <c:scaling>
          <c:orientation val="minMax"/>
          <c:max val="900"/>
          <c:min val="-7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8151424"/>
        <c:crosses val="autoZero"/>
        <c:crossBetween val="between"/>
        <c:majorUnit val="3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74569545143490723"/>
          <c:y val="0.80769947506561668"/>
          <c:w val="0.16867545022218758"/>
          <c:h val="0.131189413823272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7322178477690293"/>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BC5D-4EB4-B0E8-50411B557D7B}"/>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BC5D-4EB4-B0E8-50411B557D7B}"/>
              </c:ext>
            </c:extLst>
          </c:dPt>
          <c:dLbls>
            <c:dLbl>
              <c:idx val="3"/>
              <c:layout>
                <c:manualLayout>
                  <c:x val="-8.0109772984700854E-17"/>
                  <c:y val="0.1035210221363838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5D-4EB4-B0E8-50411B557D7B}"/>
                </c:ext>
              </c:extLst>
            </c:dLbl>
            <c:dLbl>
              <c:idx val="4"/>
              <c:layout>
                <c:manualLayout>
                  <c:x val="4.3696744592526251E-3"/>
                  <c:y val="0.116312835375910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5D-4EB4-B0E8-50411B557D7B}"/>
                </c:ext>
              </c:extLst>
            </c:dLbl>
            <c:dLbl>
              <c:idx val="5"/>
              <c:layout>
                <c:manualLayout>
                  <c:x val="-1.6021954596940171E-16"/>
                  <c:y val="0.103613687240166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5D-4EB4-B0E8-50411B557D7B}"/>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19.723965959667716</c:v>
                </c:pt>
                <c:pt idx="1">
                  <c:v>18.648771189756864</c:v>
                </c:pt>
                <c:pt idx="2">
                  <c:v>19.007197266253684</c:v>
                </c:pt>
                <c:pt idx="3">
                  <c:v>19.78133515498935</c:v>
                </c:pt>
                <c:pt idx="4">
                  <c:v>20.201955286610442</c:v>
                </c:pt>
                <c:pt idx="5">
                  <c:v>16.801612666983406</c:v>
                </c:pt>
                <c:pt idx="6">
                  <c:v>19.146342407476101</c:v>
                </c:pt>
              </c:numCache>
            </c:numRef>
          </c:val>
          <c:extLst xmlns:c16r2="http://schemas.microsoft.com/office/drawing/2015/06/chart">
            <c:ext xmlns:c16="http://schemas.microsoft.com/office/drawing/2014/chart" uri="{C3380CC4-5D6E-409C-BE32-E72D297353CC}">
              <c16:uniqueId val="{00000006-BC5D-4EB4-B0E8-50411B557D7B}"/>
            </c:ext>
          </c:extLst>
        </c:ser>
        <c:dLbls>
          <c:showLegendKey val="0"/>
          <c:showVal val="0"/>
          <c:showCatName val="0"/>
          <c:showSerName val="0"/>
          <c:showPercent val="0"/>
          <c:showBubbleSize val="0"/>
        </c:dLbls>
        <c:gapWidth val="50"/>
        <c:overlap val="-27"/>
        <c:axId val="98009472"/>
        <c:axId val="9801100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3.675430401708260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BC5D-4EB4-B0E8-50411B557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19.472644971455612</c:v>
                </c:pt>
                <c:pt idx="1">
                  <c:v>19.472644971455612</c:v>
                </c:pt>
                <c:pt idx="2">
                  <c:v>19.472644971455612</c:v>
                </c:pt>
                <c:pt idx="3">
                  <c:v>19.472644971455612</c:v>
                </c:pt>
                <c:pt idx="4">
                  <c:v>19.472644971455612</c:v>
                </c:pt>
              </c:numCache>
            </c:numRef>
          </c:val>
          <c:smooth val="0"/>
          <c:extLst xmlns:c16r2="http://schemas.microsoft.com/office/drawing/2015/06/chart">
            <c:ext xmlns:c16="http://schemas.microsoft.com/office/drawing/2014/chart" uri="{C3380CC4-5D6E-409C-BE32-E72D297353CC}">
              <c16:uniqueId val="{00000008-BC5D-4EB4-B0E8-50411B557D7B}"/>
            </c:ext>
          </c:extLst>
        </c:ser>
        <c:dLbls>
          <c:showLegendKey val="0"/>
          <c:showVal val="0"/>
          <c:showCatName val="0"/>
          <c:showSerName val="0"/>
          <c:showPercent val="0"/>
          <c:showBubbleSize val="0"/>
        </c:dLbls>
        <c:marker val="1"/>
        <c:smooth val="0"/>
        <c:axId val="98009472"/>
        <c:axId val="98011008"/>
      </c:lineChart>
      <c:catAx>
        <c:axId val="980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8011008"/>
        <c:crosses val="autoZero"/>
        <c:auto val="1"/>
        <c:lblAlgn val="ctr"/>
        <c:lblOffset val="100"/>
        <c:noMultiLvlLbl val="0"/>
      </c:catAx>
      <c:valAx>
        <c:axId val="98011008"/>
        <c:scaling>
          <c:orientation val="minMax"/>
          <c:max val="21.5"/>
          <c:min val="1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800947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3622203728598963"/>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spPr>
              <a:solidFill>
                <a:srgbClr val="C0000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22F1-4090-8BA1-5527B72E8285}"/>
              </c:ext>
            </c:extLst>
          </c:dPt>
          <c:dPt>
            <c:idx val="8"/>
            <c:invertIfNegative val="0"/>
            <c:bubble3D val="0"/>
            <c:extLst xmlns:c16r2="http://schemas.microsoft.com/office/drawing/2015/06/chart">
              <c:ext xmlns:c16="http://schemas.microsoft.com/office/drawing/2014/chart" uri="{C3380CC4-5D6E-409C-BE32-E72D297353CC}">
                <c16:uniqueId val="{00000003-22F1-4090-8BA1-5527B72E8285}"/>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22F1-4090-8BA1-5527B72E8285}"/>
              </c:ext>
            </c:extLst>
          </c:dPt>
          <c:dPt>
            <c:idx val="12"/>
            <c:invertIfNegative val="0"/>
            <c:bubble3D val="0"/>
            <c:spPr>
              <a:solidFill>
                <a:srgbClr val="FF7C8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22F1-4090-8BA1-5527B72E8285}"/>
              </c:ext>
            </c:extLst>
          </c:dPt>
          <c:dPt>
            <c:idx val="1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22F1-4090-8BA1-5527B72E8285}"/>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22F1-4090-8BA1-5527B72E8285}"/>
              </c:ext>
            </c:extLst>
          </c:dPt>
          <c:dLbls>
            <c:dLbl>
              <c:idx val="19"/>
              <c:layout>
                <c:manualLayout>
                  <c:x val="-1.3295143311980156E-3"/>
                  <c:y val="-4.1402713522016234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2F1-4090-8BA1-5527B72E828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Hoja1!$A$2:$A$21</c:f>
              <c:strCache>
                <c:ptCount val="20"/>
                <c:pt idx="0">
                  <c:v>Desarrollo</c:v>
                </c:pt>
                <c:pt idx="1">
                  <c:v>Economía</c:v>
                </c:pt>
                <c:pt idx="2">
                  <c:v>Agricultura</c:v>
                </c:pt>
                <c:pt idx="3">
                  <c:v>Cultura</c:v>
                </c:pt>
                <c:pt idx="4">
                  <c:v>Comunicaciones</c:v>
                </c:pt>
                <c:pt idx="5">
                  <c:v>Secretarías</c:v>
                </c:pt>
                <c:pt idx="6">
                  <c:v>Obligaciones </c:v>
                </c:pt>
                <c:pt idx="7">
                  <c:v>Total</c:v>
                </c:pt>
                <c:pt idx="8">
                  <c:v>Salud Pública </c:v>
                </c:pt>
                <c:pt idx="9">
                  <c:v>Presidencia</c:v>
                </c:pt>
                <c:pt idx="10">
                  <c:v>Finanzas</c:v>
                </c:pt>
                <c:pt idx="11">
                  <c:v>Deuda Pública</c:v>
                </c:pt>
                <c:pt idx="12">
                  <c:v>MINREX</c:v>
                </c:pt>
                <c:pt idx="13">
                  <c:v>Energía</c:v>
                </c:pt>
                <c:pt idx="14">
                  <c:v>Defensa </c:v>
                </c:pt>
                <c:pt idx="15">
                  <c:v>Trabajo </c:v>
                </c:pt>
                <c:pt idx="16">
                  <c:v>Ambiente </c:v>
                </c:pt>
                <c:pt idx="17">
                  <c:v>Gobernación</c:v>
                </c:pt>
                <c:pt idx="18">
                  <c:v>Educación </c:v>
                </c:pt>
                <c:pt idx="19">
                  <c:v>PGN</c:v>
                </c:pt>
              </c:strCache>
            </c:strRef>
          </c:cat>
          <c:val>
            <c:numRef>
              <c:f>Hoja1!$B$2:$B$21</c:f>
              <c:numCache>
                <c:formatCode>0.0</c:formatCode>
                <c:ptCount val="20"/>
                <c:pt idx="0">
                  <c:v>1.3480024689470782</c:v>
                </c:pt>
                <c:pt idx="1">
                  <c:v>1.8636928519297218</c:v>
                </c:pt>
                <c:pt idx="2">
                  <c:v>10.273719101034493</c:v>
                </c:pt>
                <c:pt idx="3">
                  <c:v>11.708293306622105</c:v>
                </c:pt>
                <c:pt idx="4">
                  <c:v>11.797269536458041</c:v>
                </c:pt>
                <c:pt idx="5">
                  <c:v>14.523480714879414</c:v>
                </c:pt>
                <c:pt idx="6">
                  <c:v>16.516613198195628</c:v>
                </c:pt>
                <c:pt idx="7">
                  <c:v>16.801612666983406</c:v>
                </c:pt>
                <c:pt idx="8">
                  <c:v>16.960588839650505</c:v>
                </c:pt>
                <c:pt idx="9">
                  <c:v>17.792020619047623</c:v>
                </c:pt>
                <c:pt idx="10">
                  <c:v>17.822398455041448</c:v>
                </c:pt>
                <c:pt idx="11">
                  <c:v>18.235618690301823</c:v>
                </c:pt>
                <c:pt idx="12">
                  <c:v>18.394443842260504</c:v>
                </c:pt>
                <c:pt idx="13">
                  <c:v>18.438399236961676</c:v>
                </c:pt>
                <c:pt idx="14">
                  <c:v>19.013266758102809</c:v>
                </c:pt>
                <c:pt idx="15">
                  <c:v>20.234406239560425</c:v>
                </c:pt>
                <c:pt idx="16">
                  <c:v>21.140733925709437</c:v>
                </c:pt>
                <c:pt idx="17">
                  <c:v>23.443645881580956</c:v>
                </c:pt>
                <c:pt idx="18">
                  <c:v>23.710563340184297</c:v>
                </c:pt>
                <c:pt idx="19">
                  <c:v>28.101806964025144</c:v>
                </c:pt>
              </c:numCache>
            </c:numRef>
          </c:val>
          <c:extLst xmlns:c16r2="http://schemas.microsoft.com/office/drawing/2015/06/chart">
            <c:ext xmlns:c16="http://schemas.microsoft.com/office/drawing/2014/chart" uri="{C3380CC4-5D6E-409C-BE32-E72D297353CC}">
              <c16:uniqueId val="{0000000D-22F1-4090-8BA1-5527B72E8285}"/>
            </c:ext>
          </c:extLst>
        </c:ser>
        <c:dLbls>
          <c:showLegendKey val="0"/>
          <c:showVal val="0"/>
          <c:showCatName val="0"/>
          <c:showSerName val="0"/>
          <c:showPercent val="0"/>
          <c:showBubbleSize val="0"/>
        </c:dLbls>
        <c:gapWidth val="100"/>
        <c:axId val="98126848"/>
        <c:axId val="98239232"/>
      </c:barChart>
      <c:catAx>
        <c:axId val="9812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8239232"/>
        <c:crosses val="autoZero"/>
        <c:auto val="1"/>
        <c:lblAlgn val="ctr"/>
        <c:lblOffset val="100"/>
        <c:noMultiLvlLbl val="0"/>
      </c:catAx>
      <c:valAx>
        <c:axId val="98239232"/>
        <c:scaling>
          <c:orientation val="minMax"/>
          <c:max val="3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98126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8.0389878449659807E-2"/>
                  <c:y val="2.4150033571384903E-2"/>
                </c:manualLayout>
              </c:layout>
              <c:spPr/>
              <c:txPr>
                <a:bodyPr/>
                <a:lstStyle/>
                <a:p>
                  <a:pPr>
                    <a:defRPr sz="1000" b="1">
                      <a:solidFill>
                        <a:schemeClr val="bg1"/>
                      </a:solidFill>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8815466027911557"/>
                      <c:h val="0.36367209912714399"/>
                    </c:manualLayout>
                  </c15:layout>
                </c:ext>
                <c:ext xmlns:c16="http://schemas.microsoft.com/office/drawing/2014/chart" uri="{C3380CC4-5D6E-409C-BE32-E72D297353CC}">
                  <c16:uniqueId val="{00000000-4E3E-4D54-A8C2-858D50C5AFA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3E-4D54-A8C2-858D50C5AFA6}"/>
                </c:ext>
              </c:extLst>
            </c:dLbl>
            <c:dLbl>
              <c:idx val="2"/>
              <c:layout>
                <c:manualLayout>
                  <c:x val="-2.1964522802222441E-2"/>
                  <c:y val="-1.871972646520861E-2"/>
                </c:manualLayout>
              </c:layout>
              <c:spPr/>
              <c:txPr>
                <a:bodyPr/>
                <a:lstStyle/>
                <a:p>
                  <a:pPr>
                    <a:defRPr sz="800" b="1"/>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8031108527541437"/>
                      <c:h val="0.29298909751665658"/>
                    </c:manualLayout>
                  </c15:layout>
                </c:ext>
                <c:ext xmlns:c16="http://schemas.microsoft.com/office/drawing/2014/chart" uri="{C3380CC4-5D6E-409C-BE32-E72D297353CC}">
                  <c16:uniqueId val="{00000002-4E3E-4D54-A8C2-858D50C5AFA6}"/>
                </c:ext>
              </c:extLst>
            </c:dLbl>
            <c:dLbl>
              <c:idx val="3"/>
              <c:layout>
                <c:manualLayout>
                  <c:x val="-2.9260582194452801E-2"/>
                  <c:y val="8.3399195004311144E-2"/>
                </c:manualLayout>
              </c:layout>
              <c:spPr>
                <a:noFill/>
                <a:ln>
                  <a:noFill/>
                </a:ln>
                <a:effectLst/>
              </c:spPr>
              <c:txPr>
                <a:bodyPr/>
                <a:lstStyle/>
                <a:p>
                  <a:pPr>
                    <a:defRPr sz="700" b="1"/>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0635187591842277"/>
                      <c:h val="0.20207532198010134"/>
                    </c:manualLayout>
                  </c15:layout>
                </c:ext>
                <c:ext xmlns:c16="http://schemas.microsoft.com/office/drawing/2014/chart" uri="{C3380CC4-5D6E-409C-BE32-E72D297353CC}">
                  <c16:uniqueId val="{00000003-4E3E-4D54-A8C2-858D50C5AFA6}"/>
                </c:ext>
              </c:extLst>
            </c:dLbl>
            <c:dLbl>
              <c:idx val="4"/>
              <c:layout>
                <c:manualLayout>
                  <c:x val="-0.26906656802127921"/>
                  <c:y val="-1.5086635805139742E-2"/>
                </c:manualLayout>
              </c:layout>
              <c:tx>
                <c:rich>
                  <a:bodyPr/>
                  <a:lstStyle/>
                  <a:p>
                    <a:pPr>
                      <a:defRPr sz="900" b="1"/>
                    </a:pPr>
                    <a:r>
                      <a:rPr lang="en-US" sz="900" b="1"/>
                      <a:t>Colocado</a:t>
                    </a:r>
                    <a:r>
                      <a:rPr lang="en-US" sz="900" b="1" baseline="0"/>
                      <a:t>; </a:t>
                    </a:r>
                    <a:fld id="{B1725B05-51F7-4F5A-AE6D-1738DF120E59}" type="VALUE">
                      <a:rPr lang="en-US" sz="900" b="1" baseline="0"/>
                      <a:pPr>
                        <a:defRPr sz="900" b="1"/>
                      </a:pPr>
                      <a:t>[VALOR]</a:t>
                    </a:fld>
                    <a:r>
                      <a:rPr lang="en-US" sz="900" b="1" baseline="0"/>
                      <a:t>; </a:t>
                    </a:r>
                    <a:fld id="{4BB50BCE-B587-4D53-B6A5-0BF47E776F3A}" type="PERCENTAGE">
                      <a:rPr lang="en-US" sz="900" b="1" baseline="0"/>
                      <a:pPr>
                        <a:defRPr sz="900" b="1"/>
                      </a:pPr>
                      <a:t>[PORCENTAJE]</a:t>
                    </a:fld>
                    <a:endParaRPr lang="en-US" sz="900" b="1"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0425055928411632"/>
                      <c:h val="0.33653846153846156"/>
                    </c:manualLayout>
                  </c15:layout>
                  <c15:dlblFieldTable/>
                  <c15:showDataLabelsRange val="0"/>
                </c:ext>
                <c:ext xmlns:c16="http://schemas.microsoft.com/office/drawing/2014/chart" uri="{C3380CC4-5D6E-409C-BE32-E72D297353CC}">
                  <c16:uniqueId val="{00000004-4E3E-4D54-A8C2-858D50C5AFA6}"/>
                </c:ext>
              </c:extLst>
            </c:dLbl>
            <c:spPr>
              <a:noFill/>
              <a:ln>
                <a:noFill/>
              </a:ln>
              <a:effectLst/>
            </c:spPr>
            <c:txPr>
              <a:bodyPr wrap="square" lIns="38100" tIns="19050" rIns="38100" bIns="19050" anchor="ctr">
                <a:spAutoFit/>
              </a:bodyPr>
              <a:lstStyle/>
              <a:p>
                <a:pPr>
                  <a:defRPr sz="700"/>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'Bonos Dash'!$Q$79:$Q$82</c:f>
              <c:strCache>
                <c:ptCount val="4"/>
                <c:pt idx="0">
                  <c:v>Por Colocar</c:v>
                </c:pt>
                <c:pt idx="1">
                  <c:v>Colocado</c:v>
                </c:pt>
                <c:pt idx="2">
                  <c:v>Nuevo Endeudamiento</c:v>
                </c:pt>
                <c:pt idx="3">
                  <c:v>Roll Over</c:v>
                </c:pt>
              </c:strCache>
            </c:strRef>
          </c:cat>
          <c:val>
            <c:numRef>
              <c:f>'Bonos Dash'!$R$79:$R$82</c:f>
              <c:numCache>
                <c:formatCode>General</c:formatCode>
                <c:ptCount val="4"/>
                <c:pt idx="0" formatCode="#,##0.0">
                  <c:v>18247.760000000002</c:v>
                </c:pt>
                <c:pt idx="2" formatCode="#,##0.0">
                  <c:v>5713.77</c:v>
                </c:pt>
                <c:pt idx="3" formatCode="#,##0.0">
                  <c:v>516.94000000000005</c:v>
                </c:pt>
              </c:numCache>
            </c:numRef>
          </c:val>
          <c:extLst xmlns:c16r2="http://schemas.microsoft.com/office/drawing/2015/06/chart">
            <c:ext xmlns:c16="http://schemas.microsoft.com/office/drawing/2014/chart" uri="{C3380CC4-5D6E-409C-BE32-E72D297353CC}">
              <c16:uniqueId val="{00000005-4E3E-4D54-A8C2-858D50C5AFA6}"/>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CF3F3-39B4-4393-8B16-8C394587D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3251</Words>
  <Characters>17881</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dcterms:created xsi:type="dcterms:W3CDTF">2021-04-22T00:16:00Z</dcterms:created>
  <dcterms:modified xsi:type="dcterms:W3CDTF">2021-04-22T00:16:00Z</dcterms:modified>
</cp:coreProperties>
</file>