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651" w:rsidRPr="009A0CF4"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7D4651" w:rsidRPr="009A0CF4" w:rsidSect="00754057">
          <w:headerReference w:type="default" r:id="rId8"/>
          <w:footerReference w:type="default" r:id="rId9"/>
          <w:pgSz w:w="12240" w:h="15840" w:code="1"/>
          <w:pgMar w:top="1418" w:right="1418" w:bottom="1418" w:left="1418" w:header="709" w:footer="709" w:gutter="0"/>
          <w:cols w:space="708"/>
          <w:docGrid w:linePitch="360"/>
        </w:sectPr>
      </w:pPr>
      <w:bookmarkStart w:id="0" w:name="_GoBack"/>
      <w:bookmarkEnd w:id="0"/>
      <w:r w:rsidRPr="009A0CF4">
        <w:rPr>
          <w:rFonts w:ascii="Times New Roman" w:hAnsi="Times New Roman" w:cs="Times New Roman"/>
          <w:b/>
          <w:color w:val="000000" w:themeColor="text1"/>
          <w:lang w:val="es-MX"/>
        </w:rPr>
        <w:t xml:space="preserve">En </w:t>
      </w:r>
      <w:r w:rsidR="009A0CF4" w:rsidRPr="009A0CF4">
        <w:rPr>
          <w:rFonts w:ascii="Times New Roman" w:hAnsi="Times New Roman" w:cs="Times New Roman"/>
          <w:b/>
          <w:color w:val="000000" w:themeColor="text1"/>
          <w:lang w:val="es-MX"/>
        </w:rPr>
        <w:t>marzo</w:t>
      </w:r>
      <w:r w:rsidR="003D7EBA" w:rsidRPr="009A0CF4">
        <w:rPr>
          <w:rFonts w:ascii="Times New Roman" w:hAnsi="Times New Roman" w:cs="Times New Roman"/>
          <w:b/>
          <w:color w:val="000000" w:themeColor="text1"/>
          <w:lang w:val="es-MX"/>
        </w:rPr>
        <w:t xml:space="preserve"> </w:t>
      </w:r>
      <w:r w:rsidR="00E37543" w:rsidRPr="009A0CF4">
        <w:rPr>
          <w:rFonts w:ascii="Times New Roman" w:hAnsi="Times New Roman" w:cs="Times New Roman"/>
          <w:b/>
          <w:color w:val="000000" w:themeColor="text1"/>
          <w:lang w:val="es-MX"/>
        </w:rPr>
        <w:t xml:space="preserve">se reporta </w:t>
      </w:r>
      <w:r w:rsidR="009A0CF4" w:rsidRPr="009A0CF4">
        <w:rPr>
          <w:rFonts w:ascii="Times New Roman" w:hAnsi="Times New Roman" w:cs="Times New Roman"/>
          <w:b/>
          <w:color w:val="000000" w:themeColor="text1"/>
          <w:lang w:val="es-MX"/>
        </w:rPr>
        <w:t>déficit</w:t>
      </w:r>
      <w:r w:rsidR="00E37543" w:rsidRPr="009A0CF4">
        <w:rPr>
          <w:rFonts w:ascii="Times New Roman" w:hAnsi="Times New Roman" w:cs="Times New Roman"/>
          <w:b/>
          <w:color w:val="000000" w:themeColor="text1"/>
          <w:lang w:val="es-MX"/>
        </w:rPr>
        <w:t xml:space="preserve"> </w:t>
      </w:r>
      <w:r w:rsidR="004B799B" w:rsidRPr="009A0CF4">
        <w:rPr>
          <w:rFonts w:ascii="Times New Roman" w:hAnsi="Times New Roman" w:cs="Times New Roman"/>
          <w:b/>
          <w:color w:val="000000" w:themeColor="text1"/>
          <w:lang w:val="es-MX"/>
        </w:rPr>
        <w:t>fiscal</w:t>
      </w:r>
    </w:p>
    <w:p w:rsidR="007D4651" w:rsidRPr="008F3134" w:rsidRDefault="007D4651" w:rsidP="007D4651">
      <w:pPr>
        <w:pStyle w:val="Sinespaciado"/>
        <w:rPr>
          <w:rFonts w:ascii="Times New Roman" w:hAnsi="Times New Roman" w:cs="Times New Roman"/>
          <w:b/>
          <w:color w:val="FF0000"/>
          <w:sz w:val="6"/>
          <w:lang w:val="es-MX"/>
        </w:rPr>
      </w:pPr>
    </w:p>
    <w:p w:rsidR="007D4651" w:rsidRPr="008F3134" w:rsidRDefault="007D4651" w:rsidP="007D4651">
      <w:pPr>
        <w:pStyle w:val="Sinespaciado"/>
        <w:jc w:val="center"/>
        <w:rPr>
          <w:rFonts w:ascii="Times New Roman" w:hAnsi="Times New Roman" w:cs="Times New Roman"/>
          <w:b/>
          <w:color w:val="FF0000"/>
          <w:sz w:val="16"/>
          <w:lang w:val="es-MX"/>
        </w:rPr>
      </w:pPr>
    </w:p>
    <w:p w:rsidR="009C4027" w:rsidRPr="008F3134" w:rsidRDefault="009C4027" w:rsidP="007D4651">
      <w:pPr>
        <w:pStyle w:val="Sinespaciado"/>
        <w:jc w:val="center"/>
        <w:rPr>
          <w:rFonts w:ascii="Times New Roman" w:hAnsi="Times New Roman" w:cs="Times New Roman"/>
          <w:b/>
          <w:color w:val="FF0000"/>
          <w:lang w:val="es-MX"/>
        </w:rPr>
        <w:sectPr w:rsidR="009C4027" w:rsidRPr="008F3134" w:rsidSect="004E358C">
          <w:type w:val="continuous"/>
          <w:pgSz w:w="12240" w:h="15840"/>
          <w:pgMar w:top="1417" w:right="1701" w:bottom="1417" w:left="1701" w:header="708" w:footer="708" w:gutter="0"/>
          <w:cols w:space="708"/>
          <w:docGrid w:linePitch="360"/>
        </w:sectPr>
      </w:pPr>
    </w:p>
    <w:p w:rsidR="009A0CF4" w:rsidRPr="009A0CF4" w:rsidRDefault="009A0CF4" w:rsidP="009A0CF4">
      <w:pPr>
        <w:pStyle w:val="Sinespaciado"/>
        <w:jc w:val="both"/>
        <w:rPr>
          <w:rFonts w:ascii="Times New Roman" w:hAnsi="Times New Roman" w:cs="Times New Roman"/>
          <w:color w:val="000000" w:themeColor="text1"/>
          <w:lang w:val="es-MX"/>
        </w:rPr>
      </w:pPr>
      <w:r w:rsidRPr="009A0CF4">
        <w:rPr>
          <w:rFonts w:ascii="Times New Roman" w:hAnsi="Times New Roman" w:cs="Times New Roman"/>
          <w:color w:val="000000" w:themeColor="text1"/>
          <w:lang w:val="es-MX"/>
        </w:rPr>
        <w:t xml:space="preserve">El resultado presupuestario del gobierno muestra, un déficit fiscal que se sitúa al 31 de marzo de 2020 en Q1,411.4 millones. En el año 2017 y 2018 se reportó superávit fiscal y en 2019 se reportó también déficit fiscal a marzo. </w:t>
      </w:r>
    </w:p>
    <w:p w:rsidR="009A0CF4" w:rsidRPr="009A0CF4" w:rsidRDefault="009A0CF4" w:rsidP="009A0CF4">
      <w:pPr>
        <w:pStyle w:val="Sinespaciado"/>
        <w:jc w:val="both"/>
        <w:rPr>
          <w:rFonts w:ascii="Times New Roman" w:hAnsi="Times New Roman" w:cs="Times New Roman"/>
          <w:color w:val="000000" w:themeColor="text1"/>
          <w:lang w:val="es-MX"/>
        </w:rPr>
      </w:pPr>
    </w:p>
    <w:p w:rsidR="009A0CF4" w:rsidRPr="009A0CF4" w:rsidRDefault="009A0CF4" w:rsidP="009A0CF4">
      <w:pPr>
        <w:pStyle w:val="Sinespaciado"/>
        <w:jc w:val="both"/>
        <w:rPr>
          <w:rFonts w:ascii="Times New Roman" w:hAnsi="Times New Roman" w:cs="Times New Roman"/>
          <w:color w:val="000000" w:themeColor="text1"/>
          <w:lang w:val="es-MX"/>
        </w:rPr>
      </w:pPr>
      <w:r w:rsidRPr="009A0CF4">
        <w:rPr>
          <w:rFonts w:ascii="Times New Roman" w:hAnsi="Times New Roman" w:cs="Times New Roman"/>
          <w:color w:val="000000" w:themeColor="text1"/>
          <w:lang w:val="es-MX"/>
        </w:rPr>
        <w:t xml:space="preserve">El déficit fiscal se ampliará en los próximos meses explicado por un bajo nivel de recaudación tributaria, derivado de la declaratoria del estado de calamidad pública en todo el territorio nacional como consecuencia de la emergencia sanitaria ocasionada por la enfermedad COVID-19 y su combate, las actividades productivas se han visto afectadas y con ello el pago de varios impuestos relacionados a las mismas. </w:t>
      </w:r>
    </w:p>
    <w:p w:rsidR="009A0CF4" w:rsidRPr="009A0CF4" w:rsidRDefault="009A0CF4" w:rsidP="009A0CF4">
      <w:pPr>
        <w:pStyle w:val="Sinespaciado"/>
        <w:jc w:val="both"/>
        <w:rPr>
          <w:rFonts w:ascii="Times New Roman" w:hAnsi="Times New Roman" w:cs="Times New Roman"/>
          <w:color w:val="000000" w:themeColor="text1"/>
          <w:lang w:val="es-MX"/>
        </w:rPr>
      </w:pPr>
    </w:p>
    <w:p w:rsidR="009A0CF4" w:rsidRPr="009A0CF4" w:rsidRDefault="009A0CF4" w:rsidP="009A0CF4">
      <w:pPr>
        <w:pStyle w:val="Sinespaciado"/>
        <w:jc w:val="both"/>
        <w:rPr>
          <w:rFonts w:ascii="Times New Roman" w:hAnsi="Times New Roman" w:cs="Times New Roman"/>
          <w:color w:val="000000" w:themeColor="text1"/>
          <w:lang w:val="es-MX"/>
        </w:rPr>
      </w:pPr>
      <w:r w:rsidRPr="009A0CF4">
        <w:rPr>
          <w:rFonts w:ascii="Times New Roman" w:hAnsi="Times New Roman" w:cs="Times New Roman"/>
          <w:color w:val="000000" w:themeColor="text1"/>
          <w:lang w:val="es-MX"/>
        </w:rPr>
        <w:t xml:space="preserve">Adicionalmente, en la resolución número SAT-DSI-280-2020 la Superintendencia de Administración Tributaria (SAT) declaró varios </w:t>
      </w:r>
      <w:r w:rsidRPr="009A0CF4">
        <w:rPr>
          <w:rFonts w:ascii="Times New Roman" w:hAnsi="Times New Roman" w:cs="Times New Roman"/>
          <w:color w:val="000000" w:themeColor="text1"/>
          <w:lang w:val="es-MX"/>
        </w:rPr>
        <w:t xml:space="preserve">días de marzo y abril como inhábiles para los efectos del cómputo de plazos establecidos en la legislación tributaria, por ello el cumplimiento de las obligaciones tributarias de los contribuyentes se difirió y dada la situación de emergencia actual, es posible que varios contribuyentes incumplieran en el pago de sus obligaciones tributarias. </w:t>
      </w:r>
    </w:p>
    <w:p w:rsidR="009A0CF4" w:rsidRPr="009A0CF4" w:rsidRDefault="009A0CF4" w:rsidP="009A0CF4">
      <w:pPr>
        <w:pStyle w:val="Sinespaciado"/>
        <w:jc w:val="both"/>
        <w:rPr>
          <w:rFonts w:ascii="Times New Roman" w:hAnsi="Times New Roman" w:cs="Times New Roman"/>
          <w:color w:val="000000" w:themeColor="text1"/>
          <w:lang w:val="es-MX"/>
        </w:rPr>
      </w:pPr>
    </w:p>
    <w:p w:rsidR="009453FD" w:rsidRPr="008F3134" w:rsidRDefault="009A0CF4" w:rsidP="009A0CF4">
      <w:pPr>
        <w:pStyle w:val="Sinespaciado"/>
        <w:jc w:val="both"/>
        <w:rPr>
          <w:rFonts w:ascii="Times New Roman" w:hAnsi="Times New Roman" w:cs="Times New Roman"/>
          <w:color w:val="FF0000"/>
          <w:lang w:val="es-MX"/>
        </w:rPr>
      </w:pPr>
      <w:r w:rsidRPr="009A0CF4">
        <w:rPr>
          <w:rFonts w:ascii="Times New Roman" w:hAnsi="Times New Roman" w:cs="Times New Roman"/>
          <w:color w:val="000000" w:themeColor="text1"/>
          <w:lang w:val="es-MX"/>
        </w:rPr>
        <w:t>Por su parte, el gasto público mostró un desempeño positivo, mayor al observado en febrero, pero menor al de enero, siendo el crecimiento interanual de 2.4%. La ejecución de marzo del presente ejercicio fiscal fue mayor en Q385.5 millones a la observada en el mismo mes del año previo.</w:t>
      </w:r>
      <w:r w:rsidR="009453FD" w:rsidRPr="008F3134">
        <w:rPr>
          <w:rFonts w:ascii="Times New Roman" w:hAnsi="Times New Roman" w:cs="Times New Roman"/>
          <w:color w:val="FF0000"/>
          <w:lang w:val="es-MX"/>
        </w:rPr>
        <w:t xml:space="preserve"> </w:t>
      </w:r>
    </w:p>
    <w:p w:rsidR="00634664" w:rsidRPr="008F3134" w:rsidRDefault="00634664" w:rsidP="00634664">
      <w:pPr>
        <w:pStyle w:val="Sinespaciado"/>
        <w:jc w:val="both"/>
        <w:rPr>
          <w:rFonts w:ascii="Times New Roman" w:hAnsi="Times New Roman" w:cs="Times New Roman"/>
          <w:color w:val="FF0000"/>
          <w:lang w:val="es-MX"/>
        </w:rPr>
      </w:pPr>
      <w:r w:rsidRPr="008F3134">
        <w:rPr>
          <w:rFonts w:ascii="Times New Roman" w:hAnsi="Times New Roman" w:cs="Times New Roman"/>
          <w:color w:val="FF0000"/>
          <w:lang w:val="es-MX"/>
        </w:rPr>
        <w:t xml:space="preserve"> </w:t>
      </w:r>
    </w:p>
    <w:p w:rsidR="009C4027" w:rsidRPr="008F3134" w:rsidRDefault="009C4027" w:rsidP="007D4651">
      <w:pPr>
        <w:pStyle w:val="Sinespaciado"/>
        <w:jc w:val="center"/>
        <w:rPr>
          <w:rFonts w:ascii="Times New Roman" w:hAnsi="Times New Roman" w:cs="Times New Roman"/>
          <w:b/>
          <w:color w:val="FF0000"/>
          <w:sz w:val="14"/>
          <w:lang w:val="es-MX"/>
        </w:rPr>
      </w:pPr>
    </w:p>
    <w:p w:rsidR="009C4027" w:rsidRPr="008F3134" w:rsidRDefault="009C4027" w:rsidP="007D4651">
      <w:pPr>
        <w:pStyle w:val="Sinespaciado"/>
        <w:jc w:val="center"/>
        <w:rPr>
          <w:rFonts w:ascii="Times New Roman" w:hAnsi="Times New Roman" w:cs="Times New Roman"/>
          <w:b/>
          <w:color w:val="FF0000"/>
          <w:lang w:val="es-MX"/>
        </w:rPr>
      </w:pPr>
    </w:p>
    <w:p w:rsidR="00E37543" w:rsidRPr="008F3134" w:rsidRDefault="00E37543" w:rsidP="007D4651">
      <w:pPr>
        <w:pStyle w:val="Sinespaciado"/>
        <w:jc w:val="center"/>
        <w:rPr>
          <w:rFonts w:ascii="Times New Roman" w:hAnsi="Times New Roman" w:cs="Times New Roman"/>
          <w:b/>
          <w:color w:val="FF0000"/>
          <w:lang w:val="es-MX"/>
        </w:rPr>
      </w:pPr>
    </w:p>
    <w:p w:rsidR="00E37543" w:rsidRPr="008F3134" w:rsidRDefault="00E37543" w:rsidP="007D4651">
      <w:pPr>
        <w:pStyle w:val="Sinespaciado"/>
        <w:jc w:val="center"/>
        <w:rPr>
          <w:rFonts w:ascii="Times New Roman" w:hAnsi="Times New Roman" w:cs="Times New Roman"/>
          <w:b/>
          <w:color w:val="FF0000"/>
          <w:lang w:val="es-MX"/>
        </w:rPr>
        <w:sectPr w:rsidR="00E37543" w:rsidRPr="008F3134" w:rsidSect="009A0CF4">
          <w:type w:val="continuous"/>
          <w:pgSz w:w="12240" w:h="15840" w:code="1"/>
          <w:pgMar w:top="1418" w:right="1418" w:bottom="1418" w:left="1701" w:header="709" w:footer="709" w:gutter="0"/>
          <w:cols w:num="2" w:space="708"/>
          <w:docGrid w:linePitch="360"/>
        </w:sectPr>
      </w:pPr>
    </w:p>
    <w:p w:rsidR="00634664" w:rsidRPr="008F3134" w:rsidRDefault="00634664" w:rsidP="005501A4">
      <w:pPr>
        <w:pStyle w:val="Sinespaciado"/>
        <w:rPr>
          <w:rFonts w:ascii="Times New Roman" w:hAnsi="Times New Roman" w:cs="Times New Roman"/>
          <w:b/>
          <w:color w:val="FF0000"/>
          <w:sz w:val="24"/>
          <w:lang w:val="es-MX"/>
        </w:rPr>
      </w:pPr>
    </w:p>
    <w:p w:rsidR="006F5EA0" w:rsidRPr="009A0CF4" w:rsidRDefault="00950874" w:rsidP="006F5EA0">
      <w:pPr>
        <w:pStyle w:val="Sinespaciado"/>
        <w:jc w:val="center"/>
        <w:rPr>
          <w:rFonts w:ascii="Times New Roman" w:hAnsi="Times New Roman" w:cs="Times New Roman"/>
          <w:b/>
          <w:color w:val="000000" w:themeColor="text1"/>
          <w:sz w:val="24"/>
          <w:lang w:val="es-MX"/>
        </w:rPr>
      </w:pPr>
      <w:r w:rsidRPr="009A0CF4">
        <w:rPr>
          <w:rFonts w:ascii="Times New Roman" w:hAnsi="Times New Roman" w:cs="Times New Roman"/>
          <w:b/>
          <w:color w:val="000000" w:themeColor="text1"/>
          <w:sz w:val="24"/>
          <w:lang w:val="es-MX"/>
        </w:rPr>
        <w:t>Resultado Presupuestario</w:t>
      </w:r>
    </w:p>
    <w:p w:rsidR="00950874" w:rsidRPr="009A0CF4" w:rsidRDefault="006F5EA0" w:rsidP="006F5EA0">
      <w:pPr>
        <w:pStyle w:val="Sinespaciado"/>
        <w:jc w:val="center"/>
        <w:rPr>
          <w:rFonts w:ascii="Times New Roman" w:hAnsi="Times New Roman" w:cs="Times New Roman"/>
          <w:color w:val="000000" w:themeColor="text1"/>
          <w:sz w:val="18"/>
          <w:lang w:val="es-MX"/>
        </w:rPr>
      </w:pPr>
      <w:r w:rsidRPr="009A0CF4">
        <w:rPr>
          <w:rFonts w:ascii="Times New Roman" w:hAnsi="Times New Roman" w:cs="Times New Roman"/>
          <w:color w:val="000000" w:themeColor="text1"/>
          <w:sz w:val="20"/>
          <w:lang w:val="es-MX"/>
        </w:rPr>
        <w:t xml:space="preserve">       </w:t>
      </w:r>
      <w:r w:rsidR="009A0CF4" w:rsidRPr="009A0CF4">
        <w:rPr>
          <w:rFonts w:ascii="Times New Roman" w:hAnsi="Times New Roman" w:cs="Times New Roman"/>
          <w:color w:val="000000" w:themeColor="text1"/>
          <w:sz w:val="20"/>
          <w:lang w:val="es-MX"/>
        </w:rPr>
        <w:t>Al 31</w:t>
      </w:r>
      <w:r w:rsidRPr="009A0CF4">
        <w:rPr>
          <w:rFonts w:ascii="Times New Roman" w:hAnsi="Times New Roman" w:cs="Times New Roman"/>
          <w:color w:val="000000" w:themeColor="text1"/>
          <w:sz w:val="20"/>
          <w:lang w:val="es-MX"/>
        </w:rPr>
        <w:t xml:space="preserve"> de </w:t>
      </w:r>
      <w:r w:rsidR="009A0CF4" w:rsidRPr="009A0CF4">
        <w:rPr>
          <w:rFonts w:ascii="Times New Roman" w:hAnsi="Times New Roman" w:cs="Times New Roman"/>
          <w:color w:val="000000" w:themeColor="text1"/>
          <w:sz w:val="20"/>
          <w:lang w:val="es-MX"/>
        </w:rPr>
        <w:t>marzo</w:t>
      </w:r>
      <w:r w:rsidRPr="009A0CF4">
        <w:rPr>
          <w:rFonts w:ascii="Times New Roman" w:hAnsi="Times New Roman" w:cs="Times New Roman"/>
          <w:color w:val="000000" w:themeColor="text1"/>
          <w:sz w:val="20"/>
          <w:lang w:val="es-MX"/>
        </w:rPr>
        <w:t xml:space="preserve"> de cada año</w:t>
      </w:r>
      <w:r w:rsidR="00F27024" w:rsidRPr="009A0CF4">
        <w:rPr>
          <w:rFonts w:ascii="Times New Roman" w:hAnsi="Times New Roman" w:cs="Times New Roman"/>
          <w:b/>
          <w:color w:val="000000" w:themeColor="text1"/>
          <w:lang w:val="es-MX"/>
        </w:rPr>
        <w:tab/>
      </w:r>
    </w:p>
    <w:p w:rsidR="00E06484" w:rsidRPr="009A0CF4" w:rsidRDefault="00950874" w:rsidP="00E06484">
      <w:pPr>
        <w:pStyle w:val="Sinespaciado"/>
        <w:jc w:val="center"/>
        <w:rPr>
          <w:rFonts w:ascii="Times New Roman" w:hAnsi="Times New Roman" w:cs="Times New Roman"/>
          <w:color w:val="000000" w:themeColor="text1"/>
          <w:sz w:val="18"/>
          <w:lang w:val="es-MX"/>
        </w:rPr>
      </w:pPr>
      <w:r w:rsidRPr="009A0CF4">
        <w:rPr>
          <w:rFonts w:ascii="Times New Roman" w:hAnsi="Times New Roman" w:cs="Times New Roman"/>
          <w:color w:val="000000" w:themeColor="text1"/>
          <w:sz w:val="18"/>
          <w:lang w:val="es-MX"/>
        </w:rPr>
        <w:t>Millones de quetzales</w:t>
      </w:r>
    </w:p>
    <w:p w:rsidR="005C4C97" w:rsidRPr="009A0CF4" w:rsidRDefault="009A0CF4" w:rsidP="005F470C">
      <w:pPr>
        <w:pStyle w:val="Sinespaciado"/>
        <w:jc w:val="center"/>
        <w:rPr>
          <w:noProof/>
          <w:color w:val="000000" w:themeColor="text1"/>
          <w:lang w:eastAsia="es-GT"/>
        </w:rPr>
      </w:pPr>
      <w:r w:rsidRPr="009A0CF4">
        <w:rPr>
          <w:noProof/>
          <w:color w:val="000000" w:themeColor="text1"/>
          <w:lang w:eastAsia="es-GT"/>
        </w:rPr>
        <w:drawing>
          <wp:inline distT="0" distB="0" distL="0" distR="0" wp14:anchorId="156560AB" wp14:editId="6D3A45E0">
            <wp:extent cx="5612130" cy="2706624"/>
            <wp:effectExtent l="0" t="0" r="7620" b="0"/>
            <wp:docPr id="18" name="Gráfico 18">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9A0CF4" w:rsidRDefault="007F443F" w:rsidP="005F470C">
      <w:pPr>
        <w:pStyle w:val="Sinespaciado"/>
        <w:jc w:val="both"/>
        <w:rPr>
          <w:rFonts w:ascii="Times New Roman" w:hAnsi="Times New Roman" w:cs="Times New Roman"/>
          <w:color w:val="000000" w:themeColor="text1"/>
          <w:sz w:val="16"/>
        </w:rPr>
      </w:pPr>
      <w:r w:rsidRPr="009A0CF4">
        <w:rPr>
          <w:rFonts w:ascii="Times New Roman" w:hAnsi="Times New Roman" w:cs="Times New Roman"/>
          <w:color w:val="000000" w:themeColor="text1"/>
          <w:sz w:val="16"/>
        </w:rPr>
        <w:t xml:space="preserve">          </w:t>
      </w:r>
      <w:r w:rsidR="00157C3A" w:rsidRPr="009A0CF4">
        <w:rPr>
          <w:rFonts w:ascii="Times New Roman" w:hAnsi="Times New Roman" w:cs="Times New Roman"/>
          <w:color w:val="000000" w:themeColor="text1"/>
          <w:sz w:val="16"/>
        </w:rPr>
        <w:t>F</w:t>
      </w:r>
      <w:r w:rsidR="007D4651" w:rsidRPr="009A0CF4">
        <w:rPr>
          <w:rFonts w:ascii="Times New Roman" w:hAnsi="Times New Roman" w:cs="Times New Roman"/>
          <w:color w:val="000000" w:themeColor="text1"/>
          <w:sz w:val="16"/>
        </w:rPr>
        <w:t>uente: Dirección de Análisis y Política fiscal</w:t>
      </w:r>
    </w:p>
    <w:p w:rsidR="005C4C97" w:rsidRDefault="005C4C97" w:rsidP="007D4651">
      <w:pPr>
        <w:spacing w:after="0" w:line="240" w:lineRule="auto"/>
        <w:rPr>
          <w:rFonts w:ascii="Times New Roman" w:hAnsi="Times New Roman" w:cs="Times New Roman"/>
          <w:color w:val="FF0000"/>
          <w:lang w:val="es-MX"/>
        </w:rPr>
      </w:pPr>
    </w:p>
    <w:p w:rsidR="005501A4" w:rsidRPr="008F3134" w:rsidRDefault="005501A4" w:rsidP="007D4651">
      <w:pPr>
        <w:spacing w:after="0" w:line="240" w:lineRule="auto"/>
        <w:rPr>
          <w:rFonts w:ascii="Times New Roman" w:hAnsi="Times New Roman" w:cs="Times New Roman"/>
          <w:color w:val="FF0000"/>
          <w:lang w:val="es-MX"/>
        </w:rPr>
        <w:sectPr w:rsidR="005501A4" w:rsidRPr="008F3134" w:rsidSect="007D4651">
          <w:type w:val="continuous"/>
          <w:pgSz w:w="12240" w:h="15840" w:code="1"/>
          <w:pgMar w:top="1418" w:right="1418" w:bottom="1418" w:left="1418" w:header="709" w:footer="709" w:gutter="0"/>
          <w:cols w:space="708"/>
          <w:docGrid w:linePitch="360"/>
        </w:sectPr>
      </w:pPr>
    </w:p>
    <w:p w:rsidR="00E16925" w:rsidRPr="00602264" w:rsidRDefault="00602264"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E16925" w:rsidRPr="00602264"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602264">
        <w:rPr>
          <w:rFonts w:ascii="Times New Roman" w:hAnsi="Times New Roman" w:cs="Times New Roman"/>
          <w:b/>
          <w:color w:val="000000" w:themeColor="text1"/>
          <w:lang w:val="es-MX"/>
        </w:rPr>
        <w:lastRenderedPageBreak/>
        <w:t>Al mes de marzo se genera</w:t>
      </w:r>
      <w:r w:rsidR="00F94C84" w:rsidRPr="00602264">
        <w:rPr>
          <w:rFonts w:ascii="Times New Roman" w:hAnsi="Times New Roman" w:cs="Times New Roman"/>
          <w:b/>
          <w:color w:val="000000" w:themeColor="text1"/>
          <w:lang w:val="es-MX"/>
        </w:rPr>
        <w:t xml:space="preserve"> brecha </w:t>
      </w:r>
      <w:r w:rsidRPr="00602264">
        <w:rPr>
          <w:rFonts w:ascii="Times New Roman" w:hAnsi="Times New Roman" w:cs="Times New Roman"/>
          <w:b/>
          <w:color w:val="000000" w:themeColor="text1"/>
          <w:lang w:val="es-MX"/>
        </w:rPr>
        <w:t>nega</w:t>
      </w:r>
      <w:r w:rsidR="00F94C84" w:rsidRPr="00602264">
        <w:rPr>
          <w:rFonts w:ascii="Times New Roman" w:hAnsi="Times New Roman" w:cs="Times New Roman"/>
          <w:b/>
          <w:color w:val="000000" w:themeColor="text1"/>
          <w:lang w:val="es-MX"/>
        </w:rPr>
        <w:t>tiva en recaudación</w:t>
      </w:r>
    </w:p>
    <w:p w:rsidR="00E16925" w:rsidRPr="008F3134" w:rsidRDefault="00E16925" w:rsidP="00E16925">
      <w:pPr>
        <w:pStyle w:val="Sinespaciado"/>
        <w:rPr>
          <w:rFonts w:ascii="Times New Roman" w:hAnsi="Times New Roman" w:cs="Times New Roman"/>
          <w:b/>
          <w:color w:val="FF0000"/>
          <w:sz w:val="8"/>
          <w:lang w:val="es-MX"/>
        </w:rPr>
      </w:pPr>
    </w:p>
    <w:p w:rsidR="00E16925" w:rsidRPr="008F3134" w:rsidRDefault="00602264" w:rsidP="00E16925">
      <w:pPr>
        <w:pStyle w:val="Sinespaciado"/>
        <w:jc w:val="center"/>
        <w:rPr>
          <w:rFonts w:ascii="Times New Roman" w:hAnsi="Times New Roman" w:cs="Times New Roman"/>
          <w:b/>
          <w:color w:val="FF0000"/>
          <w:sz w:val="24"/>
          <w:lang w:val="es-MX"/>
        </w:rPr>
      </w:pPr>
      <w:r w:rsidRPr="00B54743">
        <w:rPr>
          <w:rFonts w:ascii="Times New Roman" w:hAnsi="Times New Roman" w:cs="Times New Roman"/>
          <w:noProof/>
          <w:lang w:eastAsia="es-GT"/>
        </w:rPr>
        <mc:AlternateContent>
          <mc:Choice Requires="wps">
            <w:drawing>
              <wp:anchor distT="0" distB="0" distL="114300" distR="114300" simplePos="0" relativeHeight="251771904" behindDoc="0" locked="0" layoutInCell="1" allowOverlap="1" wp14:anchorId="46BC10CC" wp14:editId="37DD4B16">
                <wp:simplePos x="0" y="0"/>
                <wp:positionH relativeFrom="column">
                  <wp:posOffset>1242</wp:posOffset>
                </wp:positionH>
                <wp:positionV relativeFrom="paragraph">
                  <wp:posOffset>174681</wp:posOffset>
                </wp:positionV>
                <wp:extent cx="2577465" cy="659958"/>
                <wp:effectExtent l="57150" t="38100" r="70485" b="1022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65995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02264" w:rsidRPr="00B54743" w:rsidRDefault="00602264" w:rsidP="00602264">
                            <w:pPr>
                              <w:jc w:val="both"/>
                              <w:rPr>
                                <w:rFonts w:ascii="Times New Roman" w:hAnsi="Times New Roman" w:cs="Times New Roman"/>
                              </w:rPr>
                            </w:pPr>
                            <w:r w:rsidRPr="00B54743">
                              <w:rPr>
                                <w:rFonts w:ascii="Times New Roman" w:hAnsi="Times New Roman" w:cs="Times New Roman"/>
                              </w:rPr>
                              <w:t>La información de este Informe corresponde a las estadísticas consignadas en SICOIN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BC10CC" id="_x0000_t202" coordsize="21600,21600" o:spt="202" path="m,l,21600r21600,l21600,xe">
                <v:stroke joinstyle="miter"/>
                <v:path gradientshapeok="t" o:connecttype="rect"/>
              </v:shapetype>
              <v:shape id="Cuadro de texto 2" o:spid="_x0000_s1026" type="#_x0000_t202" style="position:absolute;left:0;text-align:left;margin-left:.1pt;margin-top:13.75pt;width:202.95pt;height:5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" fillcolor="#a7bfde [1620]" strokecolor="#4579b8 [3044]">
                <v:fill color2="#e4ecf5 [500]" rotate="t" angle="180" colors="0 #a3c4ff;22938f #bfd5ff;1 #e5eeff" focus="100%" type="gradient"/>
                <v:shadow on="t" color="black" opacity="24903f" origin=",.5" offset="0,.55556mm"/>
                <v:textbox>
                  <w:txbxContent>
                    <w:p w:rsidR="00602264" w:rsidRPr="00B54743" w:rsidRDefault="00602264" w:rsidP="00602264">
                      <w:pPr>
                        <w:jc w:val="both"/>
                        <w:rPr>
                          <w:rFonts w:ascii="Times New Roman" w:hAnsi="Times New Roman" w:cs="Times New Roman"/>
                        </w:rPr>
                      </w:pPr>
                      <w:r w:rsidRPr="00B54743">
                        <w:rPr>
                          <w:rFonts w:ascii="Times New Roman" w:hAnsi="Times New Roman" w:cs="Times New Roman"/>
                        </w:rPr>
                        <w:t>La información de este Informe corresponde a las estadísticas consignadas en SICOIN</w:t>
                      </w:r>
                    </w:p>
                  </w:txbxContent>
                </v:textbox>
              </v:shape>
            </w:pict>
          </mc:Fallback>
        </mc:AlternateContent>
      </w:r>
    </w:p>
    <w:p w:rsidR="00343A5D" w:rsidRPr="008F3134" w:rsidRDefault="00343A5D" w:rsidP="00F25E21">
      <w:pPr>
        <w:pStyle w:val="Sinespaciado"/>
        <w:rPr>
          <w:rFonts w:ascii="Times New Roman" w:hAnsi="Times New Roman" w:cs="Times New Roman"/>
          <w:b/>
          <w:color w:val="FF0000"/>
          <w:sz w:val="20"/>
          <w:lang w:val="es-MX"/>
        </w:rPr>
        <w:sectPr w:rsidR="00343A5D" w:rsidRPr="008F3134" w:rsidSect="004E358C">
          <w:type w:val="continuous"/>
          <w:pgSz w:w="12240" w:h="15840"/>
          <w:pgMar w:top="1417" w:right="1701" w:bottom="1417" w:left="1701" w:header="708" w:footer="708" w:gutter="0"/>
          <w:cols w:space="708"/>
          <w:docGrid w:linePitch="360"/>
        </w:sectPr>
      </w:pPr>
    </w:p>
    <w:p w:rsidR="00602264" w:rsidRDefault="00602264" w:rsidP="007570C7">
      <w:pPr>
        <w:pStyle w:val="Sinespaciado"/>
        <w:jc w:val="both"/>
        <w:rPr>
          <w:rFonts w:ascii="Times New Roman" w:hAnsi="Times New Roman" w:cs="Times New Roman"/>
          <w:color w:val="FF0000"/>
          <w:lang w:val="es-MX"/>
        </w:rPr>
      </w:pPr>
    </w:p>
    <w:p w:rsidR="00602264" w:rsidRDefault="00602264" w:rsidP="007570C7">
      <w:pPr>
        <w:pStyle w:val="Sinespaciado"/>
        <w:jc w:val="both"/>
        <w:rPr>
          <w:rFonts w:ascii="Times New Roman" w:hAnsi="Times New Roman" w:cs="Times New Roman"/>
          <w:color w:val="FF0000"/>
          <w:lang w:val="es-MX"/>
        </w:rPr>
      </w:pPr>
    </w:p>
    <w:p w:rsidR="00602264" w:rsidRDefault="00602264" w:rsidP="007570C7">
      <w:pPr>
        <w:pStyle w:val="Sinespaciado"/>
        <w:jc w:val="both"/>
        <w:rPr>
          <w:rFonts w:ascii="Times New Roman" w:hAnsi="Times New Roman" w:cs="Times New Roman"/>
          <w:color w:val="FF0000"/>
          <w:lang w:val="es-MX"/>
        </w:rPr>
      </w:pPr>
    </w:p>
    <w:p w:rsidR="00602264" w:rsidRDefault="00602264" w:rsidP="007570C7">
      <w:pPr>
        <w:pStyle w:val="Sinespaciado"/>
        <w:jc w:val="both"/>
        <w:rPr>
          <w:rFonts w:ascii="Times New Roman" w:hAnsi="Times New Roman" w:cs="Times New Roman"/>
          <w:color w:val="FF0000"/>
          <w:lang w:val="es-MX"/>
        </w:rPr>
      </w:pPr>
    </w:p>
    <w:p w:rsidR="00602264" w:rsidRDefault="00602264" w:rsidP="007570C7">
      <w:pPr>
        <w:pStyle w:val="Sinespaciado"/>
        <w:jc w:val="both"/>
        <w:rPr>
          <w:rFonts w:ascii="Times New Roman" w:hAnsi="Times New Roman" w:cs="Times New Roman"/>
          <w:color w:val="FF0000"/>
          <w:lang w:val="es-MX"/>
        </w:rPr>
      </w:pPr>
    </w:p>
    <w:p w:rsidR="00602264" w:rsidRPr="00B54743" w:rsidRDefault="00602264" w:rsidP="005501A4">
      <w:pPr>
        <w:spacing w:line="240" w:lineRule="auto"/>
        <w:jc w:val="both"/>
        <w:rPr>
          <w:rFonts w:ascii="Times New Roman" w:hAnsi="Times New Roman" w:cs="Times New Roman"/>
        </w:rPr>
      </w:pPr>
      <w:r w:rsidRPr="00B54743">
        <w:rPr>
          <w:rFonts w:ascii="Times New Roman" w:hAnsi="Times New Roman" w:cs="Times New Roman"/>
        </w:rPr>
        <w:t>La recaudación tributaria preliminar acumulada a marzo registró un nivel de Q14,497.9 millones, con una ejecución de 92.6%, respecto a la meta de presupuesto, esta diferencia obedece en gran medida a las acciones tomadas en prevención de la pandemia COVID-19.</w:t>
      </w:r>
    </w:p>
    <w:p w:rsidR="007570C7" w:rsidRPr="008F3134" w:rsidRDefault="00602264" w:rsidP="005501A4">
      <w:pPr>
        <w:pStyle w:val="Sinespaciado"/>
        <w:jc w:val="both"/>
        <w:rPr>
          <w:rFonts w:ascii="Times New Roman" w:hAnsi="Times New Roman" w:cs="Times New Roman"/>
          <w:color w:val="FF0000"/>
          <w:lang w:val="es-MX"/>
        </w:rPr>
      </w:pPr>
      <w:r w:rsidRPr="00B54743">
        <w:rPr>
          <w:rFonts w:ascii="Times New Roman" w:hAnsi="Times New Roman" w:cs="Times New Roman"/>
        </w:rPr>
        <w:t>Las acciones que se tomaron de índole tributario postergaron hasta el 14 de abril la recaudación de la liquidación anual del impuesto a la renta y el vencimiento mensual del IVA dicho corrimiento afectó el registro del mes de marzo.</w:t>
      </w:r>
      <w:r w:rsidRPr="00B54743">
        <w:rPr>
          <w:rStyle w:val="Refdenotaalpie"/>
          <w:rFonts w:ascii="Times New Roman" w:hAnsi="Times New Roman" w:cs="Times New Roman"/>
        </w:rPr>
        <w:footnoteReference w:id="1"/>
      </w:r>
    </w:p>
    <w:p w:rsidR="007570C7" w:rsidRPr="008F3134" w:rsidRDefault="007570C7" w:rsidP="007570C7">
      <w:pPr>
        <w:pStyle w:val="Sinespaciado"/>
        <w:jc w:val="both"/>
        <w:rPr>
          <w:rFonts w:ascii="Times New Roman" w:hAnsi="Times New Roman" w:cs="Times New Roman"/>
          <w:color w:val="FF0000"/>
          <w:lang w:val="es-MX"/>
        </w:rPr>
      </w:pPr>
    </w:p>
    <w:p w:rsidR="007570C7" w:rsidRPr="00602264" w:rsidRDefault="007570C7" w:rsidP="00602264">
      <w:pPr>
        <w:spacing w:after="0" w:line="240" w:lineRule="auto"/>
        <w:jc w:val="center"/>
        <w:rPr>
          <w:rFonts w:ascii="Times New Roman" w:hAnsi="Times New Roman" w:cs="Times New Roman"/>
          <w:b/>
          <w:color w:val="000000" w:themeColor="text1"/>
        </w:rPr>
      </w:pPr>
      <w:r w:rsidRPr="00602264">
        <w:rPr>
          <w:rFonts w:ascii="Times New Roman" w:hAnsi="Times New Roman" w:cs="Times New Roman"/>
          <w:b/>
          <w:color w:val="000000" w:themeColor="text1"/>
        </w:rPr>
        <w:t>Recaudación Tributaria</w:t>
      </w:r>
    </w:p>
    <w:p w:rsidR="007570C7" w:rsidRPr="00602264" w:rsidRDefault="007570C7" w:rsidP="007570C7">
      <w:pPr>
        <w:spacing w:after="0"/>
        <w:jc w:val="center"/>
        <w:rPr>
          <w:rFonts w:ascii="Times New Roman" w:hAnsi="Times New Roman" w:cs="Times New Roman"/>
          <w:color w:val="000000" w:themeColor="text1"/>
          <w:sz w:val="18"/>
        </w:rPr>
      </w:pPr>
      <w:r w:rsidRPr="00602264">
        <w:rPr>
          <w:rFonts w:ascii="Times New Roman" w:hAnsi="Times New Roman" w:cs="Times New Roman"/>
          <w:color w:val="000000" w:themeColor="text1"/>
          <w:sz w:val="18"/>
        </w:rPr>
        <w:t>Millones de quetzales</w:t>
      </w:r>
    </w:p>
    <w:p w:rsidR="007570C7" w:rsidRPr="00602264" w:rsidRDefault="00602264" w:rsidP="00602264">
      <w:pPr>
        <w:jc w:val="both"/>
        <w:rPr>
          <w:rFonts w:ascii="Times New Roman" w:hAnsi="Times New Roman" w:cs="Times New Roman"/>
          <w:color w:val="000000" w:themeColor="text1"/>
        </w:rPr>
      </w:pPr>
      <w:r w:rsidRPr="00602264">
        <w:rPr>
          <w:rFonts w:ascii="Times New Roman" w:hAnsi="Times New Roman" w:cs="Times New Roman"/>
          <w:b/>
          <w:noProof/>
          <w:color w:val="000000" w:themeColor="text1"/>
          <w:lang w:eastAsia="es-GT"/>
        </w:rPr>
        <w:drawing>
          <wp:inline distT="0" distB="0" distL="0" distR="0" wp14:anchorId="1C4E02AE" wp14:editId="77C98AE0">
            <wp:extent cx="2577465" cy="2011680"/>
            <wp:effectExtent l="0" t="0" r="0" b="762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570C7" w:rsidRPr="00602264">
        <w:rPr>
          <w:rFonts w:ascii="Times New Roman" w:hAnsi="Times New Roman" w:cs="Times New Roman"/>
          <w:color w:val="000000" w:themeColor="text1"/>
          <w:sz w:val="14"/>
        </w:rPr>
        <w:t>Fuente: Ministerio de Finanzas Públicas</w:t>
      </w:r>
      <w:r w:rsidRPr="00602264">
        <w:rPr>
          <w:rFonts w:ascii="Times New Roman" w:hAnsi="Times New Roman" w:cs="Times New Roman"/>
          <w:color w:val="000000" w:themeColor="text1"/>
          <w:sz w:val="14"/>
        </w:rPr>
        <w:t xml:space="preserve"> de acuerdo a los reportes de SICOIN.</w:t>
      </w:r>
    </w:p>
    <w:p w:rsidR="00602264" w:rsidRPr="00602264" w:rsidRDefault="00602264" w:rsidP="005501A4">
      <w:pPr>
        <w:spacing w:line="240" w:lineRule="auto"/>
        <w:jc w:val="both"/>
        <w:rPr>
          <w:rFonts w:ascii="Times New Roman" w:hAnsi="Times New Roman" w:cs="Times New Roman"/>
          <w:color w:val="000000" w:themeColor="text1"/>
        </w:rPr>
      </w:pPr>
      <w:r w:rsidRPr="00602264">
        <w:rPr>
          <w:rFonts w:ascii="Times New Roman" w:hAnsi="Times New Roman" w:cs="Times New Roman"/>
          <w:color w:val="000000" w:themeColor="text1"/>
        </w:rPr>
        <w:t xml:space="preserve">De manera interanual se observó una caída de 3.3% (Q501.2 millones). Dicha caída se ve influenciada por la vigencia de la Resolución </w:t>
      </w:r>
      <w:r w:rsidRPr="00602264">
        <w:rPr>
          <w:rFonts w:ascii="Times New Roman" w:hAnsi="Times New Roman" w:cs="Times New Roman"/>
          <w:color w:val="000000" w:themeColor="text1"/>
        </w:rPr>
        <w:t xml:space="preserve">SAT 280-2020 que declaró los días del 24 de marzo al 14 de abril inclusive como días inhábiles. </w:t>
      </w:r>
    </w:p>
    <w:p w:rsidR="007570C7" w:rsidRPr="00602264" w:rsidRDefault="00602264" w:rsidP="005501A4">
      <w:pPr>
        <w:spacing w:after="0" w:line="240" w:lineRule="auto"/>
        <w:jc w:val="both"/>
        <w:rPr>
          <w:rFonts w:ascii="Times New Roman" w:hAnsi="Times New Roman" w:cs="Times New Roman"/>
          <w:color w:val="000000" w:themeColor="text1"/>
        </w:rPr>
      </w:pPr>
      <w:r w:rsidRPr="00602264">
        <w:rPr>
          <w:rFonts w:ascii="Times New Roman" w:hAnsi="Times New Roman" w:cs="Times New Roman"/>
          <w:color w:val="000000" w:themeColor="text1"/>
        </w:rPr>
        <w:t>Los impuestos que se vieron afectados por esta disposición fueron el Impuesto sobre la Renta y el Impuesto al Valor Agregado.</w:t>
      </w:r>
    </w:p>
    <w:p w:rsidR="00532CD1" w:rsidRPr="00602264" w:rsidRDefault="00532CD1" w:rsidP="007570C7">
      <w:pPr>
        <w:spacing w:after="0" w:line="240" w:lineRule="auto"/>
        <w:jc w:val="both"/>
        <w:rPr>
          <w:rFonts w:ascii="Times New Roman" w:hAnsi="Times New Roman" w:cs="Times New Roman"/>
          <w:color w:val="000000" w:themeColor="text1"/>
        </w:rPr>
      </w:pPr>
    </w:p>
    <w:p w:rsidR="007570C7" w:rsidRPr="00602264" w:rsidRDefault="007570C7" w:rsidP="007570C7">
      <w:pPr>
        <w:spacing w:after="0" w:line="240" w:lineRule="auto"/>
        <w:jc w:val="center"/>
        <w:rPr>
          <w:rFonts w:ascii="Times New Roman" w:hAnsi="Times New Roman" w:cs="Times New Roman"/>
          <w:b/>
          <w:color w:val="000000" w:themeColor="text1"/>
        </w:rPr>
      </w:pPr>
      <w:r w:rsidRPr="00602264">
        <w:rPr>
          <w:rFonts w:ascii="Times New Roman" w:hAnsi="Times New Roman" w:cs="Times New Roman"/>
          <w:b/>
          <w:color w:val="000000" w:themeColor="text1"/>
        </w:rPr>
        <w:t>Variación interanual de la recaudación</w:t>
      </w:r>
    </w:p>
    <w:p w:rsidR="007570C7" w:rsidRPr="00602264" w:rsidRDefault="007570C7" w:rsidP="007570C7">
      <w:pPr>
        <w:spacing w:after="0" w:line="240" w:lineRule="auto"/>
        <w:jc w:val="center"/>
        <w:rPr>
          <w:rFonts w:ascii="Times New Roman" w:hAnsi="Times New Roman" w:cs="Times New Roman"/>
          <w:b/>
          <w:color w:val="000000" w:themeColor="text1"/>
        </w:rPr>
      </w:pPr>
      <w:r w:rsidRPr="00602264">
        <w:rPr>
          <w:rFonts w:ascii="Times New Roman" w:hAnsi="Times New Roman" w:cs="Times New Roman"/>
          <w:b/>
          <w:color w:val="000000" w:themeColor="text1"/>
        </w:rPr>
        <w:t>2014-2020</w:t>
      </w:r>
    </w:p>
    <w:p w:rsidR="007570C7" w:rsidRPr="00602264" w:rsidRDefault="007570C7" w:rsidP="007570C7">
      <w:pPr>
        <w:spacing w:after="0" w:line="240" w:lineRule="auto"/>
        <w:jc w:val="center"/>
        <w:rPr>
          <w:rFonts w:ascii="Times New Roman" w:hAnsi="Times New Roman" w:cs="Times New Roman"/>
          <w:color w:val="000000" w:themeColor="text1"/>
          <w:sz w:val="18"/>
        </w:rPr>
      </w:pPr>
      <w:r w:rsidRPr="00602264">
        <w:rPr>
          <w:rFonts w:ascii="Times New Roman" w:hAnsi="Times New Roman" w:cs="Times New Roman"/>
          <w:color w:val="000000" w:themeColor="text1"/>
          <w:sz w:val="18"/>
        </w:rPr>
        <w:t>Porcentajes</w:t>
      </w:r>
    </w:p>
    <w:p w:rsidR="007570C7" w:rsidRPr="00602264" w:rsidRDefault="00602264" w:rsidP="007570C7">
      <w:pPr>
        <w:spacing w:after="0" w:line="240" w:lineRule="auto"/>
        <w:jc w:val="both"/>
        <w:rPr>
          <w:rFonts w:ascii="Times New Roman" w:hAnsi="Times New Roman" w:cs="Times New Roman"/>
          <w:color w:val="000000" w:themeColor="text1"/>
        </w:rPr>
      </w:pPr>
      <w:r w:rsidRPr="00602264">
        <w:rPr>
          <w:rFonts w:ascii="Times New Roman" w:hAnsi="Times New Roman" w:cs="Times New Roman"/>
          <w:noProof/>
          <w:color w:val="000000" w:themeColor="text1"/>
          <w:lang w:eastAsia="es-GT"/>
        </w:rPr>
        <w:drawing>
          <wp:inline distT="0" distB="0" distL="0" distR="0" wp14:anchorId="5E623541" wp14:editId="78A1EDE1">
            <wp:extent cx="2687320" cy="1701579"/>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70C7" w:rsidRPr="00602264" w:rsidRDefault="007570C7" w:rsidP="007570C7">
      <w:pPr>
        <w:spacing w:after="0" w:line="240" w:lineRule="auto"/>
        <w:jc w:val="both"/>
        <w:rPr>
          <w:rFonts w:ascii="Times New Roman" w:hAnsi="Times New Roman" w:cs="Times New Roman"/>
          <w:color w:val="000000" w:themeColor="text1"/>
          <w:sz w:val="14"/>
        </w:rPr>
      </w:pPr>
      <w:r w:rsidRPr="00602264">
        <w:rPr>
          <w:rFonts w:ascii="Times New Roman" w:hAnsi="Times New Roman" w:cs="Times New Roman"/>
          <w:color w:val="000000" w:themeColor="text1"/>
          <w:sz w:val="14"/>
        </w:rPr>
        <w:t>Fuente: Ministerio de Finanzas Públicas</w:t>
      </w:r>
      <w:r w:rsidR="00602264" w:rsidRPr="00602264">
        <w:rPr>
          <w:rFonts w:ascii="Times New Roman" w:hAnsi="Times New Roman" w:cs="Times New Roman"/>
          <w:color w:val="000000" w:themeColor="text1"/>
          <w:sz w:val="14"/>
        </w:rPr>
        <w:t xml:space="preserve"> de acuerdo a los reportes de SICOIN.</w:t>
      </w:r>
    </w:p>
    <w:p w:rsidR="00532CD1" w:rsidRPr="002325F9" w:rsidRDefault="00532CD1" w:rsidP="007570C7">
      <w:pPr>
        <w:spacing w:after="0" w:line="240" w:lineRule="auto"/>
        <w:jc w:val="both"/>
        <w:rPr>
          <w:rFonts w:ascii="Times New Roman" w:hAnsi="Times New Roman" w:cs="Times New Roman"/>
          <w:b/>
          <w:color w:val="000000" w:themeColor="text1"/>
          <w:sz w:val="18"/>
        </w:rPr>
      </w:pPr>
    </w:p>
    <w:p w:rsidR="007570C7" w:rsidRPr="00602264" w:rsidRDefault="007570C7" w:rsidP="007570C7">
      <w:pPr>
        <w:spacing w:after="0" w:line="240" w:lineRule="auto"/>
        <w:jc w:val="both"/>
        <w:rPr>
          <w:rFonts w:ascii="Times New Roman" w:hAnsi="Times New Roman" w:cs="Times New Roman"/>
          <w:b/>
          <w:color w:val="000000" w:themeColor="text1"/>
        </w:rPr>
      </w:pPr>
      <w:r w:rsidRPr="00602264">
        <w:rPr>
          <w:rFonts w:ascii="Times New Roman" w:hAnsi="Times New Roman" w:cs="Times New Roman"/>
          <w:b/>
          <w:color w:val="000000" w:themeColor="text1"/>
        </w:rPr>
        <w:t>El Impuesto a la renta y el ISO</w:t>
      </w:r>
    </w:p>
    <w:p w:rsidR="00532CD1" w:rsidRPr="002325F9" w:rsidRDefault="00532CD1" w:rsidP="007570C7">
      <w:pPr>
        <w:spacing w:after="0" w:line="240" w:lineRule="auto"/>
        <w:jc w:val="both"/>
        <w:rPr>
          <w:rFonts w:ascii="Times New Roman" w:hAnsi="Times New Roman" w:cs="Times New Roman"/>
          <w:b/>
          <w:color w:val="FF0000"/>
          <w:sz w:val="18"/>
        </w:rPr>
      </w:pPr>
    </w:p>
    <w:p w:rsidR="00602264" w:rsidRDefault="00602264" w:rsidP="005501A4">
      <w:pPr>
        <w:spacing w:after="0" w:line="240" w:lineRule="auto"/>
        <w:jc w:val="both"/>
        <w:rPr>
          <w:rFonts w:ascii="Times New Roman" w:hAnsi="Times New Roman" w:cs="Times New Roman"/>
        </w:rPr>
      </w:pPr>
      <w:r w:rsidRPr="00B54743">
        <w:rPr>
          <w:rFonts w:ascii="Times New Roman" w:hAnsi="Times New Roman" w:cs="Times New Roman"/>
        </w:rPr>
        <w:t>El ISR de manera acumulada tiene una caída de 8.8% respecto a lo observado a la misma fecha de 2019.</w:t>
      </w:r>
    </w:p>
    <w:p w:rsidR="00602264" w:rsidRPr="002325F9" w:rsidRDefault="00602264" w:rsidP="005501A4">
      <w:pPr>
        <w:spacing w:after="0" w:line="240" w:lineRule="auto"/>
        <w:jc w:val="both"/>
        <w:rPr>
          <w:rFonts w:ascii="Times New Roman" w:hAnsi="Times New Roman" w:cs="Times New Roman"/>
          <w:sz w:val="18"/>
        </w:rPr>
      </w:pPr>
    </w:p>
    <w:p w:rsidR="00602264" w:rsidRDefault="00602264" w:rsidP="005501A4">
      <w:pPr>
        <w:spacing w:after="0" w:line="240" w:lineRule="auto"/>
        <w:jc w:val="both"/>
        <w:rPr>
          <w:rFonts w:ascii="Times New Roman" w:hAnsi="Times New Roman" w:cs="Times New Roman"/>
        </w:rPr>
      </w:pPr>
      <w:r w:rsidRPr="00B54743">
        <w:rPr>
          <w:rFonts w:ascii="Times New Roman" w:hAnsi="Times New Roman" w:cs="Times New Roman"/>
        </w:rPr>
        <w:t>Para el caso del ISO este impuesto luego del primer pago trimestral registrado en enero se observa un crecimiento interanual acumulado de 3.2% respecto a lo observado en 2019.</w:t>
      </w:r>
    </w:p>
    <w:p w:rsidR="002325F9" w:rsidRPr="002325F9" w:rsidRDefault="002325F9" w:rsidP="00602264">
      <w:pPr>
        <w:spacing w:after="0" w:line="240" w:lineRule="auto"/>
        <w:jc w:val="both"/>
        <w:rPr>
          <w:rFonts w:ascii="Times New Roman" w:hAnsi="Times New Roman" w:cs="Times New Roman"/>
          <w:sz w:val="18"/>
        </w:rPr>
      </w:pPr>
    </w:p>
    <w:p w:rsidR="007570C7" w:rsidRPr="00602264" w:rsidRDefault="007570C7" w:rsidP="007570C7">
      <w:pPr>
        <w:spacing w:after="0" w:line="240" w:lineRule="auto"/>
        <w:jc w:val="both"/>
        <w:rPr>
          <w:rFonts w:ascii="Times New Roman" w:hAnsi="Times New Roman" w:cs="Times New Roman"/>
          <w:b/>
          <w:color w:val="000000" w:themeColor="text1"/>
        </w:rPr>
      </w:pPr>
      <w:r w:rsidRPr="00602264">
        <w:rPr>
          <w:rFonts w:ascii="Times New Roman" w:hAnsi="Times New Roman" w:cs="Times New Roman"/>
          <w:b/>
          <w:color w:val="000000" w:themeColor="text1"/>
        </w:rPr>
        <w:t>El impuesto al valor agregado</w:t>
      </w:r>
    </w:p>
    <w:p w:rsidR="00532CD1" w:rsidRPr="002325F9" w:rsidRDefault="00532CD1" w:rsidP="00602264">
      <w:pPr>
        <w:spacing w:after="0" w:line="240" w:lineRule="auto"/>
        <w:jc w:val="both"/>
        <w:rPr>
          <w:rFonts w:ascii="Times New Roman" w:hAnsi="Times New Roman" w:cs="Times New Roman"/>
          <w:color w:val="FF0000"/>
          <w:sz w:val="20"/>
        </w:rPr>
      </w:pPr>
    </w:p>
    <w:p w:rsidR="00532CD1" w:rsidRDefault="00602264" w:rsidP="00602264">
      <w:pPr>
        <w:spacing w:after="0" w:line="240" w:lineRule="auto"/>
        <w:jc w:val="both"/>
        <w:rPr>
          <w:rFonts w:ascii="Times New Roman" w:hAnsi="Times New Roman" w:cs="Times New Roman"/>
        </w:rPr>
      </w:pPr>
      <w:r w:rsidRPr="00B54743">
        <w:rPr>
          <w:rFonts w:ascii="Times New Roman" w:hAnsi="Times New Roman" w:cs="Times New Roman"/>
        </w:rPr>
        <w:t xml:space="preserve">Este impuesto se redujo en 3.6% (Q257.8 millones) respecto a lo observado en 2019, el IVA asociado al comercio exterior cae en 1.5% (Q52.9 millones) y el IVA asociado al </w:t>
      </w:r>
      <w:r w:rsidRPr="00B54743">
        <w:rPr>
          <w:rFonts w:ascii="Times New Roman" w:hAnsi="Times New Roman" w:cs="Times New Roman"/>
        </w:rPr>
        <w:lastRenderedPageBreak/>
        <w:t>consumo interno es el que se ve más afectado por la Resolución SAT 280-2020.</w:t>
      </w:r>
    </w:p>
    <w:p w:rsidR="00602264" w:rsidRPr="00602264" w:rsidRDefault="00602264" w:rsidP="00602264">
      <w:pPr>
        <w:spacing w:after="0" w:line="240" w:lineRule="auto"/>
        <w:jc w:val="both"/>
        <w:rPr>
          <w:rFonts w:ascii="Times New Roman" w:hAnsi="Times New Roman" w:cs="Times New Roman"/>
        </w:rPr>
      </w:pPr>
    </w:p>
    <w:p w:rsidR="007570C7" w:rsidRPr="00602264" w:rsidRDefault="007570C7" w:rsidP="007570C7">
      <w:pPr>
        <w:spacing w:after="0" w:line="240" w:lineRule="auto"/>
        <w:jc w:val="both"/>
        <w:rPr>
          <w:rFonts w:ascii="Times New Roman" w:hAnsi="Times New Roman" w:cs="Times New Roman"/>
          <w:b/>
          <w:bCs/>
          <w:color w:val="000000" w:themeColor="text1"/>
        </w:rPr>
      </w:pPr>
      <w:r w:rsidRPr="00602264">
        <w:rPr>
          <w:rFonts w:ascii="Times New Roman" w:hAnsi="Times New Roman" w:cs="Times New Roman"/>
          <w:b/>
          <w:bCs/>
          <w:color w:val="000000" w:themeColor="text1"/>
        </w:rPr>
        <w:t>Los demás impuestos</w:t>
      </w:r>
    </w:p>
    <w:p w:rsidR="00532CD1" w:rsidRPr="008F3134" w:rsidRDefault="00532CD1" w:rsidP="007570C7">
      <w:pPr>
        <w:spacing w:after="0" w:line="240" w:lineRule="auto"/>
        <w:jc w:val="both"/>
        <w:rPr>
          <w:rFonts w:ascii="Times New Roman" w:hAnsi="Times New Roman" w:cs="Times New Roman"/>
          <w:color w:val="FF0000"/>
        </w:rPr>
      </w:pPr>
    </w:p>
    <w:p w:rsidR="005834A0" w:rsidRDefault="00602264" w:rsidP="007570C7">
      <w:pPr>
        <w:spacing w:after="0" w:line="240" w:lineRule="auto"/>
        <w:jc w:val="both"/>
        <w:rPr>
          <w:rFonts w:ascii="Times New Roman" w:hAnsi="Times New Roman" w:cs="Times New Roman"/>
        </w:rPr>
      </w:pPr>
      <w:r w:rsidRPr="00B54743">
        <w:rPr>
          <w:rFonts w:ascii="Times New Roman" w:hAnsi="Times New Roman" w:cs="Times New Roman"/>
        </w:rPr>
        <w:t xml:space="preserve">De los demás impuestos, destacan los derivados del petróleo que tiene una ejecución acumulada a marzo de 110.4%, el impuesto a la distribución de bebidas, el tabaco, el de cemento, regalías e hidrocarburos compartibles, que superaron la meta de presupuesto en Q157.6 millones, el impuesto a los timbres, el de circulación de vehículos, el IPRIMA y el de salidas del país no superaron </w:t>
      </w:r>
      <w:r w:rsidRPr="00B54743">
        <w:rPr>
          <w:rFonts w:ascii="Times New Roman" w:hAnsi="Times New Roman" w:cs="Times New Roman"/>
        </w:rPr>
        <w:t>la meta de presupuesto y dejaron de percibir Q70.4 millones.</w:t>
      </w:r>
    </w:p>
    <w:p w:rsidR="00602264" w:rsidRDefault="00602264" w:rsidP="007570C7">
      <w:pPr>
        <w:spacing w:after="0" w:line="240" w:lineRule="auto"/>
        <w:jc w:val="both"/>
        <w:rPr>
          <w:rFonts w:ascii="Times New Roman" w:hAnsi="Times New Roman" w:cs="Times New Roman"/>
        </w:rPr>
      </w:pPr>
    </w:p>
    <w:p w:rsidR="00602264" w:rsidRPr="008F3134" w:rsidRDefault="00602264" w:rsidP="007570C7">
      <w:pPr>
        <w:spacing w:after="0" w:line="240" w:lineRule="auto"/>
        <w:jc w:val="both"/>
        <w:rPr>
          <w:rFonts w:ascii="Times New Roman" w:hAnsi="Times New Roman" w:cs="Times New Roman"/>
          <w:color w:val="FF0000"/>
        </w:rPr>
      </w:pPr>
      <w:r w:rsidRPr="00B54743">
        <w:rPr>
          <w:rFonts w:ascii="Times New Roman" w:hAnsi="Times New Roman" w:cs="Times New Roman"/>
          <w:noProof/>
          <w:lang w:eastAsia="es-GT"/>
        </w:rPr>
        <w:drawing>
          <wp:inline distT="0" distB="0" distL="0" distR="0" wp14:anchorId="723EBB6C" wp14:editId="6BA91332">
            <wp:extent cx="2684730" cy="1773141"/>
            <wp:effectExtent l="0" t="0" r="190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8247" cy="1775464"/>
                    </a:xfrm>
                    <a:prstGeom prst="rect">
                      <a:avLst/>
                    </a:prstGeom>
                    <a:noFill/>
                    <a:ln>
                      <a:noFill/>
                    </a:ln>
                  </pic:spPr>
                </pic:pic>
              </a:graphicData>
            </a:graphic>
          </wp:inline>
        </w:drawing>
      </w:r>
    </w:p>
    <w:p w:rsidR="00532CD1" w:rsidRPr="00602264" w:rsidRDefault="00602264" w:rsidP="007570C7">
      <w:pPr>
        <w:spacing w:after="0" w:line="240" w:lineRule="auto"/>
        <w:jc w:val="both"/>
        <w:rPr>
          <w:rFonts w:ascii="Times New Roman" w:hAnsi="Times New Roman" w:cs="Times New Roman"/>
          <w:color w:val="000000" w:themeColor="text1"/>
          <w:sz w:val="14"/>
          <w:szCs w:val="14"/>
        </w:rPr>
      </w:pPr>
      <w:r w:rsidRPr="00602264">
        <w:rPr>
          <w:rFonts w:ascii="Times New Roman" w:hAnsi="Times New Roman" w:cs="Times New Roman"/>
          <w:color w:val="000000" w:themeColor="text1"/>
          <w:sz w:val="14"/>
          <w:szCs w:val="14"/>
        </w:rPr>
        <w:t>Fuente: Ministerio de Finanzas Públicas de acuerdo a los reportes de SICOIN.</w:t>
      </w:r>
    </w:p>
    <w:p w:rsidR="00FE1950" w:rsidRPr="008F3134" w:rsidRDefault="00FE1950" w:rsidP="00FE1950">
      <w:pPr>
        <w:spacing w:after="0" w:line="240" w:lineRule="auto"/>
        <w:jc w:val="both"/>
        <w:rPr>
          <w:rFonts w:ascii="Times New Roman" w:hAnsi="Times New Roman" w:cs="Times New Roman"/>
          <w:color w:val="FF0000"/>
        </w:rPr>
        <w:sectPr w:rsidR="00FE1950" w:rsidRPr="008F3134" w:rsidSect="0092653C">
          <w:type w:val="continuous"/>
          <w:pgSz w:w="12240" w:h="15840"/>
          <w:pgMar w:top="1417" w:right="1701" w:bottom="1417" w:left="1701" w:header="720" w:footer="720" w:gutter="0"/>
          <w:cols w:num="2" w:space="720"/>
          <w:docGrid w:linePitch="360"/>
        </w:sectPr>
      </w:pPr>
    </w:p>
    <w:p w:rsidR="001A6038" w:rsidRPr="008F3134" w:rsidRDefault="001A6038" w:rsidP="00674EAE">
      <w:pPr>
        <w:pStyle w:val="Sinespaciado"/>
        <w:jc w:val="both"/>
        <w:rPr>
          <w:rFonts w:ascii="Times New Roman" w:hAnsi="Times New Roman" w:cs="Times New Roman"/>
          <w:color w:val="FF0000"/>
          <w:szCs w:val="18"/>
        </w:rPr>
      </w:pPr>
    </w:p>
    <w:p w:rsidR="00537B9E" w:rsidRPr="008F3134" w:rsidRDefault="00537B9E" w:rsidP="00674EAE">
      <w:pPr>
        <w:pStyle w:val="Sinespaciado"/>
        <w:jc w:val="both"/>
        <w:rPr>
          <w:rFonts w:ascii="Times New Roman" w:hAnsi="Times New Roman" w:cs="Times New Roman"/>
          <w:color w:val="FF0000"/>
          <w:szCs w:val="18"/>
        </w:rPr>
      </w:pPr>
    </w:p>
    <w:p w:rsidR="00537B9E" w:rsidRPr="008F3134" w:rsidRDefault="00537B9E" w:rsidP="00674EAE">
      <w:pPr>
        <w:pStyle w:val="Sinespaciado"/>
        <w:jc w:val="both"/>
        <w:rPr>
          <w:rFonts w:ascii="Times New Roman" w:hAnsi="Times New Roman" w:cs="Times New Roman"/>
          <w:color w:val="FF0000"/>
          <w:szCs w:val="18"/>
        </w:rPr>
        <w:sectPr w:rsidR="00537B9E" w:rsidRPr="008F3134" w:rsidSect="005A03A9">
          <w:headerReference w:type="default" r:id="rId16"/>
          <w:footerReference w:type="default" r:id="rId17"/>
          <w:type w:val="continuous"/>
          <w:pgSz w:w="12240" w:h="15840"/>
          <w:pgMar w:top="1417" w:right="1701" w:bottom="1417" w:left="1701" w:header="708" w:footer="708" w:gutter="0"/>
          <w:cols w:num="2" w:space="708"/>
          <w:docGrid w:linePitch="360"/>
        </w:sectPr>
      </w:pPr>
    </w:p>
    <w:p w:rsidR="00FA3B81" w:rsidRPr="009A0CF4" w:rsidRDefault="00936E17"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FA3B81" w:rsidRPr="009A0CF4" w:rsidSect="00FA3B81">
          <w:headerReference w:type="default" r:id="rId18"/>
          <w:footerReference w:type="default" r:id="rId19"/>
          <w:type w:val="continuous"/>
          <w:pgSz w:w="12240" w:h="15840" w:code="1"/>
          <w:pgMar w:top="1418" w:right="1418" w:bottom="1418" w:left="1418" w:header="709" w:footer="709" w:gutter="0"/>
          <w:cols w:space="708"/>
          <w:docGrid w:linePitch="360"/>
        </w:sectPr>
      </w:pPr>
      <w:r w:rsidRPr="009A0CF4">
        <w:rPr>
          <w:rFonts w:ascii="Times New Roman" w:hAnsi="Times New Roman" w:cs="Times New Roman"/>
          <w:b/>
          <w:color w:val="000000" w:themeColor="text1"/>
          <w:lang w:val="es-MX"/>
        </w:rPr>
        <w:t xml:space="preserve">En </w:t>
      </w:r>
      <w:r w:rsidR="009A0CF4" w:rsidRPr="009A0CF4">
        <w:rPr>
          <w:rFonts w:ascii="Times New Roman" w:hAnsi="Times New Roman" w:cs="Times New Roman"/>
          <w:b/>
          <w:color w:val="000000" w:themeColor="text1"/>
          <w:lang w:val="es-MX"/>
        </w:rPr>
        <w:t>marzo</w:t>
      </w:r>
      <w:r w:rsidR="00E37543" w:rsidRPr="009A0CF4">
        <w:rPr>
          <w:rFonts w:ascii="Times New Roman" w:hAnsi="Times New Roman" w:cs="Times New Roman"/>
          <w:b/>
          <w:color w:val="000000" w:themeColor="text1"/>
          <w:lang w:val="es-MX"/>
        </w:rPr>
        <w:t xml:space="preserve"> se</w:t>
      </w:r>
      <w:r w:rsidRPr="009A0CF4">
        <w:rPr>
          <w:rFonts w:ascii="Times New Roman" w:hAnsi="Times New Roman" w:cs="Times New Roman"/>
          <w:b/>
          <w:color w:val="000000" w:themeColor="text1"/>
          <w:lang w:val="es-MX"/>
        </w:rPr>
        <w:t xml:space="preserve"> observa un</w:t>
      </w:r>
      <w:r w:rsidR="009A0CF4" w:rsidRPr="009A0CF4">
        <w:rPr>
          <w:rFonts w:ascii="Times New Roman" w:hAnsi="Times New Roman" w:cs="Times New Roman"/>
          <w:b/>
          <w:color w:val="000000" w:themeColor="text1"/>
          <w:lang w:val="es-MX"/>
        </w:rPr>
        <w:t xml:space="preserve"> repunte en e</w:t>
      </w:r>
      <w:r w:rsidR="00634664" w:rsidRPr="009A0CF4">
        <w:rPr>
          <w:rFonts w:ascii="Times New Roman" w:hAnsi="Times New Roman" w:cs="Times New Roman"/>
          <w:b/>
          <w:color w:val="000000" w:themeColor="text1"/>
          <w:lang w:val="es-MX"/>
        </w:rPr>
        <w:t>l</w:t>
      </w:r>
      <w:r w:rsidR="00E37543" w:rsidRPr="009A0CF4">
        <w:rPr>
          <w:rFonts w:ascii="Times New Roman" w:hAnsi="Times New Roman" w:cs="Times New Roman"/>
          <w:b/>
          <w:color w:val="000000" w:themeColor="text1"/>
          <w:lang w:val="es-MX"/>
        </w:rPr>
        <w:t xml:space="preserve"> gasto</w:t>
      </w:r>
    </w:p>
    <w:p w:rsidR="00FA3B81" w:rsidRPr="008F3134" w:rsidRDefault="00FA3B81" w:rsidP="00FA3B81">
      <w:pPr>
        <w:pStyle w:val="Sinespaciado"/>
        <w:rPr>
          <w:rFonts w:ascii="Times New Roman" w:hAnsi="Times New Roman" w:cs="Times New Roman"/>
          <w:b/>
          <w:color w:val="FF0000"/>
          <w:sz w:val="18"/>
          <w:lang w:val="es-MX"/>
        </w:rPr>
      </w:pPr>
    </w:p>
    <w:p w:rsidR="00FA3B81" w:rsidRPr="008F3134" w:rsidRDefault="00FA3B81" w:rsidP="00FA3B81">
      <w:pPr>
        <w:pStyle w:val="Sinespaciado"/>
        <w:jc w:val="center"/>
        <w:rPr>
          <w:rFonts w:ascii="Times New Roman" w:hAnsi="Times New Roman" w:cs="Times New Roman"/>
          <w:b/>
          <w:color w:val="FF0000"/>
          <w:lang w:val="es-MX"/>
        </w:rPr>
        <w:sectPr w:rsidR="00FA3B81" w:rsidRPr="008F3134" w:rsidSect="004E358C">
          <w:type w:val="continuous"/>
          <w:pgSz w:w="12240" w:h="15840"/>
          <w:pgMar w:top="1417" w:right="1701" w:bottom="1417" w:left="1701" w:header="708" w:footer="708" w:gutter="0"/>
          <w:cols w:space="708"/>
          <w:docGrid w:linePitch="360"/>
        </w:sectPr>
      </w:pPr>
    </w:p>
    <w:p w:rsidR="00634664" w:rsidRPr="008F3134" w:rsidRDefault="009A0CF4" w:rsidP="00634664">
      <w:pPr>
        <w:pStyle w:val="Sinespaciado"/>
        <w:jc w:val="both"/>
        <w:rPr>
          <w:rFonts w:ascii="Times New Roman" w:hAnsi="Times New Roman" w:cs="Times New Roman"/>
          <w:color w:val="FF0000"/>
        </w:rPr>
      </w:pPr>
      <w:r>
        <w:rPr>
          <w:rFonts w:ascii="Times New Roman" w:hAnsi="Times New Roman" w:cs="Times New Roman"/>
          <w:lang w:val="es-MX"/>
        </w:rPr>
        <w:t>El ritmo de</w:t>
      </w:r>
      <w:r w:rsidRPr="00EC7D03">
        <w:rPr>
          <w:rFonts w:ascii="Times New Roman" w:hAnsi="Times New Roman" w:cs="Times New Roman"/>
          <w:lang w:val="es-MX"/>
        </w:rPr>
        <w:t xml:space="preserve"> ejecución del gasto público</w:t>
      </w:r>
      <w:r>
        <w:rPr>
          <w:rFonts w:ascii="Times New Roman" w:hAnsi="Times New Roman" w:cs="Times New Roman"/>
          <w:lang w:val="es-MX"/>
        </w:rPr>
        <w:t xml:space="preserve"> se redujo respecto al arranque que mostró en enero, el gasto público que no considera</w:t>
      </w:r>
      <w:r w:rsidRPr="00EC7D03">
        <w:rPr>
          <w:rFonts w:ascii="Times New Roman" w:hAnsi="Times New Roman" w:cs="Times New Roman"/>
          <w:lang w:val="es-MX"/>
        </w:rPr>
        <w:t xml:space="preserve"> las amortizaciones de</w:t>
      </w:r>
      <w:r>
        <w:rPr>
          <w:rFonts w:ascii="Times New Roman" w:hAnsi="Times New Roman" w:cs="Times New Roman"/>
          <w:lang w:val="es-MX"/>
        </w:rPr>
        <w:t xml:space="preserve"> la deuda pública se ubicó en Q16</w:t>
      </w:r>
      <w:r w:rsidRPr="00EC7D03">
        <w:rPr>
          <w:rFonts w:ascii="Times New Roman" w:hAnsi="Times New Roman" w:cs="Times New Roman"/>
          <w:lang w:val="es-MX"/>
        </w:rPr>
        <w:t>,</w:t>
      </w:r>
      <w:r>
        <w:rPr>
          <w:rFonts w:ascii="Times New Roman" w:hAnsi="Times New Roman" w:cs="Times New Roman"/>
          <w:lang w:val="es-MX"/>
        </w:rPr>
        <w:t>895.9</w:t>
      </w:r>
      <w:r w:rsidRPr="00EC7D03">
        <w:rPr>
          <w:rFonts w:ascii="Times New Roman" w:hAnsi="Times New Roman" w:cs="Times New Roman"/>
          <w:lang w:val="es-MX"/>
        </w:rPr>
        <w:t xml:space="preserve"> </w:t>
      </w:r>
      <w:r>
        <w:rPr>
          <w:rFonts w:ascii="Times New Roman" w:hAnsi="Times New Roman" w:cs="Times New Roman"/>
          <w:lang w:val="es-MX"/>
        </w:rPr>
        <w:t>con un crecimiento interanual de 2.4%, el año anterior el gasto público se encontraba creciendo a un nivel del 18.2%, influido por el gasto destinado al a</w:t>
      </w:r>
      <w:r w:rsidRPr="00E40B1A">
        <w:rPr>
          <w:rFonts w:ascii="Times New Roman" w:hAnsi="Times New Roman" w:cs="Times New Roman"/>
          <w:lang w:val="es-MX"/>
        </w:rPr>
        <w:t xml:space="preserve">porte extraordinario que </w:t>
      </w:r>
      <w:r>
        <w:rPr>
          <w:rFonts w:ascii="Times New Roman" w:hAnsi="Times New Roman" w:cs="Times New Roman"/>
          <w:lang w:val="es-MX"/>
        </w:rPr>
        <w:t>se</w:t>
      </w:r>
      <w:r w:rsidRPr="00E40B1A">
        <w:rPr>
          <w:rFonts w:ascii="Times New Roman" w:hAnsi="Times New Roman" w:cs="Times New Roman"/>
          <w:lang w:val="es-MX"/>
        </w:rPr>
        <w:t xml:space="preserve"> realiz</w:t>
      </w:r>
      <w:r>
        <w:rPr>
          <w:rFonts w:ascii="Times New Roman" w:hAnsi="Times New Roman" w:cs="Times New Roman"/>
          <w:lang w:val="es-MX"/>
        </w:rPr>
        <w:t>ó, entre enero y febrero,</w:t>
      </w:r>
      <w:r w:rsidRPr="00E40B1A">
        <w:rPr>
          <w:rFonts w:ascii="Times New Roman" w:hAnsi="Times New Roman" w:cs="Times New Roman"/>
          <w:lang w:val="es-MX"/>
        </w:rPr>
        <w:t xml:space="preserve"> al Tribunal Supremo Electoral,</w:t>
      </w:r>
      <w:r>
        <w:rPr>
          <w:rFonts w:ascii="Times New Roman" w:hAnsi="Times New Roman" w:cs="Times New Roman"/>
          <w:lang w:val="es-MX"/>
        </w:rPr>
        <w:t xml:space="preserve"> por concepto</w:t>
      </w:r>
      <w:r w:rsidRPr="00E40B1A">
        <w:rPr>
          <w:rFonts w:ascii="Times New Roman" w:hAnsi="Times New Roman" w:cs="Times New Roman"/>
          <w:lang w:val="es-MX"/>
        </w:rPr>
        <w:t xml:space="preserve"> de las Elecciones Generales</w:t>
      </w:r>
      <w:r>
        <w:rPr>
          <w:rFonts w:ascii="Times New Roman" w:hAnsi="Times New Roman" w:cs="Times New Roman"/>
          <w:lang w:val="es-MX"/>
        </w:rPr>
        <w:t xml:space="preserve"> realizadas en el 2019.</w:t>
      </w:r>
      <w:r w:rsidR="00634664" w:rsidRPr="008F3134">
        <w:rPr>
          <w:rFonts w:ascii="Times New Roman" w:hAnsi="Times New Roman" w:cs="Times New Roman"/>
          <w:color w:val="FF0000"/>
        </w:rPr>
        <w:t xml:space="preserve"> </w:t>
      </w:r>
    </w:p>
    <w:p w:rsidR="00634664" w:rsidRPr="008F3134" w:rsidRDefault="00634664" w:rsidP="00634664">
      <w:pPr>
        <w:pStyle w:val="Sinespaciado"/>
        <w:jc w:val="both"/>
        <w:rPr>
          <w:rFonts w:ascii="Times New Roman" w:hAnsi="Times New Roman" w:cs="Times New Roman"/>
          <w:color w:val="FF0000"/>
          <w:lang w:val="es-MX"/>
        </w:rPr>
      </w:pPr>
    </w:p>
    <w:p w:rsidR="00634664" w:rsidRPr="009A0CF4" w:rsidRDefault="00634664" w:rsidP="00634664">
      <w:pPr>
        <w:pStyle w:val="Sinespaciado"/>
        <w:jc w:val="center"/>
        <w:rPr>
          <w:rFonts w:ascii="Times New Roman" w:hAnsi="Times New Roman" w:cs="Times New Roman"/>
          <w:b/>
          <w:color w:val="000000" w:themeColor="text1"/>
          <w:lang w:val="es-MX"/>
        </w:rPr>
      </w:pPr>
      <w:r w:rsidRPr="009A0CF4">
        <w:rPr>
          <w:rFonts w:ascii="Times New Roman" w:hAnsi="Times New Roman" w:cs="Times New Roman"/>
          <w:b/>
          <w:color w:val="000000" w:themeColor="text1"/>
          <w:lang w:val="es-MX"/>
        </w:rPr>
        <w:t>Ritmo de Ejecución del Gasto</w:t>
      </w:r>
    </w:p>
    <w:p w:rsidR="00634664" w:rsidRPr="009A0CF4" w:rsidRDefault="00634664" w:rsidP="00634664">
      <w:pPr>
        <w:pStyle w:val="Sinespaciado"/>
        <w:jc w:val="center"/>
        <w:rPr>
          <w:rFonts w:ascii="Times New Roman" w:hAnsi="Times New Roman" w:cs="Times New Roman"/>
          <w:color w:val="000000" w:themeColor="text1"/>
          <w:sz w:val="18"/>
          <w:lang w:val="es-MX"/>
        </w:rPr>
      </w:pPr>
      <w:r w:rsidRPr="009A0CF4">
        <w:rPr>
          <w:rFonts w:ascii="Times New Roman" w:hAnsi="Times New Roman" w:cs="Times New Roman"/>
          <w:color w:val="000000" w:themeColor="text1"/>
          <w:sz w:val="18"/>
          <w:lang w:val="es-MX"/>
        </w:rPr>
        <w:t>Variación Interanual*</w:t>
      </w:r>
    </w:p>
    <w:p w:rsidR="00634664" w:rsidRPr="009A0CF4" w:rsidRDefault="009A0CF4" w:rsidP="00634664">
      <w:pPr>
        <w:pStyle w:val="Sinespaciado"/>
        <w:jc w:val="center"/>
        <w:rPr>
          <w:rFonts w:ascii="Times New Roman" w:hAnsi="Times New Roman" w:cs="Times New Roman"/>
          <w:color w:val="000000" w:themeColor="text1"/>
          <w:sz w:val="18"/>
          <w:lang w:val="es-MX"/>
        </w:rPr>
      </w:pPr>
      <w:r w:rsidRPr="009A0CF4">
        <w:rPr>
          <w:rFonts w:ascii="Times New Roman" w:hAnsi="Times New Roman" w:cs="Times New Roman"/>
          <w:noProof/>
          <w:color w:val="000000" w:themeColor="text1"/>
          <w:sz w:val="18"/>
          <w:lang w:eastAsia="es-GT"/>
        </w:rPr>
        <w:drawing>
          <wp:inline distT="0" distB="0" distL="0" distR="0" wp14:anchorId="3AEA204D" wp14:editId="42E6028A">
            <wp:extent cx="2713500" cy="178109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130" cy="1816294"/>
                    </a:xfrm>
                    <a:prstGeom prst="rect">
                      <a:avLst/>
                    </a:prstGeom>
                    <a:noFill/>
                  </pic:spPr>
                </pic:pic>
              </a:graphicData>
            </a:graphic>
          </wp:inline>
        </w:drawing>
      </w:r>
    </w:p>
    <w:p w:rsidR="00634664" w:rsidRPr="009A0CF4" w:rsidRDefault="00634664" w:rsidP="00634664">
      <w:pPr>
        <w:pStyle w:val="Sinespaciado"/>
        <w:rPr>
          <w:rFonts w:ascii="Times New Roman" w:hAnsi="Times New Roman" w:cs="Times New Roman"/>
          <w:color w:val="000000" w:themeColor="text1"/>
          <w:sz w:val="16"/>
          <w:lang w:val="es-MX"/>
        </w:rPr>
      </w:pPr>
      <w:r w:rsidRPr="009A0CF4">
        <w:rPr>
          <w:rFonts w:ascii="Times New Roman" w:hAnsi="Times New Roman" w:cs="Times New Roman"/>
          <w:color w:val="000000" w:themeColor="text1"/>
          <w:sz w:val="16"/>
          <w:lang w:val="es-MX"/>
        </w:rPr>
        <w:t>*No incluye amortizaciones de la deuda pública</w:t>
      </w:r>
    </w:p>
    <w:p w:rsidR="00634664" w:rsidRPr="009A0CF4" w:rsidRDefault="00634664" w:rsidP="00634664">
      <w:pPr>
        <w:spacing w:after="0" w:line="240" w:lineRule="auto"/>
        <w:jc w:val="both"/>
        <w:rPr>
          <w:rFonts w:ascii="Times New Roman" w:hAnsi="Times New Roman" w:cs="Times New Roman"/>
          <w:color w:val="000000" w:themeColor="text1"/>
          <w:sz w:val="14"/>
        </w:rPr>
      </w:pPr>
      <w:r w:rsidRPr="009A0CF4">
        <w:rPr>
          <w:rFonts w:ascii="Times New Roman" w:hAnsi="Times New Roman" w:cs="Times New Roman"/>
          <w:color w:val="000000" w:themeColor="text1"/>
          <w:sz w:val="14"/>
        </w:rPr>
        <w:t>Fuente: Dirección de Análisis y Política Fiscal</w:t>
      </w:r>
    </w:p>
    <w:p w:rsidR="00043AF7" w:rsidRDefault="00043AF7" w:rsidP="00043AF7">
      <w:pPr>
        <w:pStyle w:val="Sinespaciado"/>
        <w:jc w:val="both"/>
        <w:rPr>
          <w:rFonts w:ascii="Times New Roman" w:hAnsi="Times New Roman" w:cs="Times New Roman"/>
          <w:lang w:val="es-MX"/>
        </w:rPr>
      </w:pPr>
      <w:r>
        <w:rPr>
          <w:rFonts w:ascii="Times New Roman" w:hAnsi="Times New Roman" w:cs="Times New Roman"/>
          <w:lang w:val="es-MX"/>
        </w:rPr>
        <w:t>Se tiene previsto que el dinamismo en el gasto público aumente significativamente en el segundo trimestre del año, derivado que las ampliaciones presupuestarias aprobadas por el Congreso de la República ascienden a Q19,806.4 millones. Las ampliaciones tendrán como destino el servicio de la deuda pública, apoyo presupuestario, atender los compromisos adquiridos en 2019 en cuanto a pactos colectivos y la atención a la emergencia sanitaria y económica causada por la enfermedad COVID-19.</w:t>
      </w:r>
    </w:p>
    <w:p w:rsidR="00043AF7" w:rsidRDefault="00043AF7" w:rsidP="00043AF7">
      <w:pPr>
        <w:pStyle w:val="Sinespaciado"/>
        <w:jc w:val="both"/>
        <w:rPr>
          <w:rFonts w:ascii="Times New Roman" w:hAnsi="Times New Roman" w:cs="Times New Roman"/>
          <w:lang w:val="es-MX"/>
        </w:rPr>
      </w:pPr>
    </w:p>
    <w:p w:rsidR="00043AF7" w:rsidRDefault="00043AF7" w:rsidP="00043AF7">
      <w:pPr>
        <w:pStyle w:val="Sinespaciado"/>
        <w:jc w:val="both"/>
        <w:rPr>
          <w:rFonts w:ascii="Times New Roman" w:hAnsi="Times New Roman" w:cs="Times New Roman"/>
          <w:lang w:val="es-MX"/>
        </w:rPr>
      </w:pPr>
      <w:r>
        <w:rPr>
          <w:rFonts w:ascii="Times New Roman" w:hAnsi="Times New Roman" w:cs="Times New Roman"/>
          <w:lang w:val="es-MX"/>
        </w:rPr>
        <w:t xml:space="preserve">Previo a la crisis causada por la pandemia, el gobierno tenía una propuesta de </w:t>
      </w:r>
      <w:r w:rsidRPr="008343DC">
        <w:rPr>
          <w:rFonts w:ascii="Times New Roman" w:hAnsi="Times New Roman" w:cs="Times New Roman"/>
          <w:lang w:val="es-MX"/>
        </w:rPr>
        <w:t>ampliación presupuestaria como consecuencia de la no aprobación del presupuesto para el ejercicio fiscal 2020</w:t>
      </w:r>
      <w:r>
        <w:rPr>
          <w:rFonts w:ascii="Times New Roman" w:hAnsi="Times New Roman" w:cs="Times New Roman"/>
          <w:lang w:val="es-MX"/>
        </w:rPr>
        <w:t xml:space="preserve">, la cual fue modificada para atender la coyuntura nacional. </w:t>
      </w:r>
    </w:p>
    <w:p w:rsidR="00043AF7" w:rsidRDefault="00043AF7" w:rsidP="00043AF7">
      <w:pPr>
        <w:pStyle w:val="Sinespaciado"/>
        <w:jc w:val="both"/>
        <w:rPr>
          <w:rFonts w:ascii="Times New Roman" w:hAnsi="Times New Roman" w:cs="Times New Roman"/>
          <w:lang w:val="es-MX"/>
        </w:rPr>
      </w:pPr>
    </w:p>
    <w:p w:rsidR="00043AF7" w:rsidRDefault="00043AF7" w:rsidP="00043AF7">
      <w:pPr>
        <w:pStyle w:val="Sinespaciado"/>
        <w:jc w:val="both"/>
        <w:rPr>
          <w:rFonts w:ascii="Times New Roman" w:hAnsi="Times New Roman" w:cs="Times New Roman"/>
          <w:lang w:val="es-MX"/>
        </w:rPr>
      </w:pPr>
      <w:r>
        <w:rPr>
          <w:rFonts w:ascii="Times New Roman" w:hAnsi="Times New Roman" w:cs="Times New Roman"/>
          <w:lang w:val="es-MX"/>
        </w:rPr>
        <w:t xml:space="preserve">A nivel de rubro de cuenta económica, se observa que el mayor gasto se destinó al pago de las remuneraciones, el cual reporta un crecimiento interanual de 14.5% y una ejecución mayor en Q828.6 millones respecto a marzo del año previo, explicado por los incrementos salariales de algunos ministerios </w:t>
      </w:r>
      <w:r>
        <w:rPr>
          <w:rFonts w:ascii="Times New Roman" w:hAnsi="Times New Roman" w:cs="Times New Roman"/>
          <w:lang w:val="es-MX"/>
        </w:rPr>
        <w:lastRenderedPageBreak/>
        <w:t xml:space="preserve">como Educación, Salud y Gobernación. Otros rubros que reportaron avances importantes respecto al año previo son: bienes y servicios con 12.6% y los intereses de la deuda pública con 35.9%. </w:t>
      </w:r>
    </w:p>
    <w:p w:rsidR="00043AF7" w:rsidRDefault="00043AF7" w:rsidP="00043AF7">
      <w:pPr>
        <w:pStyle w:val="Sinespaciado"/>
        <w:jc w:val="both"/>
        <w:rPr>
          <w:rFonts w:ascii="Times New Roman" w:hAnsi="Times New Roman" w:cs="Times New Roman"/>
          <w:lang w:val="es-MX"/>
        </w:rPr>
      </w:pPr>
    </w:p>
    <w:p w:rsidR="00043AF7" w:rsidRDefault="00043AF7" w:rsidP="00043AF7">
      <w:pPr>
        <w:pStyle w:val="Sinespaciado"/>
        <w:jc w:val="both"/>
        <w:rPr>
          <w:rFonts w:ascii="Times New Roman" w:hAnsi="Times New Roman" w:cs="Times New Roman"/>
          <w:lang w:val="es-MX"/>
        </w:rPr>
      </w:pPr>
      <w:r>
        <w:rPr>
          <w:rFonts w:ascii="Times New Roman" w:hAnsi="Times New Roman" w:cs="Times New Roman"/>
          <w:lang w:val="es-MX"/>
        </w:rPr>
        <w:t>Por su parte, las transferencias corrientes y la inversión real directa reportan caídas, siendo de 14.6% (equivalente a Q627.3 millones) y de 67.4% (equivalente a Q422.7 millones), respectivamente.</w:t>
      </w:r>
    </w:p>
    <w:p w:rsidR="00043AF7" w:rsidRDefault="00043AF7" w:rsidP="00043AF7">
      <w:pPr>
        <w:pStyle w:val="Sinespaciado"/>
        <w:jc w:val="both"/>
        <w:rPr>
          <w:rFonts w:ascii="Times New Roman" w:hAnsi="Times New Roman" w:cs="Times New Roman"/>
          <w:lang w:val="es-MX"/>
        </w:rPr>
      </w:pPr>
    </w:p>
    <w:p w:rsidR="00043AF7" w:rsidRPr="008F3134" w:rsidRDefault="00043AF7" w:rsidP="00043AF7">
      <w:pPr>
        <w:pStyle w:val="Sinespaciado"/>
        <w:jc w:val="both"/>
        <w:rPr>
          <w:rFonts w:ascii="Times New Roman" w:hAnsi="Times New Roman" w:cs="Times New Roman"/>
          <w:color w:val="FF0000"/>
          <w:lang w:val="es-MX"/>
        </w:rPr>
      </w:pPr>
      <w:r w:rsidRPr="007D4AD8">
        <w:rPr>
          <w:rFonts w:ascii="Times New Roman" w:hAnsi="Times New Roman" w:cs="Times New Roman"/>
          <w:lang w:val="es-MX"/>
        </w:rPr>
        <w:t xml:space="preserve">La caída observada en la inversión real directa se asocia a la baja ejecución del Ministerio de Comunicaciones, Infraestructura y Vivienda, </w:t>
      </w:r>
      <w:r>
        <w:rPr>
          <w:rFonts w:ascii="Times New Roman" w:hAnsi="Times New Roman" w:cs="Times New Roman"/>
          <w:lang w:val="es-MX"/>
        </w:rPr>
        <w:t>siendo</w:t>
      </w:r>
      <w:r w:rsidRPr="007D4AD8">
        <w:rPr>
          <w:rFonts w:ascii="Times New Roman" w:hAnsi="Times New Roman" w:cs="Times New Roman"/>
          <w:lang w:val="es-MX"/>
        </w:rPr>
        <w:t xml:space="preserve"> la entidad que reporta la menor ejecución, únicamente del </w:t>
      </w:r>
      <w:r>
        <w:rPr>
          <w:rFonts w:ascii="Times New Roman" w:hAnsi="Times New Roman" w:cs="Times New Roman"/>
          <w:lang w:val="es-MX"/>
        </w:rPr>
        <w:t>9</w:t>
      </w:r>
      <w:r w:rsidRPr="007D4AD8">
        <w:rPr>
          <w:rFonts w:ascii="Times New Roman" w:hAnsi="Times New Roman" w:cs="Times New Roman"/>
          <w:lang w:val="es-MX"/>
        </w:rPr>
        <w:t>.</w:t>
      </w:r>
      <w:r>
        <w:rPr>
          <w:rFonts w:ascii="Times New Roman" w:hAnsi="Times New Roman" w:cs="Times New Roman"/>
          <w:lang w:val="es-MX"/>
        </w:rPr>
        <w:t>0</w:t>
      </w:r>
      <w:r w:rsidRPr="007D4AD8">
        <w:rPr>
          <w:rFonts w:ascii="Times New Roman" w:hAnsi="Times New Roman" w:cs="Times New Roman"/>
          <w:lang w:val="es-MX"/>
        </w:rPr>
        <w:t>%, lo cual afecta el desarrollo de la infraestructura vial.</w:t>
      </w:r>
    </w:p>
    <w:p w:rsidR="00537B9E" w:rsidRPr="008F3134" w:rsidRDefault="00537B9E" w:rsidP="00634664">
      <w:pPr>
        <w:spacing w:after="0" w:line="240" w:lineRule="auto"/>
        <w:jc w:val="both"/>
        <w:rPr>
          <w:rFonts w:ascii="Times New Roman" w:hAnsi="Times New Roman" w:cs="Times New Roman"/>
          <w:color w:val="FF0000"/>
          <w:lang w:val="es-MX"/>
        </w:rPr>
      </w:pPr>
    </w:p>
    <w:p w:rsidR="00634664" w:rsidRPr="00043AF7" w:rsidRDefault="00634664" w:rsidP="00634664">
      <w:pPr>
        <w:pStyle w:val="Sinespaciado"/>
        <w:jc w:val="center"/>
        <w:rPr>
          <w:rFonts w:ascii="Times New Roman" w:hAnsi="Times New Roman" w:cs="Times New Roman"/>
          <w:color w:val="000000" w:themeColor="text1"/>
          <w:sz w:val="18"/>
          <w:lang w:val="es-MX"/>
        </w:rPr>
      </w:pPr>
      <w:r w:rsidRPr="00043AF7">
        <w:rPr>
          <w:rFonts w:ascii="Times New Roman" w:hAnsi="Times New Roman" w:cs="Times New Roman"/>
          <w:b/>
          <w:color w:val="000000" w:themeColor="text1"/>
          <w:lang w:val="es-MX"/>
        </w:rPr>
        <w:t>Ejecución por rubro de Cuenta Económica</w:t>
      </w:r>
      <w:r w:rsidRPr="00043AF7">
        <w:rPr>
          <w:color w:val="000000" w:themeColor="text1"/>
        </w:rPr>
        <w:t xml:space="preserve"> </w:t>
      </w:r>
      <w:r w:rsidRPr="00043AF7">
        <w:rPr>
          <w:rFonts w:ascii="Times New Roman" w:hAnsi="Times New Roman" w:cs="Times New Roman"/>
          <w:color w:val="000000" w:themeColor="text1"/>
          <w:sz w:val="18"/>
          <w:lang w:val="es-MX"/>
        </w:rPr>
        <w:t>2020 – 2019</w:t>
      </w:r>
    </w:p>
    <w:p w:rsidR="00634664" w:rsidRPr="00043AF7" w:rsidRDefault="00043AF7" w:rsidP="00634664">
      <w:pPr>
        <w:pStyle w:val="Sinespaciado"/>
        <w:jc w:val="center"/>
        <w:rPr>
          <w:rFonts w:ascii="Times New Roman" w:hAnsi="Times New Roman" w:cs="Times New Roman"/>
          <w:color w:val="000000" w:themeColor="text1"/>
          <w:lang w:val="es-MX"/>
        </w:rPr>
      </w:pPr>
      <w:r w:rsidRPr="00043AF7">
        <w:rPr>
          <w:rFonts w:ascii="Times New Roman" w:hAnsi="Times New Roman" w:cs="Times New Roman"/>
          <w:noProof/>
          <w:color w:val="000000" w:themeColor="text1"/>
          <w:lang w:eastAsia="es-GT"/>
        </w:rPr>
        <w:drawing>
          <wp:anchor distT="0" distB="0" distL="114300" distR="114300" simplePos="0" relativeHeight="251763712" behindDoc="0" locked="0" layoutInCell="1" allowOverlap="1" wp14:anchorId="2EED8F2A" wp14:editId="6A9A09EF">
            <wp:simplePos x="0" y="0"/>
            <wp:positionH relativeFrom="column">
              <wp:posOffset>635</wp:posOffset>
            </wp:positionH>
            <wp:positionV relativeFrom="paragraph">
              <wp:posOffset>213995</wp:posOffset>
            </wp:positionV>
            <wp:extent cx="2861945" cy="1788795"/>
            <wp:effectExtent l="0" t="0" r="0" b="190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15" r="4121" b="10198"/>
                    <a:stretch/>
                  </pic:blipFill>
                  <pic:spPr bwMode="auto">
                    <a:xfrm>
                      <a:off x="0" y="0"/>
                      <a:ext cx="2861945" cy="178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664" w:rsidRPr="00043AF7">
        <w:rPr>
          <w:rFonts w:ascii="Times New Roman" w:hAnsi="Times New Roman" w:cs="Times New Roman"/>
          <w:color w:val="000000" w:themeColor="text1"/>
          <w:sz w:val="18"/>
          <w:lang w:val="es-MX"/>
        </w:rPr>
        <w:t>Variación absoluta interanual</w:t>
      </w:r>
    </w:p>
    <w:p w:rsidR="00634664" w:rsidRPr="00043AF7" w:rsidRDefault="00634664" w:rsidP="00634664">
      <w:pPr>
        <w:spacing w:after="0" w:line="240" w:lineRule="auto"/>
        <w:jc w:val="both"/>
        <w:rPr>
          <w:rFonts w:ascii="Times New Roman" w:hAnsi="Times New Roman" w:cs="Times New Roman"/>
          <w:color w:val="000000" w:themeColor="text1"/>
          <w:sz w:val="14"/>
        </w:rPr>
      </w:pPr>
      <w:r w:rsidRPr="00043AF7">
        <w:rPr>
          <w:rFonts w:ascii="Times New Roman" w:hAnsi="Times New Roman" w:cs="Times New Roman"/>
          <w:color w:val="000000" w:themeColor="text1"/>
          <w:sz w:val="14"/>
        </w:rPr>
        <w:t>Fuente: Dirección de Análisis y Política Fiscal</w:t>
      </w:r>
    </w:p>
    <w:p w:rsidR="001E20AE" w:rsidRPr="008F3134" w:rsidRDefault="001E20AE" w:rsidP="007570C7">
      <w:pPr>
        <w:pStyle w:val="Sinespaciado"/>
        <w:jc w:val="both"/>
        <w:rPr>
          <w:rFonts w:ascii="Times New Roman" w:hAnsi="Times New Roman" w:cs="Times New Roman"/>
          <w:color w:val="FF0000"/>
          <w:lang w:val="es-MX"/>
        </w:rPr>
      </w:pPr>
    </w:p>
    <w:p w:rsidR="00B47E34" w:rsidRDefault="00B47E34" w:rsidP="00B47E34">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de capital, se observa una leve caída equivalente a Q1.7 millones, explicada por el lado de las transferencias que se realizan al sector privado y externo. </w:t>
      </w:r>
    </w:p>
    <w:p w:rsidR="00B47E34" w:rsidRDefault="00B47E34" w:rsidP="00B47E34">
      <w:pPr>
        <w:pStyle w:val="Sinespaciado"/>
        <w:jc w:val="both"/>
        <w:rPr>
          <w:rFonts w:ascii="Times New Roman" w:hAnsi="Times New Roman" w:cs="Times New Roman"/>
          <w:lang w:val="es-MX"/>
        </w:rPr>
      </w:pPr>
    </w:p>
    <w:p w:rsidR="00B47E34" w:rsidRDefault="00B47E34" w:rsidP="00B47E34">
      <w:pPr>
        <w:pStyle w:val="Sinespaciado"/>
        <w:jc w:val="both"/>
        <w:rPr>
          <w:rFonts w:ascii="Times New Roman" w:hAnsi="Times New Roman" w:cs="Times New Roman"/>
          <w:lang w:val="es-MX"/>
        </w:rPr>
      </w:pPr>
      <w:r w:rsidRPr="006220B2">
        <w:rPr>
          <w:rFonts w:ascii="Times New Roman" w:hAnsi="Times New Roman" w:cs="Times New Roman"/>
          <w:lang w:val="es-MX"/>
        </w:rPr>
        <w:t xml:space="preserve">Respecto a la ejecución total del gasto, la cual incluye amortizaciones de la </w:t>
      </w:r>
      <w:r>
        <w:rPr>
          <w:rFonts w:ascii="Times New Roman" w:hAnsi="Times New Roman" w:cs="Times New Roman"/>
          <w:lang w:val="es-MX"/>
        </w:rPr>
        <w:t xml:space="preserve">deuda pública, esta </w:t>
      </w:r>
      <w:r w:rsidRPr="006220B2">
        <w:rPr>
          <w:rFonts w:ascii="Times New Roman" w:hAnsi="Times New Roman" w:cs="Times New Roman"/>
          <w:lang w:val="es-MX"/>
        </w:rPr>
        <w:t>se situó en Q</w:t>
      </w:r>
      <w:r>
        <w:rPr>
          <w:rFonts w:ascii="Times New Roman" w:hAnsi="Times New Roman" w:cs="Times New Roman"/>
          <w:lang w:val="es-MX"/>
        </w:rPr>
        <w:t>17</w:t>
      </w:r>
      <w:r w:rsidRPr="006220B2">
        <w:rPr>
          <w:rFonts w:ascii="Times New Roman" w:hAnsi="Times New Roman" w:cs="Times New Roman"/>
          <w:lang w:val="es-MX"/>
        </w:rPr>
        <w:t>,</w:t>
      </w:r>
      <w:r>
        <w:rPr>
          <w:rFonts w:ascii="Times New Roman" w:hAnsi="Times New Roman" w:cs="Times New Roman"/>
          <w:lang w:val="es-MX"/>
        </w:rPr>
        <w:t>760.7</w:t>
      </w:r>
      <w:r w:rsidRPr="006220B2">
        <w:rPr>
          <w:rFonts w:ascii="Times New Roman" w:hAnsi="Times New Roman" w:cs="Times New Roman"/>
          <w:lang w:val="es-MX"/>
        </w:rPr>
        <w:t xml:space="preserve"> millones</w:t>
      </w:r>
      <w:r>
        <w:rPr>
          <w:rFonts w:ascii="Times New Roman" w:hAnsi="Times New Roman" w:cs="Times New Roman"/>
          <w:lang w:val="es-MX"/>
        </w:rPr>
        <w:t xml:space="preserve">, con un grado de ejecución de 20.2% y una variación interanual </w:t>
      </w:r>
      <w:r>
        <w:rPr>
          <w:rFonts w:ascii="Times New Roman" w:hAnsi="Times New Roman" w:cs="Times New Roman"/>
          <w:lang w:val="es-MX"/>
        </w:rPr>
        <w:t>del 2.4%. E</w:t>
      </w:r>
      <w:r w:rsidRPr="006220B2">
        <w:rPr>
          <w:rFonts w:ascii="Times New Roman" w:hAnsi="Times New Roman" w:cs="Times New Roman"/>
          <w:lang w:val="es-MX"/>
        </w:rPr>
        <w:t>ste nivel se encuentra por arriba de la ejecución promedio de los últimos 5 años (</w:t>
      </w:r>
      <w:r>
        <w:rPr>
          <w:rFonts w:ascii="Times New Roman" w:hAnsi="Times New Roman" w:cs="Times New Roman"/>
          <w:lang w:val="es-MX"/>
        </w:rPr>
        <w:t>19.8</w:t>
      </w:r>
      <w:r w:rsidRPr="006220B2">
        <w:rPr>
          <w:rFonts w:ascii="Times New Roman" w:hAnsi="Times New Roman" w:cs="Times New Roman"/>
          <w:lang w:val="es-MX"/>
        </w:rPr>
        <w:t>%)</w:t>
      </w:r>
      <w:r>
        <w:rPr>
          <w:rFonts w:ascii="Times New Roman" w:hAnsi="Times New Roman" w:cs="Times New Roman"/>
          <w:lang w:val="es-MX"/>
        </w:rPr>
        <w:t xml:space="preserve"> </w:t>
      </w:r>
      <w:r w:rsidRPr="006220B2">
        <w:rPr>
          <w:rFonts w:ascii="Times New Roman" w:hAnsi="Times New Roman" w:cs="Times New Roman"/>
          <w:lang w:val="es-MX"/>
        </w:rPr>
        <w:t>y es superior a la reportada en</w:t>
      </w:r>
      <w:r>
        <w:rPr>
          <w:rFonts w:ascii="Times New Roman" w:hAnsi="Times New Roman" w:cs="Times New Roman"/>
          <w:lang w:val="es-MX"/>
        </w:rPr>
        <w:t>tre 2016-2019.</w:t>
      </w:r>
      <w:r w:rsidRPr="006220B2">
        <w:rPr>
          <w:rFonts w:ascii="Times New Roman" w:hAnsi="Times New Roman" w:cs="Times New Roman"/>
          <w:lang w:val="es-MX"/>
        </w:rPr>
        <w:t xml:space="preserve"> </w:t>
      </w:r>
    </w:p>
    <w:p w:rsidR="00B47E34" w:rsidRDefault="00B47E34" w:rsidP="00B47E34">
      <w:pPr>
        <w:pStyle w:val="Sinespaciado"/>
        <w:jc w:val="both"/>
        <w:rPr>
          <w:rFonts w:ascii="Times New Roman" w:hAnsi="Times New Roman" w:cs="Times New Roman"/>
          <w:lang w:val="es-MX"/>
        </w:rPr>
      </w:pPr>
    </w:p>
    <w:p w:rsidR="00B47E34" w:rsidRDefault="00B47E34" w:rsidP="00B47E34">
      <w:pPr>
        <w:pStyle w:val="Sinespaciado"/>
        <w:jc w:val="both"/>
        <w:rPr>
          <w:rFonts w:ascii="Times New Roman" w:hAnsi="Times New Roman" w:cs="Times New Roman"/>
        </w:rPr>
      </w:pPr>
      <w:r>
        <w:rPr>
          <w:rFonts w:ascii="Times New Roman" w:hAnsi="Times New Roman" w:cs="Times New Roman"/>
        </w:rPr>
        <w:t>A nivel del gasto público por entidades, muestran el mayor nivel de ejecución la PGN</w:t>
      </w:r>
      <w:r w:rsidRPr="003F609E">
        <w:rPr>
          <w:rFonts w:ascii="Times New Roman" w:hAnsi="Times New Roman" w:cs="Times New Roman"/>
        </w:rPr>
        <w:t xml:space="preserve"> (</w:t>
      </w:r>
      <w:r>
        <w:rPr>
          <w:rFonts w:ascii="Times New Roman" w:hAnsi="Times New Roman" w:cs="Times New Roman"/>
        </w:rPr>
        <w:t>26.6</w:t>
      </w:r>
      <w:r w:rsidRPr="003F609E">
        <w:rPr>
          <w:rFonts w:ascii="Times New Roman" w:hAnsi="Times New Roman" w:cs="Times New Roman"/>
        </w:rPr>
        <w:t>%)</w:t>
      </w:r>
      <w:r>
        <w:rPr>
          <w:rFonts w:ascii="Times New Roman" w:hAnsi="Times New Roman" w:cs="Times New Roman"/>
        </w:rPr>
        <w:t xml:space="preserve">, Educación (25.5%), Presidencia (23.1%), Gobernación (21.5%) y las Obligaciones a Cargo del Tesoro (21.4%), siendo la ejecución de estas entidades superior a la ejecución institucional total (20.2%).     </w:t>
      </w:r>
    </w:p>
    <w:p w:rsidR="00B47E34" w:rsidRDefault="00B47E34" w:rsidP="00B47E34">
      <w:pPr>
        <w:pStyle w:val="Sinespaciado"/>
        <w:jc w:val="both"/>
        <w:rPr>
          <w:rFonts w:ascii="Times New Roman" w:hAnsi="Times New Roman" w:cs="Times New Roman"/>
        </w:rPr>
      </w:pPr>
    </w:p>
    <w:p w:rsidR="00B47E34" w:rsidRDefault="00B47E34" w:rsidP="00B47E34">
      <w:pPr>
        <w:pStyle w:val="Sinespaciado"/>
        <w:jc w:val="both"/>
        <w:rPr>
          <w:rFonts w:ascii="Times New Roman" w:hAnsi="Times New Roman" w:cs="Times New Roman"/>
        </w:rPr>
      </w:pPr>
      <w:r>
        <w:rPr>
          <w:rFonts w:ascii="Times New Roman" w:hAnsi="Times New Roman" w:cs="Times New Roman"/>
        </w:rPr>
        <w:t>Por su parte, el resto de las entidades se encuentra por debajo de la ejecución institucional total, resalta en especial el caso del Ministerio de Desarrollo Social (12.0%) y Comunicaciones, Infraestructura y Vivienda (9.0%), por encontrarse muy por debajo de la ejecución total</w:t>
      </w:r>
      <w:r w:rsidRPr="007D1984">
        <w:rPr>
          <w:rFonts w:ascii="Times New Roman" w:hAnsi="Times New Roman" w:cs="Times New Roman"/>
        </w:rPr>
        <w:t>.</w:t>
      </w:r>
    </w:p>
    <w:p w:rsidR="00B47E34" w:rsidRDefault="00B47E34" w:rsidP="00B47E34">
      <w:pPr>
        <w:pStyle w:val="Sinespaciado"/>
        <w:jc w:val="both"/>
        <w:rPr>
          <w:rFonts w:ascii="Times New Roman" w:hAnsi="Times New Roman" w:cs="Times New Roman"/>
        </w:rPr>
      </w:pPr>
    </w:p>
    <w:p w:rsidR="00B47E34" w:rsidRDefault="00B47E34" w:rsidP="00B47E34">
      <w:pPr>
        <w:pStyle w:val="Sinespaciado"/>
        <w:jc w:val="both"/>
        <w:rPr>
          <w:rFonts w:ascii="Times New Roman" w:hAnsi="Times New Roman" w:cs="Times New Roman"/>
        </w:rPr>
      </w:pPr>
      <w:r>
        <w:rPr>
          <w:rFonts w:ascii="Times New Roman" w:hAnsi="Times New Roman" w:cs="Times New Roman"/>
        </w:rPr>
        <w:t xml:space="preserve">Ambas entidades podrían reportar un repunte importante de su ejecución en los próximos meses, ya que fueron beneficiadas con ampliaciones presupuestarias. En el caso del Ministerio de Desarrollo Social, la ampliación presupuestaria aprobada es seis veces el presupuesto de la entidad.   </w:t>
      </w:r>
    </w:p>
    <w:p w:rsidR="00B47E34" w:rsidRDefault="00B47E34" w:rsidP="00B47E34">
      <w:pPr>
        <w:pStyle w:val="Sinespaciado"/>
        <w:jc w:val="both"/>
        <w:rPr>
          <w:rFonts w:ascii="Times New Roman" w:hAnsi="Times New Roman" w:cs="Times New Roman"/>
        </w:rPr>
      </w:pPr>
    </w:p>
    <w:p w:rsidR="00B47E34" w:rsidRDefault="00B47E34" w:rsidP="00B47E34">
      <w:pPr>
        <w:pStyle w:val="Sinespaciado"/>
        <w:jc w:val="both"/>
        <w:rPr>
          <w:rFonts w:ascii="Times New Roman" w:hAnsi="Times New Roman" w:cs="Times New Roman"/>
        </w:rPr>
      </w:pPr>
      <w:r>
        <w:rPr>
          <w:rFonts w:ascii="Times New Roman" w:hAnsi="Times New Roman" w:cs="Times New Roman"/>
        </w:rPr>
        <w:t xml:space="preserve">En cuanto a crecimiento interanual once entidades </w:t>
      </w:r>
      <w:r w:rsidRPr="00502A24">
        <w:rPr>
          <w:rFonts w:ascii="Times New Roman" w:hAnsi="Times New Roman" w:cs="Times New Roman"/>
        </w:rPr>
        <w:t>reportan avances en su ejecución respecto al año previo,</w:t>
      </w:r>
      <w:r>
        <w:rPr>
          <w:rFonts w:ascii="Times New Roman" w:hAnsi="Times New Roman" w:cs="Times New Roman"/>
        </w:rPr>
        <w:t xml:space="preserve"> es significativo el avance reportado por el Ministerio de Gobernación (25.2%), el Servicio de la Deuda Pública (22.5%) y Salud Pública y Asistencia Social (18.4%).</w:t>
      </w:r>
    </w:p>
    <w:p w:rsidR="00B47E34" w:rsidRDefault="00B47E34" w:rsidP="00B47E34">
      <w:pPr>
        <w:pStyle w:val="Sinespaciado"/>
        <w:jc w:val="both"/>
        <w:rPr>
          <w:rFonts w:ascii="Times New Roman" w:hAnsi="Times New Roman" w:cs="Times New Roman"/>
        </w:rPr>
      </w:pPr>
    </w:p>
    <w:p w:rsidR="00634664" w:rsidRPr="008F3134" w:rsidRDefault="00B47E34" w:rsidP="00B47E34">
      <w:pPr>
        <w:pStyle w:val="Sinespaciado"/>
        <w:jc w:val="both"/>
        <w:rPr>
          <w:rFonts w:ascii="Times New Roman" w:hAnsi="Times New Roman" w:cs="Times New Roman"/>
          <w:color w:val="FF0000"/>
        </w:rPr>
      </w:pPr>
      <w:r>
        <w:rPr>
          <w:rFonts w:ascii="Times New Roman" w:hAnsi="Times New Roman" w:cs="Times New Roman"/>
        </w:rPr>
        <w:t>Entre las entidades que reportan retrocesos en su ejecución se encuentran ocho entidades, resalta el Ministerio de Economía (-41.2%), Comunicaciones, Infraestructura y Vivienda (-32.7%) y el Ministerio de Trabajo (-23.3%).</w:t>
      </w:r>
      <w:r w:rsidR="00634664" w:rsidRPr="008F3134">
        <w:rPr>
          <w:rFonts w:ascii="Times New Roman" w:hAnsi="Times New Roman" w:cs="Times New Roman"/>
          <w:color w:val="FF0000"/>
        </w:rPr>
        <w:t xml:space="preserve"> </w:t>
      </w:r>
    </w:p>
    <w:p w:rsidR="001E20AE" w:rsidRDefault="001E20AE" w:rsidP="007570C7">
      <w:pPr>
        <w:pStyle w:val="Sinespaciado"/>
        <w:jc w:val="both"/>
        <w:rPr>
          <w:rFonts w:ascii="Times New Roman" w:hAnsi="Times New Roman" w:cs="Times New Roman"/>
          <w:color w:val="000000" w:themeColor="text1"/>
        </w:rPr>
      </w:pPr>
    </w:p>
    <w:p w:rsidR="00B47E34" w:rsidRDefault="00B47E34" w:rsidP="007570C7">
      <w:pPr>
        <w:pStyle w:val="Sinespaciado"/>
        <w:jc w:val="both"/>
        <w:rPr>
          <w:rFonts w:ascii="Times New Roman" w:hAnsi="Times New Roman" w:cs="Times New Roman"/>
          <w:color w:val="000000" w:themeColor="text1"/>
        </w:rPr>
      </w:pPr>
    </w:p>
    <w:p w:rsidR="00B47E34" w:rsidRPr="00B47E34" w:rsidRDefault="00B47E34" w:rsidP="007570C7">
      <w:pPr>
        <w:pStyle w:val="Sinespaciado"/>
        <w:jc w:val="both"/>
        <w:rPr>
          <w:rFonts w:ascii="Times New Roman" w:hAnsi="Times New Roman" w:cs="Times New Roman"/>
          <w:color w:val="000000" w:themeColor="text1"/>
        </w:rPr>
      </w:pPr>
    </w:p>
    <w:p w:rsidR="00634664" w:rsidRPr="00B47E34" w:rsidRDefault="00634664" w:rsidP="00634664">
      <w:pPr>
        <w:spacing w:after="0" w:line="240" w:lineRule="auto"/>
        <w:jc w:val="center"/>
        <w:rPr>
          <w:rFonts w:ascii="Times New Roman" w:hAnsi="Times New Roman" w:cs="Times New Roman"/>
          <w:b/>
          <w:color w:val="000000" w:themeColor="text1"/>
          <w:lang w:val="es-MX"/>
        </w:rPr>
      </w:pPr>
      <w:r w:rsidRPr="00B47E34">
        <w:rPr>
          <w:rFonts w:ascii="Times New Roman" w:hAnsi="Times New Roman" w:cs="Times New Roman"/>
          <w:b/>
          <w:color w:val="000000" w:themeColor="text1"/>
          <w:lang w:val="es-MX"/>
        </w:rPr>
        <w:lastRenderedPageBreak/>
        <w:t>Grado de Ejecución por Entidad</w:t>
      </w:r>
    </w:p>
    <w:p w:rsidR="00634664" w:rsidRPr="00B47E34" w:rsidRDefault="00B47E34" w:rsidP="00634664">
      <w:pPr>
        <w:spacing w:after="0" w:line="240" w:lineRule="auto"/>
        <w:jc w:val="center"/>
        <w:rPr>
          <w:rFonts w:ascii="Times New Roman" w:hAnsi="Times New Roman" w:cs="Times New Roman"/>
          <w:color w:val="000000" w:themeColor="text1"/>
          <w:sz w:val="18"/>
          <w:szCs w:val="18"/>
          <w:lang w:val="es-MX"/>
        </w:rPr>
      </w:pPr>
      <w:r w:rsidRPr="00B47E34">
        <w:rPr>
          <w:rFonts w:ascii="Times New Roman" w:hAnsi="Times New Roman" w:cs="Times New Roman"/>
          <w:color w:val="000000" w:themeColor="text1"/>
          <w:sz w:val="18"/>
          <w:szCs w:val="18"/>
          <w:lang w:val="es-MX"/>
        </w:rPr>
        <w:t>Al 31</w:t>
      </w:r>
      <w:r w:rsidR="00634664" w:rsidRPr="00B47E34">
        <w:rPr>
          <w:rFonts w:ascii="Times New Roman" w:hAnsi="Times New Roman" w:cs="Times New Roman"/>
          <w:color w:val="000000" w:themeColor="text1"/>
          <w:sz w:val="18"/>
          <w:szCs w:val="18"/>
          <w:lang w:val="es-MX"/>
        </w:rPr>
        <w:t xml:space="preserve"> de </w:t>
      </w:r>
      <w:r w:rsidRPr="00B47E34">
        <w:rPr>
          <w:rFonts w:ascii="Times New Roman" w:hAnsi="Times New Roman" w:cs="Times New Roman"/>
          <w:color w:val="000000" w:themeColor="text1"/>
          <w:sz w:val="18"/>
          <w:szCs w:val="18"/>
          <w:lang w:val="es-MX"/>
        </w:rPr>
        <w:t>marzo</w:t>
      </w:r>
      <w:r w:rsidR="00634664" w:rsidRPr="00B47E34">
        <w:rPr>
          <w:rFonts w:ascii="Times New Roman" w:hAnsi="Times New Roman" w:cs="Times New Roman"/>
          <w:color w:val="000000" w:themeColor="text1"/>
          <w:sz w:val="18"/>
          <w:szCs w:val="18"/>
          <w:lang w:val="es-MX"/>
        </w:rPr>
        <w:t xml:space="preserve"> del 2020</w:t>
      </w:r>
    </w:p>
    <w:p w:rsidR="007570C7" w:rsidRPr="00B47E34" w:rsidRDefault="00B47E34" w:rsidP="00634664">
      <w:pPr>
        <w:spacing w:after="0" w:line="240" w:lineRule="auto"/>
        <w:jc w:val="center"/>
        <w:rPr>
          <w:rFonts w:ascii="Times New Roman" w:hAnsi="Times New Roman" w:cs="Times New Roman"/>
          <w:color w:val="000000" w:themeColor="text1"/>
          <w:sz w:val="18"/>
          <w:szCs w:val="18"/>
          <w:lang w:val="es-MX"/>
        </w:rPr>
      </w:pPr>
      <w:r w:rsidRPr="00B47E34">
        <w:rPr>
          <w:rFonts w:ascii="Times New Roman" w:hAnsi="Times New Roman" w:cs="Times New Roman"/>
          <w:noProof/>
          <w:color w:val="000000" w:themeColor="text1"/>
          <w:sz w:val="18"/>
          <w:szCs w:val="18"/>
          <w:lang w:eastAsia="es-GT"/>
        </w:rPr>
        <w:drawing>
          <wp:anchor distT="0" distB="0" distL="114300" distR="114300" simplePos="0" relativeHeight="251765760" behindDoc="0" locked="0" layoutInCell="1" allowOverlap="1" wp14:anchorId="13BE6B50" wp14:editId="0B278953">
            <wp:simplePos x="0" y="0"/>
            <wp:positionH relativeFrom="column">
              <wp:posOffset>635</wp:posOffset>
            </wp:positionH>
            <wp:positionV relativeFrom="paragraph">
              <wp:posOffset>194945</wp:posOffset>
            </wp:positionV>
            <wp:extent cx="2637790" cy="250380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2196" r="2018" b="3804"/>
                    <a:stretch/>
                  </pic:blipFill>
                  <pic:spPr bwMode="auto">
                    <a:xfrm>
                      <a:off x="0" y="0"/>
                      <a:ext cx="2637790" cy="250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0C7" w:rsidRPr="00B47E34">
        <w:rPr>
          <w:rFonts w:ascii="Times New Roman" w:hAnsi="Times New Roman" w:cs="Times New Roman"/>
          <w:color w:val="000000" w:themeColor="text1"/>
          <w:sz w:val="18"/>
          <w:szCs w:val="18"/>
          <w:lang w:val="es-MX"/>
        </w:rPr>
        <w:t>Millones de quetzales</w:t>
      </w:r>
    </w:p>
    <w:p w:rsidR="00634664" w:rsidRPr="008F3134" w:rsidRDefault="00634664" w:rsidP="00634664">
      <w:pPr>
        <w:spacing w:after="0" w:line="240" w:lineRule="auto"/>
        <w:jc w:val="both"/>
        <w:rPr>
          <w:rFonts w:ascii="Times New Roman" w:hAnsi="Times New Roman" w:cs="Times New Roman"/>
          <w:color w:val="FF0000"/>
          <w:sz w:val="14"/>
        </w:rPr>
      </w:pPr>
      <w:r w:rsidRPr="00B47E34">
        <w:rPr>
          <w:rFonts w:ascii="Times New Roman" w:hAnsi="Times New Roman" w:cs="Times New Roman"/>
          <w:color w:val="000000" w:themeColor="text1"/>
          <w:sz w:val="14"/>
        </w:rPr>
        <w:t>Fuente: Dirección de Análisis y Política Fiscal</w:t>
      </w:r>
    </w:p>
    <w:p w:rsidR="00634664" w:rsidRPr="008F3134" w:rsidRDefault="00634664" w:rsidP="00634664">
      <w:pPr>
        <w:pStyle w:val="Sinespaciado"/>
        <w:jc w:val="both"/>
        <w:rPr>
          <w:rFonts w:ascii="Times New Roman" w:hAnsi="Times New Roman" w:cs="Times New Roman"/>
          <w:color w:val="FF0000"/>
          <w:lang w:val="es-MX"/>
        </w:rPr>
      </w:pPr>
    </w:p>
    <w:p w:rsidR="00B47E34" w:rsidRDefault="00B47E34" w:rsidP="00B47E34">
      <w:pPr>
        <w:pStyle w:val="Sinespaciado"/>
        <w:jc w:val="both"/>
        <w:rPr>
          <w:rFonts w:ascii="Times New Roman" w:hAnsi="Times New Roman" w:cs="Times New Roman"/>
          <w:lang w:val="es-MX"/>
        </w:rPr>
      </w:pPr>
      <w:r>
        <w:rPr>
          <w:rFonts w:ascii="Times New Roman" w:hAnsi="Times New Roman" w:cs="Times New Roman"/>
          <w:lang w:val="es-MX"/>
        </w:rPr>
        <w:t>En r</w:t>
      </w:r>
      <w:r w:rsidRPr="00C74885">
        <w:rPr>
          <w:rFonts w:ascii="Times New Roman" w:hAnsi="Times New Roman" w:cs="Times New Roman"/>
          <w:lang w:val="es-MX"/>
        </w:rPr>
        <w:t>elación con</w:t>
      </w:r>
      <w:r>
        <w:rPr>
          <w:rFonts w:ascii="Times New Roman" w:hAnsi="Times New Roman" w:cs="Times New Roman"/>
          <w:lang w:val="es-MX"/>
        </w:rPr>
        <w:t xml:space="preserve"> </w:t>
      </w:r>
      <w:r w:rsidRPr="00C74885">
        <w:rPr>
          <w:rFonts w:ascii="Times New Roman" w:hAnsi="Times New Roman" w:cs="Times New Roman"/>
          <w:lang w:val="es-MX"/>
        </w:rPr>
        <w:t>l</w:t>
      </w:r>
      <w:r>
        <w:rPr>
          <w:rFonts w:ascii="Times New Roman" w:hAnsi="Times New Roman" w:cs="Times New Roman"/>
          <w:lang w:val="es-MX"/>
        </w:rPr>
        <w:t>a ejecución del</w:t>
      </w:r>
      <w:r w:rsidRPr="00C74885">
        <w:rPr>
          <w:rFonts w:ascii="Times New Roman" w:hAnsi="Times New Roman" w:cs="Times New Roman"/>
          <w:lang w:val="es-MX"/>
        </w:rPr>
        <w:t xml:space="preserve"> gasto social, </w:t>
      </w:r>
      <w:r>
        <w:rPr>
          <w:rFonts w:ascii="Times New Roman" w:hAnsi="Times New Roman" w:cs="Times New Roman"/>
          <w:lang w:val="es-MX"/>
        </w:rPr>
        <w:t xml:space="preserve">que considera únicamente los sectores de salud, educación y vivienda, se reporta una ejecución de 20.6%, el sector educación lidera el gasto social con una ejecución de 23.6%, seguido por el sector salud pública y asistencia social con 16.1% y vivienda con 5.0%. </w:t>
      </w:r>
    </w:p>
    <w:p w:rsidR="00B47E34" w:rsidRDefault="00B47E34" w:rsidP="00B47E34">
      <w:pPr>
        <w:pStyle w:val="Sinespaciado"/>
        <w:jc w:val="both"/>
        <w:rPr>
          <w:rFonts w:ascii="Times New Roman" w:hAnsi="Times New Roman" w:cs="Times New Roman"/>
          <w:lang w:val="es-MX"/>
        </w:rPr>
      </w:pPr>
    </w:p>
    <w:p w:rsidR="00B47E34" w:rsidRDefault="00B47E34" w:rsidP="00B47E34">
      <w:pPr>
        <w:pStyle w:val="Sinespaciado"/>
        <w:jc w:val="both"/>
        <w:rPr>
          <w:rFonts w:ascii="Times New Roman" w:hAnsi="Times New Roman" w:cs="Times New Roman"/>
          <w:lang w:val="es-MX"/>
        </w:rPr>
      </w:pPr>
      <w:r w:rsidRPr="004E01B5">
        <w:rPr>
          <w:rFonts w:ascii="Times New Roman" w:hAnsi="Times New Roman" w:cs="Times New Roman"/>
          <w:lang w:val="es-MX"/>
        </w:rPr>
        <w:t>Al analizar la ejecución del gasto social respecto a lo</w:t>
      </w:r>
      <w:r>
        <w:rPr>
          <w:rFonts w:ascii="Times New Roman" w:hAnsi="Times New Roman" w:cs="Times New Roman"/>
          <w:lang w:val="es-MX"/>
        </w:rPr>
        <w:t xml:space="preserve"> observado en el año previo, se observa que los tres rubros que lo conforman reportan avances en 2020, siendo el crecimiento </w:t>
      </w:r>
      <w:r>
        <w:rPr>
          <w:rFonts w:ascii="Times New Roman" w:hAnsi="Times New Roman" w:cs="Times New Roman"/>
          <w:lang w:val="es-MX"/>
        </w:rPr>
        <w:t xml:space="preserve">interanual de 5.5%, equivalente a Q370.8 millones.  </w:t>
      </w:r>
    </w:p>
    <w:p w:rsidR="00B47E34" w:rsidRDefault="00B47E34" w:rsidP="00B47E34">
      <w:pPr>
        <w:pStyle w:val="Sinespaciado"/>
        <w:jc w:val="both"/>
        <w:rPr>
          <w:rFonts w:ascii="Times New Roman" w:hAnsi="Times New Roman" w:cs="Times New Roman"/>
          <w:lang w:val="es-MX"/>
        </w:rPr>
      </w:pPr>
      <w:r>
        <w:rPr>
          <w:rFonts w:ascii="Times New Roman" w:hAnsi="Times New Roman" w:cs="Times New Roman"/>
          <w:lang w:val="es-MX"/>
        </w:rPr>
        <w:t xml:space="preserve">Al incluir en el gasto social a los sectores que son parte de los compromisos asumidos por los Acuerdos de Paz, la ejecución aumenta hasta ubicarse en 21.3%. </w:t>
      </w:r>
    </w:p>
    <w:p w:rsidR="00B47E34" w:rsidRDefault="00B47E34" w:rsidP="00B47E34">
      <w:pPr>
        <w:pStyle w:val="Sinespaciado"/>
        <w:jc w:val="both"/>
        <w:rPr>
          <w:rFonts w:ascii="Times New Roman" w:hAnsi="Times New Roman" w:cs="Times New Roman"/>
          <w:lang w:val="es-MX"/>
        </w:rPr>
      </w:pPr>
    </w:p>
    <w:p w:rsidR="00B47E34" w:rsidRPr="00EF2374" w:rsidRDefault="00B47E34" w:rsidP="00B47E34">
      <w:pPr>
        <w:pStyle w:val="Sinespaciado"/>
        <w:jc w:val="both"/>
        <w:rPr>
          <w:rFonts w:ascii="Times New Roman" w:hAnsi="Times New Roman" w:cs="Times New Roman"/>
          <w:lang w:val="es-MX"/>
        </w:rPr>
      </w:pPr>
      <w:r>
        <w:rPr>
          <w:rFonts w:ascii="Times New Roman" w:hAnsi="Times New Roman" w:cs="Times New Roman"/>
          <w:lang w:val="es-MX"/>
        </w:rPr>
        <w:t xml:space="preserve">Los aportes dados al Organismo Judicial y a Corte de Constitucionalidad muestran el mayor dinamismo del gasto social con 32.8% de ejecución. Por su parte, el sector de seguridad interna cuenta con una ejecución de 21.0% y </w:t>
      </w:r>
      <w:r w:rsidRPr="00EF2374">
        <w:rPr>
          <w:rFonts w:ascii="Times New Roman" w:hAnsi="Times New Roman" w:cs="Times New Roman"/>
          <w:lang w:val="es-MX"/>
        </w:rPr>
        <w:t xml:space="preserve">el aporte del Ministerio Público muestra un grado de ejecución de </w:t>
      </w:r>
      <w:r>
        <w:rPr>
          <w:rFonts w:ascii="Times New Roman" w:hAnsi="Times New Roman" w:cs="Times New Roman"/>
          <w:lang w:val="es-MX"/>
        </w:rPr>
        <w:t>20</w:t>
      </w:r>
      <w:r w:rsidRPr="00EF2374">
        <w:rPr>
          <w:rFonts w:ascii="Times New Roman" w:hAnsi="Times New Roman" w:cs="Times New Roman"/>
          <w:lang w:val="es-MX"/>
        </w:rPr>
        <w:t xml:space="preserve">.4%. </w:t>
      </w:r>
    </w:p>
    <w:p w:rsidR="00B47E34" w:rsidRDefault="00B47E34" w:rsidP="00B47E34">
      <w:pPr>
        <w:pStyle w:val="Sinespaciado"/>
        <w:jc w:val="both"/>
        <w:rPr>
          <w:rFonts w:ascii="Times New Roman" w:hAnsi="Times New Roman" w:cs="Times New Roman"/>
          <w:lang w:val="es-MX"/>
        </w:rPr>
      </w:pPr>
    </w:p>
    <w:p w:rsidR="007570C7" w:rsidRPr="008F3134" w:rsidRDefault="00B47E34" w:rsidP="00B47E34">
      <w:pPr>
        <w:pStyle w:val="Sinespaciado"/>
        <w:jc w:val="both"/>
        <w:rPr>
          <w:rFonts w:ascii="Times New Roman" w:hAnsi="Times New Roman" w:cs="Times New Roman"/>
          <w:color w:val="FF0000"/>
          <w:lang w:val="es-MX"/>
        </w:rPr>
      </w:pPr>
      <w:r>
        <w:rPr>
          <w:rFonts w:ascii="Times New Roman" w:hAnsi="Times New Roman" w:cs="Times New Roman"/>
          <w:lang w:val="es-MX"/>
        </w:rPr>
        <w:t>El gasto social total que incluye los aportes del OJ, CC, MP y la seguridad interna reporta un crecimiento de 8.4% respecto al 2019.</w:t>
      </w:r>
    </w:p>
    <w:p w:rsidR="00C739AF" w:rsidRPr="008F3134" w:rsidRDefault="00634664" w:rsidP="00634664">
      <w:pPr>
        <w:pStyle w:val="Sinespaciado"/>
        <w:jc w:val="both"/>
        <w:rPr>
          <w:rFonts w:ascii="Times New Roman" w:hAnsi="Times New Roman" w:cs="Times New Roman"/>
          <w:color w:val="FF0000"/>
          <w:lang w:val="es-MX"/>
        </w:rPr>
      </w:pPr>
      <w:r w:rsidRPr="008F3134">
        <w:rPr>
          <w:rFonts w:ascii="Times New Roman" w:hAnsi="Times New Roman" w:cs="Times New Roman"/>
          <w:color w:val="FF0000"/>
          <w:lang w:val="es-MX"/>
        </w:rPr>
        <w:t xml:space="preserve"> </w:t>
      </w:r>
    </w:p>
    <w:p w:rsidR="00C739AF" w:rsidRPr="008F3134" w:rsidRDefault="00C739AF" w:rsidP="00634664">
      <w:pPr>
        <w:pStyle w:val="Sinespaciado"/>
        <w:jc w:val="both"/>
        <w:rPr>
          <w:rFonts w:ascii="Times New Roman" w:hAnsi="Times New Roman" w:cs="Times New Roman"/>
          <w:color w:val="FF0000"/>
          <w:sz w:val="2"/>
          <w:lang w:val="es-MX"/>
        </w:rPr>
      </w:pPr>
    </w:p>
    <w:p w:rsidR="00634664" w:rsidRPr="00B47E34" w:rsidRDefault="00634664" w:rsidP="00634664">
      <w:pPr>
        <w:pStyle w:val="Sinespaciado"/>
        <w:jc w:val="center"/>
        <w:rPr>
          <w:rFonts w:ascii="Times New Roman" w:hAnsi="Times New Roman" w:cs="Times New Roman"/>
          <w:b/>
          <w:color w:val="000000" w:themeColor="text1"/>
          <w:lang w:val="es-MX"/>
        </w:rPr>
      </w:pPr>
      <w:r w:rsidRPr="00B47E34">
        <w:rPr>
          <w:rFonts w:ascii="Times New Roman" w:hAnsi="Times New Roman" w:cs="Times New Roman"/>
          <w:b/>
          <w:color w:val="000000" w:themeColor="text1"/>
          <w:lang w:val="es-MX"/>
        </w:rPr>
        <w:t xml:space="preserve">Ejecución del Gasto Social </w:t>
      </w:r>
    </w:p>
    <w:p w:rsidR="00634664" w:rsidRPr="00B47E34" w:rsidRDefault="00634664" w:rsidP="00634664">
      <w:pPr>
        <w:pStyle w:val="Sinespaciado"/>
        <w:jc w:val="center"/>
        <w:rPr>
          <w:rFonts w:ascii="Times New Roman" w:hAnsi="Times New Roman" w:cs="Times New Roman"/>
          <w:color w:val="000000" w:themeColor="text1"/>
          <w:sz w:val="18"/>
          <w:szCs w:val="18"/>
          <w:lang w:val="es-MX"/>
        </w:rPr>
      </w:pPr>
      <w:r w:rsidRPr="00B47E34">
        <w:rPr>
          <w:rFonts w:ascii="Times New Roman" w:hAnsi="Times New Roman" w:cs="Times New Roman"/>
          <w:color w:val="000000" w:themeColor="text1"/>
          <w:sz w:val="18"/>
          <w:szCs w:val="18"/>
          <w:lang w:val="es-MX"/>
        </w:rPr>
        <w:t xml:space="preserve">Al </w:t>
      </w:r>
      <w:r w:rsidR="00B47E34" w:rsidRPr="00B47E34">
        <w:rPr>
          <w:rFonts w:ascii="Times New Roman" w:hAnsi="Times New Roman" w:cs="Times New Roman"/>
          <w:color w:val="000000" w:themeColor="text1"/>
          <w:sz w:val="18"/>
          <w:szCs w:val="18"/>
          <w:lang w:val="es-MX"/>
        </w:rPr>
        <w:t>31</w:t>
      </w:r>
      <w:r w:rsidRPr="00B47E34">
        <w:rPr>
          <w:rFonts w:ascii="Times New Roman" w:hAnsi="Times New Roman" w:cs="Times New Roman"/>
          <w:color w:val="000000" w:themeColor="text1"/>
          <w:sz w:val="18"/>
          <w:szCs w:val="18"/>
          <w:lang w:val="es-MX"/>
        </w:rPr>
        <w:t xml:space="preserve"> de </w:t>
      </w:r>
      <w:r w:rsidR="00B47E34" w:rsidRPr="00B47E34">
        <w:rPr>
          <w:rFonts w:ascii="Times New Roman" w:hAnsi="Times New Roman" w:cs="Times New Roman"/>
          <w:color w:val="000000" w:themeColor="text1"/>
          <w:sz w:val="18"/>
          <w:szCs w:val="18"/>
          <w:lang w:val="es-MX"/>
        </w:rPr>
        <w:t>marzo</w:t>
      </w:r>
      <w:r w:rsidRPr="00B47E34">
        <w:rPr>
          <w:rFonts w:ascii="Times New Roman" w:hAnsi="Times New Roman" w:cs="Times New Roman"/>
          <w:color w:val="000000" w:themeColor="text1"/>
          <w:sz w:val="18"/>
          <w:szCs w:val="18"/>
          <w:lang w:val="es-MX"/>
        </w:rPr>
        <w:t xml:space="preserve"> </w:t>
      </w:r>
      <w:r w:rsidR="00B47E34" w:rsidRPr="00B47E34">
        <w:rPr>
          <w:rFonts w:ascii="Times New Roman" w:hAnsi="Times New Roman" w:cs="Times New Roman"/>
          <w:color w:val="000000" w:themeColor="text1"/>
          <w:sz w:val="18"/>
          <w:szCs w:val="18"/>
          <w:lang w:val="es-MX"/>
        </w:rPr>
        <w:t>2020</w:t>
      </w:r>
    </w:p>
    <w:p w:rsidR="00634664" w:rsidRPr="00B47E34" w:rsidRDefault="00B47E34" w:rsidP="00634664">
      <w:pPr>
        <w:pStyle w:val="Sinespaciado"/>
        <w:jc w:val="center"/>
        <w:rPr>
          <w:rFonts w:ascii="Times New Roman" w:hAnsi="Times New Roman" w:cs="Times New Roman"/>
          <w:color w:val="000000" w:themeColor="text1"/>
          <w:sz w:val="18"/>
          <w:szCs w:val="18"/>
          <w:lang w:val="es-MX"/>
        </w:rPr>
      </w:pPr>
      <w:r w:rsidRPr="00B47E34">
        <w:rPr>
          <w:noProof/>
          <w:color w:val="000000" w:themeColor="text1"/>
          <w:lang w:eastAsia="es-GT"/>
        </w:rPr>
        <w:drawing>
          <wp:anchor distT="0" distB="0" distL="114300" distR="114300" simplePos="0" relativeHeight="251767808" behindDoc="0" locked="0" layoutInCell="1" allowOverlap="1" wp14:anchorId="73B56287" wp14:editId="1091C8CF">
            <wp:simplePos x="0" y="0"/>
            <wp:positionH relativeFrom="column">
              <wp:posOffset>-2540</wp:posOffset>
            </wp:positionH>
            <wp:positionV relativeFrom="paragraph">
              <wp:posOffset>137795</wp:posOffset>
            </wp:positionV>
            <wp:extent cx="2743200" cy="1364615"/>
            <wp:effectExtent l="0" t="0" r="0" b="6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64" w:rsidRPr="00B47E34">
        <w:rPr>
          <w:rFonts w:ascii="Times New Roman" w:hAnsi="Times New Roman" w:cs="Times New Roman"/>
          <w:color w:val="000000" w:themeColor="text1"/>
          <w:sz w:val="18"/>
          <w:szCs w:val="18"/>
          <w:lang w:val="es-MX"/>
        </w:rPr>
        <w:t>Cifras en porcentajes y en millones de quetzales</w:t>
      </w:r>
    </w:p>
    <w:p w:rsidR="00634664" w:rsidRPr="00B47E34" w:rsidRDefault="00634664" w:rsidP="00634664">
      <w:pPr>
        <w:pStyle w:val="Sinespaciado"/>
        <w:rPr>
          <w:rFonts w:ascii="Times New Roman" w:hAnsi="Times New Roman" w:cs="Times New Roman"/>
          <w:color w:val="000000" w:themeColor="text1"/>
          <w:sz w:val="16"/>
          <w:szCs w:val="18"/>
          <w:lang w:val="es-MX"/>
        </w:rPr>
      </w:pPr>
      <w:r w:rsidRPr="00B47E34">
        <w:rPr>
          <w:rFonts w:ascii="Times New Roman" w:hAnsi="Times New Roman" w:cs="Times New Roman"/>
          <w:color w:val="000000" w:themeColor="text1"/>
          <w:sz w:val="14"/>
        </w:rPr>
        <w:t>Fuente: Dirección de Análisis y Política Fiscal</w:t>
      </w:r>
    </w:p>
    <w:p w:rsidR="00C5514E" w:rsidRPr="008F3134" w:rsidRDefault="00C5514E" w:rsidP="00E37543">
      <w:pPr>
        <w:pStyle w:val="Sinespaciado"/>
        <w:jc w:val="both"/>
        <w:rPr>
          <w:rFonts w:ascii="Times New Roman" w:hAnsi="Times New Roman" w:cs="Times New Roman"/>
          <w:b/>
          <w:color w:val="FF0000"/>
          <w:sz w:val="18"/>
          <w:lang w:val="es-MX"/>
        </w:rPr>
      </w:pPr>
    </w:p>
    <w:p w:rsidR="00BA782D" w:rsidRPr="008F3134" w:rsidRDefault="00BA782D" w:rsidP="00BA782D">
      <w:pPr>
        <w:pStyle w:val="Sinespaciado"/>
        <w:jc w:val="both"/>
        <w:rPr>
          <w:rFonts w:ascii="Times New Roman" w:hAnsi="Times New Roman" w:cs="Times New Roman"/>
          <w:color w:val="FF0000"/>
          <w:sz w:val="14"/>
        </w:rPr>
      </w:pPr>
    </w:p>
    <w:p w:rsidR="001E20AE" w:rsidRDefault="001E20AE" w:rsidP="00BA782D">
      <w:pPr>
        <w:pStyle w:val="Sinespaciado"/>
        <w:jc w:val="both"/>
        <w:rPr>
          <w:rFonts w:ascii="Times New Roman" w:hAnsi="Times New Roman" w:cs="Times New Roman"/>
          <w:color w:val="FF0000"/>
          <w:sz w:val="14"/>
        </w:rPr>
      </w:pPr>
    </w:p>
    <w:p w:rsidR="002325F9" w:rsidRPr="008F3134" w:rsidRDefault="002325F9" w:rsidP="00BA782D">
      <w:pPr>
        <w:pStyle w:val="Sinespaciado"/>
        <w:jc w:val="both"/>
        <w:rPr>
          <w:rFonts w:ascii="Times New Roman" w:hAnsi="Times New Roman" w:cs="Times New Roman"/>
          <w:color w:val="FF0000"/>
          <w:sz w:val="14"/>
        </w:rPr>
        <w:sectPr w:rsidR="002325F9" w:rsidRPr="008F3134" w:rsidSect="00040C99">
          <w:headerReference w:type="default" r:id="rId24"/>
          <w:footerReference w:type="default" r:id="rId25"/>
          <w:type w:val="continuous"/>
          <w:pgSz w:w="12240" w:h="15840" w:code="1"/>
          <w:pgMar w:top="1418" w:right="1418" w:bottom="1418" w:left="1701" w:header="709" w:footer="709" w:gutter="0"/>
          <w:cols w:num="2" w:space="708"/>
          <w:docGrid w:linePitch="360"/>
        </w:sectPr>
      </w:pPr>
    </w:p>
    <w:p w:rsidR="00BA782D" w:rsidRPr="008F3134" w:rsidRDefault="00BA782D" w:rsidP="00216605">
      <w:pPr>
        <w:pStyle w:val="Sinespaciado"/>
        <w:jc w:val="both"/>
        <w:rPr>
          <w:rFonts w:ascii="Times New Roman" w:hAnsi="Times New Roman" w:cs="Times New Roman"/>
          <w:color w:val="FF0000"/>
          <w:sz w:val="2"/>
          <w:lang w:val="es-MX"/>
        </w:rPr>
      </w:pPr>
    </w:p>
    <w:p w:rsidR="00216605" w:rsidRPr="008F511B" w:rsidRDefault="008F511B"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216605" w:rsidRPr="008F511B" w:rsidSect="00FA3B81">
          <w:type w:val="continuous"/>
          <w:pgSz w:w="12240" w:h="15840" w:code="1"/>
          <w:pgMar w:top="1418" w:right="1418" w:bottom="1418" w:left="1418" w:header="709" w:footer="709" w:gutter="0"/>
          <w:cols w:space="708"/>
          <w:docGrid w:linePitch="360"/>
        </w:sectPr>
      </w:pPr>
      <w:r w:rsidRPr="008F511B">
        <w:rPr>
          <w:rFonts w:ascii="Times New Roman" w:hAnsi="Times New Roman" w:cs="Times New Roman"/>
          <w:b/>
          <w:color w:val="000000" w:themeColor="text1"/>
          <w:lang w:val="es-MX"/>
        </w:rPr>
        <w:t>Se modera</w:t>
      </w:r>
      <w:r w:rsidR="00F94C84" w:rsidRPr="008F511B">
        <w:rPr>
          <w:rFonts w:ascii="Times New Roman" w:hAnsi="Times New Roman" w:cs="Times New Roman"/>
          <w:b/>
          <w:color w:val="000000" w:themeColor="text1"/>
          <w:lang w:val="es-MX"/>
        </w:rPr>
        <w:t xml:space="preserve"> la colocación de Bonos del Tesoro</w:t>
      </w:r>
    </w:p>
    <w:p w:rsidR="00216605" w:rsidRPr="008F3134" w:rsidRDefault="00216605" w:rsidP="00216605">
      <w:pPr>
        <w:pStyle w:val="Sinespaciado"/>
        <w:rPr>
          <w:rFonts w:ascii="Times New Roman" w:hAnsi="Times New Roman" w:cs="Times New Roman"/>
          <w:b/>
          <w:color w:val="FF0000"/>
          <w:sz w:val="24"/>
          <w:lang w:val="es-MX"/>
        </w:rPr>
      </w:pPr>
    </w:p>
    <w:p w:rsidR="00216605" w:rsidRPr="008F3134" w:rsidRDefault="00216605" w:rsidP="00216605">
      <w:pPr>
        <w:pStyle w:val="Sinespaciado"/>
        <w:rPr>
          <w:rFonts w:ascii="Times New Roman" w:hAnsi="Times New Roman" w:cs="Times New Roman"/>
          <w:b/>
          <w:color w:val="FF0000"/>
          <w:lang w:val="es-MX"/>
        </w:rPr>
        <w:sectPr w:rsidR="00216605" w:rsidRPr="008F3134" w:rsidSect="004E358C">
          <w:type w:val="continuous"/>
          <w:pgSz w:w="12240" w:h="15840"/>
          <w:pgMar w:top="1417" w:right="1701" w:bottom="1417" w:left="1701" w:header="708" w:footer="708" w:gutter="0"/>
          <w:cols w:space="708"/>
          <w:docGrid w:linePitch="360"/>
        </w:sectPr>
      </w:pPr>
    </w:p>
    <w:p w:rsidR="008F511B" w:rsidRPr="00851F17" w:rsidRDefault="008F511B" w:rsidP="008F511B">
      <w:pPr>
        <w:pStyle w:val="Sinespaciado"/>
        <w:jc w:val="both"/>
        <w:rPr>
          <w:rFonts w:ascii="Times New Roman" w:hAnsi="Times New Roman" w:cs="Times New Roman"/>
        </w:rPr>
      </w:pPr>
      <w:r w:rsidRPr="00851F17">
        <w:rPr>
          <w:rFonts w:ascii="Times New Roman" w:hAnsi="Times New Roman" w:cs="Times New Roman"/>
        </w:rPr>
        <w:t>En cuanto al financiamiento</w:t>
      </w:r>
      <w:r>
        <w:rPr>
          <w:rFonts w:ascii="Times New Roman" w:hAnsi="Times New Roman" w:cs="Times New Roman"/>
        </w:rPr>
        <w:t xml:space="preserve"> del gasto público, al cierre de marzo 2020 se obtuvo un flujo negativo</w:t>
      </w:r>
      <w:r w:rsidRPr="00851F17">
        <w:rPr>
          <w:rFonts w:ascii="Times New Roman" w:hAnsi="Times New Roman" w:cs="Times New Roman"/>
        </w:rPr>
        <w:t xml:space="preserve"> en el endeudamiento exter</w:t>
      </w:r>
      <w:r>
        <w:rPr>
          <w:rFonts w:ascii="Times New Roman" w:hAnsi="Times New Roman" w:cs="Times New Roman"/>
        </w:rPr>
        <w:t xml:space="preserve">no neto por el equivalente a Q783.9 millones, </w:t>
      </w:r>
      <w:r w:rsidRPr="00851F17">
        <w:rPr>
          <w:rFonts w:ascii="Times New Roman" w:hAnsi="Times New Roman" w:cs="Times New Roman"/>
        </w:rPr>
        <w:t>derivado que las amortizaciones</w:t>
      </w:r>
      <w:r>
        <w:rPr>
          <w:rFonts w:ascii="Times New Roman" w:hAnsi="Times New Roman" w:cs="Times New Roman"/>
        </w:rPr>
        <w:t xml:space="preserve"> de préstamos</w:t>
      </w:r>
      <w:r w:rsidRPr="00851F17">
        <w:rPr>
          <w:rFonts w:ascii="Times New Roman" w:hAnsi="Times New Roman" w:cs="Times New Roman"/>
        </w:rPr>
        <w:t xml:space="preserve"> superan los desemb</w:t>
      </w:r>
      <w:r>
        <w:rPr>
          <w:rFonts w:ascii="Times New Roman" w:hAnsi="Times New Roman" w:cs="Times New Roman"/>
        </w:rPr>
        <w:t xml:space="preserve">olsos, estos últimos son </w:t>
      </w:r>
      <w:r w:rsidRPr="00851F17">
        <w:rPr>
          <w:rFonts w:ascii="Times New Roman" w:hAnsi="Times New Roman" w:cs="Times New Roman"/>
        </w:rPr>
        <w:t>de Q</w:t>
      </w:r>
      <w:r>
        <w:rPr>
          <w:rFonts w:ascii="Times New Roman" w:hAnsi="Times New Roman" w:cs="Times New Roman"/>
        </w:rPr>
        <w:t>80</w:t>
      </w:r>
      <w:r w:rsidRPr="00851F17">
        <w:rPr>
          <w:rFonts w:ascii="Times New Roman" w:hAnsi="Times New Roman" w:cs="Times New Roman"/>
        </w:rPr>
        <w:t>.</w:t>
      </w:r>
      <w:r>
        <w:rPr>
          <w:rFonts w:ascii="Times New Roman" w:hAnsi="Times New Roman" w:cs="Times New Roman"/>
        </w:rPr>
        <w:t>8</w:t>
      </w:r>
      <w:r w:rsidRPr="00851F17">
        <w:rPr>
          <w:rFonts w:ascii="Times New Roman" w:hAnsi="Times New Roman" w:cs="Times New Roman"/>
        </w:rPr>
        <w:t xml:space="preserve"> millones.</w:t>
      </w:r>
    </w:p>
    <w:p w:rsidR="008F511B" w:rsidRPr="00851F17" w:rsidRDefault="008F511B" w:rsidP="008F511B">
      <w:pPr>
        <w:pStyle w:val="Sinespaciado"/>
        <w:jc w:val="both"/>
        <w:rPr>
          <w:rFonts w:ascii="Times New Roman" w:hAnsi="Times New Roman" w:cs="Times New Roman"/>
        </w:rPr>
      </w:pPr>
    </w:p>
    <w:p w:rsidR="008F511B" w:rsidRPr="00851F17" w:rsidRDefault="008F511B" w:rsidP="008F511B">
      <w:pPr>
        <w:pStyle w:val="Sinespaciado"/>
        <w:jc w:val="both"/>
        <w:rPr>
          <w:rFonts w:ascii="Times New Roman" w:hAnsi="Times New Roman" w:cs="Times New Roman"/>
        </w:rPr>
      </w:pPr>
      <w:r w:rsidRPr="00851F17">
        <w:rPr>
          <w:rFonts w:ascii="Times New Roman" w:hAnsi="Times New Roman" w:cs="Times New Roman"/>
        </w:rPr>
        <w:t xml:space="preserve">Asimismo, las colocaciones de Bonos del Tesoro </w:t>
      </w:r>
      <w:r>
        <w:rPr>
          <w:rFonts w:ascii="Times New Roman" w:hAnsi="Times New Roman" w:cs="Times New Roman"/>
        </w:rPr>
        <w:t xml:space="preserve">se moderaron en marzo, en el mes se </w:t>
      </w:r>
      <w:r>
        <w:rPr>
          <w:rFonts w:ascii="Times New Roman" w:hAnsi="Times New Roman" w:cs="Times New Roman"/>
        </w:rPr>
        <w:t xml:space="preserve">colocaron únicamente Q240.3 millones, el total </w:t>
      </w:r>
      <w:r w:rsidRPr="00851F17">
        <w:rPr>
          <w:rFonts w:ascii="Times New Roman" w:hAnsi="Times New Roman" w:cs="Times New Roman"/>
        </w:rPr>
        <w:t>adjudicado</w:t>
      </w:r>
      <w:r>
        <w:rPr>
          <w:rFonts w:ascii="Times New Roman" w:hAnsi="Times New Roman" w:cs="Times New Roman"/>
        </w:rPr>
        <w:t xml:space="preserve"> a la fecha asciende a</w:t>
      </w:r>
      <w:r w:rsidRPr="00851F17">
        <w:rPr>
          <w:rFonts w:ascii="Times New Roman" w:hAnsi="Times New Roman" w:cs="Times New Roman"/>
        </w:rPr>
        <w:t xml:space="preserve"> Q1,</w:t>
      </w:r>
      <w:r>
        <w:rPr>
          <w:rFonts w:ascii="Times New Roman" w:hAnsi="Times New Roman" w:cs="Times New Roman"/>
        </w:rPr>
        <w:t>914</w:t>
      </w:r>
      <w:r w:rsidRPr="00851F17">
        <w:rPr>
          <w:rFonts w:ascii="Times New Roman" w:hAnsi="Times New Roman" w:cs="Times New Roman"/>
        </w:rPr>
        <w:t>.</w:t>
      </w:r>
      <w:r>
        <w:rPr>
          <w:rFonts w:ascii="Times New Roman" w:hAnsi="Times New Roman" w:cs="Times New Roman"/>
        </w:rPr>
        <w:t>1</w:t>
      </w:r>
      <w:r w:rsidRPr="00851F17">
        <w:rPr>
          <w:rFonts w:ascii="Times New Roman" w:hAnsi="Times New Roman" w:cs="Times New Roman"/>
        </w:rPr>
        <w:t xml:space="preserve"> millones. </w:t>
      </w:r>
      <w:r>
        <w:rPr>
          <w:rFonts w:ascii="Times New Roman" w:hAnsi="Times New Roman" w:cs="Times New Roman"/>
        </w:rPr>
        <w:t xml:space="preserve">La demanda en los eventos de colocación se vio afectada en la segunda quincena del mes por que los bancos del sistema no tuvieron la misma participación que en los primeros eventos, explicado porque la emergencia sanitaria COVID-19 ha demandado una mayor disponibilidad de recursos por parte </w:t>
      </w:r>
      <w:r>
        <w:rPr>
          <w:rFonts w:ascii="Times New Roman" w:hAnsi="Times New Roman" w:cs="Times New Roman"/>
        </w:rPr>
        <w:lastRenderedPageBreak/>
        <w:t xml:space="preserve">de los bancos para atender la demanda y necesidades de la población.  </w:t>
      </w:r>
    </w:p>
    <w:p w:rsidR="008F511B" w:rsidRPr="00851F17" w:rsidRDefault="008F511B" w:rsidP="008F511B">
      <w:pPr>
        <w:pStyle w:val="Sinespaciado"/>
        <w:jc w:val="both"/>
        <w:rPr>
          <w:rFonts w:ascii="Times New Roman" w:hAnsi="Times New Roman" w:cs="Times New Roman"/>
        </w:rPr>
      </w:pPr>
    </w:p>
    <w:p w:rsidR="00F94C84" w:rsidRPr="008F3134" w:rsidRDefault="008F511B" w:rsidP="008F511B">
      <w:pPr>
        <w:pStyle w:val="Sinespaciado"/>
        <w:jc w:val="both"/>
        <w:rPr>
          <w:rFonts w:ascii="Times New Roman" w:hAnsi="Times New Roman" w:cs="Times New Roman"/>
          <w:color w:val="FF0000"/>
        </w:rPr>
      </w:pPr>
      <w:r w:rsidRPr="00851F17">
        <w:rPr>
          <w:rFonts w:ascii="Times New Roman" w:hAnsi="Times New Roman" w:cs="Times New Roman"/>
        </w:rPr>
        <w:t>Derivado de lo anterior, aún está pendiente de colocarse, conforme lo autorizado por el Decreto 25-2018, la cantidad de Q1</w:t>
      </w:r>
      <w:r>
        <w:rPr>
          <w:rFonts w:ascii="Times New Roman" w:hAnsi="Times New Roman" w:cs="Times New Roman"/>
        </w:rPr>
        <w:t>6,276.7</w:t>
      </w:r>
      <w:r w:rsidRPr="00851F17">
        <w:rPr>
          <w:rFonts w:ascii="Times New Roman" w:hAnsi="Times New Roman" w:cs="Times New Roman"/>
        </w:rPr>
        <w:t xml:space="preserve"> millones, es decir, el </w:t>
      </w:r>
      <w:r>
        <w:rPr>
          <w:rFonts w:ascii="Times New Roman" w:hAnsi="Times New Roman" w:cs="Times New Roman"/>
        </w:rPr>
        <w:t>8</w:t>
      </w:r>
      <w:r w:rsidRPr="00851F17">
        <w:rPr>
          <w:rFonts w:ascii="Times New Roman" w:hAnsi="Times New Roman" w:cs="Times New Roman"/>
        </w:rPr>
        <w:t>1.</w:t>
      </w:r>
      <w:r>
        <w:rPr>
          <w:rFonts w:ascii="Times New Roman" w:hAnsi="Times New Roman" w:cs="Times New Roman"/>
        </w:rPr>
        <w:t>9</w:t>
      </w:r>
      <w:r w:rsidRPr="00851F17">
        <w:rPr>
          <w:rFonts w:ascii="Times New Roman" w:hAnsi="Times New Roman" w:cs="Times New Roman"/>
        </w:rPr>
        <w:t>% del total de la emisión aprobada para este año</w:t>
      </w:r>
      <w:r>
        <w:rPr>
          <w:rFonts w:ascii="Times New Roman" w:hAnsi="Times New Roman" w:cs="Times New Roman"/>
        </w:rPr>
        <w:t>.</w:t>
      </w:r>
      <w:r w:rsidR="00F94C84" w:rsidRPr="008F3134">
        <w:rPr>
          <w:rFonts w:ascii="Times New Roman" w:hAnsi="Times New Roman" w:cs="Times New Roman"/>
          <w:color w:val="FF0000"/>
        </w:rPr>
        <w:t xml:space="preserve"> </w:t>
      </w:r>
    </w:p>
    <w:p w:rsidR="00C739AF" w:rsidRDefault="00C739AF" w:rsidP="00F94C84">
      <w:pPr>
        <w:pStyle w:val="Sinespaciado"/>
        <w:jc w:val="both"/>
        <w:rPr>
          <w:rFonts w:ascii="Times New Roman" w:hAnsi="Times New Roman" w:cs="Times New Roman"/>
          <w:color w:val="000000" w:themeColor="text1"/>
        </w:rPr>
      </w:pPr>
    </w:p>
    <w:p w:rsidR="002325F9" w:rsidRDefault="002325F9" w:rsidP="00F94C84">
      <w:pPr>
        <w:pStyle w:val="Sinespaciado"/>
        <w:jc w:val="both"/>
        <w:rPr>
          <w:rFonts w:ascii="Times New Roman" w:hAnsi="Times New Roman" w:cs="Times New Roman"/>
          <w:color w:val="000000" w:themeColor="text1"/>
        </w:rPr>
      </w:pPr>
    </w:p>
    <w:p w:rsidR="002325F9" w:rsidRDefault="002325F9" w:rsidP="00F94C84">
      <w:pPr>
        <w:pStyle w:val="Sinespaciado"/>
        <w:jc w:val="both"/>
        <w:rPr>
          <w:rFonts w:ascii="Times New Roman" w:hAnsi="Times New Roman" w:cs="Times New Roman"/>
          <w:color w:val="000000" w:themeColor="text1"/>
        </w:rPr>
      </w:pPr>
    </w:p>
    <w:p w:rsidR="002325F9" w:rsidRDefault="002325F9"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385EB4" w:rsidRDefault="00385EB4" w:rsidP="00F94C84">
      <w:pPr>
        <w:pStyle w:val="Sinespaciado"/>
        <w:jc w:val="both"/>
        <w:rPr>
          <w:rFonts w:ascii="Times New Roman" w:hAnsi="Times New Roman" w:cs="Times New Roman"/>
          <w:color w:val="000000" w:themeColor="text1"/>
        </w:rPr>
      </w:pPr>
    </w:p>
    <w:p w:rsidR="002325F9" w:rsidRDefault="002325F9" w:rsidP="00F94C84">
      <w:pPr>
        <w:pStyle w:val="Sinespaciado"/>
        <w:jc w:val="both"/>
        <w:rPr>
          <w:rFonts w:ascii="Times New Roman" w:hAnsi="Times New Roman" w:cs="Times New Roman"/>
          <w:color w:val="000000" w:themeColor="text1"/>
        </w:rPr>
      </w:pPr>
    </w:p>
    <w:p w:rsidR="00F94C84" w:rsidRPr="008F511B" w:rsidRDefault="00F94C84" w:rsidP="00F94C84">
      <w:pPr>
        <w:pStyle w:val="Sinespaciado"/>
        <w:jc w:val="both"/>
        <w:rPr>
          <w:rFonts w:ascii="Times New Roman" w:hAnsi="Times New Roman" w:cs="Times New Roman"/>
          <w:color w:val="000000" w:themeColor="text1"/>
          <w:sz w:val="6"/>
        </w:rPr>
      </w:pPr>
    </w:p>
    <w:p w:rsidR="00F94C84" w:rsidRPr="008F511B" w:rsidRDefault="00F94C84" w:rsidP="00F94C84">
      <w:pPr>
        <w:spacing w:after="0" w:line="240" w:lineRule="auto"/>
        <w:jc w:val="center"/>
        <w:rPr>
          <w:rFonts w:ascii="Times New Roman" w:hAnsi="Times New Roman" w:cs="Times New Roman"/>
          <w:b/>
          <w:color w:val="000000" w:themeColor="text1"/>
        </w:rPr>
      </w:pPr>
      <w:r w:rsidRPr="008F511B">
        <w:rPr>
          <w:rFonts w:ascii="Times New Roman" w:hAnsi="Times New Roman" w:cs="Times New Roman"/>
          <w:b/>
          <w:color w:val="000000" w:themeColor="text1"/>
        </w:rPr>
        <w:t>Colocación de Bonos del Tesoro</w:t>
      </w:r>
    </w:p>
    <w:p w:rsidR="00F94C84" w:rsidRDefault="00F94C84" w:rsidP="00F94C84">
      <w:pPr>
        <w:pStyle w:val="Sinespaciado"/>
        <w:jc w:val="center"/>
        <w:rPr>
          <w:rFonts w:ascii="Times New Roman" w:hAnsi="Times New Roman" w:cs="Times New Roman"/>
          <w:color w:val="000000" w:themeColor="text1"/>
          <w:sz w:val="18"/>
        </w:rPr>
      </w:pPr>
      <w:r w:rsidRPr="008F511B">
        <w:rPr>
          <w:rFonts w:ascii="Times New Roman" w:hAnsi="Times New Roman" w:cs="Times New Roman"/>
          <w:color w:val="000000" w:themeColor="text1"/>
          <w:sz w:val="18"/>
        </w:rPr>
        <w:t xml:space="preserve">A </w:t>
      </w:r>
      <w:r w:rsidR="008F511B" w:rsidRPr="008F511B">
        <w:rPr>
          <w:rFonts w:ascii="Times New Roman" w:hAnsi="Times New Roman" w:cs="Times New Roman"/>
          <w:color w:val="000000" w:themeColor="text1"/>
          <w:sz w:val="18"/>
        </w:rPr>
        <w:t>marzo</w:t>
      </w:r>
      <w:r w:rsidRPr="008F511B">
        <w:rPr>
          <w:rFonts w:ascii="Times New Roman" w:hAnsi="Times New Roman" w:cs="Times New Roman"/>
          <w:color w:val="000000" w:themeColor="text1"/>
          <w:sz w:val="18"/>
        </w:rPr>
        <w:t xml:space="preserve"> 2020</w:t>
      </w:r>
    </w:p>
    <w:p w:rsidR="002325F9" w:rsidRPr="008F511B" w:rsidRDefault="002325F9" w:rsidP="00F94C84">
      <w:pPr>
        <w:pStyle w:val="Sinespaciado"/>
        <w:jc w:val="center"/>
        <w:rPr>
          <w:rFonts w:ascii="Times New Roman" w:hAnsi="Times New Roman" w:cs="Times New Roman"/>
          <w:color w:val="000000" w:themeColor="text1"/>
          <w:sz w:val="18"/>
        </w:rPr>
      </w:pPr>
      <w:r w:rsidRPr="008F511B">
        <w:rPr>
          <w:rFonts w:ascii="Times New Roman" w:hAnsi="Times New Roman" w:cs="Times New Roman"/>
          <w:color w:val="000000" w:themeColor="text1"/>
          <w:sz w:val="18"/>
        </w:rPr>
        <w:t>Millones de quetzales y porcentajes</w:t>
      </w:r>
    </w:p>
    <w:p w:rsidR="00F94C84" w:rsidRPr="008F511B" w:rsidRDefault="008F511B" w:rsidP="00F94C84">
      <w:pPr>
        <w:pStyle w:val="Sinespaciado"/>
        <w:jc w:val="center"/>
        <w:rPr>
          <w:rFonts w:ascii="Times New Roman" w:hAnsi="Times New Roman" w:cs="Times New Roman"/>
          <w:color w:val="000000" w:themeColor="text1"/>
          <w:sz w:val="18"/>
        </w:rPr>
      </w:pPr>
      <w:r w:rsidRPr="008F511B">
        <w:rPr>
          <w:rFonts w:ascii="Times New Roman" w:hAnsi="Times New Roman" w:cs="Times New Roman"/>
          <w:noProof/>
          <w:color w:val="000000" w:themeColor="text1"/>
          <w:lang w:eastAsia="es-GT"/>
        </w:rPr>
        <w:drawing>
          <wp:inline distT="0" distB="0" distL="0" distR="0" wp14:anchorId="6F9E7483" wp14:editId="2CE8C006">
            <wp:extent cx="2670810" cy="16202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848" b="8565"/>
                    <a:stretch/>
                  </pic:blipFill>
                  <pic:spPr bwMode="auto">
                    <a:xfrm>
                      <a:off x="0" y="0"/>
                      <a:ext cx="2670810" cy="1620236"/>
                    </a:xfrm>
                    <a:prstGeom prst="rect">
                      <a:avLst/>
                    </a:prstGeom>
                    <a:noFill/>
                    <a:ln>
                      <a:noFill/>
                    </a:ln>
                    <a:extLst>
                      <a:ext uri="{53640926-AAD7-44D8-BBD7-CCE9431645EC}">
                        <a14:shadowObscured xmlns:a14="http://schemas.microsoft.com/office/drawing/2010/main"/>
                      </a:ext>
                    </a:extLst>
                  </pic:spPr>
                </pic:pic>
              </a:graphicData>
            </a:graphic>
          </wp:inline>
        </w:drawing>
      </w:r>
    </w:p>
    <w:p w:rsidR="00F94C84" w:rsidRPr="008F511B" w:rsidRDefault="00F94C84" w:rsidP="00F94C84">
      <w:pPr>
        <w:pStyle w:val="Sinespaciado"/>
        <w:rPr>
          <w:rFonts w:ascii="Times New Roman" w:hAnsi="Times New Roman" w:cs="Times New Roman"/>
          <w:color w:val="000000" w:themeColor="text1"/>
          <w:sz w:val="16"/>
          <w:szCs w:val="18"/>
          <w:lang w:val="es-MX"/>
        </w:rPr>
      </w:pPr>
      <w:r w:rsidRPr="008F511B">
        <w:rPr>
          <w:rFonts w:ascii="Times New Roman" w:hAnsi="Times New Roman" w:cs="Times New Roman"/>
          <w:color w:val="000000" w:themeColor="text1"/>
          <w:sz w:val="14"/>
        </w:rPr>
        <w:t>Fuente: Dirección de Análisis y Política Fiscal</w:t>
      </w:r>
    </w:p>
    <w:p w:rsidR="00537B9E" w:rsidRDefault="00537B9E"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Default="00385EB4" w:rsidP="000C65AB">
      <w:pPr>
        <w:pStyle w:val="Sinespaciado"/>
        <w:jc w:val="both"/>
        <w:rPr>
          <w:rFonts w:ascii="Times New Roman" w:hAnsi="Times New Roman" w:cs="Times New Roman"/>
          <w:color w:val="FF0000"/>
          <w:sz w:val="14"/>
        </w:rPr>
      </w:pPr>
    </w:p>
    <w:p w:rsidR="00385EB4" w:rsidRPr="008F3134" w:rsidRDefault="00385EB4" w:rsidP="000C65AB">
      <w:pPr>
        <w:pStyle w:val="Sinespaciado"/>
        <w:jc w:val="both"/>
        <w:rPr>
          <w:rFonts w:ascii="Times New Roman" w:hAnsi="Times New Roman" w:cs="Times New Roman"/>
          <w:color w:val="FF0000"/>
          <w:sz w:val="14"/>
        </w:rPr>
        <w:sectPr w:rsidR="00385EB4" w:rsidRPr="008F3134" w:rsidSect="00040C99">
          <w:headerReference w:type="default" r:id="rId27"/>
          <w:footerReference w:type="default" r:id="rId28"/>
          <w:type w:val="continuous"/>
          <w:pgSz w:w="12240" w:h="15840" w:code="1"/>
          <w:pgMar w:top="1418" w:right="1418" w:bottom="1418" w:left="1701" w:header="709" w:footer="709" w:gutter="0"/>
          <w:cols w:num="2" w:space="708"/>
          <w:docGrid w:linePitch="360"/>
        </w:sectPr>
      </w:pPr>
    </w:p>
    <w:p w:rsidR="00385EB4" w:rsidRPr="008F3134" w:rsidRDefault="00385EB4" w:rsidP="00CE75B5">
      <w:pPr>
        <w:pStyle w:val="Sinespaciado"/>
        <w:jc w:val="both"/>
        <w:rPr>
          <w:rFonts w:ascii="Times New Roman" w:hAnsi="Times New Roman" w:cs="Times New Roman"/>
          <w:color w:val="FF0000"/>
          <w:sz w:val="8"/>
        </w:rPr>
        <w:sectPr w:rsidR="00385EB4" w:rsidRPr="008F3134" w:rsidSect="00D554B2">
          <w:type w:val="continuous"/>
          <w:pgSz w:w="12240" w:h="15840"/>
          <w:pgMar w:top="1417" w:right="1701" w:bottom="1417" w:left="1701" w:header="708" w:footer="708" w:gutter="0"/>
          <w:cols w:num="2" w:space="708"/>
          <w:docGrid w:linePitch="360"/>
        </w:sectPr>
      </w:pPr>
    </w:p>
    <w:p w:rsidR="001E20AE" w:rsidRPr="008F3134" w:rsidRDefault="001E20AE" w:rsidP="00D4202F">
      <w:pPr>
        <w:spacing w:after="0"/>
        <w:rPr>
          <w:rFonts w:ascii="Times New Roman" w:hAnsi="Times New Roman" w:cs="Times New Roman"/>
          <w:color w:val="FF0000"/>
          <w:sz w:val="6"/>
          <w:lang w:val="es-MX"/>
        </w:rPr>
      </w:pPr>
    </w:p>
    <w:p w:rsidR="001E20AE" w:rsidRPr="008F3134" w:rsidRDefault="001E20AE" w:rsidP="00D4202F">
      <w:pPr>
        <w:spacing w:after="0"/>
        <w:rPr>
          <w:rFonts w:ascii="Times New Roman" w:hAnsi="Times New Roman" w:cs="Times New Roman"/>
          <w:color w:val="FF0000"/>
          <w:sz w:val="6"/>
          <w:lang w:val="es-MX"/>
        </w:rPr>
      </w:pPr>
    </w:p>
    <w:p w:rsidR="001E20AE" w:rsidRPr="008F3134" w:rsidRDefault="001E20AE" w:rsidP="00D4202F">
      <w:pPr>
        <w:spacing w:after="0"/>
        <w:rPr>
          <w:rFonts w:ascii="Times New Roman" w:hAnsi="Times New Roman" w:cs="Times New Roman"/>
          <w:color w:val="FF0000"/>
          <w:sz w:val="6"/>
          <w:lang w:val="es-MX"/>
        </w:rPr>
        <w:sectPr w:rsidR="001E20AE" w:rsidRPr="008F3134" w:rsidSect="004E358C">
          <w:type w:val="continuous"/>
          <w:pgSz w:w="12240" w:h="15840"/>
          <w:pgMar w:top="1417" w:right="1701" w:bottom="1417" w:left="1701" w:header="708" w:footer="708" w:gutter="0"/>
          <w:cols w:num="2" w:space="708"/>
          <w:docGrid w:linePitch="360"/>
        </w:sectPr>
      </w:pPr>
    </w:p>
    <w:p w:rsidR="00494D1D" w:rsidRPr="002325F9"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494D1D" w:rsidRPr="002325F9" w:rsidSect="00FA3B81">
          <w:headerReference w:type="default" r:id="rId29"/>
          <w:footerReference w:type="default" r:id="rId30"/>
          <w:type w:val="continuous"/>
          <w:pgSz w:w="12240" w:h="15840" w:code="1"/>
          <w:pgMar w:top="1418" w:right="1418" w:bottom="1418" w:left="1418" w:header="709" w:footer="709" w:gutter="0"/>
          <w:cols w:space="708"/>
          <w:docGrid w:linePitch="360"/>
        </w:sectPr>
      </w:pPr>
      <w:r w:rsidRPr="002325F9">
        <w:rPr>
          <w:rFonts w:ascii="Times New Roman" w:hAnsi="Times New Roman" w:cs="Times New Roman"/>
          <w:b/>
          <w:color w:val="000000" w:themeColor="text1"/>
          <w:lang w:val="es-MX"/>
        </w:rPr>
        <w:t>Ambientes macroeconómicos (externo e interno)</w:t>
      </w:r>
    </w:p>
    <w:p w:rsidR="00494D1D" w:rsidRPr="008F3134" w:rsidRDefault="00494D1D" w:rsidP="00494D1D">
      <w:pPr>
        <w:pStyle w:val="Sinespaciado"/>
        <w:rPr>
          <w:rFonts w:ascii="Times New Roman" w:hAnsi="Times New Roman" w:cs="Times New Roman"/>
          <w:b/>
          <w:color w:val="FF0000"/>
          <w:sz w:val="18"/>
          <w:lang w:val="es-MX"/>
        </w:rPr>
      </w:pPr>
    </w:p>
    <w:p w:rsidR="00494D1D" w:rsidRPr="008F3134" w:rsidRDefault="00494D1D" w:rsidP="00494D1D">
      <w:pPr>
        <w:pStyle w:val="Sinespaciado"/>
        <w:rPr>
          <w:rFonts w:ascii="Times New Roman" w:hAnsi="Times New Roman" w:cs="Times New Roman"/>
          <w:b/>
          <w:color w:val="FF0000"/>
          <w:sz w:val="28"/>
          <w:lang w:val="es-MX"/>
        </w:rPr>
        <w:sectPr w:rsidR="00494D1D" w:rsidRPr="008F3134" w:rsidSect="004E358C">
          <w:type w:val="continuous"/>
          <w:pgSz w:w="12240" w:h="15840"/>
          <w:pgMar w:top="1417" w:right="1701" w:bottom="1417" w:left="1701" w:header="708" w:footer="708" w:gutter="0"/>
          <w:cols w:space="708"/>
          <w:docGrid w:linePitch="360"/>
        </w:sectPr>
      </w:pPr>
    </w:p>
    <w:p w:rsidR="00385EB4" w:rsidRDefault="00385EB4" w:rsidP="00385EB4">
      <w:pPr>
        <w:pStyle w:val="Textodeglobo"/>
        <w:jc w:val="both"/>
        <w:rPr>
          <w:rFonts w:ascii="Times New Roman" w:hAnsi="Times New Roman" w:cs="Times New Roman"/>
          <w:sz w:val="22"/>
          <w:szCs w:val="22"/>
        </w:rPr>
      </w:pPr>
      <w:r w:rsidRPr="008B14E8">
        <w:rPr>
          <w:rFonts w:ascii="Times New Roman" w:hAnsi="Times New Roman" w:cs="Times New Roman"/>
          <w:sz w:val="22"/>
          <w:szCs w:val="22"/>
        </w:rPr>
        <w:t>La crisis del coronavirus está teniendo un impacto de una severidad insólita en la actividad económica. El Fondo Monetario Internacional</w:t>
      </w:r>
      <w:r>
        <w:rPr>
          <w:rFonts w:ascii="Times New Roman" w:hAnsi="Times New Roman" w:cs="Times New Roman"/>
          <w:sz w:val="22"/>
          <w:szCs w:val="22"/>
        </w:rPr>
        <w:t xml:space="preserve"> (FMI)</w:t>
      </w:r>
      <w:r w:rsidRPr="008B14E8">
        <w:rPr>
          <w:rFonts w:ascii="Times New Roman" w:hAnsi="Times New Roman" w:cs="Times New Roman"/>
          <w:sz w:val="22"/>
          <w:szCs w:val="22"/>
        </w:rPr>
        <w:t xml:space="preserve"> proyecta que, como resultado de la pandemia, la economía global se contraerá un 3% en 2020. Un dramático giro después de cerrar 2019 con un crecimiento del 2.9%</w:t>
      </w:r>
      <w:r>
        <w:rPr>
          <w:rFonts w:ascii="Times New Roman" w:hAnsi="Times New Roman" w:cs="Times New Roman"/>
          <w:sz w:val="22"/>
          <w:szCs w:val="22"/>
        </w:rPr>
        <w:t xml:space="preserve"> y e</w:t>
      </w:r>
      <w:r w:rsidRPr="008B14E8">
        <w:rPr>
          <w:rFonts w:ascii="Times New Roman" w:hAnsi="Times New Roman" w:cs="Times New Roman"/>
          <w:sz w:val="22"/>
          <w:szCs w:val="22"/>
        </w:rPr>
        <w:t>l FMI indicó que es un impacto mucho mayor que el de la crisis financiera de 2008 y 2009</w:t>
      </w:r>
      <w:r>
        <w:rPr>
          <w:rFonts w:ascii="Times New Roman" w:hAnsi="Times New Roman" w:cs="Times New Roman"/>
          <w:sz w:val="22"/>
          <w:szCs w:val="22"/>
        </w:rPr>
        <w:t>.  La entidad espera que la economía crezca 5.8% en 2021, bajo el supuesto de que</w:t>
      </w:r>
      <w:r w:rsidRPr="008B14E8">
        <w:rPr>
          <w:rFonts w:ascii="Times New Roman" w:hAnsi="Times New Roman" w:cs="Times New Roman"/>
          <w:sz w:val="22"/>
          <w:szCs w:val="22"/>
        </w:rPr>
        <w:t xml:space="preserve"> la pandemia se disipe en la segunda mitad del 2020</w:t>
      </w:r>
      <w:r>
        <w:rPr>
          <w:rFonts w:ascii="Times New Roman" w:hAnsi="Times New Roman" w:cs="Times New Roman"/>
          <w:sz w:val="22"/>
          <w:szCs w:val="22"/>
        </w:rPr>
        <w:t xml:space="preserve"> y continúen</w:t>
      </w:r>
      <w:r w:rsidRPr="008B14E8">
        <w:rPr>
          <w:rFonts w:ascii="Times New Roman" w:hAnsi="Times New Roman" w:cs="Times New Roman"/>
          <w:sz w:val="22"/>
          <w:szCs w:val="22"/>
        </w:rPr>
        <w:t xml:space="preserve"> los estímulos de políticas públicas.</w:t>
      </w:r>
    </w:p>
    <w:p w:rsidR="00385EB4" w:rsidRDefault="00385EB4" w:rsidP="00385EB4">
      <w:pPr>
        <w:pStyle w:val="Textodeglobo"/>
        <w:jc w:val="both"/>
        <w:rPr>
          <w:rFonts w:ascii="Times New Roman" w:hAnsi="Times New Roman" w:cs="Times New Roman"/>
          <w:sz w:val="22"/>
          <w:szCs w:val="22"/>
        </w:rPr>
      </w:pPr>
    </w:p>
    <w:p w:rsidR="00385EB4" w:rsidRPr="008B14E8" w:rsidRDefault="00385EB4" w:rsidP="00385EB4">
      <w:pPr>
        <w:pStyle w:val="Textodeglobo"/>
        <w:jc w:val="both"/>
        <w:rPr>
          <w:rFonts w:ascii="Times New Roman" w:hAnsi="Times New Roman" w:cs="Times New Roman"/>
          <w:sz w:val="22"/>
          <w:szCs w:val="22"/>
        </w:rPr>
      </w:pPr>
      <w:r w:rsidRPr="00423415">
        <w:rPr>
          <w:rFonts w:ascii="Times New Roman" w:hAnsi="Times New Roman" w:cs="Times New Roman"/>
          <w:sz w:val="22"/>
          <w:szCs w:val="22"/>
        </w:rPr>
        <w:t xml:space="preserve">Las previsiones del FMI </w:t>
      </w:r>
      <w:r>
        <w:rPr>
          <w:rFonts w:ascii="Times New Roman" w:hAnsi="Times New Roman" w:cs="Times New Roman"/>
          <w:sz w:val="22"/>
          <w:szCs w:val="22"/>
        </w:rPr>
        <w:t xml:space="preserve">marcan </w:t>
      </w:r>
      <w:r w:rsidRPr="00423415">
        <w:rPr>
          <w:rFonts w:ascii="Times New Roman" w:hAnsi="Times New Roman" w:cs="Times New Roman"/>
          <w:sz w:val="22"/>
          <w:szCs w:val="22"/>
        </w:rPr>
        <w:t>el arranque de la</w:t>
      </w:r>
      <w:r>
        <w:rPr>
          <w:rFonts w:ascii="Times New Roman" w:hAnsi="Times New Roman" w:cs="Times New Roman"/>
          <w:sz w:val="22"/>
          <w:szCs w:val="22"/>
        </w:rPr>
        <w:t>s</w:t>
      </w:r>
      <w:r w:rsidRPr="00423415">
        <w:rPr>
          <w:rFonts w:ascii="Times New Roman" w:hAnsi="Times New Roman" w:cs="Times New Roman"/>
          <w:sz w:val="22"/>
          <w:szCs w:val="22"/>
        </w:rPr>
        <w:t xml:space="preserve"> reuniones de primavera de la institución, que se centrarán en los efectos del coronavirus y que se celebran, precisamente como efecto colateral de la pandemia, de manera virtual. </w:t>
      </w:r>
    </w:p>
    <w:p w:rsidR="00385EB4" w:rsidRPr="00C65F58" w:rsidRDefault="00385EB4" w:rsidP="00385EB4">
      <w:pPr>
        <w:pStyle w:val="Textodeglobo"/>
        <w:jc w:val="both"/>
        <w:rPr>
          <w:rFonts w:ascii="Times New Roman" w:hAnsi="Times New Roman" w:cs="Times New Roman"/>
          <w:sz w:val="22"/>
          <w:szCs w:val="22"/>
        </w:rPr>
      </w:pPr>
    </w:p>
    <w:p w:rsidR="00385EB4" w:rsidRPr="00C65F58" w:rsidRDefault="00385EB4" w:rsidP="00385EB4">
      <w:pPr>
        <w:pStyle w:val="Textodeglobo"/>
        <w:jc w:val="center"/>
        <w:rPr>
          <w:rFonts w:ascii="Times New Roman" w:hAnsi="Times New Roman" w:cs="Times New Roman"/>
          <w:b/>
          <w:bCs/>
          <w:sz w:val="22"/>
          <w:szCs w:val="22"/>
        </w:rPr>
      </w:pPr>
      <w:r w:rsidRPr="00C65F58">
        <w:rPr>
          <w:rFonts w:ascii="Times New Roman" w:hAnsi="Times New Roman" w:cs="Times New Roman"/>
          <w:b/>
          <w:bCs/>
          <w:sz w:val="22"/>
          <w:szCs w:val="22"/>
        </w:rPr>
        <w:t>Previsiones de crecimiento según el FMI</w:t>
      </w:r>
    </w:p>
    <w:p w:rsidR="00385EB4" w:rsidRPr="00C65F58" w:rsidRDefault="00385EB4" w:rsidP="00385EB4">
      <w:pPr>
        <w:pStyle w:val="Textodeglobo"/>
        <w:jc w:val="center"/>
        <w:rPr>
          <w:rFonts w:ascii="Times New Roman" w:hAnsi="Times New Roman" w:cs="Times New Roman"/>
          <w:sz w:val="18"/>
          <w:szCs w:val="18"/>
        </w:rPr>
      </w:pPr>
      <w:r w:rsidRPr="00C65F58">
        <w:rPr>
          <w:rFonts w:ascii="Times New Roman" w:hAnsi="Times New Roman" w:cs="Times New Roman"/>
          <w:sz w:val="18"/>
          <w:szCs w:val="18"/>
        </w:rPr>
        <w:t>Porcentaje</w:t>
      </w:r>
    </w:p>
    <w:p w:rsidR="00385EB4" w:rsidRPr="00C65F58" w:rsidRDefault="00385EB4" w:rsidP="00385EB4">
      <w:pPr>
        <w:spacing w:after="0" w:line="240" w:lineRule="auto"/>
        <w:jc w:val="both"/>
        <w:rPr>
          <w:rFonts w:ascii="Times New Roman" w:hAnsi="Times New Roman" w:cs="Times New Roman"/>
        </w:rPr>
      </w:pPr>
      <w:r w:rsidRPr="00C65F58">
        <w:rPr>
          <w:noProof/>
          <w:lang w:eastAsia="es-GT"/>
        </w:rPr>
        <w:drawing>
          <wp:inline distT="0" distB="0" distL="0" distR="0" wp14:anchorId="3CB79DED" wp14:editId="6B326775">
            <wp:extent cx="2826030" cy="3061252"/>
            <wp:effectExtent l="0" t="0" r="0" b="6350"/>
            <wp:docPr id="40" name="Imagen 1">
              <a:extLst xmlns:a="http://schemas.openxmlformats.org/drawingml/2006/main">
                <a:ext uri="{FF2B5EF4-FFF2-40B4-BE49-F238E27FC236}">
                  <a16:creationId xmlns:a16="http://schemas.microsoft.com/office/drawing/2014/main" id="{91DC7DCB-7EC7-414A-91D7-3EC708A78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91DC7DCB-7EC7-414A-91D7-3EC708A7860F}"/>
                        </a:ext>
                      </a:extLst>
                    </pic:cNvPr>
                    <pic:cNvPicPr>
                      <a:picLocks noChangeAspect="1"/>
                    </pic:cNvPicPr>
                  </pic:nvPicPr>
                  <pic:blipFill rotWithShape="1">
                    <a:blip r:embed="rId31"/>
                    <a:srcRect l="21815" t="13224" r="41493" b="16101"/>
                    <a:stretch/>
                  </pic:blipFill>
                  <pic:spPr>
                    <a:xfrm>
                      <a:off x="0" y="0"/>
                      <a:ext cx="2830426" cy="3066014"/>
                    </a:xfrm>
                    <a:prstGeom prst="rect">
                      <a:avLst/>
                    </a:prstGeom>
                  </pic:spPr>
                </pic:pic>
              </a:graphicData>
            </a:graphic>
          </wp:inline>
        </w:drawing>
      </w:r>
    </w:p>
    <w:p w:rsidR="00385EB4" w:rsidRPr="00C65F58" w:rsidRDefault="00385EB4" w:rsidP="00385EB4">
      <w:pPr>
        <w:spacing w:after="0" w:line="240" w:lineRule="auto"/>
        <w:jc w:val="both"/>
        <w:rPr>
          <w:rFonts w:ascii="Times New Roman" w:hAnsi="Times New Roman" w:cs="Times New Roman"/>
          <w:sz w:val="14"/>
          <w:szCs w:val="14"/>
        </w:rPr>
      </w:pPr>
      <w:r w:rsidRPr="00C65F58">
        <w:rPr>
          <w:rFonts w:ascii="Times New Roman" w:hAnsi="Times New Roman" w:cs="Times New Roman"/>
          <w:sz w:val="14"/>
          <w:szCs w:val="14"/>
        </w:rPr>
        <w:t>Fuente: FMI.</w:t>
      </w:r>
    </w:p>
    <w:p w:rsidR="00385EB4" w:rsidRPr="00C65F58" w:rsidRDefault="00385EB4" w:rsidP="00385EB4">
      <w:pPr>
        <w:spacing w:after="0" w:line="240" w:lineRule="auto"/>
        <w:jc w:val="both"/>
        <w:rPr>
          <w:rFonts w:ascii="Times New Roman" w:hAnsi="Times New Roman" w:cs="Times New Roman"/>
        </w:rPr>
      </w:pPr>
    </w:p>
    <w:p w:rsidR="00385EB4" w:rsidRPr="00AC561A" w:rsidRDefault="00385EB4" w:rsidP="00385EB4">
      <w:pPr>
        <w:spacing w:after="0" w:line="240" w:lineRule="auto"/>
        <w:jc w:val="both"/>
        <w:rPr>
          <w:rFonts w:ascii="Times New Roman" w:hAnsi="Times New Roman" w:cs="Times New Roman"/>
        </w:rPr>
      </w:pPr>
      <w:r w:rsidRPr="00AC561A">
        <w:rPr>
          <w:rFonts w:ascii="Times New Roman" w:hAnsi="Times New Roman" w:cs="Times New Roman"/>
        </w:rPr>
        <w:t>La CEPAL en su diagnóstico, indicó que América Latina y el Caribe enfrentarán la emergencia sanitaria desde una posición de mayor debilidad en comparación con el resto del mundo. Se pronostican contracciones de entre un 3% y un 4% del PIB, o incluso más.  La contingencia impactará en América Latina por la disminución de la actividad económica de sus principales socios comerciales, la caída de los precios de los productos primarios, la interrupción de las cadenas de valor, la menor demanda de servicios de turismo, la aversión al riesgo y el empeoramiento de las condiciones financieras mundiales.  El efecto económico final dependerá de las medidas que se tomen a nivel nacional, regional y mundial, se advierte.</w:t>
      </w:r>
    </w:p>
    <w:p w:rsidR="00385EB4" w:rsidRPr="00AC561A" w:rsidRDefault="00385EB4" w:rsidP="00385EB4">
      <w:pPr>
        <w:spacing w:after="0" w:line="240" w:lineRule="auto"/>
        <w:jc w:val="both"/>
        <w:rPr>
          <w:rFonts w:ascii="Times New Roman" w:hAnsi="Times New Roman" w:cs="Times New Roman"/>
        </w:rPr>
      </w:pPr>
      <w:r w:rsidRPr="00AC561A">
        <w:rPr>
          <w:rFonts w:ascii="Times New Roman" w:hAnsi="Times New Roman" w:cs="Times New Roman"/>
        </w:rPr>
        <w:t xml:space="preserve"> </w:t>
      </w:r>
    </w:p>
    <w:p w:rsidR="00385EB4" w:rsidRPr="00AC561A" w:rsidRDefault="00385EB4" w:rsidP="00385EB4">
      <w:pPr>
        <w:spacing w:after="0" w:line="240" w:lineRule="auto"/>
        <w:jc w:val="both"/>
        <w:rPr>
          <w:rFonts w:ascii="Times New Roman" w:hAnsi="Times New Roman" w:cs="Times New Roman"/>
        </w:rPr>
      </w:pPr>
      <w:r w:rsidRPr="00AC561A">
        <w:rPr>
          <w:rFonts w:ascii="Times New Roman" w:hAnsi="Times New Roman" w:cs="Times New Roman"/>
        </w:rPr>
        <w:t xml:space="preserve">No se descarta que la crisis del nuevo coronavirus “acelerará algunos cambios estructurales en curso en la última década. Por ejemplo, las cuarentenas forzosas aumentarán la virtualización de las relaciones económicas y sociales; el teletrabajo prevalecerá en más industrias y regiones, y la digitalización avanzará aún más rápido. En este marco, las empresas más avanzadas tecnológicamente aumentarían sus ventajas en relación con las empresas atrasadas, en particular las </w:t>
      </w:r>
      <w:proofErr w:type="spellStart"/>
      <w:r w:rsidRPr="00AC561A">
        <w:rPr>
          <w:rFonts w:ascii="Times New Roman" w:hAnsi="Times New Roman" w:cs="Times New Roman"/>
        </w:rPr>
        <w:t>mipyme</w:t>
      </w:r>
      <w:proofErr w:type="spellEnd"/>
      <w:r w:rsidRPr="00AC561A">
        <w:rPr>
          <w:rFonts w:ascii="Times New Roman" w:hAnsi="Times New Roman" w:cs="Times New Roman"/>
        </w:rPr>
        <w:t>.”</w:t>
      </w:r>
    </w:p>
    <w:p w:rsidR="00385EB4" w:rsidRPr="00965D51" w:rsidRDefault="00385EB4" w:rsidP="00385EB4">
      <w:pPr>
        <w:spacing w:after="0" w:line="240" w:lineRule="auto"/>
        <w:jc w:val="both"/>
        <w:rPr>
          <w:rFonts w:ascii="Times New Roman" w:hAnsi="Times New Roman" w:cs="Times New Roman"/>
          <w:color w:val="FF0000"/>
        </w:rPr>
      </w:pPr>
    </w:p>
    <w:p w:rsidR="00385EB4" w:rsidRPr="001F6866" w:rsidRDefault="00385EB4" w:rsidP="00385EB4">
      <w:pPr>
        <w:spacing w:after="0" w:line="240" w:lineRule="auto"/>
        <w:jc w:val="both"/>
        <w:rPr>
          <w:rFonts w:ascii="Times New Roman" w:hAnsi="Times New Roman" w:cs="Times New Roman"/>
          <w:lang w:val="es-MX"/>
        </w:rPr>
      </w:pPr>
      <w:r w:rsidRPr="001F6866">
        <w:rPr>
          <w:rFonts w:ascii="Times New Roman" w:hAnsi="Times New Roman" w:cs="Times New Roman"/>
          <w:lang w:val="es-MX"/>
        </w:rPr>
        <w:t>El Banco Mundial en su informe “La economía en tiempos del COVID-19” indicó que la economía de América Latina se contraerá 4.6% en 2020 atribuido a las tensiones sociales, el desplome de los precios del petróleo y principalmente a la crisis del coronavirus.</w:t>
      </w:r>
      <w:r>
        <w:rPr>
          <w:rFonts w:ascii="Times New Roman" w:hAnsi="Times New Roman" w:cs="Times New Roman"/>
          <w:lang w:val="es-MX"/>
        </w:rPr>
        <w:t xml:space="preserve"> Entre los más afectados, está </w:t>
      </w:r>
      <w:r w:rsidRPr="001F6866">
        <w:rPr>
          <w:rFonts w:ascii="Times New Roman" w:hAnsi="Times New Roman" w:cs="Times New Roman"/>
          <w:lang w:val="es-MX"/>
        </w:rPr>
        <w:t xml:space="preserve">la economía de Argentina </w:t>
      </w:r>
      <w:r>
        <w:rPr>
          <w:rFonts w:ascii="Times New Roman" w:hAnsi="Times New Roman" w:cs="Times New Roman"/>
          <w:lang w:val="es-MX"/>
        </w:rPr>
        <w:t>con un retroceso de</w:t>
      </w:r>
      <w:r w:rsidRPr="001F6866">
        <w:rPr>
          <w:rFonts w:ascii="Times New Roman" w:hAnsi="Times New Roman" w:cs="Times New Roman"/>
          <w:lang w:val="es-MX"/>
        </w:rPr>
        <w:t xml:space="preserve"> 5</w:t>
      </w:r>
      <w:r>
        <w:rPr>
          <w:rFonts w:ascii="Times New Roman" w:hAnsi="Times New Roman" w:cs="Times New Roman"/>
          <w:lang w:val="es-MX"/>
        </w:rPr>
        <w:t>.</w:t>
      </w:r>
      <w:r w:rsidRPr="001F6866">
        <w:rPr>
          <w:rFonts w:ascii="Times New Roman" w:hAnsi="Times New Roman" w:cs="Times New Roman"/>
          <w:lang w:val="es-MX"/>
        </w:rPr>
        <w:t xml:space="preserve">2%, la de Brasil lo hará un 5% y la de México un 6%. </w:t>
      </w:r>
      <w:r>
        <w:rPr>
          <w:rFonts w:ascii="Times New Roman" w:hAnsi="Times New Roman" w:cs="Times New Roman"/>
          <w:lang w:val="es-MX"/>
        </w:rPr>
        <w:t>El banco indicó que, aunque</w:t>
      </w:r>
      <w:r w:rsidRPr="001F6866">
        <w:rPr>
          <w:rFonts w:ascii="Times New Roman" w:hAnsi="Times New Roman" w:cs="Times New Roman"/>
          <w:lang w:val="es-MX"/>
        </w:rPr>
        <w:t xml:space="preserve"> lo peor de la pandemia se lo han llevado Estados Unidos, España e Italia, además de China, a final de cuentas, los países más pobres en África, Asia y América Latina serán los más afectados.</w:t>
      </w:r>
    </w:p>
    <w:p w:rsidR="00385EB4" w:rsidRPr="00965D51" w:rsidRDefault="00385EB4" w:rsidP="00385EB4">
      <w:pPr>
        <w:pStyle w:val="Sinespaciado"/>
        <w:jc w:val="both"/>
        <w:rPr>
          <w:rFonts w:ascii="Times New Roman" w:eastAsia="Times New Roman" w:hAnsi="Times New Roman" w:cs="Times New Roman"/>
          <w:color w:val="FF0000"/>
          <w:lang w:val="es-MX"/>
        </w:rPr>
      </w:pPr>
    </w:p>
    <w:p w:rsidR="00385EB4" w:rsidRPr="00AC561A" w:rsidRDefault="00385EB4" w:rsidP="00385EB4">
      <w:pPr>
        <w:pStyle w:val="Sinespaciado"/>
        <w:jc w:val="both"/>
        <w:rPr>
          <w:rFonts w:ascii="Times New Roman" w:eastAsia="Times New Roman" w:hAnsi="Times New Roman" w:cs="Times New Roman"/>
          <w:lang w:val="es-MX"/>
        </w:rPr>
      </w:pPr>
      <w:r w:rsidRPr="00AB3A75">
        <w:rPr>
          <w:rFonts w:ascii="Times New Roman" w:eastAsia="Times New Roman" w:hAnsi="Times New Roman" w:cs="Times New Roman"/>
          <w:lang w:val="es-MX"/>
        </w:rPr>
        <w:t xml:space="preserve">En el ámbito interno, la percepción sobre la situación económica actual y el ambiente para los negocios aumentó, el nivel del Índice de Confianza de la Actividad Económica se situó en 57.52 puntos, inferior en 19.07% con respecto al registrado el mes anterior y superior en 29.03% respecto al registrado en marzo 2019.   </w:t>
      </w:r>
      <w:r w:rsidRPr="00AC561A">
        <w:rPr>
          <w:rFonts w:ascii="Times New Roman" w:eastAsia="Times New Roman" w:hAnsi="Times New Roman" w:cs="Times New Roman"/>
          <w:lang w:val="es-MX"/>
        </w:rPr>
        <w:t xml:space="preserve">Así mismo, se espera un ritmo inflacionario de 2.60% para marzo, 2.84% para abril y 3.06% para mayo 2020; en un horizonte de 12 y 24 meses se esperaría un ritmo de 3.86% y 3.99% respectivamente. </w:t>
      </w:r>
    </w:p>
    <w:p w:rsidR="00385EB4" w:rsidRPr="00AC561A" w:rsidRDefault="00385EB4" w:rsidP="00385EB4">
      <w:pPr>
        <w:pStyle w:val="Sinespaciado"/>
        <w:jc w:val="both"/>
        <w:rPr>
          <w:rFonts w:ascii="Times New Roman" w:eastAsia="Times New Roman" w:hAnsi="Times New Roman" w:cs="Times New Roman"/>
          <w:lang w:val="es-MX"/>
        </w:rPr>
      </w:pPr>
    </w:p>
    <w:p w:rsidR="00385EB4" w:rsidRPr="00AC561A" w:rsidRDefault="00385EB4" w:rsidP="00385EB4">
      <w:pPr>
        <w:pStyle w:val="Sinespaciado"/>
        <w:jc w:val="both"/>
        <w:rPr>
          <w:rFonts w:ascii="Times New Roman" w:eastAsia="Times New Roman" w:hAnsi="Times New Roman" w:cs="Times New Roman"/>
          <w:lang w:val="es-MX"/>
        </w:rPr>
        <w:sectPr w:rsidR="00385EB4" w:rsidRPr="00AC561A" w:rsidSect="00040C99">
          <w:headerReference w:type="default" r:id="rId32"/>
          <w:footerReference w:type="default" r:id="rId33"/>
          <w:type w:val="continuous"/>
          <w:pgSz w:w="12240" w:h="15840" w:code="1"/>
          <w:pgMar w:top="1418" w:right="1467" w:bottom="1418" w:left="1560" w:header="709" w:footer="709" w:gutter="0"/>
          <w:cols w:num="2" w:space="802"/>
          <w:docGrid w:linePitch="360"/>
        </w:sectPr>
      </w:pPr>
      <w:r w:rsidRPr="00AC561A">
        <w:rPr>
          <w:rFonts w:ascii="Times New Roman" w:eastAsia="Times New Roman" w:hAnsi="Times New Roman" w:cs="Times New Roman"/>
          <w:lang w:val="es-MX"/>
        </w:rPr>
        <w:t>La actividad económica medida por la estimación del IMAE a febrero de 2020, registró una tasa de crecimiento de 2.6% (3.8% en febrero de 2019). El comportamiento descrito, estuvo influenciado por las actividades económicas de Comercio y reparación de vehículos; Industrias manufactureras; Agricultura y Actividades financieras y de seguros. Actividades que tuvieron mayor incidencia en el IMAE</w:t>
      </w:r>
      <w:r>
        <w:rPr>
          <w:rFonts w:ascii="Times New Roman" w:eastAsia="Times New Roman" w:hAnsi="Times New Roman" w:cs="Times New Roman"/>
          <w:lang w:val="es-MX"/>
        </w:rPr>
        <w:t>.</w:t>
      </w:r>
    </w:p>
    <w:p w:rsidR="00F062BF" w:rsidRPr="008F3134" w:rsidRDefault="00F062BF" w:rsidP="00F062BF">
      <w:pPr>
        <w:spacing w:after="0" w:line="240" w:lineRule="auto"/>
        <w:rPr>
          <w:rFonts w:ascii="Times New Roman" w:hAnsi="Times New Roman" w:cs="Times New Roman"/>
          <w:noProof/>
          <w:color w:val="FF0000"/>
          <w:sz w:val="16"/>
          <w:lang w:val="es-MX" w:eastAsia="es-GT"/>
        </w:rPr>
        <w:sectPr w:rsidR="00F062BF" w:rsidRPr="008F3134" w:rsidSect="00986297">
          <w:headerReference w:type="default" r:id="rId34"/>
          <w:footerReference w:type="default" r:id="rId35"/>
          <w:type w:val="continuous"/>
          <w:pgSz w:w="12240" w:h="15840" w:code="1"/>
          <w:pgMar w:top="1418" w:right="1418" w:bottom="1418" w:left="1418" w:header="709" w:footer="709" w:gutter="0"/>
          <w:cols w:num="2" w:space="708"/>
          <w:docGrid w:linePitch="360"/>
        </w:sectPr>
      </w:pPr>
    </w:p>
    <w:p w:rsidR="00C739AF" w:rsidRPr="008F3134" w:rsidRDefault="00C739AF" w:rsidP="00AD5816">
      <w:pPr>
        <w:spacing w:after="0" w:line="240" w:lineRule="auto"/>
        <w:rPr>
          <w:rFonts w:ascii="Times New Roman" w:hAnsi="Times New Roman" w:cs="Times New Roman"/>
          <w:noProof/>
          <w:color w:val="FF0000"/>
          <w:sz w:val="16"/>
          <w:lang w:eastAsia="es-GT"/>
        </w:rPr>
      </w:pPr>
    </w:p>
    <w:p w:rsidR="00C739AF" w:rsidRPr="008F3134" w:rsidRDefault="00C739AF" w:rsidP="00AD5816">
      <w:pPr>
        <w:spacing w:after="0" w:line="240" w:lineRule="auto"/>
        <w:rPr>
          <w:rFonts w:ascii="Times New Roman" w:hAnsi="Times New Roman" w:cs="Times New Roman"/>
          <w:noProof/>
          <w:color w:val="FF0000"/>
          <w:sz w:val="16"/>
          <w:lang w:eastAsia="es-GT"/>
        </w:rPr>
      </w:pPr>
    </w:p>
    <w:p w:rsidR="00C739AF" w:rsidRPr="008F3134" w:rsidRDefault="00C739AF"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1E20AE" w:rsidRPr="008F3134" w:rsidRDefault="001E20AE" w:rsidP="00AD5816">
      <w:pPr>
        <w:spacing w:after="0" w:line="240" w:lineRule="auto"/>
        <w:rPr>
          <w:rFonts w:ascii="Times New Roman" w:hAnsi="Times New Roman" w:cs="Times New Roman"/>
          <w:noProof/>
          <w:color w:val="FF0000"/>
          <w:sz w:val="16"/>
          <w:lang w:eastAsia="es-GT"/>
        </w:rPr>
      </w:pPr>
    </w:p>
    <w:p w:rsidR="00C739AF" w:rsidRPr="008F3134" w:rsidRDefault="00C739AF" w:rsidP="00AD5816">
      <w:pPr>
        <w:spacing w:after="0" w:line="240" w:lineRule="auto"/>
        <w:rPr>
          <w:rFonts w:ascii="Times New Roman" w:hAnsi="Times New Roman" w:cs="Times New Roman"/>
          <w:noProof/>
          <w:color w:val="FF0000"/>
          <w:sz w:val="16"/>
          <w:lang w:eastAsia="es-GT"/>
        </w:rPr>
      </w:pPr>
    </w:p>
    <w:p w:rsidR="001F5581" w:rsidRPr="008F511B" w:rsidRDefault="001F5581" w:rsidP="001F5581">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color w:val="000000" w:themeColor="text1"/>
          <w:lang w:val="es-MX"/>
        </w:rPr>
        <w:sectPr w:rsidR="001F5581" w:rsidRPr="008F511B" w:rsidSect="00FA3B81">
          <w:headerReference w:type="default" r:id="rId36"/>
          <w:footerReference w:type="default" r:id="rId37"/>
          <w:type w:val="continuous"/>
          <w:pgSz w:w="12240" w:h="15840" w:code="1"/>
          <w:pgMar w:top="1418" w:right="1418" w:bottom="1418" w:left="1418" w:header="709" w:footer="709" w:gutter="0"/>
          <w:cols w:space="708"/>
          <w:docGrid w:linePitch="360"/>
        </w:sectPr>
      </w:pPr>
      <w:r w:rsidRPr="008F511B">
        <w:rPr>
          <w:rFonts w:ascii="Times New Roman" w:hAnsi="Times New Roman" w:cs="Times New Roman"/>
          <w:b/>
          <w:color w:val="000000" w:themeColor="text1"/>
          <w:lang w:val="es-MX"/>
        </w:rPr>
        <w:t>Anexo</w:t>
      </w:r>
    </w:p>
    <w:p w:rsidR="001F5581" w:rsidRPr="008F3134" w:rsidRDefault="001F5581" w:rsidP="00AD5816">
      <w:pPr>
        <w:spacing w:after="0" w:line="240" w:lineRule="auto"/>
        <w:rPr>
          <w:rFonts w:ascii="Times New Roman" w:hAnsi="Times New Roman" w:cs="Times New Roman"/>
          <w:noProof/>
          <w:color w:val="FF0000"/>
          <w:sz w:val="16"/>
          <w:lang w:val="es-MX" w:eastAsia="es-GT"/>
        </w:rPr>
        <w:sectPr w:rsidR="001F5581" w:rsidRPr="008F3134" w:rsidSect="00986297">
          <w:headerReference w:type="default" r:id="rId38"/>
          <w:footerReference w:type="default" r:id="rId39"/>
          <w:type w:val="continuous"/>
          <w:pgSz w:w="12240" w:h="15840" w:code="1"/>
          <w:pgMar w:top="1418" w:right="1418" w:bottom="1418" w:left="1418" w:header="709" w:footer="709" w:gutter="0"/>
          <w:cols w:num="2" w:space="708"/>
          <w:docGrid w:linePitch="360"/>
        </w:sectPr>
      </w:pPr>
    </w:p>
    <w:p w:rsidR="0008320B" w:rsidRPr="008F3134" w:rsidRDefault="0008320B" w:rsidP="007E6BCF">
      <w:pPr>
        <w:spacing w:after="0" w:line="240" w:lineRule="auto"/>
        <w:rPr>
          <w:noProof/>
          <w:color w:val="FF0000"/>
          <w:lang w:eastAsia="es-GT"/>
        </w:rPr>
      </w:pPr>
    </w:p>
    <w:p w:rsidR="005834A0" w:rsidRPr="008F3134" w:rsidRDefault="008F511B" w:rsidP="007E6BCF">
      <w:pPr>
        <w:spacing w:after="0" w:line="240" w:lineRule="auto"/>
        <w:rPr>
          <w:noProof/>
          <w:color w:val="FF0000"/>
          <w:lang w:eastAsia="es-GT"/>
        </w:rPr>
      </w:pPr>
      <w:r w:rsidRPr="000C6CD8">
        <w:rPr>
          <w:noProof/>
          <w:lang w:eastAsia="es-GT"/>
        </w:rPr>
        <w:drawing>
          <wp:anchor distT="0" distB="0" distL="114300" distR="114300" simplePos="0" relativeHeight="251769856" behindDoc="0" locked="0" layoutInCell="1" allowOverlap="1" wp14:anchorId="7A2964E1" wp14:editId="21100F2A">
            <wp:simplePos x="0" y="0"/>
            <wp:positionH relativeFrom="column">
              <wp:posOffset>-2540</wp:posOffset>
            </wp:positionH>
            <wp:positionV relativeFrom="paragraph">
              <wp:posOffset>170815</wp:posOffset>
            </wp:positionV>
            <wp:extent cx="5955030" cy="4734560"/>
            <wp:effectExtent l="0" t="0" r="7620" b="889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5030" cy="473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4A0" w:rsidRPr="008F3134" w:rsidRDefault="005834A0" w:rsidP="007E6BCF">
      <w:pPr>
        <w:spacing w:after="0" w:line="240" w:lineRule="auto"/>
        <w:rPr>
          <w:noProof/>
          <w:color w:val="FF0000"/>
          <w:lang w:eastAsia="es-GT"/>
        </w:rPr>
      </w:pPr>
    </w:p>
    <w:p w:rsidR="005834A0" w:rsidRPr="008F3134" w:rsidRDefault="005834A0" w:rsidP="007E6BCF">
      <w:pPr>
        <w:spacing w:after="0" w:line="240" w:lineRule="auto"/>
        <w:rPr>
          <w:noProof/>
          <w:color w:val="FF0000"/>
          <w:lang w:eastAsia="es-GT"/>
        </w:rPr>
      </w:pPr>
    </w:p>
    <w:p w:rsidR="005834A0" w:rsidRPr="008F3134" w:rsidRDefault="005834A0" w:rsidP="007E6BCF">
      <w:pPr>
        <w:spacing w:after="0" w:line="240" w:lineRule="auto"/>
        <w:rPr>
          <w:noProof/>
          <w:color w:val="FF0000"/>
          <w:lang w:eastAsia="es-GT"/>
        </w:rPr>
      </w:pPr>
    </w:p>
    <w:p w:rsidR="001F5581" w:rsidRPr="008F3134" w:rsidRDefault="001F5581" w:rsidP="007E6BCF">
      <w:pPr>
        <w:spacing w:after="0" w:line="240" w:lineRule="auto"/>
        <w:rPr>
          <w:rFonts w:ascii="Times New Roman" w:hAnsi="Times New Roman" w:cs="Times New Roman"/>
          <w:noProof/>
          <w:color w:val="FF0000"/>
          <w:sz w:val="16"/>
          <w:lang w:val="es-MX" w:eastAsia="es-GT"/>
        </w:rPr>
        <w:sectPr w:rsidR="001F5581" w:rsidRPr="008F3134" w:rsidSect="001F5581">
          <w:type w:val="continuous"/>
          <w:pgSz w:w="12240" w:h="15840" w:code="1"/>
          <w:pgMar w:top="1418" w:right="1418" w:bottom="1418" w:left="1418" w:header="709" w:footer="709" w:gutter="0"/>
          <w:cols w:space="708"/>
          <w:docGrid w:linePitch="360"/>
        </w:sectPr>
      </w:pPr>
    </w:p>
    <w:p w:rsidR="00AD5816" w:rsidRPr="008F3134" w:rsidRDefault="00AD5816" w:rsidP="00AD5816">
      <w:pPr>
        <w:spacing w:after="0" w:line="240" w:lineRule="auto"/>
        <w:rPr>
          <w:rFonts w:ascii="Times New Roman" w:hAnsi="Times New Roman" w:cs="Times New Roman"/>
          <w:noProof/>
          <w:color w:val="FF0000"/>
          <w:sz w:val="16"/>
          <w:lang w:eastAsia="es-GT"/>
        </w:rPr>
      </w:pPr>
    </w:p>
    <w:p w:rsidR="00AD5816" w:rsidRPr="008F3134" w:rsidRDefault="00AD5816" w:rsidP="00AD5816">
      <w:pPr>
        <w:spacing w:after="0" w:line="240" w:lineRule="auto"/>
        <w:rPr>
          <w:rFonts w:ascii="Times New Roman" w:hAnsi="Times New Roman" w:cs="Times New Roman"/>
          <w:noProof/>
          <w:color w:val="FF0000"/>
          <w:sz w:val="16"/>
          <w:lang w:eastAsia="es-GT"/>
        </w:rPr>
      </w:pPr>
    </w:p>
    <w:p w:rsidR="007703A2" w:rsidRPr="008F3134" w:rsidRDefault="007703A2" w:rsidP="00940C2E">
      <w:pPr>
        <w:pStyle w:val="Sinespaciado"/>
        <w:jc w:val="center"/>
        <w:rPr>
          <w:rFonts w:ascii="Times New Roman" w:hAnsi="Times New Roman" w:cs="Times New Roman"/>
          <w:color w:val="FF0000"/>
        </w:rPr>
      </w:pPr>
    </w:p>
    <w:sectPr w:rsidR="007703A2" w:rsidRPr="008F3134"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85B" w:rsidRDefault="005E185B" w:rsidP="007D4651">
      <w:pPr>
        <w:spacing w:after="0" w:line="240" w:lineRule="auto"/>
      </w:pPr>
      <w:r>
        <w:separator/>
      </w:r>
    </w:p>
  </w:endnote>
  <w:endnote w:type="continuationSeparator" w:id="0">
    <w:p w:rsidR="005E185B" w:rsidRDefault="005E185B"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7373661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3FA5C3C5" wp14:editId="55542EC3">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093235116"/>
      <w:docPartObj>
        <w:docPartGallery w:val="Page Numbers (Bottom of Page)"/>
        <w:docPartUnique/>
      </w:docPartObj>
    </w:sdtPr>
    <w:sdtEndPr/>
    <w:sdtContent>
      <w:p w:rsidR="001F5581" w:rsidRDefault="001F5581">
        <w:pPr>
          <w:pStyle w:val="Piedepgina"/>
          <w:jc w:val="right"/>
          <w:rPr>
            <w:lang w:val="es-ES"/>
          </w:rPr>
        </w:pPr>
      </w:p>
      <w:p w:rsidR="001F5581" w:rsidRDefault="001F5581"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4A53B401" wp14:editId="082D791C">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1F5581" w:rsidRDefault="001F5581">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1F5581" w:rsidRDefault="001F5581" w:rsidP="007D4651">
    <w:pPr>
      <w:pStyle w:val="Piedepgina"/>
      <w:tabs>
        <w:tab w:val="clear" w:pos="4419"/>
        <w:tab w:val="clear" w:pos="8838"/>
        <w:tab w:val="left" w:pos="5777"/>
      </w:tabs>
    </w:pPr>
  </w:p>
  <w:p w:rsidR="001F5581" w:rsidRDefault="001F558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390385153"/>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7BC2D40A" wp14:editId="7C4D7C6A">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85EB4" w:rsidRPr="00385EB4">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759977768"/>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3E380AD4" wp14:editId="070448A7">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358082904"/>
      <w:docPartObj>
        <w:docPartGallery w:val="Page Numbers (Bottom of Page)"/>
        <w:docPartUnique/>
      </w:docPartObj>
    </w:sdtPr>
    <w:sdtEndPr/>
    <w:sdtContent>
      <w:p w:rsidR="00EB1910" w:rsidRDefault="00EB1910">
        <w:pPr>
          <w:pStyle w:val="Piedepgina"/>
          <w:jc w:val="right"/>
          <w:rPr>
            <w:lang w:val="es-ES"/>
          </w:rPr>
        </w:pPr>
      </w:p>
      <w:p w:rsidR="00EB1910" w:rsidRDefault="00EB1910"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15520206" wp14:editId="06245DB3">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B1910" w:rsidRDefault="00EB1910">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9A0CF4" w:rsidRPr="009A0CF4">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B1910" w:rsidRDefault="00EB1910" w:rsidP="007D4651">
    <w:pPr>
      <w:pStyle w:val="Piedepgina"/>
      <w:tabs>
        <w:tab w:val="clear" w:pos="4419"/>
        <w:tab w:val="clear" w:pos="8838"/>
        <w:tab w:val="left" w:pos="5777"/>
      </w:tabs>
    </w:pPr>
  </w:p>
  <w:p w:rsidR="00EB1910" w:rsidRDefault="00EB1910"/>
  <w:p w:rsidR="0030020D" w:rsidRDefault="0030020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057080796"/>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2423CD00" wp14:editId="0C7C485A">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532CD1" w:rsidRPr="00532CD1">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2100707382"/>
      <w:docPartObj>
        <w:docPartGallery w:val="Page Numbers (Bottom of Page)"/>
        <w:docPartUnique/>
      </w:docPartObj>
    </w:sdtPr>
    <w:sdtEndPr/>
    <w:sdtContent>
      <w:p w:rsidR="00216605" w:rsidRDefault="00216605">
        <w:pPr>
          <w:pStyle w:val="Piedepgina"/>
          <w:jc w:val="right"/>
          <w:rPr>
            <w:lang w:val="es-ES"/>
          </w:rPr>
        </w:pPr>
      </w:p>
      <w:p w:rsidR="00216605" w:rsidRDefault="00216605"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067FF326" wp14:editId="759FB99D">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216605" w:rsidRDefault="00216605">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5</w:t>
        </w:r>
        <w:r w:rsidRPr="007D4651">
          <w:rPr>
            <w:rFonts w:ascii="Times New Roman" w:hAnsi="Times New Roman" w:cs="Times New Roman"/>
            <w:b/>
            <w:color w:val="1F497D" w:themeColor="text2"/>
          </w:rPr>
          <w:fldChar w:fldCharType="end"/>
        </w:r>
        <w:r>
          <w:rPr>
            <w:lang w:val="es-ES"/>
          </w:rPr>
          <w:t xml:space="preserve"> </w:t>
        </w:r>
      </w:p>
    </w:sdtContent>
  </w:sdt>
  <w:p w:rsidR="00216605" w:rsidRDefault="00216605" w:rsidP="007D4651">
    <w:pPr>
      <w:pStyle w:val="Piedepgina"/>
      <w:tabs>
        <w:tab w:val="clear" w:pos="4419"/>
        <w:tab w:val="clear" w:pos="8838"/>
        <w:tab w:val="left" w:pos="5777"/>
      </w:tabs>
    </w:pPr>
  </w:p>
  <w:p w:rsidR="00216605" w:rsidRDefault="0021660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198588034"/>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3CBDD902" wp14:editId="5A3AF6C5">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567338240"/>
      <w:docPartObj>
        <w:docPartGallery w:val="Page Numbers (Bottom of Page)"/>
        <w:docPartUnique/>
      </w:docPartObj>
    </w:sdtPr>
    <w:sdtEndPr/>
    <w:sdtContent>
      <w:p w:rsidR="00AF68D3" w:rsidRDefault="00AF68D3">
        <w:pPr>
          <w:pStyle w:val="Piedepgina"/>
          <w:jc w:val="right"/>
          <w:rPr>
            <w:lang w:val="es-ES"/>
          </w:rPr>
        </w:pPr>
      </w:p>
      <w:p w:rsidR="00AF68D3" w:rsidRDefault="00AF68D3"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6AB29C4E" wp14:editId="61233F64">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AF68D3" w:rsidRDefault="00AF68D3">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85EB4" w:rsidRPr="00385EB4">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AF68D3" w:rsidRDefault="00AF68D3" w:rsidP="007D4651">
    <w:pPr>
      <w:pStyle w:val="Piedepgina"/>
      <w:tabs>
        <w:tab w:val="clear" w:pos="4419"/>
        <w:tab w:val="clear" w:pos="8838"/>
        <w:tab w:val="left" w:pos="5777"/>
      </w:tabs>
    </w:pPr>
  </w:p>
  <w:p w:rsidR="00AF68D3" w:rsidRDefault="00AF68D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693147185"/>
      <w:docPartObj>
        <w:docPartGallery w:val="Page Numbers (Bottom of Page)"/>
        <w:docPartUnique/>
      </w:docPartObj>
    </w:sdtPr>
    <w:sdtEndPr/>
    <w:sdtContent>
      <w:p w:rsidR="00385EB4" w:rsidRDefault="00385EB4">
        <w:pPr>
          <w:pStyle w:val="Piedepgina"/>
          <w:jc w:val="right"/>
          <w:rPr>
            <w:lang w:val="es-ES"/>
          </w:rPr>
        </w:pPr>
      </w:p>
      <w:p w:rsidR="00385EB4" w:rsidRDefault="00385EB4"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60640" behindDoc="0" locked="0" layoutInCell="1" allowOverlap="1" wp14:anchorId="4EDF742D" wp14:editId="6D78C780">
                  <wp:simplePos x="0" y="0"/>
                  <wp:positionH relativeFrom="column">
                    <wp:posOffset>1776669</wp:posOffset>
                  </wp:positionH>
                  <wp:positionV relativeFrom="paragraph">
                    <wp:posOffset>70516</wp:posOffset>
                  </wp:positionV>
                  <wp:extent cx="5155565" cy="45719"/>
                  <wp:effectExtent l="38100" t="38100" r="64135" b="88265"/>
                  <wp:wrapNone/>
                  <wp:docPr id="232"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6E47A" id="24 Rectángulo" o:spid="_x0000_s1026" style="position:absolute;margin-left:139.9pt;margin-top:5.55pt;width:405.95pt;height: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385EB4" w:rsidRDefault="00385EB4">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314CB5" w:rsidRPr="00314CB5">
          <w:rPr>
            <w:rFonts w:ascii="Times New Roman" w:hAnsi="Times New Roman" w:cs="Times New Roman"/>
            <w:b/>
            <w:noProof/>
            <w:color w:val="1F497D" w:themeColor="text2"/>
            <w:lang w:val="es-ES"/>
          </w:rPr>
          <w:t>8</w:t>
        </w:r>
        <w:r w:rsidRPr="007D4651">
          <w:rPr>
            <w:rFonts w:ascii="Times New Roman" w:hAnsi="Times New Roman" w:cs="Times New Roman"/>
            <w:b/>
            <w:color w:val="1F497D" w:themeColor="text2"/>
          </w:rPr>
          <w:fldChar w:fldCharType="end"/>
        </w:r>
        <w:r>
          <w:rPr>
            <w:lang w:val="es-ES"/>
          </w:rPr>
          <w:t xml:space="preserve"> </w:t>
        </w:r>
      </w:p>
    </w:sdtContent>
  </w:sdt>
  <w:p w:rsidR="00385EB4" w:rsidRDefault="00385EB4" w:rsidP="007D4651">
    <w:pPr>
      <w:pStyle w:val="Piedepgina"/>
      <w:tabs>
        <w:tab w:val="clear" w:pos="4419"/>
        <w:tab w:val="clear" w:pos="8838"/>
        <w:tab w:val="left" w:pos="5777"/>
      </w:tabs>
    </w:pPr>
  </w:p>
  <w:p w:rsidR="00385EB4" w:rsidRDefault="00385E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476265944"/>
      <w:docPartObj>
        <w:docPartGallery w:val="Page Numbers (Bottom of Page)"/>
        <w:docPartUnique/>
      </w:docPartObj>
    </w:sdtPr>
    <w:sdtEndPr/>
    <w:sdtContent>
      <w:p w:rsidR="00F062BF" w:rsidRDefault="00F062BF">
        <w:pPr>
          <w:pStyle w:val="Piedepgina"/>
          <w:jc w:val="right"/>
          <w:rPr>
            <w:lang w:val="es-ES"/>
          </w:rPr>
        </w:pPr>
      </w:p>
      <w:p w:rsidR="00F062BF" w:rsidRDefault="00F062BF"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2AF300E1" wp14:editId="47758E81">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F062BF" w:rsidRDefault="00F062BF">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F062BF" w:rsidRDefault="00F062BF" w:rsidP="007D4651">
    <w:pPr>
      <w:pStyle w:val="Piedepgina"/>
      <w:tabs>
        <w:tab w:val="clear" w:pos="4419"/>
        <w:tab w:val="clear" w:pos="8838"/>
        <w:tab w:val="left" w:pos="5777"/>
      </w:tabs>
    </w:pPr>
  </w:p>
  <w:p w:rsidR="00F062BF" w:rsidRDefault="00F062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85B" w:rsidRDefault="005E185B" w:rsidP="007D4651">
      <w:pPr>
        <w:spacing w:after="0" w:line="240" w:lineRule="auto"/>
      </w:pPr>
      <w:r>
        <w:separator/>
      </w:r>
    </w:p>
  </w:footnote>
  <w:footnote w:type="continuationSeparator" w:id="0">
    <w:p w:rsidR="005E185B" w:rsidRDefault="005E185B" w:rsidP="007D4651">
      <w:pPr>
        <w:spacing w:after="0" w:line="240" w:lineRule="auto"/>
      </w:pPr>
      <w:r>
        <w:continuationSeparator/>
      </w:r>
    </w:p>
  </w:footnote>
  <w:footnote w:id="1">
    <w:p w:rsidR="00602264" w:rsidRPr="0098340E" w:rsidRDefault="00602264" w:rsidP="00602264">
      <w:pPr>
        <w:pStyle w:val="Textonotapie"/>
        <w:rPr>
          <w:sz w:val="18"/>
          <w:szCs w:val="18"/>
        </w:rPr>
      </w:pPr>
      <w:r>
        <w:rPr>
          <w:rStyle w:val="Refdenotaalpie"/>
        </w:rPr>
        <w:footnoteRef/>
      </w:r>
      <w:r>
        <w:t xml:space="preserve"> </w:t>
      </w:r>
      <w:r w:rsidRPr="00602264">
        <w:rPr>
          <w:rFonts w:ascii="Times New Roman" w:hAnsi="Times New Roman" w:cs="Times New Roman"/>
          <w:sz w:val="14"/>
          <w:szCs w:val="14"/>
        </w:rPr>
        <w:t>Registro preliminar da cuenta de Q1,321 millones que se percibieron en abril pero que corresponden a marzo por concepto de IVA e ISR, de conformidad a la vigencia de resolución SAT 280-2020.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01624A"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6382241B" wp14:editId="12B0027E">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8F3134"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01624A">
      <w:rPr>
        <w:rFonts w:ascii="Times New Roman" w:hAnsi="Times New Roman" w:cs="Times New Roman"/>
        <w:color w:val="1F497D" w:themeColor="text2"/>
        <w:lang w:val="es-MX"/>
      </w:rPr>
      <w:t xml:space="preserve"> 2020</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055C57B8" wp14:editId="429DED4F">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73581B" w:rsidRDefault="00AF68D3"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581" w:rsidRPr="007D4651" w:rsidRDefault="008F313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79890829" wp14:editId="190AFD5D">
          <wp:simplePos x="0" y="0"/>
          <wp:positionH relativeFrom="column">
            <wp:posOffset>0</wp:posOffset>
          </wp:positionH>
          <wp:positionV relativeFrom="paragraph">
            <wp:posOffset>10723</wp:posOffset>
          </wp:positionV>
          <wp:extent cx="1598212" cy="723976"/>
          <wp:effectExtent l="0" t="0" r="2540" b="0"/>
          <wp:wrapNone/>
          <wp:docPr id="17" name="Imagen 1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1F5581" w:rsidRPr="007D4651">
      <w:rPr>
        <w:rFonts w:ascii="Times New Roman" w:hAnsi="Times New Roman" w:cs="Times New Roman"/>
        <w:b/>
        <w:color w:val="1F497D" w:themeColor="text2"/>
        <w:sz w:val="24"/>
        <w:lang w:val="es-MX"/>
      </w:rPr>
      <w:t>Informe de las Finanzas Públicas</w:t>
    </w:r>
  </w:p>
  <w:p w:rsidR="00E53B45" w:rsidRDefault="008F313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E9315E">
      <w:rPr>
        <w:rFonts w:ascii="Times New Roman" w:hAnsi="Times New Roman" w:cs="Times New Roman"/>
        <w:color w:val="1F497D" w:themeColor="text2"/>
        <w:lang w:val="es-MX"/>
      </w:rPr>
      <w:t xml:space="preserve"> </w:t>
    </w:r>
    <w:r w:rsidR="00C5514E">
      <w:rPr>
        <w:rFonts w:ascii="Times New Roman" w:hAnsi="Times New Roman" w:cs="Times New Roman"/>
        <w:color w:val="1F497D" w:themeColor="text2"/>
        <w:lang w:val="es-MX"/>
      </w:rPr>
      <w:t>2020</w:t>
    </w:r>
  </w:p>
  <w:p w:rsidR="001F5581" w:rsidRPr="004A73AA" w:rsidRDefault="001F5581"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4C9E7D50" wp14:editId="773A3BDA">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1F5581" w:rsidRPr="004A73AA" w:rsidRDefault="001F5581"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1F5581" w:rsidRPr="007452E2" w:rsidRDefault="001F5581"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538BEC7B" wp14:editId="39FC0533">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612573"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01624A">
      <w:rPr>
        <w:rFonts w:ascii="Times New Roman" w:hAnsi="Times New Roman" w:cs="Times New Roman"/>
        <w:color w:val="1F497D" w:themeColor="text2"/>
        <w:lang w:val="es-MX"/>
      </w:rPr>
      <w:t xml:space="preserve"> 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14603931" wp14:editId="4A7EC11A">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8F313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009F9334" wp14:editId="04DEDDBA">
          <wp:simplePos x="0" y="0"/>
          <wp:positionH relativeFrom="column">
            <wp:posOffset>-249567</wp:posOffset>
          </wp:positionH>
          <wp:positionV relativeFrom="paragraph">
            <wp:posOffset>0</wp:posOffset>
          </wp:positionV>
          <wp:extent cx="1598212" cy="723976"/>
          <wp:effectExtent l="0" t="0" r="2540" b="0"/>
          <wp:wrapNone/>
          <wp:docPr id="9" name="Imagen 9"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AF68D3" w:rsidRDefault="008F3134"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1A6038">
      <w:rPr>
        <w:rFonts w:ascii="Times New Roman" w:hAnsi="Times New Roman" w:cs="Times New Roman"/>
        <w:color w:val="1F497D" w:themeColor="text2"/>
        <w:lang w:val="es-MX"/>
      </w:rPr>
      <w:t xml:space="preserve"> 2020</w:t>
    </w:r>
  </w:p>
  <w:p w:rsidR="00AF68D3" w:rsidRDefault="008F313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5E1669AA" wp14:editId="1CE07D9F">
              <wp:simplePos x="0" y="0"/>
              <wp:positionH relativeFrom="column">
                <wp:posOffset>1535502</wp:posOffset>
              </wp:positionH>
              <wp:positionV relativeFrom="paragraph">
                <wp:posOffset>37465</wp:posOffset>
              </wp:positionV>
              <wp:extent cx="5155894" cy="45719"/>
              <wp:effectExtent l="38100" t="38100" r="64135" b="88265"/>
              <wp:wrapNone/>
              <wp:docPr id="13"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E8174" id="11 Rectángulo" o:spid="_x0000_s1026" style="position:absolute;margin-left:120.9pt;margin-top:2.95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910"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4A63D5C8" wp14:editId="730D2C73">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EB1910" w:rsidRPr="007D4651">
      <w:rPr>
        <w:rFonts w:ascii="Times New Roman" w:hAnsi="Times New Roman" w:cs="Times New Roman"/>
        <w:b/>
        <w:color w:val="1F497D" w:themeColor="text2"/>
        <w:sz w:val="24"/>
        <w:lang w:val="es-MX"/>
      </w:rPr>
      <w:t>Informe de las Finanzas Públicas</w:t>
    </w:r>
  </w:p>
  <w:p w:rsidR="00E53B45" w:rsidRDefault="008F313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EB1910" w:rsidRDefault="00EB191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5B6F2CF7" wp14:editId="531CDCDE">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0020D" w:rsidRDefault="00EB1910"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01624A" w:rsidRPr="0001624A" w:rsidRDefault="0001624A"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AF4290"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18656" behindDoc="1" locked="0" layoutInCell="1" allowOverlap="1" wp14:anchorId="3C2B5460" wp14:editId="6550B121">
          <wp:simplePos x="0" y="0"/>
          <wp:positionH relativeFrom="column">
            <wp:posOffset>-58403</wp:posOffset>
          </wp:positionH>
          <wp:positionV relativeFrom="paragraph">
            <wp:posOffset>-162560</wp:posOffset>
          </wp:positionV>
          <wp:extent cx="1697990" cy="914400"/>
          <wp:effectExtent l="0" t="0" r="0" b="0"/>
          <wp:wrapNone/>
          <wp:docPr id="25" name="Imagen 1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00AF68D3" w:rsidRPr="007D4651">
      <w:rPr>
        <w:rFonts w:ascii="Times New Roman" w:hAnsi="Times New Roman" w:cs="Times New Roman"/>
        <w:b/>
        <w:color w:val="1F497D" w:themeColor="text2"/>
        <w:sz w:val="24"/>
        <w:lang w:val="es-MX"/>
      </w:rPr>
      <w:t>Informe de las Finanzas Públicas</w:t>
    </w:r>
  </w:p>
  <w:p w:rsidR="005E4D76" w:rsidRDefault="00612573"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Febrero</w:t>
    </w:r>
    <w:r w:rsidR="00C5514E">
      <w:rPr>
        <w:rFonts w:ascii="Times New Roman" w:hAnsi="Times New Roman" w:cs="Times New Roman"/>
        <w:color w:val="1F497D" w:themeColor="text2"/>
        <w:lang w:val="es-MX"/>
      </w:rPr>
      <w:t xml:space="preserve"> 2020</w:t>
    </w:r>
  </w:p>
  <w:p w:rsidR="00AF68D3" w:rsidRDefault="00AF4290"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63A8190D" wp14:editId="42D5EE4D">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 xml:space="preserve">                                           </w:t>
    </w:r>
    <w:r w:rsidR="00AF4290">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605"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16F065E3" wp14:editId="1F8169FE">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216605" w:rsidRPr="007D4651">
      <w:rPr>
        <w:rFonts w:ascii="Times New Roman" w:hAnsi="Times New Roman" w:cs="Times New Roman"/>
        <w:b/>
        <w:color w:val="1F497D" w:themeColor="text2"/>
        <w:sz w:val="24"/>
        <w:lang w:val="es-MX"/>
      </w:rPr>
      <w:t>Informe de las Finanzas Públicas</w:t>
    </w:r>
  </w:p>
  <w:p w:rsidR="00E53B45" w:rsidRDefault="008F313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216605" w:rsidRDefault="00216605"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42CBF56A" wp14:editId="2592A991">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216605" w:rsidRDefault="00216605"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216605" w:rsidRPr="00E16925" w:rsidRDefault="00216605"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01624A"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0BA0C0D0" wp14:editId="311199F2">
          <wp:simplePos x="0" y="0"/>
          <wp:positionH relativeFrom="column">
            <wp:posOffset>0</wp:posOffset>
          </wp:positionH>
          <wp:positionV relativeFrom="paragraph">
            <wp:posOffset>-635</wp:posOffset>
          </wp:positionV>
          <wp:extent cx="1598212" cy="723976"/>
          <wp:effectExtent l="0" t="0" r="2540" b="0"/>
          <wp:wrapNone/>
          <wp:docPr id="30" name="Imagen 3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E53B45" w:rsidRDefault="00385EB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E9315E">
      <w:rPr>
        <w:rFonts w:ascii="Times New Roman" w:hAnsi="Times New Roman" w:cs="Times New Roman"/>
        <w:color w:val="1F497D" w:themeColor="text2"/>
        <w:lang w:val="es-MX"/>
      </w:rPr>
      <w:t xml:space="preserve"> </w:t>
    </w:r>
    <w:r w:rsidR="0001624A">
      <w:rPr>
        <w:rFonts w:ascii="Times New Roman" w:hAnsi="Times New Roman" w:cs="Times New Roman"/>
        <w:color w:val="1F497D" w:themeColor="text2"/>
        <w:lang w:val="es-MX"/>
      </w:rPr>
      <w:t>2020</w:t>
    </w:r>
  </w:p>
  <w:p w:rsidR="00AF68D3" w:rsidRDefault="00AF68D3"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0B4B9D1A" wp14:editId="6ED6AD28">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Default="00AF68D3"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AF68D3" w:rsidRPr="00E16925" w:rsidRDefault="00AF68D3"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8D3" w:rsidRPr="007D4651" w:rsidRDefault="008F3134"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504EDFB8" wp14:editId="7CE977EC">
          <wp:simplePos x="0" y="0"/>
          <wp:positionH relativeFrom="column">
            <wp:posOffset>0</wp:posOffset>
          </wp:positionH>
          <wp:positionV relativeFrom="paragraph">
            <wp:posOffset>-635</wp:posOffset>
          </wp:positionV>
          <wp:extent cx="1598212" cy="723976"/>
          <wp:effectExtent l="0" t="0" r="2540" b="0"/>
          <wp:wrapNone/>
          <wp:docPr id="14" name="Imagen 1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D3" w:rsidRPr="007D4651">
      <w:rPr>
        <w:rFonts w:ascii="Times New Roman" w:hAnsi="Times New Roman" w:cs="Times New Roman"/>
        <w:b/>
        <w:color w:val="1F497D" w:themeColor="text2"/>
        <w:sz w:val="24"/>
        <w:lang w:val="es-MX"/>
      </w:rPr>
      <w:t>Informe de las Finanzas Públicas</w:t>
    </w:r>
  </w:p>
  <w:p w:rsidR="00775DE3" w:rsidRDefault="008F3134"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w:t>
    </w:r>
    <w:r w:rsidR="001E20AE">
      <w:rPr>
        <w:rFonts w:ascii="Times New Roman" w:hAnsi="Times New Roman" w:cs="Times New Roman"/>
        <w:color w:val="1F497D" w:themeColor="text2"/>
        <w:lang w:val="es-MX"/>
      </w:rPr>
      <w:t xml:space="preserve"> 2020</w:t>
    </w:r>
  </w:p>
  <w:p w:rsidR="00AF68D3" w:rsidRPr="004A73AA" w:rsidRDefault="00AF4290"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1E9932C7" wp14:editId="763DBAA1">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AF68D3" w:rsidRPr="004A73AA" w:rsidRDefault="00AF68D3"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00AF4290">
      <w:rPr>
        <w:rFonts w:ascii="Times New Roman" w:hAnsi="Times New Roman" w:cs="Times New Roman"/>
        <w:color w:val="1F497D" w:themeColor="text2"/>
        <w:lang w:val="es-MX"/>
      </w:rPr>
      <w:t xml:space="preserve">      </w:t>
    </w:r>
    <w:r w:rsidR="00AF4290" w:rsidRPr="009F164F">
      <w:rPr>
        <w:rFonts w:ascii="Times New Roman" w:hAnsi="Times New Roman" w:cs="Times New Roman"/>
        <w:b/>
        <w:color w:val="4F81BD" w:themeColor="accent1"/>
        <w:lang w:val="es-MX"/>
      </w:rPr>
      <w:t>Dirección de Análisis y Política Fiscal</w:t>
    </w:r>
  </w:p>
  <w:p w:rsidR="00AF68D3" w:rsidRPr="007452E2" w:rsidRDefault="00AF68D3"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EB4" w:rsidRPr="007D4651" w:rsidRDefault="00385EB4"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61664" behindDoc="0" locked="0" layoutInCell="1" allowOverlap="1" wp14:anchorId="4295F3A2" wp14:editId="0DB06585">
          <wp:simplePos x="0" y="0"/>
          <wp:positionH relativeFrom="column">
            <wp:posOffset>0</wp:posOffset>
          </wp:positionH>
          <wp:positionV relativeFrom="paragraph">
            <wp:posOffset>-635</wp:posOffset>
          </wp:positionV>
          <wp:extent cx="1598212" cy="723976"/>
          <wp:effectExtent l="0" t="0" r="2540" b="0"/>
          <wp:wrapNone/>
          <wp:docPr id="237" name="Imagen 237"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385EB4" w:rsidRDefault="00385EB4"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Marzo 2020</w:t>
    </w:r>
  </w:p>
  <w:p w:rsidR="00385EB4" w:rsidRDefault="00385EB4"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9616" behindDoc="0" locked="0" layoutInCell="1" allowOverlap="1" wp14:anchorId="433366B9" wp14:editId="25F8A505">
              <wp:simplePos x="0" y="0"/>
              <wp:positionH relativeFrom="column">
                <wp:posOffset>1710568</wp:posOffset>
              </wp:positionH>
              <wp:positionV relativeFrom="paragraph">
                <wp:posOffset>29118</wp:posOffset>
              </wp:positionV>
              <wp:extent cx="5155894" cy="45719"/>
              <wp:effectExtent l="38100" t="38100" r="64135" b="88265"/>
              <wp:wrapNone/>
              <wp:docPr id="23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ABBDBC" id="20 Rectángulo" o:spid="_x0000_s1026" style="position:absolute;margin-left:134.7pt;margin-top:2.3pt;width:406pt;height:3.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iHsD5D8DAACo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385EB4" w:rsidRDefault="00385EB4"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385EB4" w:rsidRPr="00E16925" w:rsidRDefault="00385EB4"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2BF" w:rsidRPr="007D4651" w:rsidRDefault="00F062BF"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0B9397A4" wp14:editId="382D37DC">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F062BF" w:rsidRDefault="00F062BF"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F062BF" w:rsidRDefault="00F062BF"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39C4BF20" wp14:editId="4BE4FE0C">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F062BF" w:rsidRDefault="00F062BF"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F062BF" w:rsidRPr="00E16925" w:rsidRDefault="00F062BF"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8"/>
  </w:num>
  <w:num w:numId="4">
    <w:abstractNumId w:val="1"/>
  </w:num>
  <w:num w:numId="5">
    <w:abstractNumId w:val="12"/>
  </w:num>
  <w:num w:numId="6">
    <w:abstractNumId w:val="15"/>
  </w:num>
  <w:num w:numId="7">
    <w:abstractNumId w:val="14"/>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121"/>
    <w:rsid w:val="00025788"/>
    <w:rsid w:val="00025D1E"/>
    <w:rsid w:val="00035835"/>
    <w:rsid w:val="000378CF"/>
    <w:rsid w:val="00040C99"/>
    <w:rsid w:val="00042B27"/>
    <w:rsid w:val="00043AF7"/>
    <w:rsid w:val="00045D14"/>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C73C8"/>
    <w:rsid w:val="000D016D"/>
    <w:rsid w:val="000D2FA4"/>
    <w:rsid w:val="000D489E"/>
    <w:rsid w:val="000E43A8"/>
    <w:rsid w:val="000E5E43"/>
    <w:rsid w:val="000F1314"/>
    <w:rsid w:val="000F3B7F"/>
    <w:rsid w:val="000F4520"/>
    <w:rsid w:val="000F509C"/>
    <w:rsid w:val="000F5F87"/>
    <w:rsid w:val="00102939"/>
    <w:rsid w:val="00103DA9"/>
    <w:rsid w:val="001045CE"/>
    <w:rsid w:val="00106793"/>
    <w:rsid w:val="00107309"/>
    <w:rsid w:val="00111B77"/>
    <w:rsid w:val="001178B6"/>
    <w:rsid w:val="00117CF1"/>
    <w:rsid w:val="00120C4D"/>
    <w:rsid w:val="001259BA"/>
    <w:rsid w:val="0013022C"/>
    <w:rsid w:val="001339A4"/>
    <w:rsid w:val="00133DBA"/>
    <w:rsid w:val="0013436D"/>
    <w:rsid w:val="00136D08"/>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FF5"/>
    <w:rsid w:val="001C3649"/>
    <w:rsid w:val="001D0065"/>
    <w:rsid w:val="001D3345"/>
    <w:rsid w:val="001D46C3"/>
    <w:rsid w:val="001D4C8E"/>
    <w:rsid w:val="001D5A5B"/>
    <w:rsid w:val="001E0E10"/>
    <w:rsid w:val="001E0F86"/>
    <w:rsid w:val="001E20AE"/>
    <w:rsid w:val="001E3B99"/>
    <w:rsid w:val="001E4CD2"/>
    <w:rsid w:val="001E61BB"/>
    <w:rsid w:val="001F2EA3"/>
    <w:rsid w:val="001F34AD"/>
    <w:rsid w:val="001F4EE1"/>
    <w:rsid w:val="001F4F78"/>
    <w:rsid w:val="001F5240"/>
    <w:rsid w:val="001F5581"/>
    <w:rsid w:val="001F7141"/>
    <w:rsid w:val="00200FB1"/>
    <w:rsid w:val="00202594"/>
    <w:rsid w:val="0020377F"/>
    <w:rsid w:val="00207693"/>
    <w:rsid w:val="002101C9"/>
    <w:rsid w:val="00212A2C"/>
    <w:rsid w:val="00213C92"/>
    <w:rsid w:val="00216605"/>
    <w:rsid w:val="0021693D"/>
    <w:rsid w:val="00216B0E"/>
    <w:rsid w:val="00216DA8"/>
    <w:rsid w:val="002215C9"/>
    <w:rsid w:val="00222598"/>
    <w:rsid w:val="002302ED"/>
    <w:rsid w:val="002325F9"/>
    <w:rsid w:val="002335EE"/>
    <w:rsid w:val="0023642A"/>
    <w:rsid w:val="00240D86"/>
    <w:rsid w:val="00242202"/>
    <w:rsid w:val="00244AAA"/>
    <w:rsid w:val="002512EC"/>
    <w:rsid w:val="00252B28"/>
    <w:rsid w:val="00256F02"/>
    <w:rsid w:val="002610FC"/>
    <w:rsid w:val="00261B7A"/>
    <w:rsid w:val="00262E76"/>
    <w:rsid w:val="00263007"/>
    <w:rsid w:val="00263CC4"/>
    <w:rsid w:val="00264C3A"/>
    <w:rsid w:val="00264FC5"/>
    <w:rsid w:val="002672D5"/>
    <w:rsid w:val="00270CAB"/>
    <w:rsid w:val="002719C8"/>
    <w:rsid w:val="00273E2C"/>
    <w:rsid w:val="002752BD"/>
    <w:rsid w:val="00276250"/>
    <w:rsid w:val="00276A28"/>
    <w:rsid w:val="00281439"/>
    <w:rsid w:val="00281FB7"/>
    <w:rsid w:val="0028212F"/>
    <w:rsid w:val="00292AD2"/>
    <w:rsid w:val="00292AD8"/>
    <w:rsid w:val="0029321A"/>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C01"/>
    <w:rsid w:val="002D3469"/>
    <w:rsid w:val="002D54E6"/>
    <w:rsid w:val="002E3F4C"/>
    <w:rsid w:val="002F14AA"/>
    <w:rsid w:val="002F29DE"/>
    <w:rsid w:val="002F2A42"/>
    <w:rsid w:val="002F5408"/>
    <w:rsid w:val="002F7E08"/>
    <w:rsid w:val="0030020D"/>
    <w:rsid w:val="00302D40"/>
    <w:rsid w:val="0030695C"/>
    <w:rsid w:val="00312262"/>
    <w:rsid w:val="00312D85"/>
    <w:rsid w:val="00314CB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49D9"/>
    <w:rsid w:val="00364DD6"/>
    <w:rsid w:val="00366770"/>
    <w:rsid w:val="00367E12"/>
    <w:rsid w:val="00374D44"/>
    <w:rsid w:val="00376802"/>
    <w:rsid w:val="00376FE9"/>
    <w:rsid w:val="0038008D"/>
    <w:rsid w:val="003804E5"/>
    <w:rsid w:val="00381A4F"/>
    <w:rsid w:val="0038488D"/>
    <w:rsid w:val="00385BA8"/>
    <w:rsid w:val="00385EB4"/>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25F8"/>
    <w:rsid w:val="003E2823"/>
    <w:rsid w:val="003E28F4"/>
    <w:rsid w:val="003E591D"/>
    <w:rsid w:val="003F0660"/>
    <w:rsid w:val="003F1E83"/>
    <w:rsid w:val="003F4609"/>
    <w:rsid w:val="003F7076"/>
    <w:rsid w:val="0040361C"/>
    <w:rsid w:val="0040580B"/>
    <w:rsid w:val="00410690"/>
    <w:rsid w:val="00413FBE"/>
    <w:rsid w:val="00416D41"/>
    <w:rsid w:val="00421BA0"/>
    <w:rsid w:val="0042387A"/>
    <w:rsid w:val="0042628E"/>
    <w:rsid w:val="00426F4F"/>
    <w:rsid w:val="00434FC6"/>
    <w:rsid w:val="00443336"/>
    <w:rsid w:val="00443385"/>
    <w:rsid w:val="00443621"/>
    <w:rsid w:val="00447F4F"/>
    <w:rsid w:val="00450531"/>
    <w:rsid w:val="00451504"/>
    <w:rsid w:val="00452A5A"/>
    <w:rsid w:val="004575BA"/>
    <w:rsid w:val="004606FD"/>
    <w:rsid w:val="00464DB9"/>
    <w:rsid w:val="004650C5"/>
    <w:rsid w:val="00465F37"/>
    <w:rsid w:val="00471B35"/>
    <w:rsid w:val="00474EC2"/>
    <w:rsid w:val="00480824"/>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23E4"/>
    <w:rsid w:val="004E358C"/>
    <w:rsid w:val="004E4FDE"/>
    <w:rsid w:val="004E54B7"/>
    <w:rsid w:val="004E5D0E"/>
    <w:rsid w:val="004E61EC"/>
    <w:rsid w:val="004F02B2"/>
    <w:rsid w:val="004F4F4D"/>
    <w:rsid w:val="004F72F9"/>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2CD1"/>
    <w:rsid w:val="0053566F"/>
    <w:rsid w:val="005364DE"/>
    <w:rsid w:val="00537B9E"/>
    <w:rsid w:val="005428C6"/>
    <w:rsid w:val="00544E9A"/>
    <w:rsid w:val="00546650"/>
    <w:rsid w:val="005501A4"/>
    <w:rsid w:val="0055248B"/>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185B"/>
    <w:rsid w:val="005E4D76"/>
    <w:rsid w:val="005E6BD0"/>
    <w:rsid w:val="005E7E89"/>
    <w:rsid w:val="005F04EC"/>
    <w:rsid w:val="005F18DE"/>
    <w:rsid w:val="005F470C"/>
    <w:rsid w:val="005F591A"/>
    <w:rsid w:val="0060094A"/>
    <w:rsid w:val="006014EC"/>
    <w:rsid w:val="00601C99"/>
    <w:rsid w:val="00602264"/>
    <w:rsid w:val="00603743"/>
    <w:rsid w:val="00604F51"/>
    <w:rsid w:val="006060AD"/>
    <w:rsid w:val="00606D70"/>
    <w:rsid w:val="00610F84"/>
    <w:rsid w:val="00612573"/>
    <w:rsid w:val="0062255C"/>
    <w:rsid w:val="00623DEA"/>
    <w:rsid w:val="00623EC9"/>
    <w:rsid w:val="00624417"/>
    <w:rsid w:val="00625AA5"/>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D82"/>
    <w:rsid w:val="006B40EC"/>
    <w:rsid w:val="006C0680"/>
    <w:rsid w:val="006C2F15"/>
    <w:rsid w:val="006C7015"/>
    <w:rsid w:val="006D1857"/>
    <w:rsid w:val="006D7B6E"/>
    <w:rsid w:val="006D7BB6"/>
    <w:rsid w:val="006E082A"/>
    <w:rsid w:val="006E1C62"/>
    <w:rsid w:val="006E1D11"/>
    <w:rsid w:val="006E27A5"/>
    <w:rsid w:val="006E4937"/>
    <w:rsid w:val="006E63F3"/>
    <w:rsid w:val="006E6A13"/>
    <w:rsid w:val="006F157C"/>
    <w:rsid w:val="006F202E"/>
    <w:rsid w:val="006F20A4"/>
    <w:rsid w:val="006F3C0D"/>
    <w:rsid w:val="006F3FF3"/>
    <w:rsid w:val="006F410A"/>
    <w:rsid w:val="006F4891"/>
    <w:rsid w:val="006F5EA0"/>
    <w:rsid w:val="006F7575"/>
    <w:rsid w:val="00706A33"/>
    <w:rsid w:val="00712339"/>
    <w:rsid w:val="00714E40"/>
    <w:rsid w:val="00715C88"/>
    <w:rsid w:val="00715D8F"/>
    <w:rsid w:val="0071791E"/>
    <w:rsid w:val="007206C9"/>
    <w:rsid w:val="00720E64"/>
    <w:rsid w:val="00723F6E"/>
    <w:rsid w:val="00725F93"/>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0C7"/>
    <w:rsid w:val="007572E9"/>
    <w:rsid w:val="0075770C"/>
    <w:rsid w:val="0076028F"/>
    <w:rsid w:val="00762722"/>
    <w:rsid w:val="00762FE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6523"/>
    <w:rsid w:val="007A7272"/>
    <w:rsid w:val="007A7814"/>
    <w:rsid w:val="007A7FB8"/>
    <w:rsid w:val="007B26CD"/>
    <w:rsid w:val="007B3D0C"/>
    <w:rsid w:val="007B5BA5"/>
    <w:rsid w:val="007B720C"/>
    <w:rsid w:val="007C0C8C"/>
    <w:rsid w:val="007C4E46"/>
    <w:rsid w:val="007C6F35"/>
    <w:rsid w:val="007D0566"/>
    <w:rsid w:val="007D268B"/>
    <w:rsid w:val="007D38A9"/>
    <w:rsid w:val="007D4651"/>
    <w:rsid w:val="007D7CFE"/>
    <w:rsid w:val="007E314A"/>
    <w:rsid w:val="007E5841"/>
    <w:rsid w:val="007E6BCF"/>
    <w:rsid w:val="007E6F28"/>
    <w:rsid w:val="007F126E"/>
    <w:rsid w:val="007F443F"/>
    <w:rsid w:val="007F4528"/>
    <w:rsid w:val="007F6F57"/>
    <w:rsid w:val="008010A6"/>
    <w:rsid w:val="00804E1C"/>
    <w:rsid w:val="00806D75"/>
    <w:rsid w:val="0081055D"/>
    <w:rsid w:val="0081058F"/>
    <w:rsid w:val="00810A4C"/>
    <w:rsid w:val="008112C9"/>
    <w:rsid w:val="0081298A"/>
    <w:rsid w:val="00813E3C"/>
    <w:rsid w:val="0081609E"/>
    <w:rsid w:val="00822C6B"/>
    <w:rsid w:val="00823719"/>
    <w:rsid w:val="00825110"/>
    <w:rsid w:val="00826AEC"/>
    <w:rsid w:val="00826D9D"/>
    <w:rsid w:val="008274C1"/>
    <w:rsid w:val="008277A9"/>
    <w:rsid w:val="008316E1"/>
    <w:rsid w:val="00833E90"/>
    <w:rsid w:val="00835216"/>
    <w:rsid w:val="00835D5C"/>
    <w:rsid w:val="00842D8F"/>
    <w:rsid w:val="00842FFE"/>
    <w:rsid w:val="008501C7"/>
    <w:rsid w:val="00851B4B"/>
    <w:rsid w:val="00855D0B"/>
    <w:rsid w:val="00857302"/>
    <w:rsid w:val="0085741B"/>
    <w:rsid w:val="00861640"/>
    <w:rsid w:val="00870831"/>
    <w:rsid w:val="008718E5"/>
    <w:rsid w:val="00871B31"/>
    <w:rsid w:val="008827D6"/>
    <w:rsid w:val="008844B1"/>
    <w:rsid w:val="00891B11"/>
    <w:rsid w:val="00891F2D"/>
    <w:rsid w:val="00892181"/>
    <w:rsid w:val="00892DE1"/>
    <w:rsid w:val="00895722"/>
    <w:rsid w:val="00897192"/>
    <w:rsid w:val="008A1777"/>
    <w:rsid w:val="008A2427"/>
    <w:rsid w:val="008A5760"/>
    <w:rsid w:val="008B110A"/>
    <w:rsid w:val="008B3C43"/>
    <w:rsid w:val="008B5573"/>
    <w:rsid w:val="008C079A"/>
    <w:rsid w:val="008C147E"/>
    <w:rsid w:val="008D5E9E"/>
    <w:rsid w:val="008E0F73"/>
    <w:rsid w:val="008E5C4F"/>
    <w:rsid w:val="008E6162"/>
    <w:rsid w:val="008E7869"/>
    <w:rsid w:val="008E7927"/>
    <w:rsid w:val="008F312E"/>
    <w:rsid w:val="008F3134"/>
    <w:rsid w:val="008F46B7"/>
    <w:rsid w:val="008F4BCE"/>
    <w:rsid w:val="008F511B"/>
    <w:rsid w:val="008F5915"/>
    <w:rsid w:val="008F5DBB"/>
    <w:rsid w:val="0090034D"/>
    <w:rsid w:val="009062A4"/>
    <w:rsid w:val="00910163"/>
    <w:rsid w:val="009121F7"/>
    <w:rsid w:val="00912A58"/>
    <w:rsid w:val="00916532"/>
    <w:rsid w:val="00917786"/>
    <w:rsid w:val="00924E88"/>
    <w:rsid w:val="00934746"/>
    <w:rsid w:val="0093522C"/>
    <w:rsid w:val="00935D14"/>
    <w:rsid w:val="00936E17"/>
    <w:rsid w:val="00940C2E"/>
    <w:rsid w:val="00942163"/>
    <w:rsid w:val="0094219B"/>
    <w:rsid w:val="009453FD"/>
    <w:rsid w:val="00946523"/>
    <w:rsid w:val="00950874"/>
    <w:rsid w:val="00951347"/>
    <w:rsid w:val="00954FB2"/>
    <w:rsid w:val="00956270"/>
    <w:rsid w:val="00963756"/>
    <w:rsid w:val="00964466"/>
    <w:rsid w:val="00964ECA"/>
    <w:rsid w:val="00965F44"/>
    <w:rsid w:val="00972FCF"/>
    <w:rsid w:val="00975E49"/>
    <w:rsid w:val="00981FB0"/>
    <w:rsid w:val="00982379"/>
    <w:rsid w:val="00986297"/>
    <w:rsid w:val="0099341E"/>
    <w:rsid w:val="00993857"/>
    <w:rsid w:val="00995540"/>
    <w:rsid w:val="00997A06"/>
    <w:rsid w:val="009A0CF4"/>
    <w:rsid w:val="009A12F9"/>
    <w:rsid w:val="009A1EA3"/>
    <w:rsid w:val="009A1FA7"/>
    <w:rsid w:val="009A3187"/>
    <w:rsid w:val="009A47FE"/>
    <w:rsid w:val="009A5380"/>
    <w:rsid w:val="009A7441"/>
    <w:rsid w:val="009B10B6"/>
    <w:rsid w:val="009B2AD3"/>
    <w:rsid w:val="009B7148"/>
    <w:rsid w:val="009B7429"/>
    <w:rsid w:val="009B76D6"/>
    <w:rsid w:val="009C0583"/>
    <w:rsid w:val="009C0B93"/>
    <w:rsid w:val="009C361A"/>
    <w:rsid w:val="009C3938"/>
    <w:rsid w:val="009C4027"/>
    <w:rsid w:val="009C5F4E"/>
    <w:rsid w:val="009D0D94"/>
    <w:rsid w:val="009D1232"/>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7BE4"/>
    <w:rsid w:val="00A11B04"/>
    <w:rsid w:val="00A15244"/>
    <w:rsid w:val="00A159B6"/>
    <w:rsid w:val="00A2151F"/>
    <w:rsid w:val="00A21A6A"/>
    <w:rsid w:val="00A24C4D"/>
    <w:rsid w:val="00A25906"/>
    <w:rsid w:val="00A26C76"/>
    <w:rsid w:val="00A305E5"/>
    <w:rsid w:val="00A32AA1"/>
    <w:rsid w:val="00A34EAE"/>
    <w:rsid w:val="00A40EAF"/>
    <w:rsid w:val="00A4399A"/>
    <w:rsid w:val="00A446DB"/>
    <w:rsid w:val="00A45BC8"/>
    <w:rsid w:val="00A46630"/>
    <w:rsid w:val="00A53877"/>
    <w:rsid w:val="00A54CC2"/>
    <w:rsid w:val="00A60591"/>
    <w:rsid w:val="00A64AE4"/>
    <w:rsid w:val="00A67992"/>
    <w:rsid w:val="00A706A2"/>
    <w:rsid w:val="00A7383F"/>
    <w:rsid w:val="00A74F16"/>
    <w:rsid w:val="00A75539"/>
    <w:rsid w:val="00A75E19"/>
    <w:rsid w:val="00A775C6"/>
    <w:rsid w:val="00A808B8"/>
    <w:rsid w:val="00A817F8"/>
    <w:rsid w:val="00A875EE"/>
    <w:rsid w:val="00A900E8"/>
    <w:rsid w:val="00A92B4B"/>
    <w:rsid w:val="00A92D6E"/>
    <w:rsid w:val="00A970F8"/>
    <w:rsid w:val="00AA11B9"/>
    <w:rsid w:val="00AA4872"/>
    <w:rsid w:val="00AA54A5"/>
    <w:rsid w:val="00AA6C6B"/>
    <w:rsid w:val="00AA7DB0"/>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11FD1"/>
    <w:rsid w:val="00B136D6"/>
    <w:rsid w:val="00B1448A"/>
    <w:rsid w:val="00B21010"/>
    <w:rsid w:val="00B26014"/>
    <w:rsid w:val="00B2709E"/>
    <w:rsid w:val="00B35686"/>
    <w:rsid w:val="00B35FDC"/>
    <w:rsid w:val="00B368DA"/>
    <w:rsid w:val="00B43892"/>
    <w:rsid w:val="00B468EF"/>
    <w:rsid w:val="00B47E34"/>
    <w:rsid w:val="00B5017E"/>
    <w:rsid w:val="00B5079C"/>
    <w:rsid w:val="00B508E2"/>
    <w:rsid w:val="00B579BB"/>
    <w:rsid w:val="00B57AAB"/>
    <w:rsid w:val="00B57CED"/>
    <w:rsid w:val="00B606D0"/>
    <w:rsid w:val="00B632B3"/>
    <w:rsid w:val="00B667BC"/>
    <w:rsid w:val="00B667E7"/>
    <w:rsid w:val="00B7015D"/>
    <w:rsid w:val="00B7136E"/>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782D"/>
    <w:rsid w:val="00BB1AAC"/>
    <w:rsid w:val="00BB492D"/>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21149"/>
    <w:rsid w:val="00C2773E"/>
    <w:rsid w:val="00C3128B"/>
    <w:rsid w:val="00C33674"/>
    <w:rsid w:val="00C3385B"/>
    <w:rsid w:val="00C41470"/>
    <w:rsid w:val="00C41FF2"/>
    <w:rsid w:val="00C54747"/>
    <w:rsid w:val="00C5514E"/>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3C39"/>
    <w:rsid w:val="00CE75B5"/>
    <w:rsid w:val="00CF0F94"/>
    <w:rsid w:val="00CF2D98"/>
    <w:rsid w:val="00CF436B"/>
    <w:rsid w:val="00CF5AB1"/>
    <w:rsid w:val="00CF73B4"/>
    <w:rsid w:val="00D00E78"/>
    <w:rsid w:val="00D01738"/>
    <w:rsid w:val="00D04F96"/>
    <w:rsid w:val="00D1383A"/>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2350"/>
    <w:rsid w:val="00DB4551"/>
    <w:rsid w:val="00DC1048"/>
    <w:rsid w:val="00DC44CF"/>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3798"/>
    <w:rsid w:val="00E6619D"/>
    <w:rsid w:val="00E7442E"/>
    <w:rsid w:val="00E756CD"/>
    <w:rsid w:val="00E82188"/>
    <w:rsid w:val="00E825A1"/>
    <w:rsid w:val="00E85293"/>
    <w:rsid w:val="00E871CE"/>
    <w:rsid w:val="00E87AC7"/>
    <w:rsid w:val="00E9315E"/>
    <w:rsid w:val="00E9468D"/>
    <w:rsid w:val="00E94F03"/>
    <w:rsid w:val="00E97903"/>
    <w:rsid w:val="00EA37FC"/>
    <w:rsid w:val="00EA68DF"/>
    <w:rsid w:val="00EB0687"/>
    <w:rsid w:val="00EB0FC5"/>
    <w:rsid w:val="00EB1910"/>
    <w:rsid w:val="00EB317F"/>
    <w:rsid w:val="00EB335D"/>
    <w:rsid w:val="00EB62F2"/>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10A29"/>
    <w:rsid w:val="00F10ACE"/>
    <w:rsid w:val="00F16658"/>
    <w:rsid w:val="00F16692"/>
    <w:rsid w:val="00F20D0D"/>
    <w:rsid w:val="00F229CE"/>
    <w:rsid w:val="00F23065"/>
    <w:rsid w:val="00F25E21"/>
    <w:rsid w:val="00F26087"/>
    <w:rsid w:val="00F27024"/>
    <w:rsid w:val="00F3088D"/>
    <w:rsid w:val="00F341FB"/>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3186"/>
    <w:rsid w:val="00F75C84"/>
    <w:rsid w:val="00F75EDB"/>
    <w:rsid w:val="00F762E5"/>
    <w:rsid w:val="00F76491"/>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4333"/>
    <w:rsid w:val="00FD46E0"/>
    <w:rsid w:val="00FD61B9"/>
    <w:rsid w:val="00FD7FF0"/>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chart" Target="charts/chart1.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1CF4-4D18-9D5E-5AD3E177352A}"/>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1CF4-4D18-9D5E-5AD3E177352A}"/>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1CF4-4D18-9D5E-5AD3E177352A}"/>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1CF4-4D18-9D5E-5AD3E177352A}"/>
              </c:ext>
            </c:extLst>
          </c:dPt>
          <c:dLbls>
            <c:dLbl>
              <c:idx val="3"/>
              <c:spPr>
                <a:noFill/>
                <a:ln>
                  <a:noFill/>
                </a:ln>
                <a:effectLst/>
              </c:spPr>
              <c:txPr>
                <a:bodyPr wrap="square" lIns="38100" tIns="19050" rIns="38100" bIns="19050" anchor="ctr">
                  <a:spAutoFit/>
                </a:bodyPr>
                <a:lstStyle/>
                <a:p>
                  <a:pPr>
                    <a:defRPr sz="1050" b="1"/>
                  </a:pPr>
                  <a:endParaRPr lang="es-GT"/>
                </a:p>
              </c:txPr>
              <c:showLegendKey val="0"/>
              <c:showVal val="1"/>
              <c:showCatName val="0"/>
              <c:showSerName val="0"/>
              <c:showPercent val="0"/>
              <c:showBubbleSize val="0"/>
              <c:extLst>
                <c:ext xmlns:c16="http://schemas.microsoft.com/office/drawing/2014/chart" uri="{C3380CC4-5D6E-409C-BE32-E72D297353CC}">
                  <c16:uniqueId val="{00000007-1CF4-4D18-9D5E-5AD3E177352A}"/>
                </c:ext>
              </c:extLst>
            </c:dLbl>
            <c:spPr>
              <a:noFill/>
              <a:ln>
                <a:noFill/>
              </a:ln>
              <a:effectLst/>
            </c:spPr>
            <c:txPr>
              <a:bodyPr wrap="square" lIns="38100" tIns="19050" rIns="38100" bIns="19050" anchor="ctr">
                <a:spAutoFit/>
              </a:bodyPr>
              <a:lstStyle/>
              <a:p>
                <a:pPr>
                  <a:defRPr sz="105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1119.5544831700008</c:v>
                </c:pt>
                <c:pt idx="1">
                  <c:v>1253.6076613600007</c:v>
                </c:pt>
                <c:pt idx="2">
                  <c:v>-536.72874190999846</c:v>
                </c:pt>
                <c:pt idx="3">
                  <c:v>-1411.376783640002</c:v>
                </c:pt>
              </c:numCache>
            </c:numRef>
          </c:val>
          <c:extLst>
            <c:ext xmlns:c16="http://schemas.microsoft.com/office/drawing/2014/chart" uri="{C3380CC4-5D6E-409C-BE32-E72D297353CC}">
              <c16:uniqueId val="{00000008-1CF4-4D18-9D5E-5AD3E177352A}"/>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1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90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02332524398975"/>
          <c:y val="3.1475757507388943E-2"/>
          <c:w val="0.75319470875453221"/>
          <c:h val="0.78931796132933252"/>
        </c:manualLayout>
      </c:layout>
      <c:barChart>
        <c:barDir val="col"/>
        <c:grouping val="stacked"/>
        <c:varyColors val="0"/>
        <c:ser>
          <c:idx val="0"/>
          <c:order val="0"/>
          <c:tx>
            <c:strRef>
              <c:f>Hoja1!$B$1</c:f>
              <c:strCache>
                <c:ptCount val="1"/>
                <c:pt idx="0">
                  <c:v>SAT</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D4-41F9-826D-1BAAB107C8F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D4-41F9-826D-1BAAB107C8F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Hoja1!$B$2:$B$3</c:f>
              <c:numCache>
                <c:formatCode>#,##0.0</c:formatCode>
                <c:ptCount val="2"/>
                <c:pt idx="0">
                  <c:v>15533.9</c:v>
                </c:pt>
                <c:pt idx="1">
                  <c:v>14342.4</c:v>
                </c:pt>
              </c:numCache>
            </c:numRef>
          </c:val>
          <c:extLst>
            <c:ext xmlns:c16="http://schemas.microsoft.com/office/drawing/2014/chart" uri="{C3380CC4-5D6E-409C-BE32-E72D297353CC}">
              <c16:uniqueId val="{00000002-A9D4-41F9-826D-1BAAB107C8FA}"/>
            </c:ext>
          </c:extLst>
        </c:ser>
        <c:ser>
          <c:idx val="1"/>
          <c:order val="1"/>
          <c:tx>
            <c:strRef>
              <c:f>Hoja1!$C$1</c:f>
              <c:strCache>
                <c:ptCount val="1"/>
                <c:pt idx="0">
                  <c:v>No administrado por SAT</c:v>
                </c:pt>
              </c:strCache>
            </c:strRef>
          </c:tx>
          <c:spPr>
            <a:solidFill>
              <a:schemeClr val="accent2"/>
            </a:solidFill>
            <a:ln>
              <a:noFill/>
            </a:ln>
            <a:effectLst/>
          </c:spPr>
          <c:invertIfNegative val="0"/>
          <c:dLbls>
            <c:dLbl>
              <c:idx val="0"/>
              <c:layout>
                <c:manualLayout>
                  <c:x val="4.9273220004926871E-3"/>
                  <c:y val="3.4383954154727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D4-41F9-826D-1BAAB107C8FA}"/>
                </c:ext>
              </c:extLst>
            </c:dLbl>
            <c:dLbl>
              <c:idx val="1"/>
              <c:layout>
                <c:manualLayout>
                  <c:x val="4.9273220004925518E-3"/>
                  <c:y val="2.865329512893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D4-41F9-826D-1BAAB107C8F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Hoja1!$C$2:$C$3</c:f>
              <c:numCache>
                <c:formatCode>#,##0.0</c:formatCode>
                <c:ptCount val="2"/>
                <c:pt idx="0">
                  <c:v>126.9</c:v>
                </c:pt>
                <c:pt idx="1">
                  <c:v>155.5</c:v>
                </c:pt>
              </c:numCache>
            </c:numRef>
          </c:val>
          <c:extLst>
            <c:ext xmlns:c16="http://schemas.microsoft.com/office/drawing/2014/chart" uri="{C3380CC4-5D6E-409C-BE32-E72D297353CC}">
              <c16:uniqueId val="{00000005-A9D4-41F9-826D-1BAAB107C8FA}"/>
            </c:ext>
          </c:extLst>
        </c:ser>
        <c:ser>
          <c:idx val="2"/>
          <c:order val="2"/>
          <c:tx>
            <c:strRef>
              <c:f>Hoja1!$D$1</c:f>
              <c:strCache>
                <c:ptCount val="1"/>
                <c:pt idx="0">
                  <c:v>Diferimiento</c:v>
                </c:pt>
              </c:strCache>
            </c:strRef>
          </c:tx>
          <c:spPr>
            <a:solidFill>
              <a:schemeClr val="bg1">
                <a:lumMod val="50000"/>
                <a:alpha val="27000"/>
              </a:schemeClr>
            </a:solidFill>
            <a:ln>
              <a:solidFill>
                <a:schemeClr val="bg1">
                  <a:lumMod val="75000"/>
                  <a:alpha val="20000"/>
                </a:schemeClr>
              </a:solidFill>
            </a:ln>
            <a:effectLst/>
          </c:spPr>
          <c:invertIfNegative val="0"/>
          <c:dPt>
            <c:idx val="1"/>
            <c:invertIfNegative val="0"/>
            <c:bubble3D val="0"/>
            <c:spPr>
              <a:solidFill>
                <a:schemeClr val="bg1">
                  <a:lumMod val="50000"/>
                  <a:alpha val="27000"/>
                </a:schemeClr>
              </a:solidFill>
              <a:ln>
                <a:solidFill>
                  <a:schemeClr val="bg1">
                    <a:lumMod val="75000"/>
                  </a:schemeClr>
                </a:solidFill>
              </a:ln>
              <a:effectLst/>
            </c:spPr>
            <c:extLst>
              <c:ext xmlns:c16="http://schemas.microsoft.com/office/drawing/2014/chart" uri="{C3380CC4-5D6E-409C-BE32-E72D297353CC}">
                <c16:uniqueId val="{00000007-A9D4-41F9-826D-1BAAB107C8FA}"/>
              </c:ext>
            </c:extLst>
          </c:dPt>
          <c:dLbls>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D4-41F9-826D-1BAAB107C8F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Hoja1!$A$2:$A$3</c:f>
              <c:strCache>
                <c:ptCount val="2"/>
                <c:pt idx="0">
                  <c:v>Meta </c:v>
                </c:pt>
                <c:pt idx="1">
                  <c:v>Observado</c:v>
                </c:pt>
              </c:strCache>
            </c:strRef>
          </c:cat>
          <c:val>
            <c:numRef>
              <c:f>Hoja1!$D$2:$D$3</c:f>
              <c:numCache>
                <c:formatCode>General</c:formatCode>
                <c:ptCount val="2"/>
                <c:pt idx="1">
                  <c:v>1321</c:v>
                </c:pt>
              </c:numCache>
            </c:numRef>
          </c:val>
          <c:extLst>
            <c:ext xmlns:c16="http://schemas.microsoft.com/office/drawing/2014/chart" uri="{C3380CC4-5D6E-409C-BE32-E72D297353CC}">
              <c16:uniqueId val="{00000008-A9D4-41F9-826D-1BAAB107C8FA}"/>
            </c:ext>
          </c:extLst>
        </c:ser>
        <c:dLbls>
          <c:showLegendKey val="0"/>
          <c:showVal val="0"/>
          <c:showCatName val="0"/>
          <c:showSerName val="0"/>
          <c:showPercent val="0"/>
          <c:showBubbleSize val="0"/>
        </c:dLbls>
        <c:gapWidth val="25"/>
        <c:overlap val="100"/>
        <c:axId val="78066048"/>
        <c:axId val="78067584"/>
      </c:barChart>
      <c:catAx>
        <c:axId val="78066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067584"/>
        <c:crosses val="autoZero"/>
        <c:auto val="1"/>
        <c:lblAlgn val="ctr"/>
        <c:lblOffset val="100"/>
        <c:noMultiLvlLbl val="0"/>
      </c:catAx>
      <c:valAx>
        <c:axId val="78067584"/>
        <c:scaling>
          <c:orientation val="minMax"/>
          <c:min val="80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Millones de quetzales</a:t>
                </a:r>
              </a:p>
            </c:rich>
          </c:tx>
          <c:layout>
            <c:manualLayout>
              <c:xMode val="edge"/>
              <c:yMode val="edge"/>
              <c:x val="2.1556063806880015E-3"/>
              <c:y val="0.20393971527198068"/>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0660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
          <c:y val="0.93309510880105506"/>
          <c:w val="1"/>
          <c:h val="6.69047672765832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latin typeface="+mn-lt"/>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2855324902571"/>
          <c:y val="3.1995541841673462E-2"/>
          <c:w val="0.85833483674851063"/>
          <c:h val="0.82587640043368271"/>
        </c:manualLayout>
      </c:layout>
      <c:lineChart>
        <c:grouping val="standard"/>
        <c:varyColors val="0"/>
        <c:ser>
          <c:idx val="0"/>
          <c:order val="0"/>
          <c:tx>
            <c:strRef>
              <c:f>Hoja1!$B$1</c:f>
              <c:strCache>
                <c:ptCount val="1"/>
                <c:pt idx="0">
                  <c:v>Var </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dLbl>
              <c:idx val="0"/>
              <c:layout>
                <c:manualLayout>
                  <c:x val="-0.10119477859059192"/>
                  <c:y val="-7.4488930808278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21-4551-B68E-D293DD94D938}"/>
                </c:ext>
              </c:extLst>
            </c:dLbl>
            <c:dLbl>
              <c:idx val="1"/>
              <c:layout>
                <c:manualLayout>
                  <c:x val="-6.1776202586650064E-2"/>
                  <c:y val="-7.7867101474700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21-4551-B68E-D293DD94D938}"/>
                </c:ext>
              </c:extLst>
            </c:dLbl>
            <c:dLbl>
              <c:idx val="2"/>
              <c:layout>
                <c:manualLayout>
                  <c:x val="-1.2502982581722739E-2"/>
                  <c:y val="5.3194497476806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21-4551-B68E-D293DD94D938}"/>
                </c:ext>
              </c:extLst>
            </c:dLbl>
            <c:dLbl>
              <c:idx val="3"/>
              <c:layout>
                <c:manualLayout>
                  <c:x val="-0.14554067659502659"/>
                  <c:y val="-6.4760941579550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21-4551-B68E-D293DD94D938}"/>
                </c:ext>
              </c:extLst>
            </c:dLbl>
            <c:dLbl>
              <c:idx val="4"/>
              <c:layout>
                <c:manualLayout>
                  <c:x val="-5.19215585856646E-2"/>
                  <c:y val="-7.804336537340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21-4551-B68E-D293DD94D938}"/>
                </c:ext>
              </c:extLst>
            </c:dLbl>
            <c:dLbl>
              <c:idx val="5"/>
              <c:layout>
                <c:manualLayout>
                  <c:x val="-4.6994236585171864E-2"/>
                  <c:y val="-5.5006305571157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21-4551-B68E-D293DD94D938}"/>
                </c:ext>
              </c:extLst>
            </c:dLbl>
            <c:dLbl>
              <c:idx val="6"/>
              <c:layout>
                <c:manualLayout>
                  <c:x val="-0.11039800734442572"/>
                  <c:y val="-2.62502516929676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21-4551-B68E-D293DD94D9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Hoja1!$A$2:$A$8</c:f>
              <c:numCache>
                <c:formatCode>General</c:formatCode>
                <c:ptCount val="7"/>
                <c:pt idx="0">
                  <c:v>2014</c:v>
                </c:pt>
                <c:pt idx="1">
                  <c:v>2015</c:v>
                </c:pt>
                <c:pt idx="2">
                  <c:v>2016</c:v>
                </c:pt>
                <c:pt idx="3">
                  <c:v>2017</c:v>
                </c:pt>
                <c:pt idx="4">
                  <c:v>2018</c:v>
                </c:pt>
                <c:pt idx="5">
                  <c:v>2019</c:v>
                </c:pt>
                <c:pt idx="6">
                  <c:v>2020</c:v>
                </c:pt>
              </c:numCache>
            </c:numRef>
          </c:cat>
          <c:val>
            <c:numRef>
              <c:f>Hoja1!$B$2:$B$8</c:f>
              <c:numCache>
                <c:formatCode>General</c:formatCode>
                <c:ptCount val="7"/>
                <c:pt idx="0">
                  <c:v>2.1124778535352995E-2</c:v>
                </c:pt>
                <c:pt idx="1">
                  <c:v>3.3939202503295407E-2</c:v>
                </c:pt>
                <c:pt idx="2">
                  <c:v>1.5090896491614769E-2</c:v>
                </c:pt>
                <c:pt idx="3">
                  <c:v>0.10076874487525411</c:v>
                </c:pt>
                <c:pt idx="4">
                  <c:v>4.001668057667529E-2</c:v>
                </c:pt>
                <c:pt idx="5">
                  <c:v>4.677553999520967E-2</c:v>
                </c:pt>
                <c:pt idx="6">
                  <c:v>-3.3415063512876819E-2</c:v>
                </c:pt>
              </c:numCache>
            </c:numRef>
          </c:val>
          <c:smooth val="1"/>
          <c:extLst>
            <c:ext xmlns:c16="http://schemas.microsoft.com/office/drawing/2014/chart" uri="{C3380CC4-5D6E-409C-BE32-E72D297353CC}">
              <c16:uniqueId val="{00000007-5321-4551-B68E-D293DD94D938}"/>
            </c:ext>
          </c:extLst>
        </c:ser>
        <c:ser>
          <c:idx val="1"/>
          <c:order val="1"/>
          <c:tx>
            <c:strRef>
              <c:f>Hoja1!$C$1</c:f>
              <c:strCache>
                <c:ptCount val="1"/>
                <c:pt idx="0">
                  <c:v>Sin diferimiento</c:v>
                </c:pt>
              </c:strCache>
            </c:strRef>
          </c:tx>
          <c:spPr>
            <a:ln w="22225" cap="rnd">
              <a:solidFill>
                <a:schemeClr val="tx1">
                  <a:lumMod val="65000"/>
                  <a:lumOff val="35000"/>
                </a:schemeClr>
              </a:solidFill>
              <a:prstDash val="sysDot"/>
              <a:round/>
            </a:ln>
            <a:effectLst/>
          </c:spPr>
          <c:marker>
            <c:symbol val="circle"/>
            <c:size val="6"/>
            <c:spPr>
              <a:solidFill>
                <a:schemeClr val="lt1"/>
              </a:solidFill>
              <a:ln w="15875">
                <a:solidFill>
                  <a:schemeClr val="bg1">
                    <a:lumMod val="75000"/>
                  </a:schemeClr>
                </a:solidFill>
                <a:round/>
              </a:ln>
              <a:effectLst/>
            </c:spPr>
          </c:marker>
          <c:dLbls>
            <c:dLbl>
              <c:idx val="6"/>
              <c:layout>
                <c:manualLayout>
                  <c:x val="-1.8066638627788904E-16"/>
                  <c:y val="-8.74831763122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21-4551-B68E-D293DD94D9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Hoja1!$A$2:$A$8</c:f>
              <c:numCache>
                <c:formatCode>General</c:formatCode>
                <c:ptCount val="7"/>
                <c:pt idx="0">
                  <c:v>2014</c:v>
                </c:pt>
                <c:pt idx="1">
                  <c:v>2015</c:v>
                </c:pt>
                <c:pt idx="2">
                  <c:v>2016</c:v>
                </c:pt>
                <c:pt idx="3">
                  <c:v>2017</c:v>
                </c:pt>
                <c:pt idx="4">
                  <c:v>2018</c:v>
                </c:pt>
                <c:pt idx="5">
                  <c:v>2019</c:v>
                </c:pt>
                <c:pt idx="6">
                  <c:v>2020</c:v>
                </c:pt>
              </c:numCache>
            </c:numRef>
          </c:cat>
          <c:val>
            <c:numRef>
              <c:f>Hoja1!$C$2:$C$8</c:f>
              <c:numCache>
                <c:formatCode>General</c:formatCode>
                <c:ptCount val="7"/>
                <c:pt idx="5">
                  <c:v>4.677553999520967E-2</c:v>
                </c:pt>
                <c:pt idx="6">
                  <c:v>5.4657015137049347E-2</c:v>
                </c:pt>
              </c:numCache>
            </c:numRef>
          </c:val>
          <c:smooth val="0"/>
          <c:extLst>
            <c:ext xmlns:c16="http://schemas.microsoft.com/office/drawing/2014/chart" uri="{C3380CC4-5D6E-409C-BE32-E72D297353CC}">
              <c16:uniqueId val="{00000009-5321-4551-B68E-D293DD94D938}"/>
            </c:ext>
          </c:extLst>
        </c:ser>
        <c:dLbls>
          <c:showLegendKey val="0"/>
          <c:showVal val="0"/>
          <c:showCatName val="0"/>
          <c:showSerName val="0"/>
          <c:showPercent val="0"/>
          <c:showBubbleSize val="0"/>
        </c:dLbls>
        <c:marker val="1"/>
        <c:smooth val="0"/>
        <c:axId val="78258176"/>
        <c:axId val="78259712"/>
      </c:lineChart>
      <c:catAx>
        <c:axId val="782581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259712"/>
        <c:crosses val="autoZero"/>
        <c:auto val="1"/>
        <c:lblAlgn val="ctr"/>
        <c:lblOffset val="100"/>
        <c:noMultiLvlLbl val="0"/>
      </c:catAx>
      <c:valAx>
        <c:axId val="782597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82581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2340882366074749"/>
          <c:y val="0.69741583169469212"/>
          <c:w val="0.44288398850899779"/>
          <c:h val="0.150795227213873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1034-ED7C-4E83-842D-7A53E7362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2271</Words>
  <Characters>12494</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Myriam Adelaida Galvez García</cp:lastModifiedBy>
  <cp:revision>2</cp:revision>
  <dcterms:created xsi:type="dcterms:W3CDTF">2020-04-30T00:52:00Z</dcterms:created>
  <dcterms:modified xsi:type="dcterms:W3CDTF">2020-04-30T00:52:00Z</dcterms:modified>
</cp:coreProperties>
</file>